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C7118" w14:textId="77777777" w:rsidR="000E0B74" w:rsidRPr="006D0240" w:rsidRDefault="000E0B74" w:rsidP="008E6292">
      <w:bookmarkStart w:id="0" w:name="_GoBack"/>
      <w:bookmarkEnd w:id="0"/>
    </w:p>
    <w:p w14:paraId="24ABB057" w14:textId="77777777" w:rsidR="000E0B74" w:rsidRPr="006D0240" w:rsidRDefault="000E0B74" w:rsidP="00794499">
      <w:pPr>
        <w:pStyle w:val="Crest"/>
        <w:spacing w:after="3000"/>
        <w:jc w:val="right"/>
      </w:pPr>
    </w:p>
    <w:p w14:paraId="6998AE6D" w14:textId="46689E1D" w:rsidR="000E0B74" w:rsidRPr="00A524B9" w:rsidRDefault="006B7E77" w:rsidP="000E0B74">
      <w:pPr>
        <w:pStyle w:val="Title"/>
      </w:pPr>
      <w:r>
        <w:t>T</w:t>
      </w:r>
      <w:r w:rsidR="00C72992">
        <w:t>axation</w:t>
      </w:r>
      <w:r>
        <w:t xml:space="preserve"> of insurance companies</w:t>
      </w:r>
    </w:p>
    <w:p w14:paraId="21688DFA" w14:textId="5DAC7798" w:rsidR="000E0B74" w:rsidRPr="00D45AF8" w:rsidRDefault="00C72992" w:rsidP="00D45AF8">
      <w:pPr>
        <w:pStyle w:val="Subtitle"/>
      </w:pPr>
      <w:r>
        <w:t xml:space="preserve">Consultation paper on the tax impacts of AASB17, recognition of outstanding claims and </w:t>
      </w:r>
      <w:r w:rsidR="00252819">
        <w:t>tax </w:t>
      </w:r>
      <w:r>
        <w:t>provisions for health insurers</w:t>
      </w:r>
    </w:p>
    <w:p w14:paraId="431B6565" w14:textId="6982F4F8" w:rsidR="00056880" w:rsidRDefault="00296F06" w:rsidP="000E0B74">
      <w:pPr>
        <w:pStyle w:val="ReportDate"/>
        <w:ind w:right="0"/>
        <w:rPr>
          <w:rFonts w:ascii="Rockwell" w:hAnsi="Rockwell"/>
          <w:sz w:val="24"/>
        </w:rPr>
      </w:pPr>
      <w:r>
        <w:rPr>
          <w:rStyle w:val="ReportDateChar"/>
        </w:rPr>
        <w:t xml:space="preserve">November </w:t>
      </w:r>
      <w:r w:rsidR="00C72992">
        <w:rPr>
          <w:rStyle w:val="ReportDateChar"/>
        </w:rPr>
        <w:t>2018</w:t>
      </w:r>
    </w:p>
    <w:p w14:paraId="0D0DA8AA" w14:textId="77777777" w:rsidR="002F617F" w:rsidRPr="005D561D" w:rsidRDefault="002F617F" w:rsidP="00A16E03">
      <w:pPr>
        <w:pStyle w:val="Divider"/>
        <w:spacing w:after="3000"/>
      </w:pPr>
    </w:p>
    <w:p w14:paraId="600C347C" w14:textId="77777777" w:rsidR="002F617F" w:rsidRDefault="002F617F"/>
    <w:tbl>
      <w:tblPr>
        <w:tblStyle w:val="TableGrid"/>
        <w:tblW w:w="0" w:type="auto"/>
        <w:tblInd w:w="108" w:type="dxa"/>
        <w:shd w:val="clear" w:color="auto" w:fill="EBEBEB"/>
        <w:tblLook w:val="04A0" w:firstRow="1" w:lastRow="0" w:firstColumn="1" w:lastColumn="0" w:noHBand="0" w:noVBand="1"/>
      </w:tblPr>
      <w:tblGrid>
        <w:gridCol w:w="8962"/>
      </w:tblGrid>
      <w:tr w:rsidR="002F617F" w14:paraId="4F7A03BE" w14:textId="77777777" w:rsidTr="00475B7B">
        <w:tc>
          <w:tcPr>
            <w:tcW w:w="8962" w:type="dxa"/>
            <w:shd w:val="clear" w:color="auto" w:fill="FFFFFF" w:themeFill="background1"/>
          </w:tcPr>
          <w:p w14:paraId="4F4651C3" w14:textId="77777777" w:rsidR="00D145F5" w:rsidRPr="00D145F5" w:rsidRDefault="002F617F" w:rsidP="00D145F5">
            <w:pPr>
              <w:pStyle w:val="BoxHeading"/>
            </w:pPr>
            <w:r>
              <w:t xml:space="preserve">Notes to </w:t>
            </w:r>
            <w:r w:rsidRPr="002F617F">
              <w:t>participants</w:t>
            </w:r>
          </w:p>
          <w:p w14:paraId="57BB8213" w14:textId="77777777" w:rsidR="002F617F" w:rsidRDefault="00C72992" w:rsidP="00D145F5">
            <w:pPr>
              <w:pStyle w:val="BoxText"/>
            </w:pPr>
            <w:r>
              <w:t>The issues canvassed in this paper are intended to facilitate consultation by Treasury and have not been endorsed by the Australian Government.</w:t>
            </w:r>
          </w:p>
        </w:tc>
      </w:tr>
    </w:tbl>
    <w:p w14:paraId="16EE7EFF" w14:textId="77777777" w:rsidR="000E0B74" w:rsidRDefault="000E0B74" w:rsidP="000E0B74">
      <w:pPr>
        <w:rPr>
          <w:rFonts w:cs="Calibri"/>
          <w:sz w:val="20"/>
        </w:rPr>
      </w:pPr>
    </w:p>
    <w:p w14:paraId="568AB07C" w14:textId="77777777" w:rsidR="000E0B74" w:rsidRDefault="000E0B74" w:rsidP="000E0B74">
      <w:pPr>
        <w:sectPr w:rsidR="000E0B74" w:rsidSect="00E1136B">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pgNumType w:fmt="lowerRoman" w:start="1"/>
          <w:cols w:space="720"/>
        </w:sectPr>
      </w:pPr>
    </w:p>
    <w:p w14:paraId="21A17990" w14:textId="00117679" w:rsidR="000E0B74" w:rsidRDefault="000E0B74" w:rsidP="000E0B74">
      <w:pPr>
        <w:spacing w:before="240"/>
      </w:pPr>
      <w:r w:rsidRPr="00661BF0">
        <w:lastRenderedPageBreak/>
        <w:t xml:space="preserve">© Commonwealth of Australia </w:t>
      </w:r>
      <w:r w:rsidR="00231E7A" w:rsidRPr="008209F1">
        <w:t>2018</w:t>
      </w:r>
    </w:p>
    <w:p w14:paraId="4AC14E19" w14:textId="1F7E4CBA"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2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00231E7A">
        <w:t xml:space="preserve">and where otherwise stated. </w:t>
      </w:r>
      <w:r w:rsidRPr="002F1BC2">
        <w:t>The full licence terms are available from</w:t>
      </w:r>
      <w:r w:rsidRPr="00476F09">
        <w:rPr>
          <w:rFonts w:cstheme="minorHAnsi"/>
          <w:sz w:val="24"/>
          <w:szCs w:val="24"/>
        </w:rPr>
        <w:t xml:space="preserve"> </w:t>
      </w:r>
      <w:hyperlink r:id="rId21"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74DDE52D" w14:textId="77777777" w:rsidR="000E0B74" w:rsidRDefault="000E0B74" w:rsidP="000E0B74">
      <w:pPr>
        <w:pStyle w:val="ChartGraphic"/>
        <w:jc w:val="left"/>
      </w:pPr>
      <w:r w:rsidRPr="00E56DFB">
        <w:rPr>
          <w:noProof/>
        </w:rPr>
        <w:drawing>
          <wp:inline distT="0" distB="0" distL="0" distR="0" wp14:anchorId="7D9AD05D" wp14:editId="373887EE">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FADF637"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4FCB9A62"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50EE8BED"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6A7AD345" w14:textId="0DE71219" w:rsidR="000E0B74" w:rsidRPr="00A13A11" w:rsidRDefault="000E0B74" w:rsidP="000E0B74">
      <w:pPr>
        <w:ind w:firstLine="720"/>
      </w:pPr>
      <w:r w:rsidRPr="002F1BC2">
        <w:rPr>
          <w:i/>
        </w:rPr>
        <w:t xml:space="preserve">Source: The </w:t>
      </w:r>
      <w:r w:rsidRPr="002F1BC2">
        <w:rPr>
          <w:i/>
          <w:iCs/>
        </w:rPr>
        <w:t>Aus</w:t>
      </w:r>
      <w:r w:rsidR="00231E7A">
        <w:rPr>
          <w:i/>
          <w:iCs/>
        </w:rPr>
        <w:t>tralian Government the Treasury</w:t>
      </w:r>
    </w:p>
    <w:p w14:paraId="0507E58C"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AFDD96B"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178AA222" w14:textId="0800D48E" w:rsidR="000E0B74" w:rsidRPr="006627B4" w:rsidRDefault="000E0B74" w:rsidP="000E0B74">
      <w:pPr>
        <w:ind w:firstLine="720"/>
      </w:pPr>
      <w:r w:rsidRPr="002F1BC2">
        <w:rPr>
          <w:i/>
        </w:rPr>
        <w:t>Based on The Australian Government the Treasury data</w:t>
      </w:r>
      <w:r>
        <w:t>.</w:t>
      </w:r>
    </w:p>
    <w:p w14:paraId="3C7AB809" w14:textId="77777777" w:rsidR="000E0B74" w:rsidRPr="006627B4" w:rsidRDefault="000E0B74" w:rsidP="000E0B74">
      <w:pPr>
        <w:spacing w:before="240"/>
        <w:rPr>
          <w:b/>
        </w:rPr>
      </w:pPr>
      <w:r w:rsidRPr="006627B4">
        <w:rPr>
          <w:b/>
        </w:rPr>
        <w:t>Use of the Coat of Arms</w:t>
      </w:r>
    </w:p>
    <w:p w14:paraId="4AF30843"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4" w:history="1">
        <w:r w:rsidRPr="005A283B">
          <w:rPr>
            <w:rStyle w:val="Hyperlink"/>
          </w:rPr>
          <w:t>www.pmc.gov.au/government/commonwealth-coat-arm</w:t>
        </w:r>
      </w:hyperlink>
      <w:r w:rsidRPr="004A7BC2">
        <w:t>s).</w:t>
      </w:r>
    </w:p>
    <w:p w14:paraId="6890C7C2" w14:textId="77777777" w:rsidR="000E0B74" w:rsidRPr="006627B4" w:rsidRDefault="000E0B74" w:rsidP="000E0B74">
      <w:pPr>
        <w:spacing w:before="240"/>
        <w:rPr>
          <w:b/>
        </w:rPr>
      </w:pPr>
      <w:r>
        <w:rPr>
          <w:b/>
        </w:rPr>
        <w:t>Other u</w:t>
      </w:r>
      <w:r w:rsidRPr="006627B4">
        <w:rPr>
          <w:b/>
        </w:rPr>
        <w:t>ses</w:t>
      </w:r>
    </w:p>
    <w:p w14:paraId="154C3A04" w14:textId="77777777" w:rsidR="000E0B74" w:rsidRPr="006627B4" w:rsidRDefault="000E0B74" w:rsidP="000E0B74">
      <w:r>
        <w:t>E</w:t>
      </w:r>
      <w:r w:rsidRPr="006627B4">
        <w:t>nquiries regarding this licence and any other use of this document are welcome at:</w:t>
      </w:r>
    </w:p>
    <w:p w14:paraId="285A6B72"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5" w:history="1">
        <w:r w:rsidRPr="00B31CFB">
          <w:rPr>
            <w:rStyle w:val="Hyperlink"/>
          </w:rPr>
          <w:t>medialiaison@treasury.gov.au</w:t>
        </w:r>
      </w:hyperlink>
    </w:p>
    <w:p w14:paraId="2FD8AC89" w14:textId="77777777" w:rsidR="000E0B74" w:rsidRDefault="000E0B74" w:rsidP="000E0B74">
      <w:pPr>
        <w:pStyle w:val="SingleParagraph"/>
        <w:sectPr w:rsidR="000E0B74" w:rsidSect="00475B7B">
          <w:headerReference w:type="even" r:id="rId26"/>
          <w:headerReference w:type="default" r:id="rId27"/>
          <w:footerReference w:type="even" r:id="rId28"/>
          <w:headerReference w:type="first" r:id="rId29"/>
          <w:pgSz w:w="11906" w:h="16838" w:code="9"/>
          <w:pgMar w:top="1418" w:right="1418" w:bottom="1418" w:left="1418" w:header="709" w:footer="709" w:gutter="0"/>
          <w:pgNumType w:fmt="lowerRoman"/>
          <w:cols w:space="708"/>
          <w:titlePg/>
          <w:docGrid w:linePitch="360"/>
        </w:sectPr>
      </w:pPr>
    </w:p>
    <w:p w14:paraId="265FDF7C" w14:textId="77777777" w:rsidR="000E0B74" w:rsidRDefault="000E0B74" w:rsidP="000E0B74">
      <w:pPr>
        <w:pStyle w:val="Heading1"/>
      </w:pPr>
      <w:bookmarkStart w:id="1" w:name="_Toc522199868"/>
      <w:bookmarkStart w:id="2" w:name="_Toc522612803"/>
      <w:bookmarkStart w:id="3" w:name="_Toc528923015"/>
      <w:r>
        <w:lastRenderedPageBreak/>
        <w:t>Contents</w:t>
      </w:r>
      <w:bookmarkEnd w:id="1"/>
      <w:bookmarkEnd w:id="2"/>
      <w:bookmarkEnd w:id="3"/>
    </w:p>
    <w:p w14:paraId="3C9BBA9C" w14:textId="77777777" w:rsidR="002D79F7" w:rsidRDefault="002D79F7">
      <w:pPr>
        <w:pStyle w:val="TOC1"/>
      </w:pPr>
    </w:p>
    <w:p w14:paraId="1EA84A49" w14:textId="77777777" w:rsidR="00E816A6"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28923015" w:history="1">
        <w:r w:rsidR="00E816A6" w:rsidRPr="006862B2">
          <w:rPr>
            <w:rStyle w:val="Hyperlink"/>
          </w:rPr>
          <w:t>Contents</w:t>
        </w:r>
        <w:r w:rsidR="00E816A6">
          <w:rPr>
            <w:webHidden/>
          </w:rPr>
          <w:tab/>
        </w:r>
        <w:r w:rsidR="00E816A6">
          <w:rPr>
            <w:webHidden/>
          </w:rPr>
          <w:fldChar w:fldCharType="begin"/>
        </w:r>
        <w:r w:rsidR="00E816A6">
          <w:rPr>
            <w:webHidden/>
          </w:rPr>
          <w:instrText xml:space="preserve"> PAGEREF _Toc528923015 \h </w:instrText>
        </w:r>
        <w:r w:rsidR="00E816A6">
          <w:rPr>
            <w:webHidden/>
          </w:rPr>
        </w:r>
        <w:r w:rsidR="00E816A6">
          <w:rPr>
            <w:webHidden/>
          </w:rPr>
          <w:fldChar w:fldCharType="separate"/>
        </w:r>
        <w:r w:rsidR="00E816A6">
          <w:rPr>
            <w:webHidden/>
          </w:rPr>
          <w:t>iii</w:t>
        </w:r>
        <w:r w:rsidR="00E816A6">
          <w:rPr>
            <w:webHidden/>
          </w:rPr>
          <w:fldChar w:fldCharType="end"/>
        </w:r>
      </w:hyperlink>
    </w:p>
    <w:p w14:paraId="393692E2" w14:textId="77777777" w:rsidR="00E816A6" w:rsidRDefault="00E23BB2">
      <w:pPr>
        <w:pStyle w:val="TOC1"/>
        <w:rPr>
          <w:rFonts w:asciiTheme="minorHAnsi" w:eastAsiaTheme="minorEastAsia" w:hAnsiTheme="minorHAnsi" w:cstheme="minorBidi"/>
          <w:b w:val="0"/>
          <w:color w:val="auto"/>
        </w:rPr>
      </w:pPr>
      <w:hyperlink w:anchor="_Toc528923016" w:history="1">
        <w:r w:rsidR="00E816A6" w:rsidRPr="006862B2">
          <w:rPr>
            <w:rStyle w:val="Hyperlink"/>
          </w:rPr>
          <w:t>Consultation Process</w:t>
        </w:r>
        <w:r w:rsidR="00E816A6">
          <w:rPr>
            <w:webHidden/>
          </w:rPr>
          <w:tab/>
        </w:r>
        <w:r w:rsidR="00E816A6">
          <w:rPr>
            <w:webHidden/>
          </w:rPr>
          <w:fldChar w:fldCharType="begin"/>
        </w:r>
        <w:r w:rsidR="00E816A6">
          <w:rPr>
            <w:webHidden/>
          </w:rPr>
          <w:instrText xml:space="preserve"> PAGEREF _Toc528923016 \h </w:instrText>
        </w:r>
        <w:r w:rsidR="00E816A6">
          <w:rPr>
            <w:webHidden/>
          </w:rPr>
        </w:r>
        <w:r w:rsidR="00E816A6">
          <w:rPr>
            <w:webHidden/>
          </w:rPr>
          <w:fldChar w:fldCharType="separate"/>
        </w:r>
        <w:r w:rsidR="00E816A6">
          <w:rPr>
            <w:webHidden/>
          </w:rPr>
          <w:t>1</w:t>
        </w:r>
        <w:r w:rsidR="00E816A6">
          <w:rPr>
            <w:webHidden/>
          </w:rPr>
          <w:fldChar w:fldCharType="end"/>
        </w:r>
      </w:hyperlink>
    </w:p>
    <w:p w14:paraId="7DADC310" w14:textId="77777777" w:rsidR="00E816A6" w:rsidRDefault="00E23BB2">
      <w:pPr>
        <w:pStyle w:val="TOC2"/>
        <w:rPr>
          <w:rFonts w:asciiTheme="minorHAnsi" w:eastAsiaTheme="minorEastAsia" w:hAnsiTheme="minorHAnsi" w:cstheme="minorBidi"/>
          <w:color w:val="auto"/>
          <w:szCs w:val="22"/>
        </w:rPr>
      </w:pPr>
      <w:hyperlink w:anchor="_Toc528923017" w:history="1">
        <w:r w:rsidR="00E816A6" w:rsidRPr="006862B2">
          <w:rPr>
            <w:rStyle w:val="Hyperlink"/>
          </w:rPr>
          <w:t>Request for feedback and comments</w:t>
        </w:r>
        <w:r w:rsidR="00E816A6">
          <w:rPr>
            <w:webHidden/>
          </w:rPr>
          <w:tab/>
        </w:r>
        <w:r w:rsidR="00E816A6">
          <w:rPr>
            <w:webHidden/>
          </w:rPr>
          <w:fldChar w:fldCharType="begin"/>
        </w:r>
        <w:r w:rsidR="00E816A6">
          <w:rPr>
            <w:webHidden/>
          </w:rPr>
          <w:instrText xml:space="preserve"> PAGEREF _Toc528923017 \h </w:instrText>
        </w:r>
        <w:r w:rsidR="00E816A6">
          <w:rPr>
            <w:webHidden/>
          </w:rPr>
        </w:r>
        <w:r w:rsidR="00E816A6">
          <w:rPr>
            <w:webHidden/>
          </w:rPr>
          <w:fldChar w:fldCharType="separate"/>
        </w:r>
        <w:r w:rsidR="00E816A6">
          <w:rPr>
            <w:webHidden/>
          </w:rPr>
          <w:t>1</w:t>
        </w:r>
        <w:r w:rsidR="00E816A6">
          <w:rPr>
            <w:webHidden/>
          </w:rPr>
          <w:fldChar w:fldCharType="end"/>
        </w:r>
      </w:hyperlink>
    </w:p>
    <w:p w14:paraId="0E212A49" w14:textId="77777777" w:rsidR="00E816A6" w:rsidRDefault="00E23BB2">
      <w:pPr>
        <w:pStyle w:val="TOC1"/>
        <w:rPr>
          <w:rFonts w:asciiTheme="minorHAnsi" w:eastAsiaTheme="minorEastAsia" w:hAnsiTheme="minorHAnsi" w:cstheme="minorBidi"/>
          <w:b w:val="0"/>
          <w:color w:val="auto"/>
        </w:rPr>
      </w:pPr>
      <w:hyperlink w:anchor="_Toc528923018" w:history="1">
        <w:r w:rsidR="00E816A6" w:rsidRPr="006862B2">
          <w:rPr>
            <w:rStyle w:val="Hyperlink"/>
          </w:rPr>
          <w:t>Taxation of insurance companies</w:t>
        </w:r>
        <w:r w:rsidR="00E816A6">
          <w:rPr>
            <w:webHidden/>
          </w:rPr>
          <w:tab/>
        </w:r>
        <w:r w:rsidR="00E816A6">
          <w:rPr>
            <w:webHidden/>
          </w:rPr>
          <w:fldChar w:fldCharType="begin"/>
        </w:r>
        <w:r w:rsidR="00E816A6">
          <w:rPr>
            <w:webHidden/>
          </w:rPr>
          <w:instrText xml:space="preserve"> PAGEREF _Toc528923018 \h </w:instrText>
        </w:r>
        <w:r w:rsidR="00E816A6">
          <w:rPr>
            <w:webHidden/>
          </w:rPr>
        </w:r>
        <w:r w:rsidR="00E816A6">
          <w:rPr>
            <w:webHidden/>
          </w:rPr>
          <w:fldChar w:fldCharType="separate"/>
        </w:r>
        <w:r w:rsidR="00E816A6">
          <w:rPr>
            <w:webHidden/>
          </w:rPr>
          <w:t>2</w:t>
        </w:r>
        <w:r w:rsidR="00E816A6">
          <w:rPr>
            <w:webHidden/>
          </w:rPr>
          <w:fldChar w:fldCharType="end"/>
        </w:r>
      </w:hyperlink>
    </w:p>
    <w:p w14:paraId="295FF488" w14:textId="77777777" w:rsidR="00E816A6" w:rsidRDefault="00E23BB2">
      <w:pPr>
        <w:pStyle w:val="TOC2"/>
        <w:rPr>
          <w:rFonts w:asciiTheme="minorHAnsi" w:eastAsiaTheme="minorEastAsia" w:hAnsiTheme="minorHAnsi" w:cstheme="minorBidi"/>
          <w:color w:val="auto"/>
          <w:szCs w:val="22"/>
        </w:rPr>
      </w:pPr>
      <w:hyperlink w:anchor="_Toc528923019" w:history="1">
        <w:r w:rsidR="00E816A6" w:rsidRPr="006862B2">
          <w:rPr>
            <w:rStyle w:val="Hyperlink"/>
          </w:rPr>
          <w:t>Context</w:t>
        </w:r>
        <w:r w:rsidR="00E816A6">
          <w:rPr>
            <w:webHidden/>
          </w:rPr>
          <w:tab/>
        </w:r>
        <w:r w:rsidR="00E816A6">
          <w:rPr>
            <w:webHidden/>
          </w:rPr>
          <w:fldChar w:fldCharType="begin"/>
        </w:r>
        <w:r w:rsidR="00E816A6">
          <w:rPr>
            <w:webHidden/>
          </w:rPr>
          <w:instrText xml:space="preserve"> PAGEREF _Toc528923019 \h </w:instrText>
        </w:r>
        <w:r w:rsidR="00E816A6">
          <w:rPr>
            <w:webHidden/>
          </w:rPr>
        </w:r>
        <w:r w:rsidR="00E816A6">
          <w:rPr>
            <w:webHidden/>
          </w:rPr>
          <w:fldChar w:fldCharType="separate"/>
        </w:r>
        <w:r w:rsidR="00E816A6">
          <w:rPr>
            <w:webHidden/>
          </w:rPr>
          <w:t>2</w:t>
        </w:r>
        <w:r w:rsidR="00E816A6">
          <w:rPr>
            <w:webHidden/>
          </w:rPr>
          <w:fldChar w:fldCharType="end"/>
        </w:r>
      </w:hyperlink>
    </w:p>
    <w:p w14:paraId="6134E038" w14:textId="77777777" w:rsidR="00E816A6" w:rsidRDefault="00E23BB2">
      <w:pPr>
        <w:pStyle w:val="TOC3"/>
        <w:rPr>
          <w:rFonts w:asciiTheme="minorHAnsi" w:eastAsiaTheme="minorEastAsia" w:hAnsiTheme="minorHAnsi" w:cstheme="minorBidi"/>
          <w:color w:val="auto"/>
          <w:szCs w:val="22"/>
        </w:rPr>
      </w:pPr>
      <w:hyperlink w:anchor="_Toc528923020" w:history="1">
        <w:r w:rsidR="00E816A6" w:rsidRPr="006862B2">
          <w:rPr>
            <w:rStyle w:val="Hyperlink"/>
          </w:rPr>
          <w:t>Why consult on insurance taxation now?</w:t>
        </w:r>
        <w:r w:rsidR="00E816A6">
          <w:rPr>
            <w:webHidden/>
          </w:rPr>
          <w:tab/>
        </w:r>
        <w:r w:rsidR="00E816A6">
          <w:rPr>
            <w:webHidden/>
          </w:rPr>
          <w:fldChar w:fldCharType="begin"/>
        </w:r>
        <w:r w:rsidR="00E816A6">
          <w:rPr>
            <w:webHidden/>
          </w:rPr>
          <w:instrText xml:space="preserve"> PAGEREF _Toc528923020 \h </w:instrText>
        </w:r>
        <w:r w:rsidR="00E816A6">
          <w:rPr>
            <w:webHidden/>
          </w:rPr>
        </w:r>
        <w:r w:rsidR="00E816A6">
          <w:rPr>
            <w:webHidden/>
          </w:rPr>
          <w:fldChar w:fldCharType="separate"/>
        </w:r>
        <w:r w:rsidR="00E816A6">
          <w:rPr>
            <w:webHidden/>
          </w:rPr>
          <w:t>2</w:t>
        </w:r>
        <w:r w:rsidR="00E816A6">
          <w:rPr>
            <w:webHidden/>
          </w:rPr>
          <w:fldChar w:fldCharType="end"/>
        </w:r>
      </w:hyperlink>
    </w:p>
    <w:p w14:paraId="448AA3E1" w14:textId="77777777" w:rsidR="00E816A6" w:rsidRDefault="00E23BB2">
      <w:pPr>
        <w:pStyle w:val="TOC3"/>
        <w:rPr>
          <w:rFonts w:asciiTheme="minorHAnsi" w:eastAsiaTheme="minorEastAsia" w:hAnsiTheme="minorHAnsi" w:cstheme="minorBidi"/>
          <w:color w:val="auto"/>
          <w:szCs w:val="22"/>
        </w:rPr>
      </w:pPr>
      <w:hyperlink w:anchor="_Toc528923021" w:history="1">
        <w:r w:rsidR="00E816A6" w:rsidRPr="006862B2">
          <w:rPr>
            <w:rStyle w:val="Hyperlink"/>
          </w:rPr>
          <w:t>Objectives</w:t>
        </w:r>
        <w:r w:rsidR="00E816A6">
          <w:rPr>
            <w:webHidden/>
          </w:rPr>
          <w:tab/>
        </w:r>
        <w:r w:rsidR="00E816A6">
          <w:rPr>
            <w:webHidden/>
          </w:rPr>
          <w:fldChar w:fldCharType="begin"/>
        </w:r>
        <w:r w:rsidR="00E816A6">
          <w:rPr>
            <w:webHidden/>
          </w:rPr>
          <w:instrText xml:space="preserve"> PAGEREF _Toc528923021 \h </w:instrText>
        </w:r>
        <w:r w:rsidR="00E816A6">
          <w:rPr>
            <w:webHidden/>
          </w:rPr>
        </w:r>
        <w:r w:rsidR="00E816A6">
          <w:rPr>
            <w:webHidden/>
          </w:rPr>
          <w:fldChar w:fldCharType="separate"/>
        </w:r>
        <w:r w:rsidR="00E816A6">
          <w:rPr>
            <w:webHidden/>
          </w:rPr>
          <w:t>2</w:t>
        </w:r>
        <w:r w:rsidR="00E816A6">
          <w:rPr>
            <w:webHidden/>
          </w:rPr>
          <w:fldChar w:fldCharType="end"/>
        </w:r>
      </w:hyperlink>
    </w:p>
    <w:p w14:paraId="15BDB8EC" w14:textId="77777777" w:rsidR="00E816A6" w:rsidRDefault="00E23BB2">
      <w:pPr>
        <w:pStyle w:val="TOC2"/>
        <w:rPr>
          <w:rFonts w:asciiTheme="minorHAnsi" w:eastAsiaTheme="minorEastAsia" w:hAnsiTheme="minorHAnsi" w:cstheme="minorBidi"/>
          <w:color w:val="auto"/>
          <w:szCs w:val="22"/>
        </w:rPr>
      </w:pPr>
      <w:hyperlink w:anchor="_Toc528923022" w:history="1">
        <w:r w:rsidR="00E816A6" w:rsidRPr="006862B2">
          <w:rPr>
            <w:rStyle w:val="Hyperlink"/>
          </w:rPr>
          <w:t>Background</w:t>
        </w:r>
        <w:r w:rsidR="00E816A6">
          <w:rPr>
            <w:webHidden/>
          </w:rPr>
          <w:tab/>
        </w:r>
        <w:r w:rsidR="00E816A6">
          <w:rPr>
            <w:webHidden/>
          </w:rPr>
          <w:fldChar w:fldCharType="begin"/>
        </w:r>
        <w:r w:rsidR="00E816A6">
          <w:rPr>
            <w:webHidden/>
          </w:rPr>
          <w:instrText xml:space="preserve"> PAGEREF _Toc528923022 \h </w:instrText>
        </w:r>
        <w:r w:rsidR="00E816A6">
          <w:rPr>
            <w:webHidden/>
          </w:rPr>
        </w:r>
        <w:r w:rsidR="00E816A6">
          <w:rPr>
            <w:webHidden/>
          </w:rPr>
          <w:fldChar w:fldCharType="separate"/>
        </w:r>
        <w:r w:rsidR="00E816A6">
          <w:rPr>
            <w:webHidden/>
          </w:rPr>
          <w:t>2</w:t>
        </w:r>
        <w:r w:rsidR="00E816A6">
          <w:rPr>
            <w:webHidden/>
          </w:rPr>
          <w:fldChar w:fldCharType="end"/>
        </w:r>
      </w:hyperlink>
    </w:p>
    <w:p w14:paraId="2A6BE278" w14:textId="77777777" w:rsidR="00E816A6" w:rsidRDefault="00E23BB2">
      <w:pPr>
        <w:pStyle w:val="TOC3"/>
        <w:rPr>
          <w:rFonts w:asciiTheme="minorHAnsi" w:eastAsiaTheme="minorEastAsia" w:hAnsiTheme="minorHAnsi" w:cstheme="minorBidi"/>
          <w:color w:val="auto"/>
          <w:szCs w:val="22"/>
        </w:rPr>
      </w:pPr>
      <w:hyperlink w:anchor="_Toc528923023" w:history="1">
        <w:r w:rsidR="00E816A6" w:rsidRPr="006862B2">
          <w:rPr>
            <w:rStyle w:val="Hyperlink"/>
          </w:rPr>
          <w:t>Tax treatment of insurance companies</w:t>
        </w:r>
        <w:r w:rsidR="00E816A6">
          <w:rPr>
            <w:webHidden/>
          </w:rPr>
          <w:tab/>
        </w:r>
        <w:r w:rsidR="00E816A6">
          <w:rPr>
            <w:webHidden/>
          </w:rPr>
          <w:fldChar w:fldCharType="begin"/>
        </w:r>
        <w:r w:rsidR="00E816A6">
          <w:rPr>
            <w:webHidden/>
          </w:rPr>
          <w:instrText xml:space="preserve"> PAGEREF _Toc528923023 \h </w:instrText>
        </w:r>
        <w:r w:rsidR="00E816A6">
          <w:rPr>
            <w:webHidden/>
          </w:rPr>
        </w:r>
        <w:r w:rsidR="00E816A6">
          <w:rPr>
            <w:webHidden/>
          </w:rPr>
          <w:fldChar w:fldCharType="separate"/>
        </w:r>
        <w:r w:rsidR="00E816A6">
          <w:rPr>
            <w:webHidden/>
          </w:rPr>
          <w:t>2</w:t>
        </w:r>
        <w:r w:rsidR="00E816A6">
          <w:rPr>
            <w:webHidden/>
          </w:rPr>
          <w:fldChar w:fldCharType="end"/>
        </w:r>
      </w:hyperlink>
    </w:p>
    <w:p w14:paraId="07DBD9EF" w14:textId="77777777" w:rsidR="00E816A6" w:rsidRDefault="00E23BB2">
      <w:pPr>
        <w:pStyle w:val="TOC3"/>
        <w:rPr>
          <w:rFonts w:asciiTheme="minorHAnsi" w:eastAsiaTheme="minorEastAsia" w:hAnsiTheme="minorHAnsi" w:cstheme="minorBidi"/>
          <w:color w:val="auto"/>
          <w:szCs w:val="22"/>
        </w:rPr>
      </w:pPr>
      <w:hyperlink w:anchor="_Toc528923024" w:history="1">
        <w:r w:rsidR="00E816A6" w:rsidRPr="006862B2">
          <w:rPr>
            <w:rStyle w:val="Hyperlink"/>
          </w:rPr>
          <w:t>Links between tax, accounting and prudential standards for insurers</w:t>
        </w:r>
        <w:r w:rsidR="00E816A6">
          <w:rPr>
            <w:webHidden/>
          </w:rPr>
          <w:tab/>
        </w:r>
        <w:r w:rsidR="00E816A6">
          <w:rPr>
            <w:webHidden/>
          </w:rPr>
          <w:fldChar w:fldCharType="begin"/>
        </w:r>
        <w:r w:rsidR="00E816A6">
          <w:rPr>
            <w:webHidden/>
          </w:rPr>
          <w:instrText xml:space="preserve"> PAGEREF _Toc528923024 \h </w:instrText>
        </w:r>
        <w:r w:rsidR="00E816A6">
          <w:rPr>
            <w:webHidden/>
          </w:rPr>
        </w:r>
        <w:r w:rsidR="00E816A6">
          <w:rPr>
            <w:webHidden/>
          </w:rPr>
          <w:fldChar w:fldCharType="separate"/>
        </w:r>
        <w:r w:rsidR="00E816A6">
          <w:rPr>
            <w:webHidden/>
          </w:rPr>
          <w:t>3</w:t>
        </w:r>
        <w:r w:rsidR="00E816A6">
          <w:rPr>
            <w:webHidden/>
          </w:rPr>
          <w:fldChar w:fldCharType="end"/>
        </w:r>
      </w:hyperlink>
    </w:p>
    <w:p w14:paraId="18444C1E" w14:textId="77777777" w:rsidR="00E816A6" w:rsidRDefault="00E23BB2">
      <w:pPr>
        <w:pStyle w:val="TOC1"/>
        <w:tabs>
          <w:tab w:val="left" w:pos="660"/>
        </w:tabs>
        <w:rPr>
          <w:rFonts w:asciiTheme="minorHAnsi" w:eastAsiaTheme="minorEastAsia" w:hAnsiTheme="minorHAnsi" w:cstheme="minorBidi"/>
          <w:b w:val="0"/>
          <w:color w:val="auto"/>
        </w:rPr>
      </w:pPr>
      <w:hyperlink w:anchor="_Toc528923025" w:history="1">
        <w:r w:rsidR="00E816A6" w:rsidRPr="006862B2">
          <w:rPr>
            <w:rStyle w:val="Hyperlink"/>
          </w:rPr>
          <w:t>1</w:t>
        </w:r>
        <w:r w:rsidR="00E816A6">
          <w:rPr>
            <w:rFonts w:asciiTheme="minorHAnsi" w:eastAsiaTheme="minorEastAsia" w:hAnsiTheme="minorHAnsi" w:cstheme="minorBidi"/>
            <w:b w:val="0"/>
            <w:color w:val="auto"/>
          </w:rPr>
          <w:tab/>
        </w:r>
        <w:r w:rsidR="00E816A6" w:rsidRPr="006862B2">
          <w:rPr>
            <w:rStyle w:val="Hyperlink"/>
          </w:rPr>
          <w:t>Impact of new accounting standard for insurance contracts AASB17</w:t>
        </w:r>
        <w:r w:rsidR="00E816A6">
          <w:rPr>
            <w:webHidden/>
          </w:rPr>
          <w:tab/>
        </w:r>
        <w:r w:rsidR="00E816A6">
          <w:rPr>
            <w:webHidden/>
          </w:rPr>
          <w:fldChar w:fldCharType="begin"/>
        </w:r>
        <w:r w:rsidR="00E816A6">
          <w:rPr>
            <w:webHidden/>
          </w:rPr>
          <w:instrText xml:space="preserve"> PAGEREF _Toc528923025 \h </w:instrText>
        </w:r>
        <w:r w:rsidR="00E816A6">
          <w:rPr>
            <w:webHidden/>
          </w:rPr>
        </w:r>
        <w:r w:rsidR="00E816A6">
          <w:rPr>
            <w:webHidden/>
          </w:rPr>
          <w:fldChar w:fldCharType="separate"/>
        </w:r>
        <w:r w:rsidR="00E816A6">
          <w:rPr>
            <w:webHidden/>
          </w:rPr>
          <w:t>4</w:t>
        </w:r>
        <w:r w:rsidR="00E816A6">
          <w:rPr>
            <w:webHidden/>
          </w:rPr>
          <w:fldChar w:fldCharType="end"/>
        </w:r>
      </w:hyperlink>
    </w:p>
    <w:p w14:paraId="0F28C769" w14:textId="77777777" w:rsidR="00E816A6" w:rsidRDefault="00E23BB2">
      <w:pPr>
        <w:pStyle w:val="TOC3"/>
        <w:rPr>
          <w:rFonts w:asciiTheme="minorHAnsi" w:eastAsiaTheme="minorEastAsia" w:hAnsiTheme="minorHAnsi" w:cstheme="minorBidi"/>
          <w:color w:val="auto"/>
          <w:szCs w:val="22"/>
        </w:rPr>
      </w:pPr>
      <w:hyperlink w:anchor="_Toc528923026" w:history="1">
        <w:r w:rsidR="00E816A6" w:rsidRPr="006862B2">
          <w:rPr>
            <w:rStyle w:val="Hyperlink"/>
          </w:rPr>
          <w:t>Deferred acquisition costs</w:t>
        </w:r>
        <w:r w:rsidR="00E816A6">
          <w:rPr>
            <w:webHidden/>
          </w:rPr>
          <w:tab/>
        </w:r>
        <w:r w:rsidR="00E816A6">
          <w:rPr>
            <w:webHidden/>
          </w:rPr>
          <w:fldChar w:fldCharType="begin"/>
        </w:r>
        <w:r w:rsidR="00E816A6">
          <w:rPr>
            <w:webHidden/>
          </w:rPr>
          <w:instrText xml:space="preserve"> PAGEREF _Toc528923026 \h </w:instrText>
        </w:r>
        <w:r w:rsidR="00E816A6">
          <w:rPr>
            <w:webHidden/>
          </w:rPr>
        </w:r>
        <w:r w:rsidR="00E816A6">
          <w:rPr>
            <w:webHidden/>
          </w:rPr>
          <w:fldChar w:fldCharType="separate"/>
        </w:r>
        <w:r w:rsidR="00E816A6">
          <w:rPr>
            <w:webHidden/>
          </w:rPr>
          <w:t>4</w:t>
        </w:r>
        <w:r w:rsidR="00E816A6">
          <w:rPr>
            <w:webHidden/>
          </w:rPr>
          <w:fldChar w:fldCharType="end"/>
        </w:r>
      </w:hyperlink>
    </w:p>
    <w:p w14:paraId="2A76B693" w14:textId="77777777" w:rsidR="00E816A6" w:rsidRDefault="00E23BB2">
      <w:pPr>
        <w:pStyle w:val="TOC3"/>
        <w:rPr>
          <w:rFonts w:asciiTheme="minorHAnsi" w:eastAsiaTheme="minorEastAsia" w:hAnsiTheme="minorHAnsi" w:cstheme="minorBidi"/>
          <w:color w:val="auto"/>
          <w:szCs w:val="22"/>
        </w:rPr>
      </w:pPr>
      <w:hyperlink w:anchor="_Toc528923027" w:history="1">
        <w:r w:rsidR="00E816A6" w:rsidRPr="006862B2">
          <w:rPr>
            <w:rStyle w:val="Hyperlink"/>
          </w:rPr>
          <w:t>Risk adjustment</w:t>
        </w:r>
        <w:r w:rsidR="00E816A6">
          <w:rPr>
            <w:webHidden/>
          </w:rPr>
          <w:tab/>
        </w:r>
        <w:r w:rsidR="00E816A6">
          <w:rPr>
            <w:webHidden/>
          </w:rPr>
          <w:fldChar w:fldCharType="begin"/>
        </w:r>
        <w:r w:rsidR="00E816A6">
          <w:rPr>
            <w:webHidden/>
          </w:rPr>
          <w:instrText xml:space="preserve"> PAGEREF _Toc528923027 \h </w:instrText>
        </w:r>
        <w:r w:rsidR="00E816A6">
          <w:rPr>
            <w:webHidden/>
          </w:rPr>
        </w:r>
        <w:r w:rsidR="00E816A6">
          <w:rPr>
            <w:webHidden/>
          </w:rPr>
          <w:fldChar w:fldCharType="separate"/>
        </w:r>
        <w:r w:rsidR="00E816A6">
          <w:rPr>
            <w:webHidden/>
          </w:rPr>
          <w:t>5</w:t>
        </w:r>
        <w:r w:rsidR="00E816A6">
          <w:rPr>
            <w:webHidden/>
          </w:rPr>
          <w:fldChar w:fldCharType="end"/>
        </w:r>
      </w:hyperlink>
    </w:p>
    <w:p w14:paraId="2746FE6B" w14:textId="77777777" w:rsidR="00E816A6" w:rsidRDefault="00E23BB2">
      <w:pPr>
        <w:pStyle w:val="TOC3"/>
        <w:rPr>
          <w:rFonts w:asciiTheme="minorHAnsi" w:eastAsiaTheme="minorEastAsia" w:hAnsiTheme="minorHAnsi" w:cstheme="minorBidi"/>
          <w:color w:val="auto"/>
          <w:szCs w:val="22"/>
        </w:rPr>
      </w:pPr>
      <w:hyperlink w:anchor="_Toc528923028" w:history="1">
        <w:r w:rsidR="00E816A6" w:rsidRPr="006862B2">
          <w:rPr>
            <w:rStyle w:val="Hyperlink"/>
          </w:rPr>
          <w:t>Questions</w:t>
        </w:r>
        <w:r w:rsidR="00E816A6">
          <w:rPr>
            <w:webHidden/>
          </w:rPr>
          <w:tab/>
        </w:r>
        <w:r w:rsidR="00E816A6">
          <w:rPr>
            <w:webHidden/>
          </w:rPr>
          <w:fldChar w:fldCharType="begin"/>
        </w:r>
        <w:r w:rsidR="00E816A6">
          <w:rPr>
            <w:webHidden/>
          </w:rPr>
          <w:instrText xml:space="preserve"> PAGEREF _Toc528923028 \h </w:instrText>
        </w:r>
        <w:r w:rsidR="00E816A6">
          <w:rPr>
            <w:webHidden/>
          </w:rPr>
        </w:r>
        <w:r w:rsidR="00E816A6">
          <w:rPr>
            <w:webHidden/>
          </w:rPr>
          <w:fldChar w:fldCharType="separate"/>
        </w:r>
        <w:r w:rsidR="00E816A6">
          <w:rPr>
            <w:webHidden/>
          </w:rPr>
          <w:t>6</w:t>
        </w:r>
        <w:r w:rsidR="00E816A6">
          <w:rPr>
            <w:webHidden/>
          </w:rPr>
          <w:fldChar w:fldCharType="end"/>
        </w:r>
      </w:hyperlink>
    </w:p>
    <w:p w14:paraId="699B209E" w14:textId="77777777" w:rsidR="00E816A6" w:rsidRDefault="00E23BB2">
      <w:pPr>
        <w:pStyle w:val="TOC1"/>
        <w:tabs>
          <w:tab w:val="left" w:pos="660"/>
        </w:tabs>
        <w:rPr>
          <w:rFonts w:asciiTheme="minorHAnsi" w:eastAsiaTheme="minorEastAsia" w:hAnsiTheme="minorHAnsi" w:cstheme="minorBidi"/>
          <w:b w:val="0"/>
          <w:color w:val="auto"/>
        </w:rPr>
      </w:pPr>
      <w:hyperlink w:anchor="_Toc528923029" w:history="1">
        <w:r w:rsidR="00E816A6" w:rsidRPr="006862B2">
          <w:rPr>
            <w:rStyle w:val="Hyperlink"/>
          </w:rPr>
          <w:t>2</w:t>
        </w:r>
        <w:r w:rsidR="00E816A6">
          <w:rPr>
            <w:rFonts w:asciiTheme="minorHAnsi" w:eastAsiaTheme="minorEastAsia" w:hAnsiTheme="minorHAnsi" w:cstheme="minorBidi"/>
            <w:b w:val="0"/>
            <w:color w:val="auto"/>
          </w:rPr>
          <w:tab/>
        </w:r>
        <w:r w:rsidR="00E816A6" w:rsidRPr="006862B2">
          <w:rPr>
            <w:rStyle w:val="Hyperlink"/>
          </w:rPr>
          <w:t>Health insurers – should their tax provisions be codified?</w:t>
        </w:r>
        <w:r w:rsidR="00E816A6">
          <w:rPr>
            <w:webHidden/>
          </w:rPr>
          <w:tab/>
        </w:r>
        <w:r w:rsidR="00E816A6">
          <w:rPr>
            <w:webHidden/>
          </w:rPr>
          <w:fldChar w:fldCharType="begin"/>
        </w:r>
        <w:r w:rsidR="00E816A6">
          <w:rPr>
            <w:webHidden/>
          </w:rPr>
          <w:instrText xml:space="preserve"> PAGEREF _Toc528923029 \h </w:instrText>
        </w:r>
        <w:r w:rsidR="00E816A6">
          <w:rPr>
            <w:webHidden/>
          </w:rPr>
        </w:r>
        <w:r w:rsidR="00E816A6">
          <w:rPr>
            <w:webHidden/>
          </w:rPr>
          <w:fldChar w:fldCharType="separate"/>
        </w:r>
        <w:r w:rsidR="00E816A6">
          <w:rPr>
            <w:webHidden/>
          </w:rPr>
          <w:t>7</w:t>
        </w:r>
        <w:r w:rsidR="00E816A6">
          <w:rPr>
            <w:webHidden/>
          </w:rPr>
          <w:fldChar w:fldCharType="end"/>
        </w:r>
      </w:hyperlink>
    </w:p>
    <w:p w14:paraId="7F3F2DC1" w14:textId="77777777" w:rsidR="00E816A6" w:rsidRDefault="00E23BB2">
      <w:pPr>
        <w:pStyle w:val="TOC3"/>
        <w:rPr>
          <w:rFonts w:asciiTheme="minorHAnsi" w:eastAsiaTheme="minorEastAsia" w:hAnsiTheme="minorHAnsi" w:cstheme="minorBidi"/>
          <w:color w:val="auto"/>
          <w:szCs w:val="22"/>
        </w:rPr>
      </w:pPr>
      <w:hyperlink w:anchor="_Toc528923030" w:history="1">
        <w:r w:rsidR="00E816A6" w:rsidRPr="006862B2">
          <w:rPr>
            <w:rStyle w:val="Hyperlink"/>
          </w:rPr>
          <w:t>Questions</w:t>
        </w:r>
        <w:r w:rsidR="00E816A6">
          <w:rPr>
            <w:webHidden/>
          </w:rPr>
          <w:tab/>
        </w:r>
        <w:r w:rsidR="00E816A6">
          <w:rPr>
            <w:webHidden/>
          </w:rPr>
          <w:fldChar w:fldCharType="begin"/>
        </w:r>
        <w:r w:rsidR="00E816A6">
          <w:rPr>
            <w:webHidden/>
          </w:rPr>
          <w:instrText xml:space="preserve"> PAGEREF _Toc528923030 \h </w:instrText>
        </w:r>
        <w:r w:rsidR="00E816A6">
          <w:rPr>
            <w:webHidden/>
          </w:rPr>
        </w:r>
        <w:r w:rsidR="00E816A6">
          <w:rPr>
            <w:webHidden/>
          </w:rPr>
          <w:fldChar w:fldCharType="separate"/>
        </w:r>
        <w:r w:rsidR="00E816A6">
          <w:rPr>
            <w:webHidden/>
          </w:rPr>
          <w:t>7</w:t>
        </w:r>
        <w:r w:rsidR="00E816A6">
          <w:rPr>
            <w:webHidden/>
          </w:rPr>
          <w:fldChar w:fldCharType="end"/>
        </w:r>
      </w:hyperlink>
    </w:p>
    <w:p w14:paraId="35CB3595" w14:textId="77777777" w:rsidR="00E816A6" w:rsidRDefault="00E23BB2">
      <w:pPr>
        <w:pStyle w:val="TOC1"/>
        <w:tabs>
          <w:tab w:val="left" w:pos="660"/>
        </w:tabs>
        <w:rPr>
          <w:rFonts w:asciiTheme="minorHAnsi" w:eastAsiaTheme="minorEastAsia" w:hAnsiTheme="minorHAnsi" w:cstheme="minorBidi"/>
          <w:b w:val="0"/>
          <w:color w:val="auto"/>
        </w:rPr>
      </w:pPr>
      <w:hyperlink w:anchor="_Toc528923031" w:history="1">
        <w:r w:rsidR="00E816A6" w:rsidRPr="006862B2">
          <w:rPr>
            <w:rStyle w:val="Hyperlink"/>
          </w:rPr>
          <w:t>3</w:t>
        </w:r>
        <w:r w:rsidR="00E816A6">
          <w:rPr>
            <w:rFonts w:asciiTheme="minorHAnsi" w:eastAsiaTheme="minorEastAsia" w:hAnsiTheme="minorHAnsi" w:cstheme="minorBidi"/>
            <w:b w:val="0"/>
            <w:color w:val="auto"/>
          </w:rPr>
          <w:tab/>
        </w:r>
        <w:r w:rsidR="00E816A6" w:rsidRPr="006862B2">
          <w:rPr>
            <w:rStyle w:val="Hyperlink"/>
          </w:rPr>
          <w:t>Recognition of outstanding claims</w:t>
        </w:r>
        <w:r w:rsidR="00E816A6">
          <w:rPr>
            <w:webHidden/>
          </w:rPr>
          <w:tab/>
        </w:r>
        <w:r w:rsidR="00E816A6">
          <w:rPr>
            <w:webHidden/>
          </w:rPr>
          <w:fldChar w:fldCharType="begin"/>
        </w:r>
        <w:r w:rsidR="00E816A6">
          <w:rPr>
            <w:webHidden/>
          </w:rPr>
          <w:instrText xml:space="preserve"> PAGEREF _Toc528923031 \h </w:instrText>
        </w:r>
        <w:r w:rsidR="00E816A6">
          <w:rPr>
            <w:webHidden/>
          </w:rPr>
        </w:r>
        <w:r w:rsidR="00E816A6">
          <w:rPr>
            <w:webHidden/>
          </w:rPr>
          <w:fldChar w:fldCharType="separate"/>
        </w:r>
        <w:r w:rsidR="00E816A6">
          <w:rPr>
            <w:webHidden/>
          </w:rPr>
          <w:t>8</w:t>
        </w:r>
        <w:r w:rsidR="00E816A6">
          <w:rPr>
            <w:webHidden/>
          </w:rPr>
          <w:fldChar w:fldCharType="end"/>
        </w:r>
      </w:hyperlink>
    </w:p>
    <w:p w14:paraId="4FD36155" w14:textId="77777777" w:rsidR="00E816A6" w:rsidRDefault="00E23BB2">
      <w:pPr>
        <w:pStyle w:val="TOC3"/>
        <w:rPr>
          <w:rFonts w:asciiTheme="minorHAnsi" w:eastAsiaTheme="minorEastAsia" w:hAnsiTheme="minorHAnsi" w:cstheme="minorBidi"/>
          <w:color w:val="auto"/>
          <w:szCs w:val="22"/>
        </w:rPr>
      </w:pPr>
      <w:hyperlink w:anchor="_Toc528923032" w:history="1">
        <w:r w:rsidR="00E816A6" w:rsidRPr="006862B2">
          <w:rPr>
            <w:rStyle w:val="Hyperlink"/>
          </w:rPr>
          <w:t>Questions</w:t>
        </w:r>
        <w:r w:rsidR="00E816A6">
          <w:rPr>
            <w:webHidden/>
          </w:rPr>
          <w:tab/>
        </w:r>
        <w:r w:rsidR="00E816A6">
          <w:rPr>
            <w:webHidden/>
          </w:rPr>
          <w:fldChar w:fldCharType="begin"/>
        </w:r>
        <w:r w:rsidR="00E816A6">
          <w:rPr>
            <w:webHidden/>
          </w:rPr>
          <w:instrText xml:space="preserve"> PAGEREF _Toc528923032 \h </w:instrText>
        </w:r>
        <w:r w:rsidR="00E816A6">
          <w:rPr>
            <w:webHidden/>
          </w:rPr>
        </w:r>
        <w:r w:rsidR="00E816A6">
          <w:rPr>
            <w:webHidden/>
          </w:rPr>
          <w:fldChar w:fldCharType="separate"/>
        </w:r>
        <w:r w:rsidR="00E816A6">
          <w:rPr>
            <w:webHidden/>
          </w:rPr>
          <w:t>8</w:t>
        </w:r>
        <w:r w:rsidR="00E816A6">
          <w:rPr>
            <w:webHidden/>
          </w:rPr>
          <w:fldChar w:fldCharType="end"/>
        </w:r>
      </w:hyperlink>
    </w:p>
    <w:p w14:paraId="439F347B"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4DAD21BC" w14:textId="77777777" w:rsidR="000E0B74" w:rsidRDefault="000E0B74" w:rsidP="000E0B74">
      <w:pPr>
        <w:pStyle w:val="Heading1"/>
      </w:pPr>
      <w:bookmarkStart w:id="4" w:name="_Toc522199869"/>
      <w:bookmarkStart w:id="5" w:name="_Toc522612804"/>
      <w:bookmarkStart w:id="6" w:name="_Toc528923016"/>
      <w:bookmarkStart w:id="7" w:name="_Toc432067103"/>
      <w:r>
        <w:t>Consultation Process</w:t>
      </w:r>
      <w:bookmarkEnd w:id="4"/>
      <w:bookmarkEnd w:id="5"/>
      <w:bookmarkEnd w:id="6"/>
    </w:p>
    <w:p w14:paraId="05F3F4FA" w14:textId="77777777" w:rsidR="000E0B74" w:rsidRDefault="000E0B74" w:rsidP="000E0B74">
      <w:pPr>
        <w:pStyle w:val="Heading2"/>
      </w:pPr>
      <w:bookmarkStart w:id="8" w:name="_Toc522199870"/>
      <w:bookmarkStart w:id="9" w:name="_Toc522612805"/>
      <w:bookmarkStart w:id="10" w:name="_Toc528923017"/>
      <w:r>
        <w:t>Request for feedback and comments</w:t>
      </w:r>
      <w:bookmarkEnd w:id="8"/>
      <w:bookmarkEnd w:id="9"/>
      <w:bookmarkEnd w:id="10"/>
    </w:p>
    <w:p w14:paraId="7B09DFD3" w14:textId="77777777" w:rsidR="00C72992" w:rsidRPr="00C72992" w:rsidRDefault="00C72992" w:rsidP="00C72992">
      <w:r w:rsidRPr="00C72992">
        <w:t xml:space="preserve">Interested parties are invited to comment on the issues raised in this </w:t>
      </w:r>
      <w:r w:rsidR="002B10ED">
        <w:t>paper.</w:t>
      </w:r>
    </w:p>
    <w:p w14:paraId="44DCAD05" w14:textId="77777777" w:rsidR="00C72992" w:rsidRDefault="00C72992" w:rsidP="00C72992">
      <w:r w:rsidRPr="00C72992">
        <w:t>While submissions may be lodged electronically or by post, electronic lodgement is preferred.</w:t>
      </w:r>
    </w:p>
    <w:p w14:paraId="60E66CF6" w14:textId="77777777" w:rsidR="002B10ED" w:rsidRPr="001307F3" w:rsidRDefault="002B10ED" w:rsidP="002B10ED">
      <w:pPr>
        <w:rPr>
          <w:rFonts w:cs="Arial"/>
        </w:rPr>
      </w:pPr>
      <w:r w:rsidRPr="001307F3">
        <w:rPr>
          <w:rFonts w:cs="Arial"/>
        </w:rPr>
        <w:t>All information (including name and address details) contained in formal submissions will be made available to the public on the Australian Treasury website, unless it is indicated that you would like all or part of your submission to remain confidential. Automatically generated confidentiality statements in emails do not suffice for this purpose. Respondents who would like part of their submission to remain confidential should provide this information marked in a separate document.</w:t>
      </w:r>
    </w:p>
    <w:p w14:paraId="02EEF289" w14:textId="77777777" w:rsidR="002B10ED" w:rsidRDefault="002B10ED" w:rsidP="00C72992">
      <w:r w:rsidRPr="001307F3">
        <w:rPr>
          <w:rFonts w:cs="Arial"/>
        </w:rPr>
        <w:t xml:space="preserve">A request made under the </w:t>
      </w:r>
      <w:r w:rsidRPr="001307F3">
        <w:rPr>
          <w:rFonts w:cs="Arial"/>
          <w:i/>
        </w:rPr>
        <w:t>Freedom of Information Act 1982</w:t>
      </w:r>
      <w:r w:rsidRPr="001307F3">
        <w:rPr>
          <w:rFonts w:cs="Arial"/>
        </w:rPr>
        <w:t xml:space="preserve"> for a submission marked </w:t>
      </w:r>
      <w:r>
        <w:rPr>
          <w:rFonts w:cs="Arial"/>
        </w:rPr>
        <w:t>‘</w:t>
      </w:r>
      <w:r w:rsidRPr="001307F3">
        <w:rPr>
          <w:rFonts w:cs="Arial"/>
        </w:rPr>
        <w:t>confidential</w:t>
      </w:r>
      <w:r>
        <w:rPr>
          <w:rFonts w:cs="Arial"/>
        </w:rPr>
        <w:t>’</w:t>
      </w:r>
      <w:r w:rsidRPr="001307F3">
        <w:rPr>
          <w:rFonts w:cs="Arial"/>
        </w:rPr>
        <w:t xml:space="preserve"> to be made available will be determined in accordance with that Act</w:t>
      </w:r>
      <w:r>
        <w:rPr>
          <w:rFonts w:cs="Arial"/>
        </w:rPr>
        <w:t>.</w:t>
      </w:r>
    </w:p>
    <w:p w14:paraId="23DB2B17" w14:textId="0E07E5CD" w:rsidR="000E0B74" w:rsidRDefault="000E0B74" w:rsidP="00C72992">
      <w:pPr>
        <w:pStyle w:val="Heading3noTOC"/>
      </w:pPr>
      <w:r>
        <w:t>Closing date for submissions</w:t>
      </w:r>
      <w:r w:rsidR="00252819">
        <w:t xml:space="preserve">: </w:t>
      </w:r>
      <w:r w:rsidR="00203894" w:rsidRPr="00296F06">
        <w:t>31 January</w:t>
      </w:r>
      <w:r w:rsidR="00252819" w:rsidRPr="00296F06">
        <w:t>,</w:t>
      </w:r>
      <w:r w:rsidR="00203894" w:rsidRPr="00296F06">
        <w:t xml:space="preserve"> 2019</w:t>
      </w:r>
    </w:p>
    <w:tbl>
      <w:tblPr>
        <w:tblStyle w:val="TableGrid"/>
        <w:tblW w:w="0" w:type="auto"/>
        <w:tblLook w:val="04A0" w:firstRow="1" w:lastRow="0" w:firstColumn="1" w:lastColumn="0" w:noHBand="0" w:noVBand="1"/>
      </w:tblPr>
      <w:tblGrid>
        <w:gridCol w:w="1526"/>
        <w:gridCol w:w="7654"/>
      </w:tblGrid>
      <w:tr w:rsidR="000E0B74" w:rsidRPr="00B85F47" w14:paraId="6A2E15F1" w14:textId="77777777" w:rsidTr="00B85F47">
        <w:tc>
          <w:tcPr>
            <w:tcW w:w="1526" w:type="dxa"/>
            <w:shd w:val="clear" w:color="auto" w:fill="auto"/>
          </w:tcPr>
          <w:p w14:paraId="2A10E97A"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65D9A8D0" w14:textId="56125287" w:rsidR="000E0B74" w:rsidRPr="00C72992" w:rsidRDefault="00203894" w:rsidP="00C72992">
            <w:pPr>
              <w:rPr>
                <w:sz w:val="22"/>
                <w:szCs w:val="22"/>
              </w:rPr>
            </w:pPr>
            <w:r>
              <w:rPr>
                <w:rFonts w:cs="Arial"/>
                <w:sz w:val="22"/>
                <w:szCs w:val="22"/>
              </w:rPr>
              <w:t>insurancetax</w:t>
            </w:r>
            <w:r w:rsidR="00C72992" w:rsidRPr="00C72992">
              <w:rPr>
                <w:rFonts w:cs="Arial"/>
                <w:sz w:val="22"/>
                <w:szCs w:val="22"/>
              </w:rPr>
              <w:t>@treasury.gov.au</w:t>
            </w:r>
          </w:p>
        </w:tc>
      </w:tr>
      <w:tr w:rsidR="000E0B74" w:rsidRPr="00B85F47" w14:paraId="5464800E" w14:textId="77777777" w:rsidTr="00B85F47">
        <w:tc>
          <w:tcPr>
            <w:tcW w:w="1526" w:type="dxa"/>
            <w:shd w:val="clear" w:color="auto" w:fill="auto"/>
          </w:tcPr>
          <w:p w14:paraId="050CAB5A" w14:textId="77777777" w:rsidR="000E0B74" w:rsidRPr="00B85F47" w:rsidRDefault="000E0B74" w:rsidP="0017089D">
            <w:pPr>
              <w:rPr>
                <w:sz w:val="22"/>
                <w:szCs w:val="22"/>
              </w:rPr>
            </w:pPr>
            <w:r w:rsidRPr="00B85F47">
              <w:rPr>
                <w:sz w:val="22"/>
                <w:szCs w:val="22"/>
              </w:rPr>
              <w:t>Mail</w:t>
            </w:r>
          </w:p>
          <w:p w14:paraId="52164548" w14:textId="77777777" w:rsidR="008D7F38" w:rsidRPr="00B85F47" w:rsidRDefault="008D7F38" w:rsidP="0017089D">
            <w:pPr>
              <w:rPr>
                <w:sz w:val="22"/>
                <w:szCs w:val="22"/>
              </w:rPr>
            </w:pPr>
          </w:p>
          <w:p w14:paraId="3B6CADBA" w14:textId="77777777" w:rsidR="008D7F38" w:rsidRPr="00B85F47" w:rsidRDefault="008D7F38" w:rsidP="0017089D">
            <w:pPr>
              <w:rPr>
                <w:sz w:val="22"/>
                <w:szCs w:val="22"/>
              </w:rPr>
            </w:pPr>
          </w:p>
        </w:tc>
        <w:tc>
          <w:tcPr>
            <w:tcW w:w="7654" w:type="dxa"/>
            <w:shd w:val="clear" w:color="auto" w:fill="auto"/>
          </w:tcPr>
          <w:p w14:paraId="535198DA" w14:textId="7E106A68" w:rsidR="000E0B74" w:rsidRPr="00C72992" w:rsidRDefault="00203894" w:rsidP="0017089D">
            <w:pPr>
              <w:pStyle w:val="SingleParagraph"/>
              <w:rPr>
                <w:rFonts w:cs="Arial"/>
                <w:sz w:val="22"/>
                <w:szCs w:val="22"/>
              </w:rPr>
            </w:pPr>
            <w:r>
              <w:rPr>
                <w:rFonts w:cs="Arial"/>
                <w:sz w:val="22"/>
                <w:szCs w:val="22"/>
              </w:rPr>
              <w:t>Principal Adviser</w:t>
            </w:r>
          </w:p>
          <w:p w14:paraId="7C61CCB1" w14:textId="77777777" w:rsidR="000E0B74" w:rsidRPr="00B85F47" w:rsidRDefault="00C72992" w:rsidP="0017089D">
            <w:pPr>
              <w:pStyle w:val="SingleParagraph"/>
              <w:rPr>
                <w:rFonts w:cs="Arial"/>
                <w:sz w:val="22"/>
                <w:szCs w:val="22"/>
              </w:rPr>
            </w:pPr>
            <w:r>
              <w:rPr>
                <w:rFonts w:cs="Arial"/>
                <w:sz w:val="22"/>
                <w:szCs w:val="22"/>
              </w:rPr>
              <w:t>Corporate and International Tax Division</w:t>
            </w:r>
          </w:p>
          <w:p w14:paraId="4EF698E9"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65551129"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0B804F07"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3CFCE5FB" w14:textId="77777777" w:rsidTr="00B85F47">
        <w:tc>
          <w:tcPr>
            <w:tcW w:w="1526" w:type="dxa"/>
            <w:shd w:val="clear" w:color="auto" w:fill="auto"/>
          </w:tcPr>
          <w:p w14:paraId="2E9181FD"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1F3485C7" w14:textId="26E2E2A5" w:rsidR="000E0B74" w:rsidRPr="00B85F47" w:rsidRDefault="000E0B74" w:rsidP="00F715A5">
            <w:pPr>
              <w:rPr>
                <w:sz w:val="22"/>
                <w:szCs w:val="22"/>
              </w:rPr>
            </w:pPr>
            <w:r w:rsidRPr="00B85F47">
              <w:rPr>
                <w:rFonts w:cs="Arial"/>
                <w:sz w:val="22"/>
                <w:szCs w:val="22"/>
              </w:rPr>
              <w:t>Enquiries can be initially directed to</w:t>
            </w:r>
            <w:r w:rsidR="00C72992">
              <w:rPr>
                <w:rFonts w:cs="Arial"/>
                <w:sz w:val="22"/>
                <w:szCs w:val="22"/>
              </w:rPr>
              <w:t xml:space="preserve"> </w:t>
            </w:r>
            <w:r w:rsidR="00F715A5">
              <w:rPr>
                <w:rFonts w:cs="Arial"/>
                <w:sz w:val="22"/>
                <w:szCs w:val="22"/>
              </w:rPr>
              <w:t xml:space="preserve">Peter </w:t>
            </w:r>
            <w:proofErr w:type="spellStart"/>
            <w:r w:rsidR="00F715A5">
              <w:rPr>
                <w:rFonts w:cs="Arial"/>
                <w:sz w:val="22"/>
                <w:szCs w:val="22"/>
              </w:rPr>
              <w:t>Mallyon</w:t>
            </w:r>
            <w:proofErr w:type="spellEnd"/>
            <w:r w:rsidR="00F715A5">
              <w:rPr>
                <w:rFonts w:cs="Arial"/>
                <w:sz w:val="22"/>
                <w:szCs w:val="22"/>
              </w:rPr>
              <w:t xml:space="preserve"> or </w:t>
            </w:r>
            <w:r w:rsidR="00C72992">
              <w:rPr>
                <w:rFonts w:cs="Arial"/>
                <w:sz w:val="22"/>
                <w:szCs w:val="22"/>
              </w:rPr>
              <w:t>Lucas Rutherford</w:t>
            </w:r>
            <w:r w:rsidR="00F715A5">
              <w:rPr>
                <w:rFonts w:cs="Arial"/>
                <w:sz w:val="22"/>
                <w:szCs w:val="22"/>
              </w:rPr>
              <w:t xml:space="preserve"> </w:t>
            </w:r>
          </w:p>
        </w:tc>
      </w:tr>
      <w:tr w:rsidR="000E0B74" w:rsidRPr="00B85F47" w14:paraId="6CC9EE9B" w14:textId="77777777" w:rsidTr="00B85F47">
        <w:tc>
          <w:tcPr>
            <w:tcW w:w="1526" w:type="dxa"/>
            <w:shd w:val="clear" w:color="auto" w:fill="auto"/>
          </w:tcPr>
          <w:p w14:paraId="4D0F9AFC"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6AB9965A" w14:textId="04A7C8E9" w:rsidR="000E0B74" w:rsidRPr="00B85F47" w:rsidRDefault="00F715A5" w:rsidP="00F715A5">
            <w:pPr>
              <w:rPr>
                <w:sz w:val="22"/>
                <w:szCs w:val="22"/>
              </w:rPr>
            </w:pPr>
            <w:r>
              <w:rPr>
                <w:rFonts w:cs="Arial"/>
                <w:sz w:val="22"/>
                <w:szCs w:val="22"/>
              </w:rPr>
              <w:t>(02) 6263 3434 or (</w:t>
            </w:r>
            <w:r w:rsidR="000E0B74" w:rsidRPr="00B85F47">
              <w:rPr>
                <w:rFonts w:cs="Arial"/>
                <w:sz w:val="22"/>
                <w:szCs w:val="22"/>
              </w:rPr>
              <w:t>02</w:t>
            </w:r>
            <w:r>
              <w:rPr>
                <w:rFonts w:cs="Arial"/>
                <w:sz w:val="22"/>
                <w:szCs w:val="22"/>
              </w:rPr>
              <w:t>)</w:t>
            </w:r>
            <w:r w:rsidR="000E0B74" w:rsidRPr="00B85F47">
              <w:rPr>
                <w:rFonts w:cs="Arial"/>
                <w:sz w:val="22"/>
                <w:szCs w:val="22"/>
              </w:rPr>
              <w:t xml:space="preserve"> 6263 </w:t>
            </w:r>
            <w:r w:rsidR="00C72992">
              <w:rPr>
                <w:rFonts w:cs="Arial"/>
                <w:sz w:val="22"/>
                <w:szCs w:val="22"/>
              </w:rPr>
              <w:t>3339</w:t>
            </w:r>
          </w:p>
        </w:tc>
      </w:tr>
      <w:bookmarkEnd w:id="7"/>
    </w:tbl>
    <w:p w14:paraId="19D3B070" w14:textId="77777777" w:rsidR="00E10D39" w:rsidRDefault="00E10D39" w:rsidP="0007102C"/>
    <w:p w14:paraId="69248364" w14:textId="77777777" w:rsidR="00E10D39" w:rsidRDefault="00E10D39" w:rsidP="002B10ED">
      <w:pPr>
        <w:rPr>
          <w:rFonts w:cs="Arial"/>
          <w:color w:val="004A7F"/>
          <w:kern w:val="32"/>
          <w:sz w:val="48"/>
          <w:szCs w:val="36"/>
        </w:rPr>
      </w:pPr>
      <w:r>
        <w:br w:type="page"/>
      </w:r>
    </w:p>
    <w:p w14:paraId="38D170D7" w14:textId="3225BDA3" w:rsidR="000E0B74" w:rsidRDefault="006B7E77" w:rsidP="000E0B74">
      <w:pPr>
        <w:pStyle w:val="Heading1"/>
      </w:pPr>
      <w:bookmarkStart w:id="11" w:name="_Toc522199871"/>
      <w:bookmarkStart w:id="12" w:name="_Toc522612806"/>
      <w:bookmarkStart w:id="13" w:name="_Toc528923018"/>
      <w:r>
        <w:t>T</w:t>
      </w:r>
      <w:r w:rsidR="00252819">
        <w:t>axation</w:t>
      </w:r>
      <w:bookmarkEnd w:id="11"/>
      <w:bookmarkEnd w:id="12"/>
      <w:r>
        <w:t xml:space="preserve"> of insurance companies</w:t>
      </w:r>
      <w:bookmarkEnd w:id="13"/>
    </w:p>
    <w:p w14:paraId="417A31FF" w14:textId="6E0B11A7" w:rsidR="0003308E" w:rsidRDefault="0003308E" w:rsidP="0003308E">
      <w:pPr>
        <w:pStyle w:val="Heading2"/>
      </w:pPr>
      <w:bookmarkStart w:id="14" w:name="_Toc528923019"/>
      <w:bookmarkStart w:id="15" w:name="_Toc522199873"/>
      <w:bookmarkStart w:id="16" w:name="_Toc522612808"/>
      <w:r>
        <w:t>Context</w:t>
      </w:r>
      <w:bookmarkEnd w:id="14"/>
      <w:r>
        <w:t xml:space="preserve"> </w:t>
      </w:r>
    </w:p>
    <w:p w14:paraId="584AF050" w14:textId="4608BA45" w:rsidR="0003308E" w:rsidRPr="00873383" w:rsidRDefault="0003308E" w:rsidP="0003308E">
      <w:pPr>
        <w:pStyle w:val="Heading3"/>
      </w:pPr>
      <w:bookmarkStart w:id="17" w:name="_Toc528923020"/>
      <w:r>
        <w:t>Why consult on insurance taxation now?</w:t>
      </w:r>
      <w:bookmarkEnd w:id="17"/>
    </w:p>
    <w:p w14:paraId="4DF21104" w14:textId="2AA43E4E" w:rsidR="0003308E" w:rsidRDefault="0003308E" w:rsidP="0003308E">
      <w:r>
        <w:t>In July 2017, t</w:t>
      </w:r>
      <w:r w:rsidRPr="000A40FF">
        <w:t xml:space="preserve">he Australian Accounting Standards Board issued a new accounting standard for insurance contracts, AASB17 </w:t>
      </w:r>
      <w:r w:rsidRPr="004741B6">
        <w:rPr>
          <w:i/>
        </w:rPr>
        <w:t>Insurance Contracts</w:t>
      </w:r>
      <w:r w:rsidRPr="000A40FF">
        <w:t xml:space="preserve"> (AASB17)</w:t>
      </w:r>
      <w:r>
        <w:t xml:space="preserve">. </w:t>
      </w:r>
      <w:r w:rsidRPr="00252819">
        <w:t xml:space="preserve">AASB17 adopts the new international accounting standard for insurance contracts </w:t>
      </w:r>
      <w:r>
        <w:t xml:space="preserve">IFRS17 </w:t>
      </w:r>
      <w:r w:rsidRPr="00252819">
        <w:t>issued by the International Accounting Standards Board in May 2017.</w:t>
      </w:r>
      <w:r w:rsidR="005C01F8">
        <w:t xml:space="preserve"> AASB17</w:t>
      </w:r>
      <w:r>
        <w:t xml:space="preserve"> </w:t>
      </w:r>
      <w:r w:rsidRPr="000A40FF">
        <w:t xml:space="preserve">will apply </w:t>
      </w:r>
      <w:r>
        <w:t xml:space="preserve">for annual reporting periods beginning on or after </w:t>
      </w:r>
      <w:r w:rsidRPr="000A40FF">
        <w:t>1 January 2021.</w:t>
      </w:r>
      <w:r>
        <w:t xml:space="preserve"> Early adoption is permitted for entities that apply AASB9 </w:t>
      </w:r>
      <w:r w:rsidRPr="002D4E53">
        <w:rPr>
          <w:i/>
        </w:rPr>
        <w:t>Financial Instruments</w:t>
      </w:r>
      <w:r>
        <w:t xml:space="preserve"> and AASB15 </w:t>
      </w:r>
      <w:r w:rsidRPr="002D4E53">
        <w:rPr>
          <w:i/>
        </w:rPr>
        <w:t>Revenue from Contracts with Customers</w:t>
      </w:r>
      <w:r>
        <w:t xml:space="preserve"> on or before the date of initial application of AASB17.</w:t>
      </w:r>
    </w:p>
    <w:p w14:paraId="5A83AC21" w14:textId="4B0BF2BE" w:rsidR="0003308E" w:rsidDel="00DC6B0B" w:rsidRDefault="0003308E" w:rsidP="0003308E">
      <w:r w:rsidDel="00DC6B0B">
        <w:t xml:space="preserve">AASB17 provides, for the first time, </w:t>
      </w:r>
      <w:r w:rsidR="00AD7BE8">
        <w:t xml:space="preserve">consistent </w:t>
      </w:r>
      <w:r w:rsidDel="00DC6B0B">
        <w:t xml:space="preserve">accounting treatment of insurance contracts rather than having separate standards for life and general insurance contracts as was the case in the past. This will </w:t>
      </w:r>
      <w:r w:rsidRPr="00252819" w:rsidDel="00DC6B0B">
        <w:t>allow</w:t>
      </w:r>
      <w:r w:rsidDel="00DC6B0B">
        <w:t xml:space="preserve"> insurance contracts to be </w:t>
      </w:r>
      <w:r w:rsidRPr="00252819" w:rsidDel="00DC6B0B">
        <w:t>compared across compa</w:t>
      </w:r>
      <w:r w:rsidDel="00DC6B0B">
        <w:t>nies, contracts and industries.</w:t>
      </w:r>
    </w:p>
    <w:p w14:paraId="7D302C4E" w14:textId="77777777" w:rsidR="0003308E" w:rsidRDefault="0003308E" w:rsidP="00990D42">
      <w:pPr>
        <w:pStyle w:val="Heading3"/>
      </w:pPr>
      <w:bookmarkStart w:id="18" w:name="_Toc528923021"/>
      <w:r>
        <w:t>Objectives</w:t>
      </w:r>
      <w:bookmarkEnd w:id="18"/>
    </w:p>
    <w:p w14:paraId="3C209F1F" w14:textId="199B979E" w:rsidR="0003308E" w:rsidRDefault="0003308E" w:rsidP="0003308E">
      <w:pPr>
        <w:jc w:val="both"/>
      </w:pPr>
      <w:r>
        <w:t>The primary objective of this consultation is to obtain further information and data on the tax impacts of implementing AASB17 to inform the Government’s consideration of whether and what changes may be needed t</w:t>
      </w:r>
      <w:r w:rsidR="0008751C">
        <w:t>o the tax law as a consequence.</w:t>
      </w:r>
    </w:p>
    <w:p w14:paraId="706A7652" w14:textId="77777777" w:rsidR="00F55584" w:rsidRDefault="0003308E" w:rsidP="0003308E">
      <w:pPr>
        <w:jc w:val="both"/>
      </w:pPr>
      <w:r>
        <w:t>Consideration of the tax implications of AASB17 also provides an opportunity to seek comments on two other insurance taxation issues that relate to the operation of the current provisions</w:t>
      </w:r>
      <w:r w:rsidR="00F55584">
        <w:t>:</w:t>
      </w:r>
    </w:p>
    <w:p w14:paraId="1AEA2D14" w14:textId="246C3AC4" w:rsidR="00F55584" w:rsidRDefault="0003308E" w:rsidP="00F55584">
      <w:pPr>
        <w:pStyle w:val="Bullet"/>
      </w:pPr>
      <w:r>
        <w:t xml:space="preserve">Firstly, </w:t>
      </w:r>
      <w:r w:rsidRPr="008F03F8">
        <w:t xml:space="preserve">whether the tax law for health insurers should be </w:t>
      </w:r>
      <w:r>
        <w:t>codifie</w:t>
      </w:r>
      <w:r w:rsidRPr="008F03F8">
        <w:t>d rather tha</w:t>
      </w:r>
      <w:r>
        <w:t xml:space="preserve">n </w:t>
      </w:r>
      <w:r w:rsidR="005C01F8">
        <w:t xml:space="preserve">relying on </w:t>
      </w:r>
      <w:r>
        <w:t>the ordinary principles</w:t>
      </w:r>
      <w:r w:rsidR="00F55584">
        <w:t>; and</w:t>
      </w:r>
    </w:p>
    <w:p w14:paraId="4A8544F3" w14:textId="45A54E3D" w:rsidR="0003308E" w:rsidRDefault="0003308E" w:rsidP="00F55584">
      <w:pPr>
        <w:pStyle w:val="Bullet"/>
      </w:pPr>
      <w:r>
        <w:t xml:space="preserve">Secondly, </w:t>
      </w:r>
      <w:r w:rsidR="002E3369">
        <w:t>whether</w:t>
      </w:r>
      <w:r w:rsidR="002E3369" w:rsidRPr="008F03F8">
        <w:t xml:space="preserve"> </w:t>
      </w:r>
      <w:r w:rsidRPr="008F03F8">
        <w:t xml:space="preserve">the law should specify how to calculate outstanding claims liabilities for </w:t>
      </w:r>
      <w:r w:rsidR="00B84DD9">
        <w:t xml:space="preserve">general </w:t>
      </w:r>
      <w:r>
        <w:t>insurance companies</w:t>
      </w:r>
      <w:r w:rsidRPr="008F03F8">
        <w:t>.</w:t>
      </w:r>
    </w:p>
    <w:p w14:paraId="75B2EC33" w14:textId="6398660B" w:rsidR="0003308E" w:rsidRDefault="0008751C" w:rsidP="0003308E">
      <w:pPr>
        <w:jc w:val="both"/>
      </w:pPr>
      <w:r>
        <w:t xml:space="preserve">Further consultation will occur on the details of any change if </w:t>
      </w:r>
      <w:r w:rsidR="00E91ABA">
        <w:t xml:space="preserve">it is determined that </w:t>
      </w:r>
      <w:r>
        <w:t xml:space="preserve">there is a </w:t>
      </w:r>
      <w:r w:rsidR="0003308E">
        <w:t xml:space="preserve">need </w:t>
      </w:r>
      <w:r>
        <w:t xml:space="preserve">to </w:t>
      </w:r>
      <w:r w:rsidR="005C01F8">
        <w:t xml:space="preserve">amend </w:t>
      </w:r>
      <w:r>
        <w:t>the tax law.</w:t>
      </w:r>
    </w:p>
    <w:p w14:paraId="497D5D50" w14:textId="4CF12F45" w:rsidR="0003308E" w:rsidRDefault="0003308E" w:rsidP="0003308E">
      <w:r>
        <w:t xml:space="preserve">We note that </w:t>
      </w:r>
      <w:r w:rsidR="001A1AFF">
        <w:t>Australian Prudential Regulation Authority (</w:t>
      </w:r>
      <w:r>
        <w:t>APRA</w:t>
      </w:r>
      <w:r w:rsidR="001A1AFF">
        <w:t>)</w:t>
      </w:r>
      <w:r>
        <w:t xml:space="preserve"> is separately engaging with insurers on </w:t>
      </w:r>
      <w:r w:rsidR="00A368C4">
        <w:t xml:space="preserve">prudential </w:t>
      </w:r>
      <w:r>
        <w:t xml:space="preserve">impacts. We will be working with APRA and the </w:t>
      </w:r>
      <w:r w:rsidR="001A1AFF">
        <w:t>Australian Taxation Office (</w:t>
      </w:r>
      <w:r>
        <w:t>ATO</w:t>
      </w:r>
      <w:r w:rsidR="001A1AFF">
        <w:t>)</w:t>
      </w:r>
      <w:r>
        <w:t xml:space="preserve"> to ensure that</w:t>
      </w:r>
      <w:r w:rsidR="0008751C">
        <w:t xml:space="preserve"> </w:t>
      </w:r>
      <w:r>
        <w:t xml:space="preserve">tax and prudential </w:t>
      </w:r>
      <w:r w:rsidR="00A368C4">
        <w:t>impacts are</w:t>
      </w:r>
      <w:r w:rsidR="0008751C">
        <w:t xml:space="preserve"> considered </w:t>
      </w:r>
      <w:r>
        <w:t>holistically.</w:t>
      </w:r>
    </w:p>
    <w:p w14:paraId="27163F4C" w14:textId="1B870973" w:rsidR="0003308E" w:rsidRDefault="0003308E" w:rsidP="0003308E">
      <w:pPr>
        <w:pStyle w:val="Heading2"/>
      </w:pPr>
      <w:bookmarkStart w:id="19" w:name="_Toc528923022"/>
      <w:r>
        <w:t>Background</w:t>
      </w:r>
      <w:bookmarkEnd w:id="19"/>
    </w:p>
    <w:p w14:paraId="14E053A3" w14:textId="326E7ADC" w:rsidR="001B4054" w:rsidRPr="001B4054" w:rsidRDefault="0010501C" w:rsidP="0003308E">
      <w:pPr>
        <w:pStyle w:val="Heading3"/>
      </w:pPr>
      <w:bookmarkStart w:id="20" w:name="_Toc528923023"/>
      <w:r>
        <w:t>Tax</w:t>
      </w:r>
      <w:r w:rsidR="001B4054">
        <w:t xml:space="preserve"> treatment of insurance companies</w:t>
      </w:r>
      <w:bookmarkEnd w:id="15"/>
      <w:bookmarkEnd w:id="16"/>
      <w:bookmarkEnd w:id="20"/>
    </w:p>
    <w:p w14:paraId="3C379B7B" w14:textId="44CC5411" w:rsidR="00437734" w:rsidRDefault="00437734" w:rsidP="00873383">
      <w:r>
        <w:t xml:space="preserve">The tax system seeks to ensure appropriate taxation outcomes for insurance companies.  Broadly this means ensuring that </w:t>
      </w:r>
      <w:r w:rsidR="009520D4">
        <w:t>the various income streams of insurers are taxed in a similar manner to companies earning similar income whilst taking into account the unique business models of insurance companies.</w:t>
      </w:r>
    </w:p>
    <w:p w14:paraId="58CB90E5" w14:textId="3CE4E0AF" w:rsidR="001B4054" w:rsidRDefault="009520D4" w:rsidP="00873383">
      <w:r>
        <w:t xml:space="preserve">Reflecting this, and also reflecting the different business models of each sub-sector and various historical factors, </w:t>
      </w:r>
      <w:r w:rsidR="00CF7DB3">
        <w:t>life</w:t>
      </w:r>
      <w:r w:rsidR="000A55D1">
        <w:t>, general and health insurers are subject to different rules under Australia’s income tax laws</w:t>
      </w:r>
      <w:r w:rsidR="00A368C4">
        <w:t>.</w:t>
      </w:r>
      <w:r w:rsidR="000A55D1">
        <w:t xml:space="preserve"> </w:t>
      </w:r>
      <w:r w:rsidR="00A368C4">
        <w:t>L</w:t>
      </w:r>
      <w:r w:rsidR="000A55D1">
        <w:t xml:space="preserve">ife and general insurers </w:t>
      </w:r>
      <w:r w:rsidR="00A368C4">
        <w:t xml:space="preserve">are </w:t>
      </w:r>
      <w:r w:rsidR="000A55D1">
        <w:t>subject to their own specific regime and the or</w:t>
      </w:r>
      <w:r w:rsidR="00A368C4">
        <w:t>dinary income tax rules apply</w:t>
      </w:r>
      <w:r w:rsidR="000A55D1">
        <w:t xml:space="preserve"> to health insurers. </w:t>
      </w:r>
    </w:p>
    <w:p w14:paraId="7F116205" w14:textId="60C6EBF7" w:rsidR="00B84EBA" w:rsidRDefault="00381772" w:rsidP="00873383">
      <w:r>
        <w:t xml:space="preserve">Life insurance companies are taxed under Division 320 </w:t>
      </w:r>
      <w:r w:rsidR="000A55D1">
        <w:t xml:space="preserve">of the </w:t>
      </w:r>
      <w:r w:rsidR="000A55D1">
        <w:rPr>
          <w:i/>
        </w:rPr>
        <w:t>Income Tax Assessment Act 1997</w:t>
      </w:r>
      <w:r w:rsidR="00D87510">
        <w:t xml:space="preserve"> (ITAA1997)</w:t>
      </w:r>
      <w:r>
        <w:rPr>
          <w:i/>
        </w:rPr>
        <w:t>.</w:t>
      </w:r>
      <w:r>
        <w:t xml:space="preserve"> </w:t>
      </w:r>
      <w:r w:rsidR="001745EB">
        <w:t xml:space="preserve">Division </w:t>
      </w:r>
      <w:r w:rsidR="002F5776">
        <w:t xml:space="preserve">320 </w:t>
      </w:r>
      <w:r w:rsidR="001745EB">
        <w:t xml:space="preserve">was introduced </w:t>
      </w:r>
      <w:r w:rsidR="006677C3">
        <w:t xml:space="preserve">in 2000 </w:t>
      </w:r>
      <w:r w:rsidR="001745EB">
        <w:t xml:space="preserve">as part of the then Government’s response to the Ralph Business Taxation Review. </w:t>
      </w:r>
      <w:r w:rsidR="002F5776">
        <w:t xml:space="preserve">It </w:t>
      </w:r>
      <w:r w:rsidR="00B84EBA">
        <w:t>ensures that the various streams of income earned by life insurers are taxed in a comparable way to other entities with similar types of income. That is, the risk business of a life insurer is taxed on a similar basis as for general insurers; the investment business is taxed on a similar basis as other investment entities; and complying superannuation investment income is taxed like superannuation funds. Annuity investment income is exempt from tax to the extent it is attributable to policyholders, like the pension phase of a superannuation fund, with any shareholder margin being taxable.</w:t>
      </w:r>
      <w:r w:rsidR="005C01F8">
        <w:t xml:space="preserve"> Before the introduction of Division 320, the tax </w:t>
      </w:r>
      <w:r w:rsidR="00CF7DB3">
        <w:t xml:space="preserve">regime </w:t>
      </w:r>
      <w:r w:rsidR="005C01F8">
        <w:t xml:space="preserve">for life insurers was very complex. Income and expenses </w:t>
      </w:r>
      <w:r w:rsidR="00CF7DB3">
        <w:t xml:space="preserve">were </w:t>
      </w:r>
      <w:r w:rsidR="005C01F8">
        <w:t xml:space="preserve">allocated </w:t>
      </w:r>
      <w:r w:rsidR="00CF7DB3">
        <w:t xml:space="preserve">to </w:t>
      </w:r>
      <w:r w:rsidR="005C01F8">
        <w:t>up to four classes of business. Each class was subject to different calculations to assemble assessable income and different tax rates also applied.</w:t>
      </w:r>
    </w:p>
    <w:p w14:paraId="7954ADE7" w14:textId="1C9CA571" w:rsidR="000B6095" w:rsidRDefault="00800C6F" w:rsidP="00873383">
      <w:r>
        <w:t>General insurance companies</w:t>
      </w:r>
      <w:r w:rsidR="00D87510">
        <w:t xml:space="preserve"> are taxed under Division 321 </w:t>
      </w:r>
      <w:r w:rsidR="00FF08CB">
        <w:t>of the ITAA1997</w:t>
      </w:r>
      <w:r w:rsidR="00CF7DB3">
        <w:t>, which</w:t>
      </w:r>
      <w:r w:rsidR="00B84EBA">
        <w:t xml:space="preserve"> takes into account their </w:t>
      </w:r>
      <w:r w:rsidR="00F9288F">
        <w:t xml:space="preserve">business model. </w:t>
      </w:r>
      <w:r w:rsidR="00B84EBA">
        <w:t xml:space="preserve">Broadly, the assessable income and deductions flowing from a general insurance company’s underwriting results mirror its accounting income and expenses, with some timing differences. </w:t>
      </w:r>
      <w:r w:rsidR="00483671">
        <w:t>The t</w:t>
      </w:r>
      <w:r w:rsidR="006677C3">
        <w:t>ax provisions for general insurance companies were initially inserted</w:t>
      </w:r>
      <w:r w:rsidR="005321EC">
        <w:t xml:space="preserve"> in 2002 as Schedule 2J of the </w:t>
      </w:r>
      <w:r w:rsidR="005321EC">
        <w:rPr>
          <w:i/>
        </w:rPr>
        <w:t xml:space="preserve">Income Tax Assessment Act 1936 </w:t>
      </w:r>
      <w:r w:rsidR="005321EC">
        <w:t>(I</w:t>
      </w:r>
      <w:r w:rsidR="006677C3">
        <w:t>TAA1936</w:t>
      </w:r>
      <w:r w:rsidR="005321EC">
        <w:t>)</w:t>
      </w:r>
      <w:r w:rsidR="005C01F8">
        <w:t xml:space="preserve"> and codified the methodology in Taxation Ruling IT2663. This ruling outlined how outstanding claims were calculated and deducted and how premium income was returned as assessable income. While it had applied since the 1991-92 income year, a</w:t>
      </w:r>
      <w:r w:rsidR="00D87510">
        <w:t xml:space="preserve"> law change was required following the High Court of Australia’s refusal to grant the Commissioner of Taxation special leave to appeal against the Full Federal Court’s decision in the </w:t>
      </w:r>
      <w:r w:rsidR="00D87510">
        <w:rPr>
          <w:i/>
        </w:rPr>
        <w:t xml:space="preserve">Commissioner of Taxation v Mercantile Mutual Insurance (Workers Compensation) Ltd </w:t>
      </w:r>
      <w:r w:rsidR="00D87510">
        <w:t xml:space="preserve">and </w:t>
      </w:r>
      <w:r w:rsidR="00D87510">
        <w:rPr>
          <w:i/>
        </w:rPr>
        <w:t>Commissioner of Taxation v Mercantile M</w:t>
      </w:r>
      <w:r w:rsidR="005C01F8">
        <w:rPr>
          <w:i/>
        </w:rPr>
        <w:t>utual Insurance (Australia) Ltd</w:t>
      </w:r>
      <w:r w:rsidR="00D87510">
        <w:t>. In 2010, as part of a rewrite of the income tax law, the provisions in Schedule 2J to the ITAA</w:t>
      </w:r>
      <w:r w:rsidR="005213BC">
        <w:t>19</w:t>
      </w:r>
      <w:r w:rsidR="00D87510">
        <w:t xml:space="preserve">36 were rewritten to Division </w:t>
      </w:r>
      <w:r w:rsidR="007A252D">
        <w:t xml:space="preserve">321 </w:t>
      </w:r>
      <w:r w:rsidR="00D87510">
        <w:t>of the ITAA1997.</w:t>
      </w:r>
    </w:p>
    <w:p w14:paraId="4E9C632C" w14:textId="4DEDF936" w:rsidR="00F86340" w:rsidRDefault="00F86340" w:rsidP="00873383">
      <w:r>
        <w:t xml:space="preserve">Health insurance can be considered a specific category of general insurance. Indeed, as noted below, both health and general insurance contracts are currently subject to the same accounting standard. The specific general insurance taxation rules of Division 321 do not however apply to health insurers, and </w:t>
      </w:r>
      <w:r w:rsidR="00F55584">
        <w:t>instead</w:t>
      </w:r>
      <w:r>
        <w:t xml:space="preserve"> ordinary principles apply in determining the taxable income of a health insurer.  This is in part explained by the changing nature of the health insurance industry. </w:t>
      </w:r>
      <w:r w:rsidR="002C5801">
        <w:t>T</w:t>
      </w:r>
      <w:r>
        <w:t xml:space="preserve">he industry has historically been dominated by not for profit insurers for whom, being tax exempt, tax considerations </w:t>
      </w:r>
      <w:r w:rsidR="00E00139">
        <w:t>were</w:t>
      </w:r>
      <w:r>
        <w:t xml:space="preserve"> not an issue</w:t>
      </w:r>
      <w:r w:rsidR="002C5801">
        <w:t>. T</w:t>
      </w:r>
      <w:r>
        <w:t>oday the majority of health insurance is provided by for profit insurers.</w:t>
      </w:r>
    </w:p>
    <w:p w14:paraId="7B7350DD" w14:textId="52159A95" w:rsidR="001B4054" w:rsidRDefault="001B4054" w:rsidP="00B00274">
      <w:pPr>
        <w:pStyle w:val="Heading3"/>
      </w:pPr>
      <w:bookmarkStart w:id="21" w:name="_Toc522199875"/>
      <w:bookmarkStart w:id="22" w:name="_Toc522612809"/>
      <w:bookmarkStart w:id="23" w:name="_Toc528923024"/>
      <w:r>
        <w:t>Links between tax, accounting and prudential standards for insur</w:t>
      </w:r>
      <w:bookmarkEnd w:id="21"/>
      <w:r w:rsidR="006677C3">
        <w:t>ers</w:t>
      </w:r>
      <w:bookmarkEnd w:id="22"/>
      <w:bookmarkEnd w:id="23"/>
    </w:p>
    <w:p w14:paraId="1EEE87DD" w14:textId="48015237" w:rsidR="002E3C13" w:rsidRDefault="002E3C13" w:rsidP="00081EF4">
      <w:r>
        <w:t>The way t</w:t>
      </w:r>
      <w:r w:rsidR="0010501C">
        <w:t>hese tax regimes interact</w:t>
      </w:r>
      <w:r>
        <w:t xml:space="preserve"> with the accounting and prudential standards </w:t>
      </w:r>
      <w:r w:rsidR="0010501C">
        <w:t xml:space="preserve">that apply to each insurance sub-sector </w:t>
      </w:r>
      <w:r>
        <w:t xml:space="preserve">is </w:t>
      </w:r>
      <w:r w:rsidR="000F6C09">
        <w:t>relevant for this consultation.</w:t>
      </w:r>
    </w:p>
    <w:p w14:paraId="344E8F40" w14:textId="248A9066" w:rsidR="0010501C" w:rsidRDefault="0010501C" w:rsidP="00081EF4">
      <w:r>
        <w:t xml:space="preserve">Currently there </w:t>
      </w:r>
      <w:r w:rsidR="001A1AFF">
        <w:t xml:space="preserve">are specific </w:t>
      </w:r>
      <w:r>
        <w:t xml:space="preserve">accounting standards for life and general insurance contracts. Accounting standard AASB1023 applies to general </w:t>
      </w:r>
      <w:r w:rsidR="000957A2">
        <w:t xml:space="preserve">and health </w:t>
      </w:r>
      <w:r>
        <w:t xml:space="preserve">insurance contracts and accounting standard </w:t>
      </w:r>
      <w:r w:rsidR="002F5776">
        <w:t>AASB</w:t>
      </w:r>
      <w:r>
        <w:t>1038 applie</w:t>
      </w:r>
      <w:r w:rsidR="005C01F8">
        <w:t xml:space="preserve">s to life insurance contracts. </w:t>
      </w:r>
    </w:p>
    <w:p w14:paraId="72F2DAEA" w14:textId="1F484570" w:rsidR="0010501C" w:rsidRDefault="0010501C" w:rsidP="0010501C">
      <w:pPr>
        <w:rPr>
          <w:lang w:val="en"/>
        </w:rPr>
      </w:pPr>
      <w:r>
        <w:t xml:space="preserve">In addition, </w:t>
      </w:r>
      <w:r w:rsidR="001A1AFF">
        <w:t>APRA</w:t>
      </w:r>
      <w:r>
        <w:t xml:space="preserve"> sets and enforces prudential standards for insurers. APRA has separate prudential standards and guidance relating to each </w:t>
      </w:r>
      <w:r w:rsidR="001A1AFF">
        <w:t>sub-sector</w:t>
      </w:r>
      <w:r>
        <w:t xml:space="preserve">: </w:t>
      </w:r>
      <w:r>
        <w:rPr>
          <w:lang w:val="en"/>
        </w:rPr>
        <w:t>general insurance</w:t>
      </w:r>
      <w:r w:rsidR="005C01F8">
        <w:rPr>
          <w:lang w:val="en"/>
        </w:rPr>
        <w:t xml:space="preserve"> companies, private health insurance companies</w:t>
      </w:r>
      <w:r>
        <w:rPr>
          <w:lang w:val="en"/>
        </w:rPr>
        <w:t xml:space="preserve"> and life insurance companies (including friendly societies). The same standards generally apply to reinsurers as to direct insurers.</w:t>
      </w:r>
    </w:p>
    <w:p w14:paraId="69C5368C" w14:textId="77777777" w:rsidR="0010501C" w:rsidRDefault="0010501C" w:rsidP="0010501C">
      <w:r>
        <w:t>For largely historical reasons, the accounting, tax and prudential standards in each insurance sector interact differently.</w:t>
      </w:r>
    </w:p>
    <w:p w14:paraId="3536378D" w14:textId="218D03BC" w:rsidR="001A1AFF" w:rsidRDefault="00BC3ECE" w:rsidP="001A1AFF">
      <w:r>
        <w:t xml:space="preserve">The tax regime applying to life insurance companies links to the APRA </w:t>
      </w:r>
      <w:r w:rsidR="00322128">
        <w:t xml:space="preserve">prudential </w:t>
      </w:r>
      <w:r>
        <w:t>valuation standard</w:t>
      </w:r>
      <w:r w:rsidR="00322128">
        <w:t xml:space="preserve"> for life insurance companies</w:t>
      </w:r>
      <w:r>
        <w:t xml:space="preserve">. In particular, </w:t>
      </w:r>
      <w:r w:rsidR="00322128">
        <w:t xml:space="preserve">section 320-85 of the ITAA1997 </w:t>
      </w:r>
      <w:r w:rsidR="0010501C">
        <w:t xml:space="preserve">relating to </w:t>
      </w:r>
      <w:r w:rsidR="001A1AFF">
        <w:t xml:space="preserve">risk policies of </w:t>
      </w:r>
      <w:r w:rsidR="0010501C">
        <w:t>life insurance companies include</w:t>
      </w:r>
      <w:r w:rsidR="001A1AFF">
        <w:t>s</w:t>
      </w:r>
      <w:r w:rsidR="0010501C">
        <w:t xml:space="preserve"> a specific link to the APRA valuation standard to calculate when income and deductions materialise. </w:t>
      </w:r>
      <w:r w:rsidR="005321EC">
        <w:t>The link to the prudential standard was included because</w:t>
      </w:r>
      <w:r w:rsidR="0010501C">
        <w:t xml:space="preserve"> the accounting standard in place at the time Division 320 was introduced in 2000 was </w:t>
      </w:r>
      <w:r w:rsidR="0010501C" w:rsidRPr="00491D4A">
        <w:t xml:space="preserve">less comprehensive and would have resulted in deductions materialising </w:t>
      </w:r>
      <w:r w:rsidR="0010501C">
        <w:t>much earlier than the associated income.</w:t>
      </w:r>
      <w:r w:rsidR="001A1AFF">
        <w:t xml:space="preserve"> </w:t>
      </w:r>
      <w:r w:rsidR="005C01F8">
        <w:t>T</w:t>
      </w:r>
      <w:r>
        <w:t xml:space="preserve">he prudential valuation standard is also referenced in other parts of Division 320. This includes </w:t>
      </w:r>
      <w:r w:rsidR="00322128">
        <w:t xml:space="preserve">in </w:t>
      </w:r>
      <w:r>
        <w:t>section 320-190 of ITAA1997</w:t>
      </w:r>
      <w:r w:rsidR="00322128">
        <w:t>,</w:t>
      </w:r>
      <w:r>
        <w:t xml:space="preserve"> to determine the amount of the complying superannuation liabilities of a life insurance company and </w:t>
      </w:r>
      <w:r w:rsidR="00322128">
        <w:t xml:space="preserve">in </w:t>
      </w:r>
      <w:r>
        <w:t>section 320-245 of ITAA1997, to determine the values of supporting assets in working out the amount of the exempt life insurance policy liabilities.</w:t>
      </w:r>
      <w:r w:rsidR="004C4008">
        <w:t xml:space="preserve"> Since 2000, the accounting and prudential standards applying to life insurers have evolved to be largely aligned, resulting in </w:t>
      </w:r>
      <w:r w:rsidR="001D471E">
        <w:t xml:space="preserve">broad </w:t>
      </w:r>
      <w:r w:rsidR="004C4008">
        <w:t>alignment between tax, accounting and prudential treatment.</w:t>
      </w:r>
    </w:p>
    <w:p w14:paraId="6F1604DB" w14:textId="3B2564AD" w:rsidR="001A1AFF" w:rsidRDefault="001A1AFF" w:rsidP="001A1AFF">
      <w:r>
        <w:t>The tax regime applying to g</w:t>
      </w:r>
      <w:r w:rsidRPr="00491D4A">
        <w:t>eneral insurance companie</w:t>
      </w:r>
      <w:r>
        <w:t>s</w:t>
      </w:r>
      <w:r w:rsidRPr="00491D4A">
        <w:t xml:space="preserve"> </w:t>
      </w:r>
      <w:r>
        <w:t>(</w:t>
      </w:r>
      <w:r w:rsidRPr="00491D4A">
        <w:t>Division 321</w:t>
      </w:r>
      <w:r>
        <w:t>) does not include a specific link to the prudential standard</w:t>
      </w:r>
      <w:r w:rsidR="00322128">
        <w:t xml:space="preserve">s for general insurance companies or </w:t>
      </w:r>
      <w:r w:rsidR="002E19E8">
        <w:t xml:space="preserve">to </w:t>
      </w:r>
      <w:r w:rsidR="00322128">
        <w:t xml:space="preserve">the accounting standard for general insurance contracts. </w:t>
      </w:r>
      <w:r w:rsidR="00E224D1">
        <w:t>G</w:t>
      </w:r>
      <w:r>
        <w:t>eneral insurers are required to determine the value of their underwriting reserves using proper and reasonable estimates. In practice, this involve</w:t>
      </w:r>
      <w:r w:rsidR="00E224D1">
        <w:t>s</w:t>
      </w:r>
      <w:r>
        <w:t xml:space="preserve"> an actuarial analysis that closely follows what is required under the accounting standards.</w:t>
      </w:r>
      <w:r w:rsidR="00E224D1">
        <w:t xml:space="preserve"> </w:t>
      </w:r>
      <w:r>
        <w:t xml:space="preserve">For general insurers, the </w:t>
      </w:r>
      <w:r w:rsidRPr="00491D4A">
        <w:t xml:space="preserve">risk of having deductions materialising too early is not as pronounced </w:t>
      </w:r>
      <w:r>
        <w:t>compared to life insurers</w:t>
      </w:r>
      <w:r w:rsidR="002F5776">
        <w:t>. This is because for most classes of business,</w:t>
      </w:r>
      <w:r w:rsidRPr="00491D4A">
        <w:t xml:space="preserve"> the terms of their contracts are typically much shorter.</w:t>
      </w:r>
      <w:r w:rsidR="00E224D1" w:rsidRPr="00E224D1">
        <w:t xml:space="preserve"> </w:t>
      </w:r>
      <w:r w:rsidR="00E224D1">
        <w:t>Division 321 also applies to companies that self-insure in respect of workers’ compensation liabilities.</w:t>
      </w:r>
    </w:p>
    <w:p w14:paraId="0FCFDDEF" w14:textId="77F39B8C" w:rsidR="004741B6" w:rsidRDefault="00E224D1" w:rsidP="000F6C09">
      <w:r>
        <w:t xml:space="preserve">As noted earlier, health insurance </w:t>
      </w:r>
      <w:r w:rsidR="00F55584">
        <w:t xml:space="preserve">contracts </w:t>
      </w:r>
      <w:r>
        <w:t>are taxed under the ordinary income tax provisions</w:t>
      </w:r>
      <w:r w:rsidR="00F55584">
        <w:t xml:space="preserve"> </w:t>
      </w:r>
      <w:r w:rsidR="00E00139">
        <w:t>but</w:t>
      </w:r>
      <w:r w:rsidR="000F7CCE">
        <w:t xml:space="preserve"> are subject to the same accounting standard as general insurance contracts. Broadly</w:t>
      </w:r>
      <w:r>
        <w:t xml:space="preserve">, </w:t>
      </w:r>
      <w:r w:rsidR="000F7CCE">
        <w:t xml:space="preserve">this </w:t>
      </w:r>
      <w:r>
        <w:t>mak</w:t>
      </w:r>
      <w:r w:rsidR="000F7CCE">
        <w:t>es</w:t>
      </w:r>
      <w:r>
        <w:t xml:space="preserve"> the tax arrangements </w:t>
      </w:r>
      <w:r w:rsidR="001D5AC5">
        <w:t xml:space="preserve">of health insurers </w:t>
      </w:r>
      <w:r>
        <w:t>similar</w:t>
      </w:r>
      <w:r w:rsidR="001D5AC5">
        <w:t xml:space="preserve"> to that for general insurers</w:t>
      </w:r>
      <w:r>
        <w:t>.</w:t>
      </w:r>
      <w:r w:rsidR="000F7CCE">
        <w:t xml:space="preserve"> However, some health insurers use a different basis for reporting premium income and outstanding claims for tax purposes than for accounting purposes.</w:t>
      </w:r>
    </w:p>
    <w:p w14:paraId="7DA65B99" w14:textId="7D80D9BB" w:rsidR="00252819" w:rsidRPr="00252819" w:rsidRDefault="00252819" w:rsidP="008560D7">
      <w:pPr>
        <w:pStyle w:val="Heading1"/>
      </w:pPr>
      <w:bookmarkStart w:id="24" w:name="_Toc522199878"/>
      <w:bookmarkStart w:id="25" w:name="_Toc522612812"/>
      <w:bookmarkStart w:id="26" w:name="_Toc528923025"/>
      <w:r>
        <w:t>1</w:t>
      </w:r>
      <w:r>
        <w:tab/>
      </w:r>
      <w:r w:rsidRPr="00252819">
        <w:t>Impact of new accounting standard for insurance contracts AASB17</w:t>
      </w:r>
      <w:bookmarkEnd w:id="24"/>
      <w:bookmarkEnd w:id="25"/>
      <w:bookmarkEnd w:id="26"/>
    </w:p>
    <w:p w14:paraId="6727E826" w14:textId="2348351A" w:rsidR="000A7334" w:rsidRDefault="005C01F8" w:rsidP="000A7334">
      <w:bookmarkStart w:id="27" w:name="_Toc522199879"/>
      <w:r>
        <w:t>E</w:t>
      </w:r>
      <w:r w:rsidR="00F666F3">
        <w:t>arly</w:t>
      </w:r>
      <w:r w:rsidR="00130016">
        <w:t xml:space="preserve"> analysis suggests that the primary impact </w:t>
      </w:r>
      <w:r w:rsidR="00F666F3">
        <w:t xml:space="preserve">of the new accounting standard </w:t>
      </w:r>
      <w:r>
        <w:t>on tax</w:t>
      </w:r>
      <w:r w:rsidR="00130016">
        <w:t xml:space="preserve"> outcomes </w:t>
      </w:r>
      <w:r w:rsidR="00F666F3">
        <w:t xml:space="preserve">is </w:t>
      </w:r>
      <w:r w:rsidR="00130016">
        <w:t xml:space="preserve">in relation to </w:t>
      </w:r>
      <w:r w:rsidR="00401828">
        <w:t xml:space="preserve">a change in </w:t>
      </w:r>
      <w:r w:rsidR="00130016">
        <w:t>the recognition of deferred acquisition costs</w:t>
      </w:r>
      <w:r w:rsidR="00113D86">
        <w:t xml:space="preserve"> and the int</w:t>
      </w:r>
      <w:r w:rsidR="00F666F3">
        <w:t>roduction of a risk adjustment</w:t>
      </w:r>
      <w:r w:rsidR="00AD7BE8">
        <w:t xml:space="preserve"> for life insurers</w:t>
      </w:r>
      <w:r w:rsidR="00F666F3">
        <w:t xml:space="preserve">. </w:t>
      </w:r>
      <w:r w:rsidR="00113D86">
        <w:t xml:space="preserve">These are </w:t>
      </w:r>
      <w:r w:rsidR="00130016">
        <w:t xml:space="preserve">discussed below. </w:t>
      </w:r>
      <w:r w:rsidR="000A7334">
        <w:t>T</w:t>
      </w:r>
      <w:r w:rsidR="00F666F3">
        <w:t>he consultation also seeks feedback on whether</w:t>
      </w:r>
      <w:r w:rsidR="000A7334">
        <w:t xml:space="preserve"> industry </w:t>
      </w:r>
      <w:r>
        <w:t xml:space="preserve">participants or </w:t>
      </w:r>
      <w:r w:rsidR="000A7334">
        <w:t>interested parties have identified other</w:t>
      </w:r>
      <w:r w:rsidR="00F666F3">
        <w:t xml:space="preserve"> potential taxation implications </w:t>
      </w:r>
      <w:r w:rsidR="000A7334">
        <w:t xml:space="preserve">of adopting AASB17. </w:t>
      </w:r>
      <w:bookmarkStart w:id="28" w:name="_Toc522612813"/>
    </w:p>
    <w:p w14:paraId="1A90E1F2" w14:textId="0101E661" w:rsidR="00252819" w:rsidRPr="00252819" w:rsidRDefault="00252819" w:rsidP="000A7334">
      <w:pPr>
        <w:pStyle w:val="Heading3"/>
      </w:pPr>
      <w:bookmarkStart w:id="29" w:name="_Toc528923026"/>
      <w:r w:rsidRPr="00252819">
        <w:t>Deferred acquisition costs</w:t>
      </w:r>
      <w:bookmarkEnd w:id="27"/>
      <w:bookmarkEnd w:id="28"/>
      <w:bookmarkEnd w:id="29"/>
    </w:p>
    <w:p w14:paraId="4338B357" w14:textId="7A50BA30" w:rsidR="00252819" w:rsidRPr="00252819" w:rsidRDefault="005C01F8" w:rsidP="00252819">
      <w:r>
        <w:t>Deferred acquisition cost</w:t>
      </w:r>
      <w:r w:rsidR="002C3AA4">
        <w:t xml:space="preserve"> </w:t>
      </w:r>
      <w:r w:rsidR="00252819" w:rsidRPr="00252819">
        <w:t>refers to costs incurred in obtaining and recording insurance contracts</w:t>
      </w:r>
      <w:r w:rsidR="001D5AC5">
        <w:t xml:space="preserve"> which are deferred and systematically amortised to reflect the economic benefits attributed to the costs</w:t>
      </w:r>
      <w:r w:rsidR="00252819" w:rsidRPr="00252819">
        <w:t>. Th</w:t>
      </w:r>
      <w:r w:rsidR="001D5AC5">
        <w:t>e</w:t>
      </w:r>
      <w:r w:rsidR="00252819" w:rsidRPr="00252819">
        <w:t>s</w:t>
      </w:r>
      <w:r w:rsidR="001D5AC5">
        <w:t>e costs</w:t>
      </w:r>
      <w:r w:rsidR="00252819" w:rsidRPr="00252819">
        <w:t xml:space="preserve"> include commissions paid to agents for obtaining the business, selling and underwriting costs such as advertising and risk assessment and administrative costs of recording policy information and premium collection costs.</w:t>
      </w:r>
    </w:p>
    <w:p w14:paraId="41884D1A" w14:textId="2D278D08" w:rsidR="00FA109D" w:rsidRDefault="00D53677" w:rsidP="00823990">
      <w:r>
        <w:t xml:space="preserve">AASB17 changes how insurance contracts are measured and recognised </w:t>
      </w:r>
      <w:r w:rsidR="00252819" w:rsidRPr="00252819">
        <w:t>and</w:t>
      </w:r>
      <w:r w:rsidR="00C91341">
        <w:t>, in practice,</w:t>
      </w:r>
      <w:r w:rsidR="00252819" w:rsidRPr="00252819">
        <w:t xml:space="preserve"> shortens the period </w:t>
      </w:r>
      <w:r w:rsidR="007039F1">
        <w:t>over which</w:t>
      </w:r>
      <w:r w:rsidR="007039F1" w:rsidRPr="00252819">
        <w:t xml:space="preserve"> </w:t>
      </w:r>
      <w:r w:rsidR="00252819" w:rsidRPr="00252819">
        <w:t xml:space="preserve">the expensing of upfront acquisition costs can be </w:t>
      </w:r>
      <w:r w:rsidR="002D4E53">
        <w:t xml:space="preserve">deferred </w:t>
      </w:r>
      <w:r w:rsidR="00252819" w:rsidRPr="00252819">
        <w:t>to a maximum of the contract boundary of the initial contract that gave rise to the costs.</w:t>
      </w:r>
    </w:p>
    <w:p w14:paraId="181D810C" w14:textId="5A32F3CA" w:rsidR="00B338B0" w:rsidRDefault="002C3AA4" w:rsidP="00252819">
      <w:r w:rsidRPr="00252819">
        <w:t>The earlier recognition of upfront-acquisition costs for accounting purposes affe</w:t>
      </w:r>
      <w:r>
        <w:t>cts profit recognition patterns</w:t>
      </w:r>
      <w:r w:rsidR="00234F31">
        <w:t xml:space="preserve">. This </w:t>
      </w:r>
      <w:r w:rsidR="003B303F">
        <w:t xml:space="preserve">is expected to </w:t>
      </w:r>
      <w:r>
        <w:t>particularly affect life insurers</w:t>
      </w:r>
      <w:r w:rsidR="001E7F20">
        <w:t xml:space="preserve"> and to result in lower profits in earlier years and higher profits in later years for each individual contract.</w:t>
      </w:r>
      <w:r w:rsidR="003B303F">
        <w:t xml:space="preserve"> Having said this</w:t>
      </w:r>
      <w:r w:rsidR="005C01F8">
        <w:t>,</w:t>
      </w:r>
      <w:r w:rsidR="003B303F">
        <w:t xml:space="preserve"> general and health insurers may also be significantly affected</w:t>
      </w:r>
      <w:r w:rsidR="000A7334">
        <w:t xml:space="preserve">. For example, longer term products offered by general insurers, such as </w:t>
      </w:r>
      <w:r w:rsidR="001D5AC5">
        <w:t xml:space="preserve">lenders </w:t>
      </w:r>
      <w:r w:rsidR="000A7334">
        <w:t>mortgage insurance products will be impacted and e</w:t>
      </w:r>
      <w:r w:rsidR="003B303F">
        <w:t xml:space="preserve">ven </w:t>
      </w:r>
      <w:r w:rsidR="00942F06">
        <w:t xml:space="preserve">in the case of </w:t>
      </w:r>
      <w:r w:rsidR="003B303F">
        <w:t>‘one year’ insurance policies, a change to immediate write off and deductibility of acquisition c</w:t>
      </w:r>
      <w:r w:rsidR="005C01F8">
        <w:t>osts (from the current deferral</w:t>
      </w:r>
      <w:r w:rsidR="003B303F">
        <w:t xml:space="preserve"> approach) could result in a bring forward of approximately six months equivalent of acquisition costs.</w:t>
      </w:r>
    </w:p>
    <w:p w14:paraId="15767472" w14:textId="7B406E38" w:rsidR="00BA022F" w:rsidRDefault="00234F31" w:rsidP="00252819">
      <w:r>
        <w:t>T</w:t>
      </w:r>
      <w:r w:rsidR="00252819" w:rsidRPr="00252819">
        <w:t xml:space="preserve">he change in </w:t>
      </w:r>
      <w:r w:rsidR="00652F97">
        <w:t xml:space="preserve">how </w:t>
      </w:r>
      <w:r w:rsidR="004C4008">
        <w:t>upfront acquisition costs are</w:t>
      </w:r>
      <w:r w:rsidR="00252819" w:rsidRPr="00252819">
        <w:t xml:space="preserve"> </w:t>
      </w:r>
      <w:r w:rsidR="00652F97">
        <w:t xml:space="preserve">recognised is </w:t>
      </w:r>
      <w:r w:rsidR="001E7F20">
        <w:t xml:space="preserve">likely </w:t>
      </w:r>
      <w:r>
        <w:t xml:space="preserve">to </w:t>
      </w:r>
      <w:r w:rsidR="00652F97">
        <w:t xml:space="preserve">be </w:t>
      </w:r>
      <w:r w:rsidR="00252819" w:rsidRPr="00252819">
        <w:t>transitional</w:t>
      </w:r>
      <w:r w:rsidR="00652F97">
        <w:t xml:space="preserve"> in impact</w:t>
      </w:r>
      <w:r w:rsidR="00B338B0">
        <w:t xml:space="preserve">. For example, on the assumption that </w:t>
      </w:r>
      <w:r w:rsidR="00AD7BE8">
        <w:t xml:space="preserve">similar </w:t>
      </w:r>
      <w:r w:rsidR="00B338B0">
        <w:t xml:space="preserve">new policies continue to be written at a consistent </w:t>
      </w:r>
      <w:r w:rsidR="007039F1">
        <w:t>rate</w:t>
      </w:r>
      <w:r w:rsidR="00B338B0">
        <w:t>, it is expected that there will be a one-off impact on retained earnings on transition to the new standard</w:t>
      </w:r>
      <w:r w:rsidR="005C01F8">
        <w:t>.</w:t>
      </w:r>
      <w:r w:rsidR="00B338B0">
        <w:t xml:space="preserve"> </w:t>
      </w:r>
      <w:r w:rsidR="005C01F8">
        <w:t>O</w:t>
      </w:r>
      <w:r w:rsidR="00B338B0">
        <w:t>n an ongoing basis, lower profits on new policies in the earlier years will be offset by higher profits in older policies which are in their later years, resulting in minimal overall impact of profit each year.</w:t>
      </w:r>
    </w:p>
    <w:p w14:paraId="3AF7B375" w14:textId="489272AD" w:rsidR="00FA3026" w:rsidRDefault="005C01F8" w:rsidP="00FA3026">
      <w:pPr>
        <w:pStyle w:val="Heading5"/>
      </w:pPr>
      <w:r>
        <w:t>Tax impacts</w:t>
      </w:r>
    </w:p>
    <w:p w14:paraId="311E14E1" w14:textId="6FBF694B" w:rsidR="00C24B9E" w:rsidRDefault="00C24B9E" w:rsidP="00FA3026">
      <w:r>
        <w:t>Where</w:t>
      </w:r>
      <w:r w:rsidR="00FA3026">
        <w:t xml:space="preserve"> accounting outcomes </w:t>
      </w:r>
      <w:r w:rsidR="000A7334">
        <w:t>automatically flow through to tax outcomes</w:t>
      </w:r>
      <w:r w:rsidR="00FA3026">
        <w:t xml:space="preserve">, </w:t>
      </w:r>
      <w:r>
        <w:t xml:space="preserve">as is </w:t>
      </w:r>
      <w:r w:rsidR="00B84DD9">
        <w:t xml:space="preserve">predominantly </w:t>
      </w:r>
      <w:r>
        <w:t>the case for general and health insurers, the expectation is that the actuarial analysis follows the requirements in the new accounting standard and that this will translate to tax outcome</w:t>
      </w:r>
      <w:r w:rsidR="000A7334">
        <w:t>s</w:t>
      </w:r>
      <w:r>
        <w:t xml:space="preserve">. As a result, </w:t>
      </w:r>
      <w:r w:rsidR="00FA3026" w:rsidRPr="00252819">
        <w:t xml:space="preserve">tax patterns </w:t>
      </w:r>
      <w:r w:rsidR="00FA3026">
        <w:t xml:space="preserve">can be expected to </w:t>
      </w:r>
      <w:r w:rsidR="00B84DD9">
        <w:t xml:space="preserve">broadly reflect </w:t>
      </w:r>
      <w:r w:rsidR="00FA3026" w:rsidRPr="00252819">
        <w:t>the profit recognition patterns</w:t>
      </w:r>
      <w:r>
        <w:t>. I</w:t>
      </w:r>
      <w:r w:rsidR="00652F97">
        <w:t>n the transition</w:t>
      </w:r>
      <w:r w:rsidR="00FA3026">
        <w:t xml:space="preserve"> period</w:t>
      </w:r>
      <w:r w:rsidR="000A7334">
        <w:t>,</w:t>
      </w:r>
      <w:r w:rsidR="00FA3026">
        <w:t xml:space="preserve"> this will likely mean </w:t>
      </w:r>
      <w:r w:rsidR="00FA3026" w:rsidRPr="00252819">
        <w:t>a smaller level of tax paid initially, with higher levels of tax collected in later years.</w:t>
      </w:r>
      <w:r>
        <w:t xml:space="preserve"> </w:t>
      </w:r>
    </w:p>
    <w:p w14:paraId="5D03ED41" w14:textId="2BCC339C" w:rsidR="00D6673C" w:rsidRDefault="00FA3026" w:rsidP="001E7F20">
      <w:r>
        <w:t>F</w:t>
      </w:r>
      <w:r w:rsidR="001E7F20">
        <w:t>or life insurance companies, the change in accounting standards will not automatically translate to a change in tax outcomes. The current link in the tax law to the APRA valuation standard means that without change to one or both, after 2021, life insurers will need to keep two sets of records – one for accounting purposes and another for prudential and tax purposes.</w:t>
      </w:r>
      <w:r w:rsidR="00C24B9E">
        <w:t xml:space="preserve"> Tax payment obligations will also not align with accounting</w:t>
      </w:r>
      <w:r w:rsidR="000A7334">
        <w:t xml:space="preserve"> profit</w:t>
      </w:r>
      <w:r w:rsidR="00C24B9E">
        <w:t>.</w:t>
      </w:r>
    </w:p>
    <w:p w14:paraId="3B28D429" w14:textId="0F333BE5" w:rsidR="00407A30" w:rsidRDefault="00C24B9E" w:rsidP="001E7F20">
      <w:r>
        <w:t xml:space="preserve">As noted earlier, Treasury is liaising with APRA as it reviews </w:t>
      </w:r>
      <w:r w:rsidR="00652F97">
        <w:t xml:space="preserve">the prudential impacts of </w:t>
      </w:r>
      <w:r>
        <w:t>AASB17. If APRA aligns its standards to the new standard for prudential purposes, this effectively translates to adoption of AASB17 for tax purposes (noting that APRA is likely to make prudential adjustments to the accounting basis to ensure that the prudential valuation is fit for that purpose). Another option for adopting AASB17 is to change the tax law to link to the accounting standard rather than the APRA valuation standard.</w:t>
      </w:r>
    </w:p>
    <w:p w14:paraId="76AF191E" w14:textId="3396EEBE" w:rsidR="00C24B9E" w:rsidRDefault="00C24B9E" w:rsidP="00C24B9E">
      <w:r>
        <w:t xml:space="preserve">The Government is seeking feedback on the estimated </w:t>
      </w:r>
      <w:r w:rsidR="00DE165D">
        <w:t xml:space="preserve">accounting and </w:t>
      </w:r>
      <w:r w:rsidR="002F5776">
        <w:t xml:space="preserve">tax </w:t>
      </w:r>
      <w:r>
        <w:t xml:space="preserve">impacts of the </w:t>
      </w:r>
      <w:r w:rsidRPr="00252819">
        <w:t xml:space="preserve">change </w:t>
      </w:r>
      <w:r w:rsidR="002F5776">
        <w:t xml:space="preserve">to </w:t>
      </w:r>
      <w:r w:rsidRPr="00252819">
        <w:t>how upfront a</w:t>
      </w:r>
      <w:r>
        <w:t>cquisition costs are recognised.</w:t>
      </w:r>
    </w:p>
    <w:p w14:paraId="62EE1739" w14:textId="61657D5D" w:rsidR="00C24B9E" w:rsidRDefault="00C24B9E" w:rsidP="00C24B9E">
      <w:r>
        <w:t xml:space="preserve">If the tax </w:t>
      </w:r>
      <w:r w:rsidR="00D6673C">
        <w:t xml:space="preserve">impacts </w:t>
      </w:r>
      <w:r>
        <w:t>in the transition period</w:t>
      </w:r>
      <w:r w:rsidR="00D6673C">
        <w:t xml:space="preserve"> are large</w:t>
      </w:r>
      <w:r>
        <w:t xml:space="preserve">, </w:t>
      </w:r>
      <w:r w:rsidR="00160D86">
        <w:t>it may be desirable to phase th</w:t>
      </w:r>
      <w:r w:rsidR="00D6673C">
        <w:t xml:space="preserve">ese </w:t>
      </w:r>
      <w:r w:rsidR="00160D86">
        <w:t xml:space="preserve">in over several years. This approach was taken in 2000 when the tax base of life insurers was broadened </w:t>
      </w:r>
      <w:r w:rsidR="00160D86" w:rsidRPr="00252819">
        <w:t xml:space="preserve">as part of </w:t>
      </w:r>
      <w:r w:rsidR="00160D86" w:rsidRPr="00252819">
        <w:rPr>
          <w:i/>
        </w:rPr>
        <w:t>The New Business Tax System</w:t>
      </w:r>
      <w:r w:rsidR="00160D86" w:rsidRPr="00252819">
        <w:t xml:space="preserve"> reforms. The transitional tax effect </w:t>
      </w:r>
      <w:r w:rsidR="00160D86">
        <w:t>of this change</w:t>
      </w:r>
      <w:r w:rsidR="00160D86" w:rsidRPr="00252819">
        <w:t xml:space="preserve"> was spread over a five</w:t>
      </w:r>
      <w:r w:rsidR="00160D86" w:rsidRPr="00252819">
        <w:noBreakHyphen/>
        <w:t>year period.</w:t>
      </w:r>
    </w:p>
    <w:p w14:paraId="111DFC85" w14:textId="055F98F8" w:rsidR="002D4E53" w:rsidRDefault="002D4E53" w:rsidP="00890A07">
      <w:pPr>
        <w:pStyle w:val="Heading3"/>
      </w:pPr>
      <w:bookmarkStart w:id="30" w:name="_Toc528923027"/>
      <w:r>
        <w:t>Risk adjustment</w:t>
      </w:r>
      <w:bookmarkEnd w:id="30"/>
    </w:p>
    <w:p w14:paraId="0B6B8EBD" w14:textId="2A9A882C" w:rsidR="00370457" w:rsidRDefault="00370457" w:rsidP="00780344">
      <w:r>
        <w:t xml:space="preserve">AASB17 introduces a risk adjustment for non-financial risk. </w:t>
      </w:r>
      <w:r w:rsidR="00780344">
        <w:t>It is intended to reflect the compensation the</w:t>
      </w:r>
      <w:r w:rsidR="00652F97">
        <w:t xml:space="preserve"> company</w:t>
      </w:r>
      <w:r>
        <w:t xml:space="preserve"> </w:t>
      </w:r>
      <w:r w:rsidR="00780344">
        <w:t xml:space="preserve">requires for </w:t>
      </w:r>
      <w:r>
        <w:t>bearing the uncertainty about the amount and timing of future cash flows that arise from non-financial risk</w:t>
      </w:r>
      <w:r w:rsidR="00AD7BE8">
        <w:t xml:space="preserve"> as the entity fulfils insurance contracts</w:t>
      </w:r>
      <w:r w:rsidR="00652F97">
        <w:t xml:space="preserve">. This includes </w:t>
      </w:r>
      <w:r w:rsidR="00273DCF">
        <w:t>insurance risks, lapse risk and ex</w:t>
      </w:r>
      <w:r w:rsidR="00652F97">
        <w:t>pense risks</w:t>
      </w:r>
      <w:r w:rsidR="00273DCF">
        <w:t xml:space="preserve">. </w:t>
      </w:r>
      <w:r>
        <w:t xml:space="preserve">Examples </w:t>
      </w:r>
      <w:r w:rsidR="006D665A">
        <w:t>of insurance risk include</w:t>
      </w:r>
      <w:r w:rsidR="00273DCF">
        <w:t xml:space="preserve"> </w:t>
      </w:r>
      <w:r>
        <w:t>claims arising from events that have occurred by the reporting date (like a motor vehicle accident or death) or claims under existing contracts arising from events that have not yet occurred (for example, future sickness).</w:t>
      </w:r>
      <w:r w:rsidR="00273DCF">
        <w:t xml:space="preserve"> Lapse risk includes the risk that the policyholder cancels the contract earlier than expected and expense risks refers to risk or unexpected increases in administrative or other costs in servicing the contract, apart from those associated with the insured event.</w:t>
      </w:r>
    </w:p>
    <w:p w14:paraId="5BDBED4C" w14:textId="742214C3" w:rsidR="00370457" w:rsidRDefault="00370457" w:rsidP="00780344">
      <w:r>
        <w:t xml:space="preserve">The risk adjustment is linked to </w:t>
      </w:r>
      <w:r w:rsidR="00652F97">
        <w:t xml:space="preserve">a particular company’s </w:t>
      </w:r>
      <w:r>
        <w:t xml:space="preserve">risk appetite and requires </w:t>
      </w:r>
      <w:r w:rsidR="00652F97">
        <w:t xml:space="preserve">the company </w:t>
      </w:r>
      <w:r>
        <w:t xml:space="preserve">to adjust (increase) the current </w:t>
      </w:r>
      <w:r w:rsidR="00273DCF">
        <w:t xml:space="preserve">(present value) </w:t>
      </w:r>
      <w:r>
        <w:t>estimate by</w:t>
      </w:r>
      <w:r w:rsidR="00273DCF">
        <w:t xml:space="preserve"> an</w:t>
      </w:r>
      <w:r>
        <w:t xml:space="preserve"> </w:t>
      </w:r>
      <w:r w:rsidR="00652F97">
        <w:t>amount that they determine</w:t>
      </w:r>
      <w:r w:rsidR="00273DCF">
        <w:t>.</w:t>
      </w:r>
    </w:p>
    <w:p w14:paraId="50F62F35" w14:textId="47A4FDF9" w:rsidR="00160D86" w:rsidRDefault="00370457" w:rsidP="002D7BF8">
      <w:r>
        <w:t xml:space="preserve">The risk adjustment is relatively similar to the risk margin currently held by general insurers and health insurers under AASB1023 (see section 3). </w:t>
      </w:r>
      <w:r w:rsidR="00273DCF">
        <w:t xml:space="preserve">For </w:t>
      </w:r>
      <w:r>
        <w:t xml:space="preserve">life insurance companies </w:t>
      </w:r>
      <w:r w:rsidR="00273DCF">
        <w:t xml:space="preserve">however, </w:t>
      </w:r>
      <w:r>
        <w:t xml:space="preserve">it is a new accounting component of liabilities. It is expected to </w:t>
      </w:r>
      <w:r w:rsidRPr="00252819">
        <w:t xml:space="preserve">push out the time </w:t>
      </w:r>
      <w:r>
        <w:t>to</w:t>
      </w:r>
      <w:r w:rsidRPr="00252819">
        <w:t xml:space="preserve"> recognise accounting profit and pay income tax in relation to this business.</w:t>
      </w:r>
    </w:p>
    <w:p w14:paraId="5E1270F8" w14:textId="595B924D" w:rsidR="00396A94" w:rsidRDefault="00652F97" w:rsidP="002D7BF8">
      <w:r>
        <w:t xml:space="preserve">The Government is seeking feedback on how the risk adjustment for life insurers should be treated for tax purposes and whether there would be benefits in aligning the treatment across the life, general and health insurance sub-sectors. </w:t>
      </w:r>
      <w:r w:rsidR="000E1621">
        <w:t>This also overlaps with questions in section 2 and 3.</w:t>
      </w:r>
    </w:p>
    <w:p w14:paraId="3FB27909" w14:textId="442CAE1B" w:rsidR="00F967B9" w:rsidRDefault="00A13108" w:rsidP="008836CD">
      <w:pPr>
        <w:pStyle w:val="Heading3"/>
        <w:shd w:val="clear" w:color="auto" w:fill="D5DCE4" w:themeFill="text2" w:themeFillTint="33"/>
        <w:spacing w:after="240"/>
      </w:pPr>
      <w:bookmarkStart w:id="31" w:name="_Toc522199880"/>
      <w:bookmarkStart w:id="32" w:name="_Toc522612814"/>
      <w:bookmarkStart w:id="33" w:name="_Toc528923028"/>
      <w:r>
        <w:t>Questions</w:t>
      </w:r>
      <w:bookmarkEnd w:id="31"/>
      <w:bookmarkEnd w:id="32"/>
      <w:bookmarkEnd w:id="33"/>
    </w:p>
    <w:p w14:paraId="39552E21" w14:textId="6753C85A" w:rsidR="004515DF" w:rsidRPr="004515DF" w:rsidRDefault="004515DF" w:rsidP="00B14101">
      <w:pPr>
        <w:pStyle w:val="Heading5"/>
        <w:shd w:val="clear" w:color="auto" w:fill="D5DCE4" w:themeFill="text2" w:themeFillTint="33"/>
      </w:pPr>
      <w:r>
        <w:t>Stage of implementation</w:t>
      </w:r>
    </w:p>
    <w:p w14:paraId="76D53AD0" w14:textId="3F6FA0E7" w:rsidR="00F967B9" w:rsidRDefault="005E3878" w:rsidP="008836CD">
      <w:pPr>
        <w:shd w:val="clear" w:color="auto" w:fill="D5DCE4" w:themeFill="text2" w:themeFillTint="33"/>
        <w:spacing w:after="240"/>
      </w:pPr>
      <w:r>
        <w:t>1.1</w:t>
      </w:r>
      <w:r>
        <w:tab/>
      </w:r>
      <w:r w:rsidR="00F967B9">
        <w:t>Have you commenced an assessment of the financial implications of AASB17?</w:t>
      </w:r>
    </w:p>
    <w:p w14:paraId="0C646B90" w14:textId="0261CD6D" w:rsidR="00F967B9" w:rsidRDefault="005E3878" w:rsidP="008836CD">
      <w:pPr>
        <w:shd w:val="clear" w:color="auto" w:fill="D5DCE4" w:themeFill="text2" w:themeFillTint="33"/>
        <w:spacing w:after="240"/>
      </w:pPr>
      <w:r>
        <w:t>1.2</w:t>
      </w:r>
      <w:r>
        <w:tab/>
      </w:r>
      <w:r w:rsidR="00F967B9">
        <w:t>Have you completed your assessment of the financial implications of AASB17? If not, when do you anticipate your assessment of the financial implications of AASB17 will be complete?</w:t>
      </w:r>
    </w:p>
    <w:p w14:paraId="5C4E53A1" w14:textId="7D128E35" w:rsidR="00F967B9" w:rsidRDefault="005E3878" w:rsidP="008836CD">
      <w:pPr>
        <w:shd w:val="clear" w:color="auto" w:fill="D5DCE4" w:themeFill="text2" w:themeFillTint="33"/>
        <w:spacing w:after="240"/>
      </w:pPr>
      <w:r>
        <w:t>1.</w:t>
      </w:r>
      <w:r w:rsidR="00890A07">
        <w:t>3</w:t>
      </w:r>
      <w:r>
        <w:tab/>
      </w:r>
      <w:r w:rsidR="00F967B9">
        <w:t>When do you anticipate adopting the standard for the first time?</w:t>
      </w:r>
    </w:p>
    <w:p w14:paraId="3B26D317" w14:textId="1D374514" w:rsidR="004515DF" w:rsidRPr="004515DF" w:rsidRDefault="00DE165D" w:rsidP="00B14101">
      <w:pPr>
        <w:pStyle w:val="Heading5"/>
        <w:shd w:val="clear" w:color="auto" w:fill="D5DCE4" w:themeFill="text2" w:themeFillTint="33"/>
      </w:pPr>
      <w:r>
        <w:t>F</w:t>
      </w:r>
      <w:r w:rsidR="00396A94">
        <w:t>inancial impacts</w:t>
      </w:r>
      <w:r>
        <w:t xml:space="preserve"> for accounting and tax purposes</w:t>
      </w:r>
    </w:p>
    <w:p w14:paraId="2A943DDE" w14:textId="6C61DA38" w:rsidR="005E3878" w:rsidRDefault="005E3878" w:rsidP="008836CD">
      <w:pPr>
        <w:shd w:val="clear" w:color="auto" w:fill="D5DCE4" w:themeFill="text2" w:themeFillTint="33"/>
        <w:spacing w:after="240"/>
      </w:pPr>
      <w:r>
        <w:t>1.</w:t>
      </w:r>
      <w:r w:rsidR="00890A07">
        <w:t>4</w:t>
      </w:r>
      <w:r>
        <w:tab/>
      </w:r>
      <w:r w:rsidR="00252819" w:rsidRPr="00A13108">
        <w:t xml:space="preserve">What </w:t>
      </w:r>
      <w:r w:rsidR="00DE165D">
        <w:t>are</w:t>
      </w:r>
      <w:r>
        <w:t xml:space="preserve"> </w:t>
      </w:r>
      <w:r w:rsidR="00252819" w:rsidRPr="00A13108">
        <w:t xml:space="preserve">the expected </w:t>
      </w:r>
      <w:r>
        <w:t>financial impact</w:t>
      </w:r>
      <w:r w:rsidR="00DE165D">
        <w:t>s</w:t>
      </w:r>
      <w:r>
        <w:t xml:space="preserve"> of AAS</w:t>
      </w:r>
      <w:r w:rsidR="00381772">
        <w:t>B</w:t>
      </w:r>
      <w:r>
        <w:t xml:space="preserve">17 in the first year of adoption (including any transitional adjustment required on implementation of AASB17) and in subsequent years? Please identify both profit </w:t>
      </w:r>
      <w:r w:rsidR="00DE165D">
        <w:t xml:space="preserve">and loss </w:t>
      </w:r>
      <w:r>
        <w:t>and balance sheet impacts and quantify the impact where possible.</w:t>
      </w:r>
    </w:p>
    <w:p w14:paraId="3744EC7B" w14:textId="00FD7AE7" w:rsidR="005E3878" w:rsidRDefault="005E3878" w:rsidP="008836CD">
      <w:pPr>
        <w:shd w:val="clear" w:color="auto" w:fill="D5DCE4" w:themeFill="text2" w:themeFillTint="33"/>
        <w:spacing w:after="240"/>
      </w:pPr>
      <w:r>
        <w:t>1.</w:t>
      </w:r>
      <w:r w:rsidR="00890A07">
        <w:t>5</w:t>
      </w:r>
      <w:r>
        <w:tab/>
        <w:t xml:space="preserve">Are the financial impacts outlined in </w:t>
      </w:r>
      <w:r w:rsidRPr="00382993">
        <w:t>Question</w:t>
      </w:r>
      <w:r w:rsidR="00652F97">
        <w:t xml:space="preserve"> 1.4</w:t>
      </w:r>
      <w:r w:rsidRPr="00382993">
        <w:t xml:space="preserve"> principally</w:t>
      </w:r>
      <w:r>
        <w:t xml:space="preserve"> related to the change to the treatment of Deferred Acquisition </w:t>
      </w:r>
      <w:r w:rsidR="00172DDB">
        <w:t>C</w:t>
      </w:r>
      <w:r>
        <w:t>osts as described in this consultation</w:t>
      </w:r>
      <w:r w:rsidR="00DE165D">
        <w:t xml:space="preserve"> paper</w:t>
      </w:r>
      <w:r>
        <w:t>?</w:t>
      </w:r>
      <w:r w:rsidR="00790C59">
        <w:t xml:space="preserve"> If not, what are the main drivers of the financial impacts?</w:t>
      </w:r>
    </w:p>
    <w:p w14:paraId="590BD593" w14:textId="17609A41" w:rsidR="00B84DD9" w:rsidRDefault="00B84DD9" w:rsidP="008836CD">
      <w:pPr>
        <w:shd w:val="clear" w:color="auto" w:fill="D5DCE4" w:themeFill="text2" w:themeFillTint="33"/>
        <w:spacing w:after="240"/>
      </w:pPr>
      <w:r>
        <w:t>1.6</w:t>
      </w:r>
      <w:r>
        <w:tab/>
        <w:t xml:space="preserve">Should the tax arrangements for </w:t>
      </w:r>
      <w:r w:rsidR="00ED3841">
        <w:t xml:space="preserve">risk </w:t>
      </w:r>
      <w:r>
        <w:t xml:space="preserve">underwriting business be the same for general, life and health insurers (noting that there would need to continue to be separate arrangements for the </w:t>
      </w:r>
      <w:r w:rsidR="00ED3841">
        <w:t>other</w:t>
      </w:r>
      <w:r>
        <w:t xml:space="preserve"> components of life insurance business)? Why or why not?</w:t>
      </w:r>
    </w:p>
    <w:p w14:paraId="3CC3B3BA" w14:textId="700A7B24" w:rsidR="00652F97" w:rsidRDefault="00652F97" w:rsidP="00652F97">
      <w:pPr>
        <w:shd w:val="clear" w:color="auto" w:fill="D5DCE4" w:themeFill="text2" w:themeFillTint="33"/>
        <w:spacing w:after="240"/>
      </w:pPr>
      <w:r>
        <w:t>1.</w:t>
      </w:r>
      <w:r w:rsidR="00B84DD9">
        <w:t>7</w:t>
      </w:r>
      <w:r>
        <w:t>(a)</w:t>
      </w:r>
      <w:r>
        <w:tab/>
        <w:t>What is the estimated impact of risk adjustment in the financial statements?</w:t>
      </w:r>
    </w:p>
    <w:p w14:paraId="4087D61D" w14:textId="5D22FD04" w:rsidR="00790C59" w:rsidRDefault="00790C59" w:rsidP="008836CD">
      <w:pPr>
        <w:shd w:val="clear" w:color="auto" w:fill="D5DCE4" w:themeFill="text2" w:themeFillTint="33"/>
        <w:spacing w:after="240"/>
      </w:pPr>
      <w:r>
        <w:t>1.</w:t>
      </w:r>
      <w:r w:rsidR="00B84DD9">
        <w:t>7</w:t>
      </w:r>
      <w:r w:rsidR="00652F97">
        <w:t>(b</w:t>
      </w:r>
      <w:r>
        <w:t>)</w:t>
      </w:r>
      <w:r>
        <w:tab/>
        <w:t>How should the risk adjustment for life insurers be treated for tax purposes?</w:t>
      </w:r>
      <w:r w:rsidR="00652F97">
        <w:t xml:space="preserve"> Would there be benefits in aligning the treatment across the life, general and health insurance sub-sectors?</w:t>
      </w:r>
    </w:p>
    <w:p w14:paraId="738EF872" w14:textId="2FDA651A" w:rsidR="00733C89" w:rsidRDefault="00733C89" w:rsidP="008836CD">
      <w:pPr>
        <w:shd w:val="clear" w:color="auto" w:fill="D5DCE4" w:themeFill="text2" w:themeFillTint="33"/>
        <w:spacing w:after="240"/>
      </w:pPr>
      <w:r>
        <w:t>1.</w:t>
      </w:r>
      <w:r w:rsidR="00B84DD9">
        <w:t>8</w:t>
      </w:r>
      <w:r>
        <w:tab/>
      </w:r>
      <w:r w:rsidR="00652F97">
        <w:t>Have you identified other areas where implementing AASB17 results in a change in tax treatment</w:t>
      </w:r>
      <w:r>
        <w:t>? If so</w:t>
      </w:r>
      <w:r w:rsidR="00652F97">
        <w:t>, please describe th</w:t>
      </w:r>
      <w:r w:rsidR="00B84DD9">
        <w:t>i</w:t>
      </w:r>
      <w:r w:rsidR="00652F97">
        <w:t>s change, how it arises</w:t>
      </w:r>
      <w:r>
        <w:t xml:space="preserve"> and estimate the value of the impact in the financial statements.</w:t>
      </w:r>
    </w:p>
    <w:p w14:paraId="790EEAE8" w14:textId="35CA6466" w:rsidR="004515DF" w:rsidRPr="004515DF" w:rsidRDefault="00396A94" w:rsidP="00B14101">
      <w:pPr>
        <w:pStyle w:val="Heading5"/>
        <w:shd w:val="clear" w:color="auto" w:fill="D5DCE4" w:themeFill="text2" w:themeFillTint="33"/>
      </w:pPr>
      <w:r>
        <w:t>Linking tax to accounting standards</w:t>
      </w:r>
    </w:p>
    <w:p w14:paraId="1B3FBEDC" w14:textId="6865754D" w:rsidR="005E3878" w:rsidRDefault="005E3878" w:rsidP="008836CD">
      <w:pPr>
        <w:shd w:val="clear" w:color="auto" w:fill="D5DCE4" w:themeFill="text2" w:themeFillTint="33"/>
        <w:spacing w:after="240"/>
      </w:pPr>
      <w:r>
        <w:t>1.</w:t>
      </w:r>
      <w:r w:rsidR="00B84DD9">
        <w:t>9</w:t>
      </w:r>
      <w:r>
        <w:t>(</w:t>
      </w:r>
      <w:r w:rsidR="00733C89">
        <w:t>a</w:t>
      </w:r>
      <w:r>
        <w:t xml:space="preserve">) </w:t>
      </w:r>
      <w:r>
        <w:tab/>
        <w:t>Is it appropriate for the tax outcomes for insurance contracts to be linked (or aligned) to accounting outcomes under AASB17? Why or why not?</w:t>
      </w:r>
    </w:p>
    <w:p w14:paraId="7BC8A0CC" w14:textId="17520988" w:rsidR="005E3878" w:rsidRDefault="005E3878" w:rsidP="008836CD">
      <w:pPr>
        <w:shd w:val="clear" w:color="auto" w:fill="D5DCE4" w:themeFill="text2" w:themeFillTint="33"/>
        <w:spacing w:after="240"/>
      </w:pPr>
      <w:r>
        <w:t>1.</w:t>
      </w:r>
      <w:r w:rsidR="00B84DD9">
        <w:t>9</w:t>
      </w:r>
      <w:r>
        <w:t>(</w:t>
      </w:r>
      <w:r w:rsidR="00733C89">
        <w:t>b</w:t>
      </w:r>
      <w:r>
        <w:t>)</w:t>
      </w:r>
      <w:r>
        <w:tab/>
        <w:t>What are the implications of linking the tax outcomes to AASB17?</w:t>
      </w:r>
    </w:p>
    <w:p w14:paraId="4B0502AA" w14:textId="414451DD" w:rsidR="002A63F7" w:rsidRDefault="005E3878" w:rsidP="008836CD">
      <w:pPr>
        <w:shd w:val="clear" w:color="auto" w:fill="D5DCE4" w:themeFill="text2" w:themeFillTint="33"/>
        <w:spacing w:after="240"/>
      </w:pPr>
      <w:r>
        <w:t>1.</w:t>
      </w:r>
      <w:r w:rsidR="00B84DD9">
        <w:t>9</w:t>
      </w:r>
      <w:r>
        <w:t>(</w:t>
      </w:r>
      <w:r w:rsidR="00733C89">
        <w:t>c</w:t>
      </w:r>
      <w:r>
        <w:t>)</w:t>
      </w:r>
      <w:r>
        <w:tab/>
        <w:t xml:space="preserve">What are the implications of </w:t>
      </w:r>
      <w:r w:rsidRPr="002A63F7">
        <w:rPr>
          <w:b/>
          <w:u w:val="single"/>
        </w:rPr>
        <w:t>not</w:t>
      </w:r>
      <w:r>
        <w:t xml:space="preserve"> linking the tax outcom</w:t>
      </w:r>
      <w:r w:rsidR="008836CD">
        <w:t>es to AASB17?</w:t>
      </w:r>
    </w:p>
    <w:p w14:paraId="6BD1DD0E" w14:textId="7505729C" w:rsidR="008560D7" w:rsidRDefault="00433345" w:rsidP="008560D7">
      <w:pPr>
        <w:shd w:val="clear" w:color="auto" w:fill="D5DCE4" w:themeFill="text2" w:themeFillTint="33"/>
        <w:spacing w:after="0"/>
      </w:pPr>
      <w:r>
        <w:t>1</w:t>
      </w:r>
      <w:r w:rsidR="005E3878">
        <w:t>.</w:t>
      </w:r>
      <w:r w:rsidR="00B84DD9">
        <w:t>10</w:t>
      </w:r>
      <w:r w:rsidR="005E3878">
        <w:tab/>
        <w:t xml:space="preserve">If the tax outcomes are to be aligned </w:t>
      </w:r>
      <w:r w:rsidR="008836CD">
        <w:t xml:space="preserve">with AASB17, are transitional rules required and why? For example, </w:t>
      </w:r>
      <w:r w:rsidR="00C957CE">
        <w:t xml:space="preserve">are rules required </w:t>
      </w:r>
      <w:r w:rsidR="008836CD">
        <w:t xml:space="preserve">to prevent </w:t>
      </w:r>
      <w:r w:rsidR="00C957CE">
        <w:t xml:space="preserve">any </w:t>
      </w:r>
      <w:r w:rsidR="008836CD">
        <w:t>double deductions or non-deductions or to otherwise smooth the impact of the change</w:t>
      </w:r>
      <w:r w:rsidR="00C957CE">
        <w:t>?</w:t>
      </w:r>
      <w:bookmarkStart w:id="34" w:name="_Toc522199881"/>
      <w:bookmarkStart w:id="35" w:name="_Toc522612815"/>
      <w:r w:rsidR="008560D7">
        <w:br w:type="page"/>
      </w:r>
    </w:p>
    <w:p w14:paraId="13F52753" w14:textId="6D1A454A" w:rsidR="00252819" w:rsidRPr="00252819" w:rsidRDefault="00252819" w:rsidP="008560D7">
      <w:pPr>
        <w:pStyle w:val="Heading1"/>
      </w:pPr>
      <w:bookmarkStart w:id="36" w:name="_Toc528923029"/>
      <w:r>
        <w:t>2</w:t>
      </w:r>
      <w:r>
        <w:tab/>
      </w:r>
      <w:r w:rsidRPr="00252819">
        <w:t>Health insurers – should their tax provisions be codified?</w:t>
      </w:r>
      <w:bookmarkEnd w:id="34"/>
      <w:bookmarkEnd w:id="35"/>
      <w:bookmarkEnd w:id="36"/>
    </w:p>
    <w:p w14:paraId="0A7493B1" w14:textId="32860C1D" w:rsidR="000E1621" w:rsidRPr="00252819" w:rsidRDefault="00252819" w:rsidP="00252819">
      <w:r w:rsidRPr="00252819">
        <w:t>Health insurance companies are subject to the same accounting rules as general insurers but are taxed under ordinary principles while life and general insurers are subject to specific taxing regimes.</w:t>
      </w:r>
      <w:r w:rsidR="00ED3841">
        <w:t xml:space="preserve"> </w:t>
      </w:r>
      <w:r w:rsidR="000E1621">
        <w:t xml:space="preserve">Given that </w:t>
      </w:r>
      <w:r w:rsidR="000E1621" w:rsidRPr="00252819">
        <w:t xml:space="preserve">general and health insurance sectors undertake a similar activity of underwriting </w:t>
      </w:r>
      <w:r w:rsidR="00B84DD9">
        <w:t>non</w:t>
      </w:r>
      <w:r w:rsidR="00B84DD9">
        <w:noBreakHyphen/>
        <w:t xml:space="preserve">life </w:t>
      </w:r>
      <w:r w:rsidR="000E1621" w:rsidRPr="00252819">
        <w:t>risk</w:t>
      </w:r>
      <w:r w:rsidR="00B84DD9">
        <w:t>s</w:t>
      </w:r>
      <w:r w:rsidR="000E1621">
        <w:t>, it may be beneficial if there was greater consistency of tax treatment for this business activity.</w:t>
      </w:r>
      <w:r w:rsidR="00B84DD9">
        <w:t xml:space="preserve"> This would also provide health insurers with consistent and certain tax treatment of premium income, claims and liabilities.</w:t>
      </w:r>
    </w:p>
    <w:p w14:paraId="4FE61600" w14:textId="77777777" w:rsidR="00252819" w:rsidRPr="00252819" w:rsidRDefault="00252819" w:rsidP="00A13108">
      <w:pPr>
        <w:pStyle w:val="Heading3"/>
        <w:shd w:val="clear" w:color="auto" w:fill="D5DCE4" w:themeFill="text2" w:themeFillTint="33"/>
      </w:pPr>
      <w:bookmarkStart w:id="37" w:name="_Toc522199882"/>
      <w:bookmarkStart w:id="38" w:name="_Toc522612816"/>
      <w:bookmarkStart w:id="39" w:name="_Toc528923030"/>
      <w:r w:rsidRPr="00252819">
        <w:t>Questions</w:t>
      </w:r>
      <w:bookmarkEnd w:id="37"/>
      <w:bookmarkEnd w:id="38"/>
      <w:bookmarkEnd w:id="39"/>
    </w:p>
    <w:p w14:paraId="48E6E5ED" w14:textId="261443C5" w:rsidR="00252819" w:rsidRPr="00A13108" w:rsidRDefault="00A13108" w:rsidP="00790C59">
      <w:pPr>
        <w:shd w:val="clear" w:color="auto" w:fill="D5DCE4" w:themeFill="text2" w:themeFillTint="33"/>
        <w:spacing w:after="160"/>
      </w:pPr>
      <w:r>
        <w:t>2.1</w:t>
      </w:r>
      <w:r>
        <w:tab/>
      </w:r>
      <w:r w:rsidR="00252819" w:rsidRPr="00A13108">
        <w:t>Should the tax treatment of health insurers be the same as that for general insurers?</w:t>
      </w:r>
    </w:p>
    <w:p w14:paraId="5D0F8C76" w14:textId="1F255BF6" w:rsidR="00252819" w:rsidRPr="00A13108" w:rsidRDefault="00A13108" w:rsidP="00690883">
      <w:pPr>
        <w:shd w:val="clear" w:color="auto" w:fill="D5DCE4" w:themeFill="text2" w:themeFillTint="33"/>
      </w:pPr>
      <w:r>
        <w:t>2.2</w:t>
      </w:r>
      <w:r>
        <w:tab/>
      </w:r>
      <w:r w:rsidR="00252819" w:rsidRPr="00A13108">
        <w:t>Are there any impacts to health insurance companies of aligning their tax treatment to that for general insurance companies (Division 321 of the ITAA1997)?</w:t>
      </w:r>
    </w:p>
    <w:p w14:paraId="498B9EF1" w14:textId="4C8BAEE5" w:rsidR="00407A30" w:rsidRDefault="00A13108" w:rsidP="00690883">
      <w:pPr>
        <w:shd w:val="clear" w:color="auto" w:fill="D5DCE4" w:themeFill="text2" w:themeFillTint="33"/>
        <w:spacing w:after="0"/>
      </w:pPr>
      <w:r>
        <w:t>2.3</w:t>
      </w:r>
      <w:r>
        <w:tab/>
      </w:r>
      <w:r w:rsidR="00252819" w:rsidRPr="00A13108">
        <w:t>Are there items specific to the health insurance sector requiring consideration to implement this change?</w:t>
      </w:r>
    </w:p>
    <w:p w14:paraId="040B219A" w14:textId="6A88B757" w:rsidR="00F73BDE" w:rsidRDefault="00F73BDE" w:rsidP="00A721E8">
      <w:pPr>
        <w:shd w:val="clear" w:color="auto" w:fill="D5DCE4" w:themeFill="text2" w:themeFillTint="33"/>
        <w:spacing w:after="0"/>
      </w:pPr>
      <w:r>
        <w:t>2.</w:t>
      </w:r>
      <w:r w:rsidR="00B84DD9">
        <w:t>4</w:t>
      </w:r>
      <w:r>
        <w:tab/>
        <w:t>Are t</w:t>
      </w:r>
      <w:r w:rsidR="00632444">
        <w:t>here any other changes that should be made to better streamline or ensure consistency of the insurance tax provisions in the law?</w:t>
      </w:r>
    </w:p>
    <w:p w14:paraId="7F138A40" w14:textId="77777777" w:rsidR="008560D7" w:rsidRDefault="008560D7" w:rsidP="00252819">
      <w:pPr>
        <w:pStyle w:val="Heading2"/>
      </w:pPr>
      <w:bookmarkStart w:id="40" w:name="_Toc522199883"/>
      <w:bookmarkStart w:id="41" w:name="_Toc522612817"/>
      <w:r>
        <w:br w:type="page"/>
      </w:r>
    </w:p>
    <w:p w14:paraId="018F50EC" w14:textId="07F93930" w:rsidR="00252819" w:rsidRPr="00252819" w:rsidRDefault="00252819" w:rsidP="008560D7">
      <w:pPr>
        <w:pStyle w:val="Heading1"/>
      </w:pPr>
      <w:bookmarkStart w:id="42" w:name="_Toc528923031"/>
      <w:r>
        <w:t>3</w:t>
      </w:r>
      <w:r>
        <w:tab/>
      </w:r>
      <w:r w:rsidRPr="00252819">
        <w:t>Recognition of outstanding claims</w:t>
      </w:r>
      <w:bookmarkEnd w:id="40"/>
      <w:bookmarkEnd w:id="41"/>
      <w:bookmarkEnd w:id="42"/>
    </w:p>
    <w:p w14:paraId="77BB2C4E" w14:textId="0D07D849" w:rsidR="00DE7A45" w:rsidRPr="00252819" w:rsidRDefault="00DE7A45" w:rsidP="00252819">
      <w:r>
        <w:t>The ou</w:t>
      </w:r>
      <w:r w:rsidR="00252819" w:rsidRPr="00252819">
        <w:t>tstanding claims liability (OCL) is a provision for claims incurred on insured events that have not yet been paid.</w:t>
      </w:r>
      <w:r w:rsidR="00102A6C">
        <w:t xml:space="preserve"> </w:t>
      </w:r>
      <w:r w:rsidR="00607441">
        <w:t xml:space="preserve">Under AASB17, the OCL is called liability for incurred claims and is a note disclosure. </w:t>
      </w:r>
      <w:r w:rsidR="00102A6C">
        <w:t xml:space="preserve">Examples of outstanding claims include claims from an insured event that has occurred and been reported to the insurer but has not been paid in full and claims that the insurer is liable to pay but </w:t>
      </w:r>
      <w:r w:rsidR="006A01CF">
        <w:t>have</w:t>
      </w:r>
      <w:r w:rsidR="00F25597">
        <w:t xml:space="preserve"> </w:t>
      </w:r>
      <w:r w:rsidR="00102A6C">
        <w:t>not yet been reported.</w:t>
      </w:r>
      <w:r>
        <w:t xml:space="preserve"> </w:t>
      </w:r>
    </w:p>
    <w:p w14:paraId="3EB97CF0" w14:textId="72ED7D29" w:rsidR="00652F97" w:rsidRDefault="00652F97" w:rsidP="00652F97">
      <w:r>
        <w:t>Currently, s</w:t>
      </w:r>
      <w:r w:rsidRPr="00252819">
        <w:t xml:space="preserve">ection 321-20 of the </w:t>
      </w:r>
      <w:r w:rsidRPr="005654F9">
        <w:t>ITAA1997</w:t>
      </w:r>
      <w:r w:rsidRPr="00252819">
        <w:t xml:space="preserve"> outlines how </w:t>
      </w:r>
      <w:r>
        <w:t xml:space="preserve">a general insurer is to </w:t>
      </w:r>
      <w:r w:rsidRPr="00252819">
        <w:t>work out the value of the OCL provision.</w:t>
      </w:r>
      <w:r>
        <w:t xml:space="preserve"> It is not</w:t>
      </w:r>
      <w:r w:rsidDel="00184A53">
        <w:t xml:space="preserve"> </w:t>
      </w:r>
      <w:r>
        <w:t xml:space="preserve">explicit in how the </w:t>
      </w:r>
      <w:r w:rsidR="002F5776">
        <w:t xml:space="preserve">OCL provision should be derived. In practice, </w:t>
      </w:r>
      <w:r>
        <w:t xml:space="preserve">the value </w:t>
      </w:r>
      <w:r w:rsidRPr="00252819">
        <w:t>of a general insurer’s OCL is determined by management in conjunction with actuaries</w:t>
      </w:r>
      <w:r>
        <w:t>.</w:t>
      </w:r>
    </w:p>
    <w:p w14:paraId="2B281EF2" w14:textId="0C5AD70F" w:rsidR="00AA0A97" w:rsidRDefault="00DE7A45" w:rsidP="00252819">
      <w:r>
        <w:t>Typically, g</w:t>
      </w:r>
      <w:r w:rsidR="00252819" w:rsidRPr="00252819">
        <w:t>eneral insurers calculate the value of their OCL provision by increasing the central estimate of expected claims costs by a risk margin.</w:t>
      </w:r>
      <w:r>
        <w:t xml:space="preserve"> </w:t>
      </w:r>
      <w:r w:rsidR="00652F97">
        <w:t xml:space="preserve">It reflects that it is not practical to calculate in a strict sense the actual amount that a general insurer can expect to pay to finalise outstanding claims. </w:t>
      </w:r>
      <w:r>
        <w:t>There is flexibility in the tax law over what level of risk margin to apply.</w:t>
      </w:r>
      <w:r w:rsidR="00A721E8">
        <w:t xml:space="preserve"> </w:t>
      </w:r>
      <w:r w:rsidR="00252819" w:rsidRPr="00252819">
        <w:t>Most general insurers report a 75 per cent level of sufficiency</w:t>
      </w:r>
      <w:r w:rsidR="005213BC">
        <w:t xml:space="preserve"> for accounting and tax purposes, aligning with prudential standards</w:t>
      </w:r>
      <w:r w:rsidR="00252819" w:rsidRPr="00252819">
        <w:t xml:space="preserve">, however, some larger general insurers have disclosed a level of sufficiency above 90 per cent </w:t>
      </w:r>
      <w:r w:rsidR="005213BC">
        <w:t>for accounting purposes</w:t>
      </w:r>
      <w:r w:rsidR="009C0662">
        <w:t>.</w:t>
      </w:r>
      <w:r w:rsidR="005213BC">
        <w:t xml:space="preserve"> </w:t>
      </w:r>
      <w:r w:rsidR="009C0662">
        <w:t>These companies have generally aligned their tax calculations to their OCL for accounts. (A</w:t>
      </w:r>
      <w:r w:rsidR="00252819" w:rsidRPr="00252819">
        <w:t xml:space="preserve"> central estimate represents a 50 per cent level of sufficiency and is an amount that is as likely as not to be enough to meet claims). </w:t>
      </w:r>
    </w:p>
    <w:p w14:paraId="6DDA5202" w14:textId="69D760F4" w:rsidR="00652F97" w:rsidRDefault="00252819" w:rsidP="00652F97">
      <w:r w:rsidRPr="00252819">
        <w:t xml:space="preserve">The effect of specifying a higher level of sufficiency is that this </w:t>
      </w:r>
      <w:r w:rsidR="005213BC">
        <w:t>defer</w:t>
      </w:r>
      <w:r w:rsidR="009241BC">
        <w:t>s</w:t>
      </w:r>
      <w:r w:rsidR="005213BC">
        <w:t xml:space="preserve"> a higher amount </w:t>
      </w:r>
      <w:r w:rsidRPr="00252819">
        <w:t xml:space="preserve">that </w:t>
      </w:r>
      <w:r w:rsidR="009C0662">
        <w:t>the insurance company</w:t>
      </w:r>
      <w:r w:rsidRPr="00252819">
        <w:t xml:space="preserve"> both recognise</w:t>
      </w:r>
      <w:r w:rsidR="009C0662">
        <w:t>s</w:t>
      </w:r>
      <w:r w:rsidRPr="00252819">
        <w:t xml:space="preserve"> </w:t>
      </w:r>
      <w:r w:rsidR="005213BC">
        <w:t xml:space="preserve">as </w:t>
      </w:r>
      <w:r w:rsidRPr="00252819">
        <w:t>accounting profit and pay</w:t>
      </w:r>
      <w:r w:rsidR="009C0662">
        <w:t>s</w:t>
      </w:r>
      <w:r w:rsidRPr="00252819">
        <w:t xml:space="preserve"> income tax </w:t>
      </w:r>
      <w:r w:rsidR="005213BC">
        <w:t xml:space="preserve">on </w:t>
      </w:r>
      <w:r w:rsidRPr="00252819">
        <w:t>in relation to this business.</w:t>
      </w:r>
      <w:r w:rsidR="00652F97">
        <w:t xml:space="preserve"> This is because a general insurance company can claim a deduction for an increase in the OCL balance in an income year and will be assessed on any reduction in the OCL balance. </w:t>
      </w:r>
      <w:r w:rsidR="0082250B">
        <w:t xml:space="preserve">The </w:t>
      </w:r>
      <w:r w:rsidR="00652F97">
        <w:t xml:space="preserve">OCL </w:t>
      </w:r>
      <w:r w:rsidR="0082250B">
        <w:t xml:space="preserve">therefore </w:t>
      </w:r>
      <w:r w:rsidR="00652F97">
        <w:t>has an impact on a general insurer’s profit and conseq</w:t>
      </w:r>
      <w:r w:rsidR="0082250B">
        <w:t>uently its income tax liability.</w:t>
      </w:r>
    </w:p>
    <w:p w14:paraId="03020CF3" w14:textId="740FC4D2" w:rsidR="00382993" w:rsidRPr="00252819" w:rsidRDefault="0082250B" w:rsidP="00252819">
      <w:r>
        <w:t xml:space="preserve">The </w:t>
      </w:r>
      <w:r w:rsidR="002F5776">
        <w:t xml:space="preserve">absence of clear criteria </w:t>
      </w:r>
      <w:r>
        <w:t xml:space="preserve">in the current law may </w:t>
      </w:r>
      <w:r w:rsidR="009241BC">
        <w:t>provide</w:t>
      </w:r>
      <w:r>
        <w:t xml:space="preserve"> </w:t>
      </w:r>
      <w:r w:rsidR="00AA0A97">
        <w:t xml:space="preserve">general insurance companies some </w:t>
      </w:r>
      <w:r>
        <w:t xml:space="preserve">ability to determine the </w:t>
      </w:r>
      <w:r w:rsidR="00AA0A97">
        <w:t>level</w:t>
      </w:r>
      <w:r w:rsidR="009241BC">
        <w:t>s</w:t>
      </w:r>
      <w:r w:rsidR="00AA0A97">
        <w:t xml:space="preserve"> of the</w:t>
      </w:r>
      <w:r w:rsidR="00184A53">
        <w:t>ir</w:t>
      </w:r>
      <w:r w:rsidR="00AA0A97">
        <w:t xml:space="preserve"> </w:t>
      </w:r>
      <w:r w:rsidR="00602D7A">
        <w:t xml:space="preserve">OCL </w:t>
      </w:r>
      <w:r w:rsidR="00184A53">
        <w:t>balance</w:t>
      </w:r>
      <w:r w:rsidR="009241BC">
        <w:t xml:space="preserve">, </w:t>
      </w:r>
      <w:r w:rsidR="00184A53">
        <w:t xml:space="preserve">accounting expenses and </w:t>
      </w:r>
      <w:r w:rsidR="00602D7A">
        <w:t>tax deduction</w:t>
      </w:r>
      <w:r w:rsidR="00184A53">
        <w:t>s</w:t>
      </w:r>
      <w:r w:rsidR="009C0662">
        <w:t xml:space="preserve"> for increases in the OCL.</w:t>
      </w:r>
      <w:r>
        <w:t xml:space="preserve"> It may also make the law harder to administer</w:t>
      </w:r>
      <w:r w:rsidR="009241BC">
        <w:t xml:space="preserve">. </w:t>
      </w:r>
      <w:r w:rsidR="00602D7A">
        <w:t>T</w:t>
      </w:r>
      <w:r w:rsidR="00252819" w:rsidRPr="00252819">
        <w:t xml:space="preserve">he ATO has </w:t>
      </w:r>
      <w:r>
        <w:t xml:space="preserve">also </w:t>
      </w:r>
      <w:r w:rsidR="00602D7A">
        <w:t xml:space="preserve">observed </w:t>
      </w:r>
      <w:r w:rsidR="00252819" w:rsidRPr="00252819">
        <w:t>that often little documentation exists to support how the risk margin is determined and how extraneous factors are accounted for</w:t>
      </w:r>
      <w:r w:rsidR="009C0662">
        <w:t>.</w:t>
      </w:r>
    </w:p>
    <w:p w14:paraId="2ECCC943" w14:textId="77777777" w:rsidR="00252819" w:rsidRPr="00252819" w:rsidRDefault="00252819" w:rsidP="00A13108">
      <w:pPr>
        <w:pStyle w:val="Heading3"/>
        <w:shd w:val="clear" w:color="auto" w:fill="D5DCE4" w:themeFill="text2" w:themeFillTint="33"/>
      </w:pPr>
      <w:bookmarkStart w:id="43" w:name="_Toc522199884"/>
      <w:bookmarkStart w:id="44" w:name="_Toc522612818"/>
      <w:bookmarkStart w:id="45" w:name="_Toc528923032"/>
      <w:r w:rsidRPr="00252819">
        <w:t>Questions</w:t>
      </w:r>
      <w:bookmarkEnd w:id="43"/>
      <w:bookmarkEnd w:id="44"/>
      <w:bookmarkEnd w:id="45"/>
    </w:p>
    <w:p w14:paraId="0151D301" w14:textId="2D9E38E7" w:rsidR="00252819" w:rsidRPr="00A13108" w:rsidRDefault="00A13108" w:rsidP="00A13108">
      <w:pPr>
        <w:shd w:val="clear" w:color="auto" w:fill="D5DCE4" w:themeFill="text2" w:themeFillTint="33"/>
        <w:spacing w:after="0"/>
      </w:pPr>
      <w:r>
        <w:t>3.1</w:t>
      </w:r>
      <w:r>
        <w:tab/>
      </w:r>
      <w:r w:rsidR="00A74701">
        <w:t xml:space="preserve">Should </w:t>
      </w:r>
      <w:r w:rsidR="00235939">
        <w:t>the</w:t>
      </w:r>
      <w:r w:rsidR="005213BC">
        <w:t xml:space="preserve"> tax</w:t>
      </w:r>
      <w:r w:rsidR="00235939">
        <w:t xml:space="preserve"> laws specify clear criteria for determining the OCL? Why or why not?</w:t>
      </w:r>
    </w:p>
    <w:p w14:paraId="0472FBE8" w14:textId="56AC2D16" w:rsidR="009C0662" w:rsidRDefault="00A13108" w:rsidP="00B4641F">
      <w:pPr>
        <w:shd w:val="clear" w:color="auto" w:fill="D5DCE4" w:themeFill="text2" w:themeFillTint="33"/>
        <w:spacing w:after="0"/>
      </w:pPr>
      <w:r>
        <w:t>3.2</w:t>
      </w:r>
      <w:r>
        <w:tab/>
      </w:r>
      <w:r w:rsidR="00252819" w:rsidRPr="00A13108">
        <w:t>Are there other adjustments that should be considered if clear criteria are specified?</w:t>
      </w:r>
    </w:p>
    <w:sectPr w:rsidR="009C0662" w:rsidSect="00E1136B">
      <w:headerReference w:type="even" r:id="rId30"/>
      <w:headerReference w:type="default" r:id="rId31"/>
      <w:footerReference w:type="even" r:id="rId32"/>
      <w:footerReference w:type="default" r:id="rId33"/>
      <w:headerReference w:type="first" r:id="rId34"/>
      <w:footerReference w:type="first" r:id="rId35"/>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7687F" w14:textId="77777777" w:rsidR="00DE165D" w:rsidRDefault="00DE165D">
      <w:pPr>
        <w:spacing w:before="0" w:after="0"/>
      </w:pPr>
      <w:r>
        <w:separator/>
      </w:r>
    </w:p>
  </w:endnote>
  <w:endnote w:type="continuationSeparator" w:id="0">
    <w:p w14:paraId="23C4C99E" w14:textId="77777777" w:rsidR="00DE165D" w:rsidRDefault="00DE165D">
      <w:pPr>
        <w:spacing w:before="0" w:after="0"/>
      </w:pPr>
      <w:r>
        <w:continuationSeparator/>
      </w:r>
    </w:p>
  </w:endnote>
  <w:endnote w:type="continuationNotice" w:id="1">
    <w:p w14:paraId="344F5FBE" w14:textId="77777777" w:rsidR="00DE165D" w:rsidRDefault="00DE16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74CE" w14:textId="18F2B1FA" w:rsidR="00DE165D" w:rsidRDefault="00DE165D">
    <w:pPr>
      <w:pStyle w:val="Footer"/>
    </w:pPr>
  </w:p>
  <w:p w14:paraId="31A292A5" w14:textId="47DF81D9" w:rsidR="00DE165D" w:rsidRDefault="00DE165D" w:rsidP="00BA3296">
    <w:pPr>
      <w:pStyle w:val="SecurityClassification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179E9" w14:textId="77777777" w:rsidR="00DE165D" w:rsidRDefault="00DE16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44280" w14:textId="03174473" w:rsidR="00DE165D" w:rsidRDefault="00DE165D" w:rsidP="005C52DA">
    <w:pPr>
      <w:pStyle w:val="SecurityClassificationFoote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E0558" w14:textId="32D6EDB0" w:rsidR="00DE165D" w:rsidRDefault="00DE165D" w:rsidP="0017089D">
    <w:r>
      <w:fldChar w:fldCharType="begin"/>
    </w:r>
    <w:r>
      <w:instrText xml:space="preserve"> PAGE  \* Arabic  \* MERGEFORMAT </w:instrText>
    </w:r>
    <w:r>
      <w:fldChar w:fldCharType="separate"/>
    </w:r>
    <w:r>
      <w:t>6</w:t>
    </w:r>
    <w:r>
      <w:fldChar w:fldCharType="end"/>
    </w:r>
  </w:p>
  <w:p w14:paraId="7A693BEC" w14:textId="534E04C8" w:rsidR="00DE165D" w:rsidRPr="00E77C89" w:rsidRDefault="00DE165D" w:rsidP="00BA3296">
    <w:pPr>
      <w:pStyle w:val="SecurityClassification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B6E29" w14:textId="07E8053E" w:rsidR="00DE165D" w:rsidRDefault="00DE165D" w:rsidP="0017089D"/>
  <w:p w14:paraId="6B1DE374" w14:textId="77777777" w:rsidR="00DE165D" w:rsidRPr="00E77C89" w:rsidRDefault="00DE165D" w:rsidP="001708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302DB" w14:textId="298328C4" w:rsidR="00DE165D" w:rsidRPr="00E1136B" w:rsidRDefault="00DE165D" w:rsidP="005C52DA">
    <w:pPr>
      <w:pStyle w:val="Footer"/>
      <w:rPr>
        <w:noProof/>
      </w:rPr>
    </w:pPr>
    <w:r>
      <w:fldChar w:fldCharType="begin"/>
    </w:r>
    <w:r>
      <w:instrText xml:space="preserve"> PAGE   \* MERGEFORMAT </w:instrText>
    </w:r>
    <w:r>
      <w:fldChar w:fldCharType="separate"/>
    </w:r>
    <w:r w:rsidR="00E23BB2">
      <w:rPr>
        <w:noProof/>
      </w:rPr>
      <w:t>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9D230" w14:textId="485E421F" w:rsidR="00DE165D" w:rsidRDefault="00DE165D">
    <w:pPr>
      <w:pStyle w:val="Footer"/>
    </w:pPr>
  </w:p>
  <w:p w14:paraId="631B70DB" w14:textId="520F47CF" w:rsidR="00DE165D" w:rsidRDefault="00DE165D" w:rsidP="00BA3296">
    <w:pPr>
      <w:pStyle w:val="SecurityClassification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C73CA" w14:textId="77777777" w:rsidR="00DE165D" w:rsidRDefault="00DE165D">
      <w:pPr>
        <w:spacing w:before="0" w:after="0"/>
      </w:pPr>
      <w:r>
        <w:separator/>
      </w:r>
    </w:p>
  </w:footnote>
  <w:footnote w:type="continuationSeparator" w:id="0">
    <w:p w14:paraId="371FFBF8" w14:textId="77777777" w:rsidR="00DE165D" w:rsidRDefault="00DE165D">
      <w:pPr>
        <w:spacing w:before="0" w:after="0"/>
      </w:pPr>
      <w:r>
        <w:continuationSeparator/>
      </w:r>
    </w:p>
  </w:footnote>
  <w:footnote w:type="continuationNotice" w:id="1">
    <w:p w14:paraId="0FE8A724" w14:textId="77777777" w:rsidR="00DE165D" w:rsidRDefault="00DE165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0132D" w14:textId="77777777" w:rsidR="00DE165D" w:rsidRDefault="00DE16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7DE4F" w14:textId="530EEAA8" w:rsidR="00DE165D" w:rsidRDefault="00DE165D">
    <w:pPr>
      <w:pStyle w:val="Header"/>
    </w:pPr>
    <w:r>
      <w:rPr>
        <w:noProof/>
      </w:rPr>
      <w:drawing>
        <wp:anchor distT="0" distB="0" distL="114300" distR="114300" simplePos="0" relativeHeight="251657728" behindDoc="1" locked="0" layoutInCell="1" allowOverlap="1" wp14:anchorId="329F90DF" wp14:editId="7D06B00B">
          <wp:simplePos x="0" y="0"/>
          <wp:positionH relativeFrom="page">
            <wp:align>center</wp:align>
          </wp:positionH>
          <wp:positionV relativeFrom="page">
            <wp:posOffset>4860925</wp:posOffset>
          </wp:positionV>
          <wp:extent cx="7199630" cy="567563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30" cy="56756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0" layoutInCell="1" allowOverlap="1" wp14:anchorId="0BD134AC" wp14:editId="73DE4F92">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E3438" w14:textId="77777777" w:rsidR="00DE165D" w:rsidRDefault="00DE16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E5FF3" w14:textId="012BD311" w:rsidR="00DE165D" w:rsidRPr="001F3912" w:rsidRDefault="00DE165D"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E1F14" w14:textId="648531DB" w:rsidR="00DE165D" w:rsidRPr="00BA3296" w:rsidRDefault="00DE165D" w:rsidP="00BA329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58DCA" w14:textId="264B8781" w:rsidR="00DE165D" w:rsidRDefault="00DE165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4E69D" w14:textId="16A61AA7" w:rsidR="00DE165D" w:rsidRPr="00BA3296" w:rsidRDefault="00DE165D" w:rsidP="00BA329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2B03" w14:textId="0EC28E02" w:rsidR="00DE165D" w:rsidRPr="001F3912" w:rsidRDefault="00E23BB2" w:rsidP="001606CF">
    <w:pPr>
      <w:pStyle w:val="Header"/>
    </w:pPr>
    <w:r>
      <w:fldChar w:fldCharType="begin"/>
    </w:r>
    <w:r>
      <w:instrText xml:space="preserve"> STYLEREF  Title  \* MERGEFORMAT </w:instrText>
    </w:r>
    <w:r>
      <w:fldChar w:fldCharType="separate"/>
    </w:r>
    <w:r>
      <w:rPr>
        <w:noProof/>
      </w:rPr>
      <w:t>Taxation of insurance companies</w:t>
    </w:r>
    <w:r>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25E7B" w14:textId="731A467E" w:rsidR="00DE165D" w:rsidRPr="005C52DA" w:rsidRDefault="00DE1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7E01041"/>
    <w:multiLevelType w:val="hybridMultilevel"/>
    <w:tmpl w:val="2788DF1A"/>
    <w:lvl w:ilvl="0" w:tplc="7FE0431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10D2021"/>
    <w:multiLevelType w:val="multilevel"/>
    <w:tmpl w:val="72F8140E"/>
    <w:numStyleLink w:val="OutlineList"/>
  </w:abstractNum>
  <w:abstractNum w:abstractNumId="11">
    <w:nsid w:val="51F57452"/>
    <w:multiLevelType w:val="hybridMultilevel"/>
    <w:tmpl w:val="63285A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54080C02"/>
    <w:multiLevelType w:val="multilevel"/>
    <w:tmpl w:val="0B1439E6"/>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7"/>
  </w:num>
  <w:num w:numId="2">
    <w:abstractNumId w:val="0"/>
  </w:num>
  <w:num w:numId="3">
    <w:abstractNumId w:val="9"/>
  </w:num>
  <w:num w:numId="4">
    <w:abstractNumId w:val="2"/>
  </w:num>
  <w:num w:numId="5">
    <w:abstractNumId w:val="3"/>
  </w:num>
  <w:num w:numId="6">
    <w:abstractNumId w:val="10"/>
  </w:num>
  <w:num w:numId="7">
    <w:abstractNumId w:val="8"/>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6"/>
  </w:num>
  <w:num w:numId="11">
    <w:abstractNumId w:val="13"/>
  </w:num>
  <w:num w:numId="12">
    <w:abstractNumId w:val="10"/>
  </w:num>
  <w:num w:numId="13">
    <w:abstractNumId w:val="6"/>
  </w:num>
  <w:num w:numId="14">
    <w:abstractNumId w:val="8"/>
  </w:num>
  <w:num w:numId="15">
    <w:abstractNumId w:val="12"/>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C72992"/>
    <w:rsid w:val="00004E66"/>
    <w:rsid w:val="00011725"/>
    <w:rsid w:val="00012C62"/>
    <w:rsid w:val="0002544D"/>
    <w:rsid w:val="0003308E"/>
    <w:rsid w:val="00040F11"/>
    <w:rsid w:val="00041A8B"/>
    <w:rsid w:val="0004274D"/>
    <w:rsid w:val="00044C0A"/>
    <w:rsid w:val="00054694"/>
    <w:rsid w:val="00056880"/>
    <w:rsid w:val="000675D1"/>
    <w:rsid w:val="0007102C"/>
    <w:rsid w:val="00073521"/>
    <w:rsid w:val="000775DE"/>
    <w:rsid w:val="00081EF4"/>
    <w:rsid w:val="000858F2"/>
    <w:rsid w:val="0008751C"/>
    <w:rsid w:val="00087FAF"/>
    <w:rsid w:val="000957A2"/>
    <w:rsid w:val="00097D67"/>
    <w:rsid w:val="000A2D63"/>
    <w:rsid w:val="000A55D1"/>
    <w:rsid w:val="000A7334"/>
    <w:rsid w:val="000B6095"/>
    <w:rsid w:val="000C5F40"/>
    <w:rsid w:val="000E0B74"/>
    <w:rsid w:val="000E1621"/>
    <w:rsid w:val="000F0BF8"/>
    <w:rsid w:val="000F6C09"/>
    <w:rsid w:val="000F7517"/>
    <w:rsid w:val="000F7CCE"/>
    <w:rsid w:val="00102A6C"/>
    <w:rsid w:val="0010501C"/>
    <w:rsid w:val="00113D86"/>
    <w:rsid w:val="00114CBF"/>
    <w:rsid w:val="001242CB"/>
    <w:rsid w:val="00130016"/>
    <w:rsid w:val="00140334"/>
    <w:rsid w:val="00140363"/>
    <w:rsid w:val="0014091C"/>
    <w:rsid w:val="001606CF"/>
    <w:rsid w:val="00160D86"/>
    <w:rsid w:val="0016128D"/>
    <w:rsid w:val="0017089D"/>
    <w:rsid w:val="00172DDB"/>
    <w:rsid w:val="001745EB"/>
    <w:rsid w:val="00176CF7"/>
    <w:rsid w:val="00183EDE"/>
    <w:rsid w:val="00184A53"/>
    <w:rsid w:val="0019101A"/>
    <w:rsid w:val="001A1AFF"/>
    <w:rsid w:val="001B4054"/>
    <w:rsid w:val="001C358D"/>
    <w:rsid w:val="001D471E"/>
    <w:rsid w:val="001D5AC5"/>
    <w:rsid w:val="001E7F20"/>
    <w:rsid w:val="001F2756"/>
    <w:rsid w:val="001F7FAE"/>
    <w:rsid w:val="00203894"/>
    <w:rsid w:val="002104D1"/>
    <w:rsid w:val="0021252D"/>
    <w:rsid w:val="0022190E"/>
    <w:rsid w:val="00231049"/>
    <w:rsid w:val="002314D2"/>
    <w:rsid w:val="00231E7A"/>
    <w:rsid w:val="00234C49"/>
    <w:rsid w:val="00234F31"/>
    <w:rsid w:val="00235939"/>
    <w:rsid w:val="002372A6"/>
    <w:rsid w:val="00251675"/>
    <w:rsid w:val="00252819"/>
    <w:rsid w:val="00257AEE"/>
    <w:rsid w:val="002612BE"/>
    <w:rsid w:val="00263B6C"/>
    <w:rsid w:val="00267F0F"/>
    <w:rsid w:val="00271EF9"/>
    <w:rsid w:val="00273DCF"/>
    <w:rsid w:val="0027590B"/>
    <w:rsid w:val="00285969"/>
    <w:rsid w:val="00291A5C"/>
    <w:rsid w:val="002940EC"/>
    <w:rsid w:val="00296F06"/>
    <w:rsid w:val="002A63F7"/>
    <w:rsid w:val="002B10ED"/>
    <w:rsid w:val="002B137A"/>
    <w:rsid w:val="002B3829"/>
    <w:rsid w:val="002B5C39"/>
    <w:rsid w:val="002C3AA4"/>
    <w:rsid w:val="002C5801"/>
    <w:rsid w:val="002D1E4D"/>
    <w:rsid w:val="002D488F"/>
    <w:rsid w:val="002D4E53"/>
    <w:rsid w:val="002D79F7"/>
    <w:rsid w:val="002D7BF8"/>
    <w:rsid w:val="002E19E8"/>
    <w:rsid w:val="002E3369"/>
    <w:rsid w:val="002E3C13"/>
    <w:rsid w:val="002F5776"/>
    <w:rsid w:val="002F617F"/>
    <w:rsid w:val="003122F4"/>
    <w:rsid w:val="003155C3"/>
    <w:rsid w:val="00322128"/>
    <w:rsid w:val="003268D5"/>
    <w:rsid w:val="00340F83"/>
    <w:rsid w:val="00344779"/>
    <w:rsid w:val="00354D27"/>
    <w:rsid w:val="00354E75"/>
    <w:rsid w:val="00370457"/>
    <w:rsid w:val="00381772"/>
    <w:rsid w:val="00382993"/>
    <w:rsid w:val="003839F0"/>
    <w:rsid w:val="0038565A"/>
    <w:rsid w:val="003858A6"/>
    <w:rsid w:val="00392DCC"/>
    <w:rsid w:val="00396A94"/>
    <w:rsid w:val="003B303F"/>
    <w:rsid w:val="003B3FBF"/>
    <w:rsid w:val="003C2487"/>
    <w:rsid w:val="003D24F1"/>
    <w:rsid w:val="003D48DF"/>
    <w:rsid w:val="003E219D"/>
    <w:rsid w:val="003E4D87"/>
    <w:rsid w:val="003F71F2"/>
    <w:rsid w:val="00400D6F"/>
    <w:rsid w:val="00401828"/>
    <w:rsid w:val="0040793B"/>
    <w:rsid w:val="00407A30"/>
    <w:rsid w:val="004134E3"/>
    <w:rsid w:val="00416762"/>
    <w:rsid w:val="00433345"/>
    <w:rsid w:val="00437734"/>
    <w:rsid w:val="00445265"/>
    <w:rsid w:val="00447E40"/>
    <w:rsid w:val="004515DF"/>
    <w:rsid w:val="004559CE"/>
    <w:rsid w:val="00464AD0"/>
    <w:rsid w:val="004741B6"/>
    <w:rsid w:val="00475B7B"/>
    <w:rsid w:val="00475F4D"/>
    <w:rsid w:val="00482AD1"/>
    <w:rsid w:val="00483049"/>
    <w:rsid w:val="00483671"/>
    <w:rsid w:val="0049096C"/>
    <w:rsid w:val="00492FCB"/>
    <w:rsid w:val="00493366"/>
    <w:rsid w:val="004938D1"/>
    <w:rsid w:val="004951A8"/>
    <w:rsid w:val="00496B87"/>
    <w:rsid w:val="0049714C"/>
    <w:rsid w:val="004979D2"/>
    <w:rsid w:val="004A6C94"/>
    <w:rsid w:val="004A7BC2"/>
    <w:rsid w:val="004C4008"/>
    <w:rsid w:val="004E0B07"/>
    <w:rsid w:val="004F1164"/>
    <w:rsid w:val="004F7895"/>
    <w:rsid w:val="004F7EB7"/>
    <w:rsid w:val="005015F2"/>
    <w:rsid w:val="0051296D"/>
    <w:rsid w:val="00513C96"/>
    <w:rsid w:val="005156BF"/>
    <w:rsid w:val="00516785"/>
    <w:rsid w:val="005213BC"/>
    <w:rsid w:val="0052419D"/>
    <w:rsid w:val="005301F8"/>
    <w:rsid w:val="005312FC"/>
    <w:rsid w:val="005321EC"/>
    <w:rsid w:val="0053603D"/>
    <w:rsid w:val="00546C64"/>
    <w:rsid w:val="00553694"/>
    <w:rsid w:val="00553E2E"/>
    <w:rsid w:val="00565473"/>
    <w:rsid w:val="005654F9"/>
    <w:rsid w:val="005745CE"/>
    <w:rsid w:val="00581E84"/>
    <w:rsid w:val="0058235F"/>
    <w:rsid w:val="005868DE"/>
    <w:rsid w:val="00597855"/>
    <w:rsid w:val="005B0FC8"/>
    <w:rsid w:val="005C01F8"/>
    <w:rsid w:val="005C52DA"/>
    <w:rsid w:val="005D446F"/>
    <w:rsid w:val="005D58AB"/>
    <w:rsid w:val="005E0DB2"/>
    <w:rsid w:val="005E3878"/>
    <w:rsid w:val="005E6EEA"/>
    <w:rsid w:val="0060295F"/>
    <w:rsid w:val="00602D7A"/>
    <w:rsid w:val="0060595B"/>
    <w:rsid w:val="00605AFD"/>
    <w:rsid w:val="00607441"/>
    <w:rsid w:val="00607C7C"/>
    <w:rsid w:val="006100F8"/>
    <w:rsid w:val="006123D4"/>
    <w:rsid w:val="00614B4D"/>
    <w:rsid w:val="006167D8"/>
    <w:rsid w:val="00622803"/>
    <w:rsid w:val="00632444"/>
    <w:rsid w:val="00637C14"/>
    <w:rsid w:val="00643EE9"/>
    <w:rsid w:val="00652F97"/>
    <w:rsid w:val="00656356"/>
    <w:rsid w:val="0066521E"/>
    <w:rsid w:val="00666D28"/>
    <w:rsid w:val="006677C3"/>
    <w:rsid w:val="006755BF"/>
    <w:rsid w:val="00686165"/>
    <w:rsid w:val="00690883"/>
    <w:rsid w:val="00691CB5"/>
    <w:rsid w:val="00697E87"/>
    <w:rsid w:val="006A01CF"/>
    <w:rsid w:val="006A5F36"/>
    <w:rsid w:val="006A6EE1"/>
    <w:rsid w:val="006B5E7C"/>
    <w:rsid w:val="006B7E77"/>
    <w:rsid w:val="006C3837"/>
    <w:rsid w:val="006C645D"/>
    <w:rsid w:val="006D42C7"/>
    <w:rsid w:val="006D665A"/>
    <w:rsid w:val="006E3CC3"/>
    <w:rsid w:val="006F607B"/>
    <w:rsid w:val="006F656C"/>
    <w:rsid w:val="00703198"/>
    <w:rsid w:val="007039F1"/>
    <w:rsid w:val="00703C6A"/>
    <w:rsid w:val="00707014"/>
    <w:rsid w:val="00715E7A"/>
    <w:rsid w:val="00727540"/>
    <w:rsid w:val="00733363"/>
    <w:rsid w:val="00733C89"/>
    <w:rsid w:val="00740831"/>
    <w:rsid w:val="00740E2E"/>
    <w:rsid w:val="00745A87"/>
    <w:rsid w:val="007559FA"/>
    <w:rsid w:val="0075758F"/>
    <w:rsid w:val="00780344"/>
    <w:rsid w:val="0078509F"/>
    <w:rsid w:val="00790C59"/>
    <w:rsid w:val="00794499"/>
    <w:rsid w:val="007A252D"/>
    <w:rsid w:val="007A55CC"/>
    <w:rsid w:val="007B7474"/>
    <w:rsid w:val="007C7BD5"/>
    <w:rsid w:val="007D5AA6"/>
    <w:rsid w:val="007E2AB9"/>
    <w:rsid w:val="007E6456"/>
    <w:rsid w:val="007F2CE9"/>
    <w:rsid w:val="007F6897"/>
    <w:rsid w:val="00800C6F"/>
    <w:rsid w:val="0080270D"/>
    <w:rsid w:val="00802960"/>
    <w:rsid w:val="008209F1"/>
    <w:rsid w:val="0082250B"/>
    <w:rsid w:val="00823990"/>
    <w:rsid w:val="00834243"/>
    <w:rsid w:val="00852BA6"/>
    <w:rsid w:val="00855618"/>
    <w:rsid w:val="008560D7"/>
    <w:rsid w:val="00857969"/>
    <w:rsid w:val="00862779"/>
    <w:rsid w:val="00873383"/>
    <w:rsid w:val="0088128A"/>
    <w:rsid w:val="008836CD"/>
    <w:rsid w:val="00890A07"/>
    <w:rsid w:val="008A1187"/>
    <w:rsid w:val="008A7C7E"/>
    <w:rsid w:val="008B1499"/>
    <w:rsid w:val="008B3B1E"/>
    <w:rsid w:val="008C27DF"/>
    <w:rsid w:val="008D339F"/>
    <w:rsid w:val="008D7F38"/>
    <w:rsid w:val="008E54A5"/>
    <w:rsid w:val="008E6292"/>
    <w:rsid w:val="008F3726"/>
    <w:rsid w:val="008F5F84"/>
    <w:rsid w:val="00902711"/>
    <w:rsid w:val="009068FC"/>
    <w:rsid w:val="009241BC"/>
    <w:rsid w:val="00925AA5"/>
    <w:rsid w:val="0094019D"/>
    <w:rsid w:val="00942C11"/>
    <w:rsid w:val="00942F06"/>
    <w:rsid w:val="009520D4"/>
    <w:rsid w:val="00964656"/>
    <w:rsid w:val="00964BED"/>
    <w:rsid w:val="00965E14"/>
    <w:rsid w:val="009732EC"/>
    <w:rsid w:val="0097789C"/>
    <w:rsid w:val="009816E1"/>
    <w:rsid w:val="009821CE"/>
    <w:rsid w:val="009852CF"/>
    <w:rsid w:val="00990B3D"/>
    <w:rsid w:val="00990BFA"/>
    <w:rsid w:val="00990D42"/>
    <w:rsid w:val="009A658F"/>
    <w:rsid w:val="009A668A"/>
    <w:rsid w:val="009C0662"/>
    <w:rsid w:val="009C76B6"/>
    <w:rsid w:val="009D11A2"/>
    <w:rsid w:val="009D1445"/>
    <w:rsid w:val="009D7C3E"/>
    <w:rsid w:val="009E3F58"/>
    <w:rsid w:val="009F26D6"/>
    <w:rsid w:val="009F4A1F"/>
    <w:rsid w:val="00A13108"/>
    <w:rsid w:val="00A16E03"/>
    <w:rsid w:val="00A260CD"/>
    <w:rsid w:val="00A34448"/>
    <w:rsid w:val="00A34D10"/>
    <w:rsid w:val="00A368C4"/>
    <w:rsid w:val="00A3749B"/>
    <w:rsid w:val="00A56C0E"/>
    <w:rsid w:val="00A62E42"/>
    <w:rsid w:val="00A64A71"/>
    <w:rsid w:val="00A65992"/>
    <w:rsid w:val="00A71260"/>
    <w:rsid w:val="00A721E8"/>
    <w:rsid w:val="00A74701"/>
    <w:rsid w:val="00AA0A97"/>
    <w:rsid w:val="00AA2C71"/>
    <w:rsid w:val="00AA44F7"/>
    <w:rsid w:val="00AD7BE8"/>
    <w:rsid w:val="00AE2F90"/>
    <w:rsid w:val="00B00274"/>
    <w:rsid w:val="00B036E4"/>
    <w:rsid w:val="00B13B52"/>
    <w:rsid w:val="00B14101"/>
    <w:rsid w:val="00B3149D"/>
    <w:rsid w:val="00B338B0"/>
    <w:rsid w:val="00B35557"/>
    <w:rsid w:val="00B36AE0"/>
    <w:rsid w:val="00B4641F"/>
    <w:rsid w:val="00B5257E"/>
    <w:rsid w:val="00B55E58"/>
    <w:rsid w:val="00B70331"/>
    <w:rsid w:val="00B770FF"/>
    <w:rsid w:val="00B82EF9"/>
    <w:rsid w:val="00B84DD9"/>
    <w:rsid w:val="00B84EBA"/>
    <w:rsid w:val="00B85099"/>
    <w:rsid w:val="00B85F47"/>
    <w:rsid w:val="00B87927"/>
    <w:rsid w:val="00B92619"/>
    <w:rsid w:val="00B92D9E"/>
    <w:rsid w:val="00BA022F"/>
    <w:rsid w:val="00BA3296"/>
    <w:rsid w:val="00BC3ECE"/>
    <w:rsid w:val="00BD5650"/>
    <w:rsid w:val="00BE4D66"/>
    <w:rsid w:val="00C00403"/>
    <w:rsid w:val="00C24B9E"/>
    <w:rsid w:val="00C24FBA"/>
    <w:rsid w:val="00C30297"/>
    <w:rsid w:val="00C54E4E"/>
    <w:rsid w:val="00C56FE4"/>
    <w:rsid w:val="00C663AB"/>
    <w:rsid w:val="00C72992"/>
    <w:rsid w:val="00C85314"/>
    <w:rsid w:val="00C91341"/>
    <w:rsid w:val="00C957CE"/>
    <w:rsid w:val="00CA46D6"/>
    <w:rsid w:val="00CA4BC0"/>
    <w:rsid w:val="00CC559D"/>
    <w:rsid w:val="00CD36F6"/>
    <w:rsid w:val="00CD654B"/>
    <w:rsid w:val="00CD6BD4"/>
    <w:rsid w:val="00CE223E"/>
    <w:rsid w:val="00CE2281"/>
    <w:rsid w:val="00CF7DB3"/>
    <w:rsid w:val="00D145F5"/>
    <w:rsid w:val="00D2481D"/>
    <w:rsid w:val="00D30221"/>
    <w:rsid w:val="00D355F0"/>
    <w:rsid w:val="00D45AF8"/>
    <w:rsid w:val="00D51C05"/>
    <w:rsid w:val="00D53677"/>
    <w:rsid w:val="00D6673C"/>
    <w:rsid w:val="00D83BD9"/>
    <w:rsid w:val="00D840D5"/>
    <w:rsid w:val="00D84657"/>
    <w:rsid w:val="00D87510"/>
    <w:rsid w:val="00D95FB9"/>
    <w:rsid w:val="00DA686B"/>
    <w:rsid w:val="00DB514E"/>
    <w:rsid w:val="00DB7F09"/>
    <w:rsid w:val="00DC00E8"/>
    <w:rsid w:val="00DC62AB"/>
    <w:rsid w:val="00DC6B0B"/>
    <w:rsid w:val="00DE03A1"/>
    <w:rsid w:val="00DE165D"/>
    <w:rsid w:val="00DE7A45"/>
    <w:rsid w:val="00DF0159"/>
    <w:rsid w:val="00DF5DEC"/>
    <w:rsid w:val="00E00039"/>
    <w:rsid w:val="00E00139"/>
    <w:rsid w:val="00E10D39"/>
    <w:rsid w:val="00E1136B"/>
    <w:rsid w:val="00E15B7E"/>
    <w:rsid w:val="00E224D1"/>
    <w:rsid w:val="00E22D51"/>
    <w:rsid w:val="00E238CB"/>
    <w:rsid w:val="00E23BB2"/>
    <w:rsid w:val="00E35FA1"/>
    <w:rsid w:val="00E41BA0"/>
    <w:rsid w:val="00E50E7C"/>
    <w:rsid w:val="00E51545"/>
    <w:rsid w:val="00E55326"/>
    <w:rsid w:val="00E60F98"/>
    <w:rsid w:val="00E711D7"/>
    <w:rsid w:val="00E816A6"/>
    <w:rsid w:val="00E85F45"/>
    <w:rsid w:val="00E902B0"/>
    <w:rsid w:val="00E902E8"/>
    <w:rsid w:val="00E91ABA"/>
    <w:rsid w:val="00EA6EAF"/>
    <w:rsid w:val="00EB030F"/>
    <w:rsid w:val="00EC6B16"/>
    <w:rsid w:val="00EC7432"/>
    <w:rsid w:val="00ED3841"/>
    <w:rsid w:val="00EE56A8"/>
    <w:rsid w:val="00EE677F"/>
    <w:rsid w:val="00EF0D9D"/>
    <w:rsid w:val="00F0082D"/>
    <w:rsid w:val="00F07745"/>
    <w:rsid w:val="00F07C90"/>
    <w:rsid w:val="00F13B93"/>
    <w:rsid w:val="00F20469"/>
    <w:rsid w:val="00F25597"/>
    <w:rsid w:val="00F44792"/>
    <w:rsid w:val="00F44D21"/>
    <w:rsid w:val="00F55584"/>
    <w:rsid w:val="00F666F3"/>
    <w:rsid w:val="00F66B9F"/>
    <w:rsid w:val="00F715A5"/>
    <w:rsid w:val="00F71A0E"/>
    <w:rsid w:val="00F73BDE"/>
    <w:rsid w:val="00F86340"/>
    <w:rsid w:val="00F91B58"/>
    <w:rsid w:val="00F92279"/>
    <w:rsid w:val="00F9288F"/>
    <w:rsid w:val="00F93F56"/>
    <w:rsid w:val="00F95E39"/>
    <w:rsid w:val="00F967B9"/>
    <w:rsid w:val="00FA109D"/>
    <w:rsid w:val="00FA3026"/>
    <w:rsid w:val="00FB64AA"/>
    <w:rsid w:val="00FC1F5B"/>
    <w:rsid w:val="00FC6ADA"/>
    <w:rsid w:val="00FC7DF4"/>
    <w:rsid w:val="00FF08CB"/>
    <w:rsid w:val="00FF5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C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 + line,b1,Body,level 1,Bullet + line"/>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 line Char Char,b Char,b Char Char,b1 Char,b + line Char,Body Char,level 1 Char,Bulleted Para Char,Bullets Char,FooterText Char,L Char,List Paragraph1 Char,List Paragraph11 Char,List Paragraph2 Char,Number Char,List Paragraph Char"/>
    <w:basedOn w:val="DefaultParagraphFont"/>
    <w:link w:val="Bullet"/>
    <w:qFormat/>
    <w:rsid w:val="00252819"/>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733363"/>
    <w:rPr>
      <w:sz w:val="16"/>
      <w:szCs w:val="16"/>
    </w:rPr>
  </w:style>
  <w:style w:type="paragraph" w:styleId="CommentText">
    <w:name w:val="annotation text"/>
    <w:basedOn w:val="Normal"/>
    <w:link w:val="CommentTextChar"/>
    <w:uiPriority w:val="99"/>
    <w:semiHidden/>
    <w:unhideWhenUsed/>
    <w:rsid w:val="00733363"/>
    <w:rPr>
      <w:sz w:val="20"/>
    </w:rPr>
  </w:style>
  <w:style w:type="character" w:customStyle="1" w:styleId="CommentTextChar">
    <w:name w:val="Comment Text Char"/>
    <w:basedOn w:val="DefaultParagraphFont"/>
    <w:link w:val="CommentText"/>
    <w:uiPriority w:val="99"/>
    <w:semiHidden/>
    <w:rsid w:val="0073336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33363"/>
    <w:rPr>
      <w:b/>
      <w:bCs/>
    </w:rPr>
  </w:style>
  <w:style w:type="character" w:customStyle="1" w:styleId="CommentSubjectChar">
    <w:name w:val="Comment Subject Char"/>
    <w:basedOn w:val="CommentTextChar"/>
    <w:link w:val="CommentSubject"/>
    <w:uiPriority w:val="99"/>
    <w:semiHidden/>
    <w:rsid w:val="00733363"/>
    <w:rPr>
      <w:rFonts w:ascii="Calibri" w:eastAsia="Times New Roman" w:hAnsi="Calibri" w:cs="Times New Roman"/>
      <w:b/>
      <w:bCs/>
      <w:sz w:val="20"/>
      <w:szCs w:val="20"/>
      <w:lang w:eastAsia="en-AU"/>
    </w:rPr>
  </w:style>
  <w:style w:type="paragraph" w:customStyle="1" w:styleId="SecurityClassificationHeader">
    <w:name w:val="Security Classification Header"/>
    <w:link w:val="SecurityClassificationHeaderChar"/>
    <w:rsid w:val="005C52DA"/>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5C52DA"/>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5C52DA"/>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5C52DA"/>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5C52DA"/>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5C52DA"/>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5C52DA"/>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5C52DA"/>
    <w:rPr>
      <w:rFonts w:ascii="Calibri" w:eastAsia="Times New Roman" w:hAnsi="Calibri" w:cs="Times New Roman"/>
      <w:b/>
      <w:caps/>
      <w:color w:val="004A7F"/>
      <w:sz w:val="24"/>
      <w:szCs w:val="20"/>
      <w:lang w:eastAsia="en-AU"/>
    </w:rPr>
  </w:style>
  <w:style w:type="paragraph" w:styleId="ListParagraph">
    <w:name w:val="List Paragraph"/>
    <w:basedOn w:val="Normal"/>
    <w:uiPriority w:val="34"/>
    <w:qFormat/>
    <w:rsid w:val="005D446F"/>
    <w:pPr>
      <w:spacing w:before="0" w:after="200" w:line="276" w:lineRule="auto"/>
      <w:ind w:left="720"/>
      <w:contextualSpacing/>
    </w:pPr>
    <w:rPr>
      <w:rFonts w:asciiTheme="minorHAnsi" w:eastAsiaTheme="minorHAnsi" w:hAnsiTheme="minorHAnsi" w:cstheme="minorBidi"/>
      <w:szCs w:val="22"/>
      <w:lang w:eastAsia="en-US"/>
    </w:rPr>
  </w:style>
  <w:style w:type="paragraph" w:styleId="Revision">
    <w:name w:val="Revision"/>
    <w:hidden/>
    <w:uiPriority w:val="99"/>
    <w:semiHidden/>
    <w:rsid w:val="0082250B"/>
    <w:pPr>
      <w:spacing w:after="0" w:line="240" w:lineRule="auto"/>
    </w:pPr>
    <w:rPr>
      <w:rFonts w:ascii="Calibri" w:eastAsia="Times New Roman" w:hAnsi="Calibri"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aliases w:val="b,b + line,b1,Body,level 1,Bullet + line"/>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aliases w:val="b + line Char Char,b Char,b Char Char,b1 Char,b + line Char,Body Char,level 1 Char,Bulleted Para Char,Bullets Char,FooterText Char,L Char,List Paragraph1 Char,List Paragraph11 Char,List Paragraph2 Char,Number Char,List Paragraph Char"/>
    <w:basedOn w:val="DefaultParagraphFont"/>
    <w:link w:val="Bullet"/>
    <w:qFormat/>
    <w:rsid w:val="00252819"/>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733363"/>
    <w:rPr>
      <w:sz w:val="16"/>
      <w:szCs w:val="16"/>
    </w:rPr>
  </w:style>
  <w:style w:type="paragraph" w:styleId="CommentText">
    <w:name w:val="annotation text"/>
    <w:basedOn w:val="Normal"/>
    <w:link w:val="CommentTextChar"/>
    <w:uiPriority w:val="99"/>
    <w:semiHidden/>
    <w:unhideWhenUsed/>
    <w:rsid w:val="00733363"/>
    <w:rPr>
      <w:sz w:val="20"/>
    </w:rPr>
  </w:style>
  <w:style w:type="character" w:customStyle="1" w:styleId="CommentTextChar">
    <w:name w:val="Comment Text Char"/>
    <w:basedOn w:val="DefaultParagraphFont"/>
    <w:link w:val="CommentText"/>
    <w:uiPriority w:val="99"/>
    <w:semiHidden/>
    <w:rsid w:val="0073336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33363"/>
    <w:rPr>
      <w:b/>
      <w:bCs/>
    </w:rPr>
  </w:style>
  <w:style w:type="character" w:customStyle="1" w:styleId="CommentSubjectChar">
    <w:name w:val="Comment Subject Char"/>
    <w:basedOn w:val="CommentTextChar"/>
    <w:link w:val="CommentSubject"/>
    <w:uiPriority w:val="99"/>
    <w:semiHidden/>
    <w:rsid w:val="00733363"/>
    <w:rPr>
      <w:rFonts w:ascii="Calibri" w:eastAsia="Times New Roman" w:hAnsi="Calibri" w:cs="Times New Roman"/>
      <w:b/>
      <w:bCs/>
      <w:sz w:val="20"/>
      <w:szCs w:val="20"/>
      <w:lang w:eastAsia="en-AU"/>
    </w:rPr>
  </w:style>
  <w:style w:type="paragraph" w:customStyle="1" w:styleId="SecurityClassificationHeader">
    <w:name w:val="Security Classification Header"/>
    <w:link w:val="SecurityClassificationHeaderChar"/>
    <w:rsid w:val="005C52DA"/>
    <w:pPr>
      <w:spacing w:before="240" w:after="60"/>
      <w:jc w:val="center"/>
    </w:pPr>
    <w:rPr>
      <w:rFonts w:ascii="Calibri" w:eastAsia="Times New Roman" w:hAnsi="Calibri" w:cs="Times New Roman"/>
      <w:b/>
      <w:caps/>
      <w:color w:val="004A7F"/>
      <w:sz w:val="24"/>
      <w:szCs w:val="20"/>
      <w:lang w:eastAsia="en-AU"/>
    </w:rPr>
  </w:style>
  <w:style w:type="character" w:customStyle="1" w:styleId="SecurityClassificationHeaderChar">
    <w:name w:val="Security Classification Header Char"/>
    <w:basedOn w:val="HeaderChar"/>
    <w:link w:val="SecurityClassificationHeader"/>
    <w:rsid w:val="005C52DA"/>
    <w:rPr>
      <w:rFonts w:ascii="Calibri" w:eastAsia="Times New Roman" w:hAnsi="Calibri" w:cs="Times New Roman"/>
      <w:b/>
      <w:caps/>
      <w:color w:val="004A7F"/>
      <w:sz w:val="24"/>
      <w:szCs w:val="20"/>
      <w:lang w:eastAsia="en-AU"/>
    </w:rPr>
  </w:style>
  <w:style w:type="paragraph" w:customStyle="1" w:styleId="SecurityClassificationFooter">
    <w:name w:val="Security Classification Footer"/>
    <w:link w:val="SecurityClassificationFooterChar"/>
    <w:rsid w:val="005C52DA"/>
    <w:pPr>
      <w:spacing w:before="60" w:after="240"/>
      <w:jc w:val="center"/>
    </w:pPr>
    <w:rPr>
      <w:rFonts w:ascii="Calibri" w:eastAsia="Times New Roman" w:hAnsi="Calibri" w:cs="Times New Roman"/>
      <w:b/>
      <w:caps/>
      <w:color w:val="004A7F"/>
      <w:sz w:val="24"/>
      <w:szCs w:val="20"/>
      <w:lang w:eastAsia="en-AU"/>
    </w:rPr>
  </w:style>
  <w:style w:type="character" w:customStyle="1" w:styleId="SecurityClassificationFooterChar">
    <w:name w:val="Security Classification Footer Char"/>
    <w:basedOn w:val="HeaderChar"/>
    <w:link w:val="SecurityClassificationFooter"/>
    <w:rsid w:val="005C52DA"/>
    <w:rPr>
      <w:rFonts w:ascii="Calibri" w:eastAsia="Times New Roman" w:hAnsi="Calibri" w:cs="Times New Roman"/>
      <w:b/>
      <w:caps/>
      <w:color w:val="004A7F"/>
      <w:sz w:val="24"/>
      <w:szCs w:val="20"/>
      <w:lang w:eastAsia="en-AU"/>
    </w:rPr>
  </w:style>
  <w:style w:type="paragraph" w:customStyle="1" w:styleId="DLMSecurityHeader">
    <w:name w:val="DLM Security Header"/>
    <w:link w:val="DLMSecurityHeaderChar"/>
    <w:rsid w:val="005C52DA"/>
    <w:pPr>
      <w:spacing w:before="60" w:after="240"/>
      <w:jc w:val="center"/>
    </w:pPr>
    <w:rPr>
      <w:rFonts w:ascii="Calibri" w:eastAsia="Times New Roman" w:hAnsi="Calibri" w:cs="Times New Roman"/>
      <w:b/>
      <w:caps/>
      <w:color w:val="004A7F"/>
      <w:sz w:val="24"/>
      <w:szCs w:val="20"/>
      <w:lang w:eastAsia="en-AU"/>
    </w:rPr>
  </w:style>
  <w:style w:type="character" w:customStyle="1" w:styleId="DLMSecurityHeaderChar">
    <w:name w:val="DLM Security Header Char"/>
    <w:basedOn w:val="HeaderChar"/>
    <w:link w:val="DLMSecurityHeader"/>
    <w:rsid w:val="005C52DA"/>
    <w:rPr>
      <w:rFonts w:ascii="Calibri" w:eastAsia="Times New Roman" w:hAnsi="Calibri" w:cs="Times New Roman"/>
      <w:b/>
      <w:caps/>
      <w:color w:val="004A7F"/>
      <w:sz w:val="24"/>
      <w:szCs w:val="20"/>
      <w:lang w:eastAsia="en-AU"/>
    </w:rPr>
  </w:style>
  <w:style w:type="paragraph" w:customStyle="1" w:styleId="DLMSecurityFooter">
    <w:name w:val="DLM Security Footer"/>
    <w:link w:val="DLMSecurityFooterChar"/>
    <w:rsid w:val="005C52DA"/>
    <w:pPr>
      <w:spacing w:before="240" w:after="60"/>
      <w:jc w:val="center"/>
    </w:pPr>
    <w:rPr>
      <w:rFonts w:ascii="Calibri" w:eastAsia="Times New Roman" w:hAnsi="Calibri" w:cs="Times New Roman"/>
      <w:b/>
      <w:caps/>
      <w:color w:val="004A7F"/>
      <w:sz w:val="24"/>
      <w:szCs w:val="20"/>
      <w:lang w:eastAsia="en-AU"/>
    </w:rPr>
  </w:style>
  <w:style w:type="character" w:customStyle="1" w:styleId="DLMSecurityFooterChar">
    <w:name w:val="DLM Security Footer Char"/>
    <w:basedOn w:val="HeaderChar"/>
    <w:link w:val="DLMSecurityFooter"/>
    <w:rsid w:val="005C52DA"/>
    <w:rPr>
      <w:rFonts w:ascii="Calibri" w:eastAsia="Times New Roman" w:hAnsi="Calibri" w:cs="Times New Roman"/>
      <w:b/>
      <w:caps/>
      <w:color w:val="004A7F"/>
      <w:sz w:val="24"/>
      <w:szCs w:val="20"/>
      <w:lang w:eastAsia="en-AU"/>
    </w:rPr>
  </w:style>
  <w:style w:type="paragraph" w:styleId="ListParagraph">
    <w:name w:val="List Paragraph"/>
    <w:basedOn w:val="Normal"/>
    <w:uiPriority w:val="34"/>
    <w:qFormat/>
    <w:rsid w:val="005D446F"/>
    <w:pPr>
      <w:spacing w:before="0" w:after="200" w:line="276" w:lineRule="auto"/>
      <w:ind w:left="720"/>
      <w:contextualSpacing/>
    </w:pPr>
    <w:rPr>
      <w:rFonts w:asciiTheme="minorHAnsi" w:eastAsiaTheme="minorHAnsi" w:hAnsiTheme="minorHAnsi" w:cstheme="minorBidi"/>
      <w:szCs w:val="22"/>
      <w:lang w:eastAsia="en-US"/>
    </w:rPr>
  </w:style>
  <w:style w:type="paragraph" w:styleId="Revision">
    <w:name w:val="Revision"/>
    <w:hidden/>
    <w:uiPriority w:val="99"/>
    <w:semiHidden/>
    <w:rsid w:val="0082250B"/>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8681">
      <w:bodyDiv w:val="1"/>
      <w:marLeft w:val="0"/>
      <w:marRight w:val="0"/>
      <w:marTop w:val="0"/>
      <w:marBottom w:val="0"/>
      <w:divBdr>
        <w:top w:val="none" w:sz="0" w:space="0" w:color="auto"/>
        <w:left w:val="none" w:sz="0" w:space="0" w:color="auto"/>
        <w:bottom w:val="none" w:sz="0" w:space="0" w:color="auto"/>
        <w:right w:val="none" w:sz="0" w:space="0" w:color="auto"/>
      </w:divBdr>
      <w:divsChild>
        <w:div w:id="324403227">
          <w:marLeft w:val="0"/>
          <w:marRight w:val="0"/>
          <w:marTop w:val="0"/>
          <w:marBottom w:val="0"/>
          <w:divBdr>
            <w:top w:val="none" w:sz="0" w:space="0" w:color="auto"/>
            <w:left w:val="none" w:sz="0" w:space="0" w:color="auto"/>
            <w:bottom w:val="none" w:sz="0" w:space="0" w:color="auto"/>
            <w:right w:val="none" w:sz="0" w:space="0" w:color="auto"/>
          </w:divBdr>
          <w:divsChild>
            <w:div w:id="1972980918">
              <w:marLeft w:val="0"/>
              <w:marRight w:val="0"/>
              <w:marTop w:val="390"/>
              <w:marBottom w:val="390"/>
              <w:divBdr>
                <w:top w:val="none" w:sz="0" w:space="0" w:color="auto"/>
                <w:left w:val="none" w:sz="0" w:space="0" w:color="auto"/>
                <w:bottom w:val="none" w:sz="0" w:space="0" w:color="auto"/>
                <w:right w:val="none" w:sz="0" w:space="0" w:color="auto"/>
              </w:divBdr>
              <w:divsChild>
                <w:div w:id="2125150465">
                  <w:marLeft w:val="0"/>
                  <w:marRight w:val="0"/>
                  <w:marTop w:val="0"/>
                  <w:marBottom w:val="0"/>
                  <w:divBdr>
                    <w:top w:val="none" w:sz="0" w:space="0" w:color="auto"/>
                    <w:left w:val="none" w:sz="0" w:space="0" w:color="auto"/>
                    <w:bottom w:val="none" w:sz="0" w:space="0" w:color="auto"/>
                    <w:right w:val="none" w:sz="0" w:space="0" w:color="auto"/>
                  </w:divBdr>
                  <w:divsChild>
                    <w:div w:id="41902043">
                      <w:marLeft w:val="0"/>
                      <w:marRight w:val="0"/>
                      <w:marTop w:val="0"/>
                      <w:marBottom w:val="0"/>
                      <w:divBdr>
                        <w:top w:val="none" w:sz="0" w:space="0" w:color="auto"/>
                        <w:left w:val="none" w:sz="0" w:space="0" w:color="auto"/>
                        <w:bottom w:val="none" w:sz="0" w:space="0" w:color="auto"/>
                        <w:right w:val="none" w:sz="0" w:space="0" w:color="auto"/>
                      </w:divBdr>
                      <w:divsChild>
                        <w:div w:id="1609852144">
                          <w:marLeft w:val="0"/>
                          <w:marRight w:val="0"/>
                          <w:marTop w:val="0"/>
                          <w:marBottom w:val="0"/>
                          <w:divBdr>
                            <w:top w:val="none" w:sz="0" w:space="0" w:color="auto"/>
                            <w:left w:val="none" w:sz="0" w:space="0" w:color="auto"/>
                            <w:bottom w:val="none" w:sz="0" w:space="0" w:color="auto"/>
                            <w:right w:val="none" w:sz="0" w:space="0" w:color="auto"/>
                          </w:divBdr>
                          <w:divsChild>
                            <w:div w:id="754058092">
                              <w:marLeft w:val="0"/>
                              <w:marRight w:val="0"/>
                              <w:marTop w:val="0"/>
                              <w:marBottom w:val="0"/>
                              <w:divBdr>
                                <w:top w:val="none" w:sz="0" w:space="0" w:color="auto"/>
                                <w:left w:val="none" w:sz="0" w:space="0" w:color="auto"/>
                                <w:bottom w:val="none" w:sz="0" w:space="0" w:color="auto"/>
                                <w:right w:val="none" w:sz="0" w:space="0" w:color="auto"/>
                              </w:divBdr>
                              <w:divsChild>
                                <w:div w:id="1531646842">
                                  <w:marLeft w:val="0"/>
                                  <w:marRight w:val="0"/>
                                  <w:marTop w:val="0"/>
                                  <w:marBottom w:val="0"/>
                                  <w:divBdr>
                                    <w:top w:val="none" w:sz="0" w:space="0" w:color="auto"/>
                                    <w:left w:val="none" w:sz="0" w:space="0" w:color="auto"/>
                                    <w:bottom w:val="none" w:sz="0" w:space="0" w:color="auto"/>
                                    <w:right w:val="none" w:sz="0" w:space="0" w:color="auto"/>
                                  </w:divBdr>
                                  <w:divsChild>
                                    <w:div w:id="16544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1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pmc.gov.au/government/commonwealth-coat-arm"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footer" Target="footer7.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0f563589-9cf9-4143-b1eb-fb0534803d38">
      <Value>6</Value>
    </TaxCatchAll>
    <_dlc_DocId xmlns="0f563589-9cf9-4143-b1eb-fb0534803d38">2018RG-109-2634</_dlc_DocId>
    <_dlc_DocIdUrl xmlns="0f563589-9cf9-4143-b1eb-fb0534803d38">
      <Url>http://tweb/sites/rg/citd/_layouts/15/DocIdRedir.aspx?ID=2018RG-109-2634</Url>
      <Description>2018RG-109-2634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F8E56604EED9714DBFAD560C5884763B" ma:contentTypeVersion="15249" ma:contentTypeDescription=" " ma:contentTypeScope="" ma:versionID="49673dc23a467b8def143c310f3907b7">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ea2c6ea8fdb253f6dd350c49b4c8776"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C3401-1050-4923-96E1-FD1B04288FAF}">
  <ds:schemaRefs>
    <ds:schemaRef ds:uri="http://schemas.microsoft.com/sharepoint/v3/contenttype/forms"/>
  </ds:schemaRefs>
</ds:datastoreItem>
</file>

<file path=customXml/itemProps2.xml><?xml version="1.0" encoding="utf-8"?>
<ds:datastoreItem xmlns:ds="http://schemas.openxmlformats.org/officeDocument/2006/customXml" ds:itemID="{C288768A-884F-441A-BD6E-A5FE72E40421}">
  <ds:schemaRefs>
    <ds:schemaRef ds:uri="http://schemas.microsoft.com/sharepoint/events"/>
  </ds:schemaRefs>
</ds:datastoreItem>
</file>

<file path=customXml/itemProps3.xml><?xml version="1.0" encoding="utf-8"?>
<ds:datastoreItem xmlns:ds="http://schemas.openxmlformats.org/officeDocument/2006/customXml" ds:itemID="{89627FAA-D07B-4068-BCF2-D09F3E9EFAD3}">
  <ds:schemaRefs>
    <ds:schemaRef ds:uri="office.server.policy"/>
  </ds:schemaRefs>
</ds:datastoreItem>
</file>

<file path=customXml/itemProps4.xml><?xml version="1.0" encoding="utf-8"?>
<ds:datastoreItem xmlns:ds="http://schemas.openxmlformats.org/officeDocument/2006/customXml" ds:itemID="{8DB35C84-85C6-4310-8FB1-663AF72C1E27}">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microsoft.com/sharepoint/v3"/>
    <ds:schemaRef ds:uri="0f563589-9cf9-4143-b1eb-fb0534803d38"/>
    <ds:schemaRef ds:uri="http://schemas.microsoft.com/sharepoint/v4"/>
    <ds:schemaRef ds:uri="http://schemas.openxmlformats.org/package/2006/metadata/core-properties"/>
    <ds:schemaRef ds:uri="9f7bc583-7cbe-45b9-a2bd-8bbb6543b37e"/>
    <ds:schemaRef ds:uri="http://www.w3.org/XML/1998/namespace"/>
  </ds:schemaRefs>
</ds:datastoreItem>
</file>

<file path=customXml/itemProps5.xml><?xml version="1.0" encoding="utf-8"?>
<ds:datastoreItem xmlns:ds="http://schemas.openxmlformats.org/officeDocument/2006/customXml" ds:itemID="{280D94F3-9214-4E17-AFBA-363127B04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6562CB-64EB-4010-B987-7A1E604B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3363</TotalTime>
  <Pages>11</Pages>
  <Words>4100</Words>
  <Characters>22474</Characters>
  <Application>Microsoft Office Word</Application>
  <DocSecurity>0</DocSecurity>
  <Lines>374</Lines>
  <Paragraphs>169</Paragraphs>
  <ScaleCrop>false</ScaleCrop>
  <HeadingPairs>
    <vt:vector size="2" baseType="variant">
      <vt:variant>
        <vt:lpstr>Title</vt:lpstr>
      </vt:variant>
      <vt:variant>
        <vt:i4>1</vt:i4>
      </vt:variant>
    </vt:vector>
  </HeadingPairs>
  <TitlesOfParts>
    <vt:vector size="1" baseType="lpstr">
      <vt:lpstr>Taxation of insurance companies</vt:lpstr>
    </vt:vector>
  </TitlesOfParts>
  <Company>Australian Government - The Treasury</Company>
  <LinksUpToDate>false</LinksUpToDate>
  <CharactersWithSpaces>26405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of insurance companies</dc:title>
  <dc:creator>Australian Government</dc:creator>
  <cp:lastModifiedBy>Hill, Christine</cp:lastModifiedBy>
  <cp:revision>70</cp:revision>
  <cp:lastPrinted>2018-09-18T01:38:00Z</cp:lastPrinted>
  <dcterms:created xsi:type="dcterms:W3CDTF">2018-09-03T06:31:00Z</dcterms:created>
  <dcterms:modified xsi:type="dcterms:W3CDTF">2018-11-02T04:26:00Z</dcterms:modified>
</cp:coreProperties>
</file>