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61688" w14:textId="77777777" w:rsidR="00B17774" w:rsidRDefault="00B17774" w:rsidP="00B17774">
      <w:pPr>
        <w:pStyle w:val="Baseparagraphcentred"/>
      </w:pPr>
    </w:p>
    <w:p w14:paraId="65CB5BEF" w14:textId="77777777" w:rsidR="008F3CF5" w:rsidRDefault="008F3CF5" w:rsidP="00B17774">
      <w:pPr>
        <w:pStyle w:val="Baseparagraphcentred"/>
      </w:pPr>
    </w:p>
    <w:p w14:paraId="4592DBAE" w14:textId="77777777" w:rsidR="00B17774" w:rsidRDefault="00B17774" w:rsidP="00B17774">
      <w:pPr>
        <w:pStyle w:val="Baseparagraphcentred"/>
      </w:pPr>
    </w:p>
    <w:p w14:paraId="2E0285B8" w14:textId="77777777" w:rsidR="008F3CF5" w:rsidRDefault="008F3CF5" w:rsidP="00B17774">
      <w:pPr>
        <w:pStyle w:val="Baseparagraphcentred"/>
      </w:pPr>
    </w:p>
    <w:p w14:paraId="31D09FB6" w14:textId="77777777" w:rsidR="00B17774" w:rsidRDefault="00B17774" w:rsidP="00B17774">
      <w:pPr>
        <w:pStyle w:val="Baseparagraphcentred"/>
      </w:pPr>
    </w:p>
    <w:p w14:paraId="2B8BE7FA" w14:textId="77777777" w:rsidR="00B17774" w:rsidRDefault="00B17774" w:rsidP="00B17774">
      <w:pPr>
        <w:pStyle w:val="Baseparagraphcentred"/>
      </w:pPr>
    </w:p>
    <w:p w14:paraId="314F3A03" w14:textId="77777777" w:rsidR="00B17774" w:rsidRDefault="00B17774" w:rsidP="00B17774">
      <w:pPr>
        <w:pStyle w:val="Baseparagraphcentred"/>
      </w:pPr>
      <w:bookmarkStart w:id="0" w:name="_GoBack"/>
      <w:bookmarkEnd w:id="0"/>
    </w:p>
    <w:p w14:paraId="477156E9" w14:textId="77777777" w:rsidR="008F3CF5" w:rsidRDefault="008F3CF5" w:rsidP="00B17774">
      <w:pPr>
        <w:pStyle w:val="Baseparagraphcentred"/>
      </w:pPr>
    </w:p>
    <w:p w14:paraId="62200FF8" w14:textId="77777777" w:rsidR="00B17774" w:rsidRDefault="00B17774" w:rsidP="00B17774">
      <w:pPr>
        <w:pStyle w:val="Baseparagraphcentred"/>
      </w:pPr>
    </w:p>
    <w:p w14:paraId="03118972" w14:textId="77777777" w:rsidR="00B17774" w:rsidRDefault="00B17774" w:rsidP="00B17774">
      <w:pPr>
        <w:pStyle w:val="Baseparagraphcentred"/>
      </w:pPr>
    </w:p>
    <w:p w14:paraId="52D2808D" w14:textId="77777777" w:rsidR="00B17774" w:rsidRPr="00785C78" w:rsidRDefault="00785C78" w:rsidP="00B17774">
      <w:pPr>
        <w:pStyle w:val="BillName"/>
      </w:pPr>
      <w:bookmarkStart w:id="1" w:name="BillName"/>
      <w:bookmarkEnd w:id="1"/>
      <w:r w:rsidRPr="00785C78">
        <w:t xml:space="preserve">Better Targeting the Research and Development Tax Incentive </w:t>
      </w:r>
    </w:p>
    <w:p w14:paraId="709A8C85" w14:textId="77777777" w:rsidR="00B17774" w:rsidRDefault="00B17774" w:rsidP="00B17774">
      <w:pPr>
        <w:pStyle w:val="Baseparagraphcentred"/>
      </w:pPr>
    </w:p>
    <w:p w14:paraId="740DBF5A" w14:textId="77777777" w:rsidR="00B17774" w:rsidRDefault="00B17774" w:rsidP="00B17774">
      <w:pPr>
        <w:pStyle w:val="Baseparagraphcentred"/>
      </w:pPr>
    </w:p>
    <w:p w14:paraId="4E72D542" w14:textId="77777777" w:rsidR="00B17774" w:rsidRDefault="00B17774" w:rsidP="00B17774">
      <w:pPr>
        <w:pStyle w:val="Baseparagraphcentred"/>
      </w:pPr>
    </w:p>
    <w:p w14:paraId="266C1EAB" w14:textId="77777777" w:rsidR="00B17774" w:rsidRDefault="00B17774" w:rsidP="00B17774">
      <w:pPr>
        <w:pStyle w:val="Baseparagraphcentred"/>
      </w:pPr>
    </w:p>
    <w:p w14:paraId="1CE149DC" w14:textId="7D876C30" w:rsidR="00B17774" w:rsidRDefault="00B17774" w:rsidP="00B17774">
      <w:pPr>
        <w:pStyle w:val="Baseparagraphcentred"/>
      </w:pPr>
      <w:r>
        <w:t>E</w:t>
      </w:r>
      <w:r w:rsidR="008F3CF5">
        <w:t xml:space="preserve">XPOSURE DRAFT </w:t>
      </w:r>
      <w:r w:rsidR="006A4B7B">
        <w:t>E</w:t>
      </w:r>
      <w:r w:rsidR="008F3CF5">
        <w:t>XPLANATORY MATERIALS</w:t>
      </w:r>
    </w:p>
    <w:p w14:paraId="09DB3832" w14:textId="77777777" w:rsidR="00B17774" w:rsidRDefault="00B17774" w:rsidP="00B17774">
      <w:pPr>
        <w:pStyle w:val="Baseparagraphcentred"/>
      </w:pPr>
    </w:p>
    <w:p w14:paraId="3A077D47" w14:textId="77777777" w:rsidR="00B17774" w:rsidRDefault="00B17774" w:rsidP="00B17774">
      <w:pPr>
        <w:pStyle w:val="Baseparagraphcentred"/>
      </w:pPr>
    </w:p>
    <w:p w14:paraId="4C5DDF97" w14:textId="77777777" w:rsidR="00B17774" w:rsidRDefault="00B17774" w:rsidP="00B17774">
      <w:pPr>
        <w:pStyle w:val="Baseparagraphcentred"/>
      </w:pPr>
    </w:p>
    <w:p w14:paraId="485772AE" w14:textId="77777777" w:rsidR="00773B68" w:rsidRDefault="00773B68" w:rsidP="00773B68">
      <w:pPr>
        <w:pStyle w:val="ParaCentredNoSpacing"/>
      </w:pPr>
    </w:p>
    <w:p w14:paraId="5DD75A58" w14:textId="77777777" w:rsidR="008F3CF5" w:rsidRDefault="008F3CF5" w:rsidP="00773B68">
      <w:pPr>
        <w:pStyle w:val="ParaCentredNoSpacing"/>
      </w:pPr>
    </w:p>
    <w:p w14:paraId="29B1D9B5" w14:textId="77777777" w:rsidR="008F3CF5" w:rsidRDefault="008F3CF5" w:rsidP="00773B68">
      <w:pPr>
        <w:pStyle w:val="ParaCentredNoSpacing"/>
      </w:pPr>
    </w:p>
    <w:p w14:paraId="26F9B246" w14:textId="77777777" w:rsidR="00B17774" w:rsidRDefault="00B17774" w:rsidP="00B17774"/>
    <w:p w14:paraId="5438DFC6"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24ED9F8D" w14:textId="77777777" w:rsidR="00B17774" w:rsidRPr="003E0794" w:rsidRDefault="00B17774" w:rsidP="00B17774">
      <w:pPr>
        <w:pStyle w:val="TOCHeading"/>
      </w:pPr>
      <w:r w:rsidRPr="003E0794">
        <w:lastRenderedPageBreak/>
        <w:t>Table of contents</w:t>
      </w:r>
    </w:p>
    <w:p w14:paraId="60FBA889" w14:textId="77777777" w:rsidR="009A281E"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9A281E">
        <w:t>Glossary</w:t>
      </w:r>
      <w:r w:rsidR="009A281E">
        <w:tab/>
      </w:r>
      <w:r w:rsidR="009A281E">
        <w:fldChar w:fldCharType="begin"/>
      </w:r>
      <w:r w:rsidR="009A281E">
        <w:instrText xml:space="preserve"> PAGEREF _Toc517163910 \h </w:instrText>
      </w:r>
      <w:r w:rsidR="009A281E">
        <w:fldChar w:fldCharType="separate"/>
      </w:r>
      <w:r w:rsidR="009A281E">
        <w:t>1</w:t>
      </w:r>
      <w:r w:rsidR="009A281E">
        <w:fldChar w:fldCharType="end"/>
      </w:r>
    </w:p>
    <w:p w14:paraId="317D7DB1" w14:textId="77777777" w:rsidR="009A281E" w:rsidRDefault="009A281E">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Better targeting the Research and Development Tax Incentive</w:t>
      </w:r>
      <w:r>
        <w:rPr>
          <w:noProof/>
        </w:rPr>
        <w:tab/>
      </w:r>
      <w:r>
        <w:rPr>
          <w:noProof/>
        </w:rPr>
        <w:fldChar w:fldCharType="begin"/>
      </w:r>
      <w:r>
        <w:rPr>
          <w:noProof/>
        </w:rPr>
        <w:instrText xml:space="preserve"> PAGEREF _Toc517163911 \h </w:instrText>
      </w:r>
      <w:r>
        <w:rPr>
          <w:noProof/>
        </w:rPr>
      </w:r>
      <w:r>
        <w:rPr>
          <w:noProof/>
        </w:rPr>
        <w:fldChar w:fldCharType="separate"/>
      </w:r>
      <w:r>
        <w:rPr>
          <w:noProof/>
        </w:rPr>
        <w:t>3</w:t>
      </w:r>
      <w:r>
        <w:rPr>
          <w:noProof/>
        </w:rPr>
        <w:fldChar w:fldCharType="end"/>
      </w:r>
    </w:p>
    <w:p w14:paraId="364BB4AF" w14:textId="77777777" w:rsidR="009A281E" w:rsidRDefault="009A281E">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Enhancing the integrity of the Research and Development Tax Incentive</w:t>
      </w:r>
      <w:r>
        <w:rPr>
          <w:noProof/>
        </w:rPr>
        <w:tab/>
      </w:r>
      <w:r>
        <w:rPr>
          <w:noProof/>
        </w:rPr>
        <w:fldChar w:fldCharType="begin"/>
      </w:r>
      <w:r>
        <w:rPr>
          <w:noProof/>
        </w:rPr>
        <w:instrText xml:space="preserve"> PAGEREF _Toc517163912 \h </w:instrText>
      </w:r>
      <w:r>
        <w:rPr>
          <w:noProof/>
        </w:rPr>
      </w:r>
      <w:r>
        <w:rPr>
          <w:noProof/>
        </w:rPr>
        <w:fldChar w:fldCharType="separate"/>
      </w:r>
      <w:r>
        <w:rPr>
          <w:noProof/>
        </w:rPr>
        <w:t>13</w:t>
      </w:r>
      <w:r>
        <w:rPr>
          <w:noProof/>
        </w:rPr>
        <w:fldChar w:fldCharType="end"/>
      </w:r>
    </w:p>
    <w:p w14:paraId="115F7F0F" w14:textId="77777777" w:rsidR="009A281E" w:rsidRDefault="009A281E">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Improving the administration and transparency of the Research and Development Tax Incentive</w:t>
      </w:r>
      <w:r>
        <w:rPr>
          <w:noProof/>
        </w:rPr>
        <w:tab/>
      </w:r>
      <w:r>
        <w:rPr>
          <w:noProof/>
        </w:rPr>
        <w:fldChar w:fldCharType="begin"/>
      </w:r>
      <w:r>
        <w:rPr>
          <w:noProof/>
        </w:rPr>
        <w:instrText xml:space="preserve"> PAGEREF _Toc517163913 \h </w:instrText>
      </w:r>
      <w:r>
        <w:rPr>
          <w:noProof/>
        </w:rPr>
      </w:r>
      <w:r>
        <w:rPr>
          <w:noProof/>
        </w:rPr>
        <w:fldChar w:fldCharType="separate"/>
      </w:r>
      <w:r>
        <w:rPr>
          <w:noProof/>
        </w:rPr>
        <w:t>23</w:t>
      </w:r>
      <w:r>
        <w:rPr>
          <w:noProof/>
        </w:rPr>
        <w:fldChar w:fldCharType="end"/>
      </w:r>
    </w:p>
    <w:p w14:paraId="02A90D18" w14:textId="77777777" w:rsidR="00E5385B" w:rsidRDefault="00734F84" w:rsidP="00295ABD">
      <w:pPr>
        <w:rPr>
          <w:rFonts w:ascii="Helvetica" w:hAnsi="Helvetica"/>
          <w:noProof/>
          <w:sz w:val="24"/>
        </w:rPr>
      </w:pPr>
      <w:r>
        <w:rPr>
          <w:rFonts w:ascii="Helvetica" w:hAnsi="Helvetica"/>
          <w:noProof/>
          <w:sz w:val="24"/>
        </w:rPr>
        <w:fldChar w:fldCharType="end"/>
      </w:r>
    </w:p>
    <w:p w14:paraId="2A67FAB5" w14:textId="77777777" w:rsidR="00B17774" w:rsidRDefault="00B17774" w:rsidP="00B17774">
      <w:pPr>
        <w:pStyle w:val="Hiddentext"/>
      </w:pPr>
    </w:p>
    <w:p w14:paraId="7209B2F1"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7922B970" w14:textId="77777777" w:rsidR="00B17774" w:rsidRPr="00567602" w:rsidRDefault="00B17774" w:rsidP="00567602">
      <w:pPr>
        <w:pStyle w:val="Chapterheadingsubdocument"/>
      </w:pPr>
      <w:bookmarkStart w:id="2" w:name="_Toc516237593"/>
      <w:bookmarkStart w:id="3" w:name="_Toc517163910"/>
      <w:r w:rsidRPr="00567602">
        <w:rPr>
          <w:rStyle w:val="ChapterNameOnly"/>
        </w:rPr>
        <w:lastRenderedPageBreak/>
        <w:t>Glossary</w:t>
      </w:r>
      <w:bookmarkEnd w:id="2"/>
      <w:bookmarkEnd w:id="3"/>
    </w:p>
    <w:p w14:paraId="4431017D"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70FDC4AD" w14:textId="77777777" w:rsidTr="001F3C89">
        <w:tc>
          <w:tcPr>
            <w:tcW w:w="2721" w:type="dxa"/>
          </w:tcPr>
          <w:p w14:paraId="2712DF5E" w14:textId="77777777" w:rsidR="00B17774" w:rsidRPr="00123D96" w:rsidRDefault="00B17774" w:rsidP="001F3C89">
            <w:pPr>
              <w:pStyle w:val="tableheaderwithintable"/>
            </w:pPr>
            <w:r w:rsidRPr="00123D96">
              <w:t>Abbreviation</w:t>
            </w:r>
          </w:p>
        </w:tc>
        <w:tc>
          <w:tcPr>
            <w:tcW w:w="3885" w:type="dxa"/>
          </w:tcPr>
          <w:p w14:paraId="1A0FF384" w14:textId="77777777" w:rsidR="00B17774" w:rsidRPr="00123D96" w:rsidRDefault="00B17774" w:rsidP="001F3C89">
            <w:pPr>
              <w:pStyle w:val="tableheaderwithintable"/>
            </w:pPr>
            <w:r w:rsidRPr="00123D96">
              <w:t>Definition</w:t>
            </w:r>
          </w:p>
        </w:tc>
      </w:tr>
      <w:tr w:rsidR="007D4A07" w:rsidRPr="002C43E8" w14:paraId="316A27C1" w14:textId="77777777" w:rsidTr="001F3C89">
        <w:tc>
          <w:tcPr>
            <w:tcW w:w="2721" w:type="dxa"/>
          </w:tcPr>
          <w:p w14:paraId="243BAFD5" w14:textId="77777777" w:rsidR="007D4A07" w:rsidRPr="002C43E8" w:rsidRDefault="007D4A07" w:rsidP="001F3C89">
            <w:pPr>
              <w:pStyle w:val="Glossarytabletext"/>
              <w:rPr>
                <w:lang w:val="en-US" w:eastAsia="en-US"/>
              </w:rPr>
            </w:pPr>
            <w:bookmarkStart w:id="4" w:name="GlossaryTableStart"/>
            <w:bookmarkEnd w:id="4"/>
            <w:r>
              <w:rPr>
                <w:lang w:val="en-US" w:eastAsia="en-US"/>
              </w:rPr>
              <w:t>Commissioner</w:t>
            </w:r>
          </w:p>
        </w:tc>
        <w:tc>
          <w:tcPr>
            <w:tcW w:w="3885" w:type="dxa"/>
          </w:tcPr>
          <w:p w14:paraId="20D5494F" w14:textId="77777777" w:rsidR="007D4A07" w:rsidRPr="002C43E8" w:rsidRDefault="007D4A07" w:rsidP="001F3C89">
            <w:pPr>
              <w:pStyle w:val="Glossarytabletext"/>
              <w:rPr>
                <w:lang w:val="en-US" w:eastAsia="en-US"/>
              </w:rPr>
            </w:pPr>
            <w:r>
              <w:rPr>
                <w:lang w:val="en-US" w:eastAsia="en-US"/>
              </w:rPr>
              <w:t>Commissioner of Taxation</w:t>
            </w:r>
          </w:p>
        </w:tc>
      </w:tr>
      <w:tr w:rsidR="007D4A07" w:rsidRPr="002C43E8" w14:paraId="00F871FE" w14:textId="77777777" w:rsidTr="001F3C89">
        <w:tc>
          <w:tcPr>
            <w:tcW w:w="2721" w:type="dxa"/>
          </w:tcPr>
          <w:p w14:paraId="5083D89A" w14:textId="77777777" w:rsidR="007D4A07" w:rsidRPr="002C43E8" w:rsidRDefault="007D4A07" w:rsidP="00F3573F">
            <w:pPr>
              <w:pStyle w:val="Glossarytabletext"/>
              <w:rPr>
                <w:lang w:val="en-US" w:eastAsia="en-US"/>
              </w:rPr>
            </w:pPr>
            <w:r>
              <w:t>Decision-making Principles</w:t>
            </w:r>
          </w:p>
        </w:tc>
        <w:tc>
          <w:tcPr>
            <w:tcW w:w="3885" w:type="dxa"/>
          </w:tcPr>
          <w:p w14:paraId="6D195C57" w14:textId="77777777" w:rsidR="007D4A07" w:rsidRPr="002C43E8" w:rsidRDefault="007D4A07" w:rsidP="00F3573F">
            <w:pPr>
              <w:pStyle w:val="Glossarytabletext"/>
              <w:rPr>
                <w:lang w:val="en-US" w:eastAsia="en-US"/>
              </w:rPr>
            </w:pPr>
            <w:r w:rsidRPr="00F3573F">
              <w:rPr>
                <w:i/>
              </w:rPr>
              <w:t>Industry Research and Development Decision-making Principles 2011</w:t>
            </w:r>
          </w:p>
        </w:tc>
      </w:tr>
      <w:tr w:rsidR="007D4A07" w:rsidRPr="002C43E8" w14:paraId="1C7A51C5" w14:textId="77777777" w:rsidTr="001F3C89">
        <w:tc>
          <w:tcPr>
            <w:tcW w:w="2721" w:type="dxa"/>
          </w:tcPr>
          <w:p w14:paraId="5639BE77" w14:textId="26849C4B" w:rsidR="007D4A07" w:rsidRPr="002C43E8" w:rsidRDefault="007D4A07" w:rsidP="001F3C89">
            <w:pPr>
              <w:pStyle w:val="Glossarytabletext"/>
              <w:rPr>
                <w:lang w:val="en-US" w:eastAsia="en-US"/>
              </w:rPr>
            </w:pPr>
            <w:r>
              <w:rPr>
                <w:lang w:val="en-US" w:eastAsia="en-US"/>
              </w:rPr>
              <w:t>Incentive</w:t>
            </w:r>
          </w:p>
        </w:tc>
        <w:tc>
          <w:tcPr>
            <w:tcW w:w="3885" w:type="dxa"/>
          </w:tcPr>
          <w:p w14:paraId="004CC6FC" w14:textId="77777777" w:rsidR="007D4A07" w:rsidRPr="002C43E8" w:rsidRDefault="007D4A07" w:rsidP="001F3C89">
            <w:pPr>
              <w:pStyle w:val="Glossarytabletext"/>
              <w:rPr>
                <w:lang w:val="en-US" w:eastAsia="en-US"/>
              </w:rPr>
            </w:pPr>
            <w:r>
              <w:rPr>
                <w:lang w:val="en-US" w:eastAsia="en-US"/>
              </w:rPr>
              <w:t>the Research and Development Tax Incentive</w:t>
            </w:r>
          </w:p>
        </w:tc>
      </w:tr>
      <w:tr w:rsidR="007D4A07" w:rsidRPr="002C43E8" w14:paraId="41FB47C7" w14:textId="77777777" w:rsidTr="001F3C89">
        <w:tc>
          <w:tcPr>
            <w:tcW w:w="2721" w:type="dxa"/>
          </w:tcPr>
          <w:p w14:paraId="1B9FAA18" w14:textId="22F01238" w:rsidR="007D4A07" w:rsidRPr="002C43E8" w:rsidRDefault="00BE6307" w:rsidP="001F3C89">
            <w:pPr>
              <w:pStyle w:val="Glossarytabletext"/>
              <w:rPr>
                <w:lang w:val="en-US" w:eastAsia="en-US"/>
              </w:rPr>
            </w:pPr>
            <w:r>
              <w:rPr>
                <w:lang w:val="en-US" w:eastAsia="en-US"/>
              </w:rPr>
              <w:t>IR&amp;D Act</w:t>
            </w:r>
          </w:p>
        </w:tc>
        <w:tc>
          <w:tcPr>
            <w:tcW w:w="3885" w:type="dxa"/>
          </w:tcPr>
          <w:p w14:paraId="574D0D12" w14:textId="77777777" w:rsidR="007D4A07" w:rsidRPr="002C43E8" w:rsidRDefault="007D4A07" w:rsidP="001F3C89">
            <w:pPr>
              <w:pStyle w:val="Glossarytabletext"/>
              <w:rPr>
                <w:lang w:val="en-US" w:eastAsia="en-US"/>
              </w:rPr>
            </w:pPr>
            <w:r w:rsidRPr="00480CC1">
              <w:rPr>
                <w:i/>
              </w:rPr>
              <w:t>Industry Research and Development Act 1986</w:t>
            </w:r>
          </w:p>
        </w:tc>
      </w:tr>
      <w:tr w:rsidR="007D4A07" w:rsidRPr="002C43E8" w14:paraId="12C664FC" w14:textId="77777777" w:rsidTr="001F3C89">
        <w:tc>
          <w:tcPr>
            <w:tcW w:w="2721" w:type="dxa"/>
          </w:tcPr>
          <w:p w14:paraId="5FFD67C5" w14:textId="77777777" w:rsidR="007D4A07" w:rsidRPr="002C43E8" w:rsidRDefault="007D4A07" w:rsidP="001F3C89">
            <w:pPr>
              <w:pStyle w:val="Glossarytabletext"/>
              <w:rPr>
                <w:lang w:val="en-US" w:eastAsia="en-US"/>
              </w:rPr>
            </w:pPr>
            <w:r>
              <w:rPr>
                <w:lang w:val="en-US" w:eastAsia="en-US"/>
              </w:rPr>
              <w:t>ISA</w:t>
            </w:r>
          </w:p>
        </w:tc>
        <w:tc>
          <w:tcPr>
            <w:tcW w:w="3885" w:type="dxa"/>
          </w:tcPr>
          <w:p w14:paraId="1782DF8A" w14:textId="77777777" w:rsidR="007D4A07" w:rsidRPr="002C43E8" w:rsidRDefault="007D4A07" w:rsidP="001F3C89">
            <w:pPr>
              <w:pStyle w:val="Glossarytabletext"/>
              <w:rPr>
                <w:lang w:val="en-US" w:eastAsia="en-US"/>
              </w:rPr>
            </w:pPr>
            <w:r>
              <w:rPr>
                <w:lang w:val="en-US" w:eastAsia="en-US"/>
              </w:rPr>
              <w:t>Innovation and Science Australia</w:t>
            </w:r>
          </w:p>
        </w:tc>
      </w:tr>
      <w:tr w:rsidR="007D4A07" w:rsidRPr="002C43E8" w14:paraId="7FB8A3A8" w14:textId="77777777" w:rsidTr="001F3C89">
        <w:tc>
          <w:tcPr>
            <w:tcW w:w="2721" w:type="dxa"/>
          </w:tcPr>
          <w:p w14:paraId="601CE5B2" w14:textId="78FA796F" w:rsidR="007D4A07" w:rsidRPr="002C43E8" w:rsidRDefault="00F77CEA" w:rsidP="001F3C89">
            <w:pPr>
              <w:pStyle w:val="Glossarytabletext"/>
              <w:rPr>
                <w:lang w:val="en-US" w:eastAsia="en-US"/>
              </w:rPr>
            </w:pPr>
            <w:r>
              <w:rPr>
                <w:lang w:val="en-US" w:eastAsia="en-US"/>
              </w:rPr>
              <w:t>ITAA 1</w:t>
            </w:r>
            <w:r w:rsidR="007D4A07">
              <w:rPr>
                <w:lang w:val="en-US" w:eastAsia="en-US"/>
              </w:rPr>
              <w:t>936</w:t>
            </w:r>
          </w:p>
        </w:tc>
        <w:tc>
          <w:tcPr>
            <w:tcW w:w="3885" w:type="dxa"/>
          </w:tcPr>
          <w:p w14:paraId="4FA4C8D0" w14:textId="77777777" w:rsidR="007D4A07" w:rsidRPr="002C43E8" w:rsidRDefault="007D4A07" w:rsidP="001F3C89">
            <w:pPr>
              <w:pStyle w:val="Glossarytabletext"/>
              <w:rPr>
                <w:lang w:val="en-US" w:eastAsia="en-US"/>
              </w:rPr>
            </w:pPr>
            <w:r w:rsidRPr="00FC51B0">
              <w:rPr>
                <w:i/>
                <w:lang w:val="en-US" w:eastAsia="en-US"/>
              </w:rPr>
              <w:t>I</w:t>
            </w:r>
            <w:r>
              <w:rPr>
                <w:i/>
                <w:lang w:val="en-US" w:eastAsia="en-US"/>
              </w:rPr>
              <w:t>ncome Tax Assessment Act 1936</w:t>
            </w:r>
          </w:p>
        </w:tc>
      </w:tr>
      <w:tr w:rsidR="007D4A07" w:rsidRPr="002C43E8" w14:paraId="2F655C41" w14:textId="77777777" w:rsidTr="001F3C89">
        <w:tc>
          <w:tcPr>
            <w:tcW w:w="2721" w:type="dxa"/>
          </w:tcPr>
          <w:p w14:paraId="696B6AE6" w14:textId="77777777" w:rsidR="007D4A07" w:rsidRPr="002C43E8" w:rsidRDefault="007D4A07" w:rsidP="001F3C89">
            <w:pPr>
              <w:pStyle w:val="Glossarytabletext"/>
              <w:rPr>
                <w:lang w:val="en-US" w:eastAsia="en-US"/>
              </w:rPr>
            </w:pPr>
            <w:r>
              <w:rPr>
                <w:lang w:val="en-US" w:eastAsia="en-US"/>
              </w:rPr>
              <w:t>ITAA 1997</w:t>
            </w:r>
          </w:p>
        </w:tc>
        <w:tc>
          <w:tcPr>
            <w:tcW w:w="3885" w:type="dxa"/>
          </w:tcPr>
          <w:p w14:paraId="58F0F7F5" w14:textId="77777777" w:rsidR="007D4A07" w:rsidRPr="00FC51B0" w:rsidRDefault="007D4A07" w:rsidP="001F3C89">
            <w:pPr>
              <w:pStyle w:val="Glossarytabletext"/>
              <w:rPr>
                <w:i/>
                <w:lang w:val="en-US" w:eastAsia="en-US"/>
              </w:rPr>
            </w:pPr>
            <w:r w:rsidRPr="00FC51B0">
              <w:rPr>
                <w:i/>
                <w:lang w:val="en-US" w:eastAsia="en-US"/>
              </w:rPr>
              <w:t>Income Tax Assessment Act 1997</w:t>
            </w:r>
          </w:p>
        </w:tc>
      </w:tr>
      <w:tr w:rsidR="007D4A07" w:rsidRPr="002C43E8" w14:paraId="5BB91339" w14:textId="77777777" w:rsidTr="001F3C89">
        <w:tc>
          <w:tcPr>
            <w:tcW w:w="2721" w:type="dxa"/>
          </w:tcPr>
          <w:p w14:paraId="5E90F2D1" w14:textId="77777777" w:rsidR="007D4A07" w:rsidRPr="002C43E8" w:rsidRDefault="007D4A07" w:rsidP="001F3C89">
            <w:pPr>
              <w:pStyle w:val="Glossarytabletext"/>
              <w:rPr>
                <w:lang w:val="en-US" w:eastAsia="en-US"/>
              </w:rPr>
            </w:pPr>
            <w:r>
              <w:rPr>
                <w:lang w:val="en-US" w:eastAsia="en-US"/>
              </w:rPr>
              <w:t>R&amp;D</w:t>
            </w:r>
          </w:p>
        </w:tc>
        <w:tc>
          <w:tcPr>
            <w:tcW w:w="3885" w:type="dxa"/>
          </w:tcPr>
          <w:p w14:paraId="79C02785" w14:textId="77777777" w:rsidR="007D4A07" w:rsidRPr="002C43E8" w:rsidRDefault="007D4A07" w:rsidP="001F3C89">
            <w:pPr>
              <w:pStyle w:val="Glossarytabletext"/>
              <w:rPr>
                <w:lang w:val="en-US" w:eastAsia="en-US"/>
              </w:rPr>
            </w:pPr>
            <w:r>
              <w:rPr>
                <w:lang w:val="en-US" w:eastAsia="en-US"/>
              </w:rPr>
              <w:t>Research and Development</w:t>
            </w:r>
          </w:p>
        </w:tc>
      </w:tr>
      <w:tr w:rsidR="00711993" w:rsidRPr="002C43E8" w14:paraId="0129CF36" w14:textId="77777777" w:rsidTr="001F3C89">
        <w:tc>
          <w:tcPr>
            <w:tcW w:w="2721" w:type="dxa"/>
          </w:tcPr>
          <w:p w14:paraId="7306B5C1" w14:textId="34AA058B" w:rsidR="00711993" w:rsidRDefault="00711993" w:rsidP="001F3C89">
            <w:pPr>
              <w:pStyle w:val="Glossarytabletext"/>
              <w:rPr>
                <w:lang w:val="en-US" w:eastAsia="en-US"/>
              </w:rPr>
            </w:pPr>
            <w:r>
              <w:rPr>
                <w:lang w:val="en-US" w:eastAsia="en-US"/>
              </w:rPr>
              <w:t>Review</w:t>
            </w:r>
          </w:p>
        </w:tc>
        <w:tc>
          <w:tcPr>
            <w:tcW w:w="3885" w:type="dxa"/>
          </w:tcPr>
          <w:p w14:paraId="6377ACB7" w14:textId="79A37152" w:rsidR="00711993" w:rsidRDefault="00711993" w:rsidP="001F3C89">
            <w:pPr>
              <w:pStyle w:val="Glossarytabletext"/>
              <w:rPr>
                <w:lang w:val="en-US" w:eastAsia="en-US"/>
              </w:rPr>
            </w:pPr>
            <w:r w:rsidRPr="000E35DC">
              <w:rPr>
                <w:i/>
              </w:rPr>
              <w:t>Review of the R&amp;D Tax Incentive</w:t>
            </w:r>
          </w:p>
        </w:tc>
      </w:tr>
      <w:tr w:rsidR="007D4A07" w:rsidRPr="002C43E8" w14:paraId="5A95BC0E" w14:textId="77777777" w:rsidTr="001F3C89">
        <w:tc>
          <w:tcPr>
            <w:tcW w:w="2721" w:type="dxa"/>
          </w:tcPr>
          <w:p w14:paraId="66235FED" w14:textId="77777777" w:rsidR="007D4A07" w:rsidRPr="002C43E8" w:rsidRDefault="007D4A07" w:rsidP="001F3C89">
            <w:pPr>
              <w:pStyle w:val="Glossarytabletext"/>
              <w:rPr>
                <w:lang w:val="en-US" w:eastAsia="en-US"/>
              </w:rPr>
            </w:pPr>
            <w:r>
              <w:rPr>
                <w:lang w:val="en-US" w:eastAsia="en-US"/>
              </w:rPr>
              <w:t>SES</w:t>
            </w:r>
          </w:p>
        </w:tc>
        <w:tc>
          <w:tcPr>
            <w:tcW w:w="3885" w:type="dxa"/>
          </w:tcPr>
          <w:p w14:paraId="7623E85A" w14:textId="77777777" w:rsidR="007D4A07" w:rsidRPr="002C43E8" w:rsidRDefault="007D4A07" w:rsidP="001F3C89">
            <w:pPr>
              <w:pStyle w:val="Glossarytabletext"/>
              <w:rPr>
                <w:lang w:val="en-US" w:eastAsia="en-US"/>
              </w:rPr>
            </w:pPr>
            <w:r>
              <w:rPr>
                <w:lang w:val="en-US" w:eastAsia="en-US"/>
              </w:rPr>
              <w:t>Senior Executive Service</w:t>
            </w:r>
          </w:p>
        </w:tc>
      </w:tr>
      <w:tr w:rsidR="007D4A07" w:rsidRPr="002C43E8" w14:paraId="1799360F" w14:textId="77777777" w:rsidTr="001F3C89">
        <w:tc>
          <w:tcPr>
            <w:tcW w:w="2721" w:type="dxa"/>
          </w:tcPr>
          <w:p w14:paraId="3D5C4C90" w14:textId="77777777" w:rsidR="007D4A07" w:rsidRPr="002C43E8" w:rsidRDefault="007D4A07" w:rsidP="001F3C89">
            <w:pPr>
              <w:pStyle w:val="Glossarytabletext"/>
              <w:rPr>
                <w:lang w:val="en-US" w:eastAsia="en-US"/>
              </w:rPr>
            </w:pPr>
            <w:r>
              <w:rPr>
                <w:lang w:val="en-US" w:eastAsia="en-US"/>
              </w:rPr>
              <w:t>TAA 1953</w:t>
            </w:r>
          </w:p>
        </w:tc>
        <w:tc>
          <w:tcPr>
            <w:tcW w:w="3885" w:type="dxa"/>
          </w:tcPr>
          <w:p w14:paraId="18F2043C" w14:textId="77777777" w:rsidR="007D4A07" w:rsidRPr="00FC51B0" w:rsidRDefault="007D4A07" w:rsidP="001F3C89">
            <w:pPr>
              <w:pStyle w:val="Glossarytabletext"/>
              <w:rPr>
                <w:i/>
                <w:lang w:val="en-US" w:eastAsia="en-US"/>
              </w:rPr>
            </w:pPr>
            <w:r w:rsidRPr="00FC51B0">
              <w:rPr>
                <w:i/>
                <w:lang w:val="en-US" w:eastAsia="en-US"/>
              </w:rPr>
              <w:t>Taxation Administration Act 1953</w:t>
            </w:r>
          </w:p>
        </w:tc>
      </w:tr>
    </w:tbl>
    <w:p w14:paraId="5A1EB094" w14:textId="77777777" w:rsidR="00E5385B" w:rsidRDefault="00E5385B" w:rsidP="00B17774"/>
    <w:p w14:paraId="6668F654" w14:textId="77777777" w:rsidR="00B17774" w:rsidRDefault="00B17774" w:rsidP="00B17774"/>
    <w:p w14:paraId="63BEE92D"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2E045C6F" w14:textId="03BC5B0B" w:rsidR="00B17774" w:rsidRPr="007C2B20" w:rsidRDefault="00840701" w:rsidP="008F3CF5">
      <w:pPr>
        <w:pStyle w:val="ChapterHeading"/>
      </w:pPr>
      <w:r w:rsidRPr="000C2A9D">
        <w:br/>
      </w:r>
      <w:bookmarkStart w:id="5" w:name="_Toc516237594"/>
      <w:bookmarkStart w:id="6" w:name="_Toc517163911"/>
      <w:r w:rsidR="008F3CF5">
        <w:rPr>
          <w:rStyle w:val="ChapterNameOnly"/>
        </w:rPr>
        <w:t xml:space="preserve">Better </w:t>
      </w:r>
      <w:r w:rsidR="006676DB">
        <w:rPr>
          <w:rStyle w:val="ChapterNameOnly"/>
        </w:rPr>
        <w:t>t</w:t>
      </w:r>
      <w:r w:rsidR="008F3CF5">
        <w:rPr>
          <w:rStyle w:val="ChapterNameOnly"/>
        </w:rPr>
        <w:t>argeting the Research a</w:t>
      </w:r>
      <w:r w:rsidR="008F3CF5" w:rsidRPr="008F3CF5">
        <w:rPr>
          <w:rStyle w:val="ChapterNameOnly"/>
        </w:rPr>
        <w:t>nd Development Tax Incentive</w:t>
      </w:r>
      <w:bookmarkEnd w:id="5"/>
      <w:bookmarkEnd w:id="6"/>
    </w:p>
    <w:p w14:paraId="785AD62D" w14:textId="77777777" w:rsidR="00B17774" w:rsidRDefault="00B17774" w:rsidP="00B17774">
      <w:pPr>
        <w:pStyle w:val="Heading2"/>
      </w:pPr>
      <w:r>
        <w:t>Outline of chapter</w:t>
      </w:r>
    </w:p>
    <w:p w14:paraId="4FD783F8" w14:textId="2C849CB9" w:rsidR="00B17774" w:rsidRDefault="007D6D78" w:rsidP="0085519B">
      <w:pPr>
        <w:numPr>
          <w:ilvl w:val="1"/>
          <w:numId w:val="4"/>
        </w:numPr>
      </w:pPr>
      <w:r>
        <w:t>Schedule 1 to t</w:t>
      </w:r>
      <w:r w:rsidR="008F3CF5">
        <w:t xml:space="preserve">he Exposure Draft reforms the </w:t>
      </w:r>
      <w:r w:rsidR="008E75ED">
        <w:t>Research and Development </w:t>
      </w:r>
      <w:r w:rsidR="008F3CF5">
        <w:t xml:space="preserve">(R&amp;D) Tax Incentive (the Incentive) to better target the program and improve its </w:t>
      </w:r>
      <w:r w:rsidR="00BE6307">
        <w:t xml:space="preserve">effectiveness, </w:t>
      </w:r>
      <w:r w:rsidR="008F3CF5">
        <w:t xml:space="preserve">integrity and fiscal affordability. </w:t>
      </w:r>
    </w:p>
    <w:p w14:paraId="19EE9218" w14:textId="77777777" w:rsidR="00B17774" w:rsidRDefault="00B17774" w:rsidP="00B17774">
      <w:pPr>
        <w:pStyle w:val="Heading2"/>
      </w:pPr>
      <w:r>
        <w:t>Context of amendments</w:t>
      </w:r>
    </w:p>
    <w:p w14:paraId="39ACF5E8" w14:textId="55EF566B" w:rsidR="005709B5" w:rsidRDefault="005709B5" w:rsidP="005709B5">
      <w:pPr>
        <w:pStyle w:val="Heading3"/>
      </w:pPr>
      <w:r>
        <w:t>The R&amp;D Tax Incentive</w:t>
      </w:r>
    </w:p>
    <w:p w14:paraId="706763C1" w14:textId="0140056A" w:rsidR="00785C78" w:rsidRDefault="00785C78" w:rsidP="00785C78">
      <w:pPr>
        <w:pStyle w:val="base-text-paragraph"/>
      </w:pPr>
      <w:r>
        <w:t xml:space="preserve">The Incentive encourages R&amp;D activities that might </w:t>
      </w:r>
      <w:r w:rsidR="00711993">
        <w:t xml:space="preserve">not </w:t>
      </w:r>
      <w:r>
        <w:t xml:space="preserve">otherwise be conducted in cases where the </w:t>
      </w:r>
      <w:r w:rsidR="00BE6307">
        <w:t xml:space="preserve">new </w:t>
      </w:r>
      <w:r>
        <w:t>knowledge gained is likely to have a wider Australian economic benefit.</w:t>
      </w:r>
      <w:r w:rsidR="0047383F">
        <w:t xml:space="preserve"> That is, the Incentive is intended to support additionality in R&amp;D activit</w:t>
      </w:r>
      <w:r w:rsidR="003E44D8">
        <w:t>ies</w:t>
      </w:r>
      <w:r w:rsidR="0047383F">
        <w:t xml:space="preserve"> and </w:t>
      </w:r>
      <w:proofErr w:type="spellStart"/>
      <w:r w:rsidR="0047383F">
        <w:t>spillover</w:t>
      </w:r>
      <w:proofErr w:type="spellEnd"/>
      <w:r w:rsidR="0047383F">
        <w:t xml:space="preserve"> benefits to the broader economy.</w:t>
      </w:r>
    </w:p>
    <w:p w14:paraId="496AD66D" w14:textId="6AE48C5A" w:rsidR="003831F1" w:rsidRDefault="003831F1" w:rsidP="003831F1">
      <w:pPr>
        <w:pStyle w:val="base-text-paragraph"/>
      </w:pPr>
      <w:r>
        <w:t>Division</w:t>
      </w:r>
      <w:r w:rsidRPr="003831F1">
        <w:t xml:space="preserve"> 355 of the </w:t>
      </w:r>
      <w:r w:rsidRPr="003831F1">
        <w:rPr>
          <w:i/>
        </w:rPr>
        <w:t>Income Tax Assessment Act</w:t>
      </w:r>
      <w:r w:rsidR="00CE7EEE">
        <w:rPr>
          <w:i/>
        </w:rPr>
        <w:t> </w:t>
      </w:r>
      <w:r w:rsidRPr="003831F1">
        <w:rPr>
          <w:i/>
        </w:rPr>
        <w:t>1997</w:t>
      </w:r>
      <w:r w:rsidR="00CE7EEE">
        <w:t> </w:t>
      </w:r>
      <w:r>
        <w:t>(ITAA </w:t>
      </w:r>
      <w:r w:rsidR="0047383F">
        <w:t>1997) provides</w:t>
      </w:r>
      <w:r w:rsidRPr="003831F1">
        <w:t xml:space="preserve"> </w:t>
      </w:r>
      <w:r w:rsidR="003E44D8">
        <w:t xml:space="preserve">R&amp;D </w:t>
      </w:r>
      <w:r w:rsidRPr="003831F1">
        <w:t>tax offset</w:t>
      </w:r>
      <w:r w:rsidR="0047383F">
        <w:t>s</w:t>
      </w:r>
      <w:r w:rsidRPr="003831F1">
        <w:t xml:space="preserve"> to R&amp;D entities for a range of </w:t>
      </w:r>
      <w:r>
        <w:t xml:space="preserve">expenses and </w:t>
      </w:r>
      <w:r w:rsidR="00351A0B">
        <w:t>depreciation</w:t>
      </w:r>
      <w:r>
        <w:t xml:space="preserve"> costs incurred on R&amp;D activities</w:t>
      </w:r>
      <w:r w:rsidRPr="003831F1">
        <w:t>.</w:t>
      </w:r>
      <w:r w:rsidR="00351A0B">
        <w:t xml:space="preserve"> </w:t>
      </w:r>
      <w:r w:rsidR="0047383F">
        <w:t xml:space="preserve">There are </w:t>
      </w:r>
      <w:r w:rsidR="00A01163">
        <w:t xml:space="preserve">currently </w:t>
      </w:r>
      <w:r w:rsidR="0047383F">
        <w:t>two R&amp;D tax offsets available:</w:t>
      </w:r>
    </w:p>
    <w:p w14:paraId="1ADE339A" w14:textId="10ED9B01" w:rsidR="0047383F" w:rsidRDefault="0047383F" w:rsidP="0047383F">
      <w:pPr>
        <w:pStyle w:val="dotpoint"/>
      </w:pPr>
      <w:r>
        <w:t xml:space="preserve">a 43.5 per cent refundable tax offset available to most small </w:t>
      </w:r>
      <w:r w:rsidR="00E97C52">
        <w:t xml:space="preserve">R&amp;D entities </w:t>
      </w:r>
      <w:r w:rsidR="00711993">
        <w:t xml:space="preserve">– those </w:t>
      </w:r>
      <w:r>
        <w:t xml:space="preserve">with an aggregated turnover of </w:t>
      </w:r>
      <w:r w:rsidR="00E86014">
        <w:t xml:space="preserve">less than </w:t>
      </w:r>
      <w:r>
        <w:t>$20</w:t>
      </w:r>
      <w:r w:rsidR="003E44D8">
        <w:t> </w:t>
      </w:r>
      <w:r>
        <w:t>mi</w:t>
      </w:r>
      <w:r w:rsidR="00E86014">
        <w:t>llion</w:t>
      </w:r>
      <w:r>
        <w:t xml:space="preserve">. The refundable offset can be refunded as a cash payment to </w:t>
      </w:r>
      <w:r w:rsidR="00FF62FF">
        <w:t xml:space="preserve">an </w:t>
      </w:r>
      <w:r w:rsidR="006070DB">
        <w:t>R&amp;D entit</w:t>
      </w:r>
      <w:r w:rsidR="00FF62FF">
        <w:t>y</w:t>
      </w:r>
      <w:r>
        <w:t xml:space="preserve"> if it exceeds </w:t>
      </w:r>
      <w:r w:rsidR="006070DB">
        <w:t xml:space="preserve">the </w:t>
      </w:r>
      <w:r w:rsidR="005709B5">
        <w:t xml:space="preserve">entity’s </w:t>
      </w:r>
      <w:r>
        <w:t>income tax liability; and</w:t>
      </w:r>
    </w:p>
    <w:p w14:paraId="1FB9B370" w14:textId="069E3436" w:rsidR="0047383F" w:rsidRPr="003831F1" w:rsidRDefault="0047383F" w:rsidP="0047383F">
      <w:pPr>
        <w:pStyle w:val="dotpoint"/>
      </w:pPr>
      <w:r>
        <w:t xml:space="preserve">a 38.5 per cent non-refundable tax offset available to larger </w:t>
      </w:r>
      <w:r w:rsidR="00E97C52">
        <w:t xml:space="preserve">R&amp;D </w:t>
      </w:r>
      <w:r w:rsidR="006220CA">
        <w:t>entities</w:t>
      </w:r>
      <w:r w:rsidR="00E97C52">
        <w:t xml:space="preserve"> </w:t>
      </w:r>
      <w:r>
        <w:t xml:space="preserve">and </w:t>
      </w:r>
      <w:r w:rsidR="006070DB">
        <w:t>R&amp;D entit</w:t>
      </w:r>
      <w:r>
        <w:t>ies controlled by</w:t>
      </w:r>
      <w:r w:rsidR="006070DB">
        <w:t xml:space="preserve"> one or more</w:t>
      </w:r>
      <w:r>
        <w:t xml:space="preserve"> exempt entities. A non</w:t>
      </w:r>
      <w:r w:rsidR="00D569C5">
        <w:noBreakHyphen/>
      </w:r>
      <w:r>
        <w:t>refundable tax offset may be used to re</w:t>
      </w:r>
      <w:r w:rsidR="005709B5">
        <w:t xml:space="preserve">duce an </w:t>
      </w:r>
      <w:r w:rsidR="006070DB">
        <w:t>R&amp;D entit</w:t>
      </w:r>
      <w:r w:rsidR="005709B5">
        <w:t xml:space="preserve">y’s </w:t>
      </w:r>
      <w:r>
        <w:t>income tax liability for an income year but any remaining excess must be carried forward to be applied in future income years.</w:t>
      </w:r>
    </w:p>
    <w:p w14:paraId="72F1D19D" w14:textId="7E45AD11" w:rsidR="005709B5" w:rsidRDefault="005709B5" w:rsidP="005709B5">
      <w:pPr>
        <w:pStyle w:val="base-text-paragraph"/>
      </w:pPr>
      <w:r>
        <w:t xml:space="preserve">The basis for calculating R&amp;D tax offsets is the concept of a notional deduction. A notional deduction is generally recognised for expenditure (Subdivision 355-D) on R&amp;D activities and depreciation on assets held for R&amp;D purposes (Subdivision 355-E) subject to conditions. These deductions are referred to as notional because they are only used to calculate an </w:t>
      </w:r>
      <w:r w:rsidR="006070DB">
        <w:t>R&amp;D entit</w:t>
      </w:r>
      <w:r>
        <w:t>y’s entitlement to the Incentive and for some other discrete purposes (section 355</w:t>
      </w:r>
      <w:r>
        <w:noBreakHyphen/>
        <w:t xml:space="preserve">105). That is, the entitlement to the Incentive for a notional deduction replaces the entitlement to the underlying </w:t>
      </w:r>
      <w:r w:rsidR="00A01163">
        <w:t xml:space="preserve">tax </w:t>
      </w:r>
      <w:r>
        <w:t xml:space="preserve">deduction. </w:t>
      </w:r>
    </w:p>
    <w:p w14:paraId="01300AC1" w14:textId="520D60E2" w:rsidR="005709B5" w:rsidRDefault="005709B5" w:rsidP="005709B5">
      <w:pPr>
        <w:pStyle w:val="base-text-paragraph"/>
      </w:pPr>
      <w:r w:rsidRPr="005709B5">
        <w:t xml:space="preserve">The value of the Incentive (the ‘incentive component’) is the difference between the </w:t>
      </w:r>
      <w:r w:rsidR="006070DB">
        <w:t>R&amp;D entit</w:t>
      </w:r>
      <w:r w:rsidRPr="005709B5">
        <w:t xml:space="preserve">y’s tax rate and the </w:t>
      </w:r>
      <w:r w:rsidR="00A01163">
        <w:t xml:space="preserve">R&amp;D tax </w:t>
      </w:r>
      <w:r w:rsidRPr="005709B5">
        <w:t xml:space="preserve">offset rate (plus the benefit of </w:t>
      </w:r>
      <w:proofErr w:type="spellStart"/>
      <w:r w:rsidRPr="005709B5">
        <w:t>refundability</w:t>
      </w:r>
      <w:proofErr w:type="spellEnd"/>
      <w:r w:rsidRPr="005709B5">
        <w:t xml:space="preserve"> where it applies). </w:t>
      </w:r>
      <w:r>
        <w:t xml:space="preserve">For example, the incentive component of a large </w:t>
      </w:r>
      <w:r w:rsidR="00E97C52">
        <w:t xml:space="preserve">R&amp;D entity </w:t>
      </w:r>
      <w:r>
        <w:t>receiving the 38.5 per cent non-refundable offset and paying the 30 per cent corporate tax rate is 8.5</w:t>
      </w:r>
      <w:r w:rsidR="00E97C52">
        <w:t> </w:t>
      </w:r>
      <w:r>
        <w:t>per</w:t>
      </w:r>
      <w:r w:rsidR="00E97C52">
        <w:t> </w:t>
      </w:r>
      <w:r>
        <w:t xml:space="preserve">cent. </w:t>
      </w:r>
    </w:p>
    <w:p w14:paraId="7F2B7BF7" w14:textId="7EDCD56E" w:rsidR="00480CC1" w:rsidRDefault="006774A4" w:rsidP="00CE4604">
      <w:pPr>
        <w:pStyle w:val="Heading3"/>
      </w:pPr>
      <w:r>
        <w:t>The Enterprise Tax Plan</w:t>
      </w:r>
    </w:p>
    <w:p w14:paraId="1014891D" w14:textId="4AFDD812" w:rsidR="006774A4" w:rsidRDefault="006774A4" w:rsidP="006774A4">
      <w:pPr>
        <w:pStyle w:val="base-text-paragraph"/>
      </w:pPr>
      <w:r>
        <w:t xml:space="preserve">Under the Government’s Enterprise Tax Plan, the corporate tax rate will be progressively lowered until it reaches a uniform 25 per cent in 2026-27. Until 2023-24, companies </w:t>
      </w:r>
      <w:r w:rsidR="00CE4604">
        <w:t>under an increasing aggregated turnover threshold are entitled to a lower corporate tax rate of 27.5 per cent rather than the standard corporate tax rate of 30 per cent</w:t>
      </w:r>
      <w:r>
        <w:t xml:space="preserve">. </w:t>
      </w:r>
    </w:p>
    <w:p w14:paraId="70611F26" w14:textId="7A2D6578" w:rsidR="00CE4604" w:rsidRDefault="00CE4604" w:rsidP="00CE4604">
      <w:pPr>
        <w:pStyle w:val="TableHeadingoutsidetable"/>
      </w:pPr>
      <w:r>
        <w:t xml:space="preserve"> Corporate tax rates under the Enterprise Tax Plan</w:t>
      </w:r>
    </w:p>
    <w:tbl>
      <w:tblPr>
        <w:tblW w:w="4264" w:type="pct"/>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9"/>
        <w:gridCol w:w="1701"/>
        <w:gridCol w:w="2268"/>
        <w:gridCol w:w="1476"/>
      </w:tblGrid>
      <w:tr w:rsidR="00CE4604" w:rsidRPr="006774A4" w14:paraId="3E04AA19" w14:textId="77777777" w:rsidTr="00CE4604">
        <w:tc>
          <w:tcPr>
            <w:tcW w:w="865" w:type="pct"/>
            <w:shd w:val="clear" w:color="auto" w:fill="auto"/>
            <w:tcMar>
              <w:top w:w="0" w:type="dxa"/>
              <w:left w:w="0" w:type="dxa"/>
              <w:bottom w:w="0" w:type="dxa"/>
              <w:right w:w="0" w:type="dxa"/>
            </w:tcMar>
            <w:vAlign w:val="center"/>
            <w:hideMark/>
          </w:tcPr>
          <w:p w14:paraId="73C45D6E" w14:textId="77777777" w:rsidR="006774A4" w:rsidRPr="006774A4" w:rsidRDefault="006774A4" w:rsidP="006774A4">
            <w:pPr>
              <w:pStyle w:val="tableheaderwithintable"/>
            </w:pPr>
            <w:r w:rsidRPr="006774A4">
              <w:t>Year</w:t>
            </w:r>
          </w:p>
        </w:tc>
        <w:tc>
          <w:tcPr>
            <w:tcW w:w="1292" w:type="pct"/>
            <w:shd w:val="clear" w:color="auto" w:fill="auto"/>
            <w:tcMar>
              <w:top w:w="0" w:type="dxa"/>
              <w:left w:w="0" w:type="dxa"/>
              <w:bottom w:w="0" w:type="dxa"/>
              <w:right w:w="0" w:type="dxa"/>
            </w:tcMar>
            <w:vAlign w:val="center"/>
            <w:hideMark/>
          </w:tcPr>
          <w:p w14:paraId="4F41305F" w14:textId="77777777" w:rsidR="006774A4" w:rsidRPr="006774A4" w:rsidRDefault="006774A4" w:rsidP="006774A4">
            <w:pPr>
              <w:pStyle w:val="tableheaderwithintable"/>
            </w:pPr>
            <w:r w:rsidRPr="006774A4">
              <w:t>Aggregated turnover threshold</w:t>
            </w:r>
          </w:p>
        </w:tc>
        <w:tc>
          <w:tcPr>
            <w:tcW w:w="1722" w:type="pct"/>
            <w:shd w:val="clear" w:color="auto" w:fill="auto"/>
            <w:tcMar>
              <w:top w:w="0" w:type="dxa"/>
              <w:left w:w="0" w:type="dxa"/>
              <w:bottom w:w="0" w:type="dxa"/>
              <w:right w:w="0" w:type="dxa"/>
            </w:tcMar>
            <w:vAlign w:val="center"/>
            <w:hideMark/>
          </w:tcPr>
          <w:p w14:paraId="12E981DC" w14:textId="5D7BC99D" w:rsidR="006774A4" w:rsidRPr="006774A4" w:rsidRDefault="006774A4" w:rsidP="00CE4604">
            <w:pPr>
              <w:pStyle w:val="tableheaderwithintable"/>
            </w:pPr>
            <w:r w:rsidRPr="006774A4">
              <w:t>Corporate entities under the threshold</w:t>
            </w:r>
          </w:p>
        </w:tc>
        <w:tc>
          <w:tcPr>
            <w:tcW w:w="1121" w:type="pct"/>
            <w:shd w:val="clear" w:color="auto" w:fill="auto"/>
            <w:tcMar>
              <w:top w:w="0" w:type="dxa"/>
              <w:left w:w="0" w:type="dxa"/>
              <w:bottom w:w="0" w:type="dxa"/>
              <w:right w:w="0" w:type="dxa"/>
            </w:tcMar>
            <w:vAlign w:val="center"/>
            <w:hideMark/>
          </w:tcPr>
          <w:p w14:paraId="23278421" w14:textId="77777777" w:rsidR="006774A4" w:rsidRPr="006774A4" w:rsidRDefault="006774A4" w:rsidP="006774A4">
            <w:pPr>
              <w:pStyle w:val="tableheaderwithintable"/>
            </w:pPr>
            <w:r w:rsidRPr="006774A4">
              <w:t>All other corporate entities</w:t>
            </w:r>
          </w:p>
        </w:tc>
      </w:tr>
      <w:tr w:rsidR="00CE4604" w:rsidRPr="006774A4" w14:paraId="76E17166" w14:textId="77777777" w:rsidTr="00CE4604">
        <w:tc>
          <w:tcPr>
            <w:tcW w:w="865" w:type="pct"/>
            <w:shd w:val="clear" w:color="auto" w:fill="auto"/>
            <w:tcMar>
              <w:top w:w="0" w:type="dxa"/>
              <w:left w:w="0" w:type="dxa"/>
              <w:bottom w:w="0" w:type="dxa"/>
              <w:right w:w="0" w:type="dxa"/>
            </w:tcMar>
            <w:vAlign w:val="center"/>
            <w:hideMark/>
          </w:tcPr>
          <w:p w14:paraId="53FE5F31" w14:textId="77777777" w:rsidR="006774A4" w:rsidRPr="006774A4" w:rsidRDefault="006774A4" w:rsidP="00CE4604">
            <w:pPr>
              <w:pStyle w:val="tabletext"/>
              <w:ind w:left="147"/>
            </w:pPr>
            <w:r w:rsidRPr="006774A4">
              <w:t>2017–18</w:t>
            </w:r>
          </w:p>
        </w:tc>
        <w:tc>
          <w:tcPr>
            <w:tcW w:w="1292" w:type="pct"/>
            <w:shd w:val="clear" w:color="auto" w:fill="auto"/>
            <w:tcMar>
              <w:top w:w="0" w:type="dxa"/>
              <w:left w:w="0" w:type="dxa"/>
              <w:bottom w:w="0" w:type="dxa"/>
              <w:right w:w="0" w:type="dxa"/>
            </w:tcMar>
            <w:vAlign w:val="center"/>
            <w:hideMark/>
          </w:tcPr>
          <w:p w14:paraId="6096BA08" w14:textId="3C3E3760" w:rsidR="006774A4" w:rsidRPr="006774A4" w:rsidRDefault="006774A4" w:rsidP="00CE4604">
            <w:pPr>
              <w:pStyle w:val="tabletext"/>
              <w:ind w:left="140"/>
            </w:pPr>
            <w:r w:rsidRPr="006774A4">
              <w:t>$25</w:t>
            </w:r>
            <w:r w:rsidR="00CE4604">
              <w:t xml:space="preserve"> million</w:t>
            </w:r>
          </w:p>
        </w:tc>
        <w:tc>
          <w:tcPr>
            <w:tcW w:w="1722" w:type="pct"/>
            <w:shd w:val="clear" w:color="auto" w:fill="auto"/>
            <w:tcMar>
              <w:top w:w="0" w:type="dxa"/>
              <w:left w:w="0" w:type="dxa"/>
              <w:bottom w:w="0" w:type="dxa"/>
              <w:right w:w="0" w:type="dxa"/>
            </w:tcMar>
            <w:vAlign w:val="center"/>
            <w:hideMark/>
          </w:tcPr>
          <w:p w14:paraId="116BBFF1" w14:textId="50E355AC" w:rsidR="006774A4" w:rsidRPr="006774A4" w:rsidRDefault="006774A4" w:rsidP="00CE4604">
            <w:pPr>
              <w:pStyle w:val="tabletext"/>
              <w:ind w:left="142"/>
            </w:pPr>
            <w:r w:rsidRPr="006774A4">
              <w:t>27.5</w:t>
            </w:r>
            <w:r w:rsidR="00CE4604">
              <w:t xml:space="preserve"> per cent</w:t>
            </w:r>
          </w:p>
        </w:tc>
        <w:tc>
          <w:tcPr>
            <w:tcW w:w="1121" w:type="pct"/>
            <w:shd w:val="clear" w:color="auto" w:fill="auto"/>
            <w:tcMar>
              <w:top w:w="0" w:type="dxa"/>
              <w:left w:w="0" w:type="dxa"/>
              <w:bottom w:w="0" w:type="dxa"/>
              <w:right w:w="0" w:type="dxa"/>
            </w:tcMar>
            <w:vAlign w:val="center"/>
            <w:hideMark/>
          </w:tcPr>
          <w:p w14:paraId="6DAF3DC4" w14:textId="23345356" w:rsidR="006774A4" w:rsidRPr="006774A4" w:rsidRDefault="00C51744" w:rsidP="00CE4604">
            <w:pPr>
              <w:pStyle w:val="tabletext"/>
              <w:ind w:left="142"/>
            </w:pPr>
            <w:r>
              <w:t>30</w:t>
            </w:r>
            <w:r w:rsidR="00CE4604">
              <w:t xml:space="preserve"> per cent</w:t>
            </w:r>
          </w:p>
        </w:tc>
      </w:tr>
      <w:tr w:rsidR="00CE4604" w:rsidRPr="006774A4" w14:paraId="5BADB136" w14:textId="77777777" w:rsidTr="00CE4604">
        <w:tc>
          <w:tcPr>
            <w:tcW w:w="865" w:type="pct"/>
            <w:shd w:val="clear" w:color="auto" w:fill="auto"/>
            <w:tcMar>
              <w:top w:w="0" w:type="dxa"/>
              <w:left w:w="0" w:type="dxa"/>
              <w:bottom w:w="0" w:type="dxa"/>
              <w:right w:w="0" w:type="dxa"/>
            </w:tcMar>
            <w:vAlign w:val="center"/>
            <w:hideMark/>
          </w:tcPr>
          <w:p w14:paraId="41C85728" w14:textId="77777777" w:rsidR="006774A4" w:rsidRPr="006774A4" w:rsidRDefault="006774A4" w:rsidP="00CE4604">
            <w:pPr>
              <w:pStyle w:val="tabletext"/>
              <w:ind w:left="147"/>
            </w:pPr>
            <w:r w:rsidRPr="006774A4">
              <w:t>2018–19</w:t>
            </w:r>
          </w:p>
        </w:tc>
        <w:tc>
          <w:tcPr>
            <w:tcW w:w="1292" w:type="pct"/>
            <w:shd w:val="clear" w:color="auto" w:fill="auto"/>
            <w:tcMar>
              <w:top w:w="0" w:type="dxa"/>
              <w:left w:w="0" w:type="dxa"/>
              <w:bottom w:w="0" w:type="dxa"/>
              <w:right w:w="0" w:type="dxa"/>
            </w:tcMar>
            <w:vAlign w:val="center"/>
            <w:hideMark/>
          </w:tcPr>
          <w:p w14:paraId="3DC4722C" w14:textId="41A30D96" w:rsidR="006774A4" w:rsidRPr="006774A4" w:rsidRDefault="006774A4" w:rsidP="00CE4604">
            <w:pPr>
              <w:pStyle w:val="tabletext"/>
              <w:ind w:left="140"/>
            </w:pPr>
            <w:r w:rsidRPr="006774A4">
              <w:t>$50</w:t>
            </w:r>
            <w:r w:rsidR="00CE4604">
              <w:t xml:space="preserve"> million</w:t>
            </w:r>
          </w:p>
        </w:tc>
        <w:tc>
          <w:tcPr>
            <w:tcW w:w="1722" w:type="pct"/>
            <w:shd w:val="clear" w:color="auto" w:fill="auto"/>
            <w:tcMar>
              <w:top w:w="0" w:type="dxa"/>
              <w:left w:w="0" w:type="dxa"/>
              <w:bottom w:w="0" w:type="dxa"/>
              <w:right w:w="0" w:type="dxa"/>
            </w:tcMar>
            <w:vAlign w:val="center"/>
            <w:hideMark/>
          </w:tcPr>
          <w:p w14:paraId="345CD741" w14:textId="0F7BF029" w:rsidR="006774A4" w:rsidRPr="006774A4" w:rsidRDefault="006774A4" w:rsidP="00CE4604">
            <w:pPr>
              <w:pStyle w:val="tabletext"/>
              <w:ind w:left="142"/>
            </w:pPr>
            <w:r w:rsidRPr="006774A4">
              <w:t>27.5</w:t>
            </w:r>
            <w:r w:rsidR="00CE4604">
              <w:t xml:space="preserve"> per cent</w:t>
            </w:r>
          </w:p>
        </w:tc>
        <w:tc>
          <w:tcPr>
            <w:tcW w:w="1121" w:type="pct"/>
            <w:shd w:val="clear" w:color="auto" w:fill="auto"/>
            <w:tcMar>
              <w:top w:w="0" w:type="dxa"/>
              <w:left w:w="0" w:type="dxa"/>
              <w:bottom w:w="0" w:type="dxa"/>
              <w:right w:w="0" w:type="dxa"/>
            </w:tcMar>
            <w:vAlign w:val="center"/>
            <w:hideMark/>
          </w:tcPr>
          <w:p w14:paraId="68BAA736" w14:textId="73A52028" w:rsidR="006774A4" w:rsidRPr="006774A4" w:rsidRDefault="006774A4" w:rsidP="00C51744">
            <w:pPr>
              <w:pStyle w:val="tabletext"/>
              <w:ind w:left="142"/>
            </w:pPr>
            <w:r w:rsidRPr="006774A4">
              <w:t>30</w:t>
            </w:r>
            <w:r w:rsidR="00CE4604">
              <w:t xml:space="preserve"> per cent</w:t>
            </w:r>
          </w:p>
        </w:tc>
      </w:tr>
      <w:tr w:rsidR="00CE4604" w:rsidRPr="006774A4" w14:paraId="7437FC4A" w14:textId="77777777" w:rsidTr="00CE4604">
        <w:tc>
          <w:tcPr>
            <w:tcW w:w="865" w:type="pct"/>
            <w:shd w:val="clear" w:color="auto" w:fill="auto"/>
            <w:tcMar>
              <w:top w:w="0" w:type="dxa"/>
              <w:left w:w="0" w:type="dxa"/>
              <w:bottom w:w="0" w:type="dxa"/>
              <w:right w:w="0" w:type="dxa"/>
            </w:tcMar>
            <w:vAlign w:val="center"/>
            <w:hideMark/>
          </w:tcPr>
          <w:p w14:paraId="2123B3BE" w14:textId="77777777" w:rsidR="006774A4" w:rsidRPr="006774A4" w:rsidRDefault="006774A4" w:rsidP="00CE4604">
            <w:pPr>
              <w:pStyle w:val="tabletext"/>
              <w:ind w:left="147"/>
            </w:pPr>
            <w:r w:rsidRPr="006774A4">
              <w:t>2019–20</w:t>
            </w:r>
          </w:p>
        </w:tc>
        <w:tc>
          <w:tcPr>
            <w:tcW w:w="1292" w:type="pct"/>
            <w:shd w:val="clear" w:color="auto" w:fill="auto"/>
            <w:tcMar>
              <w:top w:w="0" w:type="dxa"/>
              <w:left w:w="0" w:type="dxa"/>
              <w:bottom w:w="0" w:type="dxa"/>
              <w:right w:w="0" w:type="dxa"/>
            </w:tcMar>
            <w:vAlign w:val="center"/>
            <w:hideMark/>
          </w:tcPr>
          <w:p w14:paraId="71B33332" w14:textId="0431A235" w:rsidR="006774A4" w:rsidRPr="006774A4" w:rsidRDefault="006774A4" w:rsidP="00CE4604">
            <w:pPr>
              <w:pStyle w:val="tabletext"/>
              <w:ind w:left="140"/>
            </w:pPr>
            <w:r w:rsidRPr="006774A4">
              <w:t>$100</w:t>
            </w:r>
            <w:r w:rsidR="00CE4604">
              <w:t xml:space="preserve"> million</w:t>
            </w:r>
          </w:p>
        </w:tc>
        <w:tc>
          <w:tcPr>
            <w:tcW w:w="1722" w:type="pct"/>
            <w:shd w:val="clear" w:color="auto" w:fill="auto"/>
            <w:tcMar>
              <w:top w:w="0" w:type="dxa"/>
              <w:left w:w="0" w:type="dxa"/>
              <w:bottom w:w="0" w:type="dxa"/>
              <w:right w:w="0" w:type="dxa"/>
            </w:tcMar>
            <w:vAlign w:val="center"/>
            <w:hideMark/>
          </w:tcPr>
          <w:p w14:paraId="02C007B1" w14:textId="3AE00148" w:rsidR="006774A4" w:rsidRPr="006774A4" w:rsidRDefault="006774A4" w:rsidP="00CE4604">
            <w:pPr>
              <w:pStyle w:val="tabletext"/>
              <w:ind w:left="142"/>
            </w:pPr>
            <w:r w:rsidRPr="006774A4">
              <w:t>27.5</w:t>
            </w:r>
            <w:r w:rsidR="00CE4604">
              <w:t xml:space="preserve"> per cent</w:t>
            </w:r>
          </w:p>
        </w:tc>
        <w:tc>
          <w:tcPr>
            <w:tcW w:w="1121" w:type="pct"/>
            <w:shd w:val="clear" w:color="auto" w:fill="auto"/>
            <w:tcMar>
              <w:top w:w="0" w:type="dxa"/>
              <w:left w:w="0" w:type="dxa"/>
              <w:bottom w:w="0" w:type="dxa"/>
              <w:right w:w="0" w:type="dxa"/>
            </w:tcMar>
            <w:vAlign w:val="center"/>
            <w:hideMark/>
          </w:tcPr>
          <w:p w14:paraId="1BF3D4D0" w14:textId="4B846D1E" w:rsidR="006774A4" w:rsidRPr="006774A4" w:rsidRDefault="006774A4" w:rsidP="00C51744">
            <w:pPr>
              <w:pStyle w:val="tabletext"/>
              <w:ind w:left="142"/>
            </w:pPr>
            <w:r w:rsidRPr="006774A4">
              <w:t>30</w:t>
            </w:r>
            <w:r w:rsidR="00CE4604">
              <w:t xml:space="preserve"> per cent</w:t>
            </w:r>
          </w:p>
        </w:tc>
      </w:tr>
      <w:tr w:rsidR="00CE4604" w:rsidRPr="006774A4" w14:paraId="1C20D718" w14:textId="77777777" w:rsidTr="00CE4604">
        <w:tc>
          <w:tcPr>
            <w:tcW w:w="865" w:type="pct"/>
            <w:shd w:val="clear" w:color="auto" w:fill="auto"/>
            <w:tcMar>
              <w:top w:w="0" w:type="dxa"/>
              <w:left w:w="0" w:type="dxa"/>
              <w:bottom w:w="0" w:type="dxa"/>
              <w:right w:w="0" w:type="dxa"/>
            </w:tcMar>
            <w:vAlign w:val="center"/>
            <w:hideMark/>
          </w:tcPr>
          <w:p w14:paraId="22D693BA" w14:textId="77777777" w:rsidR="006774A4" w:rsidRPr="006774A4" w:rsidRDefault="006774A4" w:rsidP="00CE4604">
            <w:pPr>
              <w:pStyle w:val="tabletext"/>
              <w:ind w:left="147"/>
            </w:pPr>
            <w:r w:rsidRPr="006774A4">
              <w:t>2020–21</w:t>
            </w:r>
          </w:p>
        </w:tc>
        <w:tc>
          <w:tcPr>
            <w:tcW w:w="1292" w:type="pct"/>
            <w:shd w:val="clear" w:color="auto" w:fill="auto"/>
            <w:tcMar>
              <w:top w:w="0" w:type="dxa"/>
              <w:left w:w="0" w:type="dxa"/>
              <w:bottom w:w="0" w:type="dxa"/>
              <w:right w:w="0" w:type="dxa"/>
            </w:tcMar>
            <w:vAlign w:val="center"/>
            <w:hideMark/>
          </w:tcPr>
          <w:p w14:paraId="1CEE0F2E" w14:textId="52447E91" w:rsidR="006774A4" w:rsidRPr="006774A4" w:rsidRDefault="006774A4" w:rsidP="00CE4604">
            <w:pPr>
              <w:pStyle w:val="tabletext"/>
              <w:ind w:left="140"/>
            </w:pPr>
            <w:r w:rsidRPr="006774A4">
              <w:t>$250</w:t>
            </w:r>
            <w:r w:rsidR="00CE4604">
              <w:t xml:space="preserve"> million</w:t>
            </w:r>
          </w:p>
        </w:tc>
        <w:tc>
          <w:tcPr>
            <w:tcW w:w="1722" w:type="pct"/>
            <w:shd w:val="clear" w:color="auto" w:fill="auto"/>
            <w:tcMar>
              <w:top w:w="0" w:type="dxa"/>
              <w:left w:w="0" w:type="dxa"/>
              <w:bottom w:w="0" w:type="dxa"/>
              <w:right w:w="0" w:type="dxa"/>
            </w:tcMar>
            <w:vAlign w:val="center"/>
            <w:hideMark/>
          </w:tcPr>
          <w:p w14:paraId="73C90B8F" w14:textId="2888A6C2" w:rsidR="006774A4" w:rsidRPr="006774A4" w:rsidRDefault="006774A4" w:rsidP="00CE4604">
            <w:pPr>
              <w:pStyle w:val="tabletext"/>
              <w:ind w:left="142"/>
            </w:pPr>
            <w:r w:rsidRPr="006774A4">
              <w:t>27.5</w:t>
            </w:r>
            <w:r w:rsidR="00CE4604">
              <w:t xml:space="preserve"> per cent</w:t>
            </w:r>
          </w:p>
        </w:tc>
        <w:tc>
          <w:tcPr>
            <w:tcW w:w="1121" w:type="pct"/>
            <w:shd w:val="clear" w:color="auto" w:fill="auto"/>
            <w:tcMar>
              <w:top w:w="0" w:type="dxa"/>
              <w:left w:w="0" w:type="dxa"/>
              <w:bottom w:w="0" w:type="dxa"/>
              <w:right w:w="0" w:type="dxa"/>
            </w:tcMar>
            <w:vAlign w:val="center"/>
            <w:hideMark/>
          </w:tcPr>
          <w:p w14:paraId="02CD6177" w14:textId="2F49B7B8" w:rsidR="006774A4" w:rsidRPr="006774A4" w:rsidRDefault="006774A4" w:rsidP="00C51744">
            <w:pPr>
              <w:pStyle w:val="tabletext"/>
              <w:ind w:left="142"/>
            </w:pPr>
            <w:r w:rsidRPr="006774A4">
              <w:t>30</w:t>
            </w:r>
            <w:r w:rsidR="00CE4604">
              <w:t xml:space="preserve"> per cent</w:t>
            </w:r>
          </w:p>
        </w:tc>
      </w:tr>
      <w:tr w:rsidR="00CE4604" w:rsidRPr="006774A4" w14:paraId="601ABA1D" w14:textId="77777777" w:rsidTr="00CE4604">
        <w:tc>
          <w:tcPr>
            <w:tcW w:w="865" w:type="pct"/>
            <w:shd w:val="clear" w:color="auto" w:fill="auto"/>
            <w:tcMar>
              <w:top w:w="0" w:type="dxa"/>
              <w:left w:w="0" w:type="dxa"/>
              <w:bottom w:w="0" w:type="dxa"/>
              <w:right w:w="0" w:type="dxa"/>
            </w:tcMar>
            <w:vAlign w:val="center"/>
            <w:hideMark/>
          </w:tcPr>
          <w:p w14:paraId="32E8646D" w14:textId="77777777" w:rsidR="006774A4" w:rsidRPr="006774A4" w:rsidRDefault="006774A4" w:rsidP="00CE4604">
            <w:pPr>
              <w:pStyle w:val="tabletext"/>
              <w:ind w:left="147"/>
            </w:pPr>
            <w:r w:rsidRPr="006774A4">
              <w:t>2021–22</w:t>
            </w:r>
          </w:p>
        </w:tc>
        <w:tc>
          <w:tcPr>
            <w:tcW w:w="1292" w:type="pct"/>
            <w:shd w:val="clear" w:color="auto" w:fill="auto"/>
            <w:tcMar>
              <w:top w:w="0" w:type="dxa"/>
              <w:left w:w="0" w:type="dxa"/>
              <w:bottom w:w="0" w:type="dxa"/>
              <w:right w:w="0" w:type="dxa"/>
            </w:tcMar>
            <w:vAlign w:val="center"/>
            <w:hideMark/>
          </w:tcPr>
          <w:p w14:paraId="186176A0" w14:textId="44A5FDEB" w:rsidR="006774A4" w:rsidRPr="006774A4" w:rsidRDefault="006774A4" w:rsidP="00CE4604">
            <w:pPr>
              <w:pStyle w:val="tabletext"/>
              <w:ind w:left="140"/>
            </w:pPr>
            <w:r w:rsidRPr="006774A4">
              <w:t>$500</w:t>
            </w:r>
            <w:r w:rsidR="00CE4604">
              <w:t xml:space="preserve"> million</w:t>
            </w:r>
          </w:p>
        </w:tc>
        <w:tc>
          <w:tcPr>
            <w:tcW w:w="1722" w:type="pct"/>
            <w:shd w:val="clear" w:color="auto" w:fill="auto"/>
            <w:tcMar>
              <w:top w:w="0" w:type="dxa"/>
              <w:left w:w="0" w:type="dxa"/>
              <w:bottom w:w="0" w:type="dxa"/>
              <w:right w:w="0" w:type="dxa"/>
            </w:tcMar>
            <w:vAlign w:val="center"/>
            <w:hideMark/>
          </w:tcPr>
          <w:p w14:paraId="6E10A779" w14:textId="75742F37" w:rsidR="006774A4" w:rsidRPr="006774A4" w:rsidRDefault="006774A4" w:rsidP="00CE4604">
            <w:pPr>
              <w:pStyle w:val="tabletext"/>
              <w:ind w:left="142"/>
            </w:pPr>
            <w:r w:rsidRPr="006774A4">
              <w:t>27.5</w:t>
            </w:r>
            <w:r w:rsidR="00CE4604">
              <w:t xml:space="preserve"> per cent</w:t>
            </w:r>
          </w:p>
        </w:tc>
        <w:tc>
          <w:tcPr>
            <w:tcW w:w="1121" w:type="pct"/>
            <w:shd w:val="clear" w:color="auto" w:fill="auto"/>
            <w:tcMar>
              <w:top w:w="0" w:type="dxa"/>
              <w:left w:w="0" w:type="dxa"/>
              <w:bottom w:w="0" w:type="dxa"/>
              <w:right w:w="0" w:type="dxa"/>
            </w:tcMar>
            <w:vAlign w:val="center"/>
            <w:hideMark/>
          </w:tcPr>
          <w:p w14:paraId="0FF5B483" w14:textId="179AA50F" w:rsidR="006774A4" w:rsidRPr="006774A4" w:rsidRDefault="006774A4" w:rsidP="00C51744">
            <w:pPr>
              <w:pStyle w:val="tabletext"/>
              <w:ind w:left="142"/>
            </w:pPr>
            <w:r w:rsidRPr="006774A4">
              <w:t>30</w:t>
            </w:r>
            <w:r w:rsidR="00CE4604">
              <w:t xml:space="preserve"> per cent</w:t>
            </w:r>
          </w:p>
        </w:tc>
      </w:tr>
      <w:tr w:rsidR="00CE4604" w:rsidRPr="006774A4" w14:paraId="7470B831" w14:textId="77777777" w:rsidTr="00CE4604">
        <w:tc>
          <w:tcPr>
            <w:tcW w:w="865" w:type="pct"/>
            <w:shd w:val="clear" w:color="auto" w:fill="auto"/>
            <w:tcMar>
              <w:top w:w="0" w:type="dxa"/>
              <w:left w:w="0" w:type="dxa"/>
              <w:bottom w:w="0" w:type="dxa"/>
              <w:right w:w="0" w:type="dxa"/>
            </w:tcMar>
            <w:vAlign w:val="center"/>
            <w:hideMark/>
          </w:tcPr>
          <w:p w14:paraId="7C62D109" w14:textId="77777777" w:rsidR="006774A4" w:rsidRPr="006774A4" w:rsidRDefault="006774A4" w:rsidP="00CE4604">
            <w:pPr>
              <w:pStyle w:val="tabletext"/>
              <w:ind w:left="147"/>
            </w:pPr>
            <w:r w:rsidRPr="006774A4">
              <w:t>2022–23</w:t>
            </w:r>
          </w:p>
        </w:tc>
        <w:tc>
          <w:tcPr>
            <w:tcW w:w="1292" w:type="pct"/>
            <w:shd w:val="clear" w:color="auto" w:fill="auto"/>
            <w:tcMar>
              <w:top w:w="0" w:type="dxa"/>
              <w:left w:w="0" w:type="dxa"/>
              <w:bottom w:w="0" w:type="dxa"/>
              <w:right w:w="0" w:type="dxa"/>
            </w:tcMar>
            <w:vAlign w:val="center"/>
            <w:hideMark/>
          </w:tcPr>
          <w:p w14:paraId="75FA32B0" w14:textId="56B59B0B" w:rsidR="006774A4" w:rsidRPr="006774A4" w:rsidRDefault="008E75ED" w:rsidP="00CE4604">
            <w:pPr>
              <w:pStyle w:val="tabletext"/>
              <w:ind w:left="140"/>
            </w:pPr>
            <w:r>
              <w:t>$1 billion</w:t>
            </w:r>
          </w:p>
        </w:tc>
        <w:tc>
          <w:tcPr>
            <w:tcW w:w="1722" w:type="pct"/>
            <w:shd w:val="clear" w:color="auto" w:fill="auto"/>
            <w:tcMar>
              <w:top w:w="0" w:type="dxa"/>
              <w:left w:w="0" w:type="dxa"/>
              <w:bottom w:w="0" w:type="dxa"/>
              <w:right w:w="0" w:type="dxa"/>
            </w:tcMar>
            <w:vAlign w:val="center"/>
            <w:hideMark/>
          </w:tcPr>
          <w:p w14:paraId="1A7783D9" w14:textId="272DF02B" w:rsidR="006774A4" w:rsidRPr="006774A4" w:rsidRDefault="006774A4" w:rsidP="00CE4604">
            <w:pPr>
              <w:pStyle w:val="tabletext"/>
              <w:ind w:left="142"/>
            </w:pPr>
            <w:r w:rsidRPr="006774A4">
              <w:t>27.5</w:t>
            </w:r>
            <w:r w:rsidR="00CE4604">
              <w:t xml:space="preserve"> per cent</w:t>
            </w:r>
          </w:p>
        </w:tc>
        <w:tc>
          <w:tcPr>
            <w:tcW w:w="1121" w:type="pct"/>
            <w:shd w:val="clear" w:color="auto" w:fill="auto"/>
            <w:tcMar>
              <w:top w:w="0" w:type="dxa"/>
              <w:left w:w="0" w:type="dxa"/>
              <w:bottom w:w="0" w:type="dxa"/>
              <w:right w:w="0" w:type="dxa"/>
            </w:tcMar>
            <w:vAlign w:val="center"/>
            <w:hideMark/>
          </w:tcPr>
          <w:p w14:paraId="7609E3AF" w14:textId="4886ADB2" w:rsidR="006774A4" w:rsidRPr="006774A4" w:rsidRDefault="006774A4" w:rsidP="00C51744">
            <w:pPr>
              <w:pStyle w:val="tabletext"/>
              <w:ind w:left="142"/>
            </w:pPr>
            <w:r w:rsidRPr="006774A4">
              <w:t>30</w:t>
            </w:r>
            <w:r w:rsidR="00CE4604">
              <w:t xml:space="preserve"> per cent</w:t>
            </w:r>
          </w:p>
        </w:tc>
      </w:tr>
      <w:tr w:rsidR="00CE4604" w:rsidRPr="006774A4" w14:paraId="1C9BF141" w14:textId="77777777" w:rsidTr="00CE4604">
        <w:tc>
          <w:tcPr>
            <w:tcW w:w="865" w:type="pct"/>
            <w:shd w:val="clear" w:color="auto" w:fill="auto"/>
            <w:tcMar>
              <w:top w:w="0" w:type="dxa"/>
              <w:left w:w="0" w:type="dxa"/>
              <w:bottom w:w="0" w:type="dxa"/>
              <w:right w:w="0" w:type="dxa"/>
            </w:tcMar>
            <w:vAlign w:val="center"/>
            <w:hideMark/>
          </w:tcPr>
          <w:p w14:paraId="2357272A" w14:textId="77777777" w:rsidR="006774A4" w:rsidRPr="006774A4" w:rsidRDefault="006774A4" w:rsidP="00CE4604">
            <w:pPr>
              <w:pStyle w:val="tabletext"/>
              <w:ind w:left="147"/>
            </w:pPr>
            <w:r w:rsidRPr="006774A4">
              <w:t>2023–24</w:t>
            </w:r>
          </w:p>
        </w:tc>
        <w:tc>
          <w:tcPr>
            <w:tcW w:w="1292" w:type="pct"/>
            <w:shd w:val="clear" w:color="auto" w:fill="auto"/>
            <w:tcMar>
              <w:top w:w="0" w:type="dxa"/>
              <w:left w:w="0" w:type="dxa"/>
              <w:bottom w:w="0" w:type="dxa"/>
              <w:right w:w="0" w:type="dxa"/>
            </w:tcMar>
            <w:vAlign w:val="center"/>
            <w:hideMark/>
          </w:tcPr>
          <w:p w14:paraId="6186375E" w14:textId="77777777" w:rsidR="006774A4" w:rsidRPr="006774A4" w:rsidRDefault="006774A4" w:rsidP="00CE4604">
            <w:pPr>
              <w:pStyle w:val="tabletext"/>
              <w:ind w:left="140"/>
            </w:pPr>
            <w:r w:rsidRPr="006774A4">
              <w:t>No threshold</w:t>
            </w:r>
          </w:p>
        </w:tc>
        <w:tc>
          <w:tcPr>
            <w:tcW w:w="1722" w:type="pct"/>
            <w:shd w:val="clear" w:color="auto" w:fill="auto"/>
            <w:tcMar>
              <w:top w:w="0" w:type="dxa"/>
              <w:left w:w="0" w:type="dxa"/>
              <w:bottom w:w="0" w:type="dxa"/>
              <w:right w:w="0" w:type="dxa"/>
            </w:tcMar>
            <w:vAlign w:val="center"/>
            <w:hideMark/>
          </w:tcPr>
          <w:p w14:paraId="75070B6E" w14:textId="4F0342D6" w:rsidR="006774A4" w:rsidRPr="006774A4" w:rsidRDefault="006774A4" w:rsidP="00CE4604">
            <w:pPr>
              <w:pStyle w:val="tabletext"/>
              <w:ind w:left="142"/>
            </w:pPr>
            <w:r>
              <w:t>NA</w:t>
            </w:r>
          </w:p>
        </w:tc>
        <w:tc>
          <w:tcPr>
            <w:tcW w:w="1121" w:type="pct"/>
            <w:shd w:val="clear" w:color="auto" w:fill="auto"/>
            <w:tcMar>
              <w:top w:w="0" w:type="dxa"/>
              <w:left w:w="0" w:type="dxa"/>
              <w:bottom w:w="0" w:type="dxa"/>
              <w:right w:w="0" w:type="dxa"/>
            </w:tcMar>
            <w:vAlign w:val="center"/>
            <w:hideMark/>
          </w:tcPr>
          <w:p w14:paraId="2A4E6596" w14:textId="656AC6DC" w:rsidR="006774A4" w:rsidRPr="006774A4" w:rsidRDefault="006774A4" w:rsidP="00CE4604">
            <w:pPr>
              <w:pStyle w:val="tabletext"/>
              <w:ind w:left="142"/>
            </w:pPr>
            <w:r w:rsidRPr="006774A4">
              <w:t>27.5</w:t>
            </w:r>
            <w:r w:rsidR="00CE4604">
              <w:t xml:space="preserve"> per cent</w:t>
            </w:r>
          </w:p>
        </w:tc>
      </w:tr>
      <w:tr w:rsidR="00CE4604" w:rsidRPr="006774A4" w14:paraId="576F45C5" w14:textId="77777777" w:rsidTr="00CE4604">
        <w:tc>
          <w:tcPr>
            <w:tcW w:w="865" w:type="pct"/>
            <w:shd w:val="clear" w:color="auto" w:fill="auto"/>
            <w:tcMar>
              <w:top w:w="0" w:type="dxa"/>
              <w:left w:w="0" w:type="dxa"/>
              <w:bottom w:w="0" w:type="dxa"/>
              <w:right w:w="0" w:type="dxa"/>
            </w:tcMar>
            <w:vAlign w:val="center"/>
            <w:hideMark/>
          </w:tcPr>
          <w:p w14:paraId="25830236" w14:textId="77777777" w:rsidR="006774A4" w:rsidRPr="006774A4" w:rsidRDefault="006774A4" w:rsidP="00CE4604">
            <w:pPr>
              <w:pStyle w:val="tabletext"/>
              <w:ind w:left="147"/>
            </w:pPr>
            <w:r w:rsidRPr="006774A4">
              <w:t>2024–25</w:t>
            </w:r>
          </w:p>
        </w:tc>
        <w:tc>
          <w:tcPr>
            <w:tcW w:w="1292" w:type="pct"/>
            <w:shd w:val="clear" w:color="auto" w:fill="auto"/>
            <w:tcMar>
              <w:top w:w="0" w:type="dxa"/>
              <w:left w:w="0" w:type="dxa"/>
              <w:bottom w:w="0" w:type="dxa"/>
              <w:right w:w="0" w:type="dxa"/>
            </w:tcMar>
            <w:vAlign w:val="center"/>
            <w:hideMark/>
          </w:tcPr>
          <w:p w14:paraId="2DF8A2EA" w14:textId="77777777" w:rsidR="006774A4" w:rsidRPr="006774A4" w:rsidRDefault="006774A4" w:rsidP="00CE4604">
            <w:pPr>
              <w:pStyle w:val="tabletext"/>
              <w:ind w:left="140"/>
            </w:pPr>
            <w:r w:rsidRPr="006774A4">
              <w:t>No threshold</w:t>
            </w:r>
          </w:p>
        </w:tc>
        <w:tc>
          <w:tcPr>
            <w:tcW w:w="1722" w:type="pct"/>
            <w:shd w:val="clear" w:color="auto" w:fill="auto"/>
            <w:tcMar>
              <w:top w:w="0" w:type="dxa"/>
              <w:left w:w="0" w:type="dxa"/>
              <w:bottom w:w="0" w:type="dxa"/>
              <w:right w:w="0" w:type="dxa"/>
            </w:tcMar>
            <w:vAlign w:val="center"/>
            <w:hideMark/>
          </w:tcPr>
          <w:p w14:paraId="368EC7EB" w14:textId="5D4EB3BD" w:rsidR="006774A4" w:rsidRPr="006774A4" w:rsidRDefault="006774A4" w:rsidP="00CE4604">
            <w:pPr>
              <w:pStyle w:val="tabletext"/>
              <w:ind w:left="142"/>
            </w:pPr>
            <w:r>
              <w:t>NA</w:t>
            </w:r>
          </w:p>
        </w:tc>
        <w:tc>
          <w:tcPr>
            <w:tcW w:w="1121" w:type="pct"/>
            <w:shd w:val="clear" w:color="auto" w:fill="auto"/>
            <w:tcMar>
              <w:top w:w="0" w:type="dxa"/>
              <w:left w:w="0" w:type="dxa"/>
              <w:bottom w:w="0" w:type="dxa"/>
              <w:right w:w="0" w:type="dxa"/>
            </w:tcMar>
            <w:vAlign w:val="center"/>
            <w:hideMark/>
          </w:tcPr>
          <w:p w14:paraId="1E986534" w14:textId="51AFD275" w:rsidR="006774A4" w:rsidRPr="006774A4" w:rsidRDefault="006774A4" w:rsidP="00C51744">
            <w:pPr>
              <w:pStyle w:val="tabletext"/>
              <w:ind w:left="142"/>
            </w:pPr>
            <w:r w:rsidRPr="006774A4">
              <w:t>27</w:t>
            </w:r>
            <w:r w:rsidR="00CE4604">
              <w:t xml:space="preserve"> per cent</w:t>
            </w:r>
          </w:p>
        </w:tc>
      </w:tr>
      <w:tr w:rsidR="00CE4604" w:rsidRPr="006774A4" w14:paraId="1567FC0F" w14:textId="77777777" w:rsidTr="00CE4604">
        <w:tc>
          <w:tcPr>
            <w:tcW w:w="865" w:type="pct"/>
            <w:shd w:val="clear" w:color="auto" w:fill="auto"/>
            <w:tcMar>
              <w:top w:w="0" w:type="dxa"/>
              <w:left w:w="0" w:type="dxa"/>
              <w:bottom w:w="0" w:type="dxa"/>
              <w:right w:w="0" w:type="dxa"/>
            </w:tcMar>
            <w:vAlign w:val="center"/>
            <w:hideMark/>
          </w:tcPr>
          <w:p w14:paraId="62D47426" w14:textId="77777777" w:rsidR="006774A4" w:rsidRPr="006774A4" w:rsidRDefault="006774A4" w:rsidP="00CE4604">
            <w:pPr>
              <w:pStyle w:val="tabletext"/>
              <w:ind w:left="147"/>
            </w:pPr>
            <w:r w:rsidRPr="006774A4">
              <w:t>2025–26</w:t>
            </w:r>
          </w:p>
        </w:tc>
        <w:tc>
          <w:tcPr>
            <w:tcW w:w="1292" w:type="pct"/>
            <w:shd w:val="clear" w:color="auto" w:fill="auto"/>
            <w:tcMar>
              <w:top w:w="0" w:type="dxa"/>
              <w:left w:w="0" w:type="dxa"/>
              <w:bottom w:w="0" w:type="dxa"/>
              <w:right w:w="0" w:type="dxa"/>
            </w:tcMar>
            <w:vAlign w:val="center"/>
            <w:hideMark/>
          </w:tcPr>
          <w:p w14:paraId="0B78D0FE" w14:textId="77777777" w:rsidR="006774A4" w:rsidRPr="006774A4" w:rsidRDefault="006774A4" w:rsidP="00CE4604">
            <w:pPr>
              <w:pStyle w:val="tabletext"/>
              <w:ind w:left="140"/>
            </w:pPr>
            <w:r w:rsidRPr="006774A4">
              <w:t>No threshold</w:t>
            </w:r>
          </w:p>
        </w:tc>
        <w:tc>
          <w:tcPr>
            <w:tcW w:w="1722" w:type="pct"/>
            <w:shd w:val="clear" w:color="auto" w:fill="auto"/>
            <w:tcMar>
              <w:top w:w="0" w:type="dxa"/>
              <w:left w:w="0" w:type="dxa"/>
              <w:bottom w:w="0" w:type="dxa"/>
              <w:right w:w="0" w:type="dxa"/>
            </w:tcMar>
            <w:vAlign w:val="center"/>
            <w:hideMark/>
          </w:tcPr>
          <w:p w14:paraId="34F64510" w14:textId="7A33ABA0" w:rsidR="006774A4" w:rsidRPr="006774A4" w:rsidRDefault="006774A4" w:rsidP="00CE4604">
            <w:pPr>
              <w:pStyle w:val="tabletext"/>
              <w:ind w:left="142"/>
            </w:pPr>
            <w:r>
              <w:t>NA</w:t>
            </w:r>
          </w:p>
        </w:tc>
        <w:tc>
          <w:tcPr>
            <w:tcW w:w="1121" w:type="pct"/>
            <w:shd w:val="clear" w:color="auto" w:fill="auto"/>
            <w:tcMar>
              <w:top w:w="0" w:type="dxa"/>
              <w:left w:w="0" w:type="dxa"/>
              <w:bottom w:w="0" w:type="dxa"/>
              <w:right w:w="0" w:type="dxa"/>
            </w:tcMar>
            <w:vAlign w:val="center"/>
            <w:hideMark/>
          </w:tcPr>
          <w:p w14:paraId="66C457C5" w14:textId="0C6CA5F5" w:rsidR="006774A4" w:rsidRPr="006774A4" w:rsidRDefault="006774A4" w:rsidP="00C51744">
            <w:pPr>
              <w:pStyle w:val="tabletext"/>
              <w:ind w:left="142"/>
            </w:pPr>
            <w:r w:rsidRPr="006774A4">
              <w:t>26</w:t>
            </w:r>
            <w:r w:rsidR="00CE4604">
              <w:t xml:space="preserve"> per cent</w:t>
            </w:r>
          </w:p>
        </w:tc>
      </w:tr>
      <w:tr w:rsidR="00CE4604" w:rsidRPr="006774A4" w14:paraId="5DFCE73A" w14:textId="77777777" w:rsidTr="00CE4604">
        <w:tc>
          <w:tcPr>
            <w:tcW w:w="865" w:type="pct"/>
            <w:shd w:val="clear" w:color="auto" w:fill="auto"/>
            <w:tcMar>
              <w:top w:w="0" w:type="dxa"/>
              <w:left w:w="0" w:type="dxa"/>
              <w:bottom w:w="0" w:type="dxa"/>
              <w:right w:w="0" w:type="dxa"/>
            </w:tcMar>
            <w:vAlign w:val="center"/>
            <w:hideMark/>
          </w:tcPr>
          <w:p w14:paraId="513D769B" w14:textId="77777777" w:rsidR="006774A4" w:rsidRPr="006774A4" w:rsidRDefault="006774A4" w:rsidP="00CE4604">
            <w:pPr>
              <w:pStyle w:val="tabletext"/>
              <w:ind w:left="147"/>
            </w:pPr>
            <w:r w:rsidRPr="006774A4">
              <w:t>2026–27</w:t>
            </w:r>
          </w:p>
        </w:tc>
        <w:tc>
          <w:tcPr>
            <w:tcW w:w="1292" w:type="pct"/>
            <w:shd w:val="clear" w:color="auto" w:fill="auto"/>
            <w:tcMar>
              <w:top w:w="0" w:type="dxa"/>
              <w:left w:w="0" w:type="dxa"/>
              <w:bottom w:w="0" w:type="dxa"/>
              <w:right w:w="0" w:type="dxa"/>
            </w:tcMar>
            <w:vAlign w:val="center"/>
            <w:hideMark/>
          </w:tcPr>
          <w:p w14:paraId="3DFC0A20" w14:textId="77777777" w:rsidR="006774A4" w:rsidRPr="006774A4" w:rsidRDefault="006774A4" w:rsidP="00CE4604">
            <w:pPr>
              <w:pStyle w:val="tabletext"/>
              <w:ind w:left="140"/>
            </w:pPr>
            <w:r w:rsidRPr="006774A4">
              <w:t>No threshold</w:t>
            </w:r>
          </w:p>
        </w:tc>
        <w:tc>
          <w:tcPr>
            <w:tcW w:w="1722" w:type="pct"/>
            <w:shd w:val="clear" w:color="auto" w:fill="auto"/>
            <w:tcMar>
              <w:top w:w="0" w:type="dxa"/>
              <w:left w:w="0" w:type="dxa"/>
              <w:bottom w:w="0" w:type="dxa"/>
              <w:right w:w="0" w:type="dxa"/>
            </w:tcMar>
            <w:vAlign w:val="center"/>
            <w:hideMark/>
          </w:tcPr>
          <w:p w14:paraId="091D4419" w14:textId="0938D694" w:rsidR="006774A4" w:rsidRPr="006774A4" w:rsidRDefault="006774A4" w:rsidP="00CE4604">
            <w:pPr>
              <w:pStyle w:val="tabletext"/>
              <w:ind w:left="142"/>
            </w:pPr>
            <w:r>
              <w:t>NA</w:t>
            </w:r>
          </w:p>
        </w:tc>
        <w:tc>
          <w:tcPr>
            <w:tcW w:w="1121" w:type="pct"/>
            <w:shd w:val="clear" w:color="auto" w:fill="auto"/>
            <w:tcMar>
              <w:top w:w="0" w:type="dxa"/>
              <w:left w:w="0" w:type="dxa"/>
              <w:bottom w:w="0" w:type="dxa"/>
              <w:right w:w="0" w:type="dxa"/>
            </w:tcMar>
            <w:vAlign w:val="center"/>
            <w:hideMark/>
          </w:tcPr>
          <w:p w14:paraId="42CA17B9" w14:textId="02D1D5F6" w:rsidR="006774A4" w:rsidRPr="006774A4" w:rsidRDefault="006774A4" w:rsidP="00C51744">
            <w:pPr>
              <w:pStyle w:val="tabletext"/>
              <w:ind w:left="142"/>
            </w:pPr>
            <w:r w:rsidRPr="006774A4">
              <w:t>25</w:t>
            </w:r>
            <w:r w:rsidR="00CE4604">
              <w:t xml:space="preserve"> per cent</w:t>
            </w:r>
          </w:p>
        </w:tc>
      </w:tr>
    </w:tbl>
    <w:p w14:paraId="721F719B" w14:textId="33996473" w:rsidR="006774A4" w:rsidRPr="006774A4" w:rsidRDefault="00CE4604" w:rsidP="006774A4">
      <w:pPr>
        <w:pStyle w:val="base-text-paragraph"/>
      </w:pPr>
      <w:r>
        <w:t xml:space="preserve">As the corporate tax rate is lowered and the rate extends to more corporate entities, the incentive component of the R&amp;D tax offsets </w:t>
      </w:r>
      <w:r w:rsidR="00BD10A2">
        <w:t>would</w:t>
      </w:r>
      <w:r>
        <w:t xml:space="preserve"> increase significantly. </w:t>
      </w:r>
    </w:p>
    <w:p w14:paraId="18A7609C" w14:textId="0AA8F0E3" w:rsidR="0047383F" w:rsidRDefault="008032FB" w:rsidP="00CE4604">
      <w:pPr>
        <w:pStyle w:val="Heading3"/>
      </w:pPr>
      <w:r>
        <w:t>The $100 million expenditure threshold</w:t>
      </w:r>
    </w:p>
    <w:p w14:paraId="73081F3F" w14:textId="664A93BE" w:rsidR="008032FB" w:rsidRDefault="008032FB" w:rsidP="008032FB">
      <w:pPr>
        <w:pStyle w:val="base-text-paragraph"/>
        <w:tabs>
          <w:tab w:val="clear" w:pos="1985"/>
          <w:tab w:val="num" w:pos="1984"/>
        </w:tabs>
      </w:pPr>
      <w:r>
        <w:t>The Incentive is subject to a $10</w:t>
      </w:r>
      <w:r w:rsidR="00BD10A2">
        <w:t>0 million expenditure threshold,</w:t>
      </w:r>
      <w:r>
        <w:t xml:space="preserve"> sometimes referred to as an expenditure cap. Expenditure on R&amp;D activities (notional deductions) in excess of $100 million </w:t>
      </w:r>
      <w:r w:rsidR="006220CA">
        <w:t>is</w:t>
      </w:r>
      <w:r>
        <w:t xml:space="preserve"> not eligible for the full rate of the relevant R&amp;D tax offset. Rather, these notional deductions give rise to an offset at the </w:t>
      </w:r>
      <w:r w:rsidR="006070DB">
        <w:t>R&amp;D entit</w:t>
      </w:r>
      <w:r>
        <w:t>y’s corporate tax rate.</w:t>
      </w:r>
      <w:r w:rsidRPr="008032FB">
        <w:t xml:space="preserve"> </w:t>
      </w:r>
      <w:r>
        <w:t xml:space="preserve">That is, excess notional deductions give rise to the same benefit as if the expenditure had instead been claimed as an ordinary tax deduction, eliminating any incentive component. </w:t>
      </w:r>
    </w:p>
    <w:p w14:paraId="30AE14C4" w14:textId="720CC999" w:rsidR="008032FB" w:rsidRPr="00597868" w:rsidRDefault="008032FB" w:rsidP="008032FB">
      <w:pPr>
        <w:pStyle w:val="base-text-paragraph"/>
        <w:tabs>
          <w:tab w:val="clear" w:pos="1985"/>
          <w:tab w:val="num" w:pos="1984"/>
        </w:tabs>
      </w:pPr>
      <w:r>
        <w:t>The $100 million expenditure threshold and some associated provisions are legislated to sunset on 1 July 2024 under Part 2 of Schedule 1 to the</w:t>
      </w:r>
      <w:r w:rsidRPr="00597868">
        <w:rPr>
          <w:i/>
        </w:rPr>
        <w:t xml:space="preserve"> </w:t>
      </w:r>
      <w:r w:rsidRPr="007B4107">
        <w:rPr>
          <w:i/>
        </w:rPr>
        <w:t>Tax Laws Amendment</w:t>
      </w:r>
      <w:r>
        <w:rPr>
          <w:i/>
        </w:rPr>
        <w:t xml:space="preserve"> (Research and Development) Act </w:t>
      </w:r>
      <w:r w:rsidRPr="007B4107">
        <w:rPr>
          <w:i/>
        </w:rPr>
        <w:t>2015</w:t>
      </w:r>
      <w:r>
        <w:rPr>
          <w:i/>
        </w:rPr>
        <w:t xml:space="preserve">. </w:t>
      </w:r>
    </w:p>
    <w:p w14:paraId="259E7B33" w14:textId="77777777" w:rsidR="00785C78" w:rsidRDefault="00785C78" w:rsidP="00785C78">
      <w:pPr>
        <w:pStyle w:val="Heading3"/>
      </w:pPr>
      <w:r>
        <w:t>Review of the R&amp;D Tax Incentive</w:t>
      </w:r>
    </w:p>
    <w:p w14:paraId="100750E3" w14:textId="2EC67D78" w:rsidR="000E35DC" w:rsidRDefault="00785C78" w:rsidP="000E35DC">
      <w:pPr>
        <w:pStyle w:val="base-text-paragraph"/>
      </w:pPr>
      <w:r>
        <w:t xml:space="preserve">The Government’s reforms </w:t>
      </w:r>
      <w:r w:rsidR="008F3CF5">
        <w:t xml:space="preserve">are made in response to the recommendations of the 2016 </w:t>
      </w:r>
      <w:r w:rsidR="008F3CF5" w:rsidRPr="000E35DC">
        <w:rPr>
          <w:i/>
        </w:rPr>
        <w:t>Review of the R&amp;D Tax Incentive</w:t>
      </w:r>
      <w:r w:rsidR="00711993">
        <w:t xml:space="preserve"> (the Review)</w:t>
      </w:r>
      <w:r w:rsidR="008F3CF5">
        <w:t xml:space="preserve">. </w:t>
      </w:r>
    </w:p>
    <w:p w14:paraId="4BE917A3" w14:textId="2ACD7EF6" w:rsidR="00785C78" w:rsidRDefault="00785C78" w:rsidP="000E35DC">
      <w:pPr>
        <w:pStyle w:val="base-text-paragraph"/>
      </w:pPr>
      <w:r>
        <w:t>The Review was commissioned as part of the Government’s National Innovation and Science Agenda</w:t>
      </w:r>
      <w:r w:rsidR="000E35DC">
        <w:t xml:space="preserve">. </w:t>
      </w:r>
      <w:r w:rsidR="000E35DC" w:rsidRPr="000E35DC">
        <w:t xml:space="preserve">The Review Panel was chaired by </w:t>
      </w:r>
      <w:r w:rsidR="000E35DC">
        <w:t xml:space="preserve">the Chair of </w:t>
      </w:r>
      <w:r w:rsidR="00F77CEA">
        <w:t xml:space="preserve">Innovation </w:t>
      </w:r>
      <w:r w:rsidR="00BE6307">
        <w:t xml:space="preserve">and </w:t>
      </w:r>
      <w:r w:rsidR="00F77CEA">
        <w:t>Science Australia (</w:t>
      </w:r>
      <w:r w:rsidR="000E35DC">
        <w:t>ISA</w:t>
      </w:r>
      <w:r w:rsidR="00F77CEA">
        <w:t>)</w:t>
      </w:r>
      <w:r w:rsidR="000E35DC">
        <w:t>, Mr Bill Ferris</w:t>
      </w:r>
      <w:r w:rsidR="003E44D8">
        <w:t> </w:t>
      </w:r>
      <w:r w:rsidR="000E35DC">
        <w:t>AC</w:t>
      </w:r>
      <w:r w:rsidR="000E35DC" w:rsidRPr="000E35DC">
        <w:t xml:space="preserve">, </w:t>
      </w:r>
      <w:r w:rsidR="000E35DC">
        <w:t xml:space="preserve">Australia’s Chief Scientist, </w:t>
      </w:r>
      <w:r w:rsidR="000E35DC" w:rsidRPr="000E35DC">
        <w:t xml:space="preserve">Dr Alan </w:t>
      </w:r>
      <w:proofErr w:type="spellStart"/>
      <w:r w:rsidR="000E35DC" w:rsidRPr="000E35DC">
        <w:t>Finkel</w:t>
      </w:r>
      <w:proofErr w:type="spellEnd"/>
      <w:r w:rsidR="000E35DC" w:rsidRPr="000E35DC">
        <w:t xml:space="preserve"> AO</w:t>
      </w:r>
      <w:r w:rsidR="00BD025C">
        <w:t>,</w:t>
      </w:r>
      <w:r w:rsidR="000E35DC">
        <w:t xml:space="preserve"> and the</w:t>
      </w:r>
      <w:r w:rsidR="000E35DC" w:rsidRPr="000E35DC">
        <w:t xml:space="preserve"> </w:t>
      </w:r>
      <w:r w:rsidR="000E35DC">
        <w:t xml:space="preserve">Secretary to the Treasury, </w:t>
      </w:r>
      <w:r w:rsidR="000E35DC" w:rsidRPr="000E35DC">
        <w:t>Mr John Fraser. The Review Panel was asked to identify opportunities to improve the effectiveness and integrity of the program, including how its focus could be sharpened to encourage additional R&amp;D</w:t>
      </w:r>
      <w:r w:rsidR="000E35DC">
        <w:t xml:space="preserve"> activities in Australia</w:t>
      </w:r>
      <w:r w:rsidR="000E35DC" w:rsidRPr="000E35DC">
        <w:t>.</w:t>
      </w:r>
    </w:p>
    <w:p w14:paraId="07E83249" w14:textId="295472C6" w:rsidR="00E15AB4" w:rsidRDefault="00785C78" w:rsidP="00785C78">
      <w:pPr>
        <w:pStyle w:val="base-text-paragraph"/>
      </w:pPr>
      <w:r>
        <w:t xml:space="preserve">The Review found the Incentive was failing to </w:t>
      </w:r>
      <w:r w:rsidR="00BD025C">
        <w:t xml:space="preserve">fully </w:t>
      </w:r>
      <w:r>
        <w:t xml:space="preserve">achieve its objectives of generating additional R&amp;D activities and was not well targeted, </w:t>
      </w:r>
      <w:r w:rsidR="0073187E">
        <w:t xml:space="preserve">providing </w:t>
      </w:r>
      <w:r>
        <w:t xml:space="preserve">benefits for R&amp;D activities that would have been undertaken without the Incentive. </w:t>
      </w:r>
    </w:p>
    <w:p w14:paraId="62637D7E" w14:textId="4FD0CC37" w:rsidR="00E15AB4" w:rsidRDefault="00E15AB4" w:rsidP="00E15AB4">
      <w:pPr>
        <w:pStyle w:val="base-text-paragraph"/>
      </w:pPr>
      <w:r>
        <w:t xml:space="preserve">The Review also found the cost of the Incentive had exceeded initial estimates. The cost of </w:t>
      </w:r>
      <w:r w:rsidR="00785DB3">
        <w:t xml:space="preserve">the </w:t>
      </w:r>
      <w:r>
        <w:t>Incentive</w:t>
      </w:r>
      <w:r w:rsidRPr="00E15AB4">
        <w:t xml:space="preserve"> was </w:t>
      </w:r>
      <w:r>
        <w:t>expected to be $1.8 billion per </w:t>
      </w:r>
      <w:r w:rsidRPr="00E15AB4">
        <w:t>annum when it was introduced in 2011-12</w:t>
      </w:r>
      <w:r>
        <w:t>. I</w:t>
      </w:r>
      <w:r w:rsidRPr="00E15AB4">
        <w:t>n 2016-17</w:t>
      </w:r>
      <w:r>
        <w:t>,</w:t>
      </w:r>
      <w:r w:rsidRPr="00E15AB4">
        <w:t xml:space="preserve"> it cost around $3 billion.</w:t>
      </w:r>
    </w:p>
    <w:p w14:paraId="483CA653" w14:textId="08A06EB9" w:rsidR="00785C78" w:rsidRDefault="00785C78" w:rsidP="00785C78">
      <w:pPr>
        <w:pStyle w:val="base-text-paragraph"/>
      </w:pPr>
      <w:r>
        <w:t xml:space="preserve">The Review made </w:t>
      </w:r>
      <w:r w:rsidR="00E15AB4">
        <w:t xml:space="preserve">numerous </w:t>
      </w:r>
      <w:r>
        <w:t xml:space="preserve">recommendations to </w:t>
      </w:r>
      <w:r w:rsidR="00E15AB4">
        <w:t xml:space="preserve">improve the integrity and effectiveness of the program and </w:t>
      </w:r>
      <w:r w:rsidR="003E44D8">
        <w:t xml:space="preserve">to </w:t>
      </w:r>
      <w:r w:rsidR="00E15AB4">
        <w:t>promote its objectives. The Review also made recommendations to i</w:t>
      </w:r>
      <w:r>
        <w:t xml:space="preserve">mprove the </w:t>
      </w:r>
      <w:r w:rsidR="00E15AB4">
        <w:t xml:space="preserve">administration of the Incentive. </w:t>
      </w:r>
      <w:r w:rsidR="003E44D8">
        <w:t xml:space="preserve">The ISA 2030 Strategic Plan, published in January 2018, made alternative recommendations, informed by feedback provided on the Review report. </w:t>
      </w:r>
      <w:r w:rsidR="00E15AB4">
        <w:t>A</w:t>
      </w:r>
      <w:r>
        <w:t xml:space="preserve"> number of </w:t>
      </w:r>
      <w:r w:rsidR="00E15AB4">
        <w:t>the Review’s recommendations were</w:t>
      </w:r>
      <w:r>
        <w:t xml:space="preserve"> adopted by Government</w:t>
      </w:r>
      <w:r w:rsidR="00E15AB4">
        <w:t xml:space="preserve"> in the 2018-19 Budget</w:t>
      </w:r>
      <w:r>
        <w:t>.</w:t>
      </w:r>
    </w:p>
    <w:p w14:paraId="1198322A" w14:textId="77777777" w:rsidR="00B17774" w:rsidRDefault="00B17774" w:rsidP="00B17774">
      <w:pPr>
        <w:pStyle w:val="Heading2"/>
      </w:pPr>
      <w:r>
        <w:t>Summary of new law</w:t>
      </w:r>
    </w:p>
    <w:p w14:paraId="16C929A3" w14:textId="0ACE02C4" w:rsidR="00B17774" w:rsidRDefault="002B6BA6" w:rsidP="0085519B">
      <w:pPr>
        <w:pStyle w:val="base-text-paragraph"/>
        <w:numPr>
          <w:ilvl w:val="1"/>
          <w:numId w:val="4"/>
        </w:numPr>
      </w:pPr>
      <w:r>
        <w:t xml:space="preserve">Schedule </w:t>
      </w:r>
      <w:r w:rsidR="008044C9">
        <w:t xml:space="preserve">1 </w:t>
      </w:r>
      <w:r>
        <w:t xml:space="preserve">to the Exposure Draft </w:t>
      </w:r>
      <w:r w:rsidR="000D7FE5">
        <w:t xml:space="preserve">improves the targeting </w:t>
      </w:r>
      <w:r w:rsidR="00CC6091">
        <w:t>of the Incentive through the following changes:</w:t>
      </w:r>
    </w:p>
    <w:p w14:paraId="4BFADFD1" w14:textId="1FE10C20" w:rsidR="00CC6091" w:rsidRDefault="00CC6091" w:rsidP="00CC6091">
      <w:pPr>
        <w:pStyle w:val="dotpoint"/>
      </w:pPr>
      <w:r>
        <w:t xml:space="preserve">increasing the R&amp;D expenditure </w:t>
      </w:r>
      <w:r w:rsidR="00BE6307">
        <w:t xml:space="preserve">threshold </w:t>
      </w:r>
      <w:r>
        <w:t xml:space="preserve">from $100 million to $150 million and making the </w:t>
      </w:r>
      <w:r w:rsidR="00BE6307">
        <w:t xml:space="preserve">threshold </w:t>
      </w:r>
      <w:r>
        <w:t>a permanent feature of the law;</w:t>
      </w:r>
    </w:p>
    <w:p w14:paraId="0BA51D0A" w14:textId="570AFCD7" w:rsidR="00CC6091" w:rsidRDefault="00CC6091" w:rsidP="00CC6091">
      <w:pPr>
        <w:pStyle w:val="dotpoint"/>
      </w:pPr>
      <w:r>
        <w:t xml:space="preserve">linking the R&amp;D tax offset for </w:t>
      </w:r>
      <w:r w:rsidR="00A01163">
        <w:t>refundable R&amp;D tax offset claimants</w:t>
      </w:r>
      <w:r>
        <w:t xml:space="preserve"> to </w:t>
      </w:r>
      <w:r w:rsidR="00A01163">
        <w:t xml:space="preserve">claimants’ </w:t>
      </w:r>
      <w:r>
        <w:t>corporate tax rates plus a 13.5</w:t>
      </w:r>
      <w:r w:rsidR="00A01163">
        <w:t> </w:t>
      </w:r>
      <w:r>
        <w:t>percentage point premium;</w:t>
      </w:r>
    </w:p>
    <w:p w14:paraId="2D49CB4A" w14:textId="50847AA0" w:rsidR="00CC6091" w:rsidRDefault="00CC6091" w:rsidP="00CC6091">
      <w:pPr>
        <w:pStyle w:val="dotpoint"/>
      </w:pPr>
      <w:r>
        <w:t xml:space="preserve">capping the </w:t>
      </w:r>
      <w:proofErr w:type="spellStart"/>
      <w:r>
        <w:t>refundability</w:t>
      </w:r>
      <w:proofErr w:type="spellEnd"/>
      <w:r>
        <w:t xml:space="preserve"> of the R&amp;D tax offset at $4 million per annum (however, </w:t>
      </w:r>
      <w:r>
        <w:rPr>
          <w:lang w:val="en-US" w:eastAsia="en-US"/>
        </w:rPr>
        <w:t>offset amounts that relate to expenditure on clinical trials do not count towards the cap</w:t>
      </w:r>
      <w:r>
        <w:t>);</w:t>
      </w:r>
      <w:r w:rsidR="008044C9">
        <w:t xml:space="preserve"> and</w:t>
      </w:r>
    </w:p>
    <w:p w14:paraId="0D3EBAB7" w14:textId="31EF1FEE" w:rsidR="00CC6091" w:rsidRDefault="00CC6091" w:rsidP="00CC6091">
      <w:pPr>
        <w:pStyle w:val="dotpoint"/>
      </w:pPr>
      <w:r>
        <w:t xml:space="preserve">increasing the targeting of the Incentive to larger </w:t>
      </w:r>
      <w:r w:rsidR="00E97C52">
        <w:t xml:space="preserve">R&amp;D </w:t>
      </w:r>
      <w:r w:rsidR="006220CA">
        <w:t>entities</w:t>
      </w:r>
      <w:r w:rsidR="00E97C52">
        <w:t xml:space="preserve"> </w:t>
      </w:r>
      <w:r>
        <w:t>with high levels of R&amp;D intensity, reducing the benefits provided to certain entities undertaking R&amp;D activities and increasing the benefit to others</w:t>
      </w:r>
      <w:r w:rsidR="008044C9">
        <w:t>.</w:t>
      </w:r>
    </w:p>
    <w:p w14:paraId="55AE12F1" w14:textId="2D7A1156" w:rsidR="00CC6091" w:rsidRDefault="00CC6091" w:rsidP="00CC6091">
      <w:pPr>
        <w:pStyle w:val="base-text-paragraph"/>
      </w:pPr>
      <w:r>
        <w:t xml:space="preserve">In particular, </w:t>
      </w:r>
      <w:r w:rsidR="002B6BA6">
        <w:t xml:space="preserve">large </w:t>
      </w:r>
      <w:r>
        <w:t xml:space="preserve">R&amp;D entities with aggregated turnover of $20 million or more for an income year are entitled to an R&amp;D tax offset equal to their corporate tax rate plus one or more marginal </w:t>
      </w:r>
      <w:r w:rsidR="00C00C45">
        <w:t>intensity</w:t>
      </w:r>
      <w:r>
        <w:t xml:space="preserve"> premiums. </w:t>
      </w:r>
    </w:p>
    <w:p w14:paraId="306F4CE2" w14:textId="73F4B626" w:rsidR="00CC6091" w:rsidRDefault="00CC6091" w:rsidP="00CC6091">
      <w:pPr>
        <w:pStyle w:val="base-text-paragraph"/>
        <w:keepNext/>
      </w:pPr>
      <w:r>
        <w:t xml:space="preserve">The </w:t>
      </w:r>
      <w:r w:rsidR="00C00C45">
        <w:t>intensity</w:t>
      </w:r>
      <w:r>
        <w:t xml:space="preserve"> premiums apply to notional deductions within a range of R&amp;D intensity where notional deductions are expressed as a proportion of the </w:t>
      </w:r>
      <w:r w:rsidR="006070DB">
        <w:t>R&amp;D entit</w:t>
      </w:r>
      <w:r>
        <w:t xml:space="preserve">y’s </w:t>
      </w:r>
      <w:r w:rsidR="00711993">
        <w:t xml:space="preserve">total </w:t>
      </w:r>
      <w:r w:rsidR="00196ADF">
        <w:t>expenditure.</w:t>
      </w:r>
    </w:p>
    <w:p w14:paraId="0DAC63F5" w14:textId="0CBFDD2C" w:rsidR="00CC6091" w:rsidRDefault="0000667F" w:rsidP="00CC6091">
      <w:pPr>
        <w:pStyle w:val="base-text-paragraph"/>
      </w:pPr>
      <w:r>
        <w:t xml:space="preserve">In addition, </w:t>
      </w:r>
      <w:r w:rsidR="000D7FE5">
        <w:t>Schedule</w:t>
      </w:r>
      <w:r w:rsidR="00105090">
        <w:t xml:space="preserve"> 2</w:t>
      </w:r>
      <w:r w:rsidR="000D7FE5">
        <w:t xml:space="preserve"> to the Exposure Draft makes a number of amendments to improve the integrity of the Incentive and </w:t>
      </w:r>
      <w:r>
        <w:t xml:space="preserve">Schedule </w:t>
      </w:r>
      <w:r w:rsidR="000D7FE5">
        <w:t xml:space="preserve">3 </w:t>
      </w:r>
      <w:r>
        <w:t>t</w:t>
      </w:r>
      <w:r w:rsidR="00105090">
        <w:t>o the Exposure Draft</w:t>
      </w:r>
      <w:r>
        <w:t xml:space="preserve"> makes a number of </w:t>
      </w:r>
      <w:r w:rsidR="000D7FE5">
        <w:t>amendments</w:t>
      </w:r>
      <w:r>
        <w:t xml:space="preserve"> to improve the administration and transparency of the Incentive</w:t>
      </w:r>
      <w:r w:rsidR="000D7FE5">
        <w:t xml:space="preserve">. See Chapters 2 and 3 of these Explanatory Materials for more information. </w:t>
      </w:r>
    </w:p>
    <w:p w14:paraId="3E4F046B" w14:textId="3EB128E1"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0EFC4C9D" w14:textId="77777777" w:rsidTr="00704757">
        <w:trPr>
          <w:cantSplit/>
          <w:tblHeader/>
        </w:trPr>
        <w:tc>
          <w:tcPr>
            <w:tcW w:w="3275" w:type="dxa"/>
          </w:tcPr>
          <w:p w14:paraId="78694B2B" w14:textId="77777777" w:rsidR="00B17774" w:rsidRPr="004666B8" w:rsidRDefault="00B17774" w:rsidP="001F3C89">
            <w:pPr>
              <w:pStyle w:val="tableheaderwithintable"/>
              <w:rPr>
                <w:lang w:val="en-US" w:eastAsia="en-US"/>
              </w:rPr>
            </w:pPr>
            <w:r w:rsidRPr="004666B8">
              <w:rPr>
                <w:lang w:val="en-US" w:eastAsia="en-US"/>
              </w:rPr>
              <w:t>New law</w:t>
            </w:r>
          </w:p>
        </w:tc>
        <w:tc>
          <w:tcPr>
            <w:tcW w:w="3276" w:type="dxa"/>
          </w:tcPr>
          <w:p w14:paraId="7A75A9B4" w14:textId="77777777" w:rsidR="00B17774" w:rsidRPr="004666B8" w:rsidRDefault="00B17774" w:rsidP="001F3C89">
            <w:pPr>
              <w:pStyle w:val="tableheaderwithintable"/>
              <w:rPr>
                <w:lang w:val="en-US" w:eastAsia="en-US"/>
              </w:rPr>
            </w:pPr>
            <w:r w:rsidRPr="004666B8">
              <w:rPr>
                <w:lang w:val="en-US" w:eastAsia="en-US"/>
              </w:rPr>
              <w:t>Current law</w:t>
            </w:r>
          </w:p>
        </w:tc>
      </w:tr>
      <w:tr w:rsidR="00F61EEF" w:rsidRPr="004666B8" w14:paraId="4732637A" w14:textId="77777777" w:rsidTr="00704757">
        <w:trPr>
          <w:cantSplit/>
        </w:trPr>
        <w:tc>
          <w:tcPr>
            <w:tcW w:w="6551" w:type="dxa"/>
            <w:gridSpan w:val="2"/>
          </w:tcPr>
          <w:p w14:paraId="2B71C8D5" w14:textId="12AAB68B" w:rsidR="00F61EEF" w:rsidRDefault="00F61EEF" w:rsidP="00AB58C4">
            <w:pPr>
              <w:pStyle w:val="tableheaderwithintable"/>
              <w:rPr>
                <w:lang w:val="en-US" w:eastAsia="en-US"/>
              </w:rPr>
            </w:pPr>
            <w:r>
              <w:rPr>
                <w:lang w:val="en-US" w:eastAsia="en-US"/>
              </w:rPr>
              <w:t>T</w:t>
            </w:r>
            <w:r w:rsidR="00AB58C4">
              <w:rPr>
                <w:lang w:val="en-US" w:eastAsia="en-US"/>
              </w:rPr>
              <w:t>he expenditure t</w:t>
            </w:r>
            <w:r>
              <w:rPr>
                <w:lang w:val="en-US" w:eastAsia="en-US"/>
              </w:rPr>
              <w:t>hreshold</w:t>
            </w:r>
          </w:p>
        </w:tc>
      </w:tr>
      <w:tr w:rsidR="00B17774" w:rsidRPr="004666B8" w14:paraId="39050DCC" w14:textId="77777777" w:rsidTr="00704757">
        <w:trPr>
          <w:cantSplit/>
        </w:trPr>
        <w:tc>
          <w:tcPr>
            <w:tcW w:w="3275" w:type="dxa"/>
          </w:tcPr>
          <w:p w14:paraId="0013DE02" w14:textId="07769DCA" w:rsidR="00B17774" w:rsidRPr="004666B8" w:rsidRDefault="00E86014" w:rsidP="001F3C89">
            <w:pPr>
              <w:pStyle w:val="tabletext"/>
              <w:rPr>
                <w:lang w:val="en-US" w:eastAsia="en-US"/>
              </w:rPr>
            </w:pPr>
            <w:r>
              <w:rPr>
                <w:lang w:val="en-US" w:eastAsia="en-US"/>
              </w:rPr>
              <w:t>The R&amp;D expenditure threshold is increased to $150 million.</w:t>
            </w:r>
          </w:p>
        </w:tc>
        <w:tc>
          <w:tcPr>
            <w:tcW w:w="3276" w:type="dxa"/>
          </w:tcPr>
          <w:p w14:paraId="1538A455" w14:textId="6C8FF4F8" w:rsidR="00B17774" w:rsidRPr="004666B8" w:rsidRDefault="00E86014" w:rsidP="00E86014">
            <w:pPr>
              <w:pStyle w:val="tabletext"/>
              <w:rPr>
                <w:lang w:val="en-US" w:eastAsia="en-US"/>
              </w:rPr>
            </w:pPr>
            <w:r>
              <w:rPr>
                <w:lang w:val="en-US" w:eastAsia="en-US"/>
              </w:rPr>
              <w:t>The R&amp;D expenditure threshold applies to eliminate the incentive component of the R&amp;D tax offset in relation to notional deductions in excess of $100 million.</w:t>
            </w:r>
          </w:p>
        </w:tc>
      </w:tr>
      <w:tr w:rsidR="00E86014" w:rsidRPr="004666B8" w14:paraId="708EF023" w14:textId="77777777" w:rsidTr="00704757">
        <w:trPr>
          <w:cantSplit/>
        </w:trPr>
        <w:tc>
          <w:tcPr>
            <w:tcW w:w="3275" w:type="dxa"/>
          </w:tcPr>
          <w:p w14:paraId="034B5A4E" w14:textId="69B5BCD6" w:rsidR="00E86014" w:rsidRPr="004666B8" w:rsidRDefault="00E86014" w:rsidP="001F3C89">
            <w:pPr>
              <w:pStyle w:val="tabletext"/>
              <w:rPr>
                <w:lang w:val="en-US" w:eastAsia="en-US"/>
              </w:rPr>
            </w:pPr>
            <w:r>
              <w:rPr>
                <w:lang w:val="en-US" w:eastAsia="en-US"/>
              </w:rPr>
              <w:t>The R&amp;D expenditure threshold is a permanent feature of the law.</w:t>
            </w:r>
          </w:p>
        </w:tc>
        <w:tc>
          <w:tcPr>
            <w:tcW w:w="3276" w:type="dxa"/>
          </w:tcPr>
          <w:p w14:paraId="7CD41DFA" w14:textId="54B0D171" w:rsidR="00E86014" w:rsidRDefault="00E86014" w:rsidP="00E86014">
            <w:pPr>
              <w:pStyle w:val="tabletext"/>
              <w:rPr>
                <w:lang w:val="en-US" w:eastAsia="en-US"/>
              </w:rPr>
            </w:pPr>
            <w:r>
              <w:rPr>
                <w:lang w:val="en-US" w:eastAsia="en-US"/>
              </w:rPr>
              <w:t>The R&amp;D expenditure threshold is legislated to cease on 1 July 2024.</w:t>
            </w:r>
          </w:p>
        </w:tc>
      </w:tr>
      <w:tr w:rsidR="00AB58C4" w:rsidRPr="004666B8" w14:paraId="47429015" w14:textId="77777777" w:rsidTr="00704757">
        <w:trPr>
          <w:cantSplit/>
        </w:trPr>
        <w:tc>
          <w:tcPr>
            <w:tcW w:w="6551" w:type="dxa"/>
            <w:gridSpan w:val="2"/>
          </w:tcPr>
          <w:p w14:paraId="091A0BC7" w14:textId="4EE09CFC" w:rsidR="00AB58C4" w:rsidRDefault="00AB58C4" w:rsidP="00AB58C4">
            <w:pPr>
              <w:pStyle w:val="tableheaderwithintable"/>
              <w:rPr>
                <w:lang w:val="en-US" w:eastAsia="en-US"/>
              </w:rPr>
            </w:pPr>
            <w:r>
              <w:rPr>
                <w:lang w:val="en-US" w:eastAsia="en-US"/>
              </w:rPr>
              <w:t xml:space="preserve">The R&amp;D Tax Offset for small </w:t>
            </w:r>
            <w:r w:rsidR="003E44D8">
              <w:rPr>
                <w:lang w:val="en-US" w:eastAsia="en-US"/>
              </w:rPr>
              <w:t xml:space="preserve">R&amp;D </w:t>
            </w:r>
            <w:r>
              <w:rPr>
                <w:lang w:val="en-US" w:eastAsia="en-US"/>
              </w:rPr>
              <w:t>entities</w:t>
            </w:r>
          </w:p>
        </w:tc>
      </w:tr>
      <w:tr w:rsidR="00E86014" w:rsidRPr="004666B8" w14:paraId="5CC0DC29" w14:textId="77777777" w:rsidTr="00704757">
        <w:trPr>
          <w:cantSplit/>
        </w:trPr>
        <w:tc>
          <w:tcPr>
            <w:tcW w:w="3275" w:type="dxa"/>
          </w:tcPr>
          <w:p w14:paraId="0D3372A5" w14:textId="101C57B4" w:rsidR="00E86014" w:rsidRDefault="00E86014" w:rsidP="001F3C89">
            <w:pPr>
              <w:pStyle w:val="tabletext"/>
              <w:rPr>
                <w:lang w:val="en-US" w:eastAsia="en-US"/>
              </w:rPr>
            </w:pPr>
            <w:r>
              <w:rPr>
                <w:lang w:val="en-US" w:eastAsia="en-US"/>
              </w:rPr>
              <w:t xml:space="preserve">The amount of a refund that an </w:t>
            </w:r>
            <w:r w:rsidR="006070DB">
              <w:rPr>
                <w:lang w:val="en-US" w:eastAsia="en-US"/>
              </w:rPr>
              <w:t>R&amp;D entit</w:t>
            </w:r>
            <w:r>
              <w:rPr>
                <w:lang w:val="en-US" w:eastAsia="en-US"/>
              </w:rPr>
              <w:t>y can receive is capped at $4</w:t>
            </w:r>
            <w:r w:rsidR="00711993">
              <w:rPr>
                <w:lang w:val="en-US" w:eastAsia="en-US"/>
              </w:rPr>
              <w:t> </w:t>
            </w:r>
            <w:r>
              <w:rPr>
                <w:lang w:val="en-US" w:eastAsia="en-US"/>
              </w:rPr>
              <w:t xml:space="preserve">million per annum. </w:t>
            </w:r>
          </w:p>
          <w:p w14:paraId="0814A3D8" w14:textId="761320E5" w:rsidR="00E86014" w:rsidRDefault="00E86014" w:rsidP="008927C8">
            <w:pPr>
              <w:pStyle w:val="tabletext"/>
              <w:rPr>
                <w:lang w:val="en-US" w:eastAsia="en-US"/>
              </w:rPr>
            </w:pPr>
            <w:r>
              <w:rPr>
                <w:lang w:val="en-US" w:eastAsia="en-US"/>
              </w:rPr>
              <w:t xml:space="preserve">Offset amounts that relate to expenditure on clinical trials </w:t>
            </w:r>
            <w:r w:rsidR="009B08E5">
              <w:rPr>
                <w:lang w:val="en-US" w:eastAsia="en-US"/>
              </w:rPr>
              <w:t>do</w:t>
            </w:r>
            <w:r>
              <w:rPr>
                <w:lang w:val="en-US" w:eastAsia="en-US"/>
              </w:rPr>
              <w:t xml:space="preserve"> not count towards the cap and </w:t>
            </w:r>
            <w:r w:rsidR="00BE6307">
              <w:rPr>
                <w:lang w:val="en-US" w:eastAsia="en-US"/>
              </w:rPr>
              <w:t xml:space="preserve">remain </w:t>
            </w:r>
            <w:r>
              <w:rPr>
                <w:lang w:val="en-US" w:eastAsia="en-US"/>
              </w:rPr>
              <w:t xml:space="preserve">refundable. </w:t>
            </w:r>
          </w:p>
        </w:tc>
        <w:tc>
          <w:tcPr>
            <w:tcW w:w="3276" w:type="dxa"/>
          </w:tcPr>
          <w:p w14:paraId="1ADE49C5" w14:textId="6B47EFF3" w:rsidR="00E86014" w:rsidRDefault="006070DB" w:rsidP="00E86014">
            <w:pPr>
              <w:pStyle w:val="tabletext"/>
              <w:rPr>
                <w:lang w:val="en-US" w:eastAsia="en-US"/>
              </w:rPr>
            </w:pPr>
            <w:r>
              <w:rPr>
                <w:lang w:val="en-US" w:eastAsia="en-US"/>
              </w:rPr>
              <w:t>R&amp;D entit</w:t>
            </w:r>
            <w:r w:rsidR="00E86014">
              <w:rPr>
                <w:lang w:val="en-US" w:eastAsia="en-US"/>
              </w:rPr>
              <w:t>ies with aggregated turnover</w:t>
            </w:r>
            <w:r w:rsidR="003E44D8">
              <w:rPr>
                <w:lang w:val="en-US" w:eastAsia="en-US"/>
              </w:rPr>
              <w:t xml:space="preserve"> of</w:t>
            </w:r>
            <w:r w:rsidR="00E86014">
              <w:rPr>
                <w:lang w:val="en-US" w:eastAsia="en-US"/>
              </w:rPr>
              <w:t xml:space="preserve"> less than $20 million are entitled to a tax refund for any R&amp;D tax offset they receive in excess of their income tax liabilities.</w:t>
            </w:r>
          </w:p>
        </w:tc>
      </w:tr>
      <w:tr w:rsidR="00312972" w:rsidRPr="004666B8" w14:paraId="7A80606E" w14:textId="77777777" w:rsidTr="00704757">
        <w:trPr>
          <w:cantSplit/>
        </w:trPr>
        <w:tc>
          <w:tcPr>
            <w:tcW w:w="3275" w:type="dxa"/>
          </w:tcPr>
          <w:p w14:paraId="6728A47B" w14:textId="41CD34CA" w:rsidR="00312972" w:rsidRDefault="006070DB" w:rsidP="00312972">
            <w:pPr>
              <w:pStyle w:val="tabletext"/>
              <w:rPr>
                <w:lang w:val="en-US" w:eastAsia="en-US"/>
              </w:rPr>
            </w:pPr>
            <w:r>
              <w:rPr>
                <w:lang w:val="en-US" w:eastAsia="en-US"/>
              </w:rPr>
              <w:t>R&amp;D entit</w:t>
            </w:r>
            <w:r w:rsidR="00312972">
              <w:rPr>
                <w:lang w:val="en-US" w:eastAsia="en-US"/>
              </w:rPr>
              <w:t>ies with aggregated turnover</w:t>
            </w:r>
            <w:r w:rsidR="003E44D8">
              <w:rPr>
                <w:lang w:val="en-US" w:eastAsia="en-US"/>
              </w:rPr>
              <w:t xml:space="preserve"> of</w:t>
            </w:r>
            <w:r w:rsidR="00312972">
              <w:rPr>
                <w:lang w:val="en-US" w:eastAsia="en-US"/>
              </w:rPr>
              <w:t xml:space="preserve"> less than $20 million are </w:t>
            </w:r>
            <w:r w:rsidR="009B08E5">
              <w:rPr>
                <w:lang w:val="en-US" w:eastAsia="en-US"/>
              </w:rPr>
              <w:t xml:space="preserve">generally </w:t>
            </w:r>
            <w:r w:rsidR="00312972">
              <w:rPr>
                <w:lang w:val="en-US" w:eastAsia="en-US"/>
              </w:rPr>
              <w:t>entitled to an R&amp;D tax offset rate equal to their corporate tax rate plus a 13.5 per cent premium.</w:t>
            </w:r>
          </w:p>
        </w:tc>
        <w:tc>
          <w:tcPr>
            <w:tcW w:w="3276" w:type="dxa"/>
          </w:tcPr>
          <w:p w14:paraId="1D3AF973" w14:textId="56C83B15" w:rsidR="00312972" w:rsidRDefault="006070DB" w:rsidP="00711993">
            <w:pPr>
              <w:pStyle w:val="tabletext"/>
              <w:rPr>
                <w:lang w:val="en-US" w:eastAsia="en-US"/>
              </w:rPr>
            </w:pPr>
            <w:r>
              <w:rPr>
                <w:lang w:val="en-US" w:eastAsia="en-US"/>
              </w:rPr>
              <w:t>R&amp;D entit</w:t>
            </w:r>
            <w:r w:rsidR="00312972">
              <w:rPr>
                <w:lang w:val="en-US" w:eastAsia="en-US"/>
              </w:rPr>
              <w:t xml:space="preserve">ies with aggregated turnover </w:t>
            </w:r>
            <w:r w:rsidR="003E44D8">
              <w:rPr>
                <w:lang w:val="en-US" w:eastAsia="en-US"/>
              </w:rPr>
              <w:t xml:space="preserve">of </w:t>
            </w:r>
            <w:r w:rsidR="00312972">
              <w:rPr>
                <w:lang w:val="en-US" w:eastAsia="en-US"/>
              </w:rPr>
              <w:t xml:space="preserve">less than $20 million are </w:t>
            </w:r>
            <w:r w:rsidR="009B08E5">
              <w:rPr>
                <w:lang w:val="en-US" w:eastAsia="en-US"/>
              </w:rPr>
              <w:t xml:space="preserve">generally </w:t>
            </w:r>
            <w:r w:rsidR="00312972">
              <w:rPr>
                <w:lang w:val="en-US" w:eastAsia="en-US"/>
              </w:rPr>
              <w:t>entitled to an R&amp;D tax offset rate of 43.5 per cent.</w:t>
            </w:r>
          </w:p>
        </w:tc>
      </w:tr>
      <w:tr w:rsidR="00AB58C4" w:rsidRPr="004666B8" w14:paraId="458042D1" w14:textId="77777777" w:rsidTr="00704757">
        <w:trPr>
          <w:cantSplit/>
        </w:trPr>
        <w:tc>
          <w:tcPr>
            <w:tcW w:w="6551" w:type="dxa"/>
            <w:gridSpan w:val="2"/>
          </w:tcPr>
          <w:p w14:paraId="29F20A42" w14:textId="266CDFF7" w:rsidR="00AB58C4" w:rsidRDefault="00AB58C4" w:rsidP="00AB58C4">
            <w:pPr>
              <w:pStyle w:val="tableheaderwithintable"/>
              <w:rPr>
                <w:lang w:val="en-US" w:eastAsia="en-US"/>
              </w:rPr>
            </w:pPr>
            <w:r>
              <w:rPr>
                <w:lang w:val="en-US" w:eastAsia="en-US"/>
              </w:rPr>
              <w:t xml:space="preserve">The R&amp;D Tax Offset for large </w:t>
            </w:r>
            <w:r w:rsidR="00E97C52">
              <w:rPr>
                <w:lang w:val="en-US" w:eastAsia="en-US"/>
              </w:rPr>
              <w:t xml:space="preserve">R&amp;D </w:t>
            </w:r>
            <w:r>
              <w:rPr>
                <w:lang w:val="en-US" w:eastAsia="en-US"/>
              </w:rPr>
              <w:t>entities</w:t>
            </w:r>
          </w:p>
        </w:tc>
      </w:tr>
      <w:tr w:rsidR="009B08E5" w:rsidRPr="004666B8" w14:paraId="32229E0A" w14:textId="77777777" w:rsidTr="00704757">
        <w:trPr>
          <w:cantSplit/>
        </w:trPr>
        <w:tc>
          <w:tcPr>
            <w:tcW w:w="3275" w:type="dxa"/>
          </w:tcPr>
          <w:p w14:paraId="56D2C304" w14:textId="543D8600" w:rsidR="009B08E5" w:rsidRDefault="006070DB" w:rsidP="00B73BE8">
            <w:pPr>
              <w:pStyle w:val="tabletext"/>
              <w:rPr>
                <w:lang w:val="en-US" w:eastAsia="en-US"/>
              </w:rPr>
            </w:pPr>
            <w:r>
              <w:rPr>
                <w:lang w:val="en-US" w:eastAsia="en-US"/>
              </w:rPr>
              <w:t>R&amp;D entit</w:t>
            </w:r>
            <w:r w:rsidR="009B08E5">
              <w:rPr>
                <w:lang w:val="en-US" w:eastAsia="en-US"/>
              </w:rPr>
              <w:t xml:space="preserve">ies with aggregated turnover of $20 million or more are entitled to an R&amp;D tax offset equal to their corporate tax rate plus a premium based on the level of their </w:t>
            </w:r>
            <w:r w:rsidR="003A28E4">
              <w:rPr>
                <w:lang w:val="en-US" w:eastAsia="en-US"/>
              </w:rPr>
              <w:t xml:space="preserve">incremental </w:t>
            </w:r>
            <w:r w:rsidR="009B08E5">
              <w:rPr>
                <w:lang w:val="en-US" w:eastAsia="en-US"/>
              </w:rPr>
              <w:t>R&amp;D intensity</w:t>
            </w:r>
            <w:r w:rsidR="007443AD">
              <w:rPr>
                <w:lang w:val="en-US" w:eastAsia="en-US"/>
              </w:rPr>
              <w:t xml:space="preserve"> for their R&amp;D expenditure</w:t>
            </w:r>
            <w:r w:rsidR="009B08E5">
              <w:rPr>
                <w:lang w:val="en-US" w:eastAsia="en-US"/>
              </w:rPr>
              <w:t>.</w:t>
            </w:r>
          </w:p>
        </w:tc>
        <w:tc>
          <w:tcPr>
            <w:tcW w:w="3276" w:type="dxa"/>
          </w:tcPr>
          <w:p w14:paraId="6E90553B" w14:textId="2A5D3D9B" w:rsidR="009B08E5" w:rsidRDefault="006070DB" w:rsidP="009B08E5">
            <w:pPr>
              <w:pStyle w:val="tabletext"/>
              <w:rPr>
                <w:lang w:val="en-US" w:eastAsia="en-US"/>
              </w:rPr>
            </w:pPr>
            <w:r>
              <w:rPr>
                <w:lang w:val="en-US" w:eastAsia="en-US"/>
              </w:rPr>
              <w:t>R&amp;D entit</w:t>
            </w:r>
            <w:r w:rsidR="009B08E5">
              <w:rPr>
                <w:lang w:val="en-US" w:eastAsia="en-US"/>
              </w:rPr>
              <w:t>ies with aggregated turnover of $20 million or more are entitled to a</w:t>
            </w:r>
            <w:r w:rsidR="00711993">
              <w:rPr>
                <w:lang w:val="en-US" w:eastAsia="en-US"/>
              </w:rPr>
              <w:t xml:space="preserve"> non-refundable</w:t>
            </w:r>
            <w:r w:rsidR="009B08E5">
              <w:rPr>
                <w:lang w:val="en-US" w:eastAsia="en-US"/>
              </w:rPr>
              <w:t xml:space="preserve"> R&amp;D tax offset </w:t>
            </w:r>
            <w:r w:rsidR="00711993">
              <w:rPr>
                <w:lang w:val="en-US" w:eastAsia="en-US"/>
              </w:rPr>
              <w:t xml:space="preserve">at a </w:t>
            </w:r>
            <w:r w:rsidR="009B08E5">
              <w:rPr>
                <w:lang w:val="en-US" w:eastAsia="en-US"/>
              </w:rPr>
              <w:t>rate of 38.5 per cent.</w:t>
            </w:r>
          </w:p>
        </w:tc>
      </w:tr>
    </w:tbl>
    <w:p w14:paraId="11EF2618" w14:textId="77777777" w:rsidR="00B17774" w:rsidRDefault="00B17774" w:rsidP="00B17774">
      <w:pPr>
        <w:pStyle w:val="Heading2"/>
      </w:pPr>
      <w:r>
        <w:t>Detailed explanation of new law</w:t>
      </w:r>
    </w:p>
    <w:p w14:paraId="1E9525F6" w14:textId="7A13E8AF" w:rsidR="00B17774" w:rsidRDefault="00927BE2" w:rsidP="008A5A52">
      <w:pPr>
        <w:pStyle w:val="Heading3"/>
      </w:pPr>
      <w:r>
        <w:t>Increasing the</w:t>
      </w:r>
      <w:r w:rsidR="008A5A52">
        <w:t xml:space="preserve"> expenditure threshold</w:t>
      </w:r>
    </w:p>
    <w:p w14:paraId="59CA5A36" w14:textId="5CD51F74" w:rsidR="008A5A52" w:rsidRDefault="00196ADF" w:rsidP="008A5A52">
      <w:pPr>
        <w:pStyle w:val="base-text-paragraph"/>
      </w:pPr>
      <w:r>
        <w:t xml:space="preserve">The $100 million expenditure threshold is increased to $150 million per annum. </w:t>
      </w:r>
      <w:r w:rsidR="008E75ED">
        <w:rPr>
          <w:rStyle w:val="Referencingstyle"/>
        </w:rPr>
        <w:t xml:space="preserve">[Exposure Draft, Schedule 1, item </w:t>
      </w:r>
      <w:r w:rsidR="00042237">
        <w:rPr>
          <w:rStyle w:val="Referencingstyle"/>
        </w:rPr>
        <w:t>11</w:t>
      </w:r>
      <w:r w:rsidR="008E75ED">
        <w:rPr>
          <w:rStyle w:val="Referencingstyle"/>
        </w:rPr>
        <w:t>, subsection 355</w:t>
      </w:r>
      <w:r w:rsidR="008E75ED">
        <w:rPr>
          <w:rStyle w:val="Referencingstyle"/>
        </w:rPr>
        <w:noBreakHyphen/>
        <w:t>100(3) of the ITAA 1997]</w:t>
      </w:r>
    </w:p>
    <w:p w14:paraId="50035C42" w14:textId="3175A9CA" w:rsidR="00196ADF" w:rsidRDefault="00FF62FF" w:rsidP="00196ADF">
      <w:pPr>
        <w:pStyle w:val="base-text-paragraph"/>
      </w:pPr>
      <w:r>
        <w:t>The increase allows R&amp;D entities</w:t>
      </w:r>
      <w:r w:rsidR="00196ADF">
        <w:t xml:space="preserve"> to claim additional </w:t>
      </w:r>
      <w:r w:rsidR="00BE6307">
        <w:t xml:space="preserve">amounts of R&amp;D tax </w:t>
      </w:r>
      <w:r w:rsidR="00196ADF">
        <w:t xml:space="preserve">offset on R&amp;D activities. The purpose of this amendment is to increase the incentive for large </w:t>
      </w:r>
      <w:r w:rsidR="003E44D8">
        <w:t xml:space="preserve">R&amp;D entities </w:t>
      </w:r>
      <w:r w:rsidR="00196ADF">
        <w:t xml:space="preserve">to continue to engage in R&amp;D activities as their R&amp;D expenditure exceeds $100 million. </w:t>
      </w:r>
    </w:p>
    <w:p w14:paraId="16BC37E5" w14:textId="3D4FDA3B" w:rsidR="00196ADF" w:rsidRDefault="00196ADF" w:rsidP="008A5A52">
      <w:pPr>
        <w:pStyle w:val="base-text-paragraph"/>
      </w:pPr>
      <w:r>
        <w:t>The current law provides that the expenditure threshold will cease on 1 July 2024 and requires the Government to conduct a review of the threshold after 5 March 2020. In light of the 2016 Review and the changes to the threshold adopted by the Government, the requirement for the review is repealed and the increased threshold is made a permanent feature of the law.</w:t>
      </w:r>
      <w:r w:rsidR="008E75ED">
        <w:t xml:space="preserve"> </w:t>
      </w:r>
      <w:r w:rsidR="008E75ED">
        <w:rPr>
          <w:rStyle w:val="Referencingstyle"/>
        </w:rPr>
        <w:t>[Expos</w:t>
      </w:r>
      <w:r w:rsidR="00D47203">
        <w:rPr>
          <w:rStyle w:val="Referencingstyle"/>
        </w:rPr>
        <w:t>ure Draft, Schedule 1, items</w:t>
      </w:r>
      <w:r w:rsidR="007F2B2D">
        <w:rPr>
          <w:rStyle w:val="Referencingstyle"/>
        </w:rPr>
        <w:t xml:space="preserve"> 1</w:t>
      </w:r>
      <w:r w:rsidR="00DD2B26">
        <w:rPr>
          <w:rStyle w:val="Referencingstyle"/>
        </w:rPr>
        <w:t>6</w:t>
      </w:r>
      <w:r w:rsidR="00636CBA">
        <w:rPr>
          <w:rStyle w:val="Referencingstyle"/>
        </w:rPr>
        <w:t xml:space="preserve">, </w:t>
      </w:r>
      <w:r w:rsidR="00DD2B26">
        <w:rPr>
          <w:rStyle w:val="Referencingstyle"/>
        </w:rPr>
        <w:t>20</w:t>
      </w:r>
      <w:r w:rsidR="00636CBA">
        <w:rPr>
          <w:rStyle w:val="Referencingstyle"/>
        </w:rPr>
        <w:t xml:space="preserve"> and </w:t>
      </w:r>
      <w:r w:rsidR="00DD2B26">
        <w:rPr>
          <w:rStyle w:val="Referencingstyle"/>
        </w:rPr>
        <w:t>21</w:t>
      </w:r>
      <w:r w:rsidR="008E75ED">
        <w:rPr>
          <w:rStyle w:val="Referencingstyle"/>
        </w:rPr>
        <w:t>, section 355-750 of the ITAA 1997</w:t>
      </w:r>
      <w:r w:rsidR="00636CBA">
        <w:rPr>
          <w:rStyle w:val="Referencingstyle"/>
        </w:rPr>
        <w:t>,</w:t>
      </w:r>
      <w:r w:rsidR="007F2B2D">
        <w:rPr>
          <w:rStyle w:val="Referencingstyle"/>
        </w:rPr>
        <w:t xml:space="preserve"> </w:t>
      </w:r>
      <w:r w:rsidR="00B22BFC">
        <w:rPr>
          <w:rStyle w:val="Referencingstyle"/>
        </w:rPr>
        <w:t>table item 3 in subsection 2(1)</w:t>
      </w:r>
      <w:r w:rsidR="00DD2B26">
        <w:rPr>
          <w:rStyle w:val="Referencingstyle"/>
        </w:rPr>
        <w:t xml:space="preserve"> </w:t>
      </w:r>
      <w:r w:rsidR="00B22BFC">
        <w:rPr>
          <w:rStyle w:val="Referencingstyle"/>
        </w:rPr>
        <w:t xml:space="preserve">of the Tax Laws Amendment (Research and Development) Act 2015 </w:t>
      </w:r>
      <w:r w:rsidR="007F2B2D">
        <w:rPr>
          <w:rStyle w:val="Referencingstyle"/>
        </w:rPr>
        <w:t xml:space="preserve">and </w:t>
      </w:r>
      <w:r w:rsidR="008E75ED">
        <w:rPr>
          <w:rStyle w:val="Referencingstyle"/>
        </w:rPr>
        <w:t xml:space="preserve">Part 2 of Schedule 1 to </w:t>
      </w:r>
      <w:r w:rsidR="00B22BFC">
        <w:rPr>
          <w:rStyle w:val="Referencingstyle"/>
        </w:rPr>
        <w:t>that Act</w:t>
      </w:r>
      <w:r w:rsidR="008E75ED">
        <w:rPr>
          <w:rStyle w:val="Referencingstyle"/>
        </w:rPr>
        <w:t>]</w:t>
      </w:r>
    </w:p>
    <w:p w14:paraId="18E0C506" w14:textId="3B73E812" w:rsidR="008A5A52" w:rsidRDefault="00AF115C" w:rsidP="008A5A52">
      <w:pPr>
        <w:pStyle w:val="Heading3"/>
      </w:pPr>
      <w:r>
        <w:t xml:space="preserve">The refundable </w:t>
      </w:r>
      <w:r w:rsidR="008A5A52">
        <w:t xml:space="preserve">R&amp;D tax offset for small </w:t>
      </w:r>
      <w:r w:rsidR="003E44D8">
        <w:t>R&amp;D entities</w:t>
      </w:r>
    </w:p>
    <w:p w14:paraId="30846E9E" w14:textId="37F1B813" w:rsidR="00196ADF" w:rsidRDefault="00196ADF" w:rsidP="00196ADF">
      <w:pPr>
        <w:pStyle w:val="base-text-paragraph"/>
      </w:pPr>
      <w:r>
        <w:t xml:space="preserve">An R&amp;D entity with aggregated turnover of less than $20 million for an income year is generally entitled to a refundable R&amp;D tax offset equal to their corporate tax rate plus 13.5 percentage points. </w:t>
      </w:r>
      <w:r w:rsidR="00066069">
        <w:rPr>
          <w:rStyle w:val="Referencingstyle"/>
        </w:rPr>
        <w:t xml:space="preserve">[Exposure Draft, Schedule 1, item </w:t>
      </w:r>
      <w:r w:rsidR="00042237">
        <w:rPr>
          <w:rStyle w:val="Referencingstyle"/>
        </w:rPr>
        <w:t>6</w:t>
      </w:r>
      <w:r w:rsidR="00066069">
        <w:rPr>
          <w:rStyle w:val="Referencingstyle"/>
        </w:rPr>
        <w:t>, table item 1 in subsection 355-100(1)</w:t>
      </w:r>
      <w:r w:rsidR="00603ACB">
        <w:rPr>
          <w:rStyle w:val="Referencingstyle"/>
        </w:rPr>
        <w:t xml:space="preserve"> of the ITAA 1997</w:t>
      </w:r>
      <w:r w:rsidR="00066069">
        <w:rPr>
          <w:rStyle w:val="Referencingstyle"/>
        </w:rPr>
        <w:t>]</w:t>
      </w:r>
    </w:p>
    <w:p w14:paraId="63946EED" w14:textId="137125D7" w:rsidR="00196ADF" w:rsidRDefault="00196ADF" w:rsidP="00196ADF">
      <w:pPr>
        <w:pStyle w:val="base-text-paragraph"/>
      </w:pPr>
      <w:r>
        <w:t xml:space="preserve">This offset does not apply to an </w:t>
      </w:r>
      <w:r w:rsidR="003E44D8">
        <w:t xml:space="preserve">R&amp;D </w:t>
      </w:r>
      <w:r>
        <w:t xml:space="preserve">entity controlled by </w:t>
      </w:r>
      <w:r w:rsidR="003E44D8">
        <w:t>one or more</w:t>
      </w:r>
      <w:r>
        <w:t xml:space="preserve"> exempt entities. These </w:t>
      </w:r>
      <w:r w:rsidR="003E44D8">
        <w:t xml:space="preserve">R&amp;D </w:t>
      </w:r>
      <w:r>
        <w:t>entities are instead entitled to the non</w:t>
      </w:r>
      <w:r w:rsidR="001730BB">
        <w:noBreakHyphen/>
      </w:r>
      <w:r>
        <w:t>refundable R&amp;D tax offset available to large</w:t>
      </w:r>
      <w:r w:rsidR="003E44D8">
        <w:t xml:space="preserve"> R&amp;D</w:t>
      </w:r>
      <w:r>
        <w:t xml:space="preserve"> entities. </w:t>
      </w:r>
      <w:r w:rsidR="00603ACB">
        <w:rPr>
          <w:rStyle w:val="Referencingstyle"/>
        </w:rPr>
        <w:t xml:space="preserve">[Exposure Draft, Schedule 1, item </w:t>
      </w:r>
      <w:r w:rsidR="00042237">
        <w:rPr>
          <w:rStyle w:val="Referencingstyle"/>
        </w:rPr>
        <w:t>7</w:t>
      </w:r>
      <w:r w:rsidR="00603ACB">
        <w:rPr>
          <w:rStyle w:val="Referencingstyle"/>
        </w:rPr>
        <w:t>, table item 2 in subsection 355-100(1) of the ITAA 1997]</w:t>
      </w:r>
    </w:p>
    <w:p w14:paraId="43F29F6C" w14:textId="0E57DC77" w:rsidR="008A5A52" w:rsidRDefault="008A5A52" w:rsidP="00F40D37">
      <w:pPr>
        <w:pStyle w:val="Heading4"/>
      </w:pPr>
      <w:r>
        <w:t xml:space="preserve">The cap on refundable R&amp;D tax offsets for small </w:t>
      </w:r>
      <w:r w:rsidR="00E97C52">
        <w:t xml:space="preserve">R&amp;D entities </w:t>
      </w:r>
    </w:p>
    <w:p w14:paraId="47BC8F87" w14:textId="435E03D6" w:rsidR="00196ADF" w:rsidRDefault="00196ADF" w:rsidP="00196ADF">
      <w:pPr>
        <w:pStyle w:val="base-text-paragraph"/>
      </w:pPr>
      <w:r>
        <w:t xml:space="preserve">Only the first $4 million of any R&amp;D tax offset is </w:t>
      </w:r>
      <w:r w:rsidR="00CF76C1">
        <w:t xml:space="preserve">a </w:t>
      </w:r>
      <w:r>
        <w:t>refundable</w:t>
      </w:r>
      <w:r w:rsidR="00CF76C1">
        <w:t xml:space="preserve"> tax offset</w:t>
      </w:r>
      <w:r>
        <w:t xml:space="preserve">. Any excess </w:t>
      </w:r>
      <w:r w:rsidR="00CF76C1">
        <w:t xml:space="preserve">amount of </w:t>
      </w:r>
      <w:r>
        <w:t xml:space="preserve">R&amp;D tax offset </w:t>
      </w:r>
      <w:r w:rsidR="00CF76C1">
        <w:t>must</w:t>
      </w:r>
      <w:r>
        <w:t xml:space="preserve"> be carried forward as a non-refundable tax offset.</w:t>
      </w:r>
      <w:r w:rsidR="001F3C89">
        <w:t xml:space="preserve"> </w:t>
      </w:r>
      <w:r w:rsidR="00F5713F" w:rsidRPr="000D7FE5">
        <w:rPr>
          <w:rStyle w:val="Referencingstyle"/>
        </w:rPr>
        <w:t>[</w:t>
      </w:r>
      <w:r w:rsidR="001F3C89">
        <w:rPr>
          <w:rStyle w:val="Referencingstyle"/>
        </w:rPr>
        <w:t xml:space="preserve">Exposure Draft, Schedule 1, item </w:t>
      </w:r>
      <w:r w:rsidR="00CF76C1">
        <w:rPr>
          <w:rStyle w:val="Referencingstyle"/>
        </w:rPr>
        <w:t>4</w:t>
      </w:r>
      <w:r w:rsidR="001F3C89">
        <w:rPr>
          <w:rStyle w:val="Referencingstyle"/>
        </w:rPr>
        <w:t>, subsection</w:t>
      </w:r>
      <w:r w:rsidR="00DD2B26">
        <w:rPr>
          <w:rStyle w:val="Referencingstyle"/>
        </w:rPr>
        <w:t> </w:t>
      </w:r>
      <w:r w:rsidR="001F3C89">
        <w:rPr>
          <w:rStyle w:val="Referencingstyle"/>
        </w:rPr>
        <w:t>67</w:t>
      </w:r>
      <w:r w:rsidR="00DD2B26">
        <w:rPr>
          <w:rStyle w:val="Referencingstyle"/>
        </w:rPr>
        <w:noBreakHyphen/>
      </w:r>
      <w:r w:rsidR="001F3C89">
        <w:rPr>
          <w:rStyle w:val="Referencingstyle"/>
        </w:rPr>
        <w:t>30(1A) of the ITAA 1997]</w:t>
      </w:r>
    </w:p>
    <w:p w14:paraId="27DB1AC4" w14:textId="50B377D9" w:rsidR="00196ADF" w:rsidRPr="0061080C" w:rsidRDefault="00196ADF" w:rsidP="00196ADF">
      <w:pPr>
        <w:pStyle w:val="base-text-paragraph"/>
        <w:rPr>
          <w:rStyle w:val="Referencingstyle"/>
          <w:b w:val="0"/>
          <w:i w:val="0"/>
          <w:sz w:val="22"/>
        </w:rPr>
      </w:pPr>
      <w:r>
        <w:t xml:space="preserve">However, amounts of the R&amp;D tax offset arising from R&amp;D </w:t>
      </w:r>
      <w:r w:rsidR="00CF76C1">
        <w:t>activities that are or form part of</w:t>
      </w:r>
      <w:r>
        <w:t xml:space="preserve"> clinical trials do not count towards the $4</w:t>
      </w:r>
      <w:r w:rsidR="007443AD">
        <w:t> </w:t>
      </w:r>
      <w:r>
        <w:t xml:space="preserve">million cap and </w:t>
      </w:r>
      <w:r w:rsidR="003E44D8">
        <w:t xml:space="preserve">may be </w:t>
      </w:r>
      <w:r w:rsidR="00CF76C1">
        <w:t xml:space="preserve">included in </w:t>
      </w:r>
      <w:r w:rsidR="003E44D8">
        <w:t>a</w:t>
      </w:r>
      <w:r w:rsidR="00CF76C1">
        <w:t xml:space="preserve"> </w:t>
      </w:r>
      <w:r>
        <w:t>refundable</w:t>
      </w:r>
      <w:r w:rsidR="00CF76C1">
        <w:t xml:space="preserve"> tax offset</w:t>
      </w:r>
      <w:r>
        <w:t>.</w:t>
      </w:r>
      <w:r w:rsidR="001F3C89" w:rsidRPr="001F3C89">
        <w:rPr>
          <w:rStyle w:val="Referencingstyle"/>
        </w:rPr>
        <w:t xml:space="preserve"> </w:t>
      </w:r>
      <w:r w:rsidR="00CF76C1">
        <w:rPr>
          <w:rStyle w:val="Referencingstyle"/>
        </w:rPr>
        <w:t>[</w:t>
      </w:r>
      <w:r w:rsidR="001F3C89">
        <w:rPr>
          <w:rStyle w:val="Referencingstyle"/>
        </w:rPr>
        <w:t xml:space="preserve">Exposure Draft, Schedule 1, item </w:t>
      </w:r>
      <w:r w:rsidR="006A466F">
        <w:rPr>
          <w:rStyle w:val="Referencingstyle"/>
        </w:rPr>
        <w:t>4</w:t>
      </w:r>
      <w:r w:rsidR="001F3C89">
        <w:rPr>
          <w:rStyle w:val="Referencingstyle"/>
        </w:rPr>
        <w:t>, subsections</w:t>
      </w:r>
      <w:r w:rsidR="00E2059D">
        <w:rPr>
          <w:rStyle w:val="Referencingstyle"/>
        </w:rPr>
        <w:t xml:space="preserve"> </w:t>
      </w:r>
      <w:r w:rsidR="001F3C89">
        <w:rPr>
          <w:rStyle w:val="Referencingstyle"/>
        </w:rPr>
        <w:t>67-30(1A) and (1B) of the ITAA 1997]</w:t>
      </w:r>
    </w:p>
    <w:p w14:paraId="058BD4E3" w14:textId="63EAB683" w:rsidR="00F068B5" w:rsidRDefault="00F068B5" w:rsidP="00F068B5">
      <w:pPr>
        <w:pStyle w:val="base-text-paragraph"/>
      </w:pPr>
      <w:r w:rsidRPr="00F068B5">
        <w:t xml:space="preserve">Non-refundable </w:t>
      </w:r>
      <w:r>
        <w:t xml:space="preserve">R&amp;D </w:t>
      </w:r>
      <w:r w:rsidRPr="00F068B5">
        <w:t>tax offset</w:t>
      </w:r>
      <w:r>
        <w:t>s</w:t>
      </w:r>
      <w:r w:rsidRPr="00F068B5">
        <w:t xml:space="preserve"> </w:t>
      </w:r>
      <w:r>
        <w:t>are</w:t>
      </w:r>
      <w:r w:rsidRPr="00F068B5">
        <w:t xml:space="preserve"> applied in priority to refundable </w:t>
      </w:r>
      <w:r>
        <w:t xml:space="preserve">R&amp;D </w:t>
      </w:r>
      <w:r w:rsidRPr="00F068B5">
        <w:t>tax offset</w:t>
      </w:r>
      <w:r>
        <w:t>s</w:t>
      </w:r>
      <w:r w:rsidRPr="00F068B5">
        <w:t xml:space="preserve"> (table items 35 and 40 in subsection 63-10(1) of the ITAA 1997).</w:t>
      </w:r>
      <w:r>
        <w:t xml:space="preserve"> This ensures an </w:t>
      </w:r>
      <w:r w:rsidR="006070DB">
        <w:t>R&amp;D entit</w:t>
      </w:r>
      <w:r>
        <w:t xml:space="preserve">y’s refund cap is not affected by amounts of taxable income the entity would have but for the application of the R&amp;D tax offsets. </w:t>
      </w:r>
    </w:p>
    <w:p w14:paraId="4AE5E4D4" w14:textId="5517FF37" w:rsidR="00196ADF" w:rsidRDefault="00CF76C1" w:rsidP="00196ADF">
      <w:pPr>
        <w:pStyle w:val="ExampleHeading"/>
      </w:pPr>
      <w:r>
        <w:t xml:space="preserve"> </w:t>
      </w:r>
      <w:r w:rsidR="00FA2EFE">
        <w:t>The r</w:t>
      </w:r>
      <w:r w:rsidR="00196ADF">
        <w:t>efund cap and expenditure on clinical trials</w:t>
      </w:r>
    </w:p>
    <w:p w14:paraId="656358EA" w14:textId="0980A56A" w:rsidR="00711993" w:rsidRDefault="00FA2EFE" w:rsidP="00711993">
      <w:pPr>
        <w:pStyle w:val="exampletext"/>
      </w:pPr>
      <w:r>
        <w:t xml:space="preserve">In </w:t>
      </w:r>
      <w:r w:rsidR="009E3EF8">
        <w:t>2018-19</w:t>
      </w:r>
      <w:r>
        <w:t xml:space="preserve">, </w:t>
      </w:r>
      <w:r w:rsidR="00400D7B">
        <w:t>Aperture Research</w:t>
      </w:r>
      <w:r>
        <w:t xml:space="preserve"> has aggregated </w:t>
      </w:r>
      <w:r w:rsidR="00532D13">
        <w:t xml:space="preserve">turnover </w:t>
      </w:r>
      <w:r>
        <w:t>of $15 million</w:t>
      </w:r>
      <w:r w:rsidR="00711993">
        <w:t>. Without taking into account its R&amp;D activities, Aperture Research has an income tax liability of $500,000.</w:t>
      </w:r>
    </w:p>
    <w:p w14:paraId="638DE816" w14:textId="3F3D0F6F" w:rsidR="00196ADF" w:rsidRDefault="00711993" w:rsidP="00196ADF">
      <w:pPr>
        <w:pStyle w:val="exampletext"/>
      </w:pPr>
      <w:r>
        <w:t>Aperture Research</w:t>
      </w:r>
      <w:r w:rsidDel="00711993">
        <w:t xml:space="preserve"> </w:t>
      </w:r>
      <w:r w:rsidR="00FA2EFE">
        <w:t>has incurred $</w:t>
      </w:r>
      <w:r w:rsidR="00056E20">
        <w:t xml:space="preserve">20 </w:t>
      </w:r>
      <w:r w:rsidR="00FA2EFE">
        <w:t>million on R&amp;D activities. Of this expenditure, $</w:t>
      </w:r>
      <w:r w:rsidR="00056E20">
        <w:t xml:space="preserve">5 </w:t>
      </w:r>
      <w:r w:rsidR="00FA2EFE">
        <w:t xml:space="preserve">million is incurred on clinical trials. </w:t>
      </w:r>
    </w:p>
    <w:p w14:paraId="63AF4E47" w14:textId="4EAC1DC0" w:rsidR="00FA2EFE" w:rsidRDefault="00400D7B" w:rsidP="00196ADF">
      <w:pPr>
        <w:pStyle w:val="exampletext"/>
      </w:pPr>
      <w:r>
        <w:t>Aperture Research</w:t>
      </w:r>
      <w:r w:rsidR="00050732">
        <w:t xml:space="preserve"> is entitled to a combined R&amp;D tax offset of $</w:t>
      </w:r>
      <w:r w:rsidR="00056E20">
        <w:t>8.2 </w:t>
      </w:r>
      <w:r w:rsidR="00050732">
        <w:t>million: $</w:t>
      </w:r>
      <w:r w:rsidR="00056E20">
        <w:t xml:space="preserve">20 </w:t>
      </w:r>
      <w:r w:rsidR="00050732">
        <w:t xml:space="preserve">million multiplied by the entity’s R&amp;D tax offset rate of 41 per cent (the entity’s corporate tax rate of 27.5 per cent plus 13.5 percentage points). </w:t>
      </w:r>
    </w:p>
    <w:p w14:paraId="53B526E5" w14:textId="77777777" w:rsidR="009A11D4" w:rsidRDefault="00050732" w:rsidP="00196ADF">
      <w:pPr>
        <w:pStyle w:val="exampletext"/>
      </w:pPr>
      <w:r>
        <w:t>$</w:t>
      </w:r>
      <w:r w:rsidR="00056E20">
        <w:t>2.05</w:t>
      </w:r>
      <w:r>
        <w:t xml:space="preserve"> million of the tax offset </w:t>
      </w:r>
      <w:r w:rsidR="009A11D4">
        <w:t xml:space="preserve">(41 per cent of $5 million) </w:t>
      </w:r>
      <w:r>
        <w:t>is attributable to clinical trials</w:t>
      </w:r>
      <w:r w:rsidR="00812518">
        <w:t xml:space="preserve">. </w:t>
      </w:r>
    </w:p>
    <w:p w14:paraId="67AD4F77" w14:textId="4A828919" w:rsidR="00050732" w:rsidRDefault="00812518" w:rsidP="00196ADF">
      <w:pPr>
        <w:pStyle w:val="exampletext"/>
      </w:pPr>
      <w:r>
        <w:t>$</w:t>
      </w:r>
      <w:r w:rsidR="00056E20">
        <w:t>6.15</w:t>
      </w:r>
      <w:r w:rsidR="00050732">
        <w:t xml:space="preserve"> million of the tax offset </w:t>
      </w:r>
      <w:r w:rsidR="009A11D4">
        <w:t xml:space="preserve">(41 per cent of $15 million) </w:t>
      </w:r>
      <w:r w:rsidR="00050732">
        <w:t xml:space="preserve">is attributable to other R&amp;D activities. </w:t>
      </w:r>
    </w:p>
    <w:p w14:paraId="17C0AF2E" w14:textId="3EA2AD8C" w:rsidR="00050732" w:rsidRDefault="00400D7B" w:rsidP="00196ADF">
      <w:pPr>
        <w:pStyle w:val="exampletext"/>
      </w:pPr>
      <w:r>
        <w:t>Aperture Research</w:t>
      </w:r>
      <w:r w:rsidR="00812518">
        <w:t xml:space="preserve"> </w:t>
      </w:r>
      <w:r w:rsidR="009A11D4">
        <w:t>is entitled to a</w:t>
      </w:r>
      <w:r w:rsidR="00812518">
        <w:t xml:space="preserve"> refundable tax offset of $</w:t>
      </w:r>
      <w:r w:rsidR="00056E20">
        <w:t>6.05</w:t>
      </w:r>
      <w:r w:rsidR="009A11D4">
        <w:t> </w:t>
      </w:r>
      <w:r w:rsidR="00812518">
        <w:t xml:space="preserve">million. Because the value of the offset not attributable to clinical trials exceeds $4 million, </w:t>
      </w:r>
      <w:r>
        <w:t>Aperture Research</w:t>
      </w:r>
      <w:r w:rsidR="00812518">
        <w:t>’</w:t>
      </w:r>
      <w:r w:rsidR="002B0454">
        <w:t>s</w:t>
      </w:r>
      <w:r w:rsidR="00812518">
        <w:t xml:space="preserve"> refundable tax offset is the offset attributable to its R&amp;D activities </w:t>
      </w:r>
      <w:r w:rsidR="00376B33">
        <w:t xml:space="preserve">involving clinical trials </w:t>
      </w:r>
      <w:r w:rsidR="00AA1D4E">
        <w:t>($</w:t>
      </w:r>
      <w:r w:rsidR="00056E20">
        <w:t>2.05</w:t>
      </w:r>
      <w:r w:rsidR="00AA1D4E">
        <w:t> </w:t>
      </w:r>
      <w:r w:rsidR="00CB543D">
        <w:t xml:space="preserve">million) </w:t>
      </w:r>
      <w:r w:rsidR="00812518">
        <w:t>plus $4 million</w:t>
      </w:r>
      <w:r w:rsidR="00AA1D4E">
        <w:t>.</w:t>
      </w:r>
    </w:p>
    <w:p w14:paraId="382E845A" w14:textId="732FD278" w:rsidR="00AA1D4E" w:rsidRDefault="00812518" w:rsidP="00196ADF">
      <w:pPr>
        <w:pStyle w:val="exampletext"/>
      </w:pPr>
      <w:r>
        <w:t>The remaining $</w:t>
      </w:r>
      <w:r w:rsidR="00056E20">
        <w:t>2.15</w:t>
      </w:r>
      <w:r>
        <w:t xml:space="preserve"> million</w:t>
      </w:r>
      <w:r w:rsidR="0042428D" w:rsidRPr="0042428D">
        <w:rPr>
          <w:sz w:val="22"/>
        </w:rPr>
        <w:t xml:space="preserve"> </w:t>
      </w:r>
      <w:r>
        <w:t>is a non-refundable tax offset</w:t>
      </w:r>
      <w:r w:rsidR="00AA1D4E">
        <w:t xml:space="preserve">. </w:t>
      </w:r>
    </w:p>
    <w:p w14:paraId="5C2CFA85" w14:textId="0CAA2A87" w:rsidR="00AA1D4E" w:rsidRDefault="00AA1D4E" w:rsidP="00196ADF">
      <w:pPr>
        <w:pStyle w:val="exampletext"/>
      </w:pPr>
      <w:r>
        <w:t>The $</w:t>
      </w:r>
      <w:r w:rsidR="00056E20">
        <w:t>2.15</w:t>
      </w:r>
      <w:r>
        <w:t xml:space="preserve"> million non-refundable tax offset is applied in priority to the refundable tax offset.</w:t>
      </w:r>
    </w:p>
    <w:p w14:paraId="0B46EE66" w14:textId="4F7F7AE3" w:rsidR="00AA1D4E" w:rsidRDefault="00AA1D4E" w:rsidP="00AA1D4E">
      <w:pPr>
        <w:pStyle w:val="exampletext"/>
      </w:pPr>
      <w:r>
        <w:t>$</w:t>
      </w:r>
      <w:r w:rsidR="00056E20">
        <w:t>500,000</w:t>
      </w:r>
      <w:r>
        <w:t xml:space="preserve"> of the non-refundable tax offset can be applied to reduce </w:t>
      </w:r>
      <w:r w:rsidR="00400D7B">
        <w:t>Aperture Research</w:t>
      </w:r>
      <w:r>
        <w:t>’</w:t>
      </w:r>
      <w:r w:rsidR="00313309">
        <w:t>s</w:t>
      </w:r>
      <w:r>
        <w:t xml:space="preserve"> income tax liability for the 2018-19 income year</w:t>
      </w:r>
      <w:r w:rsidR="008927C8">
        <w:t xml:space="preserve"> to nil</w:t>
      </w:r>
      <w:r>
        <w:t>. The value of the remaining $</w:t>
      </w:r>
      <w:r w:rsidR="00056E20">
        <w:t>1.65</w:t>
      </w:r>
      <w:r>
        <w:t xml:space="preserve"> million </w:t>
      </w:r>
      <w:r w:rsidRPr="005C535D">
        <w:t xml:space="preserve">non-refundable tax offset </w:t>
      </w:r>
      <w:r>
        <w:t>is not lost, as it can be carried forward and is available to be applied against assessable income in future income years.</w:t>
      </w:r>
    </w:p>
    <w:p w14:paraId="2FFDBA4D" w14:textId="29B86C11" w:rsidR="003D7549" w:rsidRDefault="003D1A45" w:rsidP="00196ADF">
      <w:pPr>
        <w:pStyle w:val="exampletext"/>
      </w:pPr>
      <w:r>
        <w:t>After applying the non-refundable tax offset against its</w:t>
      </w:r>
      <w:r w:rsidRPr="003D1A45">
        <w:rPr>
          <w:sz w:val="22"/>
        </w:rPr>
        <w:t xml:space="preserve"> </w:t>
      </w:r>
      <w:r w:rsidRPr="003D1A45">
        <w:t xml:space="preserve">income tax liability for the </w:t>
      </w:r>
      <w:r w:rsidR="009E3EF8">
        <w:t>2018-19</w:t>
      </w:r>
      <w:r w:rsidRPr="003D1A45">
        <w:t xml:space="preserve"> income year</w:t>
      </w:r>
      <w:r>
        <w:t xml:space="preserve">, </w:t>
      </w:r>
      <w:r w:rsidR="00400D7B">
        <w:t>Aperture Research</w:t>
      </w:r>
      <w:r w:rsidR="003D7549">
        <w:t xml:space="preserve"> is able to apply the refundable tax offset </w:t>
      </w:r>
      <w:r w:rsidR="00AA1D4E">
        <w:t>to obtain</w:t>
      </w:r>
      <w:r w:rsidR="00472791">
        <w:t xml:space="preserve"> a cash refund of </w:t>
      </w:r>
      <w:r w:rsidR="00472791" w:rsidRPr="00472791">
        <w:t>$</w:t>
      </w:r>
      <w:r w:rsidR="00056E20">
        <w:t>6.05</w:t>
      </w:r>
      <w:r w:rsidR="00472791" w:rsidRPr="00472791">
        <w:t xml:space="preserve"> million</w:t>
      </w:r>
      <w:r w:rsidR="00472791">
        <w:t>.</w:t>
      </w:r>
    </w:p>
    <w:p w14:paraId="34413309" w14:textId="4084B7B8" w:rsidR="006A4E59" w:rsidRDefault="00513DA0" w:rsidP="00636CBA">
      <w:pPr>
        <w:pStyle w:val="base-text-paragraph"/>
        <w:numPr>
          <w:ilvl w:val="1"/>
          <w:numId w:val="26"/>
        </w:numPr>
      </w:pPr>
      <w:r>
        <w:t xml:space="preserve">A clinical trial is </w:t>
      </w:r>
      <w:r w:rsidR="006A4E59">
        <w:t>a planned study of the safety or efficacy in humans of an intervention (including a medicine, treatment or diagnostic procedure) with the aim of achieving at least one of the following:</w:t>
      </w:r>
    </w:p>
    <w:p w14:paraId="444FA282" w14:textId="045D965C" w:rsidR="006A4E59" w:rsidRDefault="006A4E59" w:rsidP="0095181F">
      <w:pPr>
        <w:pStyle w:val="dotpoint"/>
      </w:pPr>
      <w:r>
        <w:t xml:space="preserve">the discovery, or verification, of clinical, pharmacological or other </w:t>
      </w:r>
      <w:proofErr w:type="spellStart"/>
      <w:r>
        <w:t>pharmacodynamic</w:t>
      </w:r>
      <w:proofErr w:type="spellEnd"/>
      <w:r>
        <w:t xml:space="preserve"> effects;</w:t>
      </w:r>
    </w:p>
    <w:p w14:paraId="3E1A1E95" w14:textId="3A5E16CB" w:rsidR="006A4E59" w:rsidRDefault="006A4E59" w:rsidP="0095181F">
      <w:pPr>
        <w:pStyle w:val="dotpoint"/>
      </w:pPr>
      <w:r>
        <w:t>the identification of adverse reactions or adverse effects;</w:t>
      </w:r>
    </w:p>
    <w:p w14:paraId="3E88E609" w14:textId="5C02AE31" w:rsidR="006A4E59" w:rsidRDefault="006A4E59" w:rsidP="0095181F">
      <w:pPr>
        <w:pStyle w:val="dotpoint"/>
      </w:pPr>
      <w:r>
        <w:t>the study of absorption, distribution, metabolism or excretion.</w:t>
      </w:r>
    </w:p>
    <w:p w14:paraId="0313DD8D" w14:textId="01E89DE5" w:rsidR="00513DA0" w:rsidRPr="00532D13" w:rsidRDefault="00573853" w:rsidP="006220CA">
      <w:pPr>
        <w:pStyle w:val="base-text-paragraph"/>
        <w:rPr>
          <w:rStyle w:val="Referencingstyle"/>
          <w:b w:val="0"/>
          <w:i w:val="0"/>
          <w:sz w:val="22"/>
        </w:rPr>
      </w:pPr>
      <w:r>
        <w:t xml:space="preserve">This definition only applies for the purposes of the </w:t>
      </w:r>
      <w:r w:rsidR="009A11D4">
        <w:t>Incentive</w:t>
      </w:r>
      <w:r>
        <w:t xml:space="preserve"> and does not affect the mean</w:t>
      </w:r>
      <w:r w:rsidR="002C55FD">
        <w:t>ing of the term ‘clinical trial</w:t>
      </w:r>
      <w:r w:rsidR="003E44D8">
        <w:t xml:space="preserve">’ as </w:t>
      </w:r>
      <w:r>
        <w:t>u</w:t>
      </w:r>
      <w:r w:rsidR="003E44D8">
        <w:t>s</w:t>
      </w:r>
      <w:r>
        <w:t xml:space="preserve">ed in other legislation. </w:t>
      </w:r>
      <w:r w:rsidR="00160682">
        <w:rPr>
          <w:rStyle w:val="Referencingstyle"/>
        </w:rPr>
        <w:t>[</w:t>
      </w:r>
      <w:r w:rsidR="00042237">
        <w:rPr>
          <w:rStyle w:val="Referencingstyle"/>
        </w:rPr>
        <w:t xml:space="preserve">Exposure Draft, </w:t>
      </w:r>
      <w:r w:rsidR="00160682">
        <w:rPr>
          <w:rStyle w:val="Referencingstyle"/>
        </w:rPr>
        <w:t xml:space="preserve">Schedule </w:t>
      </w:r>
      <w:r w:rsidR="00042237">
        <w:rPr>
          <w:rStyle w:val="Referencingstyle"/>
        </w:rPr>
        <w:t>1</w:t>
      </w:r>
      <w:r w:rsidR="00160682">
        <w:rPr>
          <w:rStyle w:val="Referencingstyle"/>
        </w:rPr>
        <w:t>, i</w:t>
      </w:r>
      <w:r w:rsidR="00160682" w:rsidRPr="00375F1D">
        <w:rPr>
          <w:rStyle w:val="Referencingstyle"/>
        </w:rPr>
        <w:t>tem</w:t>
      </w:r>
      <w:r w:rsidR="006A4E59">
        <w:rPr>
          <w:rStyle w:val="Referencingstyle"/>
        </w:rPr>
        <w:t>s</w:t>
      </w:r>
      <w:r w:rsidR="00160682" w:rsidRPr="00375F1D">
        <w:rPr>
          <w:rStyle w:val="Referencingstyle"/>
        </w:rPr>
        <w:t xml:space="preserve"> </w:t>
      </w:r>
      <w:r w:rsidR="006A4E59">
        <w:rPr>
          <w:rStyle w:val="Referencingstyle"/>
        </w:rPr>
        <w:t xml:space="preserve">4 and </w:t>
      </w:r>
      <w:r w:rsidR="00DD2B26">
        <w:rPr>
          <w:rStyle w:val="Referencingstyle"/>
        </w:rPr>
        <w:t>17</w:t>
      </w:r>
      <w:r w:rsidR="006A4E59" w:rsidRPr="00375F1D">
        <w:rPr>
          <w:rStyle w:val="Referencingstyle"/>
        </w:rPr>
        <w:t xml:space="preserve">, </w:t>
      </w:r>
      <w:r w:rsidR="006A4E59">
        <w:rPr>
          <w:rStyle w:val="Referencingstyle"/>
        </w:rPr>
        <w:t>subsections</w:t>
      </w:r>
      <w:r>
        <w:rPr>
          <w:rStyle w:val="Referencingstyle"/>
        </w:rPr>
        <w:t> </w:t>
      </w:r>
      <w:r w:rsidR="006A4E59">
        <w:rPr>
          <w:rStyle w:val="Referencingstyle"/>
        </w:rPr>
        <w:t>67</w:t>
      </w:r>
      <w:r>
        <w:rPr>
          <w:rStyle w:val="Referencingstyle"/>
        </w:rPr>
        <w:noBreakHyphen/>
      </w:r>
      <w:r w:rsidR="006A4E59">
        <w:rPr>
          <w:rStyle w:val="Referencingstyle"/>
        </w:rPr>
        <w:t>30(1C) and 995</w:t>
      </w:r>
      <w:r>
        <w:rPr>
          <w:rStyle w:val="Referencingstyle"/>
        </w:rPr>
        <w:noBreakHyphen/>
      </w:r>
      <w:r w:rsidR="006A4E59">
        <w:rPr>
          <w:rStyle w:val="Referencingstyle"/>
        </w:rPr>
        <w:t xml:space="preserve">1(1) (definition of ‘clinical trial’) </w:t>
      </w:r>
      <w:r w:rsidR="00160682" w:rsidRPr="00375F1D">
        <w:rPr>
          <w:rStyle w:val="Referencingstyle"/>
        </w:rPr>
        <w:t xml:space="preserve">of </w:t>
      </w:r>
      <w:r w:rsidR="00042237">
        <w:rPr>
          <w:rStyle w:val="Referencingstyle"/>
        </w:rPr>
        <w:t>the ITAA 1997</w:t>
      </w:r>
      <w:r w:rsidR="00160682" w:rsidRPr="00375F1D">
        <w:rPr>
          <w:rStyle w:val="Referencingstyle"/>
        </w:rPr>
        <w:t>]</w:t>
      </w:r>
    </w:p>
    <w:p w14:paraId="1736FABF" w14:textId="5145CE7D" w:rsidR="002C55FD" w:rsidRDefault="002C55FD" w:rsidP="006220CA">
      <w:pPr>
        <w:pStyle w:val="base-text-paragraph"/>
      </w:pPr>
      <w:r>
        <w:t xml:space="preserve">A clinical trial is not relevant for the purposes of the R&amp;D tax offset unless an </w:t>
      </w:r>
      <w:r w:rsidR="006070DB">
        <w:t>R&amp;D entit</w:t>
      </w:r>
      <w:r>
        <w:t>y has registered an R&amp;D activity that forms part of the clinical trial. Similarly, expenditure on clinical trials is not relevant for the purposes of the R&amp;D tax offset unless it is expenditure on R&amp;D activities</w:t>
      </w:r>
      <w:r w:rsidR="009A11D4" w:rsidRPr="009A11D4">
        <w:t xml:space="preserve"> </w:t>
      </w:r>
      <w:r w:rsidR="009A11D4">
        <w:t>registered with ISA</w:t>
      </w:r>
      <w:r>
        <w:t>.</w:t>
      </w:r>
    </w:p>
    <w:p w14:paraId="0EBA4F8E" w14:textId="7E399291" w:rsidR="00FF62FF" w:rsidRPr="003B41B0" w:rsidRDefault="00DD2B26" w:rsidP="003B41B0">
      <w:pPr>
        <w:pStyle w:val="base-text-paragraph"/>
        <w:rPr>
          <w:rStyle w:val="Referencingstyle"/>
          <w:b w:val="0"/>
          <w:i w:val="0"/>
          <w:sz w:val="22"/>
        </w:rPr>
      </w:pPr>
      <w:bookmarkStart w:id="7" w:name="_Ref516392854"/>
      <w:r>
        <w:t xml:space="preserve">Amendments are made to the </w:t>
      </w:r>
      <w:r w:rsidRPr="006220CA">
        <w:rPr>
          <w:i/>
        </w:rPr>
        <w:t>Industry Research and Development Act 1986</w:t>
      </w:r>
      <w:r>
        <w:t xml:space="preserve"> (</w:t>
      </w:r>
      <w:r w:rsidR="00BE6307">
        <w:t>IR&amp;D Act</w:t>
      </w:r>
      <w:r>
        <w:t xml:space="preserve">) to provide </w:t>
      </w:r>
      <w:r w:rsidR="003B41B0" w:rsidRPr="003B41B0">
        <w:rPr>
          <w:lang w:val="en-US" w:eastAsia="en-US"/>
        </w:rPr>
        <w:t>the Board of ISA</w:t>
      </w:r>
      <w:r w:rsidR="003B41B0" w:rsidDel="003B41B0">
        <w:t xml:space="preserve"> </w:t>
      </w:r>
      <w:r>
        <w:t xml:space="preserve">with </w:t>
      </w:r>
      <w:r w:rsidR="00FF62FF">
        <w:t xml:space="preserve">the power to make findings </w:t>
      </w:r>
      <w:r w:rsidR="009F1D7E">
        <w:t xml:space="preserve">binding on the </w:t>
      </w:r>
      <w:r w:rsidR="00F77CEA">
        <w:t xml:space="preserve">Commissioner of Taxation (the </w:t>
      </w:r>
      <w:r w:rsidR="009F1D7E">
        <w:t>Commissioner</w:t>
      </w:r>
      <w:r w:rsidR="00F77CEA">
        <w:t>)</w:t>
      </w:r>
      <w:r w:rsidR="009F1D7E">
        <w:t xml:space="preserve"> </w:t>
      </w:r>
      <w:r w:rsidR="00FF62FF">
        <w:t xml:space="preserve">about whether an </w:t>
      </w:r>
      <w:r w:rsidR="006070DB">
        <w:t>R&amp;D entit</w:t>
      </w:r>
      <w:r w:rsidR="00FF62FF">
        <w:t xml:space="preserve">y’s activities satisfy the definition of clinical trials. </w:t>
      </w:r>
      <w:r w:rsidR="003B41B0" w:rsidRPr="003B41B0">
        <w:t>The Board of the ISA</w:t>
      </w:r>
      <w:r w:rsidR="003B41B0" w:rsidRPr="003B41B0" w:rsidDel="003B41B0">
        <w:t xml:space="preserve"> </w:t>
      </w:r>
      <w:r w:rsidR="00FF62FF">
        <w:t xml:space="preserve">may make these findings as part of the registration process for the </w:t>
      </w:r>
      <w:r w:rsidR="006070DB">
        <w:t>R&amp;D entit</w:t>
      </w:r>
      <w:r w:rsidR="00FF62FF">
        <w:t xml:space="preserve">y’s R&amp;D activities more generally or </w:t>
      </w:r>
      <w:r w:rsidR="0045609F">
        <w:t xml:space="preserve">as an advance finding </w:t>
      </w:r>
      <w:r w:rsidR="00FF62FF">
        <w:t xml:space="preserve">on application </w:t>
      </w:r>
      <w:r w:rsidR="0045609F">
        <w:t xml:space="preserve">by the entity. </w:t>
      </w:r>
      <w:r w:rsidR="00042237">
        <w:t xml:space="preserve">A finding by </w:t>
      </w:r>
      <w:r w:rsidR="003B41B0" w:rsidRPr="003B41B0">
        <w:t>the Board of the ISA</w:t>
      </w:r>
      <w:r w:rsidR="003B41B0" w:rsidRPr="003B41B0" w:rsidDel="003B41B0">
        <w:t xml:space="preserve"> </w:t>
      </w:r>
      <w:r w:rsidR="008D22FD">
        <w:t xml:space="preserve">as to </w:t>
      </w:r>
      <w:r w:rsidR="00042237">
        <w:t xml:space="preserve">whether a particular </w:t>
      </w:r>
      <w:r w:rsidR="008D22FD">
        <w:t xml:space="preserve">R&amp;D </w:t>
      </w:r>
      <w:r w:rsidR="00042237">
        <w:t xml:space="preserve">activity is or forms part of a clinical trial is binding on the </w:t>
      </w:r>
      <w:r w:rsidR="008D22FD">
        <w:t>Commissioner</w:t>
      </w:r>
      <w:r w:rsidR="00042237">
        <w:t>.</w:t>
      </w:r>
      <w:r w:rsidR="003E44D8">
        <w:t xml:space="preserve"> </w:t>
      </w:r>
      <w:r w:rsidR="0045609F" w:rsidRPr="009F1D7E">
        <w:rPr>
          <w:rStyle w:val="Referencingstyle"/>
        </w:rPr>
        <w:t xml:space="preserve">[Exposure Draft, Schedule </w:t>
      </w:r>
      <w:r w:rsidR="00223550">
        <w:rPr>
          <w:rStyle w:val="Referencingstyle"/>
        </w:rPr>
        <w:t>3</w:t>
      </w:r>
      <w:r w:rsidR="0045609F" w:rsidRPr="009F1D7E">
        <w:rPr>
          <w:rStyle w:val="Referencingstyle"/>
        </w:rPr>
        <w:t xml:space="preserve">, items </w:t>
      </w:r>
      <w:r>
        <w:rPr>
          <w:rStyle w:val="Referencingstyle"/>
        </w:rPr>
        <w:t>4 and 6 to 13</w:t>
      </w:r>
      <w:r w:rsidR="009F1D7E" w:rsidRPr="009F1D7E">
        <w:rPr>
          <w:rStyle w:val="Referencingstyle"/>
        </w:rPr>
        <w:t xml:space="preserve">, </w:t>
      </w:r>
      <w:r>
        <w:rPr>
          <w:rStyle w:val="Referencingstyle"/>
        </w:rPr>
        <w:t xml:space="preserve">subsection 4(1) (definition of ‘clinical trial’), </w:t>
      </w:r>
      <w:r w:rsidR="009F1D7E" w:rsidRPr="009F1D7E">
        <w:rPr>
          <w:rStyle w:val="Referencingstyle"/>
        </w:rPr>
        <w:t>paragraphs 27</w:t>
      </w:r>
      <w:r w:rsidR="003060A5">
        <w:rPr>
          <w:rStyle w:val="Referencingstyle"/>
        </w:rPr>
        <w:t>B</w:t>
      </w:r>
      <w:r w:rsidR="009F1D7E" w:rsidRPr="009F1D7E">
        <w:rPr>
          <w:rStyle w:val="Referencingstyle"/>
        </w:rPr>
        <w:t>(</w:t>
      </w:r>
      <w:r w:rsidR="003060A5">
        <w:rPr>
          <w:rStyle w:val="Referencingstyle"/>
        </w:rPr>
        <w:t>1</w:t>
      </w:r>
      <w:r w:rsidR="009F1D7E" w:rsidRPr="009F1D7E">
        <w:rPr>
          <w:rStyle w:val="Referencingstyle"/>
        </w:rPr>
        <w:t>)(e) and (f), 27J(1)(e) and (f), and 28A(1)(ca) and (</w:t>
      </w:r>
      <w:proofErr w:type="spellStart"/>
      <w:r w:rsidR="009F1D7E" w:rsidRPr="009F1D7E">
        <w:rPr>
          <w:rStyle w:val="Referencingstyle"/>
        </w:rPr>
        <w:t>cb</w:t>
      </w:r>
      <w:proofErr w:type="spellEnd"/>
      <w:r w:rsidR="009F1D7E" w:rsidRPr="009F1D7E">
        <w:rPr>
          <w:rStyle w:val="Referencingstyle"/>
        </w:rPr>
        <w:t>)</w:t>
      </w:r>
      <w:r>
        <w:rPr>
          <w:rStyle w:val="Referencingstyle"/>
        </w:rPr>
        <w:t xml:space="preserve">, </w:t>
      </w:r>
      <w:r w:rsidR="00AB7B31">
        <w:rPr>
          <w:rStyle w:val="Referencingstyle"/>
        </w:rPr>
        <w:t>section 28</w:t>
      </w:r>
      <w:r w:rsidR="00FB19B3">
        <w:rPr>
          <w:rStyle w:val="Referencingstyle"/>
        </w:rPr>
        <w:t>, Note 2 to subsection </w:t>
      </w:r>
      <w:r>
        <w:rPr>
          <w:rStyle w:val="Referencingstyle"/>
        </w:rPr>
        <w:t xml:space="preserve">27B(1), Note 3 to subsection 27E(2), Note 3 to subsection 277H(2), and </w:t>
      </w:r>
      <w:r w:rsidR="00FB19B3">
        <w:rPr>
          <w:rStyle w:val="Referencingstyle"/>
        </w:rPr>
        <w:t>Note </w:t>
      </w:r>
      <w:r>
        <w:rPr>
          <w:rStyle w:val="Referencingstyle"/>
        </w:rPr>
        <w:t>2 to subsection 27J(1)</w:t>
      </w:r>
      <w:r w:rsidR="009F1D7E" w:rsidRPr="009F1D7E">
        <w:rPr>
          <w:rStyle w:val="Referencingstyle"/>
        </w:rPr>
        <w:t xml:space="preserve"> of th</w:t>
      </w:r>
      <w:r>
        <w:rPr>
          <w:rStyle w:val="Referencingstyle"/>
        </w:rPr>
        <w:t>e </w:t>
      </w:r>
      <w:r w:rsidR="00BE6307">
        <w:rPr>
          <w:rStyle w:val="Referencingstyle"/>
        </w:rPr>
        <w:t>IR&amp;D Act</w:t>
      </w:r>
      <w:r w:rsidR="009F1D7E" w:rsidRPr="009F1D7E">
        <w:rPr>
          <w:rStyle w:val="Referencingstyle"/>
        </w:rPr>
        <w:t>]</w:t>
      </w:r>
      <w:bookmarkEnd w:id="7"/>
    </w:p>
    <w:p w14:paraId="348406FE" w14:textId="01B8C329" w:rsidR="009F1D7E" w:rsidRDefault="003B41B0" w:rsidP="003B41B0">
      <w:pPr>
        <w:pStyle w:val="base-text-paragraph"/>
      </w:pPr>
      <w:r>
        <w:t>T</w:t>
      </w:r>
      <w:r w:rsidRPr="003B41B0">
        <w:t>he Board of the ISA</w:t>
      </w:r>
      <w:r w:rsidRPr="003B41B0" w:rsidDel="003B41B0">
        <w:t xml:space="preserve"> </w:t>
      </w:r>
      <w:r w:rsidR="009F1D7E">
        <w:t xml:space="preserve">may also make public </w:t>
      </w:r>
      <w:r w:rsidR="00CB7266">
        <w:t>determination</w:t>
      </w:r>
      <w:r w:rsidR="00F87B00">
        <w:t xml:space="preserve">s </w:t>
      </w:r>
      <w:r w:rsidR="009F1D7E">
        <w:t xml:space="preserve">that are not specific to a particular </w:t>
      </w:r>
      <w:r w:rsidR="006070DB">
        <w:t>R&amp;D entit</w:t>
      </w:r>
      <w:r w:rsidR="009F1D7E">
        <w:t>y but that provide general guidance</w:t>
      </w:r>
      <w:r w:rsidR="00DC5A04">
        <w:t>, including in relation to the activities it will consider</w:t>
      </w:r>
      <w:r w:rsidR="009F1D7E">
        <w:t xml:space="preserve"> clinical trial</w:t>
      </w:r>
      <w:r w:rsidR="00DC5A04">
        <w:t>s</w:t>
      </w:r>
      <w:r w:rsidR="009F1D7E">
        <w:t xml:space="preserve"> (see paragraphs </w:t>
      </w:r>
      <w:r w:rsidR="00DC5A04">
        <w:fldChar w:fldCharType="begin"/>
      </w:r>
      <w:r w:rsidR="00DC5A04">
        <w:instrText xml:space="preserve"> REF _Ref516176888 \r \h </w:instrText>
      </w:r>
      <w:r w:rsidR="00DC5A04">
        <w:fldChar w:fldCharType="separate"/>
      </w:r>
      <w:r w:rsidR="00B87BEB">
        <w:t>3.26</w:t>
      </w:r>
      <w:r w:rsidR="00DC5A04">
        <w:fldChar w:fldCharType="end"/>
      </w:r>
      <w:r w:rsidR="00616ED3">
        <w:t xml:space="preserve"> to </w:t>
      </w:r>
      <w:r w:rsidR="00616ED3">
        <w:fldChar w:fldCharType="begin"/>
      </w:r>
      <w:r w:rsidR="00616ED3">
        <w:instrText xml:space="preserve"> REF _Ref516392091 \r \h </w:instrText>
      </w:r>
      <w:r w:rsidR="00616ED3">
        <w:fldChar w:fldCharType="separate"/>
      </w:r>
      <w:r w:rsidR="00B87BEB">
        <w:t>3.41</w:t>
      </w:r>
      <w:r w:rsidR="00616ED3">
        <w:fldChar w:fldCharType="end"/>
      </w:r>
      <w:r w:rsidR="00616ED3">
        <w:t>).</w:t>
      </w:r>
    </w:p>
    <w:p w14:paraId="44FB3A2B" w14:textId="6A24EBD5" w:rsidR="008A5A52" w:rsidRDefault="00A668AB" w:rsidP="008A5A52">
      <w:pPr>
        <w:pStyle w:val="Heading3"/>
      </w:pPr>
      <w:r>
        <w:t>Intensity-based</w:t>
      </w:r>
      <w:r w:rsidR="008A5A52">
        <w:t xml:space="preserve"> R&amp;D tax offset for large </w:t>
      </w:r>
      <w:r w:rsidR="003E44D8">
        <w:t>R&amp;D entities</w:t>
      </w:r>
    </w:p>
    <w:p w14:paraId="7E7B67CB" w14:textId="25782CE9" w:rsidR="00196ADF" w:rsidRDefault="00196ADF" w:rsidP="00196ADF">
      <w:pPr>
        <w:pStyle w:val="base-text-paragraph"/>
      </w:pPr>
      <w:r>
        <w:t>R&amp;D entities with aggregated turnover of $20 million or more for an income year are entitled to an R&amp;D tax offset equal to their corporate tax rate plus marginal intensity premiums</w:t>
      </w:r>
      <w:r w:rsidR="00F068B5">
        <w:t xml:space="preserve"> determined with reference to the R&amp;D </w:t>
      </w:r>
      <w:r w:rsidR="00D001E4">
        <w:t xml:space="preserve">intensity of their R&amp;D expenditure on an </w:t>
      </w:r>
      <w:r w:rsidR="0012266A">
        <w:t>incremental basis</w:t>
      </w:r>
      <w:r>
        <w:t xml:space="preserve">. </w:t>
      </w:r>
      <w:r w:rsidR="00603ACB">
        <w:rPr>
          <w:rStyle w:val="Referencingstyle"/>
        </w:rPr>
        <w:t xml:space="preserve">[Exposure Draft, Schedule 1, items </w:t>
      </w:r>
      <w:r w:rsidR="001A762E">
        <w:rPr>
          <w:rStyle w:val="Referencingstyle"/>
        </w:rPr>
        <w:t>7</w:t>
      </w:r>
      <w:r w:rsidR="00603ACB">
        <w:rPr>
          <w:rStyle w:val="Referencingstyle"/>
        </w:rPr>
        <w:t xml:space="preserve"> and </w:t>
      </w:r>
      <w:r w:rsidR="001A762E">
        <w:rPr>
          <w:rStyle w:val="Referencingstyle"/>
        </w:rPr>
        <w:t>9</w:t>
      </w:r>
      <w:r w:rsidR="00603ACB">
        <w:rPr>
          <w:rStyle w:val="Referencingstyle"/>
        </w:rPr>
        <w:t>, table item 3 in subsection 355-100(1) and subsection 355-100(1A) of the ITAA 1997]</w:t>
      </w:r>
    </w:p>
    <w:p w14:paraId="5F49DE11" w14:textId="2C4FC21F" w:rsidR="00196ADF" w:rsidRDefault="00196ADF" w:rsidP="00196ADF">
      <w:pPr>
        <w:pStyle w:val="base-text-paragraph"/>
        <w:keepNext/>
      </w:pPr>
      <w:r>
        <w:t xml:space="preserve">The intensity premiums apply to notional deductions within a range of R&amp;D intensity </w:t>
      </w:r>
      <w:r w:rsidR="00F068B5">
        <w:t xml:space="preserve">for R&amp;D expenditure </w:t>
      </w:r>
      <w:r>
        <w:t xml:space="preserve">where notional deductions are expressed as a proportion of the </w:t>
      </w:r>
      <w:r w:rsidR="006070DB">
        <w:t>R&amp;D entit</w:t>
      </w:r>
      <w:r>
        <w:t xml:space="preserve">y’s </w:t>
      </w:r>
      <w:r w:rsidR="009A11D4">
        <w:t xml:space="preserve">total </w:t>
      </w:r>
      <w:r>
        <w:t>expenditure:</w:t>
      </w:r>
    </w:p>
    <w:p w14:paraId="2FD90DAA" w14:textId="77777777" w:rsidR="00196ADF" w:rsidRDefault="00196ADF" w:rsidP="00196ADF">
      <w:pPr>
        <w:pStyle w:val="TableHeadingoutsidetable"/>
      </w:pPr>
      <w:r>
        <w:t xml:space="preserve"> </w:t>
      </w:r>
      <w:bookmarkStart w:id="8" w:name="_Ref516215732"/>
      <w:r>
        <w:t>R&amp;D tax offset intensity premiums</w:t>
      </w:r>
      <w:bookmarkEnd w:id="8"/>
    </w:p>
    <w:tbl>
      <w:tblPr>
        <w:tblStyle w:val="TableGrid"/>
        <w:tblW w:w="0" w:type="auto"/>
        <w:tblInd w:w="1184" w:type="dxa"/>
        <w:tblLook w:val="04A0" w:firstRow="1" w:lastRow="0" w:firstColumn="1" w:lastColumn="0" w:noHBand="0" w:noVBand="1"/>
      </w:tblPr>
      <w:tblGrid>
        <w:gridCol w:w="561"/>
        <w:gridCol w:w="4033"/>
        <w:gridCol w:w="2149"/>
      </w:tblGrid>
      <w:tr w:rsidR="00196ADF" w14:paraId="78AF3C14" w14:textId="77777777" w:rsidTr="001F3C89">
        <w:tc>
          <w:tcPr>
            <w:tcW w:w="0" w:type="auto"/>
          </w:tcPr>
          <w:p w14:paraId="34EE0448" w14:textId="77777777" w:rsidR="00196ADF" w:rsidRPr="008D40A8" w:rsidRDefault="00196ADF" w:rsidP="001F3C89">
            <w:pPr>
              <w:pStyle w:val="tableheaderwithintable"/>
            </w:pPr>
            <w:r>
              <w:t>Tier</w:t>
            </w:r>
          </w:p>
        </w:tc>
        <w:tc>
          <w:tcPr>
            <w:tcW w:w="4033" w:type="dxa"/>
          </w:tcPr>
          <w:p w14:paraId="2A27099C" w14:textId="11062027" w:rsidR="00196ADF" w:rsidRPr="008D40A8" w:rsidRDefault="00AA469E" w:rsidP="00AA469E">
            <w:pPr>
              <w:pStyle w:val="tableheaderwithintable"/>
            </w:pPr>
            <w:r>
              <w:t>R&amp;D i</w:t>
            </w:r>
            <w:r w:rsidR="00196ADF" w:rsidRPr="008D40A8">
              <w:t>ntensity ra</w:t>
            </w:r>
            <w:r w:rsidR="00196ADF">
              <w:t>n</w:t>
            </w:r>
            <w:r w:rsidR="00196ADF" w:rsidRPr="008D40A8">
              <w:t>ge</w:t>
            </w:r>
          </w:p>
        </w:tc>
        <w:tc>
          <w:tcPr>
            <w:tcW w:w="2149" w:type="dxa"/>
          </w:tcPr>
          <w:p w14:paraId="36A87C24" w14:textId="77777777" w:rsidR="00196ADF" w:rsidRPr="008D40A8" w:rsidRDefault="00196ADF" w:rsidP="001F3C89">
            <w:pPr>
              <w:pStyle w:val="tableheaderwithintable"/>
            </w:pPr>
            <w:r>
              <w:t xml:space="preserve">Intensity </w:t>
            </w:r>
            <w:r w:rsidRPr="008D40A8">
              <w:t>premium</w:t>
            </w:r>
          </w:p>
        </w:tc>
      </w:tr>
      <w:tr w:rsidR="00196ADF" w14:paraId="6911525C" w14:textId="77777777" w:rsidTr="001F3C89">
        <w:tc>
          <w:tcPr>
            <w:tcW w:w="0" w:type="auto"/>
          </w:tcPr>
          <w:p w14:paraId="75A0C4A6" w14:textId="77777777" w:rsidR="00196ADF" w:rsidRPr="00914CAE" w:rsidRDefault="00196ADF" w:rsidP="001F3C89">
            <w:pPr>
              <w:pStyle w:val="tabletext"/>
              <w:keepNext/>
              <w:ind w:left="92"/>
            </w:pPr>
            <w:r w:rsidRPr="00914CAE">
              <w:t>1</w:t>
            </w:r>
          </w:p>
        </w:tc>
        <w:tc>
          <w:tcPr>
            <w:tcW w:w="4033" w:type="dxa"/>
          </w:tcPr>
          <w:p w14:paraId="33A4F809" w14:textId="2930FBB5" w:rsidR="00196ADF" w:rsidRPr="00914CAE" w:rsidRDefault="00196ADF" w:rsidP="00D0531C">
            <w:pPr>
              <w:pStyle w:val="tabletext"/>
              <w:keepNext/>
              <w:ind w:left="98"/>
            </w:pPr>
            <w:r w:rsidRPr="00914CAE">
              <w:t>Notional deductions representing</w:t>
            </w:r>
            <w:r>
              <w:t xml:space="preserve"> up to 2 per </w:t>
            </w:r>
            <w:r w:rsidRPr="00914CAE">
              <w:t xml:space="preserve">cent of </w:t>
            </w:r>
            <w:r w:rsidR="009A11D4">
              <w:t xml:space="preserve">total </w:t>
            </w:r>
            <w:r>
              <w:t>expenditure</w:t>
            </w:r>
          </w:p>
        </w:tc>
        <w:tc>
          <w:tcPr>
            <w:tcW w:w="2149" w:type="dxa"/>
          </w:tcPr>
          <w:p w14:paraId="5ACC421E" w14:textId="77777777" w:rsidR="00196ADF" w:rsidRPr="00914CAE" w:rsidRDefault="00196ADF" w:rsidP="001F3C89">
            <w:pPr>
              <w:pStyle w:val="tabletext"/>
              <w:keepNext/>
              <w:ind w:left="52"/>
            </w:pPr>
            <w:r w:rsidRPr="00914CAE">
              <w:t>4 percentage points</w:t>
            </w:r>
          </w:p>
        </w:tc>
      </w:tr>
      <w:tr w:rsidR="00196ADF" w14:paraId="2CBEB128" w14:textId="77777777" w:rsidTr="001F3C89">
        <w:tc>
          <w:tcPr>
            <w:tcW w:w="0" w:type="auto"/>
          </w:tcPr>
          <w:p w14:paraId="58918EFA" w14:textId="77777777" w:rsidR="00196ADF" w:rsidRPr="00914CAE" w:rsidRDefault="00196ADF" w:rsidP="001F3C89">
            <w:pPr>
              <w:pStyle w:val="tabletext"/>
              <w:keepNext/>
              <w:ind w:left="92"/>
            </w:pPr>
            <w:r w:rsidRPr="00914CAE">
              <w:t>2</w:t>
            </w:r>
          </w:p>
        </w:tc>
        <w:tc>
          <w:tcPr>
            <w:tcW w:w="4033" w:type="dxa"/>
          </w:tcPr>
          <w:p w14:paraId="6326FAD0" w14:textId="4ADD00E4" w:rsidR="00196ADF" w:rsidRPr="00914CAE" w:rsidRDefault="00196ADF" w:rsidP="00301285">
            <w:pPr>
              <w:pStyle w:val="tabletext"/>
              <w:keepNext/>
              <w:ind w:left="98"/>
            </w:pPr>
            <w:r w:rsidRPr="00914CAE">
              <w:t xml:space="preserve">Notional deductions representing </w:t>
            </w:r>
            <w:r w:rsidR="00301285">
              <w:t xml:space="preserve">greater than </w:t>
            </w:r>
            <w:r>
              <w:t xml:space="preserve">2 </w:t>
            </w:r>
            <w:r w:rsidR="00301285">
              <w:t>and</w:t>
            </w:r>
            <w:r>
              <w:t xml:space="preserve"> </w:t>
            </w:r>
            <w:r w:rsidR="00301285">
              <w:t xml:space="preserve">up to </w:t>
            </w:r>
            <w:r>
              <w:t>5 per </w:t>
            </w:r>
            <w:r w:rsidRPr="00914CAE">
              <w:t xml:space="preserve">cent of </w:t>
            </w:r>
            <w:r w:rsidR="009A11D4">
              <w:t xml:space="preserve">total </w:t>
            </w:r>
            <w:r>
              <w:t>expenditure</w:t>
            </w:r>
          </w:p>
        </w:tc>
        <w:tc>
          <w:tcPr>
            <w:tcW w:w="2149" w:type="dxa"/>
          </w:tcPr>
          <w:p w14:paraId="6970F047" w14:textId="77777777" w:rsidR="00196ADF" w:rsidRPr="00914CAE" w:rsidRDefault="00196ADF" w:rsidP="001F3C89">
            <w:pPr>
              <w:pStyle w:val="tabletext"/>
              <w:keepNext/>
              <w:ind w:left="52"/>
            </w:pPr>
            <w:r w:rsidRPr="00914CAE">
              <w:t>6.5 percentage points</w:t>
            </w:r>
          </w:p>
        </w:tc>
      </w:tr>
      <w:tr w:rsidR="00196ADF" w14:paraId="4CA3C84C" w14:textId="77777777" w:rsidTr="001F3C89">
        <w:tc>
          <w:tcPr>
            <w:tcW w:w="0" w:type="auto"/>
          </w:tcPr>
          <w:p w14:paraId="2A9F0B72" w14:textId="77777777" w:rsidR="00196ADF" w:rsidRPr="00914CAE" w:rsidRDefault="00196ADF" w:rsidP="001F3C89">
            <w:pPr>
              <w:pStyle w:val="tabletext"/>
              <w:keepNext/>
              <w:ind w:left="92"/>
            </w:pPr>
            <w:r w:rsidRPr="00914CAE">
              <w:t>3</w:t>
            </w:r>
          </w:p>
        </w:tc>
        <w:tc>
          <w:tcPr>
            <w:tcW w:w="4033" w:type="dxa"/>
          </w:tcPr>
          <w:p w14:paraId="3286EBEE" w14:textId="7B6869AD" w:rsidR="00196ADF" w:rsidRPr="00914CAE" w:rsidRDefault="00196ADF" w:rsidP="00301285">
            <w:pPr>
              <w:pStyle w:val="tabletext"/>
              <w:keepNext/>
              <w:ind w:left="98"/>
            </w:pPr>
            <w:r w:rsidRPr="00914CAE">
              <w:t xml:space="preserve">Notional deductions representing </w:t>
            </w:r>
            <w:r w:rsidR="00301285">
              <w:t xml:space="preserve">greater than </w:t>
            </w:r>
            <w:r w:rsidRPr="00914CAE">
              <w:t xml:space="preserve">5 </w:t>
            </w:r>
            <w:r w:rsidR="00301285">
              <w:t>and</w:t>
            </w:r>
            <w:r w:rsidRPr="00914CAE">
              <w:t xml:space="preserve"> </w:t>
            </w:r>
            <w:r w:rsidR="00301285">
              <w:t xml:space="preserve">up to </w:t>
            </w:r>
            <w:r>
              <w:t xml:space="preserve">10 per cent of </w:t>
            </w:r>
            <w:r w:rsidR="009A11D4">
              <w:t xml:space="preserve">total </w:t>
            </w:r>
            <w:r>
              <w:t>expenditure</w:t>
            </w:r>
          </w:p>
        </w:tc>
        <w:tc>
          <w:tcPr>
            <w:tcW w:w="2149" w:type="dxa"/>
          </w:tcPr>
          <w:p w14:paraId="7D15E94A" w14:textId="77777777" w:rsidR="00196ADF" w:rsidRPr="00914CAE" w:rsidRDefault="00196ADF" w:rsidP="001F3C89">
            <w:pPr>
              <w:pStyle w:val="tabletext"/>
              <w:keepNext/>
              <w:ind w:left="52"/>
            </w:pPr>
            <w:r w:rsidRPr="00914CAE">
              <w:t>9 percentage points</w:t>
            </w:r>
          </w:p>
        </w:tc>
      </w:tr>
      <w:tr w:rsidR="00196ADF" w14:paraId="68D6D7CE" w14:textId="77777777" w:rsidTr="001F3C89">
        <w:tc>
          <w:tcPr>
            <w:tcW w:w="0" w:type="auto"/>
          </w:tcPr>
          <w:p w14:paraId="4247F496" w14:textId="77777777" w:rsidR="00196ADF" w:rsidRPr="00914CAE" w:rsidRDefault="00196ADF" w:rsidP="001F3C89">
            <w:pPr>
              <w:pStyle w:val="tabletext"/>
              <w:ind w:left="92"/>
            </w:pPr>
            <w:r w:rsidRPr="00914CAE">
              <w:t>4</w:t>
            </w:r>
          </w:p>
        </w:tc>
        <w:tc>
          <w:tcPr>
            <w:tcW w:w="4033" w:type="dxa"/>
          </w:tcPr>
          <w:p w14:paraId="5D7EE453" w14:textId="32A936D0" w:rsidR="00196ADF" w:rsidRPr="00914CAE" w:rsidRDefault="00196ADF" w:rsidP="00301285">
            <w:pPr>
              <w:pStyle w:val="tabletext"/>
              <w:ind w:left="98"/>
            </w:pPr>
            <w:r w:rsidRPr="00914CAE">
              <w:t xml:space="preserve">Notional deductions representing </w:t>
            </w:r>
            <w:r w:rsidR="00301285">
              <w:t xml:space="preserve">greater than </w:t>
            </w:r>
            <w:r>
              <w:t>10 </w:t>
            </w:r>
            <w:r w:rsidRPr="00914CAE">
              <w:t>per cent of</w:t>
            </w:r>
            <w:r>
              <w:t xml:space="preserve"> </w:t>
            </w:r>
            <w:r w:rsidR="009A11D4">
              <w:t xml:space="preserve">total </w:t>
            </w:r>
            <w:r>
              <w:t>expenditure</w:t>
            </w:r>
          </w:p>
        </w:tc>
        <w:tc>
          <w:tcPr>
            <w:tcW w:w="2149" w:type="dxa"/>
          </w:tcPr>
          <w:p w14:paraId="680A2914" w14:textId="77777777" w:rsidR="00196ADF" w:rsidRPr="00914CAE" w:rsidRDefault="00196ADF" w:rsidP="001F3C89">
            <w:pPr>
              <w:pStyle w:val="tabletext"/>
              <w:ind w:left="52"/>
            </w:pPr>
            <w:r w:rsidRPr="00914CAE">
              <w:t>12.5 percentage points</w:t>
            </w:r>
          </w:p>
        </w:tc>
      </w:tr>
    </w:tbl>
    <w:p w14:paraId="37A5B071" w14:textId="287B23A2" w:rsidR="007443AD" w:rsidRDefault="007443AD" w:rsidP="007443AD">
      <w:pPr>
        <w:pStyle w:val="ExampleHeading"/>
      </w:pPr>
      <w:r>
        <w:t xml:space="preserve"> </w:t>
      </w:r>
      <w:bookmarkStart w:id="9" w:name="_Ref516392166"/>
      <w:r>
        <w:t>The R&amp;D tax offset</w:t>
      </w:r>
      <w:bookmarkEnd w:id="9"/>
      <w:r w:rsidR="00E97C52">
        <w:t xml:space="preserve"> for large R&amp;D entities</w:t>
      </w:r>
    </w:p>
    <w:p w14:paraId="6A6EAE66" w14:textId="31EE1846" w:rsidR="007443AD" w:rsidRDefault="00783625" w:rsidP="007443AD">
      <w:pPr>
        <w:pStyle w:val="exampletext"/>
      </w:pPr>
      <w:r>
        <w:t>Contrast Industries</w:t>
      </w:r>
      <w:r w:rsidR="007443AD">
        <w:t xml:space="preserve"> has notional deductions of $160 million in the 2018-19 income year, exceeding the $150 million expenditure threshold. In the same income year, </w:t>
      </w:r>
      <w:r>
        <w:t>Contrast Industries</w:t>
      </w:r>
      <w:r w:rsidR="007443AD">
        <w:t xml:space="preserve"> had expenditure of $1 </w:t>
      </w:r>
      <w:r w:rsidR="00D001E4">
        <w:t>billion</w:t>
      </w:r>
      <w:r w:rsidR="007443AD">
        <w:t>. Its aggregated turnover exceeds $20 million.</w:t>
      </w:r>
    </w:p>
    <w:p w14:paraId="0C192A96" w14:textId="16260EF9" w:rsidR="00EF4C36" w:rsidRDefault="00783625" w:rsidP="007443AD">
      <w:pPr>
        <w:pStyle w:val="exampletext"/>
      </w:pPr>
      <w:r>
        <w:t>Contrast Industries</w:t>
      </w:r>
      <w:r w:rsidR="007443AD">
        <w:t xml:space="preserve"> has an R&amp;D intensity of </w:t>
      </w:r>
      <w:r w:rsidR="009D3521">
        <w:t xml:space="preserve">15 </w:t>
      </w:r>
      <w:r w:rsidR="007443AD">
        <w:t xml:space="preserve">per cent ($150 million divided by $1 billion). </w:t>
      </w:r>
      <w:r w:rsidR="00EF4C36">
        <w:t>The portion of the R&amp;D tax offset calculated in relation the excess $10 million is calculated separately</w:t>
      </w:r>
      <w:r w:rsidR="009A11D4">
        <w:t xml:space="preserve"> (see paragraph </w:t>
      </w:r>
      <w:r w:rsidR="009A11D4">
        <w:fldChar w:fldCharType="begin"/>
      </w:r>
      <w:r w:rsidR="009A11D4">
        <w:instrText xml:space="preserve"> REF _Ref517275569 \r \h </w:instrText>
      </w:r>
      <w:r w:rsidR="009A11D4">
        <w:fldChar w:fldCharType="separate"/>
      </w:r>
      <w:r w:rsidR="009A11D4">
        <w:t>1.36</w:t>
      </w:r>
      <w:r w:rsidR="009A11D4">
        <w:fldChar w:fldCharType="end"/>
      </w:r>
      <w:r w:rsidR="009A11D4">
        <w:t>)</w:t>
      </w:r>
      <w:r w:rsidR="00EF4C36">
        <w:t xml:space="preserve">. </w:t>
      </w:r>
    </w:p>
    <w:p w14:paraId="3325669B" w14:textId="4D191C41" w:rsidR="007443AD" w:rsidRDefault="00783625" w:rsidP="006220CA">
      <w:pPr>
        <w:pStyle w:val="exampletext"/>
        <w:keepNext/>
      </w:pPr>
      <w:r>
        <w:t>Contrast Industries</w:t>
      </w:r>
      <w:r w:rsidR="00EF4C36">
        <w:t xml:space="preserve">’ </w:t>
      </w:r>
      <w:r w:rsidR="007443AD">
        <w:t>R&amp;D tax offset for the income year is calculated as follows:</w:t>
      </w:r>
    </w:p>
    <w:tbl>
      <w:tblPr>
        <w:tblStyle w:val="TableGrid"/>
        <w:tblW w:w="3696" w:type="pct"/>
        <w:tblInd w:w="2093" w:type="dxa"/>
        <w:tblLook w:val="04A0" w:firstRow="1" w:lastRow="0" w:firstColumn="1" w:lastColumn="0" w:noHBand="0" w:noVBand="1"/>
      </w:tblPr>
      <w:tblGrid>
        <w:gridCol w:w="856"/>
        <w:gridCol w:w="1119"/>
        <w:gridCol w:w="961"/>
        <w:gridCol w:w="1791"/>
        <w:gridCol w:w="1133"/>
      </w:tblGrid>
      <w:tr w:rsidR="007443AD" w14:paraId="298122E0" w14:textId="77777777" w:rsidTr="00CD12A5">
        <w:trPr>
          <w:cantSplit/>
        </w:trPr>
        <w:tc>
          <w:tcPr>
            <w:tcW w:w="730" w:type="pct"/>
          </w:tcPr>
          <w:p w14:paraId="3CDE2332" w14:textId="77777777" w:rsidR="007443AD" w:rsidRDefault="007443AD" w:rsidP="00CD12A5">
            <w:pPr>
              <w:pStyle w:val="tableheaderwithintable"/>
            </w:pPr>
            <w:r>
              <w:t>Tier</w:t>
            </w:r>
          </w:p>
        </w:tc>
        <w:tc>
          <w:tcPr>
            <w:tcW w:w="955" w:type="pct"/>
          </w:tcPr>
          <w:p w14:paraId="30F91BAB" w14:textId="77777777" w:rsidR="007443AD" w:rsidRDefault="007443AD" w:rsidP="00CD12A5">
            <w:pPr>
              <w:pStyle w:val="tableheaderwithintable"/>
            </w:pPr>
            <w:r>
              <w:t>Intensity</w:t>
            </w:r>
            <w:r>
              <w:br/>
              <w:t>range</w:t>
            </w:r>
          </w:p>
        </w:tc>
        <w:tc>
          <w:tcPr>
            <w:tcW w:w="820" w:type="pct"/>
          </w:tcPr>
          <w:p w14:paraId="5FA7352D" w14:textId="77777777" w:rsidR="007443AD" w:rsidRDefault="007443AD" w:rsidP="00CD12A5">
            <w:pPr>
              <w:pStyle w:val="tableheaderwithintable"/>
            </w:pPr>
            <w:r>
              <w:t>R&amp;D</w:t>
            </w:r>
            <w:r>
              <w:br/>
              <w:t>premium</w:t>
            </w:r>
          </w:p>
        </w:tc>
        <w:tc>
          <w:tcPr>
            <w:tcW w:w="1528" w:type="pct"/>
          </w:tcPr>
          <w:p w14:paraId="2CAFF92F" w14:textId="77777777" w:rsidR="007443AD" w:rsidRDefault="007443AD" w:rsidP="00CD12A5">
            <w:pPr>
              <w:pStyle w:val="tableheaderwithintable"/>
            </w:pPr>
            <w:r>
              <w:t>Notional deductions applied</w:t>
            </w:r>
          </w:p>
        </w:tc>
        <w:tc>
          <w:tcPr>
            <w:tcW w:w="967" w:type="pct"/>
          </w:tcPr>
          <w:p w14:paraId="75F740E2" w14:textId="77777777" w:rsidR="007443AD" w:rsidRDefault="007443AD" w:rsidP="00CD12A5">
            <w:pPr>
              <w:pStyle w:val="tableheaderwithintable"/>
            </w:pPr>
            <w:r>
              <w:t>Offset</w:t>
            </w:r>
            <w:r>
              <w:br/>
              <w:t>amount</w:t>
            </w:r>
          </w:p>
        </w:tc>
      </w:tr>
      <w:tr w:rsidR="007443AD" w14:paraId="5C862749" w14:textId="77777777" w:rsidTr="00CD12A5">
        <w:trPr>
          <w:cantSplit/>
        </w:trPr>
        <w:tc>
          <w:tcPr>
            <w:tcW w:w="730" w:type="pct"/>
          </w:tcPr>
          <w:p w14:paraId="5A23C01E" w14:textId="77777777" w:rsidR="007443AD" w:rsidRPr="00F57149" w:rsidRDefault="007443AD" w:rsidP="00CD12A5">
            <w:pPr>
              <w:pStyle w:val="tabletext"/>
              <w:keepNext/>
              <w:keepLines/>
              <w:ind w:left="0"/>
            </w:pPr>
            <w:r w:rsidRPr="00F57149">
              <w:t>Tier 1</w:t>
            </w:r>
          </w:p>
        </w:tc>
        <w:tc>
          <w:tcPr>
            <w:tcW w:w="955" w:type="pct"/>
          </w:tcPr>
          <w:p w14:paraId="288E2973" w14:textId="77777777" w:rsidR="007443AD" w:rsidRPr="00F57149" w:rsidRDefault="007443AD" w:rsidP="00CD12A5">
            <w:pPr>
              <w:pStyle w:val="tabletext"/>
              <w:keepNext/>
              <w:keepLines/>
              <w:ind w:left="0"/>
            </w:pPr>
            <w:r w:rsidRPr="00F57149">
              <w:t>0</w:t>
            </w:r>
            <w:r>
              <w:t>-2</w:t>
            </w:r>
            <w:r w:rsidRPr="00F57149">
              <w:t>%</w:t>
            </w:r>
          </w:p>
        </w:tc>
        <w:tc>
          <w:tcPr>
            <w:tcW w:w="820" w:type="pct"/>
          </w:tcPr>
          <w:p w14:paraId="70D8DF7D" w14:textId="77777777" w:rsidR="007443AD" w:rsidRPr="00F57149" w:rsidRDefault="007443AD" w:rsidP="00CD12A5">
            <w:pPr>
              <w:pStyle w:val="tabletext"/>
              <w:keepNext/>
              <w:keepLines/>
              <w:ind w:left="0"/>
            </w:pPr>
            <w:r w:rsidRPr="00F57149">
              <w:t>4%</w:t>
            </w:r>
          </w:p>
        </w:tc>
        <w:tc>
          <w:tcPr>
            <w:tcW w:w="1528" w:type="pct"/>
          </w:tcPr>
          <w:p w14:paraId="4B02BFE3" w14:textId="11254A92" w:rsidR="007443AD" w:rsidRDefault="007443AD" w:rsidP="009D3521">
            <w:pPr>
              <w:pStyle w:val="tabletext"/>
              <w:keepNext/>
              <w:keepLines/>
              <w:ind w:left="0"/>
            </w:pPr>
            <w:r>
              <w:t>$</w:t>
            </w:r>
            <w:r w:rsidR="009D3521">
              <w:t>20</w:t>
            </w:r>
            <w:r>
              <w:t>m</w:t>
            </w:r>
          </w:p>
        </w:tc>
        <w:tc>
          <w:tcPr>
            <w:tcW w:w="967" w:type="pct"/>
          </w:tcPr>
          <w:p w14:paraId="43883C82" w14:textId="5EAA72D7" w:rsidR="007443AD" w:rsidRDefault="007443AD" w:rsidP="00CD12A5">
            <w:pPr>
              <w:pStyle w:val="tabletext"/>
              <w:keepNext/>
              <w:keepLines/>
              <w:ind w:left="-15"/>
            </w:pPr>
            <w:r>
              <w:t>$</w:t>
            </w:r>
            <w:r w:rsidR="009D3521">
              <w:t>6.8</w:t>
            </w:r>
            <w:r>
              <w:t>m</w:t>
            </w:r>
          </w:p>
        </w:tc>
      </w:tr>
      <w:tr w:rsidR="007443AD" w14:paraId="51595FBA" w14:textId="77777777" w:rsidTr="00CD12A5">
        <w:trPr>
          <w:cantSplit/>
        </w:trPr>
        <w:tc>
          <w:tcPr>
            <w:tcW w:w="730" w:type="pct"/>
          </w:tcPr>
          <w:p w14:paraId="219DF01E" w14:textId="77777777" w:rsidR="007443AD" w:rsidRPr="00F57149" w:rsidRDefault="007443AD" w:rsidP="00CD12A5">
            <w:pPr>
              <w:pStyle w:val="tabletext"/>
              <w:keepNext/>
              <w:keepLines/>
              <w:ind w:left="0"/>
            </w:pPr>
            <w:r w:rsidRPr="00F57149">
              <w:t>Tier 2</w:t>
            </w:r>
          </w:p>
        </w:tc>
        <w:tc>
          <w:tcPr>
            <w:tcW w:w="955" w:type="pct"/>
          </w:tcPr>
          <w:p w14:paraId="43116526" w14:textId="77777777" w:rsidR="007443AD" w:rsidRPr="00F57149" w:rsidRDefault="007443AD" w:rsidP="00CD12A5">
            <w:pPr>
              <w:pStyle w:val="tabletext"/>
              <w:keepNext/>
              <w:keepLines/>
              <w:ind w:left="0"/>
            </w:pPr>
            <w:r w:rsidRPr="00F57149">
              <w:t>2</w:t>
            </w:r>
            <w:r>
              <w:t>-5</w:t>
            </w:r>
            <w:r w:rsidRPr="00F57149">
              <w:t>%</w:t>
            </w:r>
          </w:p>
        </w:tc>
        <w:tc>
          <w:tcPr>
            <w:tcW w:w="820" w:type="pct"/>
          </w:tcPr>
          <w:p w14:paraId="0D6229C4" w14:textId="77777777" w:rsidR="007443AD" w:rsidRPr="00F57149" w:rsidRDefault="007443AD" w:rsidP="00CD12A5">
            <w:pPr>
              <w:pStyle w:val="tabletext"/>
              <w:keepNext/>
              <w:keepLines/>
              <w:ind w:left="0"/>
            </w:pPr>
            <w:r>
              <w:t>6.5</w:t>
            </w:r>
            <w:r w:rsidRPr="00F57149">
              <w:t>%</w:t>
            </w:r>
          </w:p>
        </w:tc>
        <w:tc>
          <w:tcPr>
            <w:tcW w:w="1528" w:type="pct"/>
          </w:tcPr>
          <w:p w14:paraId="09E8F835" w14:textId="4C049DF6" w:rsidR="007443AD" w:rsidRDefault="007443AD" w:rsidP="00CD12A5">
            <w:pPr>
              <w:pStyle w:val="tabletext"/>
              <w:keepNext/>
              <w:keepLines/>
              <w:ind w:left="0"/>
            </w:pPr>
            <w:r>
              <w:t>$</w:t>
            </w:r>
            <w:r w:rsidR="009D3521">
              <w:t>30</w:t>
            </w:r>
            <w:r>
              <w:t>m</w:t>
            </w:r>
          </w:p>
        </w:tc>
        <w:tc>
          <w:tcPr>
            <w:tcW w:w="967" w:type="pct"/>
          </w:tcPr>
          <w:p w14:paraId="4986BEFA" w14:textId="682CC9DF" w:rsidR="007443AD" w:rsidRDefault="007443AD" w:rsidP="00CD12A5">
            <w:pPr>
              <w:pStyle w:val="tabletext"/>
              <w:keepNext/>
              <w:keepLines/>
              <w:ind w:left="-15"/>
            </w:pPr>
            <w:r>
              <w:t>$</w:t>
            </w:r>
            <w:r w:rsidR="009D3521">
              <w:t>10.95</w:t>
            </w:r>
            <w:r>
              <w:t>m</w:t>
            </w:r>
          </w:p>
        </w:tc>
      </w:tr>
      <w:tr w:rsidR="007443AD" w14:paraId="1291A171" w14:textId="77777777" w:rsidTr="00CD12A5">
        <w:trPr>
          <w:cantSplit/>
        </w:trPr>
        <w:tc>
          <w:tcPr>
            <w:tcW w:w="730" w:type="pct"/>
          </w:tcPr>
          <w:p w14:paraId="6CBA336A" w14:textId="77777777" w:rsidR="007443AD" w:rsidRPr="00F57149" w:rsidRDefault="007443AD" w:rsidP="00CD12A5">
            <w:pPr>
              <w:pStyle w:val="tabletext"/>
              <w:keepNext/>
              <w:keepLines/>
              <w:ind w:left="0"/>
            </w:pPr>
            <w:r w:rsidRPr="00F57149">
              <w:t>Tier 3</w:t>
            </w:r>
          </w:p>
        </w:tc>
        <w:tc>
          <w:tcPr>
            <w:tcW w:w="955" w:type="pct"/>
          </w:tcPr>
          <w:p w14:paraId="3E536956" w14:textId="77777777" w:rsidR="007443AD" w:rsidRPr="00F57149" w:rsidRDefault="007443AD" w:rsidP="00CD12A5">
            <w:pPr>
              <w:pStyle w:val="tabletext"/>
              <w:keepNext/>
              <w:keepLines/>
              <w:ind w:left="0"/>
            </w:pPr>
            <w:r w:rsidRPr="00F57149">
              <w:t>5</w:t>
            </w:r>
            <w:r>
              <w:t>-10</w:t>
            </w:r>
            <w:r w:rsidRPr="00F57149">
              <w:t>%</w:t>
            </w:r>
          </w:p>
        </w:tc>
        <w:tc>
          <w:tcPr>
            <w:tcW w:w="820" w:type="pct"/>
          </w:tcPr>
          <w:p w14:paraId="20FCDD70" w14:textId="77777777" w:rsidR="007443AD" w:rsidRPr="00F57149" w:rsidRDefault="007443AD" w:rsidP="00CD12A5">
            <w:pPr>
              <w:pStyle w:val="tabletext"/>
              <w:keepNext/>
              <w:keepLines/>
              <w:ind w:left="0"/>
            </w:pPr>
            <w:r w:rsidRPr="00F57149">
              <w:t>9%</w:t>
            </w:r>
          </w:p>
        </w:tc>
        <w:tc>
          <w:tcPr>
            <w:tcW w:w="1528" w:type="pct"/>
          </w:tcPr>
          <w:p w14:paraId="1FC7D952" w14:textId="1949523F" w:rsidR="007443AD" w:rsidRDefault="007443AD" w:rsidP="009D3521">
            <w:pPr>
              <w:pStyle w:val="tabletext"/>
              <w:keepNext/>
              <w:keepLines/>
              <w:ind w:left="0"/>
            </w:pPr>
            <w:r>
              <w:t>$</w:t>
            </w:r>
            <w:r w:rsidR="009D3521">
              <w:t>50</w:t>
            </w:r>
            <w:r>
              <w:t>m</w:t>
            </w:r>
          </w:p>
        </w:tc>
        <w:tc>
          <w:tcPr>
            <w:tcW w:w="967" w:type="pct"/>
          </w:tcPr>
          <w:p w14:paraId="50E8EB24" w14:textId="2CE4F362" w:rsidR="007443AD" w:rsidRDefault="007443AD" w:rsidP="00CD12A5">
            <w:pPr>
              <w:pStyle w:val="tabletext"/>
              <w:keepNext/>
              <w:keepLines/>
              <w:ind w:left="-15"/>
            </w:pPr>
            <w:r>
              <w:t>$</w:t>
            </w:r>
            <w:r w:rsidR="009D3521">
              <w:t>19.5</w:t>
            </w:r>
            <w:r>
              <w:t>m</w:t>
            </w:r>
          </w:p>
        </w:tc>
      </w:tr>
      <w:tr w:rsidR="007443AD" w14:paraId="3440AB75" w14:textId="77777777" w:rsidTr="00CD12A5">
        <w:trPr>
          <w:cantSplit/>
        </w:trPr>
        <w:tc>
          <w:tcPr>
            <w:tcW w:w="730" w:type="pct"/>
          </w:tcPr>
          <w:p w14:paraId="77EB2BF6" w14:textId="77777777" w:rsidR="007443AD" w:rsidRPr="00F57149" w:rsidRDefault="007443AD" w:rsidP="00CD12A5">
            <w:pPr>
              <w:pStyle w:val="tabletext"/>
              <w:keepNext/>
              <w:keepLines/>
              <w:ind w:left="0"/>
            </w:pPr>
            <w:r w:rsidRPr="00F57149">
              <w:t>Tier 4</w:t>
            </w:r>
          </w:p>
        </w:tc>
        <w:tc>
          <w:tcPr>
            <w:tcW w:w="955" w:type="pct"/>
          </w:tcPr>
          <w:p w14:paraId="14027A40" w14:textId="77777777" w:rsidR="007443AD" w:rsidRPr="00F57149" w:rsidRDefault="007443AD" w:rsidP="00CD12A5">
            <w:pPr>
              <w:pStyle w:val="tabletext"/>
              <w:keepNext/>
              <w:keepLines/>
              <w:ind w:left="0"/>
            </w:pPr>
            <w:r>
              <w:t>10+%</w:t>
            </w:r>
          </w:p>
        </w:tc>
        <w:tc>
          <w:tcPr>
            <w:tcW w:w="820" w:type="pct"/>
          </w:tcPr>
          <w:p w14:paraId="3E18A2B8" w14:textId="77777777" w:rsidR="007443AD" w:rsidRDefault="007443AD" w:rsidP="00CD12A5">
            <w:pPr>
              <w:pStyle w:val="tabletext"/>
              <w:keepNext/>
              <w:keepLines/>
              <w:ind w:left="0"/>
            </w:pPr>
            <w:r w:rsidRPr="00F57149">
              <w:t>12.5%</w:t>
            </w:r>
          </w:p>
        </w:tc>
        <w:tc>
          <w:tcPr>
            <w:tcW w:w="1528" w:type="pct"/>
          </w:tcPr>
          <w:p w14:paraId="522752E5" w14:textId="6659CECA" w:rsidR="007443AD" w:rsidRDefault="009D3521" w:rsidP="009D3521">
            <w:pPr>
              <w:pStyle w:val="tabletext"/>
              <w:keepNext/>
              <w:keepLines/>
              <w:ind w:left="0"/>
            </w:pPr>
            <w:r>
              <w:t>$50m</w:t>
            </w:r>
          </w:p>
        </w:tc>
        <w:tc>
          <w:tcPr>
            <w:tcW w:w="967" w:type="pct"/>
          </w:tcPr>
          <w:p w14:paraId="49A4042A" w14:textId="1E5F1392" w:rsidR="007443AD" w:rsidRDefault="009D3521" w:rsidP="00CD12A5">
            <w:pPr>
              <w:pStyle w:val="tabletext"/>
              <w:keepNext/>
              <w:keepLines/>
              <w:ind w:left="-15"/>
            </w:pPr>
            <w:r>
              <w:t>$21.25m</w:t>
            </w:r>
          </w:p>
        </w:tc>
      </w:tr>
      <w:tr w:rsidR="007443AD" w14:paraId="035F3188" w14:textId="77777777" w:rsidTr="00CD12A5">
        <w:trPr>
          <w:cantSplit/>
        </w:trPr>
        <w:tc>
          <w:tcPr>
            <w:tcW w:w="730" w:type="pct"/>
          </w:tcPr>
          <w:p w14:paraId="2FFE6612" w14:textId="77777777" w:rsidR="007443AD" w:rsidRDefault="007443AD" w:rsidP="00CD12A5">
            <w:pPr>
              <w:pStyle w:val="tabletext"/>
              <w:keepNext/>
              <w:keepLines/>
              <w:ind w:left="0"/>
            </w:pPr>
            <w:r>
              <w:t>Excess</w:t>
            </w:r>
          </w:p>
        </w:tc>
        <w:tc>
          <w:tcPr>
            <w:tcW w:w="955" w:type="pct"/>
          </w:tcPr>
          <w:p w14:paraId="4D9E8DB7" w14:textId="77777777" w:rsidR="007443AD" w:rsidRDefault="007443AD" w:rsidP="00CD12A5">
            <w:pPr>
              <w:pStyle w:val="tabletext"/>
              <w:keepNext/>
              <w:keepLines/>
              <w:ind w:left="0"/>
            </w:pPr>
            <w:r>
              <w:t>NA</w:t>
            </w:r>
          </w:p>
        </w:tc>
        <w:tc>
          <w:tcPr>
            <w:tcW w:w="820" w:type="pct"/>
          </w:tcPr>
          <w:p w14:paraId="56AF82C4" w14:textId="77777777" w:rsidR="007443AD" w:rsidRDefault="007443AD" w:rsidP="00CD12A5">
            <w:pPr>
              <w:pStyle w:val="tabletext"/>
              <w:keepNext/>
              <w:keepLines/>
              <w:ind w:left="0"/>
            </w:pPr>
            <w:r>
              <w:t>Nil</w:t>
            </w:r>
          </w:p>
        </w:tc>
        <w:tc>
          <w:tcPr>
            <w:tcW w:w="1528" w:type="pct"/>
          </w:tcPr>
          <w:p w14:paraId="26387884" w14:textId="77777777" w:rsidR="007443AD" w:rsidRDefault="007443AD" w:rsidP="00CD12A5">
            <w:pPr>
              <w:pStyle w:val="tabletext"/>
              <w:keepNext/>
              <w:keepLines/>
              <w:ind w:left="0"/>
            </w:pPr>
            <w:r>
              <w:t>$10m</w:t>
            </w:r>
          </w:p>
        </w:tc>
        <w:tc>
          <w:tcPr>
            <w:tcW w:w="967" w:type="pct"/>
          </w:tcPr>
          <w:p w14:paraId="5F74153A" w14:textId="77777777" w:rsidR="007443AD" w:rsidRDefault="007443AD" w:rsidP="00CD12A5">
            <w:pPr>
              <w:pStyle w:val="tabletext"/>
              <w:keepNext/>
              <w:keepLines/>
              <w:ind w:left="-15"/>
            </w:pPr>
            <w:r>
              <w:t>$3m</w:t>
            </w:r>
          </w:p>
        </w:tc>
      </w:tr>
      <w:tr w:rsidR="007443AD" w14:paraId="5EECED95" w14:textId="77777777" w:rsidTr="00CD12A5">
        <w:trPr>
          <w:cantSplit/>
        </w:trPr>
        <w:tc>
          <w:tcPr>
            <w:tcW w:w="730" w:type="pct"/>
          </w:tcPr>
          <w:p w14:paraId="75FBF19D" w14:textId="77777777" w:rsidR="007443AD" w:rsidRDefault="007443AD" w:rsidP="00CD12A5">
            <w:pPr>
              <w:pStyle w:val="base-text-paragraph"/>
              <w:numPr>
                <w:ilvl w:val="0"/>
                <w:numId w:val="0"/>
              </w:numPr>
            </w:pPr>
          </w:p>
        </w:tc>
        <w:tc>
          <w:tcPr>
            <w:tcW w:w="955" w:type="pct"/>
          </w:tcPr>
          <w:p w14:paraId="5D71119D" w14:textId="77777777" w:rsidR="007443AD" w:rsidRDefault="007443AD" w:rsidP="00CD12A5">
            <w:pPr>
              <w:pStyle w:val="base-text-paragraph"/>
              <w:numPr>
                <w:ilvl w:val="0"/>
                <w:numId w:val="0"/>
              </w:numPr>
            </w:pPr>
          </w:p>
        </w:tc>
        <w:tc>
          <w:tcPr>
            <w:tcW w:w="820" w:type="pct"/>
          </w:tcPr>
          <w:p w14:paraId="55BD9E5B" w14:textId="77777777" w:rsidR="007443AD" w:rsidRDefault="007443AD" w:rsidP="00CD12A5">
            <w:pPr>
              <w:pStyle w:val="base-text-paragraph"/>
              <w:numPr>
                <w:ilvl w:val="0"/>
                <w:numId w:val="0"/>
              </w:numPr>
            </w:pPr>
            <w:r w:rsidRPr="009C522F">
              <w:rPr>
                <w:b/>
              </w:rPr>
              <w:t>Total</w:t>
            </w:r>
            <w:r>
              <w:rPr>
                <w:b/>
              </w:rPr>
              <w:t>s:</w:t>
            </w:r>
          </w:p>
        </w:tc>
        <w:tc>
          <w:tcPr>
            <w:tcW w:w="1528" w:type="pct"/>
          </w:tcPr>
          <w:p w14:paraId="6670FF98" w14:textId="77777777" w:rsidR="007443AD" w:rsidRPr="009C522F" w:rsidRDefault="007443AD" w:rsidP="00CD12A5">
            <w:pPr>
              <w:pStyle w:val="base-text-paragraph"/>
              <w:numPr>
                <w:ilvl w:val="0"/>
                <w:numId w:val="0"/>
              </w:numPr>
              <w:rPr>
                <w:b/>
              </w:rPr>
            </w:pPr>
            <w:r>
              <w:rPr>
                <w:b/>
              </w:rPr>
              <w:t>$160m</w:t>
            </w:r>
          </w:p>
        </w:tc>
        <w:tc>
          <w:tcPr>
            <w:tcW w:w="967" w:type="pct"/>
          </w:tcPr>
          <w:p w14:paraId="180A51B3" w14:textId="407E8901" w:rsidR="007443AD" w:rsidRPr="007D75EF" w:rsidRDefault="007443AD" w:rsidP="00CD12A5">
            <w:pPr>
              <w:pStyle w:val="base-text-paragraph"/>
              <w:numPr>
                <w:ilvl w:val="0"/>
                <w:numId w:val="0"/>
              </w:numPr>
              <w:rPr>
                <w:b/>
              </w:rPr>
            </w:pPr>
            <w:r>
              <w:rPr>
                <w:b/>
              </w:rPr>
              <w:t>$</w:t>
            </w:r>
            <w:r w:rsidR="009D3521">
              <w:rPr>
                <w:b/>
              </w:rPr>
              <w:t>61.5</w:t>
            </w:r>
            <w:r w:rsidRPr="007D75EF">
              <w:rPr>
                <w:b/>
              </w:rPr>
              <w:t>m</w:t>
            </w:r>
          </w:p>
        </w:tc>
      </w:tr>
    </w:tbl>
    <w:p w14:paraId="26F27590" w14:textId="260BE2FB" w:rsidR="00196ADF" w:rsidRDefault="0068322A" w:rsidP="0068322A">
      <w:pPr>
        <w:pStyle w:val="Heading4"/>
      </w:pPr>
      <w:r>
        <w:t>R&amp;D intensity</w:t>
      </w:r>
    </w:p>
    <w:p w14:paraId="62210F49" w14:textId="389929AD" w:rsidR="00603ACB" w:rsidRDefault="00603ACB" w:rsidP="00603ACB">
      <w:pPr>
        <w:pStyle w:val="base-text-paragraph"/>
      </w:pPr>
      <w:r>
        <w:t xml:space="preserve">To calculate </w:t>
      </w:r>
      <w:r w:rsidR="00E97C52">
        <w:t xml:space="preserve">its </w:t>
      </w:r>
      <w:r>
        <w:t>R&amp;D tax offset</w:t>
      </w:r>
      <w:r w:rsidR="00E97C52">
        <w:t>, a large R&amp;D</w:t>
      </w:r>
      <w:r>
        <w:t xml:space="preserve"> entity must determine </w:t>
      </w:r>
      <w:r w:rsidR="004D13A1">
        <w:t>its</w:t>
      </w:r>
      <w:r>
        <w:t xml:space="preserve"> R&amp;D intensity. That is the proportion of </w:t>
      </w:r>
      <w:r w:rsidR="004D13A1">
        <w:t>its</w:t>
      </w:r>
      <w:r>
        <w:t xml:space="preserve"> expenditure spent on R&amp;D expenditure</w:t>
      </w:r>
      <w:r w:rsidR="000A2325">
        <w:t xml:space="preserve"> for the income year</w:t>
      </w:r>
      <w:r>
        <w:t>:</w:t>
      </w:r>
    </w:p>
    <w:p w14:paraId="307D144F" w14:textId="22B373F1" w:rsidR="009E2752" w:rsidRDefault="00915C60" w:rsidP="000D7FE5">
      <w:pPr>
        <w:pStyle w:val="base-text-paragraph"/>
        <w:numPr>
          <w:ilvl w:val="0"/>
          <w:numId w:val="0"/>
        </w:numPr>
        <w:ind w:left="1134"/>
      </w:pPr>
      <m:oMathPara>
        <m:oMath>
          <m:r>
            <w:rPr>
              <w:rFonts w:ascii="Cambria Math" w:hAnsi="Cambria Math"/>
            </w:rPr>
            <m:t>R&amp;D intensity=</m:t>
          </m:r>
          <m:f>
            <m:fPr>
              <m:ctrlPr>
                <w:rPr>
                  <w:rFonts w:ascii="Cambria Math" w:hAnsi="Cambria Math"/>
                  <w:i/>
                </w:rPr>
              </m:ctrlPr>
            </m:fPr>
            <m:num>
              <m:r>
                <w:rPr>
                  <w:rFonts w:ascii="Cambria Math" w:hAnsi="Cambria Math"/>
                </w:rPr>
                <m:t xml:space="preserve">Notional deductions </m:t>
              </m:r>
            </m:num>
            <m:den>
              <m:r>
                <w:rPr>
                  <w:rFonts w:ascii="Cambria Math" w:hAnsi="Cambria Math"/>
                </w:rPr>
                <m:t>Expenditure</m:t>
              </m:r>
            </m:den>
          </m:f>
        </m:oMath>
      </m:oMathPara>
    </w:p>
    <w:p w14:paraId="455697D7" w14:textId="79CCBB0C" w:rsidR="0068322A" w:rsidRDefault="00603ACB" w:rsidP="00603ACB">
      <w:pPr>
        <w:pStyle w:val="base-text-paragraph"/>
      </w:pPr>
      <w:r>
        <w:t xml:space="preserve">This is intended to provide a higher rate of support for incremental expenditure to </w:t>
      </w:r>
      <w:r w:rsidR="006070DB">
        <w:t>R&amp;D entit</w:t>
      </w:r>
      <w:r>
        <w:t>ies that devote a significant portion of their overall operations to R&amp;D</w:t>
      </w:r>
      <w:r w:rsidR="009F2C22">
        <w:t xml:space="preserve"> eligible for support under the </w:t>
      </w:r>
      <w:r w:rsidR="00D113DE">
        <w:t>I</w:t>
      </w:r>
      <w:r w:rsidR="009F2C22">
        <w:t>ncentive</w:t>
      </w:r>
      <w:r>
        <w:t>.</w:t>
      </w:r>
    </w:p>
    <w:p w14:paraId="03BDECC9" w14:textId="4CB1E21F" w:rsidR="002B100A" w:rsidRDefault="00F62D77" w:rsidP="000D7FE5">
      <w:pPr>
        <w:pStyle w:val="Heading5"/>
      </w:pPr>
      <w:r>
        <w:t>N</w:t>
      </w:r>
      <w:r w:rsidR="002B100A" w:rsidRPr="002B100A">
        <w:t>otional deductions</w:t>
      </w:r>
    </w:p>
    <w:p w14:paraId="3312A3AF" w14:textId="4921A452" w:rsidR="002C0ABA" w:rsidRPr="000D7FE5" w:rsidRDefault="002C0ABA" w:rsidP="00603ACB">
      <w:pPr>
        <w:pStyle w:val="base-text-paragraph"/>
        <w:rPr>
          <w:rStyle w:val="Referencingstyle"/>
          <w:b w:val="0"/>
          <w:i w:val="0"/>
          <w:sz w:val="22"/>
        </w:rPr>
      </w:pPr>
      <w:bookmarkStart w:id="10" w:name="_Ref517275569"/>
      <w:r>
        <w:t xml:space="preserve">Notional deductions in excess of the $150 million expenditure threshold </w:t>
      </w:r>
      <w:r w:rsidR="007D6D78">
        <w:t xml:space="preserve">do not attract an intensity premium and </w:t>
      </w:r>
      <w:r>
        <w:t xml:space="preserve">are not counted for the purposes of calculating an </w:t>
      </w:r>
      <w:r w:rsidR="006070DB">
        <w:t>R&amp;D entit</w:t>
      </w:r>
      <w:r>
        <w:t>y’s R&amp;D intensity</w:t>
      </w:r>
      <w:r w:rsidR="00447AE8">
        <w:t xml:space="preserve"> (see </w:t>
      </w:r>
      <w:r w:rsidR="00447AE8">
        <w:fldChar w:fldCharType="begin"/>
      </w:r>
      <w:r w:rsidR="00447AE8">
        <w:instrText xml:space="preserve"> REF _Ref516392166 \r \h </w:instrText>
      </w:r>
      <w:r w:rsidR="00447AE8">
        <w:fldChar w:fldCharType="separate"/>
      </w:r>
      <w:r w:rsidR="007F0417">
        <w:t>Example </w:t>
      </w:r>
      <w:r w:rsidR="00B87BEB">
        <w:t>1.2</w:t>
      </w:r>
      <w:r w:rsidR="00447AE8">
        <w:fldChar w:fldCharType="end"/>
      </w:r>
      <w:r w:rsidR="00447AE8">
        <w:t>)</w:t>
      </w:r>
      <w:r>
        <w:t xml:space="preserve">. </w:t>
      </w:r>
      <w:r w:rsidR="00684196" w:rsidRPr="000D7FE5">
        <w:rPr>
          <w:rStyle w:val="Referencingstyle"/>
        </w:rPr>
        <w:t>[</w:t>
      </w:r>
      <w:r w:rsidR="00B47286">
        <w:rPr>
          <w:rStyle w:val="Referencingstyle"/>
        </w:rPr>
        <w:t>Exposure Draft, Schedule </w:t>
      </w:r>
      <w:r>
        <w:rPr>
          <w:rStyle w:val="Referencingstyle"/>
        </w:rPr>
        <w:t>1, item 1</w:t>
      </w:r>
      <w:r w:rsidR="00684196">
        <w:rPr>
          <w:rStyle w:val="Referencingstyle"/>
        </w:rPr>
        <w:t>1</w:t>
      </w:r>
      <w:r>
        <w:rPr>
          <w:rStyle w:val="Referencingstyle"/>
        </w:rPr>
        <w:t>, paragraph 355-100(3)(a) of the ITAA 1997]</w:t>
      </w:r>
      <w:bookmarkEnd w:id="10"/>
    </w:p>
    <w:p w14:paraId="328FAC37" w14:textId="6F02B032" w:rsidR="008E1675" w:rsidRDefault="004F2F48" w:rsidP="00D644DF">
      <w:pPr>
        <w:pStyle w:val="base-text-paragraph"/>
      </w:pPr>
      <w:r w:rsidRPr="00D644DF">
        <w:rPr>
          <w:rStyle w:val="Referencingstyle"/>
          <w:b w:val="0"/>
          <w:i w:val="0"/>
          <w:sz w:val="22"/>
        </w:rPr>
        <w:t xml:space="preserve">If an </w:t>
      </w:r>
      <w:r w:rsidR="006070DB">
        <w:rPr>
          <w:rStyle w:val="Referencingstyle"/>
          <w:b w:val="0"/>
          <w:i w:val="0"/>
          <w:sz w:val="22"/>
        </w:rPr>
        <w:t>R&amp;D entit</w:t>
      </w:r>
      <w:r w:rsidRPr="00D644DF">
        <w:rPr>
          <w:rStyle w:val="Referencingstyle"/>
          <w:b w:val="0"/>
          <w:i w:val="0"/>
          <w:sz w:val="22"/>
        </w:rPr>
        <w:t>y’s n</w:t>
      </w:r>
      <w:r w:rsidR="00F02E50" w:rsidRPr="00F02E50">
        <w:t>otional deductions</w:t>
      </w:r>
      <w:r>
        <w:t xml:space="preserve"> for an income year are less than $20,000, the entity’s notional deductions for</w:t>
      </w:r>
      <w:r w:rsidRPr="004F2F48">
        <w:t xml:space="preserve"> the purposes of calculating </w:t>
      </w:r>
      <w:r>
        <w:t>the</w:t>
      </w:r>
      <w:r w:rsidRPr="004F2F48">
        <w:t xml:space="preserve"> entity’s </w:t>
      </w:r>
      <w:r w:rsidR="00223550">
        <w:t xml:space="preserve">R&amp;D tax offset </w:t>
      </w:r>
      <w:r>
        <w:t>only includes the notional deductions that satisfy the criteria in subsection</w:t>
      </w:r>
      <w:r w:rsidR="00223550">
        <w:t> </w:t>
      </w:r>
      <w:r>
        <w:t>355</w:t>
      </w:r>
      <w:r w:rsidR="00223550">
        <w:noBreakHyphen/>
      </w:r>
      <w:r w:rsidR="004D13A1">
        <w:t xml:space="preserve">100(2): </w:t>
      </w:r>
      <w:r w:rsidR="00D644DF">
        <w:t>that</w:t>
      </w:r>
      <w:r w:rsidR="004D13A1">
        <w:t xml:space="preserve"> the expenditure </w:t>
      </w:r>
      <w:r w:rsidR="004D13A1" w:rsidRPr="004D13A1">
        <w:t>was incurred to a research service provider</w:t>
      </w:r>
      <w:r w:rsidR="004D13A1" w:rsidRPr="00D644DF">
        <w:rPr>
          <w:rStyle w:val="Referencingstyle"/>
          <w:b w:val="0"/>
          <w:i w:val="0"/>
          <w:sz w:val="22"/>
        </w:rPr>
        <w:t xml:space="preserve"> registered under Division 4 of Part III of the </w:t>
      </w:r>
      <w:r w:rsidR="00BE6307">
        <w:t>IR&amp;D Act</w:t>
      </w:r>
      <w:r w:rsidR="001A6204">
        <w:t xml:space="preserve"> </w:t>
      </w:r>
      <w:r w:rsidR="00D644DF" w:rsidRPr="00D644DF">
        <w:rPr>
          <w:rStyle w:val="Referencingstyle"/>
          <w:b w:val="0"/>
          <w:i w:val="0"/>
          <w:sz w:val="22"/>
        </w:rPr>
        <w:t xml:space="preserve">or </w:t>
      </w:r>
      <w:r w:rsidR="00D644DF">
        <w:rPr>
          <w:rStyle w:val="Referencingstyle"/>
          <w:b w:val="0"/>
          <w:i w:val="0"/>
          <w:sz w:val="22"/>
        </w:rPr>
        <w:t xml:space="preserve">was incurred </w:t>
      </w:r>
      <w:r w:rsidR="00D644DF" w:rsidRPr="00D644DF">
        <w:rPr>
          <w:rStyle w:val="Referencingstyle"/>
          <w:b w:val="0"/>
          <w:i w:val="0"/>
          <w:sz w:val="22"/>
        </w:rPr>
        <w:t xml:space="preserve">under </w:t>
      </w:r>
      <w:r w:rsidR="00D644DF">
        <w:rPr>
          <w:rStyle w:val="Referencingstyle"/>
          <w:b w:val="0"/>
          <w:i w:val="0"/>
          <w:sz w:val="22"/>
        </w:rPr>
        <w:t>the</w:t>
      </w:r>
      <w:r w:rsidR="00D644DF" w:rsidRPr="00D644DF">
        <w:rPr>
          <w:rStyle w:val="Referencingstyle"/>
          <w:b w:val="0"/>
          <w:i w:val="0"/>
          <w:sz w:val="22"/>
        </w:rPr>
        <w:t xml:space="preserve"> </w:t>
      </w:r>
      <w:r w:rsidR="00D644DF">
        <w:rPr>
          <w:rStyle w:val="Referencingstyle"/>
          <w:b w:val="0"/>
          <w:i w:val="0"/>
          <w:sz w:val="22"/>
        </w:rPr>
        <w:t>Cooperative Research Centre Program</w:t>
      </w:r>
      <w:r w:rsidR="001A6204">
        <w:rPr>
          <w:rStyle w:val="Referencingstyle"/>
          <w:b w:val="0"/>
          <w:i w:val="0"/>
          <w:sz w:val="22"/>
        </w:rPr>
        <w:t>.</w:t>
      </w:r>
      <w:r w:rsidR="00D644DF" w:rsidRPr="00D644DF">
        <w:rPr>
          <w:rStyle w:val="Referencingstyle"/>
          <w:b w:val="0"/>
          <w:i w:val="0"/>
          <w:sz w:val="22"/>
        </w:rPr>
        <w:t xml:space="preserve"> </w:t>
      </w:r>
      <w:r w:rsidR="008E1675">
        <w:rPr>
          <w:rStyle w:val="Referencingstyle"/>
        </w:rPr>
        <w:t>[</w:t>
      </w:r>
      <w:r w:rsidR="00684196">
        <w:rPr>
          <w:rStyle w:val="Referencingstyle"/>
        </w:rPr>
        <w:t xml:space="preserve">Exposure Draft, </w:t>
      </w:r>
      <w:r w:rsidR="008E1675">
        <w:rPr>
          <w:rStyle w:val="Referencingstyle"/>
        </w:rPr>
        <w:t xml:space="preserve">Schedule </w:t>
      </w:r>
      <w:r w:rsidR="00684196">
        <w:rPr>
          <w:rStyle w:val="Referencingstyle"/>
        </w:rPr>
        <w:t>1</w:t>
      </w:r>
      <w:r w:rsidR="008E1675">
        <w:rPr>
          <w:rStyle w:val="Referencingstyle"/>
        </w:rPr>
        <w:t>, i</w:t>
      </w:r>
      <w:r w:rsidR="008E1675" w:rsidRPr="00375F1D">
        <w:rPr>
          <w:rStyle w:val="Referencingstyle"/>
        </w:rPr>
        <w:t xml:space="preserve">tem </w:t>
      </w:r>
      <w:r w:rsidR="00684196">
        <w:rPr>
          <w:rStyle w:val="Referencingstyle"/>
        </w:rPr>
        <w:t>10</w:t>
      </w:r>
      <w:r w:rsidR="008E1675" w:rsidRPr="00375F1D">
        <w:rPr>
          <w:rStyle w:val="Referencingstyle"/>
        </w:rPr>
        <w:t xml:space="preserve">, </w:t>
      </w:r>
      <w:r w:rsidR="00684196">
        <w:rPr>
          <w:rStyle w:val="Referencingstyle"/>
        </w:rPr>
        <w:t>sub</w:t>
      </w:r>
      <w:r w:rsidR="00D644DF">
        <w:rPr>
          <w:rStyle w:val="Referencingstyle"/>
        </w:rPr>
        <w:t>section 355</w:t>
      </w:r>
      <w:r w:rsidR="00D644DF">
        <w:rPr>
          <w:rStyle w:val="Referencingstyle"/>
        </w:rPr>
        <w:noBreakHyphen/>
      </w:r>
      <w:r w:rsidR="00684196">
        <w:rPr>
          <w:rStyle w:val="Referencingstyle"/>
        </w:rPr>
        <w:t>100(2)</w:t>
      </w:r>
      <w:r w:rsidR="008E1675" w:rsidRPr="00375F1D">
        <w:rPr>
          <w:rStyle w:val="Referencingstyle"/>
        </w:rPr>
        <w:t xml:space="preserve"> of </w:t>
      </w:r>
      <w:r w:rsidR="00684196">
        <w:rPr>
          <w:rStyle w:val="Referencingstyle"/>
        </w:rPr>
        <w:t>the ITAA 1997</w:t>
      </w:r>
      <w:r w:rsidR="008E1675" w:rsidRPr="00375F1D">
        <w:rPr>
          <w:rStyle w:val="Referencingstyle"/>
        </w:rPr>
        <w:t>]</w:t>
      </w:r>
      <w:r>
        <w:t xml:space="preserve"> </w:t>
      </w:r>
    </w:p>
    <w:p w14:paraId="69D58FC5" w14:textId="2252263A" w:rsidR="002B100A" w:rsidRDefault="00D0531C" w:rsidP="000D7FE5">
      <w:pPr>
        <w:pStyle w:val="Heading5"/>
      </w:pPr>
      <w:r>
        <w:t>E</w:t>
      </w:r>
      <w:r w:rsidR="002B100A" w:rsidRPr="002B100A">
        <w:t>xpenditure</w:t>
      </w:r>
    </w:p>
    <w:p w14:paraId="6DDB39D5" w14:textId="02FE4D3D" w:rsidR="006D37EC" w:rsidRDefault="00DD77EC" w:rsidP="00603ACB">
      <w:pPr>
        <w:pStyle w:val="base-text-paragraph"/>
      </w:pPr>
      <w:r>
        <w:t>An R&amp;D entity’s e</w:t>
      </w:r>
      <w:r w:rsidR="006D37EC" w:rsidRPr="006D37EC">
        <w:t xml:space="preserve">xpenditure </w:t>
      </w:r>
      <w:r w:rsidR="006D37EC" w:rsidRPr="00A577AA">
        <w:t xml:space="preserve">is </w:t>
      </w:r>
      <w:r w:rsidR="00D569C2">
        <w:t>worked out</w:t>
      </w:r>
      <w:r w:rsidR="006D37EC" w:rsidRPr="00A577AA">
        <w:t xml:space="preserve"> by reference to accounting standards and other pronouncements issued by the Australian Accounting Standards Board</w:t>
      </w:r>
      <w:r w:rsidR="006D37EC">
        <w:t xml:space="preserve">. </w:t>
      </w:r>
      <w:r w:rsidR="006D37EC">
        <w:rPr>
          <w:rStyle w:val="Referencingstyle"/>
        </w:rPr>
        <w:t>[</w:t>
      </w:r>
      <w:r w:rsidR="00D569C2">
        <w:rPr>
          <w:rStyle w:val="Referencingstyle"/>
        </w:rPr>
        <w:t xml:space="preserve">Exposure Draft, </w:t>
      </w:r>
      <w:r w:rsidR="006D37EC">
        <w:rPr>
          <w:rStyle w:val="Referencingstyle"/>
        </w:rPr>
        <w:t xml:space="preserve">Schedule </w:t>
      </w:r>
      <w:r w:rsidR="00D569C2">
        <w:rPr>
          <w:rStyle w:val="Referencingstyle"/>
        </w:rPr>
        <w:t>1</w:t>
      </w:r>
      <w:r w:rsidR="006D37EC">
        <w:rPr>
          <w:rStyle w:val="Referencingstyle"/>
        </w:rPr>
        <w:t>, i</w:t>
      </w:r>
      <w:r w:rsidR="006D37EC" w:rsidRPr="00375F1D">
        <w:rPr>
          <w:rStyle w:val="Referencingstyle"/>
        </w:rPr>
        <w:t xml:space="preserve">tem </w:t>
      </w:r>
      <w:r w:rsidR="00D569C2">
        <w:rPr>
          <w:rStyle w:val="Referencingstyle"/>
        </w:rPr>
        <w:t>12</w:t>
      </w:r>
      <w:r w:rsidR="006D37EC" w:rsidRPr="00375F1D">
        <w:rPr>
          <w:rStyle w:val="Referencingstyle"/>
        </w:rPr>
        <w:t xml:space="preserve">, </w:t>
      </w:r>
      <w:r w:rsidR="00D569C2">
        <w:rPr>
          <w:rStyle w:val="Referencingstyle"/>
        </w:rPr>
        <w:t>section</w:t>
      </w:r>
      <w:r>
        <w:rPr>
          <w:rStyle w:val="Referencingstyle"/>
        </w:rPr>
        <w:t> </w:t>
      </w:r>
      <w:r w:rsidR="00D569C2">
        <w:rPr>
          <w:rStyle w:val="Referencingstyle"/>
        </w:rPr>
        <w:t>355</w:t>
      </w:r>
      <w:r>
        <w:rPr>
          <w:rStyle w:val="Referencingstyle"/>
        </w:rPr>
        <w:noBreakHyphen/>
      </w:r>
      <w:r w:rsidR="00D569C2">
        <w:rPr>
          <w:rStyle w:val="Referencingstyle"/>
        </w:rPr>
        <w:t>115</w:t>
      </w:r>
      <w:r w:rsidR="006D37EC" w:rsidRPr="00375F1D">
        <w:rPr>
          <w:rStyle w:val="Referencingstyle"/>
        </w:rPr>
        <w:t xml:space="preserve"> of </w:t>
      </w:r>
      <w:r w:rsidR="00D569C2">
        <w:rPr>
          <w:rStyle w:val="Referencingstyle"/>
        </w:rPr>
        <w:t>the ITAA 1997</w:t>
      </w:r>
      <w:r w:rsidR="006D37EC" w:rsidRPr="00375F1D">
        <w:rPr>
          <w:rStyle w:val="Referencingstyle"/>
        </w:rPr>
        <w:t>]</w:t>
      </w:r>
    </w:p>
    <w:p w14:paraId="1C10CF1D" w14:textId="59DF47D9" w:rsidR="00C953A2" w:rsidRDefault="003040D6" w:rsidP="00603ACB">
      <w:pPr>
        <w:pStyle w:val="base-text-paragraph"/>
      </w:pPr>
      <w:r>
        <w:t>An R&amp;D entity’s no</w:t>
      </w:r>
      <w:r w:rsidR="00C953A2">
        <w:t xml:space="preserve">tional deductions are always included in </w:t>
      </w:r>
      <w:r>
        <w:t xml:space="preserve">its </w:t>
      </w:r>
      <w:r w:rsidR="00C953A2">
        <w:t xml:space="preserve">expenditure. If an amount of notional deductions is not included under the accounting standards, an adjustment is made to nevertheless include it. </w:t>
      </w:r>
      <w:r w:rsidR="00C953A2">
        <w:rPr>
          <w:rStyle w:val="Referencingstyle"/>
        </w:rPr>
        <w:t>[Exposure Draft, Schedule 1, i</w:t>
      </w:r>
      <w:r w:rsidR="00C953A2" w:rsidRPr="00375F1D">
        <w:rPr>
          <w:rStyle w:val="Referencingstyle"/>
        </w:rPr>
        <w:t xml:space="preserve">tem </w:t>
      </w:r>
      <w:r w:rsidR="00C953A2">
        <w:rPr>
          <w:rStyle w:val="Referencingstyle"/>
        </w:rPr>
        <w:t>12</w:t>
      </w:r>
      <w:r w:rsidR="00C953A2" w:rsidRPr="00375F1D">
        <w:rPr>
          <w:rStyle w:val="Referencingstyle"/>
        </w:rPr>
        <w:t xml:space="preserve">, </w:t>
      </w:r>
      <w:r w:rsidR="00C953A2">
        <w:rPr>
          <w:rStyle w:val="Referencingstyle"/>
        </w:rPr>
        <w:t>paragraph</w:t>
      </w:r>
      <w:r w:rsidR="00C953A2" w:rsidRPr="00375F1D">
        <w:rPr>
          <w:rStyle w:val="Referencingstyle"/>
        </w:rPr>
        <w:t xml:space="preserve"> </w:t>
      </w:r>
      <w:r w:rsidR="00C953A2">
        <w:rPr>
          <w:b/>
          <w:i/>
          <w:sz w:val="18"/>
        </w:rPr>
        <w:t>355-115(2</w:t>
      </w:r>
      <w:r w:rsidR="00C953A2" w:rsidRPr="00EE6825">
        <w:rPr>
          <w:b/>
          <w:i/>
          <w:sz w:val="18"/>
        </w:rPr>
        <w:t>)</w:t>
      </w:r>
      <w:r w:rsidR="00C953A2">
        <w:rPr>
          <w:b/>
          <w:i/>
          <w:sz w:val="18"/>
        </w:rPr>
        <w:t>(b)</w:t>
      </w:r>
      <w:r w:rsidR="00C953A2" w:rsidRPr="00EE6825">
        <w:rPr>
          <w:b/>
          <w:i/>
          <w:sz w:val="18"/>
        </w:rPr>
        <w:t xml:space="preserve"> of the ITAA 1997</w:t>
      </w:r>
      <w:r w:rsidR="00C953A2" w:rsidRPr="00375F1D">
        <w:rPr>
          <w:rStyle w:val="Referencingstyle"/>
        </w:rPr>
        <w:t>]</w:t>
      </w:r>
    </w:p>
    <w:p w14:paraId="5ADE0D88" w14:textId="3C7D8905" w:rsidR="00B17774" w:rsidRDefault="00B17774" w:rsidP="00B17774">
      <w:pPr>
        <w:pStyle w:val="Heading2"/>
      </w:pPr>
      <w:r>
        <w:t>Consequential amendments</w:t>
      </w:r>
    </w:p>
    <w:p w14:paraId="13B9F8F8" w14:textId="0D8919AC" w:rsidR="00B17774" w:rsidRPr="00D47203" w:rsidRDefault="00D47203" w:rsidP="0085519B">
      <w:pPr>
        <w:pStyle w:val="base-text-paragraph"/>
        <w:numPr>
          <w:ilvl w:val="1"/>
          <w:numId w:val="4"/>
        </w:numPr>
        <w:rPr>
          <w:rStyle w:val="Referencingstyle"/>
          <w:b w:val="0"/>
          <w:i w:val="0"/>
          <w:sz w:val="22"/>
        </w:rPr>
      </w:pPr>
      <w:r>
        <w:t xml:space="preserve">Cross-references to the expenditure threshold are amended to reflect the increase of the threshold from $100 million to $150 million. </w:t>
      </w:r>
      <w:r>
        <w:rPr>
          <w:rStyle w:val="Referencingstyle"/>
        </w:rPr>
        <w:t xml:space="preserve">[Exposure Draft, Schedule 1, items </w:t>
      </w:r>
      <w:r w:rsidR="00042237">
        <w:rPr>
          <w:rStyle w:val="Referencingstyle"/>
        </w:rPr>
        <w:t>5</w:t>
      </w:r>
      <w:r>
        <w:rPr>
          <w:rStyle w:val="Referencingstyle"/>
        </w:rPr>
        <w:t xml:space="preserve">, </w:t>
      </w:r>
      <w:r w:rsidR="00042237">
        <w:rPr>
          <w:rStyle w:val="Referencingstyle"/>
        </w:rPr>
        <w:t>13</w:t>
      </w:r>
      <w:r w:rsidR="00F1660C">
        <w:rPr>
          <w:rStyle w:val="Referencingstyle"/>
        </w:rPr>
        <w:t>, 14</w:t>
      </w:r>
      <w:r w:rsidR="00447AE8">
        <w:rPr>
          <w:rStyle w:val="Referencingstyle"/>
        </w:rPr>
        <w:t xml:space="preserve">, </w:t>
      </w:r>
      <w:r w:rsidR="00636CBA">
        <w:rPr>
          <w:rStyle w:val="Referencingstyle"/>
        </w:rPr>
        <w:t>1</w:t>
      </w:r>
      <w:r w:rsidR="00F1660C">
        <w:rPr>
          <w:rStyle w:val="Referencingstyle"/>
        </w:rPr>
        <w:t>5</w:t>
      </w:r>
      <w:r w:rsidR="00447AE8">
        <w:rPr>
          <w:rStyle w:val="Referencingstyle"/>
        </w:rPr>
        <w:t>, 18 and 19</w:t>
      </w:r>
      <w:r>
        <w:rPr>
          <w:rStyle w:val="Referencingstyle"/>
        </w:rPr>
        <w:t>, the headings to subsection</w:t>
      </w:r>
      <w:r w:rsidR="00BC611B">
        <w:rPr>
          <w:rStyle w:val="Referencingstyle"/>
        </w:rPr>
        <w:t>s</w:t>
      </w:r>
      <w:r w:rsidR="00447AE8">
        <w:rPr>
          <w:rStyle w:val="Referencingstyle"/>
        </w:rPr>
        <w:t> </w:t>
      </w:r>
      <w:r>
        <w:rPr>
          <w:rStyle w:val="Referencingstyle"/>
        </w:rPr>
        <w:t>355-100(1)</w:t>
      </w:r>
      <w:r w:rsidR="00BC611B">
        <w:rPr>
          <w:rStyle w:val="Referencingstyle"/>
        </w:rPr>
        <w:t xml:space="preserve"> and</w:t>
      </w:r>
      <w:r>
        <w:rPr>
          <w:rStyle w:val="Referencingstyle"/>
        </w:rPr>
        <w:t xml:space="preserve"> 355-525(4)</w:t>
      </w:r>
      <w:r w:rsidR="00BC611B">
        <w:rPr>
          <w:rStyle w:val="Referencingstyle"/>
        </w:rPr>
        <w:t>, the heading to section</w:t>
      </w:r>
      <w:r>
        <w:rPr>
          <w:rStyle w:val="Referencingstyle"/>
        </w:rPr>
        <w:t xml:space="preserve"> </w:t>
      </w:r>
      <w:r w:rsidR="00BC611B">
        <w:rPr>
          <w:rStyle w:val="Referencingstyle"/>
        </w:rPr>
        <w:t xml:space="preserve">355-720, the note to subsection 355-720(1) </w:t>
      </w:r>
      <w:r>
        <w:rPr>
          <w:rStyle w:val="Referencingstyle"/>
        </w:rPr>
        <w:t>of the ITAA 1997</w:t>
      </w:r>
      <w:r w:rsidR="00042237">
        <w:rPr>
          <w:rStyle w:val="Referencingstyle"/>
        </w:rPr>
        <w:t>,</w:t>
      </w:r>
      <w:r>
        <w:rPr>
          <w:rStyle w:val="Referencingstyle"/>
        </w:rPr>
        <w:t xml:space="preserve"> and the heading to subsection 355-325(4A) </w:t>
      </w:r>
      <w:r w:rsidR="00BC611B">
        <w:rPr>
          <w:rStyle w:val="Referencingstyle"/>
        </w:rPr>
        <w:t xml:space="preserve">and section 355-720 </w:t>
      </w:r>
      <w:r>
        <w:rPr>
          <w:rStyle w:val="Referencingstyle"/>
        </w:rPr>
        <w:t>of the Income Tax (Transitional Provisions) Act 1997]</w:t>
      </w:r>
    </w:p>
    <w:p w14:paraId="7261F926" w14:textId="5BA83352" w:rsidR="00D47203" w:rsidRDefault="0039470C" w:rsidP="0085519B">
      <w:pPr>
        <w:pStyle w:val="base-text-paragraph"/>
        <w:numPr>
          <w:ilvl w:val="1"/>
          <w:numId w:val="4"/>
        </w:numPr>
      </w:pPr>
      <w:r>
        <w:t>A number of amendments are made to section 355-100 of the ITAA 1997 to accommodate and explain the introduction of subsection</w:t>
      </w:r>
      <w:r w:rsidR="00125DF0">
        <w:t> </w:t>
      </w:r>
      <w:r>
        <w:t xml:space="preserve">355-100(1A) to the calculation of the R&amp;D tax offset. </w:t>
      </w:r>
      <w:r w:rsidRPr="0039470C">
        <w:rPr>
          <w:rStyle w:val="Referencingstyle"/>
        </w:rPr>
        <w:t xml:space="preserve">[Exposure Draft, Schedule 1, items </w:t>
      </w:r>
      <w:r w:rsidR="00042237">
        <w:rPr>
          <w:rStyle w:val="Referencingstyle"/>
        </w:rPr>
        <w:t>8 and 10</w:t>
      </w:r>
      <w:r w:rsidRPr="0039470C">
        <w:rPr>
          <w:rStyle w:val="Referencingstyle"/>
        </w:rPr>
        <w:t xml:space="preserve">, </w:t>
      </w:r>
      <w:r w:rsidR="00223550">
        <w:rPr>
          <w:rStyle w:val="Referencingstyle"/>
        </w:rPr>
        <w:t>Note 2 to sub</w:t>
      </w:r>
      <w:r w:rsidRPr="0039470C">
        <w:rPr>
          <w:rStyle w:val="Referencingstyle"/>
        </w:rPr>
        <w:t>section 355-100</w:t>
      </w:r>
      <w:r w:rsidR="00223550">
        <w:rPr>
          <w:rStyle w:val="Referencingstyle"/>
        </w:rPr>
        <w:t>(1) and subsection</w:t>
      </w:r>
      <w:r w:rsidR="00125DF0">
        <w:rPr>
          <w:rStyle w:val="Referencingstyle"/>
        </w:rPr>
        <w:t> </w:t>
      </w:r>
      <w:r w:rsidR="00223550">
        <w:rPr>
          <w:rStyle w:val="Referencingstyle"/>
        </w:rPr>
        <w:t>355</w:t>
      </w:r>
      <w:r w:rsidR="00125DF0">
        <w:rPr>
          <w:rStyle w:val="Referencingstyle"/>
        </w:rPr>
        <w:noBreakHyphen/>
      </w:r>
      <w:r w:rsidR="00223550">
        <w:rPr>
          <w:rStyle w:val="Referencingstyle"/>
        </w:rPr>
        <w:t>100(2)</w:t>
      </w:r>
      <w:r w:rsidRPr="0039470C">
        <w:rPr>
          <w:rStyle w:val="Referencingstyle"/>
        </w:rPr>
        <w:t xml:space="preserve"> of the ITAA 1997]</w:t>
      </w:r>
    </w:p>
    <w:p w14:paraId="3D09DBCE" w14:textId="7E59F1FA" w:rsidR="0039470C" w:rsidRPr="00CF76C1" w:rsidRDefault="0039470C" w:rsidP="0085519B">
      <w:pPr>
        <w:pStyle w:val="base-text-paragraph"/>
        <w:numPr>
          <w:ilvl w:val="1"/>
          <w:numId w:val="4"/>
        </w:numPr>
        <w:rPr>
          <w:rStyle w:val="Referencingstyle"/>
          <w:b w:val="0"/>
          <w:i w:val="0"/>
          <w:sz w:val="22"/>
        </w:rPr>
      </w:pPr>
      <w:r>
        <w:t xml:space="preserve">Similarly, subsection 35-100(3) is amended to reflect both the increased expenditure threshold and the changes to subsection 355-100(1). In turn, a consequential amendment is made to subsection 67-30(1). </w:t>
      </w:r>
      <w:r w:rsidRPr="0039470C">
        <w:rPr>
          <w:rStyle w:val="Referencingstyle"/>
        </w:rPr>
        <w:t>[Exposure Draft, Schedule 1, item</w:t>
      </w:r>
      <w:r w:rsidR="00CF76C1">
        <w:rPr>
          <w:rStyle w:val="Referencingstyle"/>
        </w:rPr>
        <w:t>s</w:t>
      </w:r>
      <w:r w:rsidRPr="0039470C">
        <w:rPr>
          <w:rStyle w:val="Referencingstyle"/>
        </w:rPr>
        <w:t xml:space="preserve"> </w:t>
      </w:r>
      <w:r w:rsidR="00CF76C1">
        <w:rPr>
          <w:rStyle w:val="Referencingstyle"/>
        </w:rPr>
        <w:t>2 and 3</w:t>
      </w:r>
      <w:r w:rsidRPr="0039470C">
        <w:rPr>
          <w:rStyle w:val="Referencingstyle"/>
        </w:rPr>
        <w:t>, subsection 67-30(1) of the ITAA 1997]</w:t>
      </w:r>
    </w:p>
    <w:p w14:paraId="26AEDD67" w14:textId="0906E5FD" w:rsidR="00CF76C1" w:rsidRPr="00A557C8" w:rsidRDefault="00042237" w:rsidP="0085519B">
      <w:pPr>
        <w:pStyle w:val="base-text-paragraph"/>
        <w:numPr>
          <w:ilvl w:val="1"/>
          <w:numId w:val="4"/>
        </w:numPr>
        <w:rPr>
          <w:rStyle w:val="Referencingstyle"/>
          <w:b w:val="0"/>
          <w:i w:val="0"/>
          <w:sz w:val="22"/>
        </w:rPr>
      </w:pPr>
      <w:r>
        <w:rPr>
          <w:rStyle w:val="Referencingstyle"/>
          <w:b w:val="0"/>
          <w:i w:val="0"/>
          <w:sz w:val="22"/>
        </w:rPr>
        <w:t>C</w:t>
      </w:r>
      <w:r w:rsidR="00CF76C1">
        <w:rPr>
          <w:rStyle w:val="Referencingstyle"/>
          <w:b w:val="0"/>
          <w:i w:val="0"/>
          <w:sz w:val="22"/>
        </w:rPr>
        <w:t>onsequential amendment</w:t>
      </w:r>
      <w:r>
        <w:rPr>
          <w:rStyle w:val="Referencingstyle"/>
          <w:b w:val="0"/>
          <w:i w:val="0"/>
          <w:sz w:val="22"/>
        </w:rPr>
        <w:t>s</w:t>
      </w:r>
      <w:r w:rsidR="00CF76C1">
        <w:rPr>
          <w:rStyle w:val="Referencingstyle"/>
          <w:b w:val="0"/>
          <w:i w:val="0"/>
          <w:sz w:val="22"/>
        </w:rPr>
        <w:t xml:space="preserve"> </w:t>
      </w:r>
      <w:r>
        <w:rPr>
          <w:rStyle w:val="Referencingstyle"/>
          <w:b w:val="0"/>
          <w:i w:val="0"/>
          <w:sz w:val="22"/>
        </w:rPr>
        <w:t>are</w:t>
      </w:r>
      <w:r w:rsidR="00CF76C1">
        <w:rPr>
          <w:rStyle w:val="Referencingstyle"/>
          <w:b w:val="0"/>
          <w:i w:val="0"/>
          <w:sz w:val="22"/>
        </w:rPr>
        <w:t xml:space="preserve"> made to explain </w:t>
      </w:r>
      <w:r w:rsidR="00637FE7">
        <w:rPr>
          <w:rStyle w:val="Referencingstyle"/>
          <w:b w:val="0"/>
          <w:i w:val="0"/>
          <w:sz w:val="22"/>
        </w:rPr>
        <w:t xml:space="preserve">that </w:t>
      </w:r>
      <w:r w:rsidR="00CF76C1">
        <w:rPr>
          <w:rStyle w:val="Referencingstyle"/>
          <w:b w:val="0"/>
          <w:i w:val="0"/>
          <w:sz w:val="22"/>
        </w:rPr>
        <w:t>the amount of an R&amp;D tax offset in excess of the $4 million refund cap is a non</w:t>
      </w:r>
      <w:r w:rsidR="00637FE7">
        <w:rPr>
          <w:rStyle w:val="Referencingstyle"/>
          <w:b w:val="0"/>
          <w:i w:val="0"/>
          <w:sz w:val="22"/>
        </w:rPr>
        <w:noBreakHyphen/>
      </w:r>
      <w:r w:rsidR="00CF76C1">
        <w:rPr>
          <w:rStyle w:val="Referencingstyle"/>
          <w:b w:val="0"/>
          <w:i w:val="0"/>
          <w:sz w:val="22"/>
        </w:rPr>
        <w:t xml:space="preserve">refundable tax offset. </w:t>
      </w:r>
      <w:r w:rsidR="00CF76C1" w:rsidRPr="00CF76C1">
        <w:rPr>
          <w:rStyle w:val="Referencingstyle"/>
        </w:rPr>
        <w:t>[Ex</w:t>
      </w:r>
      <w:r w:rsidR="00CF76C1" w:rsidRPr="000D7FE5">
        <w:rPr>
          <w:rStyle w:val="Referencingstyle"/>
        </w:rPr>
        <w:t>posure Draft, Schedule 1, item</w:t>
      </w:r>
      <w:r>
        <w:rPr>
          <w:rStyle w:val="Referencingstyle"/>
        </w:rPr>
        <w:t>s</w:t>
      </w:r>
      <w:r w:rsidR="00CF76C1" w:rsidRPr="000D7FE5">
        <w:rPr>
          <w:rStyle w:val="Referencingstyle"/>
        </w:rPr>
        <w:t xml:space="preserve"> 1</w:t>
      </w:r>
      <w:r>
        <w:rPr>
          <w:rStyle w:val="Referencingstyle"/>
        </w:rPr>
        <w:t xml:space="preserve"> and 8</w:t>
      </w:r>
      <w:r w:rsidR="00CF76C1" w:rsidRPr="000D7FE5">
        <w:rPr>
          <w:rStyle w:val="Referencingstyle"/>
        </w:rPr>
        <w:t>, table item 35 in subsection 63-10(1)</w:t>
      </w:r>
      <w:r>
        <w:rPr>
          <w:rStyle w:val="Referencingstyle"/>
        </w:rPr>
        <w:t xml:space="preserve"> and Note 1 to subsection 355-100(1)</w:t>
      </w:r>
      <w:r w:rsidR="00CF76C1" w:rsidRPr="000D7FE5">
        <w:rPr>
          <w:rStyle w:val="Referencingstyle"/>
        </w:rPr>
        <w:t xml:space="preserve"> of the ITAA 1997]</w:t>
      </w:r>
    </w:p>
    <w:p w14:paraId="6090FE69" w14:textId="6ED12848" w:rsidR="00B17774" w:rsidRDefault="00B17774" w:rsidP="00B17774">
      <w:pPr>
        <w:pStyle w:val="Heading2"/>
      </w:pPr>
      <w:r>
        <w:t>Application provisions</w:t>
      </w:r>
    </w:p>
    <w:p w14:paraId="7C53151F" w14:textId="65E75C00" w:rsidR="00F61EEF" w:rsidRPr="00F61EEF" w:rsidRDefault="00F61EEF" w:rsidP="00F61EEF">
      <w:pPr>
        <w:pStyle w:val="base-text-paragraph"/>
      </w:pPr>
      <w:r w:rsidRPr="00F61EEF">
        <w:t>The amendments commence on the first day of the quarter following Royal Assent.</w:t>
      </w:r>
      <w:r w:rsidR="0012514D">
        <w:t xml:space="preserve"> </w:t>
      </w:r>
      <w:r w:rsidR="0012514D">
        <w:rPr>
          <w:rStyle w:val="Referencingstyle"/>
        </w:rPr>
        <w:t>[Exposure Draft, section 2]</w:t>
      </w:r>
    </w:p>
    <w:p w14:paraId="32BF78BE" w14:textId="5EC5AF1F" w:rsidR="00F61EEF" w:rsidRPr="000D7FE5" w:rsidRDefault="00F61EEF" w:rsidP="00F61EEF">
      <w:pPr>
        <w:pStyle w:val="base-text-paragraph"/>
        <w:rPr>
          <w:rStyle w:val="Referencingstyle"/>
          <w:b w:val="0"/>
          <w:i w:val="0"/>
          <w:sz w:val="22"/>
        </w:rPr>
      </w:pPr>
      <w:r>
        <w:t xml:space="preserve">The </w:t>
      </w:r>
      <w:r w:rsidR="00D80645">
        <w:t xml:space="preserve">amendments in Schedule 1 </w:t>
      </w:r>
      <w:r>
        <w:t>apply to income years starting on or after 1 July 2018.</w:t>
      </w:r>
      <w:r w:rsidR="0012514D">
        <w:t xml:space="preserve"> </w:t>
      </w:r>
      <w:r w:rsidR="0012514D" w:rsidRPr="0012514D">
        <w:rPr>
          <w:rStyle w:val="Referencingstyle"/>
        </w:rPr>
        <w:t>[Expo</w:t>
      </w:r>
      <w:r w:rsidR="00D80645">
        <w:rPr>
          <w:rStyle w:val="Referencingstyle"/>
        </w:rPr>
        <w:t xml:space="preserve">sure Draft, Schedule 1, item </w:t>
      </w:r>
      <w:r w:rsidR="008620F4">
        <w:rPr>
          <w:rStyle w:val="Referencingstyle"/>
        </w:rPr>
        <w:t>22</w:t>
      </w:r>
      <w:r w:rsidR="0012514D" w:rsidRPr="0012514D">
        <w:rPr>
          <w:rStyle w:val="Referencingstyle"/>
        </w:rPr>
        <w:t>]</w:t>
      </w:r>
    </w:p>
    <w:p w14:paraId="187B340F" w14:textId="77777777" w:rsidR="008044C9" w:rsidRDefault="008044C9" w:rsidP="00B17774">
      <w:pPr>
        <w:sectPr w:rsidR="008044C9" w:rsidSect="00E74E50">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pPr>
    </w:p>
    <w:p w14:paraId="4988E17D" w14:textId="199644D8" w:rsidR="008044C9" w:rsidRPr="007C2B20" w:rsidRDefault="008044C9" w:rsidP="008044C9">
      <w:pPr>
        <w:pStyle w:val="ChapterHeading"/>
        <w:numPr>
          <w:ilvl w:val="0"/>
          <w:numId w:val="4"/>
        </w:numPr>
      </w:pPr>
      <w:r w:rsidRPr="000C2A9D">
        <w:br/>
      </w:r>
      <w:bookmarkStart w:id="11" w:name="_Toc516237595"/>
      <w:bookmarkStart w:id="12" w:name="_Toc517163912"/>
      <w:r w:rsidR="00A73746">
        <w:rPr>
          <w:rStyle w:val="ChapterNameOnly"/>
        </w:rPr>
        <w:t>Enhancing the integrity of the Research and Development Tax Incentive</w:t>
      </w:r>
      <w:bookmarkEnd w:id="11"/>
      <w:bookmarkEnd w:id="12"/>
    </w:p>
    <w:p w14:paraId="233F6189" w14:textId="77777777" w:rsidR="008044C9" w:rsidRDefault="008044C9" w:rsidP="00B17774">
      <w:pPr>
        <w:pStyle w:val="Heading2"/>
      </w:pPr>
      <w:r>
        <w:t>Outline of chapter</w:t>
      </w:r>
    </w:p>
    <w:p w14:paraId="518D988A" w14:textId="7160FCEA" w:rsidR="008044C9" w:rsidRDefault="007D6D78" w:rsidP="008044C9">
      <w:pPr>
        <w:numPr>
          <w:ilvl w:val="1"/>
          <w:numId w:val="4"/>
        </w:numPr>
      </w:pPr>
      <w:r>
        <w:t xml:space="preserve">Schedule 2 to the Exposure Draft enhances the integrity of the Incentive by ensuring </w:t>
      </w:r>
      <w:r w:rsidR="006070DB">
        <w:t>R&amp;D entit</w:t>
      </w:r>
      <w:r>
        <w:t>ies cannot obtain inappropriate tax benefits</w:t>
      </w:r>
      <w:r w:rsidR="00375235">
        <w:t xml:space="preserve"> and</w:t>
      </w:r>
      <w:r>
        <w:t xml:space="preserve"> by clawing back the benefit of the Incentive to the extent an entity has received another benefit in connection with an R&amp;D activity. </w:t>
      </w:r>
    </w:p>
    <w:p w14:paraId="4021C2D2" w14:textId="77777777" w:rsidR="008044C9" w:rsidRDefault="008044C9" w:rsidP="00B17774">
      <w:pPr>
        <w:pStyle w:val="Heading2"/>
      </w:pPr>
      <w:r>
        <w:t>Context of amendments</w:t>
      </w:r>
    </w:p>
    <w:p w14:paraId="4A102EE8" w14:textId="77777777" w:rsidR="008044C9" w:rsidRDefault="008044C9" w:rsidP="008044C9">
      <w:pPr>
        <w:pStyle w:val="Heading3"/>
      </w:pPr>
      <w:r>
        <w:t>Recoupments</w:t>
      </w:r>
    </w:p>
    <w:p w14:paraId="69E449A1" w14:textId="6EA525C2" w:rsidR="008044C9" w:rsidRDefault="008044C9" w:rsidP="008044C9">
      <w:pPr>
        <w:pStyle w:val="base-text-paragraph"/>
        <w:tabs>
          <w:tab w:val="clear" w:pos="1985"/>
          <w:tab w:val="num" w:pos="1984"/>
        </w:tabs>
      </w:pPr>
      <w:r w:rsidRPr="00902BB5">
        <w:t xml:space="preserve">Where an R&amp;D entity benefits from a </w:t>
      </w:r>
      <w:r>
        <w:t>g</w:t>
      </w:r>
      <w:r w:rsidRPr="00902BB5">
        <w:t xml:space="preserve">overnment recoupment (such as a grant or reimbursement) in </w:t>
      </w:r>
      <w:r>
        <w:t>relation to expenditure</w:t>
      </w:r>
      <w:r w:rsidRPr="00902BB5">
        <w:t xml:space="preserve"> that </w:t>
      </w:r>
      <w:r>
        <w:t>is</w:t>
      </w:r>
      <w:r w:rsidRPr="00902BB5">
        <w:t xml:space="preserve"> also eligible for the R&amp;D tax </w:t>
      </w:r>
      <w:r w:rsidR="007D6D78">
        <w:t>offset</w:t>
      </w:r>
      <w:r w:rsidRPr="00902BB5">
        <w:t xml:space="preserve">, </w:t>
      </w:r>
      <w:r>
        <w:t xml:space="preserve">a </w:t>
      </w:r>
      <w:r w:rsidRPr="00902BB5">
        <w:t xml:space="preserve">clawback applies to </w:t>
      </w:r>
      <w:r>
        <w:t>reverse the</w:t>
      </w:r>
      <w:r w:rsidRPr="00902BB5">
        <w:t xml:space="preserve"> double benefit</w:t>
      </w:r>
      <w:r>
        <w:t xml:space="preserve"> that arises (Subdivision 355-G)</w:t>
      </w:r>
      <w:r w:rsidRPr="00902BB5">
        <w:t xml:space="preserve">. </w:t>
      </w:r>
      <w:r>
        <w:t xml:space="preserve">In this context, only the ‘incentive component’ of an R&amp;D tax offset is intended to be clawed back. </w:t>
      </w:r>
    </w:p>
    <w:p w14:paraId="75E98D09" w14:textId="52CA1F06" w:rsidR="008044C9" w:rsidRDefault="008044C9" w:rsidP="008044C9">
      <w:pPr>
        <w:pStyle w:val="base-text-paragraph"/>
      </w:pPr>
      <w:r w:rsidRPr="00902BB5">
        <w:t xml:space="preserve">The </w:t>
      </w:r>
      <w:r>
        <w:t>clawback takes the form of an additional</w:t>
      </w:r>
      <w:r w:rsidRPr="00902BB5">
        <w:t xml:space="preserve"> tax on the recoupment</w:t>
      </w:r>
      <w:r>
        <w:t xml:space="preserve"> (and any other expenditure required as a condition of the recoupment) at a rate of 10 per cent (sections 12B and 31 of the </w:t>
      </w:r>
      <w:r w:rsidRPr="00346166">
        <w:rPr>
          <w:i/>
        </w:rPr>
        <w:t>Income Tax Rates Act 1986</w:t>
      </w:r>
      <w:r>
        <w:t>).</w:t>
      </w:r>
      <w:r w:rsidRPr="00660F0D">
        <w:t xml:space="preserve"> </w:t>
      </w:r>
      <w:r>
        <w:t xml:space="preserve">The 10 per cent rate was initially selected as a simplicity measure by making the assumption </w:t>
      </w:r>
      <w:r w:rsidR="00A36502">
        <w:t xml:space="preserve">that </w:t>
      </w:r>
      <w:r>
        <w:t xml:space="preserve">the </w:t>
      </w:r>
      <w:r w:rsidR="006070DB">
        <w:t>R&amp;D entit</w:t>
      </w:r>
      <w:r>
        <w:t xml:space="preserve">y obtained the initial lower offset rate of 40 per cent (now 38.5 per cent) rather than the higher rate of 45 per cent (now 43.5 per cent). The 10 per cent tax rate also assumes a fixed 30 per cent corporate tax rate for all </w:t>
      </w:r>
      <w:r w:rsidR="006070DB">
        <w:t>R&amp;D entit</w:t>
      </w:r>
      <w:r>
        <w:t xml:space="preserve">ies. </w:t>
      </w:r>
    </w:p>
    <w:p w14:paraId="1BD49386" w14:textId="77777777" w:rsidR="008044C9" w:rsidRDefault="008044C9" w:rsidP="008044C9">
      <w:pPr>
        <w:pStyle w:val="ExampleHeading"/>
      </w:pPr>
      <w:r>
        <w:t xml:space="preserve"> Recoupments</w:t>
      </w:r>
    </w:p>
    <w:p w14:paraId="452C3BE5" w14:textId="4078955E" w:rsidR="008044C9" w:rsidRDefault="005D6EA2" w:rsidP="008044C9">
      <w:pPr>
        <w:pStyle w:val="exampletext"/>
      </w:pPr>
      <w:r>
        <w:t>Cross Innovations</w:t>
      </w:r>
      <w:r w:rsidR="008044C9">
        <w:t xml:space="preserve"> receives a $1 million grant to undertake R&amp;D activities. In addition to the grant, </w:t>
      </w:r>
      <w:r>
        <w:t>Cross Innovations</w:t>
      </w:r>
      <w:r w:rsidR="008044C9">
        <w:t xml:space="preserve"> must spend an additional $1 million of its own money as a condition of the grant. </w:t>
      </w:r>
      <w:r>
        <w:t>Cross Innovations</w:t>
      </w:r>
      <w:r w:rsidR="008044C9">
        <w:t xml:space="preserve"> receives an offset of $870,000 (applying the 43.5 per cent offset rate). </w:t>
      </w:r>
      <w:r>
        <w:t>Cross Innovations</w:t>
      </w:r>
      <w:r w:rsidR="008044C9">
        <w:t xml:space="preserve"> would have otherwise been entitled to a deduction worth $550,000 at the 27.5 per cent corporate tax rate. The incentive component of the offset is the difference: $320,000. </w:t>
      </w:r>
    </w:p>
    <w:p w14:paraId="4D028D38" w14:textId="6D07055F" w:rsidR="008044C9" w:rsidRDefault="008044C9" w:rsidP="008044C9">
      <w:pPr>
        <w:pStyle w:val="exampletext"/>
      </w:pPr>
      <w:r>
        <w:t xml:space="preserve">In the same income year, the recoupment rules clawback $200,000: 10 per cent of the total $2 million spent under the terms of the grant. </w:t>
      </w:r>
      <w:r w:rsidR="005D6EA2">
        <w:t>Cross Innovations</w:t>
      </w:r>
      <w:r>
        <w:t xml:space="preserve"> keeps the remaining $120,000 of the offset</w:t>
      </w:r>
      <w:r w:rsidR="00375235">
        <w:t xml:space="preserve"> incentive</w:t>
      </w:r>
      <w:r>
        <w:t xml:space="preserve">. However, the grant alone is intended to </w:t>
      </w:r>
      <w:r w:rsidR="000B11A7">
        <w:t>constitute</w:t>
      </w:r>
      <w:r>
        <w:t xml:space="preserve"> sufficient incentive without the need for the R&amp;D Tax Incentive to continue to apply. </w:t>
      </w:r>
    </w:p>
    <w:p w14:paraId="2465964E" w14:textId="50400990" w:rsidR="0048182C" w:rsidRDefault="0048182C" w:rsidP="0048182C">
      <w:pPr>
        <w:pStyle w:val="base-text-paragraph"/>
      </w:pPr>
      <w:r>
        <w:t xml:space="preserve">The recoupment rules also apply where an </w:t>
      </w:r>
      <w:r w:rsidR="006070DB">
        <w:t>R&amp;D entit</w:t>
      </w:r>
      <w:r>
        <w:t xml:space="preserve">y receives a recoupment for expenditure incurred by another entity to which it is connected or affiliated (subsection 355-450(4)). In these situations, the entity receiving the recoupment is subject to the clawback tax even though the other entity obtained the </w:t>
      </w:r>
      <w:r w:rsidR="009A11D4">
        <w:t xml:space="preserve">financial </w:t>
      </w:r>
      <w:r>
        <w:t xml:space="preserve">benefit of the R&amp;D tax offset. </w:t>
      </w:r>
    </w:p>
    <w:p w14:paraId="75F06CB1" w14:textId="77777777" w:rsidR="008044C9" w:rsidRDefault="008044C9" w:rsidP="008044C9">
      <w:pPr>
        <w:pStyle w:val="Heading3"/>
      </w:pPr>
      <w:r>
        <w:t>Feedstock adjustments</w:t>
      </w:r>
    </w:p>
    <w:p w14:paraId="2386A9DB" w14:textId="536F7081" w:rsidR="008044C9" w:rsidRDefault="008044C9" w:rsidP="008044C9">
      <w:pPr>
        <w:pStyle w:val="base-text-paragraph"/>
      </w:pPr>
      <w:r>
        <w:t xml:space="preserve">Feedstock adjustments apply to recoup the benefit of the Incentive to the extent it relates to goods, material or energy used to produce marketable products sold or applied to the </w:t>
      </w:r>
      <w:r w:rsidR="006070DB">
        <w:t>R&amp;D entit</w:t>
      </w:r>
      <w:r>
        <w:t xml:space="preserve">y’s own use (Subdivision 355-H). </w:t>
      </w:r>
    </w:p>
    <w:p w14:paraId="002EEB16" w14:textId="77777777" w:rsidR="008044C9" w:rsidRDefault="008044C9" w:rsidP="008044C9">
      <w:pPr>
        <w:pStyle w:val="base-text-paragraph"/>
      </w:pPr>
      <w:r>
        <w:t>The intended net outcome is that the Incentive is effectively enjoyed on feedstock expenditure to the extent that it is not offset by feedstock revenue. This is achieved by basing the adjustment on the lesser of feedstock expenditure and feedstock revenue.</w:t>
      </w:r>
    </w:p>
    <w:p w14:paraId="22FD6B22" w14:textId="77777777" w:rsidR="008044C9" w:rsidRDefault="008044C9" w:rsidP="008044C9">
      <w:pPr>
        <w:pStyle w:val="dotpoint"/>
        <w:numPr>
          <w:ilvl w:val="0"/>
          <w:numId w:val="23"/>
        </w:numPr>
        <w:tabs>
          <w:tab w:val="clear" w:pos="2268"/>
          <w:tab w:val="num" w:pos="1701"/>
        </w:tabs>
        <w:ind w:left="1701" w:hanging="425"/>
      </w:pPr>
      <w:r>
        <w:t>where feedstock revenue exceeds the feedstock output’s related feedstock expenditure, the feedstock adjustment will be based on the feedstock expenditure — because the effective net cost of the feedstock inputs and energy was nil.</w:t>
      </w:r>
    </w:p>
    <w:p w14:paraId="6F03BD69" w14:textId="77777777" w:rsidR="008044C9" w:rsidRDefault="008044C9" w:rsidP="008044C9">
      <w:pPr>
        <w:pStyle w:val="dotpoint"/>
        <w:numPr>
          <w:ilvl w:val="0"/>
          <w:numId w:val="23"/>
        </w:numPr>
        <w:tabs>
          <w:tab w:val="clear" w:pos="2268"/>
          <w:tab w:val="num" w:pos="1701"/>
        </w:tabs>
        <w:ind w:left="1701" w:hanging="425"/>
      </w:pPr>
      <w:r>
        <w:t>where feedstock revenue is less than the feedstock output’s related feedstock expenditure, the feedstock adjustment will be based on the feedstock revenue — because the effective net cost of the feedstock inputs and energy was reduced by that amount.</w:t>
      </w:r>
    </w:p>
    <w:p w14:paraId="7D8646FF" w14:textId="753BF793" w:rsidR="008044C9" w:rsidRDefault="008044C9" w:rsidP="008044C9">
      <w:pPr>
        <w:pStyle w:val="base-text-paragraph"/>
      </w:pPr>
      <w:r>
        <w:t xml:space="preserve">The </w:t>
      </w:r>
      <w:r w:rsidR="00375235">
        <w:t xml:space="preserve">adjustment </w:t>
      </w:r>
      <w:r>
        <w:t xml:space="preserve">is implemented by including one third of the lesser of feedstock expenditure or feedstock revenue in the </w:t>
      </w:r>
      <w:r w:rsidR="006070DB">
        <w:t>R&amp;D entit</w:t>
      </w:r>
      <w:r>
        <w:t>y’s assessable income (subsection 355-465(2)). As with the recoupments in Subdivision 355-G, the one third formula is intended to recoup 10 percentage points of the Incentive (based on a standard 30</w:t>
      </w:r>
      <w:r w:rsidR="00375235">
        <w:t> </w:t>
      </w:r>
      <w:r>
        <w:t>per</w:t>
      </w:r>
      <w:r w:rsidR="00375235">
        <w:t> </w:t>
      </w:r>
      <w:r>
        <w:t xml:space="preserve">cent corporate tax rate). </w:t>
      </w:r>
    </w:p>
    <w:p w14:paraId="235EAD62" w14:textId="77777777" w:rsidR="008044C9" w:rsidRDefault="008044C9" w:rsidP="008044C9">
      <w:pPr>
        <w:pStyle w:val="base-text-paragraph"/>
      </w:pPr>
      <w:r>
        <w:t xml:space="preserve">In contrast to the other recoupment provisions, this recoupment is incorporated into the income tax equation in section 4-10 and does not create a new tax. </w:t>
      </w:r>
    </w:p>
    <w:p w14:paraId="022E4F1D" w14:textId="77777777" w:rsidR="008044C9" w:rsidRDefault="008044C9" w:rsidP="008044C9">
      <w:pPr>
        <w:pStyle w:val="ExampleHeading"/>
      </w:pPr>
      <w:r>
        <w:t xml:space="preserve"> Feedstock adjustments</w:t>
      </w:r>
    </w:p>
    <w:p w14:paraId="3E71E00D" w14:textId="010C8F8B" w:rsidR="00D4081D" w:rsidRDefault="004F513F" w:rsidP="008044C9">
      <w:pPr>
        <w:pStyle w:val="exampletext"/>
      </w:pPr>
      <w:r>
        <w:t>Wayland</w:t>
      </w:r>
      <w:r w:rsidR="00BB6A85">
        <w:t xml:space="preserve"> Enterprises, a </w:t>
      </w:r>
      <w:r w:rsidR="008044C9">
        <w:t xml:space="preserve">large </w:t>
      </w:r>
      <w:r w:rsidR="00E97C52">
        <w:t>R&amp;D entity</w:t>
      </w:r>
      <w:r w:rsidR="00BB6A85">
        <w:t>,</w:t>
      </w:r>
      <w:r w:rsidR="008044C9">
        <w:t xml:space="preserve"> spends $100,000 on the development of a new product, producing one </w:t>
      </w:r>
      <w:r w:rsidR="00A853DF">
        <w:t>tangible product</w:t>
      </w:r>
      <w:r w:rsidR="008044C9">
        <w:t xml:space="preserve">, which it then sells for $110,000. </w:t>
      </w:r>
      <w:r>
        <w:t>Wayland</w:t>
      </w:r>
      <w:r w:rsidR="00BB6A85">
        <w:t xml:space="preserve"> Enterprises</w:t>
      </w:r>
      <w:r w:rsidR="008044C9">
        <w:t xml:space="preserve"> is entitled to a $38,500 offset (with an in incentive component of $8,500). </w:t>
      </w:r>
    </w:p>
    <w:p w14:paraId="459DBC17" w14:textId="59EB88FB" w:rsidR="008044C9" w:rsidRDefault="00D4081D" w:rsidP="008044C9">
      <w:pPr>
        <w:pStyle w:val="exampletext"/>
      </w:pPr>
      <w:r>
        <w:t xml:space="preserve">$33,333 is included in </w:t>
      </w:r>
      <w:r w:rsidR="004F513F">
        <w:t>Wayland</w:t>
      </w:r>
      <w:r>
        <w:t xml:space="preserve"> Enterprises’ assessable income (one third of the feedstock expenditure). After applying the corporate tax rate to the amount included in assessable income, t</w:t>
      </w:r>
      <w:r w:rsidR="008044C9">
        <w:t>he feedstock adjustment would claw back 10</w:t>
      </w:r>
      <w:r w:rsidR="00BB6A85">
        <w:t> </w:t>
      </w:r>
      <w:r w:rsidR="008044C9">
        <w:t xml:space="preserve">per cent of the </w:t>
      </w:r>
      <w:r>
        <w:t>offset</w:t>
      </w:r>
      <w:r w:rsidR="008044C9">
        <w:t>: $10,000, which is more than the incentive component.</w:t>
      </w:r>
    </w:p>
    <w:p w14:paraId="56F601BC" w14:textId="3BF2FBF2" w:rsidR="00D4081D" w:rsidRDefault="008044C9" w:rsidP="008044C9">
      <w:pPr>
        <w:pStyle w:val="exampletext"/>
      </w:pPr>
      <w:r>
        <w:t xml:space="preserve">However, </w:t>
      </w:r>
      <w:r w:rsidR="00BB6A85">
        <w:t xml:space="preserve">if </w:t>
      </w:r>
      <w:r w:rsidR="004F513F">
        <w:t>Wayland</w:t>
      </w:r>
      <w:r w:rsidR="00BB6A85">
        <w:t xml:space="preserve"> Enterprises was </w:t>
      </w:r>
      <w:r>
        <w:t xml:space="preserve">a small </w:t>
      </w:r>
      <w:r w:rsidR="00E97C52">
        <w:t xml:space="preserve">R&amp;D entity </w:t>
      </w:r>
      <w:r>
        <w:t>in the same position</w:t>
      </w:r>
      <w:r w:rsidR="00BB6A85">
        <w:t>, it</w:t>
      </w:r>
      <w:r>
        <w:t xml:space="preserve"> would claim an offset of $43,500 (with an incentive component of $16,000). </w:t>
      </w:r>
    </w:p>
    <w:p w14:paraId="4F458CCF" w14:textId="595DFD78" w:rsidR="008044C9" w:rsidRDefault="00D4081D" w:rsidP="008044C9">
      <w:pPr>
        <w:pStyle w:val="exampletext"/>
      </w:pPr>
      <w:r>
        <w:t xml:space="preserve">The $33,333 included in assessable income and taxed at the 27.5 per cent corporate tax rate. </w:t>
      </w:r>
      <w:r w:rsidR="008044C9">
        <w:t xml:space="preserve">The feedstock adjustment would claw back just </w:t>
      </w:r>
      <m:oMath>
        <m:r>
          <w:rPr>
            <w:rFonts w:ascii="Cambria Math" w:hAnsi="Cambria Math"/>
          </w:rPr>
          <m:t>9</m:t>
        </m:r>
        <m:f>
          <m:fPr>
            <m:ctrlPr>
              <w:rPr>
                <w:rFonts w:ascii="Cambria Math" w:hAnsi="Cambria Math"/>
                <w:i/>
              </w:rPr>
            </m:ctrlPr>
          </m:fPr>
          <m:num>
            <m:r>
              <w:rPr>
                <w:rFonts w:ascii="Cambria Math" w:hAnsi="Cambria Math"/>
              </w:rPr>
              <m:t>1</m:t>
            </m:r>
          </m:num>
          <m:den>
            <m:r>
              <w:rPr>
                <w:rFonts w:ascii="Cambria Math" w:hAnsi="Cambria Math"/>
              </w:rPr>
              <m:t>6</m:t>
            </m:r>
          </m:den>
        </m:f>
      </m:oMath>
      <w:r w:rsidR="008044C9">
        <w:t xml:space="preserve"> per cent of the </w:t>
      </w:r>
      <w:r>
        <w:t>offset</w:t>
      </w:r>
      <w:r w:rsidR="008044C9">
        <w:t xml:space="preserve">: $9,166.67. </w:t>
      </w:r>
    </w:p>
    <w:p w14:paraId="04C1AB98" w14:textId="1895C621" w:rsidR="0048182C" w:rsidRDefault="0048182C" w:rsidP="0048182C">
      <w:pPr>
        <w:pStyle w:val="base-text-paragraph"/>
      </w:pPr>
      <w:r>
        <w:t xml:space="preserve">The feedstock rules also apply where an entity receives feedstock revenue in relation to an R&amp;D tax offset obtained by another entity to which it is connected or affiliated (section 355-75). However, in these situations, the </w:t>
      </w:r>
      <w:r w:rsidR="006070DB">
        <w:t>R&amp;D entit</w:t>
      </w:r>
      <w:r>
        <w:t xml:space="preserve">y originally entitled to the R&amp;D tax offset is subject to the feedstock adjustment rather than the entity receiving the feedstock revenue. </w:t>
      </w:r>
      <w:r w:rsidR="00445591">
        <w:t xml:space="preserve">This represents a further inconsistency between the tax treatment of feedstock revenue and recoupments. </w:t>
      </w:r>
    </w:p>
    <w:p w14:paraId="1149D43A" w14:textId="77777777" w:rsidR="008044C9" w:rsidRDefault="008044C9" w:rsidP="00B17774">
      <w:pPr>
        <w:pStyle w:val="Heading2"/>
      </w:pPr>
      <w:r>
        <w:t>Summary of new law</w:t>
      </w:r>
    </w:p>
    <w:p w14:paraId="585F6B2B" w14:textId="13F5A747" w:rsidR="008044C9" w:rsidRDefault="008044C9" w:rsidP="008044C9">
      <w:pPr>
        <w:pStyle w:val="base-text-paragraph"/>
        <w:numPr>
          <w:ilvl w:val="1"/>
          <w:numId w:val="4"/>
        </w:numPr>
      </w:pPr>
      <w:r>
        <w:t>Schedule 2 to the Exposure Draft improves the integrity of the Incentive by</w:t>
      </w:r>
      <w:r w:rsidR="004E0A41">
        <w:t>:</w:t>
      </w:r>
      <w:r>
        <w:t xml:space="preserve"> </w:t>
      </w:r>
    </w:p>
    <w:p w14:paraId="443E6CBE" w14:textId="7CC0E593" w:rsidR="00375235" w:rsidRDefault="00375235" w:rsidP="00375235">
      <w:pPr>
        <w:pStyle w:val="dotpoint"/>
      </w:pPr>
      <w:r>
        <w:t>extending the general anti-avoidance rules in the tax law to R&amp;D tax offsets directly; and</w:t>
      </w:r>
    </w:p>
    <w:p w14:paraId="761795B0" w14:textId="0F3434B6" w:rsidR="008044C9" w:rsidRDefault="008044C9" w:rsidP="000D7FE5">
      <w:pPr>
        <w:pStyle w:val="dotpoint"/>
      </w:pPr>
      <w:r>
        <w:t>making the rate at which the offset is recouped more accurate in situations where the offset would otherwise result in a double benefit</w:t>
      </w:r>
      <w:r w:rsidR="00375235">
        <w:t>.</w:t>
      </w:r>
    </w:p>
    <w:p w14:paraId="5F9F3001" w14:textId="77777777" w:rsidR="008044C9" w:rsidRDefault="008044C9"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044C9" w:rsidRPr="004666B8" w14:paraId="08C66EFD" w14:textId="77777777" w:rsidTr="007F0417">
        <w:trPr>
          <w:cantSplit/>
          <w:tblHeader/>
        </w:trPr>
        <w:tc>
          <w:tcPr>
            <w:tcW w:w="3275" w:type="dxa"/>
          </w:tcPr>
          <w:p w14:paraId="790178F7" w14:textId="77777777" w:rsidR="008044C9" w:rsidRPr="004666B8" w:rsidRDefault="008044C9" w:rsidP="00DF284C">
            <w:pPr>
              <w:pStyle w:val="tableheaderwithintable"/>
              <w:rPr>
                <w:lang w:val="en-US" w:eastAsia="en-US"/>
              </w:rPr>
            </w:pPr>
            <w:r w:rsidRPr="004666B8">
              <w:rPr>
                <w:lang w:val="en-US" w:eastAsia="en-US"/>
              </w:rPr>
              <w:t>New law</w:t>
            </w:r>
          </w:p>
        </w:tc>
        <w:tc>
          <w:tcPr>
            <w:tcW w:w="3276" w:type="dxa"/>
          </w:tcPr>
          <w:p w14:paraId="488A9D6E" w14:textId="77777777" w:rsidR="008044C9" w:rsidRPr="004666B8" w:rsidRDefault="008044C9" w:rsidP="00DF284C">
            <w:pPr>
              <w:pStyle w:val="tableheaderwithintable"/>
              <w:rPr>
                <w:lang w:val="en-US" w:eastAsia="en-US"/>
              </w:rPr>
            </w:pPr>
            <w:r w:rsidRPr="004666B8">
              <w:rPr>
                <w:lang w:val="en-US" w:eastAsia="en-US"/>
              </w:rPr>
              <w:t>Current law</w:t>
            </w:r>
          </w:p>
        </w:tc>
      </w:tr>
      <w:tr w:rsidR="00D80645" w14:paraId="07D0DF8B" w14:textId="77777777" w:rsidTr="007F0417">
        <w:trPr>
          <w:cantSplit/>
          <w:tblHeader/>
        </w:trPr>
        <w:tc>
          <w:tcPr>
            <w:tcW w:w="6551" w:type="dxa"/>
            <w:gridSpan w:val="2"/>
          </w:tcPr>
          <w:p w14:paraId="54E24729" w14:textId="320F0085" w:rsidR="00D80645" w:rsidRDefault="00DE3695" w:rsidP="00DF284C">
            <w:pPr>
              <w:pStyle w:val="tableheaderwithintable"/>
              <w:rPr>
                <w:lang w:val="en-US" w:eastAsia="en-US"/>
              </w:rPr>
            </w:pPr>
            <w:r w:rsidRPr="00DE3695">
              <w:rPr>
                <w:lang w:val="en-US" w:eastAsia="en-US"/>
              </w:rPr>
              <w:t>Schemes to obtain an R&amp;D tax benefit</w:t>
            </w:r>
          </w:p>
        </w:tc>
      </w:tr>
      <w:tr w:rsidR="00D80645" w14:paraId="708F3746" w14:textId="77777777" w:rsidTr="007F0417">
        <w:trPr>
          <w:cantSplit/>
          <w:tblHeader/>
        </w:trPr>
        <w:tc>
          <w:tcPr>
            <w:tcW w:w="3275" w:type="dxa"/>
          </w:tcPr>
          <w:p w14:paraId="731C7D55" w14:textId="44DE9FE7" w:rsidR="00D80645" w:rsidRDefault="00D80645" w:rsidP="00DF284C">
            <w:pPr>
              <w:pStyle w:val="tabletext"/>
              <w:rPr>
                <w:lang w:val="en-US" w:eastAsia="en-US"/>
              </w:rPr>
            </w:pPr>
            <w:r>
              <w:rPr>
                <w:lang w:val="en-US" w:eastAsia="en-US"/>
              </w:rPr>
              <w:t xml:space="preserve">The Commissioner may also deny a tax benefit in the form of an amount of R&amp;D tax offset that an </w:t>
            </w:r>
            <w:r w:rsidR="006070DB">
              <w:rPr>
                <w:lang w:val="en-US" w:eastAsia="en-US"/>
              </w:rPr>
              <w:t>R&amp;D entit</w:t>
            </w:r>
            <w:r>
              <w:rPr>
                <w:lang w:val="en-US" w:eastAsia="en-US"/>
              </w:rPr>
              <w:t>y seeks to obtain from a tax avoidance scheme.</w:t>
            </w:r>
          </w:p>
        </w:tc>
        <w:tc>
          <w:tcPr>
            <w:tcW w:w="3276" w:type="dxa"/>
          </w:tcPr>
          <w:p w14:paraId="5B0CF3B7" w14:textId="77777777" w:rsidR="00D80645" w:rsidRDefault="00D80645" w:rsidP="00DF284C">
            <w:pPr>
              <w:pStyle w:val="tabletext"/>
              <w:rPr>
                <w:lang w:val="en-US" w:eastAsia="en-US"/>
              </w:rPr>
            </w:pPr>
            <w:r>
              <w:rPr>
                <w:lang w:val="en-US" w:eastAsia="en-US"/>
              </w:rPr>
              <w:t xml:space="preserve">The Commissioner may deny a tax benefit in the form of a deduction or notional deduction that an </w:t>
            </w:r>
            <w:r w:rsidR="006070DB">
              <w:rPr>
                <w:lang w:val="en-US" w:eastAsia="en-US"/>
              </w:rPr>
              <w:t>R&amp;D entit</w:t>
            </w:r>
            <w:r>
              <w:rPr>
                <w:lang w:val="en-US" w:eastAsia="en-US"/>
              </w:rPr>
              <w:t>y seeks to obtain from a tax avoidance scheme.</w:t>
            </w:r>
          </w:p>
          <w:p w14:paraId="1AEE87C8" w14:textId="77777777" w:rsidR="00B87BEB" w:rsidRDefault="00B87BEB" w:rsidP="00DF284C">
            <w:pPr>
              <w:pStyle w:val="tabletext"/>
              <w:rPr>
                <w:lang w:val="en-US" w:eastAsia="en-US"/>
              </w:rPr>
            </w:pPr>
          </w:p>
          <w:p w14:paraId="27011BAB" w14:textId="2BA93870" w:rsidR="00B87BEB" w:rsidRDefault="00B87BEB" w:rsidP="00DF284C">
            <w:pPr>
              <w:pStyle w:val="tabletext"/>
              <w:rPr>
                <w:lang w:val="en-US" w:eastAsia="en-US"/>
              </w:rPr>
            </w:pPr>
          </w:p>
        </w:tc>
      </w:tr>
      <w:tr w:rsidR="008B2251" w14:paraId="24CC5AF6" w14:textId="77777777" w:rsidTr="007F0417">
        <w:trPr>
          <w:cantSplit/>
          <w:tblHeader/>
        </w:trPr>
        <w:tc>
          <w:tcPr>
            <w:tcW w:w="6551" w:type="dxa"/>
            <w:gridSpan w:val="2"/>
          </w:tcPr>
          <w:p w14:paraId="5D5F1C45" w14:textId="77777777" w:rsidR="008B2251" w:rsidRDefault="008B2251" w:rsidP="00B87BEB">
            <w:pPr>
              <w:pStyle w:val="tableheaderwithintable"/>
              <w:rPr>
                <w:lang w:val="en-US" w:eastAsia="en-US"/>
              </w:rPr>
            </w:pPr>
            <w:proofErr w:type="spellStart"/>
            <w:r>
              <w:rPr>
                <w:lang w:val="en-US" w:eastAsia="en-US"/>
              </w:rPr>
              <w:t>Clawback</w:t>
            </w:r>
            <w:proofErr w:type="spellEnd"/>
            <w:r>
              <w:rPr>
                <w:lang w:val="en-US" w:eastAsia="en-US"/>
              </w:rPr>
              <w:t xml:space="preserve"> of recoupment amounts and feedstock adjustments</w:t>
            </w:r>
          </w:p>
        </w:tc>
      </w:tr>
      <w:tr w:rsidR="008B2251" w14:paraId="543826DC" w14:textId="77777777" w:rsidTr="007F0417">
        <w:trPr>
          <w:cantSplit/>
          <w:tblHeader/>
        </w:trPr>
        <w:tc>
          <w:tcPr>
            <w:tcW w:w="3275" w:type="dxa"/>
            <w:vMerge w:val="restart"/>
          </w:tcPr>
          <w:p w14:paraId="4ECA4551" w14:textId="3AD02F38" w:rsidR="008B2251" w:rsidRDefault="008B2251" w:rsidP="00445591">
            <w:pPr>
              <w:pStyle w:val="tabletext"/>
              <w:rPr>
                <w:lang w:val="en-US" w:eastAsia="en-US"/>
              </w:rPr>
            </w:pPr>
            <w:r>
              <w:rPr>
                <w:lang w:val="en-US" w:eastAsia="en-US"/>
              </w:rPr>
              <w:t xml:space="preserve">Recoupment amounts and feedstock </w:t>
            </w:r>
            <w:r w:rsidR="00445591">
              <w:rPr>
                <w:lang w:val="en-US" w:eastAsia="en-US"/>
              </w:rPr>
              <w:t>adjustments</w:t>
            </w:r>
            <w:r>
              <w:rPr>
                <w:lang w:val="en-US" w:eastAsia="en-US"/>
              </w:rPr>
              <w:t xml:space="preserve"> give rise to an amount of assessable income equal to the value of the incentive component of associated amounts of R&amp;D tax offset.</w:t>
            </w:r>
          </w:p>
        </w:tc>
        <w:tc>
          <w:tcPr>
            <w:tcW w:w="3276" w:type="dxa"/>
          </w:tcPr>
          <w:p w14:paraId="40D205E0" w14:textId="77777777" w:rsidR="008B2251" w:rsidRDefault="008B2251" w:rsidP="007F0417">
            <w:pPr>
              <w:pStyle w:val="tabletext"/>
              <w:keepNext/>
              <w:rPr>
                <w:lang w:val="en-US" w:eastAsia="en-US"/>
              </w:rPr>
            </w:pPr>
            <w:r>
              <w:rPr>
                <w:lang w:val="en-US" w:eastAsia="en-US"/>
              </w:rPr>
              <w:t>Recoupment amounts are subject to a standalone tax of 10 per cent.</w:t>
            </w:r>
          </w:p>
        </w:tc>
      </w:tr>
      <w:tr w:rsidR="008B2251" w14:paraId="73B116E2" w14:textId="77777777" w:rsidTr="007F0417">
        <w:trPr>
          <w:cantSplit/>
          <w:tblHeader/>
        </w:trPr>
        <w:tc>
          <w:tcPr>
            <w:tcW w:w="3275" w:type="dxa"/>
            <w:vMerge/>
          </w:tcPr>
          <w:p w14:paraId="0937A084" w14:textId="77777777" w:rsidR="008B2251" w:rsidRDefault="008B2251" w:rsidP="00DF284C">
            <w:pPr>
              <w:pStyle w:val="tabletext"/>
              <w:rPr>
                <w:lang w:val="en-US" w:eastAsia="en-US"/>
              </w:rPr>
            </w:pPr>
          </w:p>
        </w:tc>
        <w:tc>
          <w:tcPr>
            <w:tcW w:w="3276" w:type="dxa"/>
          </w:tcPr>
          <w:p w14:paraId="36158C38" w14:textId="15E6DA29" w:rsidR="008B2251" w:rsidRDefault="008B2251" w:rsidP="00DF284C">
            <w:pPr>
              <w:pStyle w:val="tabletext"/>
              <w:rPr>
                <w:lang w:val="en-US" w:eastAsia="en-US"/>
              </w:rPr>
            </w:pPr>
            <w:r>
              <w:rPr>
                <w:lang w:val="en-US" w:eastAsia="en-US"/>
              </w:rPr>
              <w:t xml:space="preserve">One third of feedstock adjustments are included in an </w:t>
            </w:r>
            <w:r w:rsidR="006070DB">
              <w:rPr>
                <w:lang w:val="en-US" w:eastAsia="en-US"/>
              </w:rPr>
              <w:t>R&amp;D entit</w:t>
            </w:r>
            <w:r>
              <w:rPr>
                <w:lang w:val="en-US" w:eastAsia="en-US"/>
              </w:rPr>
              <w:t>y’s assessable income.</w:t>
            </w:r>
          </w:p>
        </w:tc>
      </w:tr>
      <w:tr w:rsidR="00445591" w14:paraId="24180250" w14:textId="77777777" w:rsidTr="007F0417">
        <w:trPr>
          <w:cantSplit/>
          <w:tblHeader/>
        </w:trPr>
        <w:tc>
          <w:tcPr>
            <w:tcW w:w="3275" w:type="dxa"/>
            <w:vMerge w:val="restart"/>
          </w:tcPr>
          <w:p w14:paraId="7B6911CE" w14:textId="544C1695" w:rsidR="00445591" w:rsidRDefault="00445591" w:rsidP="00445591">
            <w:pPr>
              <w:pStyle w:val="tabletext"/>
              <w:rPr>
                <w:lang w:val="en-US" w:eastAsia="en-US"/>
              </w:rPr>
            </w:pPr>
            <w:r>
              <w:rPr>
                <w:lang w:val="en-US" w:eastAsia="en-US"/>
              </w:rPr>
              <w:t xml:space="preserve">An amount is included in the assessable income of the </w:t>
            </w:r>
            <w:r w:rsidR="006070DB">
              <w:rPr>
                <w:lang w:val="en-US" w:eastAsia="en-US"/>
              </w:rPr>
              <w:t>R&amp;D entit</w:t>
            </w:r>
            <w:r>
              <w:rPr>
                <w:lang w:val="en-US" w:eastAsia="en-US"/>
              </w:rPr>
              <w:t xml:space="preserve">y that received or is entitled to the R&amp;D tax offset in relation to a recoupment amount or feedstock revenue received by a related entity. </w:t>
            </w:r>
          </w:p>
        </w:tc>
        <w:tc>
          <w:tcPr>
            <w:tcW w:w="3276" w:type="dxa"/>
          </w:tcPr>
          <w:p w14:paraId="08DD1269" w14:textId="1A34413A" w:rsidR="00445591" w:rsidRDefault="00445591" w:rsidP="00DF284C">
            <w:pPr>
              <w:pStyle w:val="tabletext"/>
              <w:rPr>
                <w:lang w:val="en-US" w:eastAsia="en-US"/>
              </w:rPr>
            </w:pPr>
            <w:r>
              <w:rPr>
                <w:lang w:val="en-US" w:eastAsia="en-US"/>
              </w:rPr>
              <w:t>In cases involving related entities, the entity receiving a recoupment is subject to recoupment tax.</w:t>
            </w:r>
          </w:p>
        </w:tc>
      </w:tr>
      <w:tr w:rsidR="00445591" w14:paraId="78EA3D28" w14:textId="77777777" w:rsidTr="007F0417">
        <w:trPr>
          <w:cantSplit/>
          <w:tblHeader/>
        </w:trPr>
        <w:tc>
          <w:tcPr>
            <w:tcW w:w="3275" w:type="dxa"/>
            <w:vMerge/>
          </w:tcPr>
          <w:p w14:paraId="28581DD5" w14:textId="309CF31F" w:rsidR="00445591" w:rsidRDefault="00445591" w:rsidP="00DF284C">
            <w:pPr>
              <w:pStyle w:val="tabletext"/>
              <w:rPr>
                <w:lang w:val="en-US" w:eastAsia="en-US"/>
              </w:rPr>
            </w:pPr>
          </w:p>
        </w:tc>
        <w:tc>
          <w:tcPr>
            <w:tcW w:w="3276" w:type="dxa"/>
          </w:tcPr>
          <w:p w14:paraId="577D31BE" w14:textId="060B3B1B" w:rsidR="00445591" w:rsidRDefault="00445591" w:rsidP="00445591">
            <w:pPr>
              <w:pStyle w:val="tabletext"/>
              <w:rPr>
                <w:lang w:val="en-US" w:eastAsia="en-US"/>
              </w:rPr>
            </w:pPr>
            <w:r>
              <w:rPr>
                <w:lang w:val="en-US" w:eastAsia="en-US"/>
              </w:rPr>
              <w:t xml:space="preserve">In cases involving related entities, the </w:t>
            </w:r>
            <w:r w:rsidR="006070DB">
              <w:rPr>
                <w:lang w:val="en-US" w:eastAsia="en-US"/>
              </w:rPr>
              <w:t>R&amp;D entit</w:t>
            </w:r>
            <w:r>
              <w:rPr>
                <w:lang w:val="en-US" w:eastAsia="en-US"/>
              </w:rPr>
              <w:t>y entitled to the R&amp;D tax offset is subject to a feedstock adjustment if the related entity receives feedstock revenue.</w:t>
            </w:r>
          </w:p>
        </w:tc>
      </w:tr>
    </w:tbl>
    <w:p w14:paraId="2A41E6C4" w14:textId="77777777" w:rsidR="008044C9" w:rsidRDefault="008044C9" w:rsidP="00B17774">
      <w:pPr>
        <w:pStyle w:val="Heading2"/>
      </w:pPr>
      <w:r>
        <w:t>Detailed explanation of new law</w:t>
      </w:r>
    </w:p>
    <w:p w14:paraId="2CCBBE4D" w14:textId="77777777" w:rsidR="000D7FE5" w:rsidRDefault="000D7FE5" w:rsidP="000D7FE5">
      <w:pPr>
        <w:pStyle w:val="Heading3"/>
      </w:pPr>
      <w:r>
        <w:t>Schemes to obtain an R&amp;D tax benefit</w:t>
      </w:r>
    </w:p>
    <w:p w14:paraId="1F5069AA" w14:textId="707B70BB" w:rsidR="000D7FE5" w:rsidRDefault="004E0A41" w:rsidP="000D7FE5">
      <w:pPr>
        <w:pStyle w:val="base-text-paragraph"/>
      </w:pPr>
      <w:r>
        <w:t>Part 1 of Schedule 2 to the Exposure Draft</w:t>
      </w:r>
      <w:r w:rsidR="000D7FE5" w:rsidRPr="00C1378F">
        <w:t xml:space="preserve"> </w:t>
      </w:r>
      <w:r w:rsidR="00BD025C">
        <w:t xml:space="preserve">explicitly extends the concept of tax benefits in </w:t>
      </w:r>
      <w:r w:rsidR="00F77CEA">
        <w:t xml:space="preserve">the general anti-avoidance rule in </w:t>
      </w:r>
      <w:r w:rsidR="000D7FE5" w:rsidRPr="00C1378F">
        <w:t xml:space="preserve">Part IVA of the </w:t>
      </w:r>
      <w:r w:rsidR="00F77CEA">
        <w:rPr>
          <w:i/>
        </w:rPr>
        <w:t xml:space="preserve">Income Tax Act 1936 </w:t>
      </w:r>
      <w:r w:rsidR="00F77CEA">
        <w:t>(</w:t>
      </w:r>
      <w:r w:rsidR="000D7FE5" w:rsidRPr="00C1378F">
        <w:t>ITAA 1936</w:t>
      </w:r>
      <w:r w:rsidR="00F77CEA">
        <w:t>)</w:t>
      </w:r>
      <w:r w:rsidR="000D7FE5" w:rsidRPr="00C1378F">
        <w:t xml:space="preserve"> to </w:t>
      </w:r>
      <w:r w:rsidR="00BD025C">
        <w:t xml:space="preserve">include </w:t>
      </w:r>
      <w:r w:rsidR="00F77CEA">
        <w:t>the R&amp;D tax offset</w:t>
      </w:r>
      <w:r w:rsidR="000D7FE5" w:rsidRPr="00C1378F">
        <w:t xml:space="preserve">. </w:t>
      </w:r>
      <w:r w:rsidR="00BD025C">
        <w:t xml:space="preserve">These amendments ensure the Commissioner can apply </w:t>
      </w:r>
      <w:r w:rsidR="00F77CEA">
        <w:t>Part IVA</w:t>
      </w:r>
      <w:r w:rsidR="00D7269E">
        <w:t xml:space="preserve"> </w:t>
      </w:r>
      <w:r w:rsidR="000D7FE5" w:rsidRPr="00C1378F">
        <w:t xml:space="preserve">to prevent </w:t>
      </w:r>
      <w:r w:rsidR="003B1498" w:rsidRPr="003B1498">
        <w:t>R&amp;D entities</w:t>
      </w:r>
      <w:r w:rsidR="003B1498" w:rsidRPr="00C1378F" w:rsidDel="003B1498">
        <w:t xml:space="preserve"> </w:t>
      </w:r>
      <w:r w:rsidR="000D7FE5" w:rsidRPr="00C1378F">
        <w:t xml:space="preserve">from being able to obtain tax benefits by entering into artificial or contrived arrangements to access the </w:t>
      </w:r>
      <w:r w:rsidR="000D7FE5">
        <w:t>R&amp;D</w:t>
      </w:r>
      <w:r w:rsidR="000D7FE5" w:rsidRPr="00C1378F">
        <w:t xml:space="preserve"> tax offset.</w:t>
      </w:r>
      <w:r w:rsidRPr="00C1378F">
        <w:rPr>
          <w:rStyle w:val="Referencingstyle"/>
        </w:rPr>
        <w:t xml:space="preserve"> [Exposure </w:t>
      </w:r>
      <w:r w:rsidR="00D463E2">
        <w:rPr>
          <w:rStyle w:val="Referencingstyle"/>
        </w:rPr>
        <w:t>D</w:t>
      </w:r>
      <w:r w:rsidRPr="00C1378F">
        <w:rPr>
          <w:rStyle w:val="Referencingstyle"/>
        </w:rPr>
        <w:t xml:space="preserve">raft, Schedule </w:t>
      </w:r>
      <w:r>
        <w:rPr>
          <w:rStyle w:val="Referencingstyle"/>
        </w:rPr>
        <w:t>2</w:t>
      </w:r>
      <w:r w:rsidRPr="00C1378F">
        <w:rPr>
          <w:rStyle w:val="Referencingstyle"/>
        </w:rPr>
        <w:t xml:space="preserve">, items </w:t>
      </w:r>
      <w:r>
        <w:rPr>
          <w:rStyle w:val="Referencingstyle"/>
        </w:rPr>
        <w:t xml:space="preserve">2 to </w:t>
      </w:r>
      <w:r w:rsidRPr="00C1378F">
        <w:rPr>
          <w:rStyle w:val="Referencingstyle"/>
        </w:rPr>
        <w:t>10</w:t>
      </w:r>
      <w:r>
        <w:rPr>
          <w:rStyle w:val="Referencingstyle"/>
        </w:rPr>
        <w:t>, paragraphs 177C(1)(</w:t>
      </w:r>
      <w:proofErr w:type="spellStart"/>
      <w:r>
        <w:rPr>
          <w:rStyle w:val="Referencingstyle"/>
        </w:rPr>
        <w:t>bd</w:t>
      </w:r>
      <w:proofErr w:type="spellEnd"/>
      <w:r>
        <w:rPr>
          <w:rStyle w:val="Referencingstyle"/>
        </w:rPr>
        <w:t>) and (h), 177C(2)(f), 177C(3)(cc) and (</w:t>
      </w:r>
      <w:proofErr w:type="spellStart"/>
      <w:r>
        <w:rPr>
          <w:rStyle w:val="Referencingstyle"/>
        </w:rPr>
        <w:t>i</w:t>
      </w:r>
      <w:proofErr w:type="spellEnd"/>
      <w:r>
        <w:rPr>
          <w:rStyle w:val="Referencingstyle"/>
        </w:rPr>
        <w:t>), 177CB(1)(f), 177F(1)(f), 177F(3)(g) and subsection 177C(3) of the ITAA 1936</w:t>
      </w:r>
      <w:r w:rsidRPr="00C1378F">
        <w:rPr>
          <w:rStyle w:val="Referencingstyle"/>
        </w:rPr>
        <w:t>]</w:t>
      </w:r>
    </w:p>
    <w:p w14:paraId="6AF2627E" w14:textId="4AA0BA42" w:rsidR="000D7FE5" w:rsidRDefault="000D7FE5" w:rsidP="000D7FE5">
      <w:pPr>
        <w:pStyle w:val="base-text-paragraph"/>
      </w:pPr>
      <w:r w:rsidRPr="00C1378F">
        <w:t>Part IVA of the ITAA 1936 applies in situations where a scheme or arrangement is entered into in order to obtain a tax benefit. These rules allow the Commissioner to cancel the relevant tax benefit where the conditions under Part IVA are satisfied. For example, this can include situations where a</w:t>
      </w:r>
      <w:r w:rsidR="003B1498">
        <w:t>n</w:t>
      </w:r>
      <w:r w:rsidRPr="00C1378F">
        <w:t xml:space="preserve"> </w:t>
      </w:r>
      <w:r w:rsidR="003B1498" w:rsidRPr="003B1498">
        <w:t>R&amp;</w:t>
      </w:r>
      <w:r w:rsidR="003B1498">
        <w:t>D entity</w:t>
      </w:r>
      <w:r w:rsidR="003B1498" w:rsidRPr="00C1378F" w:rsidDel="003B1498">
        <w:t xml:space="preserve"> </w:t>
      </w:r>
      <w:r w:rsidRPr="00C1378F">
        <w:t>enters into an arrangement with a dominant purpose of securing a tax benefit that is a</w:t>
      </w:r>
      <w:r w:rsidR="008927C8">
        <w:t>n</w:t>
      </w:r>
      <w:r w:rsidRPr="00C1378F">
        <w:t xml:space="preserve"> </w:t>
      </w:r>
      <w:r>
        <w:t>R&amp;D</w:t>
      </w:r>
      <w:r w:rsidRPr="00C1378F">
        <w:t xml:space="preserve"> tax offset.</w:t>
      </w:r>
    </w:p>
    <w:p w14:paraId="6ED6FFFF" w14:textId="77777777" w:rsidR="00D80645" w:rsidRDefault="00D80645" w:rsidP="00D80645">
      <w:pPr>
        <w:pStyle w:val="Heading3"/>
      </w:pPr>
      <w:r>
        <w:t>Clawback for recoupments and feedstock revenue</w:t>
      </w:r>
    </w:p>
    <w:p w14:paraId="4927D3B2" w14:textId="73B85465" w:rsidR="00D80645" w:rsidRPr="00DF284C" w:rsidRDefault="004E0A41" w:rsidP="00D80645">
      <w:pPr>
        <w:pStyle w:val="base-text-paragraph"/>
        <w:numPr>
          <w:ilvl w:val="1"/>
          <w:numId w:val="29"/>
        </w:numPr>
        <w:rPr>
          <w:rStyle w:val="Referencingstyle"/>
          <w:b w:val="0"/>
          <w:i w:val="0"/>
          <w:sz w:val="22"/>
        </w:rPr>
      </w:pPr>
      <w:r>
        <w:t xml:space="preserve">Part 2 of </w:t>
      </w:r>
      <w:r w:rsidR="00D80645">
        <w:t xml:space="preserve">Schedule 2 </w:t>
      </w:r>
      <w:r>
        <w:t>to</w:t>
      </w:r>
      <w:r w:rsidR="00D80645">
        <w:t xml:space="preserve"> the Exposure Draft </w:t>
      </w:r>
      <w:r w:rsidR="009E6A49">
        <w:t>remakes</w:t>
      </w:r>
      <w:r w:rsidR="00D80645">
        <w:t xml:space="preserve"> and consolidates </w:t>
      </w:r>
      <w:r w:rsidR="00D80645" w:rsidRPr="00B25A24">
        <w:t>Subdivisions 355-G and 355-H</w:t>
      </w:r>
      <w:r w:rsidR="00D80645">
        <w:t xml:space="preserve"> of the ITAA 1997 (about the clawback of R&amp;D recoupments and feedstock adjustments respectively) into </w:t>
      </w:r>
      <w:r w:rsidR="009E6A49">
        <w:t xml:space="preserve">a </w:t>
      </w:r>
      <w:r w:rsidR="00D80645">
        <w:t>new Subdivision 355-G and introduce</w:t>
      </w:r>
      <w:r w:rsidR="008441B8">
        <w:t>s</w:t>
      </w:r>
      <w:r w:rsidR="00D80645">
        <w:t xml:space="preserve"> a new uniform clawback rule</w:t>
      </w:r>
      <w:r w:rsidR="00DB50ED">
        <w:t xml:space="preserve"> that applies for both recoupments and feedstock adjustments</w:t>
      </w:r>
      <w:r w:rsidR="00D80645">
        <w:t>. The amendments ensure that a</w:t>
      </w:r>
      <w:r w:rsidR="00D80645" w:rsidRPr="00927BE2">
        <w:t xml:space="preserve">n </w:t>
      </w:r>
      <w:r w:rsidR="006070DB">
        <w:t>R&amp;D entit</w:t>
      </w:r>
      <w:r w:rsidR="00D80645" w:rsidRPr="00927BE2">
        <w:t xml:space="preserve">y must disgorge the </w:t>
      </w:r>
      <w:r w:rsidR="00D80645">
        <w:t xml:space="preserve">entire </w:t>
      </w:r>
      <w:r w:rsidR="00D80645" w:rsidRPr="00927BE2">
        <w:t xml:space="preserve">benefit of an R&amp;D tax offset to the extent it </w:t>
      </w:r>
      <w:r w:rsidR="00D80645">
        <w:t>(</w:t>
      </w:r>
      <w:r w:rsidR="00D80645" w:rsidRPr="00927BE2">
        <w:t xml:space="preserve">or </w:t>
      </w:r>
      <w:r w:rsidR="00D80645">
        <w:t>a connected</w:t>
      </w:r>
      <w:r w:rsidR="00D80645" w:rsidRPr="00927BE2">
        <w:t xml:space="preserve"> </w:t>
      </w:r>
      <w:r w:rsidR="00D80645">
        <w:t xml:space="preserve">entity or an affiliate </w:t>
      </w:r>
      <w:r w:rsidR="00D80645" w:rsidRPr="00927BE2">
        <w:t>entity</w:t>
      </w:r>
      <w:r w:rsidR="00D80645">
        <w:t>)</w:t>
      </w:r>
      <w:r w:rsidR="00D80645" w:rsidRPr="00927BE2">
        <w:t xml:space="preserve"> receives a recoupment amount or a feedstock adjustment because of the offset.</w:t>
      </w:r>
      <w:r w:rsidR="00D80645">
        <w:t xml:space="preserve"> </w:t>
      </w:r>
      <w:r w:rsidR="00D80645">
        <w:rPr>
          <w:rStyle w:val="Referencingstyle"/>
        </w:rPr>
        <w:t xml:space="preserve">[Exposure Draft, Schedule </w:t>
      </w:r>
      <w:r w:rsidR="00F126B9">
        <w:rPr>
          <w:rStyle w:val="Referencingstyle"/>
        </w:rPr>
        <w:t>2</w:t>
      </w:r>
      <w:r w:rsidR="00D80645">
        <w:rPr>
          <w:rStyle w:val="Referencingstyle"/>
        </w:rPr>
        <w:t>, i</w:t>
      </w:r>
      <w:r w:rsidR="00D80645" w:rsidRPr="00375F1D">
        <w:rPr>
          <w:rStyle w:val="Referencingstyle"/>
        </w:rPr>
        <w:t xml:space="preserve">tem </w:t>
      </w:r>
      <w:r w:rsidR="00D80645">
        <w:rPr>
          <w:rStyle w:val="Referencingstyle"/>
        </w:rPr>
        <w:t xml:space="preserve">15, </w:t>
      </w:r>
      <w:r w:rsidR="00D463E2">
        <w:rPr>
          <w:rStyle w:val="Referencingstyle"/>
        </w:rPr>
        <w:t>section 355-430</w:t>
      </w:r>
      <w:r w:rsidR="00D80645">
        <w:rPr>
          <w:rStyle w:val="Referencingstyle"/>
        </w:rPr>
        <w:t xml:space="preserve"> of the ITAA</w:t>
      </w:r>
      <w:r w:rsidR="00400D7B">
        <w:rPr>
          <w:rStyle w:val="Referencingstyle"/>
        </w:rPr>
        <w:t> </w:t>
      </w:r>
      <w:r w:rsidR="00D80645">
        <w:rPr>
          <w:rStyle w:val="Referencingstyle"/>
        </w:rPr>
        <w:t>1997</w:t>
      </w:r>
      <w:r w:rsidR="00D80645" w:rsidRPr="00375F1D">
        <w:rPr>
          <w:rStyle w:val="Referencingstyle"/>
        </w:rPr>
        <w:t>]</w:t>
      </w:r>
    </w:p>
    <w:p w14:paraId="17F12976" w14:textId="38B75A6B" w:rsidR="00DF284C" w:rsidRDefault="00DF284C" w:rsidP="00DF284C">
      <w:pPr>
        <w:pStyle w:val="base-text-paragraph"/>
        <w:numPr>
          <w:ilvl w:val="1"/>
          <w:numId w:val="29"/>
        </w:numPr>
      </w:pPr>
      <w:r>
        <w:t xml:space="preserve">Current </w:t>
      </w:r>
      <w:r w:rsidRPr="00F703D6">
        <w:t>Subdivisions 355-G and 355-H</w:t>
      </w:r>
      <w:r>
        <w:t xml:space="preserve"> only partially reverse the benefit of </w:t>
      </w:r>
      <w:r w:rsidRPr="00F703D6">
        <w:t>an R&amp;D tax offset</w:t>
      </w:r>
      <w:r>
        <w:t xml:space="preserve"> in </w:t>
      </w:r>
      <w:r w:rsidR="005E558B">
        <w:t xml:space="preserve">some </w:t>
      </w:r>
      <w:r>
        <w:t xml:space="preserve">circumstances where a </w:t>
      </w:r>
      <w:r w:rsidRPr="00F703D6">
        <w:t>recoupment amount or a feedstock adjustment</w:t>
      </w:r>
      <w:r>
        <w:t xml:space="preserve"> is involved. </w:t>
      </w:r>
      <w:r w:rsidR="005E558B">
        <w:t xml:space="preserve">In light of the amendments discussed in Chapter 1, the current recoupment and feedstock rules would produce more anomalous outcomes if they are not amended. </w:t>
      </w:r>
      <w:r>
        <w:t>The amendments ensure the full benefit of the R&amp;D tax offset is reversed, to remove the double benefit that arises in such situations.</w:t>
      </w:r>
      <w:r w:rsidR="005E558B">
        <w:t xml:space="preserve"> </w:t>
      </w:r>
    </w:p>
    <w:p w14:paraId="248743F8" w14:textId="2E7BABCC" w:rsidR="00DF284C" w:rsidRPr="00927BE2" w:rsidRDefault="00DF284C" w:rsidP="00DF284C">
      <w:pPr>
        <w:pStyle w:val="Heading4"/>
      </w:pPr>
      <w:r>
        <w:t>Clawback amounts</w:t>
      </w:r>
    </w:p>
    <w:p w14:paraId="3E2A33C1" w14:textId="7DA7B881" w:rsidR="009E6A49" w:rsidRDefault="009E6A49" w:rsidP="009E6A49">
      <w:pPr>
        <w:pStyle w:val="base-text-paragraph"/>
      </w:pPr>
      <w:r>
        <w:t>Current Subdivision 355-G is remade into a single section and reference to the payment of extra income tax (a recoupment tax) is removed. Instead, the remade provision</w:t>
      </w:r>
      <w:r w:rsidR="00DF284C">
        <w:t xml:space="preserve"> identifies</w:t>
      </w:r>
      <w:r>
        <w:t xml:space="preserve"> an amount (a clawback amount) that represents the amount of notional deductions an </w:t>
      </w:r>
      <w:r w:rsidR="006070DB">
        <w:t>R&amp;D entit</w:t>
      </w:r>
      <w:r>
        <w:t xml:space="preserve">y received or is entitled to receive in relation to a recoupment. </w:t>
      </w:r>
      <w:r w:rsidR="00EE1D73">
        <w:rPr>
          <w:rStyle w:val="Referencingstyle"/>
        </w:rPr>
        <w:t xml:space="preserve">[Exposure Draft, Schedule </w:t>
      </w:r>
      <w:r w:rsidR="008927C8">
        <w:rPr>
          <w:rStyle w:val="Referencingstyle"/>
        </w:rPr>
        <w:t>2</w:t>
      </w:r>
      <w:r w:rsidR="00EE1D73">
        <w:rPr>
          <w:rStyle w:val="Referencingstyle"/>
        </w:rPr>
        <w:t>, i</w:t>
      </w:r>
      <w:r w:rsidR="00EE1D73" w:rsidRPr="00375F1D">
        <w:rPr>
          <w:rStyle w:val="Referencingstyle"/>
        </w:rPr>
        <w:t xml:space="preserve">tem </w:t>
      </w:r>
      <w:r w:rsidR="00EE1D73">
        <w:rPr>
          <w:rStyle w:val="Referencingstyle"/>
        </w:rPr>
        <w:t>15, section 355-440 of the ITAA 1997</w:t>
      </w:r>
      <w:r w:rsidR="00EE1D73" w:rsidRPr="00375F1D">
        <w:rPr>
          <w:rStyle w:val="Referencingstyle"/>
        </w:rPr>
        <w:t>]</w:t>
      </w:r>
    </w:p>
    <w:p w14:paraId="6EA0C6D9" w14:textId="265E207B" w:rsidR="009E6A49" w:rsidRDefault="009E6A49" w:rsidP="00D80645">
      <w:pPr>
        <w:pStyle w:val="base-text-paragraph"/>
      </w:pPr>
      <w:bookmarkStart w:id="13" w:name="_Ref516180462"/>
      <w:r>
        <w:t xml:space="preserve">Current Subdivision 355-H is remade into a single section and the reference to the inclusion of an amount in assessable income is removed. Instead, the remade </w:t>
      </w:r>
      <w:r w:rsidR="00DF284C">
        <w:t>provision identifies</w:t>
      </w:r>
      <w:r>
        <w:t xml:space="preserve"> an amount (a clawback amount) that represents the amount of notional deductions an </w:t>
      </w:r>
      <w:r w:rsidR="006070DB">
        <w:t>R&amp;D entit</w:t>
      </w:r>
      <w:r>
        <w:t xml:space="preserve">y received or is entitled to receive in </w:t>
      </w:r>
      <w:r w:rsidR="00DF284C">
        <w:t xml:space="preserve">relation to a </w:t>
      </w:r>
      <w:r>
        <w:t>feedstock adjustment. The</w:t>
      </w:r>
      <w:r w:rsidR="00EE1D73">
        <w:t xml:space="preserve"> </w:t>
      </w:r>
      <w:r>
        <w:t xml:space="preserve">clawback </w:t>
      </w:r>
      <w:r w:rsidR="00EE1D73">
        <w:t xml:space="preserve">amount </w:t>
      </w:r>
      <w:r>
        <w:t>is the lesser of the feedstock revenue receiv</w:t>
      </w:r>
      <w:r w:rsidR="00EE1D73">
        <w:t xml:space="preserve">ed or the notional deductions attributable to the feedstock output. </w:t>
      </w:r>
      <w:r w:rsidR="00EE1D73">
        <w:rPr>
          <w:rStyle w:val="Referencingstyle"/>
        </w:rPr>
        <w:t xml:space="preserve">[Exposure Draft, Schedule </w:t>
      </w:r>
      <w:r w:rsidR="008927C8">
        <w:rPr>
          <w:rStyle w:val="Referencingstyle"/>
        </w:rPr>
        <w:t>2</w:t>
      </w:r>
      <w:r w:rsidR="00EE1D73">
        <w:rPr>
          <w:rStyle w:val="Referencingstyle"/>
        </w:rPr>
        <w:t>, i</w:t>
      </w:r>
      <w:r w:rsidR="00EE1D73" w:rsidRPr="00375F1D">
        <w:rPr>
          <w:rStyle w:val="Referencingstyle"/>
        </w:rPr>
        <w:t xml:space="preserve">tem </w:t>
      </w:r>
      <w:r w:rsidR="00EE1D73">
        <w:rPr>
          <w:rStyle w:val="Referencingstyle"/>
        </w:rPr>
        <w:t>15, section 355-445 of the ITAA 1997</w:t>
      </w:r>
      <w:r w:rsidR="00EE1D73" w:rsidRPr="00375F1D">
        <w:rPr>
          <w:rStyle w:val="Referencingstyle"/>
        </w:rPr>
        <w:t>]</w:t>
      </w:r>
      <w:bookmarkEnd w:id="13"/>
    </w:p>
    <w:p w14:paraId="1FC7AF93" w14:textId="0410CCA7" w:rsidR="009E6A49" w:rsidRDefault="00DF284C" w:rsidP="00D80645">
      <w:pPr>
        <w:pStyle w:val="base-text-paragraph"/>
      </w:pPr>
      <w:r>
        <w:t xml:space="preserve">The clawback amount is relevant for working out the amount that must be included in an </w:t>
      </w:r>
      <w:r w:rsidR="006070DB">
        <w:t>R&amp;D entit</w:t>
      </w:r>
      <w:r>
        <w:t>y’s assessable income to disgorge the benefit of an R&amp;D tax offset.</w:t>
      </w:r>
      <w:r w:rsidRPr="00DF284C">
        <w:t xml:space="preserve"> </w:t>
      </w:r>
      <w:r>
        <w:t xml:space="preserve">The clawback amount reflects the amount of R&amp;D expenditure (notional deductions) tainted by the operation of the recoupment or feedstock rules. The amendments calculate the amount of R&amp;D tax offset tainted by the tainted expenditure. The incentive component of the tainted </w:t>
      </w:r>
      <w:r w:rsidR="003C560E">
        <w:t>R&amp;D tax offset</w:t>
      </w:r>
      <w:r>
        <w:t xml:space="preserve">, in turn, is the benefit to be clawed back. </w:t>
      </w:r>
    </w:p>
    <w:p w14:paraId="08C0418D" w14:textId="77B8D9C8" w:rsidR="00DF284C" w:rsidRDefault="00DF284C" w:rsidP="00DF284C">
      <w:pPr>
        <w:pStyle w:val="base-text-paragraph"/>
      </w:pPr>
      <w:r>
        <w:t>Th</w:t>
      </w:r>
      <w:r w:rsidR="003C560E">
        <w:t>e</w:t>
      </w:r>
      <w:r>
        <w:t xml:space="preserve"> clawback amount picks up the amount worked out under each of Subdivisions 355-G and 355-H in the current law immediately before adjustments are made to bring it to account: applying tax to it in the case of recoupments and including a third of the amount in assessable income in the case of feedstock. It is primarily these adjustments in the current law that are producing inappropriate outcomes and are subject to the amendments.</w:t>
      </w:r>
    </w:p>
    <w:p w14:paraId="2AE6396D" w14:textId="71C585F3" w:rsidR="004E0A41" w:rsidRDefault="004E0A41" w:rsidP="00C076D6">
      <w:pPr>
        <w:pStyle w:val="ExampleHeading"/>
        <w:numPr>
          <w:ilvl w:val="3"/>
          <w:numId w:val="4"/>
        </w:numPr>
      </w:pPr>
      <w:r>
        <w:t xml:space="preserve"> </w:t>
      </w:r>
      <w:bookmarkStart w:id="14" w:name="_Ref516216859"/>
      <w:r>
        <w:t>Clawback amounts</w:t>
      </w:r>
      <w:bookmarkEnd w:id="14"/>
    </w:p>
    <w:p w14:paraId="1501667D" w14:textId="018A8C99" w:rsidR="004E0A41" w:rsidRDefault="00D463E2" w:rsidP="00B87BEB">
      <w:pPr>
        <w:pStyle w:val="exampletext"/>
        <w:keepNext/>
      </w:pPr>
      <w:r>
        <w:t xml:space="preserve">In </w:t>
      </w:r>
      <w:r>
        <w:fldChar w:fldCharType="begin"/>
      </w:r>
      <w:r>
        <w:instrText xml:space="preserve"> REF _Ref516392166 \r \h </w:instrText>
      </w:r>
      <w:r>
        <w:fldChar w:fldCharType="separate"/>
      </w:r>
      <w:r w:rsidR="00B87BEB">
        <w:t>Example 1.2</w:t>
      </w:r>
      <w:r>
        <w:fldChar w:fldCharType="end"/>
      </w:r>
      <w:r>
        <w:t xml:space="preserve">, </w:t>
      </w:r>
      <w:r w:rsidR="00783625">
        <w:t>Contrast Industries</w:t>
      </w:r>
      <w:r w:rsidR="00724DE4">
        <w:t xml:space="preserve"> had the following amounts in the 2018-19</w:t>
      </w:r>
      <w:r w:rsidR="00E26989">
        <w:t xml:space="preserve"> (the offset year)</w:t>
      </w:r>
      <w:r w:rsidR="00724DE4">
        <w:t>:</w:t>
      </w:r>
    </w:p>
    <w:p w14:paraId="0D7EC7BE" w14:textId="26C2C053" w:rsidR="00724DE4" w:rsidRDefault="00724DE4" w:rsidP="00C076D6">
      <w:pPr>
        <w:pStyle w:val="exampledotpoint1"/>
        <w:numPr>
          <w:ilvl w:val="0"/>
          <w:numId w:val="9"/>
        </w:numPr>
        <w:ind w:left="2269" w:hanging="284"/>
      </w:pPr>
      <w:r>
        <w:t>aggregated turnover in excess of $20 million;</w:t>
      </w:r>
    </w:p>
    <w:p w14:paraId="672D3C16" w14:textId="32343163" w:rsidR="00467801" w:rsidRDefault="00467801" w:rsidP="00C076D6">
      <w:pPr>
        <w:pStyle w:val="exampledotpoint1"/>
        <w:numPr>
          <w:ilvl w:val="0"/>
          <w:numId w:val="9"/>
        </w:numPr>
        <w:ind w:left="2269" w:hanging="284"/>
      </w:pPr>
      <w:r>
        <w:t>expenditure of $1 billion;</w:t>
      </w:r>
    </w:p>
    <w:p w14:paraId="4BF38DB9" w14:textId="3AE9C61A" w:rsidR="00724DE4" w:rsidRDefault="00724DE4" w:rsidP="00C076D6">
      <w:pPr>
        <w:pStyle w:val="exampledotpoint1"/>
        <w:numPr>
          <w:ilvl w:val="0"/>
          <w:numId w:val="9"/>
        </w:numPr>
        <w:ind w:left="2269" w:hanging="284"/>
      </w:pPr>
      <w:r>
        <w:t>notional deductions of $160 million; and</w:t>
      </w:r>
    </w:p>
    <w:p w14:paraId="69347F02" w14:textId="0C878C56" w:rsidR="00724DE4" w:rsidRDefault="00724DE4" w:rsidP="00C076D6">
      <w:pPr>
        <w:pStyle w:val="exampledotpoint1"/>
        <w:numPr>
          <w:ilvl w:val="0"/>
          <w:numId w:val="9"/>
        </w:numPr>
        <w:ind w:left="2269" w:hanging="284"/>
      </w:pPr>
      <w:r>
        <w:t>a non-refundable R&amp;D tax offset of $</w:t>
      </w:r>
      <w:r w:rsidR="009D3521">
        <w:t>61.5</w:t>
      </w:r>
      <w:r>
        <w:t xml:space="preserve"> million. </w:t>
      </w:r>
    </w:p>
    <w:p w14:paraId="6C55BC8C" w14:textId="3B407E42" w:rsidR="00724DE4" w:rsidRDefault="00724DE4" w:rsidP="00C076D6">
      <w:pPr>
        <w:pStyle w:val="exampletext"/>
      </w:pPr>
      <w:r>
        <w:t>Further to this example, in the 2020-21 income year</w:t>
      </w:r>
      <w:r w:rsidR="00E26989">
        <w:t xml:space="preserve"> (the present year)</w:t>
      </w:r>
      <w:r>
        <w:t xml:space="preserve">, </w:t>
      </w:r>
      <w:r w:rsidR="00783625">
        <w:t>Contrast Industries</w:t>
      </w:r>
      <w:r>
        <w:t xml:space="preserve"> </w:t>
      </w:r>
      <w:r w:rsidR="00E26989">
        <w:t xml:space="preserve">sells a </w:t>
      </w:r>
      <w:r w:rsidR="00A853DF" w:rsidRPr="00A853DF">
        <w:t>tangible product</w:t>
      </w:r>
      <w:r w:rsidR="00A853DF">
        <w:t xml:space="preserve"> </w:t>
      </w:r>
      <w:r w:rsidR="00E26989">
        <w:t xml:space="preserve">developed during its 2018-19 R&amp;D activities. The </w:t>
      </w:r>
      <w:r w:rsidR="00A853DF" w:rsidRPr="00A853DF">
        <w:t>tangible product</w:t>
      </w:r>
      <w:r w:rsidR="00A853DF">
        <w:t xml:space="preserve"> </w:t>
      </w:r>
      <w:r w:rsidR="00E26989">
        <w:t>is sold for $</w:t>
      </w:r>
      <w:r w:rsidR="008D20BC">
        <w:t>20</w:t>
      </w:r>
      <w:r w:rsidR="00E26989">
        <w:t xml:space="preserve"> million but costed $</w:t>
      </w:r>
      <w:r w:rsidR="008D20BC">
        <w:t>25</w:t>
      </w:r>
      <w:r w:rsidR="00E26989">
        <w:t xml:space="preserve"> million to develop.</w:t>
      </w:r>
    </w:p>
    <w:p w14:paraId="1F496261" w14:textId="3438780E" w:rsidR="00E26989" w:rsidRPr="004E0A41" w:rsidRDefault="00E26989" w:rsidP="00C076D6">
      <w:pPr>
        <w:pStyle w:val="exampletext"/>
      </w:pPr>
      <w:r>
        <w:t xml:space="preserve">The clawback amount is the lesser of the market value of the </w:t>
      </w:r>
      <w:r w:rsidR="00A853DF" w:rsidRPr="00A853DF">
        <w:t>tangible product</w:t>
      </w:r>
      <w:r w:rsidR="00A853DF">
        <w:t xml:space="preserve"> </w:t>
      </w:r>
      <w:r>
        <w:t xml:space="preserve">on sale (feedstock revenue) and the </w:t>
      </w:r>
      <w:r w:rsidR="00A853DF" w:rsidRPr="00A853DF">
        <w:t>tangible product</w:t>
      </w:r>
      <w:r w:rsidR="00A853DF">
        <w:t xml:space="preserve">’s </w:t>
      </w:r>
      <w:r>
        <w:t xml:space="preserve">cost. Here, </w:t>
      </w:r>
      <w:r w:rsidR="00783625">
        <w:t>Contrast Industries</w:t>
      </w:r>
      <w:r>
        <w:t xml:space="preserve"> has a clawback amount of $</w:t>
      </w:r>
      <w:r w:rsidR="008D20BC">
        <w:t>20</w:t>
      </w:r>
      <w:r>
        <w:t xml:space="preserve"> million.</w:t>
      </w:r>
    </w:p>
    <w:p w14:paraId="4B02B1E3" w14:textId="2774B8D1" w:rsidR="00014977" w:rsidRDefault="00014977" w:rsidP="00014977">
      <w:pPr>
        <w:pStyle w:val="base-text-paragraph"/>
      </w:pPr>
      <w:r>
        <w:t>Except as outlined in this Chapter, the remaking of Subdivisions 355-G and 355-H is not intended to alter the way recoupment amounts and feedstock adjustments (a clawback amount in the</w:t>
      </w:r>
      <w:r w:rsidR="00C811DC">
        <w:t>se</w:t>
      </w:r>
      <w:r>
        <w:t xml:space="preserve"> amendments) are calculated. For further information on the operation of these provisions, refer to the Explanatory Memorandum to the </w:t>
      </w:r>
      <w:r w:rsidRPr="00014977">
        <w:t>Tax Laws Amendment (Research and Development) Bill 2011</w:t>
      </w:r>
      <w:r w:rsidR="004D2F00">
        <w:t>, and existing guidance materials and rulings issued by the Commissioner</w:t>
      </w:r>
      <w:r>
        <w:t>.</w:t>
      </w:r>
    </w:p>
    <w:p w14:paraId="0E29B47C" w14:textId="77777777" w:rsidR="00D80645" w:rsidRDefault="00D80645" w:rsidP="00D80645">
      <w:pPr>
        <w:pStyle w:val="Heading4"/>
      </w:pPr>
      <w:r>
        <w:t>The taxing point</w:t>
      </w:r>
    </w:p>
    <w:p w14:paraId="70FDC180" w14:textId="51590AE2" w:rsidR="00D80645" w:rsidRPr="00227A64" w:rsidRDefault="00D80645" w:rsidP="00D80645">
      <w:pPr>
        <w:pStyle w:val="base-text-paragraph"/>
      </w:pPr>
      <w:r>
        <w:t xml:space="preserve">Consistent with the existing law, the </w:t>
      </w:r>
      <w:r w:rsidR="00DF284C">
        <w:t xml:space="preserve">uniform </w:t>
      </w:r>
      <w:r>
        <w:t xml:space="preserve">clawback </w:t>
      </w:r>
      <w:r w:rsidR="00DF284C">
        <w:t>rule</w:t>
      </w:r>
      <w:r>
        <w:t xml:space="preserve"> will include an amount </w:t>
      </w:r>
      <w:r w:rsidR="00DF284C">
        <w:t>in</w:t>
      </w:r>
      <w:r>
        <w:t xml:space="preserve"> assessable income in the year the </w:t>
      </w:r>
      <w:r w:rsidR="0048182C">
        <w:t>clawback</w:t>
      </w:r>
      <w:r>
        <w:t xml:space="preserve"> </w:t>
      </w:r>
      <w:r w:rsidR="009E6A49">
        <w:t xml:space="preserve">amount </w:t>
      </w:r>
      <w:r>
        <w:t>is received (the present year)</w:t>
      </w:r>
      <w:r w:rsidRPr="00227A64">
        <w:t xml:space="preserve">. The underlying offset entitlement, whether in the same year or in an earlier year or years (an offset year) is unchanged. </w:t>
      </w:r>
      <w:r>
        <w:rPr>
          <w:rStyle w:val="Referencingstyle"/>
        </w:rPr>
        <w:t xml:space="preserve">[Exposure Draft, Schedule </w:t>
      </w:r>
      <w:r w:rsidR="008927C8">
        <w:rPr>
          <w:rStyle w:val="Referencingstyle"/>
        </w:rPr>
        <w:t>2</w:t>
      </w:r>
      <w:r>
        <w:rPr>
          <w:rStyle w:val="Referencingstyle"/>
        </w:rPr>
        <w:t>, i</w:t>
      </w:r>
      <w:r w:rsidRPr="00375F1D">
        <w:rPr>
          <w:rStyle w:val="Referencingstyle"/>
        </w:rPr>
        <w:t xml:space="preserve">tem </w:t>
      </w:r>
      <w:r>
        <w:rPr>
          <w:rStyle w:val="Referencingstyle"/>
        </w:rPr>
        <w:t>15</w:t>
      </w:r>
      <w:r w:rsidRPr="00375F1D">
        <w:rPr>
          <w:rStyle w:val="Referencingstyle"/>
        </w:rPr>
        <w:t xml:space="preserve">, </w:t>
      </w:r>
      <w:r w:rsidR="00DF284C">
        <w:rPr>
          <w:rStyle w:val="Referencingstyle"/>
        </w:rPr>
        <w:t>section</w:t>
      </w:r>
      <w:r>
        <w:rPr>
          <w:rStyle w:val="Referencingstyle"/>
        </w:rPr>
        <w:t xml:space="preserve"> 355-</w:t>
      </w:r>
      <w:r w:rsidR="00DF284C">
        <w:rPr>
          <w:rStyle w:val="Referencingstyle"/>
        </w:rPr>
        <w:t>435 of the ITAA </w:t>
      </w:r>
      <w:r>
        <w:rPr>
          <w:rStyle w:val="Referencingstyle"/>
        </w:rPr>
        <w:t>1997</w:t>
      </w:r>
      <w:r w:rsidRPr="00375F1D">
        <w:rPr>
          <w:rStyle w:val="Referencingstyle"/>
        </w:rPr>
        <w:t>]</w:t>
      </w:r>
    </w:p>
    <w:p w14:paraId="51F53E24" w14:textId="689876C9" w:rsidR="00D80645" w:rsidRPr="00227A64" w:rsidRDefault="00D80645" w:rsidP="00D80645">
      <w:pPr>
        <w:pStyle w:val="base-text-paragraph"/>
      </w:pPr>
      <w:r>
        <w:t xml:space="preserve">The entity receiving the </w:t>
      </w:r>
      <w:r w:rsidR="00DF284C">
        <w:t>recoupment or feedstock revenue could</w:t>
      </w:r>
      <w:r>
        <w:t xml:space="preserve"> be the R&amp;D entity </w:t>
      </w:r>
      <w:r w:rsidR="009E6A49">
        <w:t xml:space="preserve">entitled to the R&amp;D tax offset </w:t>
      </w:r>
      <w:r>
        <w:t xml:space="preserve">or </w:t>
      </w:r>
      <w:r w:rsidR="00DF284C">
        <w:t>an entity affiliated with or connected to</w:t>
      </w:r>
      <w:r>
        <w:t xml:space="preserve"> the R&amp;D entity. </w:t>
      </w:r>
      <w:r w:rsidR="00DF284C">
        <w:rPr>
          <w:rStyle w:val="Referencingstyle"/>
        </w:rPr>
        <w:t xml:space="preserve">[Exposure Draft, Schedule </w:t>
      </w:r>
      <w:r w:rsidR="008927C8">
        <w:rPr>
          <w:rStyle w:val="Referencingstyle"/>
        </w:rPr>
        <w:t>2</w:t>
      </w:r>
      <w:r w:rsidR="00DF284C">
        <w:rPr>
          <w:rStyle w:val="Referencingstyle"/>
        </w:rPr>
        <w:t>, i</w:t>
      </w:r>
      <w:r w:rsidR="00DF284C" w:rsidRPr="00375F1D">
        <w:rPr>
          <w:rStyle w:val="Referencingstyle"/>
        </w:rPr>
        <w:t xml:space="preserve">tem </w:t>
      </w:r>
      <w:r w:rsidR="00DF284C">
        <w:rPr>
          <w:rStyle w:val="Referencingstyle"/>
        </w:rPr>
        <w:t>15</w:t>
      </w:r>
      <w:r w:rsidR="00DF284C" w:rsidRPr="00375F1D">
        <w:rPr>
          <w:rStyle w:val="Referencingstyle"/>
        </w:rPr>
        <w:t>, s</w:t>
      </w:r>
      <w:r w:rsidR="00DF284C">
        <w:rPr>
          <w:rStyle w:val="Referencingstyle"/>
        </w:rPr>
        <w:t>ubs</w:t>
      </w:r>
      <w:r w:rsidR="00DF284C" w:rsidRPr="00375F1D">
        <w:rPr>
          <w:rStyle w:val="Referencingstyle"/>
        </w:rPr>
        <w:t>ection</w:t>
      </w:r>
      <w:r w:rsidR="00DF284C">
        <w:rPr>
          <w:rStyle w:val="Referencingstyle"/>
        </w:rPr>
        <w:t>s 355-440(5) and 355-445(5) of the ITAA 1997</w:t>
      </w:r>
      <w:r w:rsidR="00DF284C" w:rsidRPr="00375F1D">
        <w:rPr>
          <w:rStyle w:val="Referencingstyle"/>
        </w:rPr>
        <w:t>]</w:t>
      </w:r>
    </w:p>
    <w:p w14:paraId="20F4DA55" w14:textId="7D13F368" w:rsidR="00DF284C" w:rsidRPr="00C076D6" w:rsidRDefault="00D80645" w:rsidP="00D80645">
      <w:pPr>
        <w:pStyle w:val="base-text-paragraph"/>
        <w:rPr>
          <w:rStyle w:val="Referencingstyle"/>
          <w:b w:val="0"/>
          <w:i w:val="0"/>
          <w:sz w:val="22"/>
        </w:rPr>
      </w:pPr>
      <w:r w:rsidRPr="00227A64">
        <w:t xml:space="preserve">The </w:t>
      </w:r>
      <w:r w:rsidR="0048182C">
        <w:t>amendments</w:t>
      </w:r>
      <w:r w:rsidRPr="00227A64">
        <w:t xml:space="preserve"> </w:t>
      </w:r>
      <w:r w:rsidR="00DF284C">
        <w:t xml:space="preserve">unify the taxing point in cases involving related entities: where one entity has the R&amp;D tax offset entitlement and the other entity receives the recoupment or feedstock revenue. The R&amp;D entity that has received or is entitled to receive the R&amp;D tax offset is the entity with the clawback amount and must include an amount in its assessable income. </w:t>
      </w:r>
      <w:r w:rsidR="00DF284C">
        <w:rPr>
          <w:rStyle w:val="Referencingstyle"/>
        </w:rPr>
        <w:t xml:space="preserve">[Exposure Draft, Schedule </w:t>
      </w:r>
      <w:r w:rsidR="008927C8">
        <w:rPr>
          <w:rStyle w:val="Referencingstyle"/>
        </w:rPr>
        <w:t>2</w:t>
      </w:r>
      <w:r w:rsidR="00DF284C">
        <w:rPr>
          <w:rStyle w:val="Referencingstyle"/>
        </w:rPr>
        <w:t>, i</w:t>
      </w:r>
      <w:r w:rsidR="00DF284C" w:rsidRPr="00375F1D">
        <w:rPr>
          <w:rStyle w:val="Referencingstyle"/>
        </w:rPr>
        <w:t xml:space="preserve">tem </w:t>
      </w:r>
      <w:r w:rsidR="00DF284C">
        <w:rPr>
          <w:rStyle w:val="Referencingstyle"/>
        </w:rPr>
        <w:t>15</w:t>
      </w:r>
      <w:r w:rsidR="00DF284C" w:rsidRPr="00375F1D">
        <w:rPr>
          <w:rStyle w:val="Referencingstyle"/>
        </w:rPr>
        <w:t xml:space="preserve">, </w:t>
      </w:r>
      <w:r w:rsidR="00DF284C">
        <w:rPr>
          <w:rStyle w:val="Referencingstyle"/>
        </w:rPr>
        <w:t xml:space="preserve">section 355-435 and </w:t>
      </w:r>
      <w:r w:rsidR="00DF284C" w:rsidRPr="00375F1D">
        <w:rPr>
          <w:rStyle w:val="Referencingstyle"/>
        </w:rPr>
        <w:t>s</w:t>
      </w:r>
      <w:r w:rsidR="00DF284C">
        <w:rPr>
          <w:rStyle w:val="Referencingstyle"/>
        </w:rPr>
        <w:t>ubs</w:t>
      </w:r>
      <w:r w:rsidR="00DF284C" w:rsidRPr="00375F1D">
        <w:rPr>
          <w:rStyle w:val="Referencingstyle"/>
        </w:rPr>
        <w:t>ection</w:t>
      </w:r>
      <w:r w:rsidR="00DF284C">
        <w:rPr>
          <w:rStyle w:val="Referencingstyle"/>
        </w:rPr>
        <w:t xml:space="preserve">s 355-440(1) </w:t>
      </w:r>
      <w:r w:rsidR="00BF346F">
        <w:rPr>
          <w:rStyle w:val="Referencingstyle"/>
        </w:rPr>
        <w:t xml:space="preserve">(2) and (5), </w:t>
      </w:r>
      <w:r w:rsidR="00DF284C">
        <w:rPr>
          <w:rStyle w:val="Referencingstyle"/>
        </w:rPr>
        <w:t>and 355-445(5) of the ITAA 1997</w:t>
      </w:r>
      <w:r w:rsidR="00DF284C" w:rsidRPr="00375F1D">
        <w:rPr>
          <w:rStyle w:val="Referencingstyle"/>
        </w:rPr>
        <w:t>]</w:t>
      </w:r>
    </w:p>
    <w:p w14:paraId="6156E30F" w14:textId="279A14E5" w:rsidR="00E26989" w:rsidRDefault="00E26989" w:rsidP="00C076D6">
      <w:pPr>
        <w:pStyle w:val="ExampleHeading"/>
        <w:numPr>
          <w:ilvl w:val="3"/>
          <w:numId w:val="4"/>
        </w:numPr>
      </w:pPr>
      <w:r>
        <w:t xml:space="preserve"> Related entities and clawbacks</w:t>
      </w:r>
    </w:p>
    <w:p w14:paraId="41710358" w14:textId="75627A5D" w:rsidR="00E26989" w:rsidRPr="00E26989" w:rsidRDefault="00E26989" w:rsidP="00C076D6">
      <w:pPr>
        <w:pStyle w:val="exampletext"/>
      </w:pPr>
      <w:r>
        <w:t xml:space="preserve">It would not change the outcome in </w:t>
      </w:r>
      <w:r>
        <w:fldChar w:fldCharType="begin"/>
      </w:r>
      <w:r>
        <w:instrText xml:space="preserve"> REF _Ref516216859 \r \h </w:instrText>
      </w:r>
      <w:r>
        <w:fldChar w:fldCharType="separate"/>
      </w:r>
      <w:r w:rsidR="00B87BEB">
        <w:t>Example 2.3</w:t>
      </w:r>
      <w:r>
        <w:fldChar w:fldCharType="end"/>
      </w:r>
      <w:r>
        <w:t xml:space="preserve"> if, instead of </w:t>
      </w:r>
      <w:r w:rsidR="00783625">
        <w:t>Contrast Industries</w:t>
      </w:r>
      <w:r w:rsidR="00A853DF">
        <w:t xml:space="preserve"> </w:t>
      </w:r>
      <w:r>
        <w:t xml:space="preserve">selling the </w:t>
      </w:r>
      <w:r w:rsidR="00A853DF" w:rsidRPr="00A853DF">
        <w:t>tangible product</w:t>
      </w:r>
      <w:r w:rsidR="00A853DF">
        <w:t xml:space="preserve"> </w:t>
      </w:r>
      <w:r>
        <w:t xml:space="preserve">itself, the </w:t>
      </w:r>
      <w:r w:rsidR="00A853DF" w:rsidRPr="00A853DF">
        <w:t>tangible product</w:t>
      </w:r>
      <w:r w:rsidR="00A853DF">
        <w:t xml:space="preserve"> </w:t>
      </w:r>
      <w:r>
        <w:t xml:space="preserve">was sold by a related entity. </w:t>
      </w:r>
    </w:p>
    <w:p w14:paraId="24B702ED" w14:textId="774A7FD7" w:rsidR="005600BB" w:rsidRDefault="005600BB" w:rsidP="00D80645">
      <w:pPr>
        <w:pStyle w:val="Heading4"/>
      </w:pPr>
      <w:r>
        <w:t>The amount included in assessable income</w:t>
      </w:r>
    </w:p>
    <w:p w14:paraId="6C58CCCC" w14:textId="656AEC22" w:rsidR="005600BB" w:rsidRPr="0025712F" w:rsidRDefault="005600BB" w:rsidP="005600BB">
      <w:pPr>
        <w:pStyle w:val="base-text-paragraph"/>
      </w:pPr>
      <w:r>
        <w:t xml:space="preserve">When the clawback applies, the </w:t>
      </w:r>
      <w:r w:rsidR="006070DB">
        <w:t>R&amp;D entit</w:t>
      </w:r>
      <w:r>
        <w:t xml:space="preserve">y entitled to the </w:t>
      </w:r>
      <w:r w:rsidR="009A11D4">
        <w:t xml:space="preserve">R&amp;D tax </w:t>
      </w:r>
      <w:r>
        <w:t xml:space="preserve">offset includes an </w:t>
      </w:r>
      <w:r w:rsidRPr="00227A64">
        <w:t xml:space="preserve">amount in assessable income in relation to each offset year in which it claimed an offset related to the recoupment amount or feedstock adjustment. </w:t>
      </w:r>
      <w:r w:rsidRPr="000D7FE5">
        <w:rPr>
          <w:rStyle w:val="Referencingstyle"/>
        </w:rPr>
        <w:t xml:space="preserve">[Exposure Draft, Schedule </w:t>
      </w:r>
      <w:r w:rsidR="008927C8">
        <w:rPr>
          <w:rStyle w:val="Referencingstyle"/>
        </w:rPr>
        <w:t>2</w:t>
      </w:r>
      <w:r w:rsidRPr="000D7FE5">
        <w:rPr>
          <w:rStyle w:val="Referencingstyle"/>
        </w:rPr>
        <w:t xml:space="preserve">, item 15, </w:t>
      </w:r>
      <w:r>
        <w:rPr>
          <w:rStyle w:val="Referencingstyle"/>
        </w:rPr>
        <w:t>section 355-450 of the ITAA </w:t>
      </w:r>
      <w:r w:rsidRPr="000D7FE5">
        <w:rPr>
          <w:rStyle w:val="Referencingstyle"/>
        </w:rPr>
        <w:t>1997]</w:t>
      </w:r>
    </w:p>
    <w:p w14:paraId="2365634D" w14:textId="379B942E" w:rsidR="005600BB" w:rsidRDefault="005600BB" w:rsidP="006220CA">
      <w:pPr>
        <w:pStyle w:val="base-text-paragraph"/>
        <w:keepNext/>
      </w:pPr>
      <w:r>
        <w:t>The amount included in assessable income is worked out as follows:</w:t>
      </w:r>
    </w:p>
    <w:p w14:paraId="039F4A7B" w14:textId="48D11409" w:rsidR="005600BB" w:rsidRDefault="005600BB" w:rsidP="005600BB">
      <w:pPr>
        <w:pStyle w:val="base-text-paragraph"/>
        <w:numPr>
          <w:ilvl w:val="0"/>
          <w:numId w:val="0"/>
        </w:numPr>
        <w:ind w:left="1134"/>
      </w:pPr>
      <m:oMathPara>
        <m:oMath>
          <m:r>
            <w:rPr>
              <w:rFonts w:ascii="Cambria Math" w:hAnsi="Cambria Math"/>
            </w:rPr>
            <m:t xml:space="preserve"> </m:t>
          </m:r>
          <m:f>
            <m:fPr>
              <m:ctrlPr>
                <w:rPr>
                  <w:rFonts w:ascii="Cambria Math" w:hAnsi="Cambria Math"/>
                  <w:i/>
                </w:rPr>
              </m:ctrlPr>
            </m:fPr>
            <m:num>
              <m:r>
                <w:rPr>
                  <w:rFonts w:ascii="Cambria Math" w:hAnsi="Cambria Math"/>
                </w:rPr>
                <m:t>Starting offset-Adjusted offset-Deduction amount</m:t>
              </m:r>
            </m:num>
            <m:den>
              <m:r>
                <w:rPr>
                  <w:rFonts w:ascii="Cambria Math" w:hAnsi="Cambria Math"/>
                </w:rPr>
                <m:t>R&amp;D entit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s corporate tax rate for the present year</m:t>
              </m:r>
            </m:den>
          </m:f>
        </m:oMath>
      </m:oMathPara>
    </w:p>
    <w:p w14:paraId="56904240" w14:textId="31B03576" w:rsidR="005600BB" w:rsidRPr="005600BB" w:rsidRDefault="005600BB" w:rsidP="005600BB">
      <w:pPr>
        <w:pStyle w:val="base-text-paragraph"/>
      </w:pPr>
      <w:r>
        <w:t>Each of the components of this formula are explained below.</w:t>
      </w:r>
    </w:p>
    <w:p w14:paraId="1383A16B" w14:textId="59FAABF6" w:rsidR="00D80645" w:rsidRDefault="00D80645" w:rsidP="00D80645">
      <w:pPr>
        <w:pStyle w:val="Heading4"/>
      </w:pPr>
      <w:r>
        <w:t xml:space="preserve">Calculating the offset </w:t>
      </w:r>
      <w:r w:rsidR="008D20BC">
        <w:t xml:space="preserve">portion </w:t>
      </w:r>
      <w:r w:rsidR="00790D4E">
        <w:t>subject to the</w:t>
      </w:r>
      <w:r w:rsidR="00A71A1B">
        <w:t xml:space="preserve"> claw</w:t>
      </w:r>
      <w:r w:rsidR="00790D4E">
        <w:t>back</w:t>
      </w:r>
    </w:p>
    <w:p w14:paraId="6156AC17" w14:textId="43B7EACA" w:rsidR="00D80645" w:rsidRDefault="005600BB" w:rsidP="00D80645">
      <w:pPr>
        <w:pStyle w:val="base-text-paragraph"/>
      </w:pPr>
      <w:r>
        <w:t xml:space="preserve">The first step in applying the formula is to calculate the </w:t>
      </w:r>
      <w:r w:rsidR="008D20BC">
        <w:t>portion</w:t>
      </w:r>
      <w:r>
        <w:t xml:space="preserve"> of the R&amp;D tax offset the </w:t>
      </w:r>
      <w:r w:rsidR="006070DB">
        <w:t>R&amp;D entit</w:t>
      </w:r>
      <w:r>
        <w:t xml:space="preserve">y received that relates to the clawback amount. If the </w:t>
      </w:r>
      <w:r w:rsidR="006070DB">
        <w:t>R&amp;D entit</w:t>
      </w:r>
      <w:r>
        <w:t>y received the R&amp;D tax offset in multiple offset years in relation to the clawback amount that arises in the present year, the formula must be applied in relation to each offset year.</w:t>
      </w:r>
    </w:p>
    <w:p w14:paraId="5514C738" w14:textId="01B718D6" w:rsidR="00D80645" w:rsidRPr="00227A64" w:rsidRDefault="00D80645" w:rsidP="00D80645">
      <w:pPr>
        <w:pStyle w:val="base-text-paragraph"/>
      </w:pPr>
      <w:r w:rsidRPr="00227A64">
        <w:t xml:space="preserve">The primary way of working out the </w:t>
      </w:r>
      <w:r w:rsidR="008D20BC">
        <w:t>portion</w:t>
      </w:r>
      <w:r w:rsidRPr="00227A64">
        <w:t xml:space="preserve"> of the offset to be clawed back in </w:t>
      </w:r>
      <w:r w:rsidR="005600BB">
        <w:t>an</w:t>
      </w:r>
      <w:r w:rsidRPr="00227A64">
        <w:t xml:space="preserve"> offset year is to compare the actual amount of the </w:t>
      </w:r>
      <w:r w:rsidR="005600BB">
        <w:t xml:space="preserve">R&amp;D tax </w:t>
      </w:r>
      <w:r w:rsidRPr="00227A64">
        <w:t xml:space="preserve">offset in that year </w:t>
      </w:r>
      <w:r>
        <w:t xml:space="preserve">(the starting offset) </w:t>
      </w:r>
      <w:r w:rsidRPr="00227A64">
        <w:t xml:space="preserve">with the amount of the offset the </w:t>
      </w:r>
      <w:r w:rsidR="006070DB">
        <w:t>R&amp;D entit</w:t>
      </w:r>
      <w:r w:rsidRPr="00227A64">
        <w:t xml:space="preserve">y would have received if its notional deductions were reduced by the </w:t>
      </w:r>
      <w:r w:rsidR="00383489">
        <w:t xml:space="preserve">portion of the </w:t>
      </w:r>
      <w:r w:rsidR="005600BB">
        <w:t>clawback amount</w:t>
      </w:r>
      <w:r>
        <w:t xml:space="preserve"> </w:t>
      </w:r>
      <w:r w:rsidR="00383489">
        <w:t xml:space="preserve">that relates to the offset year </w:t>
      </w:r>
      <w:r>
        <w:t>(the adjusted offset)</w:t>
      </w:r>
      <w:r w:rsidRPr="00227A64">
        <w:t xml:space="preserve">. </w:t>
      </w:r>
      <w:r w:rsidR="005600BB" w:rsidRPr="000D7FE5">
        <w:rPr>
          <w:rStyle w:val="Referencingstyle"/>
        </w:rPr>
        <w:t xml:space="preserve">[Exposure Draft, Schedule </w:t>
      </w:r>
      <w:r w:rsidR="008927C8">
        <w:rPr>
          <w:rStyle w:val="Referencingstyle"/>
        </w:rPr>
        <w:t>2</w:t>
      </w:r>
      <w:r w:rsidR="005600BB" w:rsidRPr="000D7FE5">
        <w:rPr>
          <w:rStyle w:val="Referencingstyle"/>
        </w:rPr>
        <w:t xml:space="preserve">, item 15, </w:t>
      </w:r>
      <w:r w:rsidR="00790D4E">
        <w:rPr>
          <w:rStyle w:val="Referencingstyle"/>
        </w:rPr>
        <w:t>subsection</w:t>
      </w:r>
      <w:r w:rsidR="005600BB">
        <w:rPr>
          <w:rStyle w:val="Referencingstyle"/>
        </w:rPr>
        <w:t xml:space="preserve"> 355-450</w:t>
      </w:r>
      <w:r w:rsidR="00790D4E">
        <w:rPr>
          <w:rStyle w:val="Referencingstyle"/>
        </w:rPr>
        <w:t>(1)</w:t>
      </w:r>
      <w:r w:rsidR="005600BB">
        <w:rPr>
          <w:rStyle w:val="Referencingstyle"/>
        </w:rPr>
        <w:t xml:space="preserve"> </w:t>
      </w:r>
      <w:r w:rsidR="00790D4E">
        <w:rPr>
          <w:rStyle w:val="Referencingstyle"/>
        </w:rPr>
        <w:t xml:space="preserve">(definitions of ‘adjusted offset’ and ‘starting offset’) </w:t>
      </w:r>
      <w:r w:rsidR="005600BB">
        <w:rPr>
          <w:rStyle w:val="Referencingstyle"/>
        </w:rPr>
        <w:t>of the ITAA </w:t>
      </w:r>
      <w:r w:rsidR="005600BB" w:rsidRPr="000D7FE5">
        <w:rPr>
          <w:rStyle w:val="Referencingstyle"/>
        </w:rPr>
        <w:t>1997]</w:t>
      </w:r>
    </w:p>
    <w:p w14:paraId="192B9985" w14:textId="09DD63E1" w:rsidR="00D80645" w:rsidRPr="00227A64" w:rsidRDefault="00790D4E" w:rsidP="00D80645">
      <w:pPr>
        <w:pStyle w:val="base-text-paragraph"/>
      </w:pPr>
      <w:r w:rsidRPr="00227A64">
        <w:t xml:space="preserve">This targets the clawback to the highest tiers of the </w:t>
      </w:r>
      <w:r w:rsidR="006070DB">
        <w:t>R&amp;D entit</w:t>
      </w:r>
      <w:r w:rsidRPr="00227A64">
        <w:t xml:space="preserve">y’s offset entitlement (i.e. those received for the highest intensity expenditure, the last dollars the entity spent). </w:t>
      </w:r>
      <w:r w:rsidR="00D80645" w:rsidRPr="00227A64">
        <w:t xml:space="preserve">If an </w:t>
      </w:r>
      <w:r w:rsidR="006070DB">
        <w:t>R&amp;D entit</w:t>
      </w:r>
      <w:r w:rsidR="00D80645" w:rsidRPr="00227A64">
        <w:t xml:space="preserve">y had notional deductions in excess of the $150 million expenditure </w:t>
      </w:r>
      <w:r>
        <w:t>threshold</w:t>
      </w:r>
      <w:r w:rsidR="00D80645" w:rsidRPr="00227A64">
        <w:t xml:space="preserve">, the excess </w:t>
      </w:r>
      <w:r w:rsidR="00D80645">
        <w:t>d</w:t>
      </w:r>
      <w:r>
        <w:t>eductions would be reduced first, limiting the difference between the starting and adjusted offset</w:t>
      </w:r>
      <w:r w:rsidR="00D80645" w:rsidRPr="00227A64">
        <w:t>. This</w:t>
      </w:r>
      <w:r w:rsidR="00A71A1B">
        <w:t xml:space="preserve"> </w:t>
      </w:r>
      <w:r w:rsidR="00A71A1B">
        <w:noBreakHyphen/>
        <w:t xml:space="preserve"> when combined with the operation of the deduction amount </w:t>
      </w:r>
      <w:r w:rsidR="00A71A1B">
        <w:noBreakHyphen/>
      </w:r>
      <w:r w:rsidR="00D80645" w:rsidRPr="00227A64">
        <w:t xml:space="preserve"> is equivalent of the outcome achieved under </w:t>
      </w:r>
      <w:r w:rsidR="00737D01">
        <w:t>table items 2 and 3 in sub</w:t>
      </w:r>
      <w:r w:rsidR="00D80645" w:rsidRPr="00227A64">
        <w:t>section 355-720</w:t>
      </w:r>
      <w:r w:rsidR="00737D01">
        <w:t>(2)</w:t>
      </w:r>
      <w:r w:rsidR="00D80645" w:rsidRPr="00227A64">
        <w:t xml:space="preserve"> in the current law. </w:t>
      </w:r>
    </w:p>
    <w:p w14:paraId="63B8127B" w14:textId="56353336" w:rsidR="008D20BC" w:rsidRDefault="008D20BC" w:rsidP="00C076D6">
      <w:pPr>
        <w:pStyle w:val="ExampleHeading"/>
        <w:numPr>
          <w:ilvl w:val="3"/>
          <w:numId w:val="4"/>
        </w:numPr>
      </w:pPr>
      <w:r>
        <w:t xml:space="preserve"> </w:t>
      </w:r>
      <w:bookmarkStart w:id="15" w:name="_Ref516217870"/>
      <w:r>
        <w:t>The</w:t>
      </w:r>
      <w:r w:rsidR="00A86AE7">
        <w:t xml:space="preserve"> starting offset and the adjusted offset</w:t>
      </w:r>
      <w:bookmarkEnd w:id="15"/>
    </w:p>
    <w:p w14:paraId="25059179" w14:textId="5DFD3459" w:rsidR="008D20BC" w:rsidRDefault="008D20BC" w:rsidP="00C076D6">
      <w:pPr>
        <w:pStyle w:val="exampletext"/>
      </w:pPr>
      <w:r>
        <w:t xml:space="preserve">Further to </w:t>
      </w:r>
      <w:r>
        <w:fldChar w:fldCharType="begin"/>
      </w:r>
      <w:r>
        <w:instrText xml:space="preserve"> REF _Ref516216859 \r \h </w:instrText>
      </w:r>
      <w:r>
        <w:fldChar w:fldCharType="separate"/>
      </w:r>
      <w:r w:rsidR="00B87BEB">
        <w:t>Example 2.3</w:t>
      </w:r>
      <w:r>
        <w:fldChar w:fldCharType="end"/>
      </w:r>
      <w:r>
        <w:t xml:space="preserve">, the portion of </w:t>
      </w:r>
      <w:r w:rsidR="00783625">
        <w:t>Contrast Industries</w:t>
      </w:r>
      <w:r w:rsidR="003C560E">
        <w:t>’</w:t>
      </w:r>
      <w:r>
        <w:t xml:space="preserve"> 2018-19 R&amp;D tax offset that is subject to the clawback is worked out by subtracting the entity’s adjusted offset from its starting offset.</w:t>
      </w:r>
    </w:p>
    <w:p w14:paraId="71208F5B" w14:textId="55CE3031" w:rsidR="008D20BC" w:rsidRDefault="00783625" w:rsidP="00C076D6">
      <w:pPr>
        <w:pStyle w:val="exampletext"/>
      </w:pPr>
      <w:r>
        <w:t>Contrast Industries</w:t>
      </w:r>
      <w:r w:rsidR="008D20BC">
        <w:t xml:space="preserve"> has a starting offset of $</w:t>
      </w:r>
      <w:r w:rsidR="009D3521">
        <w:t>61.5</w:t>
      </w:r>
      <w:r w:rsidR="008D20BC">
        <w:t xml:space="preserve"> million, the amount of the offset it received in 2018-19.</w:t>
      </w:r>
    </w:p>
    <w:p w14:paraId="47AB563D" w14:textId="621BBD49" w:rsidR="008D20BC" w:rsidRDefault="00783625" w:rsidP="00C076D6">
      <w:pPr>
        <w:pStyle w:val="exampletext"/>
      </w:pPr>
      <w:r>
        <w:t>Contrast Industries</w:t>
      </w:r>
      <w:r w:rsidR="008D20BC">
        <w:t xml:space="preserve"> has an adjusted offset calculated as if its notional deductions for 2018-19 were reduced from $160 million to $140 million by the value of the clawback amount</w:t>
      </w:r>
      <w:r w:rsidR="00383489">
        <w:t>. The entire clawback amount is included in the reduction because the entire amount relates to the 2018-19 income year. The adjusted offset is calculated as follows</w:t>
      </w:r>
      <w:r w:rsidR="008D20BC">
        <w:t>:</w:t>
      </w:r>
    </w:p>
    <w:tbl>
      <w:tblPr>
        <w:tblStyle w:val="TableGrid"/>
        <w:tblW w:w="3696" w:type="pct"/>
        <w:tblInd w:w="2093" w:type="dxa"/>
        <w:tblLook w:val="04A0" w:firstRow="1" w:lastRow="0" w:firstColumn="1" w:lastColumn="0" w:noHBand="0" w:noVBand="1"/>
      </w:tblPr>
      <w:tblGrid>
        <w:gridCol w:w="856"/>
        <w:gridCol w:w="1119"/>
        <w:gridCol w:w="961"/>
        <w:gridCol w:w="1791"/>
        <w:gridCol w:w="1133"/>
      </w:tblGrid>
      <w:tr w:rsidR="008D20BC" w14:paraId="09CC44BF" w14:textId="77777777" w:rsidTr="00DA776E">
        <w:trPr>
          <w:cantSplit/>
        </w:trPr>
        <w:tc>
          <w:tcPr>
            <w:tcW w:w="730" w:type="pct"/>
          </w:tcPr>
          <w:p w14:paraId="020D70B5" w14:textId="77777777" w:rsidR="008D20BC" w:rsidRDefault="008D20BC" w:rsidP="00DA776E">
            <w:pPr>
              <w:pStyle w:val="tableheaderwithintable"/>
            </w:pPr>
            <w:r>
              <w:t>Tier</w:t>
            </w:r>
          </w:p>
        </w:tc>
        <w:tc>
          <w:tcPr>
            <w:tcW w:w="955" w:type="pct"/>
          </w:tcPr>
          <w:p w14:paraId="58A99057" w14:textId="77777777" w:rsidR="008D20BC" w:rsidRDefault="008D20BC" w:rsidP="00DA776E">
            <w:pPr>
              <w:pStyle w:val="tableheaderwithintable"/>
            </w:pPr>
            <w:r>
              <w:t>Intensity</w:t>
            </w:r>
            <w:r>
              <w:br/>
              <w:t>range</w:t>
            </w:r>
          </w:p>
        </w:tc>
        <w:tc>
          <w:tcPr>
            <w:tcW w:w="820" w:type="pct"/>
          </w:tcPr>
          <w:p w14:paraId="7C134979" w14:textId="77777777" w:rsidR="008D20BC" w:rsidRDefault="008D20BC" w:rsidP="00DA776E">
            <w:pPr>
              <w:pStyle w:val="tableheaderwithintable"/>
            </w:pPr>
            <w:r>
              <w:t>R&amp;D</w:t>
            </w:r>
            <w:r>
              <w:br/>
              <w:t>premium</w:t>
            </w:r>
          </w:p>
        </w:tc>
        <w:tc>
          <w:tcPr>
            <w:tcW w:w="1528" w:type="pct"/>
          </w:tcPr>
          <w:p w14:paraId="0AF69F12" w14:textId="77777777" w:rsidR="008D20BC" w:rsidRDefault="008D20BC" w:rsidP="00DA776E">
            <w:pPr>
              <w:pStyle w:val="tableheaderwithintable"/>
            </w:pPr>
            <w:r>
              <w:t>Notional deductions applied</w:t>
            </w:r>
          </w:p>
        </w:tc>
        <w:tc>
          <w:tcPr>
            <w:tcW w:w="967" w:type="pct"/>
          </w:tcPr>
          <w:p w14:paraId="32412F9C" w14:textId="77777777" w:rsidR="008D20BC" w:rsidRDefault="008D20BC" w:rsidP="00DA776E">
            <w:pPr>
              <w:pStyle w:val="tableheaderwithintable"/>
            </w:pPr>
            <w:r>
              <w:t>Offset</w:t>
            </w:r>
            <w:r>
              <w:br/>
              <w:t>amount</w:t>
            </w:r>
          </w:p>
        </w:tc>
      </w:tr>
      <w:tr w:rsidR="008D20BC" w14:paraId="085437F9" w14:textId="77777777" w:rsidTr="00DA776E">
        <w:trPr>
          <w:cantSplit/>
        </w:trPr>
        <w:tc>
          <w:tcPr>
            <w:tcW w:w="730" w:type="pct"/>
          </w:tcPr>
          <w:p w14:paraId="7C761B64" w14:textId="77777777" w:rsidR="008D20BC" w:rsidRPr="00F57149" w:rsidRDefault="008D20BC" w:rsidP="00DA776E">
            <w:pPr>
              <w:pStyle w:val="tabletext"/>
              <w:keepNext/>
              <w:keepLines/>
              <w:ind w:left="0"/>
            </w:pPr>
            <w:r w:rsidRPr="00F57149">
              <w:t>Tier 1</w:t>
            </w:r>
          </w:p>
        </w:tc>
        <w:tc>
          <w:tcPr>
            <w:tcW w:w="955" w:type="pct"/>
          </w:tcPr>
          <w:p w14:paraId="5A05BA85" w14:textId="77777777" w:rsidR="008D20BC" w:rsidRPr="00F57149" w:rsidRDefault="008D20BC" w:rsidP="00DA776E">
            <w:pPr>
              <w:pStyle w:val="tabletext"/>
              <w:keepNext/>
              <w:keepLines/>
              <w:ind w:left="0"/>
            </w:pPr>
            <w:r w:rsidRPr="00F57149">
              <w:t>0</w:t>
            </w:r>
            <w:r>
              <w:t>-2</w:t>
            </w:r>
            <w:r w:rsidRPr="00F57149">
              <w:t>%</w:t>
            </w:r>
          </w:p>
        </w:tc>
        <w:tc>
          <w:tcPr>
            <w:tcW w:w="820" w:type="pct"/>
          </w:tcPr>
          <w:p w14:paraId="28D16F70" w14:textId="77777777" w:rsidR="008D20BC" w:rsidRPr="00F57149" w:rsidRDefault="008D20BC" w:rsidP="00DA776E">
            <w:pPr>
              <w:pStyle w:val="tabletext"/>
              <w:keepNext/>
              <w:keepLines/>
              <w:ind w:left="0"/>
            </w:pPr>
            <w:r w:rsidRPr="00F57149">
              <w:t>4%</w:t>
            </w:r>
          </w:p>
        </w:tc>
        <w:tc>
          <w:tcPr>
            <w:tcW w:w="1528" w:type="pct"/>
          </w:tcPr>
          <w:p w14:paraId="05ACDD7A" w14:textId="4F6A47B6" w:rsidR="008D20BC" w:rsidRDefault="008D20BC" w:rsidP="00DA776E">
            <w:pPr>
              <w:pStyle w:val="tabletext"/>
              <w:keepNext/>
              <w:keepLines/>
              <w:ind w:left="0"/>
            </w:pPr>
            <w:r>
              <w:t>$</w:t>
            </w:r>
            <w:r w:rsidR="009D3521">
              <w:t>20</w:t>
            </w:r>
            <w:r>
              <w:t>m</w:t>
            </w:r>
          </w:p>
        </w:tc>
        <w:tc>
          <w:tcPr>
            <w:tcW w:w="967" w:type="pct"/>
          </w:tcPr>
          <w:p w14:paraId="53B9573A" w14:textId="3B4DE0D7" w:rsidR="008D20BC" w:rsidRDefault="008D20BC" w:rsidP="009D3521">
            <w:pPr>
              <w:pStyle w:val="tabletext"/>
              <w:keepNext/>
              <w:keepLines/>
              <w:ind w:left="-15"/>
            </w:pPr>
            <w:r>
              <w:t>$</w:t>
            </w:r>
            <w:r w:rsidR="009D3521">
              <w:t>6.8</w:t>
            </w:r>
            <w:r>
              <w:t>m</w:t>
            </w:r>
          </w:p>
        </w:tc>
      </w:tr>
      <w:tr w:rsidR="008D20BC" w14:paraId="176E083B" w14:textId="77777777" w:rsidTr="00DA776E">
        <w:trPr>
          <w:cantSplit/>
        </w:trPr>
        <w:tc>
          <w:tcPr>
            <w:tcW w:w="730" w:type="pct"/>
          </w:tcPr>
          <w:p w14:paraId="21F3EE27" w14:textId="77777777" w:rsidR="008D20BC" w:rsidRPr="00F57149" w:rsidRDefault="008D20BC" w:rsidP="00DA776E">
            <w:pPr>
              <w:pStyle w:val="tabletext"/>
              <w:keepNext/>
              <w:keepLines/>
              <w:ind w:left="0"/>
            </w:pPr>
            <w:r w:rsidRPr="00F57149">
              <w:t>Tier 2</w:t>
            </w:r>
          </w:p>
        </w:tc>
        <w:tc>
          <w:tcPr>
            <w:tcW w:w="955" w:type="pct"/>
          </w:tcPr>
          <w:p w14:paraId="26040578" w14:textId="77777777" w:rsidR="008D20BC" w:rsidRPr="00F57149" w:rsidRDefault="008D20BC" w:rsidP="00DA776E">
            <w:pPr>
              <w:pStyle w:val="tabletext"/>
              <w:keepNext/>
              <w:keepLines/>
              <w:ind w:left="0"/>
            </w:pPr>
            <w:r w:rsidRPr="00F57149">
              <w:t>2</w:t>
            </w:r>
            <w:r>
              <w:t>-5</w:t>
            </w:r>
            <w:r w:rsidRPr="00F57149">
              <w:t>%</w:t>
            </w:r>
          </w:p>
        </w:tc>
        <w:tc>
          <w:tcPr>
            <w:tcW w:w="820" w:type="pct"/>
          </w:tcPr>
          <w:p w14:paraId="03528206" w14:textId="77777777" w:rsidR="008D20BC" w:rsidRPr="00F57149" w:rsidRDefault="008D20BC" w:rsidP="00DA776E">
            <w:pPr>
              <w:pStyle w:val="tabletext"/>
              <w:keepNext/>
              <w:keepLines/>
              <w:ind w:left="0"/>
            </w:pPr>
            <w:r>
              <w:t>6.5</w:t>
            </w:r>
            <w:r w:rsidRPr="00F57149">
              <w:t>%</w:t>
            </w:r>
          </w:p>
        </w:tc>
        <w:tc>
          <w:tcPr>
            <w:tcW w:w="1528" w:type="pct"/>
          </w:tcPr>
          <w:p w14:paraId="0F52C0DA" w14:textId="35B77C23" w:rsidR="008D20BC" w:rsidRDefault="008D20BC" w:rsidP="00DA776E">
            <w:pPr>
              <w:pStyle w:val="tabletext"/>
              <w:keepNext/>
              <w:keepLines/>
              <w:ind w:left="0"/>
            </w:pPr>
            <w:r>
              <w:t>$</w:t>
            </w:r>
            <w:r w:rsidR="009D3521">
              <w:t>30</w:t>
            </w:r>
            <w:r>
              <w:t>m</w:t>
            </w:r>
          </w:p>
        </w:tc>
        <w:tc>
          <w:tcPr>
            <w:tcW w:w="967" w:type="pct"/>
          </w:tcPr>
          <w:p w14:paraId="74BD262A" w14:textId="5B2210FF" w:rsidR="008D20BC" w:rsidRDefault="008D20BC" w:rsidP="009D3521">
            <w:pPr>
              <w:pStyle w:val="tabletext"/>
              <w:keepNext/>
              <w:keepLines/>
              <w:ind w:left="-15"/>
            </w:pPr>
            <w:r>
              <w:t>$</w:t>
            </w:r>
            <w:r w:rsidR="009D3521">
              <w:t>10.95</w:t>
            </w:r>
            <w:r>
              <w:t>m</w:t>
            </w:r>
          </w:p>
        </w:tc>
      </w:tr>
      <w:tr w:rsidR="008D20BC" w14:paraId="60530426" w14:textId="77777777" w:rsidTr="00DA776E">
        <w:trPr>
          <w:cantSplit/>
        </w:trPr>
        <w:tc>
          <w:tcPr>
            <w:tcW w:w="730" w:type="pct"/>
          </w:tcPr>
          <w:p w14:paraId="733E735B" w14:textId="77777777" w:rsidR="008D20BC" w:rsidRPr="00F57149" w:rsidRDefault="008D20BC" w:rsidP="00DA776E">
            <w:pPr>
              <w:pStyle w:val="tabletext"/>
              <w:keepNext/>
              <w:keepLines/>
              <w:ind w:left="0"/>
            </w:pPr>
            <w:r w:rsidRPr="00F57149">
              <w:t>Tier 3</w:t>
            </w:r>
          </w:p>
        </w:tc>
        <w:tc>
          <w:tcPr>
            <w:tcW w:w="955" w:type="pct"/>
          </w:tcPr>
          <w:p w14:paraId="3DDC658A" w14:textId="77777777" w:rsidR="008D20BC" w:rsidRPr="00F57149" w:rsidRDefault="008D20BC" w:rsidP="00DA776E">
            <w:pPr>
              <w:pStyle w:val="tabletext"/>
              <w:keepNext/>
              <w:keepLines/>
              <w:ind w:left="0"/>
            </w:pPr>
            <w:r w:rsidRPr="00F57149">
              <w:t>5</w:t>
            </w:r>
            <w:r>
              <w:t>-10</w:t>
            </w:r>
            <w:r w:rsidRPr="00F57149">
              <w:t>%</w:t>
            </w:r>
          </w:p>
        </w:tc>
        <w:tc>
          <w:tcPr>
            <w:tcW w:w="820" w:type="pct"/>
          </w:tcPr>
          <w:p w14:paraId="4B304629" w14:textId="77777777" w:rsidR="008D20BC" w:rsidRPr="00F57149" w:rsidRDefault="008D20BC" w:rsidP="00DA776E">
            <w:pPr>
              <w:pStyle w:val="tabletext"/>
              <w:keepNext/>
              <w:keepLines/>
              <w:ind w:left="0"/>
            </w:pPr>
            <w:r w:rsidRPr="00F57149">
              <w:t>9%</w:t>
            </w:r>
          </w:p>
        </w:tc>
        <w:tc>
          <w:tcPr>
            <w:tcW w:w="1528" w:type="pct"/>
          </w:tcPr>
          <w:p w14:paraId="1600635F" w14:textId="44F2EF03" w:rsidR="008D20BC" w:rsidRDefault="008D20BC" w:rsidP="00DA776E">
            <w:pPr>
              <w:pStyle w:val="tabletext"/>
              <w:keepNext/>
              <w:keepLines/>
              <w:ind w:left="0"/>
            </w:pPr>
            <w:r>
              <w:t>$</w:t>
            </w:r>
            <w:r w:rsidR="009D3521">
              <w:t>50</w:t>
            </w:r>
            <w:r>
              <w:t>m</w:t>
            </w:r>
          </w:p>
        </w:tc>
        <w:tc>
          <w:tcPr>
            <w:tcW w:w="967" w:type="pct"/>
          </w:tcPr>
          <w:p w14:paraId="27F0EA23" w14:textId="36C820E7" w:rsidR="008D20BC" w:rsidRDefault="008D20BC" w:rsidP="009D3521">
            <w:pPr>
              <w:pStyle w:val="tabletext"/>
              <w:keepNext/>
              <w:keepLines/>
              <w:ind w:left="-15"/>
            </w:pPr>
            <w:r>
              <w:t>$</w:t>
            </w:r>
            <w:r w:rsidR="009D3521">
              <w:t>19.5</w:t>
            </w:r>
            <w:r>
              <w:t>m</w:t>
            </w:r>
          </w:p>
        </w:tc>
      </w:tr>
      <w:tr w:rsidR="008D20BC" w14:paraId="4C0D91EE" w14:textId="77777777" w:rsidTr="00DA776E">
        <w:trPr>
          <w:cantSplit/>
        </w:trPr>
        <w:tc>
          <w:tcPr>
            <w:tcW w:w="730" w:type="pct"/>
          </w:tcPr>
          <w:p w14:paraId="6BD311ED" w14:textId="77777777" w:rsidR="008D20BC" w:rsidRPr="00F57149" w:rsidRDefault="008D20BC" w:rsidP="00DA776E">
            <w:pPr>
              <w:pStyle w:val="tabletext"/>
              <w:keepNext/>
              <w:keepLines/>
              <w:ind w:left="0"/>
            </w:pPr>
            <w:r w:rsidRPr="00F57149">
              <w:t>Tier 4</w:t>
            </w:r>
          </w:p>
        </w:tc>
        <w:tc>
          <w:tcPr>
            <w:tcW w:w="955" w:type="pct"/>
          </w:tcPr>
          <w:p w14:paraId="1B638F0F" w14:textId="77777777" w:rsidR="008D20BC" w:rsidRPr="00F57149" w:rsidRDefault="008D20BC" w:rsidP="00DA776E">
            <w:pPr>
              <w:pStyle w:val="tabletext"/>
              <w:keepNext/>
              <w:keepLines/>
              <w:ind w:left="0"/>
            </w:pPr>
            <w:r>
              <w:t>10+%</w:t>
            </w:r>
          </w:p>
        </w:tc>
        <w:tc>
          <w:tcPr>
            <w:tcW w:w="820" w:type="pct"/>
          </w:tcPr>
          <w:p w14:paraId="557403BF" w14:textId="77777777" w:rsidR="008D20BC" w:rsidRDefault="008D20BC" w:rsidP="00DA776E">
            <w:pPr>
              <w:pStyle w:val="tabletext"/>
              <w:keepNext/>
              <w:keepLines/>
              <w:ind w:left="0"/>
            </w:pPr>
            <w:r w:rsidRPr="00F57149">
              <w:t>12.5%</w:t>
            </w:r>
          </w:p>
        </w:tc>
        <w:tc>
          <w:tcPr>
            <w:tcW w:w="1528" w:type="pct"/>
          </w:tcPr>
          <w:p w14:paraId="5EC0934C" w14:textId="36A31D74" w:rsidR="008D20BC" w:rsidRDefault="009D3521" w:rsidP="00DA776E">
            <w:pPr>
              <w:pStyle w:val="tabletext"/>
              <w:keepNext/>
              <w:keepLines/>
              <w:ind w:left="0"/>
            </w:pPr>
            <w:r>
              <w:t>$40m</w:t>
            </w:r>
          </w:p>
        </w:tc>
        <w:tc>
          <w:tcPr>
            <w:tcW w:w="967" w:type="pct"/>
          </w:tcPr>
          <w:p w14:paraId="1CDFAD71" w14:textId="2AADB552" w:rsidR="008D20BC" w:rsidRDefault="009D3521" w:rsidP="00DA776E">
            <w:pPr>
              <w:pStyle w:val="tabletext"/>
              <w:keepNext/>
              <w:keepLines/>
              <w:ind w:left="-15"/>
            </w:pPr>
            <w:r>
              <w:t>$17m</w:t>
            </w:r>
          </w:p>
        </w:tc>
      </w:tr>
      <w:tr w:rsidR="008D20BC" w14:paraId="0FE1369D" w14:textId="77777777" w:rsidTr="00DA776E">
        <w:trPr>
          <w:cantSplit/>
        </w:trPr>
        <w:tc>
          <w:tcPr>
            <w:tcW w:w="730" w:type="pct"/>
          </w:tcPr>
          <w:p w14:paraId="3FA4350C" w14:textId="77777777" w:rsidR="008D20BC" w:rsidRDefault="008D20BC" w:rsidP="00DA776E">
            <w:pPr>
              <w:pStyle w:val="tabletext"/>
              <w:keepNext/>
              <w:keepLines/>
              <w:ind w:left="0"/>
            </w:pPr>
            <w:r>
              <w:t>Excess</w:t>
            </w:r>
          </w:p>
        </w:tc>
        <w:tc>
          <w:tcPr>
            <w:tcW w:w="955" w:type="pct"/>
          </w:tcPr>
          <w:p w14:paraId="1993E22E" w14:textId="77777777" w:rsidR="008D20BC" w:rsidRDefault="008D20BC" w:rsidP="00DA776E">
            <w:pPr>
              <w:pStyle w:val="tabletext"/>
              <w:keepNext/>
              <w:keepLines/>
              <w:ind w:left="0"/>
            </w:pPr>
            <w:r>
              <w:t>NA</w:t>
            </w:r>
          </w:p>
        </w:tc>
        <w:tc>
          <w:tcPr>
            <w:tcW w:w="820" w:type="pct"/>
          </w:tcPr>
          <w:p w14:paraId="5958C9DD" w14:textId="77777777" w:rsidR="008D20BC" w:rsidRDefault="008D20BC" w:rsidP="00DA776E">
            <w:pPr>
              <w:pStyle w:val="tabletext"/>
              <w:keepNext/>
              <w:keepLines/>
              <w:ind w:left="0"/>
            </w:pPr>
            <w:r>
              <w:t>Nil</w:t>
            </w:r>
          </w:p>
        </w:tc>
        <w:tc>
          <w:tcPr>
            <w:tcW w:w="1528" w:type="pct"/>
          </w:tcPr>
          <w:p w14:paraId="3E45043E" w14:textId="49B64D56" w:rsidR="008D20BC" w:rsidRDefault="008D20BC" w:rsidP="00DA776E">
            <w:pPr>
              <w:pStyle w:val="tabletext"/>
              <w:keepNext/>
              <w:keepLines/>
              <w:ind w:left="0"/>
            </w:pPr>
            <w:r>
              <w:t>Nil</w:t>
            </w:r>
          </w:p>
        </w:tc>
        <w:tc>
          <w:tcPr>
            <w:tcW w:w="967" w:type="pct"/>
          </w:tcPr>
          <w:p w14:paraId="78C09A02" w14:textId="336F9063" w:rsidR="008D20BC" w:rsidRDefault="008D20BC" w:rsidP="00DA776E">
            <w:pPr>
              <w:pStyle w:val="tabletext"/>
              <w:keepNext/>
              <w:keepLines/>
              <w:ind w:left="-15"/>
            </w:pPr>
            <w:r>
              <w:t>Nil</w:t>
            </w:r>
          </w:p>
        </w:tc>
      </w:tr>
      <w:tr w:rsidR="008D20BC" w14:paraId="379A3C6B" w14:textId="77777777" w:rsidTr="00DA776E">
        <w:trPr>
          <w:cantSplit/>
        </w:trPr>
        <w:tc>
          <w:tcPr>
            <w:tcW w:w="730" w:type="pct"/>
          </w:tcPr>
          <w:p w14:paraId="4DF8F07D" w14:textId="77777777" w:rsidR="008D20BC" w:rsidRDefault="008D20BC" w:rsidP="00DA776E">
            <w:pPr>
              <w:pStyle w:val="base-text-paragraph"/>
              <w:numPr>
                <w:ilvl w:val="0"/>
                <w:numId w:val="0"/>
              </w:numPr>
            </w:pPr>
          </w:p>
        </w:tc>
        <w:tc>
          <w:tcPr>
            <w:tcW w:w="955" w:type="pct"/>
          </w:tcPr>
          <w:p w14:paraId="622EC1E0" w14:textId="77777777" w:rsidR="008D20BC" w:rsidRDefault="008D20BC" w:rsidP="00DA776E">
            <w:pPr>
              <w:pStyle w:val="base-text-paragraph"/>
              <w:numPr>
                <w:ilvl w:val="0"/>
                <w:numId w:val="0"/>
              </w:numPr>
            </w:pPr>
          </w:p>
        </w:tc>
        <w:tc>
          <w:tcPr>
            <w:tcW w:w="820" w:type="pct"/>
          </w:tcPr>
          <w:p w14:paraId="36D09FBE" w14:textId="77777777" w:rsidR="008D20BC" w:rsidRDefault="008D20BC" w:rsidP="00DA776E">
            <w:pPr>
              <w:pStyle w:val="base-text-paragraph"/>
              <w:numPr>
                <w:ilvl w:val="0"/>
                <w:numId w:val="0"/>
              </w:numPr>
            </w:pPr>
            <w:r w:rsidRPr="009C522F">
              <w:rPr>
                <w:b/>
              </w:rPr>
              <w:t>Total</w:t>
            </w:r>
            <w:r>
              <w:rPr>
                <w:b/>
              </w:rPr>
              <w:t>s:</w:t>
            </w:r>
          </w:p>
        </w:tc>
        <w:tc>
          <w:tcPr>
            <w:tcW w:w="1528" w:type="pct"/>
          </w:tcPr>
          <w:p w14:paraId="7C8D0F0A" w14:textId="77EF14C6" w:rsidR="008D20BC" w:rsidRPr="009C522F" w:rsidRDefault="008D20BC" w:rsidP="008D20BC">
            <w:pPr>
              <w:pStyle w:val="base-text-paragraph"/>
              <w:numPr>
                <w:ilvl w:val="0"/>
                <w:numId w:val="0"/>
              </w:numPr>
              <w:rPr>
                <w:b/>
              </w:rPr>
            </w:pPr>
            <w:r>
              <w:rPr>
                <w:b/>
              </w:rPr>
              <w:t>$140m</w:t>
            </w:r>
          </w:p>
        </w:tc>
        <w:tc>
          <w:tcPr>
            <w:tcW w:w="967" w:type="pct"/>
          </w:tcPr>
          <w:p w14:paraId="4A86FCBA" w14:textId="6511DDE2" w:rsidR="008D20BC" w:rsidRPr="007D75EF" w:rsidRDefault="008D20BC" w:rsidP="009D3521">
            <w:pPr>
              <w:pStyle w:val="base-text-paragraph"/>
              <w:numPr>
                <w:ilvl w:val="0"/>
                <w:numId w:val="0"/>
              </w:numPr>
              <w:rPr>
                <w:b/>
              </w:rPr>
            </w:pPr>
            <w:r>
              <w:rPr>
                <w:b/>
              </w:rPr>
              <w:t>$</w:t>
            </w:r>
            <w:r w:rsidR="009D3521">
              <w:rPr>
                <w:b/>
              </w:rPr>
              <w:t>54.25</w:t>
            </w:r>
            <w:r w:rsidRPr="007D75EF">
              <w:rPr>
                <w:b/>
              </w:rPr>
              <w:t>m</w:t>
            </w:r>
          </w:p>
        </w:tc>
      </w:tr>
    </w:tbl>
    <w:p w14:paraId="16A33478" w14:textId="5D399287" w:rsidR="008D20BC" w:rsidRDefault="00A86AE7" w:rsidP="00C076D6">
      <w:pPr>
        <w:pStyle w:val="exampletext"/>
      </w:pPr>
      <w:r>
        <w:t xml:space="preserve">The adjusted offset amount reflects that $10 million has been removed from the excess tier and $10 million has been removed from tier </w:t>
      </w:r>
      <w:r w:rsidR="009D3521">
        <w:t>4</w:t>
      </w:r>
      <w:r>
        <w:t xml:space="preserve">, the highest tier </w:t>
      </w:r>
      <w:r w:rsidR="00783625">
        <w:t>Contrast Industries</w:t>
      </w:r>
      <w:r>
        <w:t xml:space="preserve"> reached on its level of R&amp;D intensity. </w:t>
      </w:r>
    </w:p>
    <w:p w14:paraId="2D14F0AF" w14:textId="7F03E5CC" w:rsidR="00A86AE7" w:rsidRPr="008D20BC" w:rsidRDefault="009D3521" w:rsidP="00C076D6">
      <w:pPr>
        <w:pStyle w:val="exampletext"/>
      </w:pPr>
      <w:r>
        <w:t>T</w:t>
      </w:r>
      <w:r w:rsidR="00A86AE7">
        <w:t>he difference between the two amounts is $</w:t>
      </w:r>
      <w:r>
        <w:t>7.25</w:t>
      </w:r>
      <w:r w:rsidR="00A86AE7">
        <w:t xml:space="preserve"> million.</w:t>
      </w:r>
    </w:p>
    <w:p w14:paraId="6A5221F0" w14:textId="3337E4A9" w:rsidR="00D80645" w:rsidRDefault="00D80645" w:rsidP="00A71A1B">
      <w:pPr>
        <w:pStyle w:val="Heading5"/>
      </w:pPr>
      <w:r>
        <w:t>Recur</w:t>
      </w:r>
      <w:r w:rsidR="00F651B1">
        <w:t>sive calculations for multiple clawback amounts</w:t>
      </w:r>
    </w:p>
    <w:p w14:paraId="6BECEDB8" w14:textId="6DE89C33" w:rsidR="00D80645" w:rsidRPr="00227A64" w:rsidRDefault="00D80645" w:rsidP="00D80645">
      <w:pPr>
        <w:pStyle w:val="base-text-paragraph"/>
      </w:pPr>
      <w:r>
        <w:t xml:space="preserve">The situation is more complex where an </w:t>
      </w:r>
      <w:r w:rsidR="006070DB">
        <w:t>R&amp;D entit</w:t>
      </w:r>
      <w:r>
        <w:t xml:space="preserve">y’s offsets in a particular offset year are clawed back multiple times because </w:t>
      </w:r>
      <w:r w:rsidR="006070DB">
        <w:t xml:space="preserve">the </w:t>
      </w:r>
      <w:r>
        <w:t>entity receives m</w:t>
      </w:r>
      <w:r w:rsidRPr="00227A64">
        <w:t xml:space="preserve">ultiple </w:t>
      </w:r>
      <w:r w:rsidR="00A71A1B">
        <w:t xml:space="preserve">clawback amounts </w:t>
      </w:r>
      <w:r w:rsidR="00E04BEA">
        <w:t xml:space="preserve">in </w:t>
      </w:r>
      <w:r w:rsidRPr="00227A64">
        <w:t>relation to it. In these circumst</w:t>
      </w:r>
      <w:r w:rsidR="00A71A1B">
        <w:t>ances, the clawback rule</w:t>
      </w:r>
      <w:r w:rsidRPr="00227A64">
        <w:t xml:space="preserve"> work</w:t>
      </w:r>
      <w:r w:rsidR="00A71A1B">
        <w:t>s</w:t>
      </w:r>
      <w:r w:rsidRPr="00227A64">
        <w:t xml:space="preserve"> in a recursive manner. </w:t>
      </w:r>
    </w:p>
    <w:p w14:paraId="7B689D82" w14:textId="04B72C4C" w:rsidR="00D80645" w:rsidRDefault="00D80645" w:rsidP="00D80645">
      <w:pPr>
        <w:pStyle w:val="base-text-paragraph"/>
      </w:pPr>
      <w:r w:rsidRPr="00227A64">
        <w:t xml:space="preserve">In recursive applications of the </w:t>
      </w:r>
      <w:r w:rsidR="003C560E">
        <w:t>rule</w:t>
      </w:r>
      <w:r w:rsidRPr="00227A64">
        <w:t xml:space="preserve">, the </w:t>
      </w:r>
      <w:r w:rsidR="006070DB">
        <w:t>R&amp;D entit</w:t>
      </w:r>
      <w:r w:rsidRPr="00227A64">
        <w:t>y must compare the offset amount that could have been claimed under the last counterfactual c</w:t>
      </w:r>
      <w:r>
        <w:t xml:space="preserve">alculated and the amount that could have been claimed under a new counterfactual. In calculating the new counterfactual, the </w:t>
      </w:r>
      <w:r w:rsidR="006070DB">
        <w:t>R&amp;D entit</w:t>
      </w:r>
      <w:r>
        <w:t>y must incorporate all previous reductions to the notional deduction amount and make a further reduction for the new</w:t>
      </w:r>
      <w:r w:rsidR="00383489">
        <w:t xml:space="preserve"> clawback amount</w:t>
      </w:r>
      <w:r>
        <w:t xml:space="preserve">. </w:t>
      </w:r>
      <w:r>
        <w:rPr>
          <w:rStyle w:val="Referencingstyle"/>
        </w:rPr>
        <w:t xml:space="preserve">[Exposure Draft, Schedule </w:t>
      </w:r>
      <w:r w:rsidR="008927C8">
        <w:rPr>
          <w:rStyle w:val="Referencingstyle"/>
        </w:rPr>
        <w:t>2</w:t>
      </w:r>
      <w:r>
        <w:rPr>
          <w:rStyle w:val="Referencingstyle"/>
        </w:rPr>
        <w:t>, i</w:t>
      </w:r>
      <w:r w:rsidRPr="00375F1D">
        <w:rPr>
          <w:rStyle w:val="Referencingstyle"/>
        </w:rPr>
        <w:t xml:space="preserve">tem </w:t>
      </w:r>
      <w:r>
        <w:rPr>
          <w:rStyle w:val="Referencingstyle"/>
        </w:rPr>
        <w:t>15</w:t>
      </w:r>
      <w:r w:rsidRPr="00375F1D">
        <w:rPr>
          <w:rStyle w:val="Referencingstyle"/>
        </w:rPr>
        <w:t>, s</w:t>
      </w:r>
      <w:r>
        <w:rPr>
          <w:rStyle w:val="Referencingstyle"/>
        </w:rPr>
        <w:t>ubs</w:t>
      </w:r>
      <w:r w:rsidRPr="00375F1D">
        <w:rPr>
          <w:rStyle w:val="Referencingstyle"/>
        </w:rPr>
        <w:t>ection</w:t>
      </w:r>
      <w:r>
        <w:rPr>
          <w:rStyle w:val="Referencingstyle"/>
        </w:rPr>
        <w:t xml:space="preserve"> 355-450(2)</w:t>
      </w:r>
      <w:r w:rsidRPr="00375F1D">
        <w:rPr>
          <w:rStyle w:val="Referencingstyle"/>
        </w:rPr>
        <w:t xml:space="preserve"> of </w:t>
      </w:r>
      <w:r>
        <w:rPr>
          <w:rStyle w:val="Referencingstyle"/>
        </w:rPr>
        <w:t>the ITAA</w:t>
      </w:r>
      <w:r w:rsidR="00B87BEB">
        <w:rPr>
          <w:rStyle w:val="Referencingstyle"/>
        </w:rPr>
        <w:t> </w:t>
      </w:r>
      <w:r>
        <w:rPr>
          <w:rStyle w:val="Referencingstyle"/>
        </w:rPr>
        <w:t>1997</w:t>
      </w:r>
      <w:r w:rsidRPr="00375F1D">
        <w:rPr>
          <w:rStyle w:val="Referencingstyle"/>
        </w:rPr>
        <w:t>]</w:t>
      </w:r>
    </w:p>
    <w:p w14:paraId="776F7331" w14:textId="77777777" w:rsidR="00D80645" w:rsidRDefault="00D80645" w:rsidP="00D80645">
      <w:pPr>
        <w:pStyle w:val="ExampleHeading"/>
      </w:pPr>
      <w:r>
        <w:t xml:space="preserve"> Recursive clawback</w:t>
      </w:r>
    </w:p>
    <w:p w14:paraId="09A31F75" w14:textId="4B42B0BF" w:rsidR="00D80645" w:rsidRDefault="0008044D" w:rsidP="00D80645">
      <w:pPr>
        <w:pStyle w:val="exampletext"/>
      </w:pPr>
      <w:r>
        <w:t xml:space="preserve">Flying Fox Innovations </w:t>
      </w:r>
      <w:r w:rsidR="00D80645">
        <w:t>has an R&amp;D tax offset entitlement based on $100</w:t>
      </w:r>
      <w:r w:rsidR="00A86AE7">
        <w:t> </w:t>
      </w:r>
      <w:r w:rsidR="00D80645">
        <w:t xml:space="preserve">million of notional deductions. The entity receives two recoupment amounts: one of $10 million and one of $20 million. </w:t>
      </w:r>
    </w:p>
    <w:p w14:paraId="51FA7A55" w14:textId="16086306" w:rsidR="00D80645" w:rsidRDefault="00D80645" w:rsidP="00D80645">
      <w:pPr>
        <w:pStyle w:val="exampletext"/>
      </w:pPr>
      <w:r>
        <w:t xml:space="preserve">For the first recoupment, the clawback is calculated by reference to the difference between the </w:t>
      </w:r>
      <w:r w:rsidR="003C560E">
        <w:t xml:space="preserve">R&amp;D tax </w:t>
      </w:r>
      <w:r>
        <w:t xml:space="preserve">offset calculated on $100 million of notional deductions and the offset calculated on $90 million. For the second recoupment, the clawback is calculated by reference to the difference between the </w:t>
      </w:r>
      <w:r w:rsidR="003C560E">
        <w:t xml:space="preserve">R&amp;D tax </w:t>
      </w:r>
      <w:r>
        <w:t xml:space="preserve">offset calculated on $90 million and the offset calculated on $70 million. </w:t>
      </w:r>
    </w:p>
    <w:p w14:paraId="1133FCE0" w14:textId="77777777" w:rsidR="00D80645" w:rsidRDefault="00D80645" w:rsidP="00D80645">
      <w:pPr>
        <w:pStyle w:val="Heading4"/>
      </w:pPr>
      <w:r>
        <w:t>Allowing the benefit of the deduction</w:t>
      </w:r>
    </w:p>
    <w:p w14:paraId="1278E9BB" w14:textId="1253DE16" w:rsidR="00D80645" w:rsidRPr="00C076D6" w:rsidRDefault="00D80645" w:rsidP="00D80645">
      <w:pPr>
        <w:pStyle w:val="base-text-paragraph"/>
        <w:rPr>
          <w:rStyle w:val="Referencingstyle"/>
          <w:b w:val="0"/>
          <w:i w:val="0"/>
          <w:sz w:val="22"/>
        </w:rPr>
      </w:pPr>
      <w:r>
        <w:t xml:space="preserve">Regardless of whether the primary or recursive rule </w:t>
      </w:r>
      <w:r w:rsidR="008927C8">
        <w:t xml:space="preserve">is </w:t>
      </w:r>
      <w:r>
        <w:t xml:space="preserve">applied </w:t>
      </w:r>
      <w:r w:rsidR="008927C8">
        <w:t xml:space="preserve">in </w:t>
      </w:r>
      <w:r>
        <w:t xml:space="preserve">calculating the </w:t>
      </w:r>
      <w:r w:rsidR="00A71A1B">
        <w:t>difference</w:t>
      </w:r>
      <w:r>
        <w:t>, once</w:t>
      </w:r>
      <w:r w:rsidR="008927C8">
        <w:t xml:space="preserve"> the difference is</w:t>
      </w:r>
      <w:r>
        <w:t xml:space="preserve"> identified, it is </w:t>
      </w:r>
      <w:r w:rsidR="008927C8">
        <w:t xml:space="preserve">not </w:t>
      </w:r>
      <w:r>
        <w:t>appropriate to</w:t>
      </w:r>
      <w:r w:rsidR="00A71A1B">
        <w:t xml:space="preserve"> bring the entire difference to</w:t>
      </w:r>
      <w:r>
        <w:t xml:space="preserve"> account as tax. Only the </w:t>
      </w:r>
      <w:r w:rsidR="00A71A1B">
        <w:t>incentive</w:t>
      </w:r>
      <w:r>
        <w:t xml:space="preserve"> component </w:t>
      </w:r>
      <w:r w:rsidR="00A71A1B">
        <w:t xml:space="preserve">(or premium) is </w:t>
      </w:r>
      <w:r>
        <w:t xml:space="preserve">brought to account. Therefore, the </w:t>
      </w:r>
      <w:r w:rsidR="008D20BC">
        <w:t>second step of the above formula requires that</w:t>
      </w:r>
      <w:r>
        <w:t xml:space="preserve"> the </w:t>
      </w:r>
      <w:r w:rsidR="00A71A1B">
        <w:t xml:space="preserve">difference between the starting offset and the adjusted offset </w:t>
      </w:r>
      <w:r w:rsidR="008D20BC">
        <w:t>be</w:t>
      </w:r>
      <w:r>
        <w:t xml:space="preserve"> reduced by the </w:t>
      </w:r>
      <w:r w:rsidR="00A71A1B">
        <w:t xml:space="preserve">product of the </w:t>
      </w:r>
      <w:r w:rsidR="00383489">
        <w:t xml:space="preserve">portion of the </w:t>
      </w:r>
      <w:r w:rsidR="00A71A1B">
        <w:t>clawback</w:t>
      </w:r>
      <w:r>
        <w:t xml:space="preserve"> </w:t>
      </w:r>
      <w:r w:rsidR="00A71A1B">
        <w:t xml:space="preserve">amount </w:t>
      </w:r>
      <w:r w:rsidR="00383489">
        <w:t xml:space="preserve">that relates to the offset year </w:t>
      </w:r>
      <w:r w:rsidR="00A71A1B">
        <w:t xml:space="preserve">and </w:t>
      </w:r>
      <w:r>
        <w:t xml:space="preserve">the </w:t>
      </w:r>
      <w:r w:rsidR="006070DB">
        <w:t>R&amp;D entit</w:t>
      </w:r>
      <w:r>
        <w:t xml:space="preserve">y’s corporate tax rate in the offset year. This allows the </w:t>
      </w:r>
      <w:r w:rsidR="006070DB">
        <w:t>R&amp;D entit</w:t>
      </w:r>
      <w:r>
        <w:t xml:space="preserve">y to retain the benefit of the R&amp;D tax offset for the </w:t>
      </w:r>
      <w:r w:rsidR="00A71A1B">
        <w:t>clawback amount</w:t>
      </w:r>
      <w:r>
        <w:t xml:space="preserve"> to the extent it replaced the benefit of a deduction for the same</w:t>
      </w:r>
      <w:r w:rsidR="00A71A1B">
        <w:t xml:space="preserve"> expenditure</w:t>
      </w:r>
      <w:r>
        <w:t xml:space="preserve">. </w:t>
      </w:r>
      <w:r w:rsidR="00A71A1B" w:rsidRPr="000D7FE5">
        <w:rPr>
          <w:rStyle w:val="Referencingstyle"/>
        </w:rPr>
        <w:t xml:space="preserve">[Exposure Draft, Schedule </w:t>
      </w:r>
      <w:r w:rsidR="008927C8">
        <w:rPr>
          <w:rStyle w:val="Referencingstyle"/>
        </w:rPr>
        <w:t>2</w:t>
      </w:r>
      <w:r w:rsidR="00A71A1B" w:rsidRPr="000D7FE5">
        <w:rPr>
          <w:rStyle w:val="Referencingstyle"/>
        </w:rPr>
        <w:t xml:space="preserve">, item 15, </w:t>
      </w:r>
      <w:r w:rsidR="00A71A1B">
        <w:rPr>
          <w:rStyle w:val="Referencingstyle"/>
        </w:rPr>
        <w:t>subsection 355-450(1) (definition of ‘deduction amount’) of the ITAA </w:t>
      </w:r>
      <w:r w:rsidR="00A71A1B" w:rsidRPr="000D7FE5">
        <w:rPr>
          <w:rStyle w:val="Referencingstyle"/>
        </w:rPr>
        <w:t>1997]</w:t>
      </w:r>
    </w:p>
    <w:p w14:paraId="626A630A" w14:textId="57738C4A" w:rsidR="00A86AE7" w:rsidRDefault="00A86AE7" w:rsidP="00C076D6">
      <w:pPr>
        <w:pStyle w:val="ExampleHeading"/>
        <w:numPr>
          <w:ilvl w:val="3"/>
          <w:numId w:val="4"/>
        </w:numPr>
      </w:pPr>
      <w:r>
        <w:t xml:space="preserve"> </w:t>
      </w:r>
      <w:bookmarkStart w:id="16" w:name="_Ref516218241"/>
      <w:r>
        <w:t>The deduction amount</w:t>
      </w:r>
      <w:bookmarkEnd w:id="16"/>
    </w:p>
    <w:p w14:paraId="219E7823" w14:textId="46F82142" w:rsidR="00A86AE7" w:rsidRDefault="00A86AE7" w:rsidP="00C076D6">
      <w:pPr>
        <w:pStyle w:val="exampletext"/>
      </w:pPr>
      <w:r>
        <w:t xml:space="preserve">Further to </w:t>
      </w:r>
      <w:r>
        <w:fldChar w:fldCharType="begin"/>
      </w:r>
      <w:r>
        <w:instrText xml:space="preserve"> REF _Ref516217870 \r \h </w:instrText>
      </w:r>
      <w:r>
        <w:fldChar w:fldCharType="separate"/>
      </w:r>
      <w:r w:rsidR="00B87BEB">
        <w:t>Example 2.5</w:t>
      </w:r>
      <w:r>
        <w:fldChar w:fldCharType="end"/>
      </w:r>
      <w:r>
        <w:t xml:space="preserve">, </w:t>
      </w:r>
      <w:r w:rsidR="00783625">
        <w:t>Contrast Industries</w:t>
      </w:r>
      <w:r>
        <w:t xml:space="preserve"> has a deduction amount equal to its clawback amount ($20 million) multiplied by its corporate tax rate in the offset year (30 per cent): $6</w:t>
      </w:r>
      <w:r w:rsidR="00055E5F">
        <w:t> </w:t>
      </w:r>
      <w:r>
        <w:t>million.</w:t>
      </w:r>
    </w:p>
    <w:p w14:paraId="26A7F346" w14:textId="3820C4C8" w:rsidR="00A86AE7" w:rsidRDefault="00A86AE7" w:rsidP="00C076D6">
      <w:pPr>
        <w:pStyle w:val="exampletext"/>
      </w:pPr>
      <w:r>
        <w:t>The $</w:t>
      </w:r>
      <w:r w:rsidR="00467801">
        <w:t>7.25</w:t>
      </w:r>
      <w:r>
        <w:t xml:space="preserve"> million figure reached in </w:t>
      </w:r>
      <w:r>
        <w:fldChar w:fldCharType="begin"/>
      </w:r>
      <w:r>
        <w:instrText xml:space="preserve"> REF _Ref516217870 \r \h </w:instrText>
      </w:r>
      <w:r>
        <w:fldChar w:fldCharType="separate"/>
      </w:r>
      <w:r w:rsidR="00B87BEB">
        <w:t>Example 2.5</w:t>
      </w:r>
      <w:r>
        <w:fldChar w:fldCharType="end"/>
      </w:r>
      <w:r>
        <w:t xml:space="preserve"> is reduced by the $6 million deduction amount to complete the numerator of the above formula. The resulting $</w:t>
      </w:r>
      <w:r w:rsidR="00467801">
        <w:t>1.25 million</w:t>
      </w:r>
      <w:r>
        <w:t xml:space="preserve"> represents the additional amount of tax </w:t>
      </w:r>
      <w:r w:rsidR="00783625">
        <w:t>Contrast Industries</w:t>
      </w:r>
      <w:r>
        <w:t xml:space="preserve"> must pay to disgorge the incentive component of the R&amp;D tax offset associated with the development of the sold </w:t>
      </w:r>
      <w:r w:rsidR="003C560E" w:rsidRPr="00A853DF">
        <w:t>tangible product</w:t>
      </w:r>
      <w:r>
        <w:t xml:space="preserve">. </w:t>
      </w:r>
    </w:p>
    <w:p w14:paraId="43AB61EE" w14:textId="45CF9B92" w:rsidR="00D80645" w:rsidRDefault="00D80645" w:rsidP="00D80645">
      <w:pPr>
        <w:pStyle w:val="Heading4"/>
      </w:pPr>
      <w:r>
        <w:t>Bringing the amount to account</w:t>
      </w:r>
    </w:p>
    <w:p w14:paraId="20D8CDBE" w14:textId="4C34C321" w:rsidR="00D80645" w:rsidRPr="00227A64" w:rsidRDefault="00D80645" w:rsidP="00D80645">
      <w:pPr>
        <w:pStyle w:val="base-text-paragraph"/>
      </w:pPr>
      <w:r>
        <w:t xml:space="preserve">The </w:t>
      </w:r>
      <w:r w:rsidR="006070DB">
        <w:t>R&amp;D entit</w:t>
      </w:r>
      <w:r>
        <w:t xml:space="preserve">y must bring the amount to account as assessable income in the year in which the entity </w:t>
      </w:r>
      <w:r w:rsidR="00A16A46">
        <w:t xml:space="preserve">received </w:t>
      </w:r>
      <w:r>
        <w:t xml:space="preserve">the </w:t>
      </w:r>
      <w:r w:rsidR="00FF229F">
        <w:t>clawback amount</w:t>
      </w:r>
      <w:r w:rsidRPr="00227A64">
        <w:t xml:space="preserve">. The amount calculated up to this point represents the full dollar-value of the incentive component </w:t>
      </w:r>
      <w:r w:rsidR="00FF229F">
        <w:t xml:space="preserve">of the R&amp;D tax offset </w:t>
      </w:r>
      <w:r w:rsidRPr="00227A64">
        <w:t xml:space="preserve">the </w:t>
      </w:r>
      <w:r w:rsidR="006070DB">
        <w:t>R&amp;D entit</w:t>
      </w:r>
      <w:r w:rsidRPr="00227A64">
        <w:t xml:space="preserve">y obtained in connection with the </w:t>
      </w:r>
      <w:r w:rsidR="00FF229F">
        <w:t>clawback amount</w:t>
      </w:r>
      <w:r w:rsidRPr="00227A64">
        <w:t xml:space="preserve">. The amount of tax </w:t>
      </w:r>
      <w:r w:rsidR="00FF229F">
        <w:t xml:space="preserve">the </w:t>
      </w:r>
      <w:r w:rsidR="006070DB">
        <w:t>R&amp;D entit</w:t>
      </w:r>
      <w:r w:rsidR="00FF229F">
        <w:t>y is required to</w:t>
      </w:r>
      <w:r w:rsidRPr="00227A64">
        <w:t xml:space="preserve"> pay equal</w:t>
      </w:r>
      <w:r w:rsidR="00FF229F">
        <w:t>s</w:t>
      </w:r>
      <w:r w:rsidRPr="00227A64">
        <w:t xml:space="preserve"> this amount. As such, this amount </w:t>
      </w:r>
      <w:r>
        <w:t>is</w:t>
      </w:r>
      <w:r w:rsidRPr="00227A64">
        <w:t xml:space="preserve"> divided by the </w:t>
      </w:r>
      <w:r w:rsidR="006070DB">
        <w:t>R&amp;D entit</w:t>
      </w:r>
      <w:r w:rsidRPr="00227A64">
        <w:t>y’s current corporate tax rate to ensure its value is maintained when taxed.</w:t>
      </w:r>
    </w:p>
    <w:p w14:paraId="4A392E9A" w14:textId="0A2ADDDC" w:rsidR="00A86AE7" w:rsidRDefault="00A86AE7" w:rsidP="00C076D6">
      <w:pPr>
        <w:pStyle w:val="ExampleHeading"/>
        <w:numPr>
          <w:ilvl w:val="3"/>
          <w:numId w:val="4"/>
        </w:numPr>
      </w:pPr>
      <w:r>
        <w:t xml:space="preserve"> The denominator</w:t>
      </w:r>
    </w:p>
    <w:p w14:paraId="259CC47E" w14:textId="52F78B6E" w:rsidR="00A86AE7" w:rsidRDefault="00A86AE7" w:rsidP="00C076D6">
      <w:pPr>
        <w:pStyle w:val="exampletext"/>
      </w:pPr>
      <w:r>
        <w:t xml:space="preserve">Further to </w:t>
      </w:r>
      <w:r>
        <w:fldChar w:fldCharType="begin"/>
      </w:r>
      <w:r>
        <w:instrText xml:space="preserve"> REF _Ref516218241 \r \h </w:instrText>
      </w:r>
      <w:r>
        <w:fldChar w:fldCharType="separate"/>
      </w:r>
      <w:r w:rsidR="00B87BEB">
        <w:t>Example 2.7</w:t>
      </w:r>
      <w:r>
        <w:fldChar w:fldCharType="end"/>
      </w:r>
      <w:r>
        <w:t xml:space="preserve">, </w:t>
      </w:r>
      <w:r w:rsidR="00783625">
        <w:t>Contrast Industries</w:t>
      </w:r>
      <w:r>
        <w:t xml:space="preserve"> must divide the $</w:t>
      </w:r>
      <w:r w:rsidR="00467801">
        <w:t>1.25</w:t>
      </w:r>
      <w:r w:rsidR="00B87BEB">
        <w:t> </w:t>
      </w:r>
      <w:r w:rsidR="00467801">
        <w:t>million</w:t>
      </w:r>
      <w:r>
        <w:t xml:space="preserve"> by its current corporate tax rate (30 per cent). </w:t>
      </w:r>
    </w:p>
    <w:p w14:paraId="630AA07E" w14:textId="6A66CE67" w:rsidR="00A86AE7" w:rsidRPr="00A86AE7" w:rsidRDefault="00DA776E" w:rsidP="00C076D6">
      <w:pPr>
        <w:pStyle w:val="exampletext"/>
      </w:pPr>
      <w:r>
        <w:t>The resulting $</w:t>
      </w:r>
      <w:r w:rsidR="00467801">
        <w:t>4.167</w:t>
      </w:r>
      <w:r>
        <w:t xml:space="preserve"> million is included in the assessable income of </w:t>
      </w:r>
      <w:r w:rsidR="00783625">
        <w:t>Contrast Industries</w:t>
      </w:r>
      <w:r>
        <w:t xml:space="preserve"> in 2020-21. Disregarding other </w:t>
      </w:r>
      <w:r w:rsidR="003C560E">
        <w:t xml:space="preserve">assessable </w:t>
      </w:r>
      <w:r>
        <w:t xml:space="preserve">income and deductions, this will increase the income tax liability of </w:t>
      </w:r>
      <w:r w:rsidR="00783625">
        <w:t>Contrast Industries</w:t>
      </w:r>
      <w:r>
        <w:t xml:space="preserve"> by the </w:t>
      </w:r>
      <w:r w:rsidR="00467801">
        <w:t xml:space="preserve">appropriate </w:t>
      </w:r>
      <w:r>
        <w:t>$</w:t>
      </w:r>
      <w:r w:rsidR="00467801">
        <w:t>1.25 million</w:t>
      </w:r>
      <w:r>
        <w:t xml:space="preserve"> once the corporate tax rate applies to the entity’s taxable income. </w:t>
      </w:r>
    </w:p>
    <w:p w14:paraId="3859A32D" w14:textId="5FF4066F" w:rsidR="00D80645" w:rsidRDefault="00D80645" w:rsidP="00D80645">
      <w:pPr>
        <w:pStyle w:val="base-text-paragraph"/>
      </w:pPr>
      <w:r w:rsidRPr="00227A64">
        <w:t xml:space="preserve">Bringing the amount to account as assessable income (rather than </w:t>
      </w:r>
      <w:r w:rsidR="00FF229F">
        <w:t xml:space="preserve">through </w:t>
      </w:r>
      <w:r w:rsidRPr="00227A64">
        <w:t xml:space="preserve">a standalone </w:t>
      </w:r>
      <w:r>
        <w:t xml:space="preserve">tax) allows </w:t>
      </w:r>
      <w:r w:rsidR="006070DB">
        <w:t>R&amp;D entit</w:t>
      </w:r>
      <w:r>
        <w:t xml:space="preserve">ies to apply deductions from the current year and carried-forward losses against the clawback. Loss-making </w:t>
      </w:r>
      <w:r w:rsidR="006070DB">
        <w:t>R&amp;D entit</w:t>
      </w:r>
      <w:r>
        <w:t xml:space="preserve">ies that only obtained a non-refundable R&amp;D tax offset </w:t>
      </w:r>
      <w:r w:rsidR="00FF229F">
        <w:t xml:space="preserve">in the offset year </w:t>
      </w:r>
      <w:r>
        <w:t xml:space="preserve">can apply the carried-forward offset against the amount included in assessable income. </w:t>
      </w:r>
      <w:r w:rsidR="00F34D06">
        <w:t xml:space="preserve">This ensures the clawback rule recovers the correct amount but does not have an unintended negative cash flow impact on </w:t>
      </w:r>
      <w:r w:rsidR="006070DB">
        <w:t>R&amp;D entit</w:t>
      </w:r>
      <w:r w:rsidR="00F34D06">
        <w:t xml:space="preserve">ies. </w:t>
      </w:r>
    </w:p>
    <w:p w14:paraId="2A3BFBA1" w14:textId="77777777" w:rsidR="008044C9" w:rsidRDefault="008044C9" w:rsidP="00B17774">
      <w:pPr>
        <w:pStyle w:val="Heading2"/>
      </w:pPr>
      <w:r>
        <w:t>Consequential amendments</w:t>
      </w:r>
    </w:p>
    <w:p w14:paraId="23DF790A" w14:textId="594E4B57" w:rsidR="00D80645" w:rsidRPr="00D80645" w:rsidRDefault="00D80645" w:rsidP="00D80645">
      <w:pPr>
        <w:pStyle w:val="base-text-paragraph"/>
        <w:numPr>
          <w:ilvl w:val="1"/>
          <w:numId w:val="28"/>
        </w:numPr>
        <w:rPr>
          <w:rStyle w:val="Referencingstyle"/>
          <w:b w:val="0"/>
          <w:i w:val="0"/>
          <w:sz w:val="22"/>
        </w:rPr>
      </w:pPr>
      <w:r w:rsidRPr="00D80645">
        <w:rPr>
          <w:rStyle w:val="Referencingstyle"/>
          <w:b w:val="0"/>
          <w:i w:val="0"/>
          <w:sz w:val="22"/>
        </w:rPr>
        <w:t xml:space="preserve">A definition of ‘R&amp;D tax offset’ </w:t>
      </w:r>
      <w:r w:rsidR="007268CC">
        <w:rPr>
          <w:rStyle w:val="Referencingstyle"/>
          <w:b w:val="0"/>
          <w:i w:val="0"/>
          <w:sz w:val="22"/>
        </w:rPr>
        <w:t xml:space="preserve">linked to Division 355 of the ITAA 1997 </w:t>
      </w:r>
      <w:r w:rsidRPr="00D80645">
        <w:rPr>
          <w:rStyle w:val="Referencingstyle"/>
          <w:b w:val="0"/>
          <w:i w:val="0"/>
          <w:sz w:val="22"/>
        </w:rPr>
        <w:t xml:space="preserve">is inserted into the dictionary of Part IVA of the ITAA 1936. </w:t>
      </w:r>
      <w:r>
        <w:rPr>
          <w:rStyle w:val="Referencingstyle"/>
        </w:rPr>
        <w:t>[Exposure Draft, Schedule 2</w:t>
      </w:r>
      <w:r w:rsidRPr="00A557C8">
        <w:rPr>
          <w:rStyle w:val="Referencingstyle"/>
        </w:rPr>
        <w:t>, item 1, subsection</w:t>
      </w:r>
      <w:r w:rsidR="004314F8">
        <w:rPr>
          <w:rStyle w:val="Referencingstyle"/>
        </w:rPr>
        <w:t> </w:t>
      </w:r>
      <w:r w:rsidRPr="00A557C8">
        <w:rPr>
          <w:rStyle w:val="Referencingstyle"/>
        </w:rPr>
        <w:t>177A(1) of the ITAA 1936 (definition of ‘</w:t>
      </w:r>
      <w:r>
        <w:rPr>
          <w:rStyle w:val="Referencingstyle"/>
        </w:rPr>
        <w:t>R&amp;D</w:t>
      </w:r>
      <w:r w:rsidRPr="00A557C8">
        <w:rPr>
          <w:rStyle w:val="Referencingstyle"/>
        </w:rPr>
        <w:t xml:space="preserve"> tax offset’)]</w:t>
      </w:r>
    </w:p>
    <w:p w14:paraId="4F332BA1" w14:textId="7FBBB204" w:rsidR="00D80645" w:rsidRPr="00F27EFB" w:rsidRDefault="00D80645" w:rsidP="00D80645">
      <w:pPr>
        <w:pStyle w:val="base-text-paragraph"/>
        <w:numPr>
          <w:ilvl w:val="1"/>
          <w:numId w:val="4"/>
        </w:numPr>
        <w:rPr>
          <w:rStyle w:val="Referencingstyle"/>
          <w:b w:val="0"/>
          <w:i w:val="0"/>
          <w:sz w:val="22"/>
        </w:rPr>
      </w:pPr>
      <w:r>
        <w:rPr>
          <w:rStyle w:val="Referencingstyle"/>
          <w:b w:val="0"/>
          <w:i w:val="0"/>
          <w:sz w:val="22"/>
        </w:rPr>
        <w:t xml:space="preserve">Consequential amendments are made to the </w:t>
      </w:r>
      <w:r w:rsidR="003C560E">
        <w:rPr>
          <w:rStyle w:val="Referencingstyle"/>
          <w:b w:val="0"/>
          <w:i w:val="0"/>
          <w:sz w:val="22"/>
        </w:rPr>
        <w:t xml:space="preserve">remaking </w:t>
      </w:r>
      <w:r>
        <w:rPr>
          <w:rStyle w:val="Referencingstyle"/>
          <w:b w:val="0"/>
          <w:i w:val="0"/>
          <w:sz w:val="22"/>
        </w:rPr>
        <w:t>of the recoupment and feedstock provisions, and the introduction of the uniform clawback rule.</w:t>
      </w:r>
      <w:r w:rsidRPr="000D7FE5">
        <w:rPr>
          <w:rStyle w:val="Referencingstyle"/>
          <w:b w:val="0"/>
          <w:i w:val="0"/>
          <w:sz w:val="22"/>
        </w:rPr>
        <w:t xml:space="preserve"> </w:t>
      </w:r>
      <w:r w:rsidR="0039094E">
        <w:rPr>
          <w:rStyle w:val="Referencingstyle"/>
          <w:b w:val="0"/>
          <w:i w:val="0"/>
          <w:sz w:val="22"/>
        </w:rPr>
        <w:t>These</w:t>
      </w:r>
      <w:r w:rsidRPr="000D7FE5">
        <w:rPr>
          <w:rStyle w:val="Referencingstyle"/>
          <w:b w:val="0"/>
          <w:i w:val="0"/>
          <w:sz w:val="22"/>
        </w:rPr>
        <w:t xml:space="preserve"> includes removing redundant </w:t>
      </w:r>
      <w:r w:rsidRPr="003A35D3">
        <w:rPr>
          <w:rStyle w:val="Referencingstyle"/>
          <w:b w:val="0"/>
          <w:i w:val="0"/>
          <w:sz w:val="22"/>
        </w:rPr>
        <w:t>provisions</w:t>
      </w:r>
      <w:r w:rsidRPr="000D7FE5">
        <w:rPr>
          <w:rStyle w:val="Referencingstyle"/>
          <w:b w:val="0"/>
          <w:i w:val="0"/>
          <w:sz w:val="22"/>
        </w:rPr>
        <w:t xml:space="preserve"> associated with the recoupment tax and </w:t>
      </w:r>
      <w:r w:rsidR="0039094E">
        <w:rPr>
          <w:rStyle w:val="Referencingstyle"/>
          <w:b w:val="0"/>
          <w:i w:val="0"/>
          <w:sz w:val="22"/>
        </w:rPr>
        <w:t xml:space="preserve">repealing </w:t>
      </w:r>
      <w:r w:rsidR="00BF346F">
        <w:rPr>
          <w:rStyle w:val="Referencingstyle"/>
          <w:b w:val="0"/>
          <w:i w:val="0"/>
          <w:sz w:val="22"/>
        </w:rPr>
        <w:t>parts of sub</w:t>
      </w:r>
      <w:r w:rsidRPr="000D7FE5">
        <w:rPr>
          <w:rStyle w:val="Referencingstyle"/>
          <w:b w:val="0"/>
          <w:i w:val="0"/>
          <w:sz w:val="22"/>
        </w:rPr>
        <w:t>section 355-720</w:t>
      </w:r>
      <w:r w:rsidR="00BF346F">
        <w:rPr>
          <w:rStyle w:val="Referencingstyle"/>
          <w:b w:val="0"/>
          <w:i w:val="0"/>
          <w:sz w:val="22"/>
        </w:rPr>
        <w:t>(2) that</w:t>
      </w:r>
      <w:r w:rsidR="005C61C0">
        <w:rPr>
          <w:rStyle w:val="Referencingstyle"/>
          <w:b w:val="0"/>
          <w:i w:val="0"/>
          <w:sz w:val="22"/>
        </w:rPr>
        <w:t xml:space="preserve"> </w:t>
      </w:r>
      <w:r w:rsidRPr="000D7FE5">
        <w:rPr>
          <w:rStyle w:val="Referencingstyle"/>
          <w:b w:val="0"/>
          <w:i w:val="0"/>
          <w:sz w:val="22"/>
        </w:rPr>
        <w:t>dealt with the interaction between the</w:t>
      </w:r>
      <w:r w:rsidRPr="0044015F">
        <w:rPr>
          <w:rStyle w:val="Referencingstyle"/>
          <w:b w:val="0"/>
          <w:i w:val="0"/>
          <w:sz w:val="22"/>
        </w:rPr>
        <w:t xml:space="preserve"> expenditure threshold</w:t>
      </w:r>
      <w:r>
        <w:rPr>
          <w:rStyle w:val="Referencingstyle"/>
          <w:b w:val="0"/>
          <w:i w:val="0"/>
          <w:sz w:val="22"/>
        </w:rPr>
        <w:t xml:space="preserve"> and the </w:t>
      </w:r>
      <w:r w:rsidR="0039094E">
        <w:rPr>
          <w:rStyle w:val="Referencingstyle"/>
          <w:b w:val="0"/>
          <w:i w:val="0"/>
          <w:sz w:val="22"/>
        </w:rPr>
        <w:t xml:space="preserve">old </w:t>
      </w:r>
      <w:r>
        <w:rPr>
          <w:rStyle w:val="Referencingstyle"/>
          <w:b w:val="0"/>
          <w:i w:val="0"/>
          <w:sz w:val="22"/>
        </w:rPr>
        <w:t>recoupment and feedstock</w:t>
      </w:r>
      <w:r w:rsidRPr="000D7FE5">
        <w:rPr>
          <w:rStyle w:val="Referencingstyle"/>
          <w:b w:val="0"/>
          <w:i w:val="0"/>
          <w:sz w:val="22"/>
        </w:rPr>
        <w:t xml:space="preserve"> rules. These functions are now consolidated in the new clawback rule. </w:t>
      </w:r>
      <w:r>
        <w:rPr>
          <w:rStyle w:val="Referencingstyle"/>
        </w:rPr>
        <w:t xml:space="preserve">[Schedule 2, items </w:t>
      </w:r>
      <w:r w:rsidR="00BF346F">
        <w:rPr>
          <w:rStyle w:val="Referencingstyle"/>
        </w:rPr>
        <w:t xml:space="preserve">11 </w:t>
      </w:r>
      <w:r>
        <w:rPr>
          <w:rStyle w:val="Referencingstyle"/>
        </w:rPr>
        <w:t xml:space="preserve">to 14, and 16 to </w:t>
      </w:r>
      <w:r w:rsidR="00BC611B">
        <w:rPr>
          <w:rStyle w:val="Referencingstyle"/>
        </w:rPr>
        <w:t>21</w:t>
      </w:r>
      <w:r>
        <w:rPr>
          <w:rStyle w:val="Referencingstyle"/>
        </w:rPr>
        <w:t>, sections 4-25</w:t>
      </w:r>
      <w:r w:rsidR="00BC611B">
        <w:rPr>
          <w:rStyle w:val="Referencingstyle"/>
        </w:rPr>
        <w:t xml:space="preserve"> and</w:t>
      </w:r>
      <w:r>
        <w:rPr>
          <w:rStyle w:val="Referencingstyle"/>
        </w:rPr>
        <w:t xml:space="preserve"> 10-5</w:t>
      </w:r>
      <w:r w:rsidR="00BC611B">
        <w:rPr>
          <w:rStyle w:val="Referencingstyle"/>
        </w:rPr>
        <w:t>,</w:t>
      </w:r>
      <w:r>
        <w:rPr>
          <w:rStyle w:val="Referencingstyle"/>
        </w:rPr>
        <w:t xml:space="preserve"> table item 4A in subsection 9</w:t>
      </w:r>
      <w:r>
        <w:rPr>
          <w:rStyle w:val="Referencingstyle"/>
        </w:rPr>
        <w:noBreakHyphen/>
        <w:t xml:space="preserve">5(1), table item 10 in section 20-5, paragraph (b) of the note to section 355-510, </w:t>
      </w:r>
      <w:r w:rsidR="00BC611B">
        <w:rPr>
          <w:rStyle w:val="Referencingstyle"/>
        </w:rPr>
        <w:t xml:space="preserve">table items 2 and 3 in subsection 355-720(2), the notes to subsection 355-720(2) </w:t>
      </w:r>
      <w:r>
        <w:rPr>
          <w:rStyle w:val="Referencingstyle"/>
        </w:rPr>
        <w:t xml:space="preserve">and subsection 995-1(1) (definition of ‘feedstock revenue’) of the ITAA 19997, </w:t>
      </w:r>
      <w:r w:rsidR="00BC611B">
        <w:rPr>
          <w:rStyle w:val="Referencingstyle"/>
        </w:rPr>
        <w:t xml:space="preserve">subsection 12(7), and </w:t>
      </w:r>
      <w:r>
        <w:rPr>
          <w:rStyle w:val="Referencingstyle"/>
        </w:rPr>
        <w:t xml:space="preserve">sections 12B and 31 of the Income </w:t>
      </w:r>
      <w:r w:rsidR="00A73746">
        <w:rPr>
          <w:rStyle w:val="Referencingstyle"/>
        </w:rPr>
        <w:t>Tax Rates Act</w:t>
      </w:r>
      <w:r w:rsidR="00BC611B">
        <w:rPr>
          <w:rStyle w:val="Referencingstyle"/>
        </w:rPr>
        <w:t> </w:t>
      </w:r>
      <w:r w:rsidR="00A73746">
        <w:rPr>
          <w:rStyle w:val="Referencingstyle"/>
        </w:rPr>
        <w:t>1986</w:t>
      </w:r>
      <w:r>
        <w:rPr>
          <w:rStyle w:val="Referencingstyle"/>
        </w:rPr>
        <w:t>]</w:t>
      </w:r>
    </w:p>
    <w:p w14:paraId="59C8BC03" w14:textId="63126FCB" w:rsidR="00BF346F" w:rsidRPr="00F27EFB" w:rsidRDefault="00BF346F" w:rsidP="00D80645">
      <w:pPr>
        <w:pStyle w:val="base-text-paragraph"/>
        <w:numPr>
          <w:ilvl w:val="1"/>
          <w:numId w:val="4"/>
        </w:numPr>
        <w:rPr>
          <w:rStyle w:val="Referencingstyle"/>
          <w:b w:val="0"/>
          <w:i w:val="0"/>
          <w:sz w:val="22"/>
        </w:rPr>
      </w:pPr>
      <w:r w:rsidRPr="00AD0C5F">
        <w:rPr>
          <w:rStyle w:val="Referencingstyle"/>
          <w:b w:val="0"/>
          <w:i w:val="0"/>
          <w:sz w:val="22"/>
        </w:rPr>
        <w:t xml:space="preserve">As part of the remaking of Subdivision 355-G, </w:t>
      </w:r>
      <w:r w:rsidRPr="00DB092F">
        <w:rPr>
          <w:rStyle w:val="Referencingstyle"/>
          <w:b w:val="0"/>
          <w:i w:val="0"/>
          <w:sz w:val="22"/>
        </w:rPr>
        <w:t xml:space="preserve">the cap on recoupment amounts is amended to clarify the meaning of the numerator in the formula. </w:t>
      </w:r>
      <w:r>
        <w:rPr>
          <w:rStyle w:val="Referencingstyle"/>
        </w:rPr>
        <w:t>[Exposure Draft, Schedule 2, item 15, subsection 355-440(4) (definition of ‘R&amp;D expenditure’) of the ITAA 1997]</w:t>
      </w:r>
    </w:p>
    <w:p w14:paraId="29703FAF" w14:textId="65DB968B" w:rsidR="008044C9" w:rsidRDefault="008044C9" w:rsidP="00B17774">
      <w:pPr>
        <w:pStyle w:val="Heading2"/>
      </w:pPr>
      <w:r>
        <w:t>Application provisions</w:t>
      </w:r>
    </w:p>
    <w:p w14:paraId="048C9DB6" w14:textId="77777777" w:rsidR="00D80645" w:rsidRPr="00F61EEF" w:rsidRDefault="00D80645" w:rsidP="00D80645">
      <w:pPr>
        <w:pStyle w:val="base-text-paragraph"/>
        <w:numPr>
          <w:ilvl w:val="1"/>
          <w:numId w:val="4"/>
        </w:numPr>
      </w:pPr>
      <w:r w:rsidRPr="00F61EEF">
        <w:t>The amendments commence on the first day of the quarter following Royal Assent.</w:t>
      </w:r>
      <w:r>
        <w:t xml:space="preserve"> </w:t>
      </w:r>
      <w:r>
        <w:rPr>
          <w:rStyle w:val="Referencingstyle"/>
        </w:rPr>
        <w:t>[Exposure Draft, section 2]</w:t>
      </w:r>
    </w:p>
    <w:p w14:paraId="5247DD76" w14:textId="20A07E3E" w:rsidR="008044C9" w:rsidRPr="00D80645" w:rsidRDefault="00D80645" w:rsidP="00D80645">
      <w:pPr>
        <w:pStyle w:val="base-text-paragraph"/>
        <w:rPr>
          <w:rStyle w:val="Referencingstyle"/>
          <w:b w:val="0"/>
          <w:i w:val="0"/>
          <w:sz w:val="22"/>
        </w:rPr>
      </w:pPr>
      <w:r>
        <w:t xml:space="preserve">The amendments to Part IVA of the ITAA 1936 apply </w:t>
      </w:r>
      <w:r w:rsidRPr="003A35D3">
        <w:t xml:space="preserve">in relation to </w:t>
      </w:r>
      <w:r w:rsidR="00F11C44">
        <w:t>R&amp;D tax benefits obtained on or after 1 July 2018, regardless of when the relevant scheme was entered into or carried out</w:t>
      </w:r>
      <w:r w:rsidRPr="003A35D3">
        <w:t>.</w:t>
      </w:r>
      <w:r>
        <w:t xml:space="preserve"> </w:t>
      </w:r>
      <w:r>
        <w:rPr>
          <w:rStyle w:val="Referencingstyle"/>
        </w:rPr>
        <w:t>[Exposure Draft, Schedule 2</w:t>
      </w:r>
      <w:r w:rsidRPr="0012514D">
        <w:rPr>
          <w:rStyle w:val="Referencingstyle"/>
        </w:rPr>
        <w:t xml:space="preserve">, </w:t>
      </w:r>
      <w:proofErr w:type="spellStart"/>
      <w:r w:rsidR="00E03963">
        <w:rPr>
          <w:rStyle w:val="Referencingstyle"/>
        </w:rPr>
        <w:t>subitem</w:t>
      </w:r>
      <w:r w:rsidR="003C560E">
        <w:rPr>
          <w:rStyle w:val="Referencingstyle"/>
        </w:rPr>
        <w:t>s</w:t>
      </w:r>
      <w:proofErr w:type="spellEnd"/>
      <w:r w:rsidR="00E03963">
        <w:rPr>
          <w:rStyle w:val="Referencingstyle"/>
        </w:rPr>
        <w:t xml:space="preserve"> 22(1)</w:t>
      </w:r>
      <w:r w:rsidR="003C560E">
        <w:rPr>
          <w:rStyle w:val="Referencingstyle"/>
        </w:rPr>
        <w:t xml:space="preserve"> and (2)</w:t>
      </w:r>
      <w:r w:rsidRPr="0012514D">
        <w:rPr>
          <w:rStyle w:val="Referencingstyle"/>
        </w:rPr>
        <w:t>]</w:t>
      </w:r>
    </w:p>
    <w:p w14:paraId="6969D0A2" w14:textId="6EEAD652" w:rsidR="008044C9" w:rsidRDefault="00D80645" w:rsidP="007F0417">
      <w:pPr>
        <w:pStyle w:val="base-text-paragraph"/>
      </w:pPr>
      <w:r>
        <w:t xml:space="preserve">The amendments to the recoupment and feedstock rules, and the new clawback rule, apply in relation to income years starting on or after 1 July 2018. The new clawback rule may apply in an income year starting on or after 1 July 2018 in relation to an </w:t>
      </w:r>
      <w:r w:rsidR="003C560E">
        <w:t xml:space="preserve">R&amp;D tax </w:t>
      </w:r>
      <w:r>
        <w:t xml:space="preserve">offset received in an income year starting before that date. </w:t>
      </w:r>
      <w:r w:rsidRPr="0012514D">
        <w:rPr>
          <w:rStyle w:val="Referencingstyle"/>
        </w:rPr>
        <w:t>[Expo</w:t>
      </w:r>
      <w:r>
        <w:rPr>
          <w:rStyle w:val="Referencingstyle"/>
        </w:rPr>
        <w:t xml:space="preserve">sure Draft, Schedule 2, </w:t>
      </w:r>
      <w:proofErr w:type="spellStart"/>
      <w:r w:rsidR="00E03963">
        <w:rPr>
          <w:rStyle w:val="Referencingstyle"/>
        </w:rPr>
        <w:t>subitem</w:t>
      </w:r>
      <w:proofErr w:type="spellEnd"/>
      <w:r w:rsidR="003C560E">
        <w:rPr>
          <w:rStyle w:val="Referencingstyle"/>
        </w:rPr>
        <w:t> </w:t>
      </w:r>
      <w:r w:rsidR="00E03963">
        <w:rPr>
          <w:rStyle w:val="Referencingstyle"/>
        </w:rPr>
        <w:t>22(</w:t>
      </w:r>
      <w:r w:rsidR="003C560E">
        <w:rPr>
          <w:rStyle w:val="Referencingstyle"/>
        </w:rPr>
        <w:t>3</w:t>
      </w:r>
      <w:r w:rsidR="00E03963">
        <w:rPr>
          <w:rStyle w:val="Referencingstyle"/>
        </w:rPr>
        <w:t>)</w:t>
      </w:r>
      <w:r w:rsidRPr="0012514D">
        <w:rPr>
          <w:rStyle w:val="Referencingstyle"/>
        </w:rPr>
        <w:t>]</w:t>
      </w:r>
    </w:p>
    <w:p w14:paraId="28AF07BC" w14:textId="77777777" w:rsidR="00D80645" w:rsidRDefault="00D80645" w:rsidP="00B17774">
      <w:pPr>
        <w:sectPr w:rsidR="00D80645" w:rsidSect="00E74E50">
          <w:footerReference w:type="even" r:id="rId33"/>
          <w:footerReference w:type="default" r:id="rId34"/>
          <w:footerReference w:type="first" r:id="rId35"/>
          <w:type w:val="oddPage"/>
          <w:pgSz w:w="9979" w:h="14175" w:code="9"/>
          <w:pgMar w:top="567" w:right="1134" w:bottom="567" w:left="1134" w:header="709" w:footer="709" w:gutter="0"/>
          <w:cols w:space="708"/>
          <w:titlePg/>
          <w:docGrid w:linePitch="360"/>
        </w:sectPr>
      </w:pPr>
    </w:p>
    <w:p w14:paraId="1B75BC4F" w14:textId="226ACF7F" w:rsidR="008044C9" w:rsidRPr="007C2B20" w:rsidRDefault="008044C9" w:rsidP="008044C9">
      <w:pPr>
        <w:pStyle w:val="ChapterHeading"/>
        <w:numPr>
          <w:ilvl w:val="0"/>
          <w:numId w:val="4"/>
        </w:numPr>
      </w:pPr>
      <w:r w:rsidRPr="000C2A9D">
        <w:br/>
      </w:r>
      <w:bookmarkStart w:id="17" w:name="_Toc516237596"/>
      <w:bookmarkStart w:id="18" w:name="_Toc517163913"/>
      <w:r w:rsidR="00A73746">
        <w:rPr>
          <w:rStyle w:val="ChapterNameOnly"/>
        </w:rPr>
        <w:t xml:space="preserve">Improving the administration </w:t>
      </w:r>
      <w:r w:rsidR="00052E76">
        <w:rPr>
          <w:rStyle w:val="ChapterNameOnly"/>
        </w:rPr>
        <w:t xml:space="preserve">and transparency </w:t>
      </w:r>
      <w:r w:rsidR="00A73746">
        <w:rPr>
          <w:rStyle w:val="ChapterNameOnly"/>
        </w:rPr>
        <w:t>of the Research and Development Tax Incentive</w:t>
      </w:r>
      <w:bookmarkEnd w:id="17"/>
      <w:bookmarkEnd w:id="18"/>
    </w:p>
    <w:p w14:paraId="0EC5D3EE" w14:textId="77777777" w:rsidR="008044C9" w:rsidRDefault="008044C9" w:rsidP="00B17774">
      <w:pPr>
        <w:pStyle w:val="Heading2"/>
      </w:pPr>
      <w:r>
        <w:t>Outline of chapter</w:t>
      </w:r>
    </w:p>
    <w:p w14:paraId="566011E6" w14:textId="71435FE0" w:rsidR="008044C9" w:rsidRDefault="007C45A4" w:rsidP="008044C9">
      <w:pPr>
        <w:numPr>
          <w:ilvl w:val="1"/>
          <w:numId w:val="4"/>
        </w:numPr>
      </w:pPr>
      <w:r>
        <w:t>Schedule 3</w:t>
      </w:r>
      <w:r w:rsidR="003C560E">
        <w:t xml:space="preserve"> </w:t>
      </w:r>
      <w:r w:rsidR="00D26F6E">
        <w:t>to the Exposure Draft</w:t>
      </w:r>
      <w:r>
        <w:t xml:space="preserve"> improve</w:t>
      </w:r>
      <w:r w:rsidR="00052E76">
        <w:t>s</w:t>
      </w:r>
      <w:r>
        <w:t xml:space="preserve"> the administrative framework supporting the Incentive</w:t>
      </w:r>
      <w:r w:rsidR="00052E76">
        <w:t xml:space="preserve"> by making information about R&amp;D expenditure </w:t>
      </w:r>
      <w:r w:rsidR="002B0E72">
        <w:t xml:space="preserve">claims </w:t>
      </w:r>
      <w:r w:rsidR="00052E76">
        <w:t>transparent, enhancing the guidance framework to provide certainty to applicants and streamlining administrative processes</w:t>
      </w:r>
      <w:r>
        <w:t xml:space="preserve">. </w:t>
      </w:r>
    </w:p>
    <w:p w14:paraId="3E9B867D" w14:textId="77777777" w:rsidR="008044C9" w:rsidRDefault="008044C9" w:rsidP="00B17774">
      <w:pPr>
        <w:pStyle w:val="Heading2"/>
      </w:pPr>
      <w:r>
        <w:t>Context of amendments</w:t>
      </w:r>
    </w:p>
    <w:p w14:paraId="05722314" w14:textId="3001803A" w:rsidR="008044C9" w:rsidRDefault="008044C9" w:rsidP="008044C9">
      <w:pPr>
        <w:pStyle w:val="base-text-paragraph"/>
      </w:pPr>
      <w:r>
        <w:t>The Incentive is jointly administered by t</w:t>
      </w:r>
      <w:r w:rsidR="005B7480">
        <w:t xml:space="preserve">he Australian Taxation Office </w:t>
      </w:r>
      <w:r w:rsidR="00FB19B3">
        <w:t>(</w:t>
      </w:r>
      <w:r>
        <w:t>under the</w:t>
      </w:r>
      <w:r w:rsidR="005B7480">
        <w:t xml:space="preserve"> authority of the Commissioner</w:t>
      </w:r>
      <w:r w:rsidR="00FB19B3">
        <w:t>)</w:t>
      </w:r>
      <w:r>
        <w:t xml:space="preserve"> and </w:t>
      </w:r>
      <w:r w:rsidR="003B41B0">
        <w:t xml:space="preserve">the Board of the </w:t>
      </w:r>
      <w:r>
        <w:t>ISA.</w:t>
      </w:r>
    </w:p>
    <w:p w14:paraId="06B85870" w14:textId="2FA7AC90" w:rsidR="008044C9" w:rsidRPr="00480CC1" w:rsidRDefault="008044C9" w:rsidP="008044C9">
      <w:pPr>
        <w:pStyle w:val="base-text-paragraph"/>
      </w:pPr>
      <w:r w:rsidRPr="00480CC1">
        <w:t xml:space="preserve">One of the conditions of an expense giving rise to a notional deduction is that the </w:t>
      </w:r>
      <w:r w:rsidR="006070DB">
        <w:t>R&amp;D entit</w:t>
      </w:r>
      <w:r w:rsidRPr="00480CC1">
        <w:t>y is registered under section 27A of the</w:t>
      </w:r>
      <w:r w:rsidRPr="007C45A4">
        <w:t xml:space="preserve"> </w:t>
      </w:r>
      <w:r w:rsidR="00BE6307">
        <w:t>IR&amp;D Act</w:t>
      </w:r>
      <w:r>
        <w:t xml:space="preserve"> (for example, subparagraph </w:t>
      </w:r>
      <w:r w:rsidRPr="00480CC1">
        <w:t>355-205(1)(a)(</w:t>
      </w:r>
      <w:proofErr w:type="spellStart"/>
      <w:r w:rsidRPr="00480CC1">
        <w:t>i</w:t>
      </w:r>
      <w:proofErr w:type="spellEnd"/>
      <w:r w:rsidRPr="00480CC1">
        <w:t>) of the ITAA</w:t>
      </w:r>
      <w:r w:rsidR="003C560E">
        <w:t> </w:t>
      </w:r>
      <w:r w:rsidRPr="00480CC1">
        <w:t xml:space="preserve">1997). </w:t>
      </w:r>
    </w:p>
    <w:p w14:paraId="69256D91" w14:textId="193D665B" w:rsidR="008044C9" w:rsidRPr="00480CC1" w:rsidRDefault="008044C9" w:rsidP="008044C9">
      <w:pPr>
        <w:pStyle w:val="base-text-paragraph"/>
      </w:pPr>
      <w:r w:rsidRPr="00480CC1">
        <w:t xml:space="preserve">Under Part III of the </w:t>
      </w:r>
      <w:r w:rsidR="00BE6307">
        <w:t>IR&amp;D Act</w:t>
      </w:r>
      <w:r w:rsidRPr="00480CC1">
        <w:t xml:space="preserve">, </w:t>
      </w:r>
      <w:r w:rsidR="00B31B69">
        <w:t xml:space="preserve">the Board of </w:t>
      </w:r>
      <w:r w:rsidRPr="00480CC1">
        <w:t xml:space="preserve">ISA may make findings about whether an </w:t>
      </w:r>
      <w:r w:rsidR="006070DB">
        <w:t>R&amp;D entit</w:t>
      </w:r>
      <w:r w:rsidRPr="00480CC1">
        <w:t xml:space="preserve">y’s activities are R&amp;D activities. A finding binds the Commissioner for the purpose of working out an </w:t>
      </w:r>
      <w:r w:rsidR="006070DB">
        <w:t>R&amp;D entit</w:t>
      </w:r>
      <w:r w:rsidRPr="00480CC1">
        <w:t>y’s R&amp;D tax offsets (section 355-705 of the ITAA 1997).</w:t>
      </w:r>
    </w:p>
    <w:p w14:paraId="5BE94C4F" w14:textId="21659657" w:rsidR="008044C9" w:rsidRPr="00480CC1" w:rsidRDefault="008044C9" w:rsidP="008044C9">
      <w:pPr>
        <w:pStyle w:val="base-text-paragraph"/>
      </w:pPr>
      <w:r w:rsidRPr="00480CC1">
        <w:t xml:space="preserve">The </w:t>
      </w:r>
      <w:r>
        <w:t>Department of Industry, Innovation and Science</w:t>
      </w:r>
      <w:r w:rsidRPr="00480CC1">
        <w:t xml:space="preserve"> and its staff assist the Board of ISA to perform its functions. The Board and its committees may delegate their functions </w:t>
      </w:r>
      <w:r>
        <w:t>to a Senior Executive Service (SES) employee (subsections </w:t>
      </w:r>
      <w:r w:rsidRPr="00480CC1">
        <w:t xml:space="preserve">21(1) and 22A(1) of the </w:t>
      </w:r>
      <w:r w:rsidR="00BE6307">
        <w:t>IR&amp;D Act</w:t>
      </w:r>
      <w:r w:rsidRPr="00480CC1">
        <w:t xml:space="preserve">). The Government has decided to broaden the delegation power to allow delegation to all </w:t>
      </w:r>
      <w:r>
        <w:t>Australian Public Service</w:t>
      </w:r>
      <w:r w:rsidRPr="00480CC1">
        <w:t xml:space="preserve"> employees assisting the Board. </w:t>
      </w:r>
    </w:p>
    <w:p w14:paraId="20215D79" w14:textId="77777777" w:rsidR="008044C9" w:rsidRPr="00480CC1" w:rsidRDefault="008044C9" w:rsidP="000D7FE5">
      <w:pPr>
        <w:pStyle w:val="Heading3"/>
      </w:pPr>
      <w:r>
        <w:t>Extensions of time</w:t>
      </w:r>
    </w:p>
    <w:p w14:paraId="3B0BBE94" w14:textId="10B61F13" w:rsidR="008044C9" w:rsidRDefault="008044C9" w:rsidP="008044C9">
      <w:pPr>
        <w:pStyle w:val="base-text-paragraph"/>
      </w:pPr>
      <w:r w:rsidRPr="00480CC1">
        <w:t xml:space="preserve">Part 3 of the </w:t>
      </w:r>
      <w:r w:rsidRPr="00F3573F">
        <w:rPr>
          <w:i/>
        </w:rPr>
        <w:t>Industry Research and Development Decision-making Principles 2011</w:t>
      </w:r>
      <w:r w:rsidRPr="00480CC1">
        <w:t xml:space="preserve"> (the Decision-making Principles)</w:t>
      </w:r>
      <w:r w:rsidR="00930195">
        <w:t xml:space="preserve"> –</w:t>
      </w:r>
      <w:r w:rsidRPr="00480CC1">
        <w:t xml:space="preserve"> made under section 32A of the </w:t>
      </w:r>
      <w:r w:rsidR="00BE6307">
        <w:t>IR&amp;D Act</w:t>
      </w:r>
      <w:r w:rsidR="00930195">
        <w:t xml:space="preserve"> –</w:t>
      </w:r>
      <w:r w:rsidRPr="00480CC1">
        <w:t xml:space="preserve"> regulates the ability of the </w:t>
      </w:r>
      <w:r w:rsidR="00B31B69">
        <w:t xml:space="preserve">Board of </w:t>
      </w:r>
      <w:r w:rsidRPr="00480CC1">
        <w:t xml:space="preserve">ISA to grant extensions of time under the </w:t>
      </w:r>
      <w:r w:rsidR="00BE6307">
        <w:t>IR&amp;D Act</w:t>
      </w:r>
      <w:r w:rsidRPr="00480CC1">
        <w:t>. This includes extensions of time for registrations, providing requested information and applications for reviews</w:t>
      </w:r>
      <w:r w:rsidR="00930195">
        <w:t xml:space="preserve"> (see</w:t>
      </w:r>
      <w:r w:rsidRPr="00480CC1">
        <w:t xml:space="preserve"> subsection 3.1(1) of the Decision-making Principles</w:t>
      </w:r>
      <w:r w:rsidR="00930195">
        <w:t>)</w:t>
      </w:r>
      <w:r w:rsidRPr="00480CC1">
        <w:t xml:space="preserve">. </w:t>
      </w:r>
    </w:p>
    <w:p w14:paraId="4C9B0284" w14:textId="759834D1" w:rsidR="008044C9" w:rsidRPr="00480CC1" w:rsidRDefault="008044C9" w:rsidP="008044C9">
      <w:pPr>
        <w:pStyle w:val="base-text-paragraph"/>
      </w:pPr>
      <w:r w:rsidRPr="00480CC1">
        <w:t>The Board of ISA must grant extensions of up to 14 days if it is necessary and may grant a longer period if the applicant’s ability to meet the deadline is impaired by events outside the applicant’s control (section</w:t>
      </w:r>
      <w:r w:rsidR="004D0876">
        <w:t> </w:t>
      </w:r>
      <w:r w:rsidRPr="00480CC1">
        <w:t xml:space="preserve">3.2 of the Decision-making Principles). These extensions apply on top of the time limits in the </w:t>
      </w:r>
      <w:r w:rsidR="00BE6307">
        <w:t>IR&amp;D Act</w:t>
      </w:r>
      <w:r w:rsidRPr="00480CC1">
        <w:t xml:space="preserve"> (for example, registrations under section 27D must be made within 10 months of the end of the income year unless otherwise extended). </w:t>
      </w:r>
    </w:p>
    <w:p w14:paraId="71BC581E" w14:textId="77777777" w:rsidR="008044C9" w:rsidRPr="00480CC1" w:rsidRDefault="008044C9" w:rsidP="008044C9">
      <w:pPr>
        <w:pStyle w:val="base-text-paragraph"/>
      </w:pPr>
      <w:r>
        <w:t>The Government has observed that</w:t>
      </w:r>
      <w:r w:rsidRPr="00480CC1">
        <w:t xml:space="preserve"> very long extensions for registration applications</w:t>
      </w:r>
      <w:r>
        <w:t xml:space="preserve"> are available</w:t>
      </w:r>
      <w:r w:rsidRPr="00480CC1">
        <w:t xml:space="preserve">, </w:t>
      </w:r>
      <w:r>
        <w:t xml:space="preserve">with applications </w:t>
      </w:r>
      <w:r w:rsidRPr="00480CC1">
        <w:t xml:space="preserve">often </w:t>
      </w:r>
      <w:r>
        <w:t xml:space="preserve">made and accepted </w:t>
      </w:r>
      <w:r w:rsidRPr="00480CC1">
        <w:t xml:space="preserve">a number of years after the relevant R&amp;D activities were undertaken. This practice is inconsistent with the nature of the Incentive as expenditure that occurs without a business being aware of the Incentive would have occurred in the absence of the Incentive being available. </w:t>
      </w:r>
    </w:p>
    <w:p w14:paraId="164B075E" w14:textId="77777777" w:rsidR="008044C9" w:rsidRDefault="008044C9" w:rsidP="00B17774">
      <w:pPr>
        <w:pStyle w:val="Heading2"/>
      </w:pPr>
      <w:r>
        <w:t>Summary of new law</w:t>
      </w:r>
    </w:p>
    <w:p w14:paraId="05655EFF" w14:textId="1FC56EA6" w:rsidR="000D7FE5" w:rsidRDefault="000D7FE5" w:rsidP="000D7FE5">
      <w:pPr>
        <w:pStyle w:val="base-text-paragraph"/>
      </w:pPr>
      <w:r>
        <w:t>Schedule 3 to the Exposure Draft makes a number of amendments to improve the administration and transparency of the Incentive. These include:</w:t>
      </w:r>
    </w:p>
    <w:p w14:paraId="4432A104" w14:textId="63CEDBAC" w:rsidR="000D7FE5" w:rsidRDefault="000D7FE5" w:rsidP="000D7FE5">
      <w:pPr>
        <w:pStyle w:val="dotpoint"/>
      </w:pPr>
      <w:r>
        <w:t>publicising information about Incentive claimants</w:t>
      </w:r>
      <w:r w:rsidR="00930195">
        <w:t xml:space="preserve"> and R&amp;D expenditure</w:t>
      </w:r>
      <w:r>
        <w:t>;</w:t>
      </w:r>
    </w:p>
    <w:p w14:paraId="6557EEA4" w14:textId="0E16D7E9" w:rsidR="000D7FE5" w:rsidRDefault="000D7FE5" w:rsidP="000D7FE5">
      <w:pPr>
        <w:pStyle w:val="dotpoint"/>
      </w:pPr>
      <w:r>
        <w:t xml:space="preserve">allowing </w:t>
      </w:r>
      <w:r w:rsidR="00B31B69">
        <w:t xml:space="preserve">the Board of </w:t>
      </w:r>
      <w:r>
        <w:t xml:space="preserve">ISA to make binding </w:t>
      </w:r>
      <w:r w:rsidR="00CB7266">
        <w:t>determination</w:t>
      </w:r>
      <w:r w:rsidR="005267CD">
        <w:t>s</w:t>
      </w:r>
      <w:r>
        <w:t>;</w:t>
      </w:r>
    </w:p>
    <w:p w14:paraId="796B01C3" w14:textId="1A81BA97" w:rsidR="000D7FE5" w:rsidRDefault="000D7FE5" w:rsidP="000D7FE5">
      <w:pPr>
        <w:pStyle w:val="dotpoint"/>
      </w:pPr>
      <w:r>
        <w:t xml:space="preserve">broadening the scope of the </w:t>
      </w:r>
      <w:r w:rsidR="00B31B69">
        <w:t xml:space="preserve">Board of </w:t>
      </w:r>
      <w:r>
        <w:t>ISA’s delegation powers; and</w:t>
      </w:r>
    </w:p>
    <w:p w14:paraId="192F7D2B" w14:textId="77777777" w:rsidR="000D7FE5" w:rsidRDefault="000D7FE5" w:rsidP="000D7FE5">
      <w:pPr>
        <w:pStyle w:val="dotpoint"/>
      </w:pPr>
      <w:r>
        <w:t>imposing a three-month limit on extensions of time available from when applications, registrations and reviews are due.</w:t>
      </w:r>
    </w:p>
    <w:p w14:paraId="4DE1A0AE" w14:textId="77777777" w:rsidR="000D7FE5" w:rsidRDefault="000D7FE5" w:rsidP="000D7FE5">
      <w:pPr>
        <w:pStyle w:val="base-text-paragraph"/>
      </w:pPr>
      <w:r>
        <w:t>These legislative changes complement other aspects of the Government’s reforms to the administration of the Incentive, including additional resourcing for additional compliance and legal activity, and the creation of improved guidance products for claimants.</w:t>
      </w:r>
    </w:p>
    <w:p w14:paraId="101EDDE1" w14:textId="77777777" w:rsidR="008044C9" w:rsidRDefault="008044C9"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8044C9" w:rsidRPr="004666B8" w14:paraId="097081C2" w14:textId="77777777" w:rsidTr="007F0417">
        <w:trPr>
          <w:cantSplit/>
          <w:tblHeader/>
        </w:trPr>
        <w:tc>
          <w:tcPr>
            <w:tcW w:w="3275" w:type="dxa"/>
          </w:tcPr>
          <w:p w14:paraId="0B32C84C" w14:textId="77777777" w:rsidR="008044C9" w:rsidRPr="004666B8" w:rsidRDefault="008044C9" w:rsidP="00DF284C">
            <w:pPr>
              <w:pStyle w:val="tableheaderwithintable"/>
              <w:rPr>
                <w:lang w:val="en-US" w:eastAsia="en-US"/>
              </w:rPr>
            </w:pPr>
            <w:r w:rsidRPr="004666B8">
              <w:rPr>
                <w:lang w:val="en-US" w:eastAsia="en-US"/>
              </w:rPr>
              <w:t>New law</w:t>
            </w:r>
          </w:p>
        </w:tc>
        <w:tc>
          <w:tcPr>
            <w:tcW w:w="3276" w:type="dxa"/>
          </w:tcPr>
          <w:p w14:paraId="363AD0FE" w14:textId="77777777" w:rsidR="008044C9" w:rsidRPr="004666B8" w:rsidRDefault="008044C9" w:rsidP="00DF284C">
            <w:pPr>
              <w:pStyle w:val="tableheaderwithintable"/>
              <w:rPr>
                <w:lang w:val="en-US" w:eastAsia="en-US"/>
              </w:rPr>
            </w:pPr>
            <w:r w:rsidRPr="004666B8">
              <w:rPr>
                <w:lang w:val="en-US" w:eastAsia="en-US"/>
              </w:rPr>
              <w:t>Current law</w:t>
            </w:r>
          </w:p>
        </w:tc>
      </w:tr>
      <w:tr w:rsidR="008B2251" w:rsidRPr="004666B8" w14:paraId="3556319F" w14:textId="77777777" w:rsidTr="007F0417">
        <w:trPr>
          <w:cantSplit/>
          <w:tblHeader/>
        </w:trPr>
        <w:tc>
          <w:tcPr>
            <w:tcW w:w="6551" w:type="dxa"/>
            <w:gridSpan w:val="2"/>
          </w:tcPr>
          <w:p w14:paraId="28D603A2" w14:textId="5EF631BF" w:rsidR="008B2251" w:rsidRDefault="008B2251" w:rsidP="008B2251">
            <w:pPr>
              <w:pStyle w:val="tableheaderwithintable"/>
              <w:rPr>
                <w:lang w:val="en-US" w:eastAsia="en-US"/>
              </w:rPr>
            </w:pPr>
            <w:r>
              <w:rPr>
                <w:lang w:val="en-US" w:eastAsia="en-US"/>
              </w:rPr>
              <w:t xml:space="preserve">Transparency of R&amp;D </w:t>
            </w:r>
            <w:r w:rsidR="00E77B21">
              <w:rPr>
                <w:lang w:val="en-US" w:eastAsia="en-US"/>
              </w:rPr>
              <w:t xml:space="preserve">claimants and </w:t>
            </w:r>
            <w:r>
              <w:rPr>
                <w:lang w:val="en-US" w:eastAsia="en-US"/>
              </w:rPr>
              <w:t>activities</w:t>
            </w:r>
          </w:p>
        </w:tc>
      </w:tr>
      <w:tr w:rsidR="008B2251" w:rsidRPr="004666B8" w14:paraId="37153AD9" w14:textId="77777777" w:rsidTr="007F0417">
        <w:trPr>
          <w:cantSplit/>
          <w:tblHeader/>
        </w:trPr>
        <w:tc>
          <w:tcPr>
            <w:tcW w:w="3275" w:type="dxa"/>
          </w:tcPr>
          <w:p w14:paraId="3C2EAF04" w14:textId="638C64E8" w:rsidR="008B2251" w:rsidRPr="004666B8" w:rsidRDefault="008B2251" w:rsidP="00DF284C">
            <w:pPr>
              <w:pStyle w:val="tabletext"/>
              <w:rPr>
                <w:lang w:val="en-US" w:eastAsia="en-US"/>
              </w:rPr>
            </w:pPr>
            <w:r>
              <w:rPr>
                <w:lang w:val="en-US" w:eastAsia="en-US"/>
              </w:rPr>
              <w:t xml:space="preserve">As soon as practicable after the end of the income year, the Commissioner must publish information about the </w:t>
            </w:r>
            <w:r w:rsidR="006070DB">
              <w:rPr>
                <w:lang w:val="en-US" w:eastAsia="en-US"/>
              </w:rPr>
              <w:t>R&amp;D entit</w:t>
            </w:r>
            <w:r>
              <w:rPr>
                <w:lang w:val="en-US" w:eastAsia="en-US"/>
              </w:rPr>
              <w:t>ies that have claimed notional deductions for R&amp;D activities, including the amount claimed.</w:t>
            </w:r>
          </w:p>
        </w:tc>
        <w:tc>
          <w:tcPr>
            <w:tcW w:w="3276" w:type="dxa"/>
          </w:tcPr>
          <w:p w14:paraId="65FD077D" w14:textId="4A3F1751" w:rsidR="008B2251" w:rsidRPr="004666B8" w:rsidRDefault="008B2251" w:rsidP="00DF284C">
            <w:pPr>
              <w:pStyle w:val="tabletext"/>
              <w:rPr>
                <w:lang w:val="en-US" w:eastAsia="en-US"/>
              </w:rPr>
            </w:pPr>
            <w:r>
              <w:rPr>
                <w:lang w:val="en-US" w:eastAsia="en-US"/>
              </w:rPr>
              <w:t>No equivalent</w:t>
            </w:r>
          </w:p>
        </w:tc>
      </w:tr>
      <w:tr w:rsidR="008B2251" w:rsidRPr="004666B8" w14:paraId="4A08F76E" w14:textId="77777777" w:rsidTr="007F0417">
        <w:trPr>
          <w:cantSplit/>
          <w:tblHeader/>
        </w:trPr>
        <w:tc>
          <w:tcPr>
            <w:tcW w:w="6551" w:type="dxa"/>
            <w:gridSpan w:val="2"/>
          </w:tcPr>
          <w:p w14:paraId="6628E5E9" w14:textId="62872B6A" w:rsidR="008B2251" w:rsidRDefault="008B2251" w:rsidP="00871D48">
            <w:pPr>
              <w:pStyle w:val="tableheaderwithintable"/>
              <w:rPr>
                <w:lang w:val="en-US" w:eastAsia="en-US"/>
              </w:rPr>
            </w:pPr>
            <w:r>
              <w:rPr>
                <w:lang w:val="en-US" w:eastAsia="en-US"/>
              </w:rPr>
              <w:t xml:space="preserve">ISA </w:t>
            </w:r>
            <w:r w:rsidR="00CB7266">
              <w:rPr>
                <w:lang w:val="en-US" w:eastAsia="en-US"/>
              </w:rPr>
              <w:t>determination</w:t>
            </w:r>
            <w:r w:rsidR="00624266">
              <w:rPr>
                <w:lang w:val="en-US" w:eastAsia="en-US"/>
              </w:rPr>
              <w:t>s</w:t>
            </w:r>
          </w:p>
        </w:tc>
      </w:tr>
      <w:tr w:rsidR="008B2251" w:rsidRPr="004666B8" w14:paraId="0337E29A" w14:textId="77777777" w:rsidTr="007F0417">
        <w:trPr>
          <w:cantSplit/>
          <w:tblHeader/>
        </w:trPr>
        <w:tc>
          <w:tcPr>
            <w:tcW w:w="3275" w:type="dxa"/>
          </w:tcPr>
          <w:p w14:paraId="79C39542" w14:textId="486E0B88" w:rsidR="008B2251" w:rsidRDefault="00B31B69" w:rsidP="00871D48">
            <w:pPr>
              <w:pStyle w:val="tabletext"/>
              <w:rPr>
                <w:lang w:val="en-US" w:eastAsia="en-US"/>
              </w:rPr>
            </w:pPr>
            <w:r>
              <w:rPr>
                <w:lang w:val="en-US" w:eastAsia="en-US"/>
              </w:rPr>
              <w:t xml:space="preserve">The Board of </w:t>
            </w:r>
            <w:r w:rsidR="008B2251">
              <w:rPr>
                <w:lang w:val="en-US" w:eastAsia="en-US"/>
              </w:rPr>
              <w:t xml:space="preserve">ISA may also make </w:t>
            </w:r>
            <w:r w:rsidR="00CB7266">
              <w:rPr>
                <w:lang w:val="en-US" w:eastAsia="en-US"/>
              </w:rPr>
              <w:t>determination</w:t>
            </w:r>
            <w:r w:rsidR="00624266">
              <w:rPr>
                <w:lang w:val="en-US" w:eastAsia="en-US"/>
              </w:rPr>
              <w:t>s</w:t>
            </w:r>
            <w:r w:rsidR="008B2251">
              <w:rPr>
                <w:lang w:val="en-US" w:eastAsia="en-US"/>
              </w:rPr>
              <w:t xml:space="preserve"> </w:t>
            </w:r>
            <w:r w:rsidR="00DF5904">
              <w:rPr>
                <w:lang w:val="en-US" w:eastAsia="en-US"/>
              </w:rPr>
              <w:t xml:space="preserve">about the circumstances </w:t>
            </w:r>
            <w:r w:rsidR="00E77B21">
              <w:rPr>
                <w:lang w:val="en-US" w:eastAsia="en-US"/>
              </w:rPr>
              <w:t xml:space="preserve">and </w:t>
            </w:r>
            <w:r w:rsidR="00DF5904">
              <w:rPr>
                <w:lang w:val="en-US" w:eastAsia="en-US"/>
              </w:rPr>
              <w:t>way</w:t>
            </w:r>
            <w:r w:rsidR="00E77B21">
              <w:rPr>
                <w:lang w:val="en-US" w:eastAsia="en-US"/>
              </w:rPr>
              <w:t>s</w:t>
            </w:r>
            <w:r w:rsidR="00DF5904">
              <w:rPr>
                <w:lang w:val="en-US" w:eastAsia="en-US"/>
              </w:rPr>
              <w:t xml:space="preserve"> in which it will exercise its powers, or perform its functions or duties</w:t>
            </w:r>
            <w:r w:rsidR="00E77B21">
              <w:rPr>
                <w:lang w:val="en-US" w:eastAsia="en-US"/>
              </w:rPr>
              <w:t xml:space="preserve"> in relation to the Incentive</w:t>
            </w:r>
            <w:r w:rsidR="008B2251">
              <w:rPr>
                <w:lang w:val="en-US" w:eastAsia="en-US"/>
              </w:rPr>
              <w:t xml:space="preserve">. These </w:t>
            </w:r>
            <w:r w:rsidR="00CB7266">
              <w:rPr>
                <w:lang w:val="en-US" w:eastAsia="en-US"/>
              </w:rPr>
              <w:t>determination</w:t>
            </w:r>
            <w:r w:rsidR="00624266">
              <w:rPr>
                <w:lang w:val="en-US" w:eastAsia="en-US"/>
              </w:rPr>
              <w:t>s</w:t>
            </w:r>
            <w:r w:rsidR="008B2251">
              <w:rPr>
                <w:lang w:val="en-US" w:eastAsia="en-US"/>
              </w:rPr>
              <w:t xml:space="preserve"> are binding on </w:t>
            </w:r>
            <w:r>
              <w:rPr>
                <w:lang w:val="en-US" w:eastAsia="en-US"/>
              </w:rPr>
              <w:t xml:space="preserve">the Board of </w:t>
            </w:r>
            <w:r w:rsidR="008B2251">
              <w:rPr>
                <w:lang w:val="en-US" w:eastAsia="en-US"/>
              </w:rPr>
              <w:t>ISA.</w:t>
            </w:r>
          </w:p>
        </w:tc>
        <w:tc>
          <w:tcPr>
            <w:tcW w:w="3276" w:type="dxa"/>
          </w:tcPr>
          <w:p w14:paraId="2D74DD01" w14:textId="1C080CCC" w:rsidR="008B2251" w:rsidRDefault="00B31B69" w:rsidP="00DF284C">
            <w:pPr>
              <w:pStyle w:val="tabletext"/>
              <w:rPr>
                <w:lang w:val="en-US" w:eastAsia="en-US"/>
              </w:rPr>
            </w:pPr>
            <w:r>
              <w:rPr>
                <w:lang w:val="en-US" w:eastAsia="en-US"/>
              </w:rPr>
              <w:t xml:space="preserve">The Board of </w:t>
            </w:r>
            <w:r w:rsidR="008B2251">
              <w:rPr>
                <w:lang w:val="en-US" w:eastAsia="en-US"/>
              </w:rPr>
              <w:t xml:space="preserve">ISA may make findings specific to an </w:t>
            </w:r>
            <w:r w:rsidR="006070DB">
              <w:rPr>
                <w:lang w:val="en-US" w:eastAsia="en-US"/>
              </w:rPr>
              <w:t>R&amp;D entit</w:t>
            </w:r>
            <w:r w:rsidR="008B2251">
              <w:rPr>
                <w:lang w:val="en-US" w:eastAsia="en-US"/>
              </w:rPr>
              <w:t>y’s circumstances, including whether certain activities of the entity are R&amp;D activities.</w:t>
            </w:r>
          </w:p>
          <w:p w14:paraId="5F4207F3" w14:textId="40BD4064" w:rsidR="008B2251" w:rsidRDefault="008B2251" w:rsidP="00871D48">
            <w:pPr>
              <w:pStyle w:val="tabletext"/>
              <w:rPr>
                <w:lang w:val="en-US" w:eastAsia="en-US"/>
              </w:rPr>
            </w:pPr>
            <w:r>
              <w:rPr>
                <w:lang w:val="en-US" w:eastAsia="en-US"/>
              </w:rPr>
              <w:t>Findings are binding on the Commissioner.</w:t>
            </w:r>
          </w:p>
        </w:tc>
      </w:tr>
      <w:tr w:rsidR="008B2251" w:rsidRPr="004666B8" w14:paraId="04A01225" w14:textId="77777777" w:rsidTr="007F0417">
        <w:trPr>
          <w:cantSplit/>
          <w:tblHeader/>
        </w:trPr>
        <w:tc>
          <w:tcPr>
            <w:tcW w:w="6551" w:type="dxa"/>
            <w:gridSpan w:val="2"/>
          </w:tcPr>
          <w:p w14:paraId="332DF1C0" w14:textId="72CB91F0" w:rsidR="008B2251" w:rsidRDefault="008B2251" w:rsidP="008B2251">
            <w:pPr>
              <w:pStyle w:val="tableheaderwithintable"/>
              <w:rPr>
                <w:lang w:val="en-US" w:eastAsia="en-US"/>
              </w:rPr>
            </w:pPr>
            <w:r>
              <w:rPr>
                <w:lang w:val="en-US" w:eastAsia="en-US"/>
              </w:rPr>
              <w:t>ISA delegations</w:t>
            </w:r>
          </w:p>
        </w:tc>
      </w:tr>
      <w:tr w:rsidR="008B2251" w:rsidRPr="004666B8" w14:paraId="3F4EF601" w14:textId="77777777" w:rsidTr="007F0417">
        <w:trPr>
          <w:cantSplit/>
          <w:tblHeader/>
        </w:trPr>
        <w:tc>
          <w:tcPr>
            <w:tcW w:w="3275" w:type="dxa"/>
          </w:tcPr>
          <w:p w14:paraId="4CBBF895" w14:textId="40440B13" w:rsidR="008B2251" w:rsidRDefault="008B2251" w:rsidP="00DF284C">
            <w:pPr>
              <w:pStyle w:val="tabletext"/>
              <w:rPr>
                <w:lang w:val="en-US" w:eastAsia="en-US"/>
              </w:rPr>
            </w:pPr>
            <w:r w:rsidRPr="00F61EEF">
              <w:rPr>
                <w:lang w:val="en-US" w:eastAsia="en-US"/>
              </w:rPr>
              <w:t xml:space="preserve">The </w:t>
            </w:r>
            <w:r w:rsidR="003B1498">
              <w:rPr>
                <w:lang w:val="en-US" w:eastAsia="en-US"/>
              </w:rPr>
              <w:t>Board of ISA</w:t>
            </w:r>
            <w:r w:rsidRPr="00F61EEF">
              <w:rPr>
                <w:lang w:val="en-US" w:eastAsia="en-US"/>
              </w:rPr>
              <w:t xml:space="preserve"> and its committees may delegate their powers to any member of </w:t>
            </w:r>
            <w:r w:rsidR="009A11D4">
              <w:rPr>
                <w:lang w:val="en-US" w:eastAsia="en-US"/>
              </w:rPr>
              <w:t xml:space="preserve">Australian Public Service </w:t>
            </w:r>
            <w:r w:rsidRPr="00F61EEF">
              <w:rPr>
                <w:lang w:val="en-US" w:eastAsia="en-US"/>
              </w:rPr>
              <w:t>staff assisting them.</w:t>
            </w:r>
          </w:p>
        </w:tc>
        <w:tc>
          <w:tcPr>
            <w:tcW w:w="3276" w:type="dxa"/>
          </w:tcPr>
          <w:p w14:paraId="623C5327" w14:textId="60F6B65F" w:rsidR="008B2251" w:rsidRDefault="008B2251" w:rsidP="00DF284C">
            <w:pPr>
              <w:pStyle w:val="tabletext"/>
              <w:rPr>
                <w:lang w:val="en-US" w:eastAsia="en-US"/>
              </w:rPr>
            </w:pPr>
            <w:r>
              <w:rPr>
                <w:lang w:val="en-US" w:eastAsia="en-US"/>
              </w:rPr>
              <w:t xml:space="preserve">The </w:t>
            </w:r>
            <w:r w:rsidR="003B1498">
              <w:rPr>
                <w:lang w:val="en-US" w:eastAsia="en-US"/>
              </w:rPr>
              <w:t>Board of ISA</w:t>
            </w:r>
            <w:r>
              <w:rPr>
                <w:lang w:val="en-US" w:eastAsia="en-US"/>
              </w:rPr>
              <w:t xml:space="preserve"> and its committees may delegate their powers to SES employees assisting them.</w:t>
            </w:r>
          </w:p>
        </w:tc>
      </w:tr>
      <w:tr w:rsidR="008B2251" w:rsidRPr="004666B8" w14:paraId="6A052493" w14:textId="77777777" w:rsidTr="007F0417">
        <w:trPr>
          <w:cantSplit/>
          <w:tblHeader/>
        </w:trPr>
        <w:tc>
          <w:tcPr>
            <w:tcW w:w="6551" w:type="dxa"/>
            <w:gridSpan w:val="2"/>
          </w:tcPr>
          <w:p w14:paraId="07AF4560" w14:textId="06AA9BED" w:rsidR="008B2251" w:rsidRDefault="008B2251" w:rsidP="008B2251">
            <w:pPr>
              <w:pStyle w:val="tableheaderwithintable"/>
              <w:rPr>
                <w:lang w:val="en-US" w:eastAsia="en-US"/>
              </w:rPr>
            </w:pPr>
            <w:r>
              <w:rPr>
                <w:lang w:val="en-US" w:eastAsia="en-US"/>
              </w:rPr>
              <w:t>Extensions of time</w:t>
            </w:r>
          </w:p>
        </w:tc>
      </w:tr>
      <w:tr w:rsidR="008B2251" w:rsidRPr="004666B8" w14:paraId="2C1201D0" w14:textId="77777777" w:rsidTr="007F0417">
        <w:trPr>
          <w:cantSplit/>
          <w:tblHeader/>
        </w:trPr>
        <w:tc>
          <w:tcPr>
            <w:tcW w:w="3275" w:type="dxa"/>
          </w:tcPr>
          <w:p w14:paraId="54AB78A6" w14:textId="49DC5271" w:rsidR="008B2251" w:rsidRPr="00F61EEF" w:rsidRDefault="008B2251" w:rsidP="00DF284C">
            <w:pPr>
              <w:pStyle w:val="tabletext"/>
              <w:rPr>
                <w:lang w:val="en-US" w:eastAsia="en-US"/>
              </w:rPr>
            </w:pPr>
            <w:r>
              <w:rPr>
                <w:lang w:val="en-US" w:eastAsia="en-US"/>
              </w:rPr>
              <w:t>The Board’s ability to grant an extension of time is subject to a cap of three months on the total extension available, unless the extension is granted to allow an applicant to wait for the outcome of a pending decision.</w:t>
            </w:r>
          </w:p>
        </w:tc>
        <w:tc>
          <w:tcPr>
            <w:tcW w:w="3276" w:type="dxa"/>
          </w:tcPr>
          <w:p w14:paraId="51405537" w14:textId="245396A3" w:rsidR="008B2251" w:rsidRDefault="008B2251" w:rsidP="00DF284C">
            <w:pPr>
              <w:pStyle w:val="tabletext"/>
              <w:rPr>
                <w:lang w:val="en-US" w:eastAsia="en-US"/>
              </w:rPr>
            </w:pPr>
            <w:r w:rsidRPr="00A902EA">
              <w:rPr>
                <w:lang w:val="en-US" w:eastAsia="en-US"/>
              </w:rPr>
              <w:t xml:space="preserve">The Board of ISA must grant extensions of </w:t>
            </w:r>
            <w:r>
              <w:rPr>
                <w:lang w:val="en-US" w:eastAsia="en-US"/>
              </w:rPr>
              <w:t xml:space="preserve">time for registrations and the provision of information of </w:t>
            </w:r>
            <w:r w:rsidRPr="00A902EA">
              <w:rPr>
                <w:lang w:val="en-US" w:eastAsia="en-US"/>
              </w:rPr>
              <w:t xml:space="preserve">up to 14 days if it is necessary and may grant a longer period if </w:t>
            </w:r>
            <w:r>
              <w:rPr>
                <w:lang w:val="en-US" w:eastAsia="en-US"/>
              </w:rPr>
              <w:t>an</w:t>
            </w:r>
            <w:r w:rsidRPr="00A902EA">
              <w:rPr>
                <w:lang w:val="en-US" w:eastAsia="en-US"/>
              </w:rPr>
              <w:t xml:space="preserve"> applicant’s ability to meet the deadline is impaired by events outside the applicant’s control</w:t>
            </w:r>
            <w:r>
              <w:rPr>
                <w:lang w:val="en-US" w:eastAsia="en-US"/>
              </w:rPr>
              <w:t>.</w:t>
            </w:r>
          </w:p>
        </w:tc>
      </w:tr>
    </w:tbl>
    <w:p w14:paraId="447F7B03" w14:textId="77777777" w:rsidR="008044C9" w:rsidRDefault="008044C9" w:rsidP="00B17774">
      <w:pPr>
        <w:pStyle w:val="Heading2"/>
      </w:pPr>
      <w:r>
        <w:t>Detailed explanation of new law</w:t>
      </w:r>
    </w:p>
    <w:p w14:paraId="5C431B92" w14:textId="73BF4774" w:rsidR="000D7FE5" w:rsidRDefault="000D7FE5" w:rsidP="000D7FE5">
      <w:pPr>
        <w:pStyle w:val="Heading3"/>
      </w:pPr>
      <w:r>
        <w:t xml:space="preserve">Transparency of R&amp;D </w:t>
      </w:r>
      <w:r w:rsidR="008927C8">
        <w:t>claimants and expenditure</w:t>
      </w:r>
    </w:p>
    <w:p w14:paraId="1585A90D" w14:textId="52F1DFF5" w:rsidR="000D7FE5" w:rsidRDefault="000D7FE5" w:rsidP="000D7FE5">
      <w:pPr>
        <w:pStyle w:val="base-text-paragraph"/>
      </w:pPr>
      <w:r>
        <w:t xml:space="preserve">As soon as practicable after the end of the income year, the Commissioner is required to publish information about the R&amp;D activities of </w:t>
      </w:r>
      <w:r w:rsidR="006070DB">
        <w:t xml:space="preserve">R&amp;D </w:t>
      </w:r>
      <w:r w:rsidR="009A11D4">
        <w:t xml:space="preserve">entities </w:t>
      </w:r>
      <w:r>
        <w:t xml:space="preserve">claiming the R&amp;D tax offset. This will </w:t>
      </w:r>
      <w:r w:rsidRPr="008A7C00">
        <w:t>improve public accountability for R&amp;D claimants</w:t>
      </w:r>
      <w:r w:rsidR="00A16A46">
        <w:t xml:space="preserve"> and encourages voluntary compliance with the requirements of the program</w:t>
      </w:r>
      <w:r>
        <w:t xml:space="preserve">. </w:t>
      </w:r>
      <w:r>
        <w:rPr>
          <w:rStyle w:val="Referencingstyle"/>
        </w:rPr>
        <w:t xml:space="preserve">[Exposure Draft, </w:t>
      </w:r>
      <w:r w:rsidR="00633FCE">
        <w:rPr>
          <w:rStyle w:val="Referencingstyle"/>
        </w:rPr>
        <w:t>Schedule 3</w:t>
      </w:r>
      <w:r>
        <w:rPr>
          <w:rStyle w:val="Referencingstyle"/>
        </w:rPr>
        <w:t>, item 1, subsections 3G(1) and (2) of the Taxation administration Act 1953 (TAA 1953)]</w:t>
      </w:r>
    </w:p>
    <w:p w14:paraId="43B3189C" w14:textId="77777777" w:rsidR="000D7FE5" w:rsidRDefault="000D7FE5" w:rsidP="000D7FE5">
      <w:pPr>
        <w:pStyle w:val="base-text-paragraph"/>
      </w:pPr>
      <w:r>
        <w:t>The Commissioner must publish the following information:</w:t>
      </w:r>
    </w:p>
    <w:p w14:paraId="48C3FE0D" w14:textId="4FDECB4A" w:rsidR="000D7FE5" w:rsidRDefault="000D7FE5" w:rsidP="000D7FE5">
      <w:pPr>
        <w:pStyle w:val="dotpoint"/>
      </w:pPr>
      <w:r>
        <w:t xml:space="preserve">the </w:t>
      </w:r>
      <w:r w:rsidR="006070DB">
        <w:t>R&amp;D entit</w:t>
      </w:r>
      <w:r>
        <w:t>y’s name;</w:t>
      </w:r>
    </w:p>
    <w:p w14:paraId="21F60959" w14:textId="3129B677" w:rsidR="000D7FE5" w:rsidRDefault="000D7FE5" w:rsidP="000D7FE5">
      <w:pPr>
        <w:pStyle w:val="dotpoint"/>
      </w:pPr>
      <w:r>
        <w:t xml:space="preserve">the </w:t>
      </w:r>
      <w:r w:rsidR="006070DB">
        <w:t>R&amp;D entit</w:t>
      </w:r>
      <w:r>
        <w:t>y’s Australian Business Number, or Australian Company Number if that is the only number available; and</w:t>
      </w:r>
    </w:p>
    <w:p w14:paraId="76D15FE3" w14:textId="2849D23E" w:rsidR="000D7FE5" w:rsidRDefault="000D7FE5" w:rsidP="000D7FE5">
      <w:pPr>
        <w:pStyle w:val="dotpoint"/>
      </w:pPr>
      <w:r>
        <w:t xml:space="preserve">an amount representing the </w:t>
      </w:r>
      <w:r w:rsidR="006070DB">
        <w:t>R&amp;D entit</w:t>
      </w:r>
      <w:r>
        <w:t>y’s notional deductions claimed taking into account any feedstock adjustments for the year.</w:t>
      </w:r>
    </w:p>
    <w:p w14:paraId="59588F62" w14:textId="3313544A" w:rsidR="000D7FE5" w:rsidRPr="009132E0" w:rsidRDefault="000D7FE5" w:rsidP="000D7FE5">
      <w:pPr>
        <w:pStyle w:val="base-text-paragraph"/>
        <w:rPr>
          <w:rStyle w:val="Referencingstyle"/>
          <w:b w:val="0"/>
          <w:i w:val="0"/>
          <w:sz w:val="22"/>
        </w:rPr>
      </w:pPr>
      <w:r>
        <w:t xml:space="preserve">As noted in paragraph </w:t>
      </w:r>
      <w:r w:rsidR="00292786">
        <w:fldChar w:fldCharType="begin"/>
      </w:r>
      <w:r w:rsidR="00292786">
        <w:instrText xml:space="preserve"> REF _Ref516180462 \r \h </w:instrText>
      </w:r>
      <w:r w:rsidR="00292786">
        <w:fldChar w:fldCharType="separate"/>
      </w:r>
      <w:r w:rsidR="00B87BEB">
        <w:t>2.16</w:t>
      </w:r>
      <w:r w:rsidR="00292786">
        <w:fldChar w:fldCharType="end"/>
      </w:r>
      <w:r w:rsidR="00292786">
        <w:t xml:space="preserve">, </w:t>
      </w:r>
      <w:r>
        <w:t xml:space="preserve">an </w:t>
      </w:r>
      <w:r w:rsidR="006070DB">
        <w:t>R&amp;D entit</w:t>
      </w:r>
      <w:r>
        <w:t xml:space="preserve">y’s feedstock adjustment (if it has one) is the lesser of the entity’s feedstock revenue or associated feedstock expenditure and is deducted from the entity’s notional deductions. </w:t>
      </w:r>
      <w:r>
        <w:rPr>
          <w:rStyle w:val="Referencingstyle"/>
        </w:rPr>
        <w:t xml:space="preserve">Exposure Draft, </w:t>
      </w:r>
      <w:r w:rsidR="00633FCE">
        <w:rPr>
          <w:rStyle w:val="Referencingstyle"/>
        </w:rPr>
        <w:t>Schedule 3</w:t>
      </w:r>
      <w:r>
        <w:rPr>
          <w:rStyle w:val="Referencingstyle"/>
        </w:rPr>
        <w:t>, item 1, subsections 3G(3) and (4) of the TAA 1953]</w:t>
      </w:r>
    </w:p>
    <w:p w14:paraId="430FC0FC" w14:textId="06FBBD35" w:rsidR="0011156E" w:rsidRPr="009132E0" w:rsidRDefault="0011156E" w:rsidP="000D7FE5">
      <w:pPr>
        <w:pStyle w:val="base-text-paragraph"/>
        <w:rPr>
          <w:rStyle w:val="Referencingstyle"/>
          <w:b w:val="0"/>
          <w:i w:val="0"/>
          <w:sz w:val="22"/>
        </w:rPr>
      </w:pPr>
      <w:r>
        <w:rPr>
          <w:rStyle w:val="Referencingstyle"/>
          <w:b w:val="0"/>
          <w:i w:val="0"/>
          <w:sz w:val="22"/>
        </w:rPr>
        <w:t xml:space="preserve">The criteria for the publication and the information published are based on concepts defined in the ITAA 1997. </w:t>
      </w:r>
      <w:r w:rsidRPr="009D18C3">
        <w:rPr>
          <w:rStyle w:val="Referencingstyle"/>
        </w:rPr>
        <w:t>[Exposure Draft, Schedule 3, item 1, subsection 3</w:t>
      </w:r>
      <w:r w:rsidRPr="00783193">
        <w:rPr>
          <w:rStyle w:val="Referencingstyle"/>
        </w:rPr>
        <w:t>G(8) of the TAA 1953]</w:t>
      </w:r>
    </w:p>
    <w:p w14:paraId="35818F79" w14:textId="77777777" w:rsidR="000D7FE5" w:rsidRDefault="000D7FE5" w:rsidP="000D7FE5">
      <w:pPr>
        <w:pStyle w:val="Heading4"/>
      </w:pPr>
      <w:r>
        <w:t>Source of information</w:t>
      </w:r>
    </w:p>
    <w:p w14:paraId="4669EBE0" w14:textId="07956477" w:rsidR="000D7FE5" w:rsidRDefault="000D7FE5" w:rsidP="000D7FE5">
      <w:pPr>
        <w:pStyle w:val="base-text-paragraph"/>
      </w:pPr>
      <w:r w:rsidRPr="00E2059D">
        <w:t xml:space="preserve">The </w:t>
      </w:r>
      <w:r>
        <w:t>publication requirement</w:t>
      </w:r>
      <w:r w:rsidRPr="00E2059D">
        <w:t xml:space="preserve"> will not apply </w:t>
      </w:r>
      <w:r>
        <w:t xml:space="preserve">in relation </w:t>
      </w:r>
      <w:r w:rsidRPr="00E2059D">
        <w:t xml:space="preserve">to </w:t>
      </w:r>
      <w:r w:rsidR="006070DB">
        <w:t>R&amp;D entit</w:t>
      </w:r>
      <w:r w:rsidRPr="00E2059D">
        <w:t xml:space="preserve">ies that do </w:t>
      </w:r>
      <w:r>
        <w:t xml:space="preserve">not lodge income tax returns. </w:t>
      </w:r>
      <w:r w:rsidRPr="00E2059D">
        <w:t xml:space="preserve">In the case of consolidated groups and multiple entry consolidated groups, the information published will be that reported by the head company in its </w:t>
      </w:r>
      <w:r w:rsidR="00CE60EE">
        <w:t xml:space="preserve">income </w:t>
      </w:r>
      <w:r w:rsidRPr="00E2059D">
        <w:t>tax return.</w:t>
      </w:r>
    </w:p>
    <w:p w14:paraId="688ABED3" w14:textId="093BEAF2" w:rsidR="000D7FE5" w:rsidRDefault="000D7FE5" w:rsidP="000D7FE5">
      <w:pPr>
        <w:pStyle w:val="base-text-paragraph"/>
      </w:pPr>
      <w:r>
        <w:t xml:space="preserve">In determining whether the Commissioner is required to publish information about a specific </w:t>
      </w:r>
      <w:r w:rsidR="006070DB">
        <w:t>R&amp;D entit</w:t>
      </w:r>
      <w:r>
        <w:t>y, the Commissioner can only have regard to the information that the entity has reported to the Commissioner in its relevant</w:t>
      </w:r>
      <w:r w:rsidR="00CE60EE">
        <w:t xml:space="preserve"> income</w:t>
      </w:r>
      <w:r>
        <w:t xml:space="preserve"> tax return. </w:t>
      </w:r>
    </w:p>
    <w:p w14:paraId="2DC78550" w14:textId="209879AA" w:rsidR="000D7FE5" w:rsidRDefault="000D7FE5" w:rsidP="000D7FE5">
      <w:pPr>
        <w:pStyle w:val="base-text-paragraph"/>
      </w:pPr>
      <w:r>
        <w:t xml:space="preserve">Similarly, the Commissioner may only publish amounts that the </w:t>
      </w:r>
      <w:r w:rsidR="006070DB">
        <w:t>R&amp;D entit</w:t>
      </w:r>
      <w:r>
        <w:t xml:space="preserve">y reports in its tax returns, subject only to simple calculations. The Commissioner is not permitted to substitute his or her own assessment of an </w:t>
      </w:r>
      <w:r w:rsidR="006070DB">
        <w:t>R&amp;D entit</w:t>
      </w:r>
      <w:r>
        <w:t>y’s information for the purposes of determining the figures to be published.</w:t>
      </w:r>
      <w:r w:rsidRPr="00AC11F1">
        <w:t xml:space="preserve"> However</w:t>
      </w:r>
      <w:r>
        <w:t xml:space="preserve">, the Commissioner may verify an </w:t>
      </w:r>
      <w:r w:rsidR="006070DB">
        <w:t>R&amp;D entit</w:t>
      </w:r>
      <w:r>
        <w:t xml:space="preserve">y’s identity </w:t>
      </w:r>
      <w:r w:rsidRPr="00AC11F1">
        <w:t xml:space="preserve">before publication to ensure that the correct </w:t>
      </w:r>
      <w:r>
        <w:t>entity</w:t>
      </w:r>
      <w:r w:rsidRPr="00AC11F1">
        <w:t xml:space="preserve"> is identified.</w:t>
      </w:r>
    </w:p>
    <w:p w14:paraId="5A520DAD" w14:textId="77777777" w:rsidR="000D7FE5" w:rsidRDefault="000D7FE5" w:rsidP="000D7FE5">
      <w:pPr>
        <w:pStyle w:val="Heading4"/>
      </w:pPr>
      <w:r>
        <w:t>Time of publication</w:t>
      </w:r>
    </w:p>
    <w:p w14:paraId="18E387DB" w14:textId="77777777" w:rsidR="000D7FE5" w:rsidRDefault="000D7FE5" w:rsidP="000D7FE5">
      <w:pPr>
        <w:pStyle w:val="base-text-paragraph"/>
      </w:pPr>
      <w:r w:rsidRPr="009132E0">
        <w:t>The amendments do not prescribe a period within which the Commissioner must publish the information, allowing a flexible approach that accommodates organisational capabilities and priorities.</w:t>
      </w:r>
    </w:p>
    <w:p w14:paraId="6BDFA683" w14:textId="14802994" w:rsidR="000D7FE5" w:rsidRDefault="000D7FE5" w:rsidP="000D7FE5">
      <w:pPr>
        <w:pStyle w:val="base-text-paragraph"/>
      </w:pPr>
      <w:r w:rsidRPr="009132E0">
        <w:t xml:space="preserve">It is envisaged that the Commissioner will publish one annual report encompassing all relevant </w:t>
      </w:r>
      <w:r w:rsidR="006070DB">
        <w:t>R&amp;D entit</w:t>
      </w:r>
      <w:r>
        <w:t xml:space="preserve">ies. </w:t>
      </w:r>
      <w:r w:rsidRPr="009132E0">
        <w:t>This would likely be released several months after the date for the lodgement of the final company income t</w:t>
      </w:r>
      <w:r>
        <w:t xml:space="preserve">ax returns for an income year. </w:t>
      </w:r>
      <w:r w:rsidRPr="009132E0">
        <w:t>The Commissioner may give advance public notice of his or her intention to make the publication at a particular time.</w:t>
      </w:r>
    </w:p>
    <w:p w14:paraId="7E03D424" w14:textId="77777777" w:rsidR="000D7FE5" w:rsidRDefault="000D7FE5" w:rsidP="000D7FE5">
      <w:pPr>
        <w:pStyle w:val="base-text-paragraph"/>
      </w:pPr>
      <w:r w:rsidRPr="009132E0">
        <w:t>Many companies operate under substituted accoun</w:t>
      </w:r>
      <w:r>
        <w:t xml:space="preserve">ting periods for tax purposes. </w:t>
      </w:r>
      <w:r w:rsidRPr="009132E0">
        <w:t>This means that some companies’ income years do not align with the standard 1 July to 30 June financial year.</w:t>
      </w:r>
    </w:p>
    <w:p w14:paraId="73EE6023" w14:textId="77777777" w:rsidR="000D7FE5" w:rsidRDefault="000D7FE5" w:rsidP="000D7FE5">
      <w:pPr>
        <w:pStyle w:val="Heading4"/>
      </w:pPr>
      <w:r>
        <w:t>Correction of errors</w:t>
      </w:r>
    </w:p>
    <w:p w14:paraId="1AEB10AF" w14:textId="77777777" w:rsidR="000D7FE5" w:rsidRPr="009132E0" w:rsidRDefault="000D7FE5" w:rsidP="000D7FE5">
      <w:pPr>
        <w:pStyle w:val="base-text-paragraph"/>
      </w:pPr>
      <w:r w:rsidRPr="009132E0">
        <w:t xml:space="preserve">Provision for the correction of errors is an important safeguard. </w:t>
      </w:r>
    </w:p>
    <w:p w14:paraId="46EBC7B1" w14:textId="13C7DCCC" w:rsidR="000D7FE5" w:rsidRPr="009132E0" w:rsidRDefault="000D7FE5" w:rsidP="000D7FE5">
      <w:pPr>
        <w:pStyle w:val="base-text-paragraph"/>
      </w:pPr>
      <w:r w:rsidRPr="009132E0">
        <w:t xml:space="preserve">The Commissioner </w:t>
      </w:r>
      <w:r>
        <w:t>may</w:t>
      </w:r>
      <w:r w:rsidRPr="009132E0">
        <w:t xml:space="preserve"> correct errors that are made in a pu</w:t>
      </w:r>
      <w:r>
        <w:t>blication in two circumstances:</w:t>
      </w:r>
      <w:r w:rsidRPr="009132E0">
        <w:t xml:space="preserve"> where the Commissioner has made an error and on the initiative of the relevant </w:t>
      </w:r>
      <w:r w:rsidR="006070DB">
        <w:t>R&amp;D entit</w:t>
      </w:r>
      <w:r>
        <w:t>y</w:t>
      </w:r>
      <w:r w:rsidRPr="009132E0">
        <w:t>.</w:t>
      </w:r>
    </w:p>
    <w:p w14:paraId="5E589B07" w14:textId="756E4344" w:rsidR="000D7FE5" w:rsidRPr="009132E0" w:rsidRDefault="000D7FE5" w:rsidP="000D7FE5">
      <w:pPr>
        <w:pStyle w:val="base-text-paragraph"/>
      </w:pPr>
      <w:r w:rsidRPr="009132E0">
        <w:t xml:space="preserve">Where the Commissioner has made an error, he or she has </w:t>
      </w:r>
      <w:r>
        <w:t xml:space="preserve">power to publish a correction. </w:t>
      </w:r>
      <w:r w:rsidRPr="009132E0">
        <w:t>The correction must be made from the informati</w:t>
      </w:r>
      <w:r>
        <w:t xml:space="preserve">on the </w:t>
      </w:r>
      <w:r w:rsidR="006070DB">
        <w:t>R&amp;D entit</w:t>
      </w:r>
      <w:r>
        <w:t xml:space="preserve">y has returned. </w:t>
      </w:r>
      <w:r>
        <w:rPr>
          <w:rStyle w:val="Referencingstyle"/>
        </w:rPr>
        <w:t xml:space="preserve">[Exposure Draft, </w:t>
      </w:r>
      <w:r w:rsidR="00633FCE">
        <w:rPr>
          <w:rStyle w:val="Referencingstyle"/>
        </w:rPr>
        <w:t>Schedule 3</w:t>
      </w:r>
      <w:r>
        <w:rPr>
          <w:rStyle w:val="Referencingstyle"/>
        </w:rPr>
        <w:t>, item 1, subsection 3G(7) of the TAA 1953]</w:t>
      </w:r>
    </w:p>
    <w:p w14:paraId="0840518F" w14:textId="79C8D7D7" w:rsidR="000D7FE5" w:rsidRPr="009132E0" w:rsidRDefault="000D7FE5" w:rsidP="000D7FE5">
      <w:pPr>
        <w:pStyle w:val="base-text-paragraph"/>
      </w:pPr>
      <w:r w:rsidRPr="009132E0">
        <w:t xml:space="preserve">The Commissioner may also make information publicly available that corrects an error that the </w:t>
      </w:r>
      <w:r w:rsidR="006070DB">
        <w:t>R&amp;D entit</w:t>
      </w:r>
      <w:r>
        <w:t>y</w:t>
      </w:r>
      <w:r w:rsidRPr="009132E0">
        <w:t xml:space="preserve"> has brought t</w:t>
      </w:r>
      <w:r>
        <w:t>o the Commissioner’s attention.</w:t>
      </w:r>
      <w:r w:rsidRPr="009132E0">
        <w:t xml:space="preserve"> This cover</w:t>
      </w:r>
      <w:r>
        <w:t>s</w:t>
      </w:r>
      <w:r w:rsidRPr="009132E0">
        <w:t xml:space="preserve"> a range of circumstances where </w:t>
      </w:r>
      <w:r w:rsidR="008927C8" w:rsidRPr="009132E0">
        <w:t>an</w:t>
      </w:r>
      <w:r w:rsidRPr="009132E0">
        <w:t xml:space="preserve"> </w:t>
      </w:r>
      <w:r w:rsidR="006070DB">
        <w:t>R&amp;D entit</w:t>
      </w:r>
      <w:r>
        <w:t>y</w:t>
      </w:r>
      <w:r w:rsidRPr="009132E0">
        <w:t xml:space="preserve"> makes a further, </w:t>
      </w:r>
      <w:r>
        <w:t xml:space="preserve">special or amended tax return. </w:t>
      </w:r>
      <w:r>
        <w:rPr>
          <w:rStyle w:val="Referencingstyle"/>
        </w:rPr>
        <w:t xml:space="preserve">[Exposure Draft, </w:t>
      </w:r>
      <w:r w:rsidR="00633FCE">
        <w:rPr>
          <w:rStyle w:val="Referencingstyle"/>
        </w:rPr>
        <w:t>Schedule 3</w:t>
      </w:r>
      <w:r>
        <w:rPr>
          <w:rStyle w:val="Referencingstyle"/>
        </w:rPr>
        <w:t>, item 1, subsections 3G(5) and (6) of the TAA 1953]</w:t>
      </w:r>
    </w:p>
    <w:p w14:paraId="268591A6" w14:textId="77777777" w:rsidR="000D7FE5" w:rsidRPr="009132E0" w:rsidRDefault="000D7FE5" w:rsidP="000D7FE5">
      <w:pPr>
        <w:pStyle w:val="base-text-paragraph"/>
      </w:pPr>
      <w:r w:rsidRPr="009132E0">
        <w:t>The Commissioner has discretion in deciding whether to publish a correction, including discretion as to the time and form of the publication.</w:t>
      </w:r>
    </w:p>
    <w:p w14:paraId="6D3157B5" w14:textId="3E3B3329" w:rsidR="000D7FE5" w:rsidRDefault="00CB7266" w:rsidP="000D7FE5">
      <w:pPr>
        <w:pStyle w:val="Heading3"/>
      </w:pPr>
      <w:r>
        <w:t>Determination</w:t>
      </w:r>
      <w:r w:rsidR="00783193">
        <w:t xml:space="preserve">s about </w:t>
      </w:r>
      <w:r w:rsidR="00CE60EE">
        <w:t xml:space="preserve">the </w:t>
      </w:r>
      <w:r w:rsidR="00783193">
        <w:t xml:space="preserve">performance of </w:t>
      </w:r>
      <w:r w:rsidR="003B1498">
        <w:t>the Board of ISA</w:t>
      </w:r>
      <w:r w:rsidR="00783193">
        <w:t>’s functions</w:t>
      </w:r>
    </w:p>
    <w:p w14:paraId="0D205627" w14:textId="290D5362" w:rsidR="00496416" w:rsidRPr="00496416" w:rsidRDefault="000D7FE5" w:rsidP="00496416">
      <w:pPr>
        <w:pStyle w:val="base-text-paragraph"/>
      </w:pPr>
      <w:bookmarkStart w:id="19" w:name="_Ref516176888"/>
      <w:r>
        <w:t xml:space="preserve">The </w:t>
      </w:r>
      <w:r w:rsidR="00B31B69">
        <w:t>Board of the ISA</w:t>
      </w:r>
      <w:r>
        <w:t xml:space="preserve"> may</w:t>
      </w:r>
      <w:r w:rsidR="00F9437A">
        <w:t xml:space="preserve">, by notifiable instrument, make a </w:t>
      </w:r>
      <w:r w:rsidR="00CB7266">
        <w:t>determination</w:t>
      </w:r>
      <w:r>
        <w:t xml:space="preserve"> </w:t>
      </w:r>
      <w:r w:rsidR="00F9437A" w:rsidRPr="00F9437A">
        <w:t>about how it will exercise its powers, and perform its functions and duties</w:t>
      </w:r>
      <w:r w:rsidR="00F9437A">
        <w:t>.</w:t>
      </w:r>
      <w:r w:rsidR="00F9437A" w:rsidRPr="00F9437A">
        <w:t xml:space="preserve"> </w:t>
      </w:r>
      <w:r w:rsidR="00496416">
        <w:t xml:space="preserve">However, a </w:t>
      </w:r>
      <w:r w:rsidR="00CB7266">
        <w:t>determination</w:t>
      </w:r>
      <w:r w:rsidR="00496416">
        <w:t xml:space="preserve"> cannot relate</w:t>
      </w:r>
      <w:r w:rsidR="00496416" w:rsidRPr="00496416">
        <w:t xml:space="preserve"> to the exercise of powers, or the performance of functions or duties, in a particular case or in relation to a particular </w:t>
      </w:r>
      <w:r w:rsidR="006070DB">
        <w:t>R&amp;D entit</w:t>
      </w:r>
      <w:r w:rsidR="00496416" w:rsidRPr="00496416">
        <w:t>y.</w:t>
      </w:r>
      <w:r w:rsidR="00496416" w:rsidRPr="00496416">
        <w:rPr>
          <w:rStyle w:val="Referencingstyle"/>
        </w:rPr>
        <w:t xml:space="preserve"> </w:t>
      </w:r>
      <w:r w:rsidR="00496416" w:rsidRPr="00943B34">
        <w:rPr>
          <w:rStyle w:val="Referencingstyle"/>
        </w:rPr>
        <w:t xml:space="preserve">[Exposure Draft, Schedule 3, item </w:t>
      </w:r>
      <w:r w:rsidR="008C1248">
        <w:rPr>
          <w:rStyle w:val="Referencingstyle"/>
        </w:rPr>
        <w:t>14</w:t>
      </w:r>
      <w:r w:rsidR="00496416" w:rsidRPr="00943B34">
        <w:rPr>
          <w:rStyle w:val="Referencingstyle"/>
        </w:rPr>
        <w:t xml:space="preserve">, </w:t>
      </w:r>
      <w:r w:rsidR="000E4B0E">
        <w:rPr>
          <w:rStyle w:val="Referencingstyle"/>
        </w:rPr>
        <w:t xml:space="preserve">section 31C and </w:t>
      </w:r>
      <w:r w:rsidR="00496416" w:rsidRPr="00943B34">
        <w:rPr>
          <w:rStyle w:val="Referencingstyle"/>
        </w:rPr>
        <w:t>subsection</w:t>
      </w:r>
      <w:r w:rsidR="00BD3CDE">
        <w:rPr>
          <w:rStyle w:val="Referencingstyle"/>
        </w:rPr>
        <w:t>s</w:t>
      </w:r>
      <w:r w:rsidR="00496416" w:rsidRPr="00943B34">
        <w:rPr>
          <w:rStyle w:val="Referencingstyle"/>
        </w:rPr>
        <w:t xml:space="preserve"> 31D(1) </w:t>
      </w:r>
      <w:r w:rsidR="00496416">
        <w:rPr>
          <w:rStyle w:val="Referencingstyle"/>
        </w:rPr>
        <w:t xml:space="preserve">and (2) </w:t>
      </w:r>
      <w:r w:rsidR="00496416" w:rsidRPr="00943B34">
        <w:rPr>
          <w:rStyle w:val="Referencingstyle"/>
        </w:rPr>
        <w:t xml:space="preserve">of the </w:t>
      </w:r>
      <w:r w:rsidR="00BE6307">
        <w:rPr>
          <w:rStyle w:val="Referencingstyle"/>
        </w:rPr>
        <w:t>IR&amp;D Act</w:t>
      </w:r>
      <w:r w:rsidR="00496416" w:rsidRPr="00943B34">
        <w:rPr>
          <w:rStyle w:val="Referencingstyle"/>
        </w:rPr>
        <w:t>]</w:t>
      </w:r>
    </w:p>
    <w:p w14:paraId="2CEC256B" w14:textId="7F44AF3D" w:rsidR="00810CAE" w:rsidRPr="0016114D" w:rsidRDefault="00810CAE" w:rsidP="00810CAE">
      <w:pPr>
        <w:pStyle w:val="base-text-paragraph"/>
      </w:pPr>
      <w:r w:rsidRPr="0016114D">
        <w:t xml:space="preserve">The </w:t>
      </w:r>
      <w:r w:rsidR="00B31B69">
        <w:t>Board of the ISA</w:t>
      </w:r>
      <w:r w:rsidRPr="0016114D">
        <w:t xml:space="preserve"> must exercise its powers, and perform its functions and duties</w:t>
      </w:r>
      <w:r w:rsidR="00033FF0">
        <w:t>,</w:t>
      </w:r>
      <w:r>
        <w:t xml:space="preserve"> </w:t>
      </w:r>
      <w:r w:rsidRPr="0016114D">
        <w:t xml:space="preserve">in accordance with </w:t>
      </w:r>
      <w:r>
        <w:t>any</w:t>
      </w:r>
      <w:r w:rsidRPr="0016114D">
        <w:t xml:space="preserve"> </w:t>
      </w:r>
      <w:r w:rsidR="00CB7266">
        <w:t>determination</w:t>
      </w:r>
      <w:r>
        <w:t>s it makes</w:t>
      </w:r>
      <w:r w:rsidRPr="0016114D">
        <w:t>.</w:t>
      </w:r>
      <w:r>
        <w:t xml:space="preserve"> </w:t>
      </w:r>
      <w:r w:rsidR="003D694D">
        <w:t xml:space="preserve">This means </w:t>
      </w:r>
      <w:r w:rsidR="00CB7266">
        <w:t>determination</w:t>
      </w:r>
      <w:r w:rsidR="003D694D">
        <w:t xml:space="preserve">s are binding on the </w:t>
      </w:r>
      <w:r w:rsidR="00B31B69">
        <w:t>Board of the ISA</w:t>
      </w:r>
      <w:r w:rsidR="003D694D">
        <w:t xml:space="preserve"> when it makes entity-specific findings or registration decisions. </w:t>
      </w:r>
      <w:r>
        <w:t xml:space="preserve">However, </w:t>
      </w:r>
      <w:r w:rsidR="00CB7266">
        <w:t>determination</w:t>
      </w:r>
      <w:r w:rsidR="003D694D">
        <w:t xml:space="preserve">s </w:t>
      </w:r>
      <w:r w:rsidR="008927C8">
        <w:t xml:space="preserve">do not prevent an </w:t>
      </w:r>
      <w:r w:rsidR="006070DB">
        <w:t>R&amp;D entit</w:t>
      </w:r>
      <w:r w:rsidR="008927C8">
        <w:t xml:space="preserve">y challenging a decision of the </w:t>
      </w:r>
      <w:r>
        <w:t xml:space="preserve">Board. </w:t>
      </w:r>
      <w:r w:rsidRPr="002F29BF">
        <w:rPr>
          <w:rStyle w:val="Referencingstyle"/>
        </w:rPr>
        <w:t xml:space="preserve">[Exposure Draft, Schedule 3, item </w:t>
      </w:r>
      <w:r w:rsidR="008C1248">
        <w:rPr>
          <w:rStyle w:val="Referencingstyle"/>
        </w:rPr>
        <w:t>14</w:t>
      </w:r>
      <w:r w:rsidRPr="002F29BF">
        <w:rPr>
          <w:rStyle w:val="Referencingstyle"/>
        </w:rPr>
        <w:t>, subsection 31D(</w:t>
      </w:r>
      <w:r>
        <w:rPr>
          <w:rStyle w:val="Referencingstyle"/>
        </w:rPr>
        <w:t>3</w:t>
      </w:r>
      <w:r w:rsidRPr="002F29BF">
        <w:rPr>
          <w:rStyle w:val="Referencingstyle"/>
        </w:rPr>
        <w:t xml:space="preserve">) of the </w:t>
      </w:r>
      <w:r w:rsidR="00BE6307">
        <w:rPr>
          <w:rStyle w:val="Referencingstyle"/>
        </w:rPr>
        <w:t>IR&amp;D Act</w:t>
      </w:r>
      <w:r w:rsidRPr="002F29BF">
        <w:rPr>
          <w:rStyle w:val="Referencingstyle"/>
        </w:rPr>
        <w:t>]</w:t>
      </w:r>
    </w:p>
    <w:p w14:paraId="18FEA2C2" w14:textId="0903B2CC" w:rsidR="000D7FE5" w:rsidRDefault="000D7FE5" w:rsidP="000D7FE5">
      <w:pPr>
        <w:pStyle w:val="base-text-paragraph"/>
      </w:pPr>
      <w:r w:rsidRPr="008A7C00">
        <w:t>Th</w:t>
      </w:r>
      <w:r w:rsidR="00DD6837">
        <w:t xml:space="preserve">e ability to make </w:t>
      </w:r>
      <w:r w:rsidR="00CB7266">
        <w:t>determination</w:t>
      </w:r>
      <w:r w:rsidR="00DD6837">
        <w:t xml:space="preserve">s </w:t>
      </w:r>
      <w:r w:rsidR="00810CAE">
        <w:t xml:space="preserve">binding on itself </w:t>
      </w:r>
      <w:r w:rsidR="00DD6837">
        <w:t xml:space="preserve">allows the </w:t>
      </w:r>
      <w:r w:rsidR="00B31B69">
        <w:t>Board of the ISA</w:t>
      </w:r>
      <w:r w:rsidR="00DD6837">
        <w:t xml:space="preserve"> to</w:t>
      </w:r>
      <w:r w:rsidRPr="008A7C00">
        <w:t xml:space="preserve"> </w:t>
      </w:r>
      <w:r>
        <w:t xml:space="preserve">provide certainty to R&amp;D claimants and </w:t>
      </w:r>
      <w:r w:rsidRPr="008A7C00">
        <w:t>help</w:t>
      </w:r>
      <w:r w:rsidR="00033FF0">
        <w:t>s</w:t>
      </w:r>
      <w:r w:rsidRPr="008A7C00">
        <w:t xml:space="preserve"> ensure </w:t>
      </w:r>
      <w:r w:rsidR="006070DB">
        <w:t>R&amp;D entit</w:t>
      </w:r>
      <w:r>
        <w:t>ies</w:t>
      </w:r>
      <w:r w:rsidRPr="008A7C00">
        <w:t xml:space="preserve"> do not unintentionally misinterpret the meaning of the law</w:t>
      </w:r>
      <w:r>
        <w:t>.</w:t>
      </w:r>
      <w:bookmarkEnd w:id="19"/>
      <w:r w:rsidR="00F9437A">
        <w:t xml:space="preserve"> </w:t>
      </w:r>
    </w:p>
    <w:p w14:paraId="4E463538" w14:textId="33EF5E11" w:rsidR="00781427" w:rsidRDefault="00CB7266" w:rsidP="00781427">
      <w:pPr>
        <w:pStyle w:val="base-text-paragraph"/>
      </w:pPr>
      <w:r>
        <w:t>Determination</w:t>
      </w:r>
      <w:r w:rsidR="00781427">
        <w:t xml:space="preserve">s are intended to operate in a similar manner to a taxation ruling issued by the Commissioner. </w:t>
      </w:r>
      <w:r>
        <w:t>Determination</w:t>
      </w:r>
      <w:r w:rsidR="00781427">
        <w:t xml:space="preserve">s are not binding on R&amp;D entities. </w:t>
      </w:r>
      <w:r w:rsidR="006070DB">
        <w:t>R&amp;D entit</w:t>
      </w:r>
      <w:r w:rsidR="00781427">
        <w:t xml:space="preserve">ies may continue to self-assess their eligibility for the Incentive in a manner that is inconsistent with a </w:t>
      </w:r>
      <w:r>
        <w:t>determination</w:t>
      </w:r>
      <w:r w:rsidR="008C2CE0">
        <w:t xml:space="preserve"> but risk ISA contesting their position</w:t>
      </w:r>
      <w:r w:rsidR="00781427">
        <w:t xml:space="preserve">. </w:t>
      </w:r>
    </w:p>
    <w:p w14:paraId="64D899AC" w14:textId="2263B0B3" w:rsidR="003B1498" w:rsidRPr="003B1498" w:rsidRDefault="003B1498" w:rsidP="003B1498">
      <w:pPr>
        <w:pStyle w:val="base-text-paragraph"/>
      </w:pPr>
      <w:r w:rsidRPr="003B1498">
        <w:t xml:space="preserve">Determinations seek to augment the existing program guidance by allowing the Board </w:t>
      </w:r>
      <w:r>
        <w:t xml:space="preserve">of the ISA </w:t>
      </w:r>
      <w:r w:rsidRPr="003B1498">
        <w:t>to publicly state its position on the application of its functions and its interpretation of the legislation, including the definition of R&amp;D activities, the definition of clinical trials or any other administrative matters where specific guidance would reduce the compliance burden for R&amp;D entities.</w:t>
      </w:r>
    </w:p>
    <w:p w14:paraId="648C4D60" w14:textId="657E899C" w:rsidR="003B1498" w:rsidRPr="003B1498" w:rsidRDefault="003B1498" w:rsidP="00DD77EC">
      <w:pPr>
        <w:pStyle w:val="base-text-paragraph"/>
      </w:pPr>
      <w:r w:rsidRPr="003B1498">
        <w:t>This is intended to make compliance easier for R&amp;D entities, as they will be able to better understand what is required to demonstrate eligibility for the Incentive. For example, the Board of the ISA may make a determination about the validity of particular forms of evidence for R&amp;D activities, thereby providing registrants with increased clarity on how to best evidence their R&amp;D activities in their registration applications. This would improve compliance and reducing administrative workloads.</w:t>
      </w:r>
    </w:p>
    <w:p w14:paraId="4AF5D965" w14:textId="77777777" w:rsidR="003B1498" w:rsidRPr="006F1325" w:rsidRDefault="003B1498" w:rsidP="003B1498">
      <w:pPr>
        <w:pStyle w:val="base-text-paragraph"/>
      </w:pPr>
      <w:r>
        <w:t xml:space="preserve">Determinations </w:t>
      </w:r>
      <w:r w:rsidRPr="006F1325">
        <w:t>are notifiable instruments rather than legislative instruments</w:t>
      </w:r>
      <w:r>
        <w:t xml:space="preserve"> (see sections 8 and 11 of the </w:t>
      </w:r>
      <w:r w:rsidRPr="0095181F">
        <w:rPr>
          <w:i/>
        </w:rPr>
        <w:t>Legislation Act 2003</w:t>
      </w:r>
      <w:r>
        <w:t>)</w:t>
      </w:r>
      <w:r w:rsidRPr="006F1325">
        <w:t>. This reflects the fact they are not binding on R&amp;D entities</w:t>
      </w:r>
      <w:r>
        <w:t xml:space="preserve"> and the long-standing recognition that taxation rulings are not legislative instruments (section 7 of the </w:t>
      </w:r>
      <w:r w:rsidRPr="00A82357">
        <w:rPr>
          <w:i/>
        </w:rPr>
        <w:t>Legislation (Exemptions and Other Matters) Regulation</w:t>
      </w:r>
      <w:r>
        <w:rPr>
          <w:i/>
        </w:rPr>
        <w:t> </w:t>
      </w:r>
      <w:r w:rsidRPr="00A82357">
        <w:rPr>
          <w:i/>
        </w:rPr>
        <w:t>2015</w:t>
      </w:r>
      <w:r>
        <w:t>)</w:t>
      </w:r>
      <w:r w:rsidRPr="006F1325">
        <w:t xml:space="preserve">. </w:t>
      </w:r>
      <w:r w:rsidRPr="0095181F">
        <w:rPr>
          <w:rStyle w:val="Referencingstyle"/>
        </w:rPr>
        <w:t xml:space="preserve">[Exposure Draft, Schedule 3, item </w:t>
      </w:r>
      <w:r>
        <w:rPr>
          <w:rStyle w:val="Referencingstyle"/>
        </w:rPr>
        <w:t>14</w:t>
      </w:r>
      <w:r w:rsidRPr="0095181F">
        <w:rPr>
          <w:rStyle w:val="Referencingstyle"/>
        </w:rPr>
        <w:t xml:space="preserve">, subsection 31D(1) of the </w:t>
      </w:r>
      <w:r>
        <w:rPr>
          <w:rStyle w:val="Referencingstyle"/>
        </w:rPr>
        <w:t>IR&amp;D Act</w:t>
      </w:r>
      <w:r w:rsidRPr="0095181F">
        <w:rPr>
          <w:rStyle w:val="Referencingstyle"/>
        </w:rPr>
        <w:t>]</w:t>
      </w:r>
    </w:p>
    <w:p w14:paraId="7581394F" w14:textId="439411AE" w:rsidR="003B1498" w:rsidRPr="003B1498" w:rsidRDefault="003B1498" w:rsidP="00DD77EC">
      <w:pPr>
        <w:pStyle w:val="base-text-paragraph"/>
      </w:pPr>
      <w:r>
        <w:t xml:space="preserve">Making determinations notifiable instruments increases the certainty they provide to registrants. </w:t>
      </w:r>
      <w:r w:rsidRPr="003B1498">
        <w:t xml:space="preserve">The disallowable nature of legislative instruments would undermine the Board’s ability to produce determinations that can be relied </w:t>
      </w:r>
      <w:r>
        <w:t>on</w:t>
      </w:r>
      <w:r w:rsidRPr="003B1498">
        <w:t xml:space="preserve"> by R&amp;D entities. </w:t>
      </w:r>
      <w:r>
        <w:t>A</w:t>
      </w:r>
      <w:r w:rsidRPr="003B1498">
        <w:t xml:space="preserve"> disallowance period would create uncertainty about the validity of a determination until that period had ended. </w:t>
      </w:r>
    </w:p>
    <w:p w14:paraId="2AA8A9A5" w14:textId="32C44073" w:rsidR="003B1498" w:rsidRDefault="003B1498">
      <w:pPr>
        <w:pStyle w:val="base-text-paragraph"/>
      </w:pPr>
      <w:r w:rsidRPr="003B1498">
        <w:t xml:space="preserve">Determinations are to be co-designed and developed in consultation with relevant stakeholders, including administrators, subject matter experts, tax advisors and peak bodies representing R&amp;D entities by size and sector. </w:t>
      </w:r>
      <w:r>
        <w:t xml:space="preserve">Merits review </w:t>
      </w:r>
      <w:r w:rsidR="00FA5ADE">
        <w:t xml:space="preserve">(under Division 5 of the IR&amp;D Act) </w:t>
      </w:r>
      <w:r>
        <w:t>and j</w:t>
      </w:r>
      <w:r w:rsidRPr="003B1498">
        <w:t>udicial review is available for R&amp;D entities in the event of a dispute over a determination. The development process is intended to ensure that determinations are stable and reliable forms of guidance that can be relied upon by R&amp;D entities over long periods of time.</w:t>
      </w:r>
    </w:p>
    <w:p w14:paraId="33862C03" w14:textId="37A62ED6" w:rsidR="000B2218" w:rsidRDefault="000B2218" w:rsidP="0095181F">
      <w:pPr>
        <w:pStyle w:val="Heading4"/>
      </w:pPr>
      <w:r>
        <w:t xml:space="preserve">Amending or revoking a </w:t>
      </w:r>
      <w:r w:rsidR="00CB7266">
        <w:t>determination</w:t>
      </w:r>
    </w:p>
    <w:p w14:paraId="642653AB" w14:textId="1B2D9562" w:rsidR="000B2218" w:rsidRDefault="00ED7445" w:rsidP="00ED7445">
      <w:pPr>
        <w:pStyle w:val="base-text-paragraph"/>
      </w:pPr>
      <w:r w:rsidRPr="00ED7445">
        <w:t xml:space="preserve">Subsection 33(3) of the </w:t>
      </w:r>
      <w:r w:rsidRPr="0095181F">
        <w:rPr>
          <w:i/>
        </w:rPr>
        <w:t>Acts Interpretation Act 1901</w:t>
      </w:r>
      <w:r w:rsidRPr="00ED7445">
        <w:t xml:space="preserve"> provides that a power to make an instrument includes the power to revoke or vary the instrument.</w:t>
      </w:r>
    </w:p>
    <w:p w14:paraId="4FFC3FEF" w14:textId="3F3F29AA" w:rsidR="00ED7445" w:rsidRDefault="00ED7445" w:rsidP="00ED7445">
      <w:pPr>
        <w:pStyle w:val="base-text-paragraph"/>
      </w:pPr>
      <w:r>
        <w:t xml:space="preserve">These amendments provide specific circumstances when the </w:t>
      </w:r>
      <w:r w:rsidR="00B31B69">
        <w:t>Board of the ISA</w:t>
      </w:r>
      <w:r>
        <w:t xml:space="preserve"> must amend or revoke a </w:t>
      </w:r>
      <w:r w:rsidR="00CB7266">
        <w:t>determination</w:t>
      </w:r>
      <w:r w:rsidR="00BF75FE">
        <w:t xml:space="preserve"> by notifiable instrument</w:t>
      </w:r>
      <w:r>
        <w:t>. Th</w:t>
      </w:r>
      <w:r w:rsidR="007F6BAA">
        <w:t>e amendments clarify that th</w:t>
      </w:r>
      <w:r>
        <w:t>is does not limit the application of</w:t>
      </w:r>
      <w:r w:rsidRPr="00ED7445">
        <w:t xml:space="preserve"> </w:t>
      </w:r>
      <w:r>
        <w:t>s</w:t>
      </w:r>
      <w:r w:rsidRPr="00ED7445">
        <w:t>ubsection</w:t>
      </w:r>
      <w:r w:rsidR="00710FEC">
        <w:t> </w:t>
      </w:r>
      <w:r w:rsidRPr="00ED7445">
        <w:t xml:space="preserve">33(3) of the </w:t>
      </w:r>
      <w:r w:rsidRPr="00ED7445">
        <w:rPr>
          <w:i/>
        </w:rPr>
        <w:t>Acts Interpretation Act 1901</w:t>
      </w:r>
      <w:r w:rsidRPr="00ED7445">
        <w:t xml:space="preserve"> </w:t>
      </w:r>
      <w:r>
        <w:t xml:space="preserve">in relation to the power to make a </w:t>
      </w:r>
      <w:r w:rsidR="00CB7266">
        <w:t>determination</w:t>
      </w:r>
      <w:r>
        <w:t xml:space="preserve">. </w:t>
      </w:r>
      <w:r w:rsidR="00FB4C5B">
        <w:t xml:space="preserve">That is, the </w:t>
      </w:r>
      <w:r w:rsidR="00B31B69">
        <w:t>Board of the ISA</w:t>
      </w:r>
      <w:r w:rsidR="00FB4C5B">
        <w:t xml:space="preserve"> may amend or revoke a </w:t>
      </w:r>
      <w:r w:rsidR="00CB7266">
        <w:t>determination</w:t>
      </w:r>
      <w:r w:rsidR="00FB4C5B">
        <w:t xml:space="preserve"> in a broader range of circumstances than those specified</w:t>
      </w:r>
      <w:r w:rsidR="00CC16B6">
        <w:t xml:space="preserve"> in the legislation.</w:t>
      </w:r>
      <w:r w:rsidR="00FB4C5B">
        <w:t xml:space="preserve"> </w:t>
      </w:r>
      <w:r w:rsidRPr="0095181F">
        <w:rPr>
          <w:rStyle w:val="Referencingstyle"/>
        </w:rPr>
        <w:t xml:space="preserve">[Exposure Draft, Schedule 3, item </w:t>
      </w:r>
      <w:r w:rsidR="008C1248">
        <w:rPr>
          <w:rStyle w:val="Referencingstyle"/>
        </w:rPr>
        <w:t>14</w:t>
      </w:r>
      <w:r w:rsidRPr="0095181F">
        <w:rPr>
          <w:rStyle w:val="Referencingstyle"/>
        </w:rPr>
        <w:t xml:space="preserve">, subsection 31E(3) of the </w:t>
      </w:r>
      <w:r w:rsidR="00BE6307">
        <w:rPr>
          <w:rStyle w:val="Referencingstyle"/>
        </w:rPr>
        <w:t>IR&amp;D Act</w:t>
      </w:r>
      <w:r w:rsidRPr="0095181F">
        <w:rPr>
          <w:rStyle w:val="Referencingstyle"/>
        </w:rPr>
        <w:t>]</w:t>
      </w:r>
    </w:p>
    <w:p w14:paraId="48BF63F3" w14:textId="0E621B78" w:rsidR="00781427" w:rsidRDefault="00BD3CDE" w:rsidP="0095181F">
      <w:pPr>
        <w:pStyle w:val="base-text-paragraph"/>
      </w:pPr>
      <w:r>
        <w:t xml:space="preserve">A </w:t>
      </w:r>
      <w:r w:rsidR="00CB7266">
        <w:t>determination</w:t>
      </w:r>
      <w:r w:rsidRPr="00BD3CDE">
        <w:t xml:space="preserve"> has no effect to the extent of any inconsistency with th</w:t>
      </w:r>
      <w:r w:rsidR="005957F2">
        <w:t xml:space="preserve">e </w:t>
      </w:r>
      <w:r w:rsidR="00BE6307">
        <w:t>IR&amp;D Act</w:t>
      </w:r>
      <w:r w:rsidRPr="00BD3CDE">
        <w:t xml:space="preserve">, the </w:t>
      </w:r>
      <w:r w:rsidR="0095181F" w:rsidRPr="0095181F">
        <w:rPr>
          <w:i/>
        </w:rPr>
        <w:t>Industry Resea</w:t>
      </w:r>
      <w:r w:rsidR="0095181F">
        <w:rPr>
          <w:i/>
        </w:rPr>
        <w:t>rch and Development Regulations </w:t>
      </w:r>
      <w:r w:rsidR="0095181F" w:rsidRPr="0095181F">
        <w:rPr>
          <w:i/>
        </w:rPr>
        <w:t>2011</w:t>
      </w:r>
      <w:r w:rsidR="004D0876">
        <w:rPr>
          <w:i/>
        </w:rPr>
        <w:t xml:space="preserve"> </w:t>
      </w:r>
      <w:r w:rsidRPr="00BD3CDE">
        <w:t xml:space="preserve">or the </w:t>
      </w:r>
      <w:r w:rsidR="0003410B">
        <w:t>D</w:t>
      </w:r>
      <w:r w:rsidRPr="00BD3CDE">
        <w:t>e</w:t>
      </w:r>
      <w:r w:rsidR="0003410B">
        <w:t>cision</w:t>
      </w:r>
      <w:r w:rsidRPr="00BD3CDE">
        <w:noBreakHyphen/>
        <w:t xml:space="preserve">making </w:t>
      </w:r>
      <w:r w:rsidR="0003410B">
        <w:t>P</w:t>
      </w:r>
      <w:r w:rsidRPr="00BD3CDE">
        <w:t>rinciples</w:t>
      </w:r>
      <w:r w:rsidR="005957F2">
        <w:t xml:space="preserve">. </w:t>
      </w:r>
      <w:r w:rsidR="00F03744">
        <w:t>If such inconsistency exists, t</w:t>
      </w:r>
      <w:r w:rsidR="00F03744" w:rsidRPr="00F03744">
        <w:t xml:space="preserve">he </w:t>
      </w:r>
      <w:r w:rsidR="00B31B69">
        <w:t>Board of the ISA</w:t>
      </w:r>
      <w:r w:rsidR="00F03744" w:rsidRPr="00F03744">
        <w:t xml:space="preserve"> must revoke or amend the </w:t>
      </w:r>
      <w:r w:rsidR="00CB7266">
        <w:t>determination</w:t>
      </w:r>
      <w:r w:rsidR="00F03744" w:rsidRPr="00F03744">
        <w:t xml:space="preserve"> to remove any inconsistency</w:t>
      </w:r>
      <w:r w:rsidR="00F03744">
        <w:t>.</w:t>
      </w:r>
      <w:r w:rsidR="00F03744" w:rsidRPr="0095181F">
        <w:rPr>
          <w:rStyle w:val="Referencingstyle"/>
        </w:rPr>
        <w:t xml:space="preserve"> [Exposure Draft, Schedule 3, item</w:t>
      </w:r>
      <w:r w:rsidR="00CB7266">
        <w:rPr>
          <w:rStyle w:val="Referencingstyle"/>
        </w:rPr>
        <w:t> </w:t>
      </w:r>
      <w:r w:rsidR="008C1248">
        <w:rPr>
          <w:rStyle w:val="Referencingstyle"/>
        </w:rPr>
        <w:t>14</w:t>
      </w:r>
      <w:r w:rsidR="00F03744" w:rsidRPr="0095181F">
        <w:rPr>
          <w:rStyle w:val="Referencingstyle"/>
        </w:rPr>
        <w:t>, subparagraph</w:t>
      </w:r>
      <w:r w:rsidR="002C6D74">
        <w:rPr>
          <w:rStyle w:val="Referencingstyle"/>
        </w:rPr>
        <w:t> </w:t>
      </w:r>
      <w:r w:rsidR="00F03744" w:rsidRPr="0095181F">
        <w:rPr>
          <w:rStyle w:val="Referencingstyle"/>
        </w:rPr>
        <w:t xml:space="preserve">31E(1)(b)(iii) and subsections 31D(4) and 31E(2) of the </w:t>
      </w:r>
      <w:r w:rsidR="00BE6307">
        <w:rPr>
          <w:rStyle w:val="Referencingstyle"/>
        </w:rPr>
        <w:t>IR&amp;D Act</w:t>
      </w:r>
      <w:r w:rsidR="00F03744" w:rsidRPr="0095181F">
        <w:rPr>
          <w:rStyle w:val="Referencingstyle"/>
        </w:rPr>
        <w:t>]</w:t>
      </w:r>
    </w:p>
    <w:p w14:paraId="5836A381" w14:textId="38F01B1E" w:rsidR="006B3A18" w:rsidRDefault="006B3A18" w:rsidP="006B3A18">
      <w:pPr>
        <w:pStyle w:val="base-text-paragraph"/>
      </w:pPr>
      <w:r>
        <w:t xml:space="preserve">If </w:t>
      </w:r>
      <w:r w:rsidR="00B31B69">
        <w:rPr>
          <w:lang w:val="en-US" w:eastAsia="en-US"/>
        </w:rPr>
        <w:t>the Board of ISA</w:t>
      </w:r>
      <w:r w:rsidR="00B31B69" w:rsidDel="00B31B69">
        <w:t xml:space="preserve"> </w:t>
      </w:r>
      <w:r>
        <w:t xml:space="preserve">makes a finding specific to an </w:t>
      </w:r>
      <w:r w:rsidR="006070DB">
        <w:t>R&amp;D entit</w:t>
      </w:r>
      <w:r>
        <w:t xml:space="preserve">y it must be consistent with any relevant </w:t>
      </w:r>
      <w:r w:rsidR="00CB7266">
        <w:t>determination</w:t>
      </w:r>
      <w:r w:rsidR="002973DD">
        <w:t>s</w:t>
      </w:r>
      <w:r>
        <w:t xml:space="preserve">. An </w:t>
      </w:r>
      <w:r w:rsidR="006070DB">
        <w:t>R&amp;D entit</w:t>
      </w:r>
      <w:r>
        <w:t xml:space="preserve">y may still challenge a specific finding under Division 5 of the </w:t>
      </w:r>
      <w:r w:rsidR="00BE6307">
        <w:t>IR&amp;D Act</w:t>
      </w:r>
      <w:r>
        <w:t xml:space="preserve"> on the basis that the finding is incorrect and the underlying </w:t>
      </w:r>
      <w:r w:rsidR="00CB7266">
        <w:t>determination</w:t>
      </w:r>
      <w:r>
        <w:t xml:space="preserve"> is similarly incorrect. An </w:t>
      </w:r>
      <w:r w:rsidR="006070DB">
        <w:t>R&amp;D entit</w:t>
      </w:r>
      <w:r>
        <w:t>y may also challenge a finding on the basis that it is inconsistent with a</w:t>
      </w:r>
      <w:r w:rsidR="002973DD">
        <w:t xml:space="preserve"> </w:t>
      </w:r>
      <w:r w:rsidR="00CB7266">
        <w:t>determination</w:t>
      </w:r>
      <w:r>
        <w:t xml:space="preserve">. </w:t>
      </w:r>
    </w:p>
    <w:p w14:paraId="432B73B7" w14:textId="76AFBBBD" w:rsidR="006B3A18" w:rsidRDefault="006B3A18" w:rsidP="006B3A18">
      <w:pPr>
        <w:pStyle w:val="base-text-paragraph"/>
      </w:pPr>
      <w:r>
        <w:t xml:space="preserve">In the event </w:t>
      </w:r>
      <w:r w:rsidR="00AB543B">
        <w:t xml:space="preserve">that </w:t>
      </w:r>
      <w:r>
        <w:t xml:space="preserve">a </w:t>
      </w:r>
      <w:r w:rsidR="00CB7266">
        <w:t>determination</w:t>
      </w:r>
      <w:r w:rsidR="00DF0B31">
        <w:t xml:space="preserve"> </w:t>
      </w:r>
      <w:r>
        <w:t xml:space="preserve">is found to be incorrect in a review decision or must be regarded as incorrect following a review decision, the </w:t>
      </w:r>
      <w:r w:rsidR="00B31B69">
        <w:t>Board of the ISA</w:t>
      </w:r>
      <w:r>
        <w:t xml:space="preserve"> must </w:t>
      </w:r>
      <w:r w:rsidR="00DF0B31">
        <w:t>revoke</w:t>
      </w:r>
      <w:r>
        <w:t xml:space="preserve"> or </w:t>
      </w:r>
      <w:r w:rsidR="00DF0B31">
        <w:t>amend</w:t>
      </w:r>
      <w:r>
        <w:t xml:space="preserve"> the </w:t>
      </w:r>
      <w:r w:rsidR="00CB7266">
        <w:t>determination</w:t>
      </w:r>
      <w:r>
        <w:t xml:space="preserve"> </w:t>
      </w:r>
      <w:r w:rsidR="00897720">
        <w:t>so it is no longer incorrect</w:t>
      </w:r>
      <w:r>
        <w:t xml:space="preserve">. </w:t>
      </w:r>
      <w:r>
        <w:rPr>
          <w:rStyle w:val="Referencingstyle"/>
        </w:rPr>
        <w:t xml:space="preserve">[Exposure Draft, Schedule 3, item </w:t>
      </w:r>
      <w:r w:rsidR="008C1248">
        <w:rPr>
          <w:rStyle w:val="Referencingstyle"/>
        </w:rPr>
        <w:t>14</w:t>
      </w:r>
      <w:r>
        <w:rPr>
          <w:rStyle w:val="Referencingstyle"/>
        </w:rPr>
        <w:t xml:space="preserve">, </w:t>
      </w:r>
      <w:r w:rsidR="00DF0B31">
        <w:rPr>
          <w:rStyle w:val="Referencingstyle"/>
        </w:rPr>
        <w:t xml:space="preserve">paragraph 31E(1)(a) and </w:t>
      </w:r>
      <w:r>
        <w:rPr>
          <w:rStyle w:val="Referencingstyle"/>
        </w:rPr>
        <w:t>s</w:t>
      </w:r>
      <w:r w:rsidR="00DF0B31">
        <w:rPr>
          <w:rStyle w:val="Referencingstyle"/>
        </w:rPr>
        <w:t>ubs</w:t>
      </w:r>
      <w:r>
        <w:rPr>
          <w:rStyle w:val="Referencingstyle"/>
        </w:rPr>
        <w:t>ection 31E</w:t>
      </w:r>
      <w:r w:rsidR="00DF0B31">
        <w:rPr>
          <w:rStyle w:val="Referencingstyle"/>
        </w:rPr>
        <w:t>(2)</w:t>
      </w:r>
      <w:r>
        <w:rPr>
          <w:rStyle w:val="Referencingstyle"/>
        </w:rPr>
        <w:t xml:space="preserve"> of the </w:t>
      </w:r>
      <w:r w:rsidR="00BE6307">
        <w:rPr>
          <w:rStyle w:val="Referencingstyle"/>
        </w:rPr>
        <w:t>IR&amp;D Act</w:t>
      </w:r>
      <w:r>
        <w:rPr>
          <w:rStyle w:val="Referencingstyle"/>
        </w:rPr>
        <w:t>]</w:t>
      </w:r>
    </w:p>
    <w:p w14:paraId="09B711BF" w14:textId="09AEFA78" w:rsidR="00BF75FE" w:rsidRPr="00D462B0" w:rsidRDefault="00407E9C" w:rsidP="000D7FE5">
      <w:pPr>
        <w:pStyle w:val="base-text-paragraph"/>
        <w:rPr>
          <w:rStyle w:val="Referencingstyle"/>
          <w:b w:val="0"/>
          <w:i w:val="0"/>
          <w:sz w:val="22"/>
        </w:rPr>
      </w:pPr>
      <w:r>
        <w:t>T</w:t>
      </w:r>
      <w:r w:rsidRPr="00407E9C">
        <w:t xml:space="preserve">he Administrative Appeals Tribunal </w:t>
      </w:r>
      <w:r>
        <w:t xml:space="preserve">may </w:t>
      </w:r>
      <w:r w:rsidR="00BF75FE">
        <w:t xml:space="preserve">review an internal review decision of the </w:t>
      </w:r>
      <w:r w:rsidR="00B31B69">
        <w:t>Board of the ISA</w:t>
      </w:r>
      <w:r w:rsidR="00BF75FE">
        <w:t xml:space="preserve">. If a </w:t>
      </w:r>
      <w:r w:rsidR="00CB7266">
        <w:t>determination</w:t>
      </w:r>
      <w:r w:rsidR="00BF75FE">
        <w:t xml:space="preserve"> is inconsistent with a decision of the </w:t>
      </w:r>
      <w:r w:rsidR="00BF75FE" w:rsidRPr="00BF75FE">
        <w:t>Administrative Appeals Tribunal</w:t>
      </w:r>
      <w:r w:rsidR="00597376">
        <w:t xml:space="preserve">, </w:t>
      </w:r>
      <w:r w:rsidR="00BF75FE">
        <w:t xml:space="preserve">the </w:t>
      </w:r>
      <w:r w:rsidR="00B31B69">
        <w:t>Board of the ISA</w:t>
      </w:r>
      <w:r w:rsidR="00BF75FE">
        <w:t xml:space="preserve"> must revoke or </w:t>
      </w:r>
      <w:r w:rsidR="00CD337F">
        <w:t xml:space="preserve">amend the </w:t>
      </w:r>
      <w:r w:rsidR="00CB7266">
        <w:t>determination</w:t>
      </w:r>
      <w:r w:rsidR="00CD337F">
        <w:t xml:space="preserve"> so it </w:t>
      </w:r>
      <w:r w:rsidR="00033FF0">
        <w:t xml:space="preserve">is </w:t>
      </w:r>
      <w:r w:rsidR="00CD337F">
        <w:t xml:space="preserve">no longer inconsistent. </w:t>
      </w:r>
      <w:r w:rsidR="00CD337F" w:rsidRPr="0095181F">
        <w:rPr>
          <w:rStyle w:val="Referencingstyle"/>
        </w:rPr>
        <w:t xml:space="preserve">[Exposure Draft, Schedule 3, item </w:t>
      </w:r>
      <w:r w:rsidR="008C1248">
        <w:rPr>
          <w:rStyle w:val="Referencingstyle"/>
        </w:rPr>
        <w:t>14</w:t>
      </w:r>
      <w:r w:rsidR="00CD337F" w:rsidRPr="0095181F">
        <w:rPr>
          <w:rStyle w:val="Referencingstyle"/>
        </w:rPr>
        <w:t xml:space="preserve">, subparagraph 31E(1)(b)(ii) and subsection 31E(2) of the </w:t>
      </w:r>
      <w:r w:rsidR="00BE6307">
        <w:rPr>
          <w:rStyle w:val="Referencingstyle"/>
        </w:rPr>
        <w:t>IR&amp;D Act</w:t>
      </w:r>
      <w:r w:rsidR="00CD337F" w:rsidRPr="0095181F">
        <w:rPr>
          <w:rStyle w:val="Referencingstyle"/>
        </w:rPr>
        <w:t>]</w:t>
      </w:r>
    </w:p>
    <w:p w14:paraId="38C4AD05" w14:textId="58720AFD" w:rsidR="00D462B0" w:rsidRDefault="00D462B0" w:rsidP="000D7FE5">
      <w:pPr>
        <w:pStyle w:val="base-text-paragraph"/>
      </w:pPr>
      <w:bookmarkStart w:id="20" w:name="_Ref516392091"/>
      <w:r>
        <w:t>T</w:t>
      </w:r>
      <w:r w:rsidRPr="00D462B0">
        <w:t xml:space="preserve">he </w:t>
      </w:r>
      <w:r w:rsidR="00B31B69">
        <w:t>Board of the ISA</w:t>
      </w:r>
      <w:r w:rsidRPr="00D462B0">
        <w:t xml:space="preserve"> must </w:t>
      </w:r>
      <w:r>
        <w:t xml:space="preserve">also </w:t>
      </w:r>
      <w:r w:rsidRPr="00D462B0">
        <w:t xml:space="preserve">revoke or </w:t>
      </w:r>
      <w:r>
        <w:t xml:space="preserve">amend a </w:t>
      </w:r>
      <w:r w:rsidR="00CB7266">
        <w:t>determination</w:t>
      </w:r>
      <w:r w:rsidRPr="00D462B0">
        <w:t xml:space="preserve"> </w:t>
      </w:r>
      <w:r>
        <w:t xml:space="preserve">that </w:t>
      </w:r>
      <w:r w:rsidRPr="00D462B0">
        <w:t xml:space="preserve">is inconsistent with a decision of </w:t>
      </w:r>
      <w:r>
        <w:t xml:space="preserve">a court. </w:t>
      </w:r>
      <w:r w:rsidRPr="0095181F">
        <w:rPr>
          <w:rStyle w:val="Referencingstyle"/>
        </w:rPr>
        <w:t>[Exposure Draft, Schedule 3, item</w:t>
      </w:r>
      <w:r w:rsidR="001766FD">
        <w:rPr>
          <w:rStyle w:val="Referencingstyle"/>
        </w:rPr>
        <w:t> </w:t>
      </w:r>
      <w:r w:rsidR="008C1248">
        <w:rPr>
          <w:rStyle w:val="Referencingstyle"/>
        </w:rPr>
        <w:t>14</w:t>
      </w:r>
      <w:r w:rsidRPr="0095181F">
        <w:rPr>
          <w:rStyle w:val="Referencingstyle"/>
        </w:rPr>
        <w:t xml:space="preserve">, </w:t>
      </w:r>
      <w:r w:rsidRPr="004C37F3">
        <w:rPr>
          <w:rStyle w:val="Referencingstyle"/>
        </w:rPr>
        <w:t>subparagraph 31E(1)(b)(</w:t>
      </w:r>
      <w:proofErr w:type="spellStart"/>
      <w:r w:rsidRPr="004C37F3">
        <w:rPr>
          <w:rStyle w:val="Referencingstyle"/>
        </w:rPr>
        <w:t>i</w:t>
      </w:r>
      <w:proofErr w:type="spellEnd"/>
      <w:r w:rsidRPr="0095181F">
        <w:rPr>
          <w:rStyle w:val="Referencingstyle"/>
        </w:rPr>
        <w:t xml:space="preserve">) and subsection 31E(2) of the </w:t>
      </w:r>
      <w:r w:rsidR="00BE6307">
        <w:rPr>
          <w:rStyle w:val="Referencingstyle"/>
        </w:rPr>
        <w:t>IR&amp;D Act</w:t>
      </w:r>
      <w:r w:rsidRPr="0095181F">
        <w:rPr>
          <w:rStyle w:val="Referencingstyle"/>
        </w:rPr>
        <w:t>]</w:t>
      </w:r>
      <w:bookmarkEnd w:id="20"/>
    </w:p>
    <w:p w14:paraId="0542D038" w14:textId="2A1C7064" w:rsidR="000D7FE5" w:rsidRDefault="003B1498" w:rsidP="000D7FE5">
      <w:pPr>
        <w:pStyle w:val="Heading3"/>
      </w:pPr>
      <w:r>
        <w:t>Board of ISA</w:t>
      </w:r>
      <w:r w:rsidR="00B31B69">
        <w:t xml:space="preserve"> </w:t>
      </w:r>
      <w:r w:rsidR="000D7FE5">
        <w:t>delegations</w:t>
      </w:r>
    </w:p>
    <w:p w14:paraId="6F3A9532" w14:textId="33AB16D9" w:rsidR="000D7FE5" w:rsidRPr="00E15AB4" w:rsidRDefault="000D7FE5" w:rsidP="000D7FE5">
      <w:pPr>
        <w:pStyle w:val="base-text-paragraph"/>
        <w:rPr>
          <w:rStyle w:val="Referencingstyle"/>
          <w:b w:val="0"/>
          <w:i w:val="0"/>
          <w:sz w:val="22"/>
        </w:rPr>
      </w:pPr>
      <w:r>
        <w:t xml:space="preserve">The </w:t>
      </w:r>
      <w:r w:rsidR="003B1498">
        <w:t>Board of ISA</w:t>
      </w:r>
      <w:r>
        <w:t xml:space="preserve"> and its committees may delegate </w:t>
      </w:r>
      <w:r w:rsidR="003B1498">
        <w:t xml:space="preserve">some or </w:t>
      </w:r>
      <w:r>
        <w:t xml:space="preserve">all of </w:t>
      </w:r>
      <w:r w:rsidR="003B1498">
        <w:t xml:space="preserve">their </w:t>
      </w:r>
      <w:r>
        <w:t xml:space="preserve">functions to a member of the Australian Public Service staff assisting the Board. This expands the existing delegation power that authorised the Board to delegate to SES employees. </w:t>
      </w:r>
      <w:r>
        <w:rPr>
          <w:rStyle w:val="Referencingstyle"/>
        </w:rPr>
        <w:t xml:space="preserve">[Exposure Draft, </w:t>
      </w:r>
      <w:r w:rsidR="00633FCE">
        <w:rPr>
          <w:rStyle w:val="Referencingstyle"/>
        </w:rPr>
        <w:t>Schedule 3</w:t>
      </w:r>
      <w:r>
        <w:rPr>
          <w:rStyle w:val="Referencingstyle"/>
        </w:rPr>
        <w:t xml:space="preserve">, items </w:t>
      </w:r>
      <w:r w:rsidR="008C1248">
        <w:rPr>
          <w:rStyle w:val="Referencingstyle"/>
        </w:rPr>
        <w:t>16 and 17</w:t>
      </w:r>
      <w:r>
        <w:rPr>
          <w:rStyle w:val="Referencingstyle"/>
        </w:rPr>
        <w:t>, subsection 22A(1) and paragraph 21(1)(</w:t>
      </w:r>
      <w:r w:rsidR="00973EF4">
        <w:rPr>
          <w:rStyle w:val="Referencingstyle"/>
        </w:rPr>
        <w:t>e</w:t>
      </w:r>
      <w:r>
        <w:rPr>
          <w:rStyle w:val="Referencingstyle"/>
        </w:rPr>
        <w:t xml:space="preserve">) of the </w:t>
      </w:r>
      <w:r w:rsidR="00BE6307">
        <w:rPr>
          <w:rStyle w:val="Referencingstyle"/>
        </w:rPr>
        <w:t>IR&amp;D Act</w:t>
      </w:r>
      <w:r>
        <w:rPr>
          <w:rStyle w:val="Referencingstyle"/>
        </w:rPr>
        <w:t>]</w:t>
      </w:r>
    </w:p>
    <w:p w14:paraId="477CEB8C" w14:textId="30F3FD6B" w:rsidR="00250C8E" w:rsidRDefault="007321CC" w:rsidP="00250C8E">
      <w:pPr>
        <w:pStyle w:val="base-text-paragraph"/>
      </w:pPr>
      <w:r>
        <w:t>The current limit on the</w:t>
      </w:r>
      <w:r w:rsidR="00250C8E">
        <w:t xml:space="preserve"> delegation power</w:t>
      </w:r>
      <w:r>
        <w:t xml:space="preserve"> has proved to be impractical and a significant barrier to the Board of ISA</w:t>
      </w:r>
      <w:r w:rsidR="00250C8E">
        <w:t xml:space="preserve"> carry</w:t>
      </w:r>
      <w:r>
        <w:t>ing</w:t>
      </w:r>
      <w:r w:rsidR="00250C8E">
        <w:t xml:space="preserve"> out </w:t>
      </w:r>
      <w:r>
        <w:t>its</w:t>
      </w:r>
      <w:r w:rsidR="00250C8E">
        <w:t xml:space="preserve"> functions necessary to the operation of the Incentive. These functions include the annual processing of around 14,000 registration applications as well as hundreds of compliance activities. It is unsustainable and impractical for a small number of SES delegates to be responsible for this volume of decision making.</w:t>
      </w:r>
    </w:p>
    <w:p w14:paraId="1E654708" w14:textId="22E774E8" w:rsidR="00250C8E" w:rsidRDefault="00250C8E" w:rsidP="00250C8E">
      <w:pPr>
        <w:pStyle w:val="base-text-paragraph"/>
      </w:pPr>
      <w:r>
        <w:t xml:space="preserve">The expansion of the delegations powers allows </w:t>
      </w:r>
      <w:r w:rsidR="007321CC">
        <w:t>additional</w:t>
      </w:r>
      <w:r>
        <w:t xml:space="preserve"> staff to be delegated responsibility for a number of administrative program tasks. This includes</w:t>
      </w:r>
      <w:r w:rsidR="007321CC">
        <w:t>,</w:t>
      </w:r>
      <w:r>
        <w:t xml:space="preserve"> but is not limited to</w:t>
      </w:r>
      <w:r w:rsidR="007321CC">
        <w:t>,</w:t>
      </w:r>
      <w:r>
        <w:t xml:space="preserve"> high-volume, low-risk functions such as the approval to grant an extension of time to submit applications, or the ability to request information on an application. </w:t>
      </w:r>
      <w:r w:rsidR="007321CC">
        <w:t>Prior to the introduction of the current SES limit,</w:t>
      </w:r>
      <w:r>
        <w:t xml:space="preserve"> </w:t>
      </w:r>
      <w:r w:rsidR="007321CC">
        <w:t>a broader delegation power was used</w:t>
      </w:r>
      <w:r>
        <w:t xml:space="preserve"> effectively and efficiently on a long-standing basis. </w:t>
      </w:r>
    </w:p>
    <w:p w14:paraId="2E62CA56" w14:textId="158A0447" w:rsidR="00250C8E" w:rsidRDefault="00250C8E" w:rsidP="00250C8E">
      <w:pPr>
        <w:pStyle w:val="base-text-paragraph"/>
      </w:pPr>
      <w:r>
        <w:t xml:space="preserve">The expansion of the delegations powers also acknowledges the continual growth in the size of the </w:t>
      </w:r>
      <w:r w:rsidR="007321CC">
        <w:t>Incentive</w:t>
      </w:r>
      <w:r>
        <w:t xml:space="preserve"> and the consequent growth in resourcing needed to carry out the functions necessary </w:t>
      </w:r>
      <w:r w:rsidR="007321CC">
        <w:t>for the Incentive’s effective administration</w:t>
      </w:r>
      <w:r>
        <w:t>.</w:t>
      </w:r>
    </w:p>
    <w:p w14:paraId="3D1C90F7" w14:textId="77777777" w:rsidR="000D7FE5" w:rsidRDefault="000D7FE5" w:rsidP="000D7FE5">
      <w:pPr>
        <w:pStyle w:val="Heading3"/>
      </w:pPr>
      <w:r>
        <w:t>Extensions of time</w:t>
      </w:r>
    </w:p>
    <w:p w14:paraId="6F294900" w14:textId="029DDAE3" w:rsidR="00C810E6" w:rsidRDefault="00C810E6" w:rsidP="00C810E6">
      <w:pPr>
        <w:pStyle w:val="base-text-paragraph"/>
        <w:numPr>
          <w:ilvl w:val="1"/>
          <w:numId w:val="4"/>
        </w:numPr>
      </w:pPr>
      <w:r>
        <w:t xml:space="preserve">Extensions of time granted under the </w:t>
      </w:r>
      <w:r w:rsidR="00BE6307">
        <w:t>IR&amp;D Act</w:t>
      </w:r>
      <w:r>
        <w:t xml:space="preserve"> may relate to </w:t>
      </w:r>
      <w:r w:rsidRPr="00050CDE">
        <w:t xml:space="preserve">an application to register R&amp;D activities, provide further information requested by the </w:t>
      </w:r>
      <w:r w:rsidR="00B31B69">
        <w:t>Board of the ISA</w:t>
      </w:r>
      <w:r w:rsidRPr="00050CDE">
        <w:t>, a form to continue registration as a research service provider or an application for review of a reviewable decision</w:t>
      </w:r>
      <w:r>
        <w:t xml:space="preserve">. An extension will apply on top of the time limits </w:t>
      </w:r>
      <w:r w:rsidRPr="003F5F25">
        <w:t xml:space="preserve">in the </w:t>
      </w:r>
      <w:r w:rsidR="00BE6307">
        <w:t>IR&amp;D Act</w:t>
      </w:r>
      <w:r>
        <w:t xml:space="preserve">. </w:t>
      </w:r>
    </w:p>
    <w:p w14:paraId="0BF22841" w14:textId="4CCB7D3F" w:rsidR="000D7FE5" w:rsidRDefault="000D7FE5" w:rsidP="000D7FE5">
      <w:pPr>
        <w:pStyle w:val="base-text-paragraph"/>
      </w:pPr>
      <w:r>
        <w:t xml:space="preserve">The </w:t>
      </w:r>
      <w:r w:rsidR="00B31B69">
        <w:t>Board of the ISA</w:t>
      </w:r>
      <w:r>
        <w:t xml:space="preserve"> must not grant extensions of time under the </w:t>
      </w:r>
      <w:r w:rsidR="00BE6307">
        <w:t>IR&amp;D Act</w:t>
      </w:r>
      <w:r>
        <w:t xml:space="preserve"> to a person in excess of three months. </w:t>
      </w:r>
      <w:r w:rsidRPr="0050574B">
        <w:rPr>
          <w:rStyle w:val="Referencingstyle"/>
        </w:rPr>
        <w:t>[</w:t>
      </w:r>
      <w:r>
        <w:rPr>
          <w:rStyle w:val="Referencingstyle"/>
        </w:rPr>
        <w:t xml:space="preserve">Exposure Draft, </w:t>
      </w:r>
      <w:r w:rsidRPr="0050574B">
        <w:rPr>
          <w:rStyle w:val="Referencingstyle"/>
        </w:rPr>
        <w:t xml:space="preserve">Schedule </w:t>
      </w:r>
      <w:r w:rsidR="00281074">
        <w:rPr>
          <w:rStyle w:val="Referencingstyle"/>
        </w:rPr>
        <w:t>3</w:t>
      </w:r>
      <w:r w:rsidRPr="0050574B">
        <w:rPr>
          <w:rStyle w:val="Referencingstyle"/>
        </w:rPr>
        <w:t>, item</w:t>
      </w:r>
      <w:r w:rsidR="008C1248">
        <w:rPr>
          <w:rStyle w:val="Referencingstyle"/>
        </w:rPr>
        <w:t> </w:t>
      </w:r>
      <w:r>
        <w:rPr>
          <w:rStyle w:val="Referencingstyle"/>
        </w:rPr>
        <w:t>1</w:t>
      </w:r>
      <w:r w:rsidR="008C1248">
        <w:rPr>
          <w:rStyle w:val="Referencingstyle"/>
        </w:rPr>
        <w:t>8</w:t>
      </w:r>
      <w:r w:rsidRPr="0050574B">
        <w:rPr>
          <w:rStyle w:val="Referencingstyle"/>
        </w:rPr>
        <w:t>, s</w:t>
      </w:r>
      <w:r>
        <w:rPr>
          <w:rStyle w:val="Referencingstyle"/>
        </w:rPr>
        <w:t>ubs</w:t>
      </w:r>
      <w:r w:rsidRPr="0050574B">
        <w:rPr>
          <w:rStyle w:val="Referencingstyle"/>
        </w:rPr>
        <w:t xml:space="preserve">ection </w:t>
      </w:r>
      <w:r>
        <w:rPr>
          <w:rStyle w:val="Referencingstyle"/>
        </w:rPr>
        <w:t xml:space="preserve">3.2(3) </w:t>
      </w:r>
      <w:r w:rsidRPr="0050574B">
        <w:rPr>
          <w:rStyle w:val="Referencingstyle"/>
        </w:rPr>
        <w:t xml:space="preserve">of </w:t>
      </w:r>
      <w:r w:rsidRPr="0050574B">
        <w:rPr>
          <w:b/>
          <w:i/>
          <w:sz w:val="18"/>
        </w:rPr>
        <w:t xml:space="preserve">the </w:t>
      </w:r>
      <w:r w:rsidR="004D0876">
        <w:rPr>
          <w:b/>
          <w:i/>
          <w:sz w:val="18"/>
        </w:rPr>
        <w:t>Decision-making Principles</w:t>
      </w:r>
      <w:r>
        <w:rPr>
          <w:b/>
          <w:i/>
          <w:sz w:val="18"/>
        </w:rPr>
        <w:t>]</w:t>
      </w:r>
    </w:p>
    <w:p w14:paraId="40265D64" w14:textId="0DFAB956" w:rsidR="00C810E6" w:rsidRDefault="00C810E6" w:rsidP="00C810E6">
      <w:pPr>
        <w:pStyle w:val="base-text-paragraph"/>
      </w:pPr>
      <w:r>
        <w:t xml:space="preserve">Restricting extensions to three months mitigates the risk that long extensions granted by the </w:t>
      </w:r>
      <w:r w:rsidR="00B31B69">
        <w:t>Board of the ISA</w:t>
      </w:r>
      <w:r>
        <w:t xml:space="preserve"> result in applications being accepted a number of years after the relevant R&amp;D activities are undertaken. Such timeframes are </w:t>
      </w:r>
      <w:r w:rsidRPr="00B65027">
        <w:t xml:space="preserve">inconsistent with the </w:t>
      </w:r>
      <w:r w:rsidR="00597376">
        <w:t>objectives</w:t>
      </w:r>
      <w:r w:rsidR="00597376" w:rsidRPr="00B65027">
        <w:t xml:space="preserve"> </w:t>
      </w:r>
      <w:r w:rsidRPr="00B65027">
        <w:t>of the Incentive as expenditure that occurs without a business being aware of the Incentive would have occurred in the absence of the Incentive being available</w:t>
      </w:r>
      <w:r>
        <w:t xml:space="preserve">. </w:t>
      </w:r>
    </w:p>
    <w:p w14:paraId="33A74EE7" w14:textId="27B1FB15" w:rsidR="00D7439F" w:rsidRDefault="00D7439F" w:rsidP="00C076D6">
      <w:pPr>
        <w:pStyle w:val="Heading4"/>
      </w:pPr>
      <w:r>
        <w:t>Further extensions for pending decisions</w:t>
      </w:r>
    </w:p>
    <w:p w14:paraId="63FEF4E4" w14:textId="323366D7" w:rsidR="000D7FE5" w:rsidRDefault="00C810E6" w:rsidP="000D7FE5">
      <w:pPr>
        <w:pStyle w:val="base-text-paragraph"/>
      </w:pPr>
      <w:r>
        <w:t>T</w:t>
      </w:r>
      <w:r w:rsidR="000D7FE5">
        <w:t xml:space="preserve">his restriction does not apply if the subject matter of the extension relates to a pending decision on another matter. That is, the restriction does not apply if the extension relates to a matter corresponding with the subject of a decision relating to the person where that decision has not been finalised. </w:t>
      </w:r>
      <w:r w:rsidR="000D7FE5" w:rsidRPr="0050574B">
        <w:rPr>
          <w:rStyle w:val="Referencingstyle"/>
        </w:rPr>
        <w:t>[</w:t>
      </w:r>
      <w:r w:rsidR="000D7FE5">
        <w:rPr>
          <w:rStyle w:val="Referencingstyle"/>
        </w:rPr>
        <w:t xml:space="preserve">Exposure Draft, </w:t>
      </w:r>
      <w:r w:rsidR="000D7FE5" w:rsidRPr="0050574B">
        <w:rPr>
          <w:rStyle w:val="Referencingstyle"/>
        </w:rPr>
        <w:t xml:space="preserve">Schedule </w:t>
      </w:r>
      <w:r w:rsidR="00281074">
        <w:rPr>
          <w:rStyle w:val="Referencingstyle"/>
        </w:rPr>
        <w:t>3</w:t>
      </w:r>
      <w:r w:rsidR="000D7FE5" w:rsidRPr="0050574B">
        <w:rPr>
          <w:rStyle w:val="Referencingstyle"/>
        </w:rPr>
        <w:t xml:space="preserve">, item </w:t>
      </w:r>
      <w:r w:rsidR="000D7FE5">
        <w:rPr>
          <w:rStyle w:val="Referencingstyle"/>
        </w:rPr>
        <w:t>1</w:t>
      </w:r>
      <w:r w:rsidR="008C1248">
        <w:rPr>
          <w:rStyle w:val="Referencingstyle"/>
        </w:rPr>
        <w:t>8</w:t>
      </w:r>
      <w:r w:rsidR="000D7FE5" w:rsidRPr="0050574B">
        <w:rPr>
          <w:rStyle w:val="Referencingstyle"/>
        </w:rPr>
        <w:t>, s</w:t>
      </w:r>
      <w:r w:rsidR="000D7FE5">
        <w:rPr>
          <w:rStyle w:val="Referencingstyle"/>
        </w:rPr>
        <w:t>ubs</w:t>
      </w:r>
      <w:r w:rsidR="000D7FE5" w:rsidRPr="0050574B">
        <w:rPr>
          <w:rStyle w:val="Referencingstyle"/>
        </w:rPr>
        <w:t xml:space="preserve">ection </w:t>
      </w:r>
      <w:r w:rsidR="000D7FE5">
        <w:rPr>
          <w:rStyle w:val="Referencingstyle"/>
        </w:rPr>
        <w:t xml:space="preserve">3.2(4) </w:t>
      </w:r>
      <w:r w:rsidR="000D7FE5" w:rsidRPr="0050574B">
        <w:rPr>
          <w:rStyle w:val="Referencingstyle"/>
        </w:rPr>
        <w:t xml:space="preserve">of </w:t>
      </w:r>
      <w:r w:rsidR="000D7FE5" w:rsidRPr="0050574B">
        <w:rPr>
          <w:b/>
          <w:i/>
          <w:sz w:val="18"/>
        </w:rPr>
        <w:t xml:space="preserve">the </w:t>
      </w:r>
      <w:r w:rsidR="004D0876">
        <w:rPr>
          <w:b/>
          <w:i/>
          <w:sz w:val="18"/>
        </w:rPr>
        <w:t>Decision-making Principles</w:t>
      </w:r>
      <w:r w:rsidR="000D7FE5">
        <w:rPr>
          <w:b/>
          <w:i/>
          <w:sz w:val="18"/>
        </w:rPr>
        <w:t>]</w:t>
      </w:r>
      <w:r w:rsidR="000D7FE5">
        <w:rPr>
          <w:rStyle w:val="Referencingstyle"/>
        </w:rPr>
        <w:t xml:space="preserve"> </w:t>
      </w:r>
    </w:p>
    <w:p w14:paraId="71FA2746" w14:textId="68D4C5C1" w:rsidR="00D7439F" w:rsidRDefault="000D7FE5" w:rsidP="000D7FE5">
      <w:pPr>
        <w:pStyle w:val="base-text-paragraph"/>
      </w:pPr>
      <w:r>
        <w:t xml:space="preserve">This allows the </w:t>
      </w:r>
      <w:r w:rsidR="00B31B69">
        <w:t>Board of the ISA</w:t>
      </w:r>
      <w:r>
        <w:t xml:space="preserve"> to grant an extension in excess of three months where this is necessary to provide a deadline</w:t>
      </w:r>
      <w:r w:rsidRPr="00FF3756">
        <w:t xml:space="preserve"> </w:t>
      </w:r>
      <w:r>
        <w:t xml:space="preserve">due </w:t>
      </w:r>
      <w:r w:rsidRPr="00FF3756">
        <w:t>after the pending decision is made</w:t>
      </w:r>
      <w:r w:rsidR="00E06ED2">
        <w:t xml:space="preserve"> in relation to decisions of the Board of ISA under Division 2, 3 or 5 of Part III of the IR&amp;D Act. </w:t>
      </w:r>
      <w:r>
        <w:t xml:space="preserve">This facilitates more administratively efficient outcomes. </w:t>
      </w:r>
    </w:p>
    <w:p w14:paraId="24F5C33F" w14:textId="77777777" w:rsidR="00D7439F" w:rsidRDefault="00D7439F" w:rsidP="00C076D6">
      <w:pPr>
        <w:pStyle w:val="ExampleHeading"/>
      </w:pPr>
    </w:p>
    <w:p w14:paraId="5E1EDD6C" w14:textId="45B35BD3" w:rsidR="000A78FD" w:rsidRDefault="00861AA0" w:rsidP="00C076D6">
      <w:pPr>
        <w:pStyle w:val="exampletext"/>
      </w:pPr>
      <w:r w:rsidRPr="00861AA0">
        <w:t>Doppler Dynamics</w:t>
      </w:r>
      <w:r w:rsidR="000D7FE5" w:rsidRPr="0036301E">
        <w:t xml:space="preserve"> seeks a review of an unfavourable registration decision in relation to </w:t>
      </w:r>
      <w:r w:rsidR="00D7439F">
        <w:t>the 2018-19</w:t>
      </w:r>
      <w:r w:rsidR="00D7439F" w:rsidRPr="0036301E">
        <w:t xml:space="preserve"> </w:t>
      </w:r>
      <w:r w:rsidR="000D7FE5" w:rsidRPr="0036301E">
        <w:t xml:space="preserve">income year. The review (including appeals) </w:t>
      </w:r>
      <w:r w:rsidR="000A78FD">
        <w:t>is finalised in May 2021</w:t>
      </w:r>
      <w:r w:rsidR="000D7FE5" w:rsidRPr="0036301E">
        <w:t xml:space="preserve">. </w:t>
      </w:r>
    </w:p>
    <w:p w14:paraId="462675CF" w14:textId="0CD677E9" w:rsidR="000A78FD" w:rsidRDefault="000D7FE5" w:rsidP="00C076D6">
      <w:pPr>
        <w:pStyle w:val="exampletext"/>
      </w:pPr>
      <w:r w:rsidRPr="0036301E">
        <w:t xml:space="preserve">During the course of the review, </w:t>
      </w:r>
      <w:r w:rsidR="00861AA0" w:rsidRPr="00861AA0">
        <w:t>Doppler Dynamics</w:t>
      </w:r>
      <w:r w:rsidRPr="0036301E">
        <w:t xml:space="preserve"> needs to consider applying for registration in subsequent years for the same ongoing activities subject to the review. It </w:t>
      </w:r>
      <w:r>
        <w:t xml:space="preserve">would not be efficient </w:t>
      </w:r>
      <w:r w:rsidRPr="0036301E">
        <w:t xml:space="preserve">for </w:t>
      </w:r>
      <w:r w:rsidR="000A78FD">
        <w:t>it</w:t>
      </w:r>
      <w:r w:rsidRPr="0036301E">
        <w:t xml:space="preserve"> to lodge applications that may need to be varied or that may lead to decisions that </w:t>
      </w:r>
      <w:r w:rsidR="000A78FD">
        <w:t>need to</w:t>
      </w:r>
      <w:r w:rsidR="00B31B69">
        <w:t xml:space="preserve"> be</w:t>
      </w:r>
      <w:r w:rsidRPr="0036301E">
        <w:t xml:space="preserve"> set aside following the outcome of the review. </w:t>
      </w:r>
    </w:p>
    <w:p w14:paraId="260585B2" w14:textId="0EC652AB" w:rsidR="000D7FE5" w:rsidRPr="008A5A52" w:rsidRDefault="000D7FE5" w:rsidP="00C076D6">
      <w:pPr>
        <w:pStyle w:val="exampletext"/>
      </w:pPr>
      <w:r w:rsidRPr="0036301E">
        <w:t>In these circumstances, it is reasonable for</w:t>
      </w:r>
      <w:r>
        <w:t xml:space="preserve"> the</w:t>
      </w:r>
      <w:r w:rsidRPr="0036301E">
        <w:t xml:space="preserve"> </w:t>
      </w:r>
      <w:r w:rsidR="00B31B69">
        <w:t>Board of the ISA</w:t>
      </w:r>
      <w:r>
        <w:t xml:space="preserve"> to exercise its </w:t>
      </w:r>
      <w:r w:rsidRPr="0036301E">
        <w:t>discretion to grant an extension of time until after the pending decision is made</w:t>
      </w:r>
      <w:r>
        <w:t>.</w:t>
      </w:r>
    </w:p>
    <w:p w14:paraId="125C14D6" w14:textId="77777777" w:rsidR="008044C9" w:rsidRDefault="008044C9" w:rsidP="00B17774">
      <w:pPr>
        <w:pStyle w:val="Heading2"/>
      </w:pPr>
      <w:r>
        <w:t>Consequential amendments</w:t>
      </w:r>
    </w:p>
    <w:p w14:paraId="7A11FF90" w14:textId="6E4D1C4F" w:rsidR="00A73746" w:rsidRPr="00F93BB5" w:rsidRDefault="00A73746" w:rsidP="00F93BB5">
      <w:pPr>
        <w:pStyle w:val="base-text-paragraph"/>
        <w:numPr>
          <w:ilvl w:val="1"/>
          <w:numId w:val="30"/>
        </w:numPr>
        <w:rPr>
          <w:rStyle w:val="Referencingstyle"/>
          <w:b w:val="0"/>
          <w:i w:val="0"/>
          <w:sz w:val="22"/>
        </w:rPr>
      </w:pPr>
      <w:r>
        <w:t xml:space="preserve">A note is amended to explain that the publication of </w:t>
      </w:r>
      <w:r w:rsidR="006070DB">
        <w:t>R&amp;D entit</w:t>
      </w:r>
      <w:r>
        <w:t xml:space="preserve">ies’ R&amp;D tax offset claims is not affected by the taxpayer secrecy provisions. </w:t>
      </w:r>
      <w:r w:rsidRPr="00F27EFB">
        <w:rPr>
          <w:rStyle w:val="Referencingstyle"/>
        </w:rPr>
        <w:t xml:space="preserve">[Exposure Draft, </w:t>
      </w:r>
      <w:r>
        <w:rPr>
          <w:rStyle w:val="Referencingstyle"/>
        </w:rPr>
        <w:t>Schedule 3</w:t>
      </w:r>
      <w:r w:rsidRPr="00F27EFB">
        <w:rPr>
          <w:rStyle w:val="Referencingstyle"/>
        </w:rPr>
        <w:t xml:space="preserve">, item </w:t>
      </w:r>
      <w:r w:rsidR="008C1248">
        <w:rPr>
          <w:rStyle w:val="Referencingstyle"/>
        </w:rPr>
        <w:t>2</w:t>
      </w:r>
      <w:r w:rsidRPr="00F27EFB">
        <w:rPr>
          <w:rStyle w:val="Referencingstyle"/>
        </w:rPr>
        <w:t>, note to section </w:t>
      </w:r>
      <w:r w:rsidR="00292786">
        <w:rPr>
          <w:rStyle w:val="Referencingstyle"/>
        </w:rPr>
        <w:t>355-50 in Schedule 1 to the TAA </w:t>
      </w:r>
      <w:r w:rsidRPr="00F27EFB">
        <w:rPr>
          <w:rStyle w:val="Referencingstyle"/>
        </w:rPr>
        <w:t>1953]</w:t>
      </w:r>
    </w:p>
    <w:p w14:paraId="54B17FFC" w14:textId="07ADD9DD" w:rsidR="00D80645" w:rsidRPr="00B31B69" w:rsidRDefault="00D80645" w:rsidP="00B31B69">
      <w:pPr>
        <w:pStyle w:val="base-text-paragraph"/>
        <w:numPr>
          <w:ilvl w:val="1"/>
          <w:numId w:val="30"/>
        </w:numPr>
        <w:rPr>
          <w:rStyle w:val="Referencingstyle"/>
          <w:b w:val="0"/>
          <w:i w:val="0"/>
          <w:sz w:val="22"/>
        </w:rPr>
      </w:pPr>
      <w:r>
        <w:t xml:space="preserve">The simplified outline of Part III to the </w:t>
      </w:r>
      <w:r w:rsidR="00BE6307">
        <w:t>IR&amp;D Act</w:t>
      </w:r>
      <w:r>
        <w:t xml:space="preserve"> </w:t>
      </w:r>
      <w:r w:rsidR="008C1248">
        <w:t>is</w:t>
      </w:r>
      <w:r>
        <w:t xml:space="preserve"> amended to reflect </w:t>
      </w:r>
      <w:r w:rsidR="00B31B69" w:rsidRPr="00B31B69">
        <w:t>the Board of ISA</w:t>
      </w:r>
      <w:r w:rsidR="008C1248">
        <w:t xml:space="preserve">’s new power to make </w:t>
      </w:r>
      <w:r w:rsidR="00CB7266">
        <w:t>determination</w:t>
      </w:r>
      <w:r w:rsidR="008C1248">
        <w:t xml:space="preserve"> about how it will exercise its powers, and perform its functions and duties</w:t>
      </w:r>
      <w:r>
        <w:t xml:space="preserve">. </w:t>
      </w:r>
      <w:r w:rsidRPr="00EB3155">
        <w:rPr>
          <w:rStyle w:val="Referencingstyle"/>
        </w:rPr>
        <w:t>[Ex</w:t>
      </w:r>
      <w:r>
        <w:rPr>
          <w:rStyle w:val="Referencingstyle"/>
        </w:rPr>
        <w:t>posure Draft, Schedule 3, items </w:t>
      </w:r>
      <w:r w:rsidR="008C1248">
        <w:rPr>
          <w:rStyle w:val="Referencingstyle"/>
        </w:rPr>
        <w:t xml:space="preserve">5, section 26A of the </w:t>
      </w:r>
      <w:r w:rsidR="00BE6307">
        <w:rPr>
          <w:rStyle w:val="Referencingstyle"/>
        </w:rPr>
        <w:t>IR&amp;D Act</w:t>
      </w:r>
      <w:r w:rsidRPr="00EB3155">
        <w:rPr>
          <w:rStyle w:val="Referencingstyle"/>
        </w:rPr>
        <w:t>]</w:t>
      </w:r>
    </w:p>
    <w:p w14:paraId="4E677F8C" w14:textId="636EFEA9" w:rsidR="00D80645" w:rsidRPr="008F726E" w:rsidRDefault="008C1248" w:rsidP="00D80645">
      <w:pPr>
        <w:pStyle w:val="base-text-paragraph"/>
        <w:numPr>
          <w:ilvl w:val="1"/>
          <w:numId w:val="4"/>
        </w:numPr>
      </w:pPr>
      <w:r>
        <w:t xml:space="preserve">Other amendments are made to the </w:t>
      </w:r>
      <w:r w:rsidR="00BE6307">
        <w:t>IR&amp;D Act</w:t>
      </w:r>
      <w:r>
        <w:t xml:space="preserve"> to reflect the introduction of findings about clinical trials (see paragraph </w:t>
      </w:r>
      <w:r>
        <w:fldChar w:fldCharType="begin"/>
      </w:r>
      <w:r>
        <w:instrText xml:space="preserve"> REF _Ref516392854 \r \h </w:instrText>
      </w:r>
      <w:r>
        <w:fldChar w:fldCharType="separate"/>
      </w:r>
      <w:r w:rsidR="00B87BEB">
        <w:t>1.30</w:t>
      </w:r>
      <w:r>
        <w:fldChar w:fldCharType="end"/>
      </w:r>
      <w:r>
        <w:t>).</w:t>
      </w:r>
    </w:p>
    <w:p w14:paraId="70E8980A" w14:textId="32856F03" w:rsidR="008044C9" w:rsidRDefault="008044C9" w:rsidP="00B17774">
      <w:pPr>
        <w:pStyle w:val="Heading2"/>
      </w:pPr>
      <w:r>
        <w:t>Application provisions</w:t>
      </w:r>
    </w:p>
    <w:p w14:paraId="36FA93C2" w14:textId="77777777" w:rsidR="00D80645" w:rsidRPr="00F61EEF" w:rsidRDefault="00D80645" w:rsidP="00D80645">
      <w:pPr>
        <w:pStyle w:val="base-text-paragraph"/>
        <w:numPr>
          <w:ilvl w:val="1"/>
          <w:numId w:val="4"/>
        </w:numPr>
      </w:pPr>
      <w:r w:rsidRPr="00F61EEF">
        <w:t>The amendments commence on the first day of the quarter following Royal Assent.</w:t>
      </w:r>
      <w:r>
        <w:t xml:space="preserve"> </w:t>
      </w:r>
      <w:r>
        <w:rPr>
          <w:rStyle w:val="Referencingstyle"/>
        </w:rPr>
        <w:t>[Exposure Draft, section 2]</w:t>
      </w:r>
    </w:p>
    <w:p w14:paraId="3444B271" w14:textId="342C8FC8" w:rsidR="00D80645" w:rsidRPr="00D80645" w:rsidRDefault="0076035D" w:rsidP="00D80645">
      <w:pPr>
        <w:pStyle w:val="base-text-paragraph"/>
        <w:numPr>
          <w:ilvl w:val="1"/>
          <w:numId w:val="4"/>
        </w:numPr>
        <w:rPr>
          <w:rStyle w:val="Referencingstyle"/>
          <w:b w:val="0"/>
          <w:i w:val="0"/>
          <w:sz w:val="22"/>
        </w:rPr>
      </w:pPr>
      <w:r>
        <w:t xml:space="preserve">The </w:t>
      </w:r>
      <w:r w:rsidR="0095181F">
        <w:t>transparency amendments</w:t>
      </w:r>
      <w:r w:rsidR="00D80645">
        <w:t xml:space="preserve"> apply to income years starting on or after 1 July 2018. </w:t>
      </w:r>
      <w:r w:rsidR="00D80645">
        <w:rPr>
          <w:rStyle w:val="Referencingstyle"/>
        </w:rPr>
        <w:t xml:space="preserve">[Exposure Draft, </w:t>
      </w:r>
      <w:r w:rsidR="00D80645" w:rsidRPr="0012514D">
        <w:rPr>
          <w:rStyle w:val="Referencingstyle"/>
        </w:rPr>
        <w:t xml:space="preserve">Schedule </w:t>
      </w:r>
      <w:r w:rsidR="00D80645">
        <w:rPr>
          <w:rStyle w:val="Referencingstyle"/>
        </w:rPr>
        <w:t>3</w:t>
      </w:r>
      <w:r w:rsidR="00D80645" w:rsidRPr="0012514D">
        <w:rPr>
          <w:rStyle w:val="Referencingstyle"/>
        </w:rPr>
        <w:t xml:space="preserve">, item </w:t>
      </w:r>
      <w:r w:rsidR="008C1248">
        <w:rPr>
          <w:rStyle w:val="Referencingstyle"/>
        </w:rPr>
        <w:t>3</w:t>
      </w:r>
      <w:r w:rsidR="00D80645" w:rsidRPr="0012514D">
        <w:rPr>
          <w:rStyle w:val="Referencingstyle"/>
        </w:rPr>
        <w:t>]</w:t>
      </w:r>
    </w:p>
    <w:p w14:paraId="43EFD9E6" w14:textId="49798108" w:rsidR="00932A85" w:rsidRPr="00B31B69" w:rsidRDefault="00932A85" w:rsidP="00B31B69">
      <w:pPr>
        <w:pStyle w:val="base-text-paragraph"/>
        <w:numPr>
          <w:ilvl w:val="1"/>
          <w:numId w:val="4"/>
        </w:numPr>
        <w:rPr>
          <w:rStyle w:val="Referencingstyle"/>
          <w:b w:val="0"/>
          <w:i w:val="0"/>
          <w:sz w:val="22"/>
        </w:rPr>
      </w:pPr>
      <w:r>
        <w:t xml:space="preserve">The </w:t>
      </w:r>
      <w:r w:rsidR="00B31B69" w:rsidRPr="00B31B69">
        <w:t>Board of ISA</w:t>
      </w:r>
      <w:r w:rsidR="00930195">
        <w:t>’s power to make</w:t>
      </w:r>
      <w:r w:rsidRPr="00932A85">
        <w:t xml:space="preserve"> </w:t>
      </w:r>
      <w:r w:rsidR="00CB7266">
        <w:t>determination</w:t>
      </w:r>
      <w:r w:rsidR="00930195">
        <w:t>s</w:t>
      </w:r>
      <w:r w:rsidRPr="00932A85">
        <w:t xml:space="preserve"> </w:t>
      </w:r>
      <w:r>
        <w:t>appl</w:t>
      </w:r>
      <w:r w:rsidR="00930195">
        <w:t>ies</w:t>
      </w:r>
      <w:r>
        <w:t xml:space="preserve"> in relation to the exercise of powers, and the performance of functions and duties, by the </w:t>
      </w:r>
      <w:r w:rsidR="00B31B69">
        <w:t>Board of the ISA</w:t>
      </w:r>
      <w:r>
        <w:t xml:space="preserve"> </w:t>
      </w:r>
      <w:r w:rsidR="00033FF0">
        <w:t xml:space="preserve">on or </w:t>
      </w:r>
      <w:r>
        <w:t xml:space="preserve">after </w:t>
      </w:r>
      <w:r w:rsidR="00D113DE">
        <w:t>commencement</w:t>
      </w:r>
      <w:r w:rsidRPr="00932A85">
        <w:t>.</w:t>
      </w:r>
      <w:r w:rsidRPr="00B31B69">
        <w:rPr>
          <w:b/>
          <w:i/>
          <w:sz w:val="18"/>
        </w:rPr>
        <w:t xml:space="preserve"> </w:t>
      </w:r>
      <w:r w:rsidRPr="0095181F">
        <w:rPr>
          <w:rStyle w:val="Referencingstyle"/>
        </w:rPr>
        <w:t>[Exposure Draft, Schedule 3</w:t>
      </w:r>
      <w:r w:rsidRPr="00932A85">
        <w:rPr>
          <w:rStyle w:val="Referencingstyle"/>
        </w:rPr>
        <w:t>, item</w:t>
      </w:r>
      <w:r w:rsidRPr="0095181F">
        <w:rPr>
          <w:rStyle w:val="Referencingstyle"/>
        </w:rPr>
        <w:t xml:space="preserve"> </w:t>
      </w:r>
      <w:r w:rsidR="008C1248">
        <w:rPr>
          <w:rStyle w:val="Referencingstyle"/>
        </w:rPr>
        <w:t>15</w:t>
      </w:r>
      <w:r w:rsidRPr="0095181F">
        <w:rPr>
          <w:rStyle w:val="Referencingstyle"/>
        </w:rPr>
        <w:t>]</w:t>
      </w:r>
    </w:p>
    <w:p w14:paraId="4A7E6507" w14:textId="1B4BF9CA" w:rsidR="00D80645" w:rsidRDefault="00D80645" w:rsidP="00B31B69">
      <w:pPr>
        <w:pStyle w:val="base-text-paragraph"/>
        <w:numPr>
          <w:ilvl w:val="1"/>
          <w:numId w:val="4"/>
        </w:numPr>
      </w:pPr>
      <w:r>
        <w:t xml:space="preserve">The amendments to </w:t>
      </w:r>
      <w:r w:rsidR="00B31B69" w:rsidRPr="00B31B69">
        <w:t>the Board of ISA</w:t>
      </w:r>
      <w:r w:rsidR="00B31B69">
        <w:t>’s</w:t>
      </w:r>
      <w:r w:rsidR="00B31B69" w:rsidRPr="00B31B69" w:rsidDel="00B31B69">
        <w:t xml:space="preserve"> </w:t>
      </w:r>
      <w:r>
        <w:t>delegation</w:t>
      </w:r>
      <w:r w:rsidR="00B31B69">
        <w:t xml:space="preserve"> </w:t>
      </w:r>
      <w:r>
        <w:t xml:space="preserve">and extension of time </w:t>
      </w:r>
      <w:r w:rsidR="00B31B69">
        <w:t xml:space="preserve">powers </w:t>
      </w:r>
      <w:r>
        <w:t xml:space="preserve">apply to delegations and extension of time decisions made on or after </w:t>
      </w:r>
      <w:r w:rsidR="00D113DE">
        <w:t>commencement</w:t>
      </w:r>
      <w:r w:rsidRPr="00F61EEF">
        <w:t>.</w:t>
      </w:r>
      <w:r>
        <w:t xml:space="preserve"> </w:t>
      </w:r>
      <w:r>
        <w:rPr>
          <w:rStyle w:val="Referencingstyle"/>
        </w:rPr>
        <w:t>[Exposure Draft, section 2]</w:t>
      </w:r>
    </w:p>
    <w:p w14:paraId="1354F59C" w14:textId="693A4146" w:rsidR="00DF631D" w:rsidRDefault="00DF631D">
      <w:pPr>
        <w:spacing w:before="0" w:after="160" w:line="259" w:lineRule="auto"/>
      </w:pPr>
    </w:p>
    <w:sectPr w:rsidR="00DF631D" w:rsidSect="00C743D3">
      <w:footerReference w:type="even" r:id="rId36"/>
      <w:footerReference w:type="default" r:id="rId37"/>
      <w:footerReference w:type="first" r:id="rId3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2FF9B" w14:textId="77777777" w:rsidR="00711993" w:rsidRDefault="00711993" w:rsidP="00E679CA">
      <w:pPr>
        <w:spacing w:before="0" w:after="0"/>
      </w:pPr>
      <w:r>
        <w:separator/>
      </w:r>
    </w:p>
  </w:endnote>
  <w:endnote w:type="continuationSeparator" w:id="0">
    <w:p w14:paraId="4C123BA2" w14:textId="77777777" w:rsidR="00711993" w:rsidRDefault="00711993" w:rsidP="00E679CA">
      <w:pPr>
        <w:spacing w:before="0" w:after="0"/>
      </w:pPr>
      <w:r>
        <w:continuationSeparator/>
      </w:r>
    </w:p>
  </w:endnote>
  <w:endnote w:type="continuationNotice" w:id="1">
    <w:p w14:paraId="2D1B63CE" w14:textId="77777777" w:rsidR="00711993" w:rsidRDefault="0071199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4ADD1" w14:textId="77777777" w:rsidR="00711993" w:rsidRDefault="00711993" w:rsidP="001F3C8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18826" w14:textId="77777777" w:rsidR="00711993" w:rsidRDefault="00711993" w:rsidP="00DF284C">
    <w:pPr>
      <w:pStyle w:val="rightfooter"/>
    </w:pPr>
    <w:r>
      <w:fldChar w:fldCharType="begin"/>
    </w:r>
    <w:r>
      <w:instrText xml:space="preserve"> PAGE   \* MERGEFORMAT </w:instrText>
    </w:r>
    <w:r>
      <w:fldChar w:fldCharType="separate"/>
    </w:r>
    <w:r w:rsidR="00D70449">
      <w:rPr>
        <w:noProof/>
      </w:rPr>
      <w:t>11</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E54C" w14:textId="77777777" w:rsidR="00711993" w:rsidRDefault="00711993" w:rsidP="00DF284C">
    <w:pPr>
      <w:pStyle w:val="rightfooter"/>
    </w:pPr>
    <w:r>
      <w:fldChar w:fldCharType="begin"/>
    </w:r>
    <w:r>
      <w:instrText xml:space="preserve"> PAGE  \* Arabic  \* MERGEFORMAT </w:instrText>
    </w:r>
    <w:r>
      <w:fldChar w:fldCharType="separate"/>
    </w:r>
    <w:r w:rsidR="00D70449">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F3E4D" w14:textId="77777777" w:rsidR="00711993" w:rsidRDefault="00711993" w:rsidP="00DF284C">
    <w:pPr>
      <w:pStyle w:val="leftfooter"/>
    </w:pPr>
    <w:r>
      <w:fldChar w:fldCharType="begin"/>
    </w:r>
    <w:r>
      <w:instrText xml:space="preserve"> PAGE   \* MERGEFORMAT </w:instrText>
    </w:r>
    <w:r>
      <w:fldChar w:fldCharType="separate"/>
    </w:r>
    <w:r w:rsidR="00D70449">
      <w:rPr>
        <w:noProof/>
      </w:rPr>
      <w:t>22</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45ACB" w14:textId="77777777" w:rsidR="00711993" w:rsidRDefault="00711993" w:rsidP="00DF284C">
    <w:pPr>
      <w:pStyle w:val="rightfooter"/>
    </w:pPr>
    <w:r>
      <w:fldChar w:fldCharType="begin"/>
    </w:r>
    <w:r>
      <w:instrText xml:space="preserve"> PAGE   \* MERGEFORMAT </w:instrText>
    </w:r>
    <w:r>
      <w:fldChar w:fldCharType="separate"/>
    </w:r>
    <w:r w:rsidR="00D70449">
      <w:rPr>
        <w:noProof/>
      </w:rPr>
      <w:t>23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0DA82" w14:textId="77777777" w:rsidR="00711993" w:rsidRDefault="00711993" w:rsidP="00DF284C">
    <w:pPr>
      <w:pStyle w:val="rightfooter"/>
    </w:pPr>
    <w:r>
      <w:fldChar w:fldCharType="begin"/>
    </w:r>
    <w:r>
      <w:instrText xml:space="preserve"> PAGE  \* Arabic  \* MERGEFORMAT </w:instrText>
    </w:r>
    <w:r>
      <w:fldChar w:fldCharType="separate"/>
    </w:r>
    <w:r w:rsidR="00D70449">
      <w:rPr>
        <w:noProof/>
      </w:rPr>
      <w:t>13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30AC8" w14:textId="77777777" w:rsidR="00711993" w:rsidRDefault="00711993" w:rsidP="001F3C89">
    <w:pPr>
      <w:pStyle w:val="leftfooter"/>
    </w:pPr>
    <w:r>
      <w:fldChar w:fldCharType="begin"/>
    </w:r>
    <w:r>
      <w:instrText xml:space="preserve"> PAGE   \* MERGEFORMAT </w:instrText>
    </w:r>
    <w:r>
      <w:fldChar w:fldCharType="separate"/>
    </w:r>
    <w:r w:rsidR="00D70449">
      <w:rPr>
        <w:noProof/>
      </w:rPr>
      <w:t>34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F2D92" w14:textId="77777777" w:rsidR="00711993" w:rsidRDefault="00711993" w:rsidP="001F3C89">
    <w:pPr>
      <w:pStyle w:val="rightfooter"/>
    </w:pPr>
    <w:r>
      <w:fldChar w:fldCharType="begin"/>
    </w:r>
    <w:r>
      <w:instrText xml:space="preserve"> PAGE   \* MERGEFORMAT </w:instrText>
    </w:r>
    <w:r>
      <w:fldChar w:fldCharType="separate"/>
    </w:r>
    <w:r w:rsidR="00D70449">
      <w:rPr>
        <w:noProof/>
      </w:rPr>
      <w:t>33</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595B6" w14:textId="77777777" w:rsidR="00711993" w:rsidRDefault="00711993" w:rsidP="001F3C89">
    <w:pPr>
      <w:pStyle w:val="rightfooter"/>
    </w:pPr>
    <w:r>
      <w:fldChar w:fldCharType="begin"/>
    </w:r>
    <w:r>
      <w:instrText xml:space="preserve"> PAGE  \* Arabic  \* MERGEFORMAT </w:instrText>
    </w:r>
    <w:r>
      <w:fldChar w:fldCharType="separate"/>
    </w:r>
    <w:r w:rsidR="00D70449">
      <w:rPr>
        <w:noProof/>
      </w:rPr>
      <w:t>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638FE" w14:textId="77777777" w:rsidR="00711993" w:rsidRDefault="00711993" w:rsidP="001F3C8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724CA" w14:textId="77777777" w:rsidR="00711993" w:rsidRDefault="00711993" w:rsidP="001F3C8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9851E" w14:textId="77777777" w:rsidR="00711993" w:rsidRDefault="00711993" w:rsidP="001F3C89">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64F5" w14:textId="77777777" w:rsidR="00711993" w:rsidRPr="00B2068E" w:rsidRDefault="00711993" w:rsidP="001F3C8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0857C" w14:textId="77777777" w:rsidR="00711993" w:rsidRDefault="00711993" w:rsidP="001F3C8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E4281" w14:textId="77777777" w:rsidR="00711993" w:rsidRDefault="00711993" w:rsidP="001F3C89">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F2686" w14:textId="77777777" w:rsidR="00711993" w:rsidRDefault="00711993" w:rsidP="001F3C89">
    <w:pPr>
      <w:pStyle w:val="rightfooter"/>
    </w:pPr>
    <w:r>
      <w:fldChar w:fldCharType="begin"/>
    </w:r>
    <w:r>
      <w:instrText xml:space="preserve"> PAGE  \* Arabic  \* MERGEFORMAT </w:instrText>
    </w:r>
    <w:r>
      <w:fldChar w:fldCharType="separate"/>
    </w:r>
    <w:r w:rsidR="00D70449">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DD3F" w14:textId="77777777" w:rsidR="00711993" w:rsidRDefault="00711993" w:rsidP="00DF284C">
    <w:pPr>
      <w:pStyle w:val="leftfooter"/>
    </w:pPr>
    <w:r>
      <w:fldChar w:fldCharType="begin"/>
    </w:r>
    <w:r>
      <w:instrText xml:space="preserve"> PAGE   \* MERGEFORMAT </w:instrText>
    </w:r>
    <w:r>
      <w:fldChar w:fldCharType="separate"/>
    </w:r>
    <w:r w:rsidR="00D70449">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755C6" w14:textId="77777777" w:rsidR="00711993" w:rsidRDefault="00711993" w:rsidP="00E679CA">
      <w:pPr>
        <w:spacing w:before="0" w:after="0"/>
      </w:pPr>
      <w:r>
        <w:separator/>
      </w:r>
    </w:p>
  </w:footnote>
  <w:footnote w:type="continuationSeparator" w:id="0">
    <w:p w14:paraId="0F9A1BBC" w14:textId="77777777" w:rsidR="00711993" w:rsidRDefault="00711993" w:rsidP="00E679CA">
      <w:pPr>
        <w:spacing w:before="0" w:after="0"/>
      </w:pPr>
      <w:r>
        <w:continuationSeparator/>
      </w:r>
    </w:p>
  </w:footnote>
  <w:footnote w:type="continuationNotice" w:id="1">
    <w:p w14:paraId="359B6D23" w14:textId="77777777" w:rsidR="00711993" w:rsidRDefault="0071199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492C" w14:textId="77777777" w:rsidR="00711993" w:rsidRDefault="00711993" w:rsidP="001F3C8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B35E" w14:textId="77777777" w:rsidR="00711993" w:rsidRDefault="00711993" w:rsidP="001F3C89">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402131B7" w14:textId="77777777" w:rsidR="00711993" w:rsidRDefault="00D70449">
        <w:pPr>
          <w:pStyle w:val="Header"/>
        </w:pPr>
        <w:r>
          <w:rPr>
            <w:noProof/>
            <w:lang w:val="en-US" w:eastAsia="en-US"/>
          </w:rPr>
          <w:pict w14:anchorId="56CED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FB29" w14:textId="77777777" w:rsidR="00711993" w:rsidRDefault="00711993" w:rsidP="001F3C89">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CD57A" w14:textId="77777777" w:rsidR="00711993" w:rsidRDefault="00711993" w:rsidP="001F3C89">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61328" w14:textId="77777777" w:rsidR="00711993" w:rsidRDefault="0071199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471FA" w14:textId="77777777" w:rsidR="00711993" w:rsidRPr="00422FA2" w:rsidRDefault="008644CC" w:rsidP="00422FA2">
    <w:pPr>
      <w:pStyle w:val="leftheader"/>
    </w:pPr>
    <w:fldSimple w:instr=" STYLEREF  &quot;Bill Name&quot;  \* MERGEFORMAT ">
      <w:r w:rsidR="00D70449">
        <w:rPr>
          <w:noProof/>
        </w:rPr>
        <w:t>Better Targeting the Research and Development Tax Incentive</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CEE20" w14:textId="77777777" w:rsidR="00711993" w:rsidRDefault="008644CC" w:rsidP="001F3C89">
    <w:pPr>
      <w:pStyle w:val="rightheader"/>
    </w:pPr>
    <w:fldSimple w:instr=" STYLEREF  &quot;ChapterNameOnly&quot;  \* MERGEFORMAT ">
      <w:r w:rsidR="00D70449">
        <w:rPr>
          <w:noProof/>
        </w:rPr>
        <w:t>Improving the administration and transparency of the Research and Development Tax Incentive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A836E0D"/>
    <w:multiLevelType w:val="multilevel"/>
    <w:tmpl w:val="69E4F10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D481BAD"/>
    <w:multiLevelType w:val="multilevel"/>
    <w:tmpl w:val="7C7039B4"/>
    <w:name w:val="TableDotPointList"/>
    <w:lvl w:ilvl="0">
      <w:start w:val="1"/>
      <w:numFmt w:val="bullet"/>
      <w:lvlRestart w:val="0"/>
      <w:lvlText w:val="•"/>
      <w:lvlJc w:val="left"/>
      <w:pPr>
        <w:tabs>
          <w:tab w:val="num" w:pos="459"/>
        </w:tabs>
        <w:ind w:left="459" w:hanging="283"/>
      </w:pPr>
      <w:rPr>
        <w:b w:val="0"/>
        <w:i w:val="0"/>
        <w:color w:val="000000"/>
      </w:rPr>
    </w:lvl>
    <w:lvl w:ilvl="1">
      <w:start w:val="1"/>
      <w:numFmt w:val="bullet"/>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5D8D2546"/>
    <w:multiLevelType w:val="singleLevel"/>
    <w:tmpl w:val="E9E809D2"/>
    <w:lvl w:ilvl="0">
      <w:start w:val="1"/>
      <w:numFmt w:val="decimal"/>
      <w:lvlRestart w:val="0"/>
      <w:lvlText w:val="%1"/>
      <w:lvlJc w:val="left"/>
      <w:pPr>
        <w:tabs>
          <w:tab w:val="num" w:pos="567"/>
        </w:tabs>
        <w:ind w:left="567" w:hanging="567"/>
      </w:pPr>
      <w:rPr>
        <w:rFonts w:ascii="9999999" w:hAnsi="9999999"/>
        <w:b w:val="0"/>
        <w:i w:val="0"/>
        <w:color w:val="008000"/>
      </w:rPr>
    </w:lvl>
  </w:abstractNum>
  <w:abstractNum w:abstractNumId="19">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1">
    <w:nsid w:val="65DF6494"/>
    <w:multiLevelType w:val="multilevel"/>
    <w:tmpl w:val="A316FE50"/>
    <w:numStyleLink w:val="ChapterList"/>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22"/>
  </w:num>
  <w:num w:numId="3">
    <w:abstractNumId w:val="23"/>
  </w:num>
  <w:num w:numId="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6"/>
  </w:num>
  <w:num w:numId="8">
    <w:abstractNumId w:val="16"/>
  </w:num>
  <w:num w:numId="9">
    <w:abstractNumId w:val="19"/>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3"/>
  </w:num>
  <w:num w:numId="2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8"/>
  </w:num>
  <w:num w:numId="26">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1"/>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8">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F5"/>
    <w:rsid w:val="0000667F"/>
    <w:rsid w:val="00007736"/>
    <w:rsid w:val="00010B4E"/>
    <w:rsid w:val="000120DE"/>
    <w:rsid w:val="00014977"/>
    <w:rsid w:val="00016DC3"/>
    <w:rsid w:val="0002054A"/>
    <w:rsid w:val="00020CC4"/>
    <w:rsid w:val="00022F7B"/>
    <w:rsid w:val="00023902"/>
    <w:rsid w:val="00024013"/>
    <w:rsid w:val="00024380"/>
    <w:rsid w:val="00025613"/>
    <w:rsid w:val="00030938"/>
    <w:rsid w:val="00030A40"/>
    <w:rsid w:val="00031526"/>
    <w:rsid w:val="000318D7"/>
    <w:rsid w:val="00032FA8"/>
    <w:rsid w:val="00033FF0"/>
    <w:rsid w:val="0003410B"/>
    <w:rsid w:val="00041B3C"/>
    <w:rsid w:val="00042237"/>
    <w:rsid w:val="0004670F"/>
    <w:rsid w:val="00046752"/>
    <w:rsid w:val="00050732"/>
    <w:rsid w:val="00050CDE"/>
    <w:rsid w:val="0005126B"/>
    <w:rsid w:val="00052E76"/>
    <w:rsid w:val="000556DD"/>
    <w:rsid w:val="00055AF8"/>
    <w:rsid w:val="00055E5F"/>
    <w:rsid w:val="000569A7"/>
    <w:rsid w:val="00056E20"/>
    <w:rsid w:val="00066069"/>
    <w:rsid w:val="000706F0"/>
    <w:rsid w:val="0008044D"/>
    <w:rsid w:val="000808D6"/>
    <w:rsid w:val="000811E1"/>
    <w:rsid w:val="00081FCD"/>
    <w:rsid w:val="00093EA3"/>
    <w:rsid w:val="00096528"/>
    <w:rsid w:val="00096646"/>
    <w:rsid w:val="000A00CA"/>
    <w:rsid w:val="000A2029"/>
    <w:rsid w:val="000A2325"/>
    <w:rsid w:val="000A54AB"/>
    <w:rsid w:val="000A6DA5"/>
    <w:rsid w:val="000A78FD"/>
    <w:rsid w:val="000B0503"/>
    <w:rsid w:val="000B11A7"/>
    <w:rsid w:val="000B2218"/>
    <w:rsid w:val="000B5750"/>
    <w:rsid w:val="000B5DFE"/>
    <w:rsid w:val="000C182D"/>
    <w:rsid w:val="000C2835"/>
    <w:rsid w:val="000C2A9D"/>
    <w:rsid w:val="000C3A94"/>
    <w:rsid w:val="000C3FCB"/>
    <w:rsid w:val="000C44D7"/>
    <w:rsid w:val="000C4876"/>
    <w:rsid w:val="000C6218"/>
    <w:rsid w:val="000C71F6"/>
    <w:rsid w:val="000D04A2"/>
    <w:rsid w:val="000D6EBE"/>
    <w:rsid w:val="000D7FE5"/>
    <w:rsid w:val="000E35B1"/>
    <w:rsid w:val="000E35DC"/>
    <w:rsid w:val="000E46E0"/>
    <w:rsid w:val="000E476D"/>
    <w:rsid w:val="000E4B0E"/>
    <w:rsid w:val="000E4B50"/>
    <w:rsid w:val="000E4D20"/>
    <w:rsid w:val="000E588D"/>
    <w:rsid w:val="000F36A0"/>
    <w:rsid w:val="00100241"/>
    <w:rsid w:val="001013DB"/>
    <w:rsid w:val="001022EC"/>
    <w:rsid w:val="00102A1E"/>
    <w:rsid w:val="00102EFA"/>
    <w:rsid w:val="001049A7"/>
    <w:rsid w:val="00104B55"/>
    <w:rsid w:val="00105090"/>
    <w:rsid w:val="00107A5E"/>
    <w:rsid w:val="0011156E"/>
    <w:rsid w:val="00120621"/>
    <w:rsid w:val="0012266A"/>
    <w:rsid w:val="00123B9E"/>
    <w:rsid w:val="0012514D"/>
    <w:rsid w:val="001259B4"/>
    <w:rsid w:val="00125DF0"/>
    <w:rsid w:val="00127BE8"/>
    <w:rsid w:val="00130001"/>
    <w:rsid w:val="00130297"/>
    <w:rsid w:val="001319B3"/>
    <w:rsid w:val="00135314"/>
    <w:rsid w:val="00135ED4"/>
    <w:rsid w:val="0013617B"/>
    <w:rsid w:val="001400B5"/>
    <w:rsid w:val="00140228"/>
    <w:rsid w:val="00147F16"/>
    <w:rsid w:val="001511EA"/>
    <w:rsid w:val="00154033"/>
    <w:rsid w:val="001560D9"/>
    <w:rsid w:val="001577D3"/>
    <w:rsid w:val="00160682"/>
    <w:rsid w:val="0016114D"/>
    <w:rsid w:val="00163567"/>
    <w:rsid w:val="0016690A"/>
    <w:rsid w:val="00167E13"/>
    <w:rsid w:val="00172640"/>
    <w:rsid w:val="001730BB"/>
    <w:rsid w:val="001730C2"/>
    <w:rsid w:val="00173462"/>
    <w:rsid w:val="001753F4"/>
    <w:rsid w:val="00175567"/>
    <w:rsid w:val="001766FD"/>
    <w:rsid w:val="0017772C"/>
    <w:rsid w:val="00182086"/>
    <w:rsid w:val="0018532E"/>
    <w:rsid w:val="0018675D"/>
    <w:rsid w:val="001870E9"/>
    <w:rsid w:val="0019274C"/>
    <w:rsid w:val="001929F4"/>
    <w:rsid w:val="00196ADF"/>
    <w:rsid w:val="001A4149"/>
    <w:rsid w:val="001A6204"/>
    <w:rsid w:val="001A6E38"/>
    <w:rsid w:val="001A762E"/>
    <w:rsid w:val="001C1751"/>
    <w:rsid w:val="001D1B06"/>
    <w:rsid w:val="001D4A0B"/>
    <w:rsid w:val="001D6972"/>
    <w:rsid w:val="001D6F7A"/>
    <w:rsid w:val="001D7EEF"/>
    <w:rsid w:val="001E21FA"/>
    <w:rsid w:val="001E26C1"/>
    <w:rsid w:val="001E2E48"/>
    <w:rsid w:val="001F3C89"/>
    <w:rsid w:val="0020291A"/>
    <w:rsid w:val="00203C11"/>
    <w:rsid w:val="002123C0"/>
    <w:rsid w:val="00214B50"/>
    <w:rsid w:val="00216A77"/>
    <w:rsid w:val="00216D35"/>
    <w:rsid w:val="00220B8B"/>
    <w:rsid w:val="00223550"/>
    <w:rsid w:val="002249A6"/>
    <w:rsid w:val="00227A64"/>
    <w:rsid w:val="00232D33"/>
    <w:rsid w:val="00241CEE"/>
    <w:rsid w:val="00250C8E"/>
    <w:rsid w:val="00251C0E"/>
    <w:rsid w:val="00252080"/>
    <w:rsid w:val="00255E8E"/>
    <w:rsid w:val="0025712F"/>
    <w:rsid w:val="00257A7E"/>
    <w:rsid w:val="0026026F"/>
    <w:rsid w:val="00261E57"/>
    <w:rsid w:val="00265E32"/>
    <w:rsid w:val="00270E3C"/>
    <w:rsid w:val="00274DDA"/>
    <w:rsid w:val="002754EB"/>
    <w:rsid w:val="00276F55"/>
    <w:rsid w:val="00281074"/>
    <w:rsid w:val="0028232D"/>
    <w:rsid w:val="00292786"/>
    <w:rsid w:val="00295ABD"/>
    <w:rsid w:val="002973DB"/>
    <w:rsid w:val="002973DD"/>
    <w:rsid w:val="002A33C1"/>
    <w:rsid w:val="002A410E"/>
    <w:rsid w:val="002B0454"/>
    <w:rsid w:val="002B0E72"/>
    <w:rsid w:val="002B100A"/>
    <w:rsid w:val="002B6BA6"/>
    <w:rsid w:val="002C0ABA"/>
    <w:rsid w:val="002C4F29"/>
    <w:rsid w:val="002C50B4"/>
    <w:rsid w:val="002C55FD"/>
    <w:rsid w:val="002C6D74"/>
    <w:rsid w:val="002C7AD8"/>
    <w:rsid w:val="002D0B7C"/>
    <w:rsid w:val="002D6E68"/>
    <w:rsid w:val="002F0D2B"/>
    <w:rsid w:val="002F25D6"/>
    <w:rsid w:val="002F3100"/>
    <w:rsid w:val="002F4E3E"/>
    <w:rsid w:val="002F5853"/>
    <w:rsid w:val="00301285"/>
    <w:rsid w:val="00302DF8"/>
    <w:rsid w:val="00303EFC"/>
    <w:rsid w:val="003040D6"/>
    <w:rsid w:val="00305739"/>
    <w:rsid w:val="003060A5"/>
    <w:rsid w:val="00307165"/>
    <w:rsid w:val="00312972"/>
    <w:rsid w:val="00313309"/>
    <w:rsid w:val="003175C6"/>
    <w:rsid w:val="00321817"/>
    <w:rsid w:val="00321CED"/>
    <w:rsid w:val="003236BD"/>
    <w:rsid w:val="00323D4C"/>
    <w:rsid w:val="00331E44"/>
    <w:rsid w:val="0033288D"/>
    <w:rsid w:val="00334134"/>
    <w:rsid w:val="00335018"/>
    <w:rsid w:val="00336967"/>
    <w:rsid w:val="003401FF"/>
    <w:rsid w:val="00351A0B"/>
    <w:rsid w:val="00353A51"/>
    <w:rsid w:val="0036049A"/>
    <w:rsid w:val="0036301E"/>
    <w:rsid w:val="00363C28"/>
    <w:rsid w:val="00375235"/>
    <w:rsid w:val="00375F1D"/>
    <w:rsid w:val="00376B33"/>
    <w:rsid w:val="00381560"/>
    <w:rsid w:val="003831F1"/>
    <w:rsid w:val="00383489"/>
    <w:rsid w:val="00385A48"/>
    <w:rsid w:val="003868B8"/>
    <w:rsid w:val="0039078D"/>
    <w:rsid w:val="0039094E"/>
    <w:rsid w:val="0039470C"/>
    <w:rsid w:val="00395962"/>
    <w:rsid w:val="003A28E4"/>
    <w:rsid w:val="003A3231"/>
    <w:rsid w:val="003A35D3"/>
    <w:rsid w:val="003A657F"/>
    <w:rsid w:val="003B1498"/>
    <w:rsid w:val="003B15EA"/>
    <w:rsid w:val="003B20A4"/>
    <w:rsid w:val="003B4145"/>
    <w:rsid w:val="003B41B0"/>
    <w:rsid w:val="003B5CC4"/>
    <w:rsid w:val="003B6B47"/>
    <w:rsid w:val="003B77F0"/>
    <w:rsid w:val="003C0388"/>
    <w:rsid w:val="003C2E65"/>
    <w:rsid w:val="003C560E"/>
    <w:rsid w:val="003C59B9"/>
    <w:rsid w:val="003D1A45"/>
    <w:rsid w:val="003D44ED"/>
    <w:rsid w:val="003D4A3D"/>
    <w:rsid w:val="003D4F69"/>
    <w:rsid w:val="003D52FF"/>
    <w:rsid w:val="003D5CED"/>
    <w:rsid w:val="003D694D"/>
    <w:rsid w:val="003D7549"/>
    <w:rsid w:val="003E39EB"/>
    <w:rsid w:val="003E44D8"/>
    <w:rsid w:val="003E4788"/>
    <w:rsid w:val="003E5AB0"/>
    <w:rsid w:val="003E65F1"/>
    <w:rsid w:val="003E7AB0"/>
    <w:rsid w:val="003F552E"/>
    <w:rsid w:val="003F5F25"/>
    <w:rsid w:val="00400D7B"/>
    <w:rsid w:val="0040265A"/>
    <w:rsid w:val="00402ED7"/>
    <w:rsid w:val="00404849"/>
    <w:rsid w:val="00405C1F"/>
    <w:rsid w:val="00407878"/>
    <w:rsid w:val="00407E9C"/>
    <w:rsid w:val="00407F24"/>
    <w:rsid w:val="004132FB"/>
    <w:rsid w:val="00413CFE"/>
    <w:rsid w:val="004144EF"/>
    <w:rsid w:val="00416E36"/>
    <w:rsid w:val="004203FC"/>
    <w:rsid w:val="004217D8"/>
    <w:rsid w:val="00422FA2"/>
    <w:rsid w:val="0042428D"/>
    <w:rsid w:val="00430F88"/>
    <w:rsid w:val="004314F8"/>
    <w:rsid w:val="004368F9"/>
    <w:rsid w:val="00445591"/>
    <w:rsid w:val="0044708F"/>
    <w:rsid w:val="00447A43"/>
    <w:rsid w:val="00447AE8"/>
    <w:rsid w:val="00450867"/>
    <w:rsid w:val="00453F58"/>
    <w:rsid w:val="0045609F"/>
    <w:rsid w:val="00456690"/>
    <w:rsid w:val="004572DA"/>
    <w:rsid w:val="00467801"/>
    <w:rsid w:val="00472791"/>
    <w:rsid w:val="0047383F"/>
    <w:rsid w:val="00475227"/>
    <w:rsid w:val="00480CC1"/>
    <w:rsid w:val="0048182C"/>
    <w:rsid w:val="004822F9"/>
    <w:rsid w:val="0048284D"/>
    <w:rsid w:val="00482E4B"/>
    <w:rsid w:val="00484E9B"/>
    <w:rsid w:val="00491F55"/>
    <w:rsid w:val="004936A3"/>
    <w:rsid w:val="00496416"/>
    <w:rsid w:val="00497AB7"/>
    <w:rsid w:val="004A1045"/>
    <w:rsid w:val="004A33B6"/>
    <w:rsid w:val="004A70B5"/>
    <w:rsid w:val="004B3A37"/>
    <w:rsid w:val="004B5520"/>
    <w:rsid w:val="004B593D"/>
    <w:rsid w:val="004B6122"/>
    <w:rsid w:val="004C2455"/>
    <w:rsid w:val="004C37F3"/>
    <w:rsid w:val="004C5134"/>
    <w:rsid w:val="004D0876"/>
    <w:rsid w:val="004D13A1"/>
    <w:rsid w:val="004D2F00"/>
    <w:rsid w:val="004D3C7A"/>
    <w:rsid w:val="004E0A41"/>
    <w:rsid w:val="004E37AD"/>
    <w:rsid w:val="004E6D6A"/>
    <w:rsid w:val="004F2131"/>
    <w:rsid w:val="004F2F48"/>
    <w:rsid w:val="004F3C00"/>
    <w:rsid w:val="004F513F"/>
    <w:rsid w:val="004F652A"/>
    <w:rsid w:val="004F71D6"/>
    <w:rsid w:val="0050574B"/>
    <w:rsid w:val="0051079F"/>
    <w:rsid w:val="00512EAD"/>
    <w:rsid w:val="00513DA0"/>
    <w:rsid w:val="00515400"/>
    <w:rsid w:val="00516A5A"/>
    <w:rsid w:val="0052158F"/>
    <w:rsid w:val="005232A2"/>
    <w:rsid w:val="005233FD"/>
    <w:rsid w:val="00523B8D"/>
    <w:rsid w:val="005267CD"/>
    <w:rsid w:val="00526D5A"/>
    <w:rsid w:val="00532D13"/>
    <w:rsid w:val="00535F17"/>
    <w:rsid w:val="00537C05"/>
    <w:rsid w:val="00545D1B"/>
    <w:rsid w:val="0055086F"/>
    <w:rsid w:val="00550A7C"/>
    <w:rsid w:val="00551665"/>
    <w:rsid w:val="0055493E"/>
    <w:rsid w:val="00554EEB"/>
    <w:rsid w:val="005600BB"/>
    <w:rsid w:val="00560C6D"/>
    <w:rsid w:val="0056165F"/>
    <w:rsid w:val="00562407"/>
    <w:rsid w:val="0056465C"/>
    <w:rsid w:val="00567363"/>
    <w:rsid w:val="00567602"/>
    <w:rsid w:val="005709B5"/>
    <w:rsid w:val="0057357C"/>
    <w:rsid w:val="00573853"/>
    <w:rsid w:val="00574CA0"/>
    <w:rsid w:val="005753DC"/>
    <w:rsid w:val="00586629"/>
    <w:rsid w:val="00593D11"/>
    <w:rsid w:val="00594C92"/>
    <w:rsid w:val="00594DD9"/>
    <w:rsid w:val="0059570B"/>
    <w:rsid w:val="005957D9"/>
    <w:rsid w:val="005957F2"/>
    <w:rsid w:val="00596A41"/>
    <w:rsid w:val="00596F14"/>
    <w:rsid w:val="00597376"/>
    <w:rsid w:val="00597BF5"/>
    <w:rsid w:val="005A496E"/>
    <w:rsid w:val="005A63D6"/>
    <w:rsid w:val="005B3414"/>
    <w:rsid w:val="005B67AE"/>
    <w:rsid w:val="005B67FB"/>
    <w:rsid w:val="005B7480"/>
    <w:rsid w:val="005C535D"/>
    <w:rsid w:val="005C54BA"/>
    <w:rsid w:val="005C61C0"/>
    <w:rsid w:val="005C6B25"/>
    <w:rsid w:val="005D6EA2"/>
    <w:rsid w:val="005E100E"/>
    <w:rsid w:val="005E1BA2"/>
    <w:rsid w:val="005E3647"/>
    <w:rsid w:val="005E424C"/>
    <w:rsid w:val="005E558B"/>
    <w:rsid w:val="005F0276"/>
    <w:rsid w:val="005F1A16"/>
    <w:rsid w:val="005F1C5D"/>
    <w:rsid w:val="005F1E08"/>
    <w:rsid w:val="005F3F73"/>
    <w:rsid w:val="005F767E"/>
    <w:rsid w:val="0060044F"/>
    <w:rsid w:val="0060122D"/>
    <w:rsid w:val="0060368B"/>
    <w:rsid w:val="00603ACB"/>
    <w:rsid w:val="006070DB"/>
    <w:rsid w:val="0061080C"/>
    <w:rsid w:val="006109A9"/>
    <w:rsid w:val="00612324"/>
    <w:rsid w:val="0061456A"/>
    <w:rsid w:val="006168B0"/>
    <w:rsid w:val="00616E94"/>
    <w:rsid w:val="00616ED3"/>
    <w:rsid w:val="00617E9A"/>
    <w:rsid w:val="006220CA"/>
    <w:rsid w:val="00624266"/>
    <w:rsid w:val="0063127E"/>
    <w:rsid w:val="006312D3"/>
    <w:rsid w:val="006320CA"/>
    <w:rsid w:val="00633FCE"/>
    <w:rsid w:val="00636CBA"/>
    <w:rsid w:val="00637FE7"/>
    <w:rsid w:val="00640F20"/>
    <w:rsid w:val="00643600"/>
    <w:rsid w:val="0065097B"/>
    <w:rsid w:val="00656296"/>
    <w:rsid w:val="00660DD2"/>
    <w:rsid w:val="00662F78"/>
    <w:rsid w:val="006676DB"/>
    <w:rsid w:val="00670A85"/>
    <w:rsid w:val="00672999"/>
    <w:rsid w:val="006774A4"/>
    <w:rsid w:val="006779AA"/>
    <w:rsid w:val="006808E7"/>
    <w:rsid w:val="0068322A"/>
    <w:rsid w:val="00684196"/>
    <w:rsid w:val="00685682"/>
    <w:rsid w:val="00685808"/>
    <w:rsid w:val="006A0380"/>
    <w:rsid w:val="006A05D6"/>
    <w:rsid w:val="006A18B4"/>
    <w:rsid w:val="006A45AD"/>
    <w:rsid w:val="006A466F"/>
    <w:rsid w:val="006A4B7B"/>
    <w:rsid w:val="006A4E59"/>
    <w:rsid w:val="006A72CB"/>
    <w:rsid w:val="006A7537"/>
    <w:rsid w:val="006B3A18"/>
    <w:rsid w:val="006C42A2"/>
    <w:rsid w:val="006C6854"/>
    <w:rsid w:val="006C76B4"/>
    <w:rsid w:val="006D1BD6"/>
    <w:rsid w:val="006D37EC"/>
    <w:rsid w:val="006E120B"/>
    <w:rsid w:val="006E6E08"/>
    <w:rsid w:val="006F1325"/>
    <w:rsid w:val="006F233D"/>
    <w:rsid w:val="006F5A7A"/>
    <w:rsid w:val="006F5EF4"/>
    <w:rsid w:val="006F7C8B"/>
    <w:rsid w:val="00700507"/>
    <w:rsid w:val="00704757"/>
    <w:rsid w:val="00704B93"/>
    <w:rsid w:val="007059E9"/>
    <w:rsid w:val="00706CE0"/>
    <w:rsid w:val="007070BD"/>
    <w:rsid w:val="00710FEC"/>
    <w:rsid w:val="00711993"/>
    <w:rsid w:val="00712E2E"/>
    <w:rsid w:val="007141F5"/>
    <w:rsid w:val="00714987"/>
    <w:rsid w:val="00714C67"/>
    <w:rsid w:val="00716DC4"/>
    <w:rsid w:val="00720F83"/>
    <w:rsid w:val="0072304E"/>
    <w:rsid w:val="00724DE4"/>
    <w:rsid w:val="007268CC"/>
    <w:rsid w:val="00730D01"/>
    <w:rsid w:val="0073187E"/>
    <w:rsid w:val="007321CC"/>
    <w:rsid w:val="00734BBE"/>
    <w:rsid w:val="00734F84"/>
    <w:rsid w:val="00737469"/>
    <w:rsid w:val="00737D01"/>
    <w:rsid w:val="00741357"/>
    <w:rsid w:val="007443AD"/>
    <w:rsid w:val="00747076"/>
    <w:rsid w:val="00747A03"/>
    <w:rsid w:val="007504DC"/>
    <w:rsid w:val="007510F9"/>
    <w:rsid w:val="00751C0F"/>
    <w:rsid w:val="00752AD1"/>
    <w:rsid w:val="007579E5"/>
    <w:rsid w:val="0076035D"/>
    <w:rsid w:val="00767737"/>
    <w:rsid w:val="00770A67"/>
    <w:rsid w:val="00773B68"/>
    <w:rsid w:val="00777CEB"/>
    <w:rsid w:val="00781427"/>
    <w:rsid w:val="00783193"/>
    <w:rsid w:val="00783625"/>
    <w:rsid w:val="00785C78"/>
    <w:rsid w:val="00785DB3"/>
    <w:rsid w:val="00787786"/>
    <w:rsid w:val="007877B0"/>
    <w:rsid w:val="0078795C"/>
    <w:rsid w:val="00790D4E"/>
    <w:rsid w:val="0079142F"/>
    <w:rsid w:val="00795A45"/>
    <w:rsid w:val="00795C16"/>
    <w:rsid w:val="007A0A37"/>
    <w:rsid w:val="007A1D5C"/>
    <w:rsid w:val="007A2D26"/>
    <w:rsid w:val="007A3E67"/>
    <w:rsid w:val="007A4739"/>
    <w:rsid w:val="007B0EE5"/>
    <w:rsid w:val="007B11BC"/>
    <w:rsid w:val="007C2588"/>
    <w:rsid w:val="007C2B20"/>
    <w:rsid w:val="007C2F63"/>
    <w:rsid w:val="007C3E87"/>
    <w:rsid w:val="007C45A4"/>
    <w:rsid w:val="007C5BFD"/>
    <w:rsid w:val="007C6809"/>
    <w:rsid w:val="007C7D29"/>
    <w:rsid w:val="007D15FE"/>
    <w:rsid w:val="007D4A07"/>
    <w:rsid w:val="007D6D78"/>
    <w:rsid w:val="007E13E6"/>
    <w:rsid w:val="007E38F3"/>
    <w:rsid w:val="007E4C1A"/>
    <w:rsid w:val="007E4F96"/>
    <w:rsid w:val="007F0417"/>
    <w:rsid w:val="007F2A7B"/>
    <w:rsid w:val="007F2B2D"/>
    <w:rsid w:val="007F58F1"/>
    <w:rsid w:val="007F603F"/>
    <w:rsid w:val="007F63C3"/>
    <w:rsid w:val="007F6BAA"/>
    <w:rsid w:val="007F6D86"/>
    <w:rsid w:val="008032FB"/>
    <w:rsid w:val="00803AB2"/>
    <w:rsid w:val="00803DE4"/>
    <w:rsid w:val="008044C9"/>
    <w:rsid w:val="00810CAE"/>
    <w:rsid w:val="00810F31"/>
    <w:rsid w:val="00811AA7"/>
    <w:rsid w:val="00812518"/>
    <w:rsid w:val="00812A6A"/>
    <w:rsid w:val="00813A51"/>
    <w:rsid w:val="008164EA"/>
    <w:rsid w:val="008201C7"/>
    <w:rsid w:val="00821DF6"/>
    <w:rsid w:val="0083646B"/>
    <w:rsid w:val="00836899"/>
    <w:rsid w:val="00840701"/>
    <w:rsid w:val="00841090"/>
    <w:rsid w:val="00843F59"/>
    <w:rsid w:val="008441B8"/>
    <w:rsid w:val="0084579E"/>
    <w:rsid w:val="00852E19"/>
    <w:rsid w:val="0085519B"/>
    <w:rsid w:val="008558E1"/>
    <w:rsid w:val="00856232"/>
    <w:rsid w:val="008562A5"/>
    <w:rsid w:val="008574C8"/>
    <w:rsid w:val="00857680"/>
    <w:rsid w:val="008578E8"/>
    <w:rsid w:val="00861AA0"/>
    <w:rsid w:val="00862003"/>
    <w:rsid w:val="008620F4"/>
    <w:rsid w:val="00863591"/>
    <w:rsid w:val="008644CC"/>
    <w:rsid w:val="00871D48"/>
    <w:rsid w:val="00873071"/>
    <w:rsid w:val="0087643C"/>
    <w:rsid w:val="00876801"/>
    <w:rsid w:val="008769D3"/>
    <w:rsid w:val="00882DBC"/>
    <w:rsid w:val="00886336"/>
    <w:rsid w:val="008927C8"/>
    <w:rsid w:val="0089283C"/>
    <w:rsid w:val="00894B55"/>
    <w:rsid w:val="00895F58"/>
    <w:rsid w:val="00896650"/>
    <w:rsid w:val="00897720"/>
    <w:rsid w:val="008A1BAE"/>
    <w:rsid w:val="008A52C5"/>
    <w:rsid w:val="008A5A52"/>
    <w:rsid w:val="008A760C"/>
    <w:rsid w:val="008A7C00"/>
    <w:rsid w:val="008B2251"/>
    <w:rsid w:val="008C04B5"/>
    <w:rsid w:val="008C1248"/>
    <w:rsid w:val="008C2CE0"/>
    <w:rsid w:val="008C4F32"/>
    <w:rsid w:val="008C6C40"/>
    <w:rsid w:val="008C7323"/>
    <w:rsid w:val="008D0A8B"/>
    <w:rsid w:val="008D20BC"/>
    <w:rsid w:val="008D22FD"/>
    <w:rsid w:val="008D4F94"/>
    <w:rsid w:val="008D5C0B"/>
    <w:rsid w:val="008D6B63"/>
    <w:rsid w:val="008D78FA"/>
    <w:rsid w:val="008E1675"/>
    <w:rsid w:val="008E6E38"/>
    <w:rsid w:val="008E75ED"/>
    <w:rsid w:val="008F3C3D"/>
    <w:rsid w:val="008F3CF5"/>
    <w:rsid w:val="0090737A"/>
    <w:rsid w:val="009132E0"/>
    <w:rsid w:val="00913BA3"/>
    <w:rsid w:val="009155FC"/>
    <w:rsid w:val="00915C60"/>
    <w:rsid w:val="009167F6"/>
    <w:rsid w:val="00920C92"/>
    <w:rsid w:val="0092121E"/>
    <w:rsid w:val="00922D62"/>
    <w:rsid w:val="0092781F"/>
    <w:rsid w:val="00927BE2"/>
    <w:rsid w:val="00930195"/>
    <w:rsid w:val="009303A0"/>
    <w:rsid w:val="00932172"/>
    <w:rsid w:val="00932A85"/>
    <w:rsid w:val="0093363A"/>
    <w:rsid w:val="00937EBE"/>
    <w:rsid w:val="0094585C"/>
    <w:rsid w:val="009463CE"/>
    <w:rsid w:val="00946B26"/>
    <w:rsid w:val="00947B40"/>
    <w:rsid w:val="00947E76"/>
    <w:rsid w:val="00950696"/>
    <w:rsid w:val="0095181F"/>
    <w:rsid w:val="00952D9A"/>
    <w:rsid w:val="0096086B"/>
    <w:rsid w:val="00963969"/>
    <w:rsid w:val="00964B78"/>
    <w:rsid w:val="00965ABC"/>
    <w:rsid w:val="00966DD2"/>
    <w:rsid w:val="00973455"/>
    <w:rsid w:val="00973EF4"/>
    <w:rsid w:val="009770C9"/>
    <w:rsid w:val="0098134F"/>
    <w:rsid w:val="00983FA2"/>
    <w:rsid w:val="00984AE1"/>
    <w:rsid w:val="00986524"/>
    <w:rsid w:val="00992FFA"/>
    <w:rsid w:val="009968C4"/>
    <w:rsid w:val="00997D9D"/>
    <w:rsid w:val="009A0A5D"/>
    <w:rsid w:val="009A11D4"/>
    <w:rsid w:val="009A281E"/>
    <w:rsid w:val="009A6D8F"/>
    <w:rsid w:val="009B08E5"/>
    <w:rsid w:val="009B3416"/>
    <w:rsid w:val="009B4458"/>
    <w:rsid w:val="009B5E73"/>
    <w:rsid w:val="009C28CC"/>
    <w:rsid w:val="009C2FC2"/>
    <w:rsid w:val="009C47D7"/>
    <w:rsid w:val="009C6365"/>
    <w:rsid w:val="009D0262"/>
    <w:rsid w:val="009D1574"/>
    <w:rsid w:val="009D18C3"/>
    <w:rsid w:val="009D2FF5"/>
    <w:rsid w:val="009D3521"/>
    <w:rsid w:val="009D7ECD"/>
    <w:rsid w:val="009E2752"/>
    <w:rsid w:val="009E3BFD"/>
    <w:rsid w:val="009E3EF8"/>
    <w:rsid w:val="009E6A49"/>
    <w:rsid w:val="009F1D7E"/>
    <w:rsid w:val="009F2C22"/>
    <w:rsid w:val="009F3AE1"/>
    <w:rsid w:val="00A01163"/>
    <w:rsid w:val="00A059F1"/>
    <w:rsid w:val="00A0653F"/>
    <w:rsid w:val="00A11568"/>
    <w:rsid w:val="00A16A46"/>
    <w:rsid w:val="00A21203"/>
    <w:rsid w:val="00A2308B"/>
    <w:rsid w:val="00A25812"/>
    <w:rsid w:val="00A32269"/>
    <w:rsid w:val="00A32585"/>
    <w:rsid w:val="00A36502"/>
    <w:rsid w:val="00A41E34"/>
    <w:rsid w:val="00A41EDC"/>
    <w:rsid w:val="00A47553"/>
    <w:rsid w:val="00A51500"/>
    <w:rsid w:val="00A541B1"/>
    <w:rsid w:val="00A557C8"/>
    <w:rsid w:val="00A56641"/>
    <w:rsid w:val="00A577AA"/>
    <w:rsid w:val="00A65110"/>
    <w:rsid w:val="00A668AB"/>
    <w:rsid w:val="00A672DD"/>
    <w:rsid w:val="00A7114A"/>
    <w:rsid w:val="00A71A1B"/>
    <w:rsid w:val="00A73746"/>
    <w:rsid w:val="00A75FAC"/>
    <w:rsid w:val="00A80258"/>
    <w:rsid w:val="00A8157D"/>
    <w:rsid w:val="00A82357"/>
    <w:rsid w:val="00A853DF"/>
    <w:rsid w:val="00A86AE7"/>
    <w:rsid w:val="00A902EA"/>
    <w:rsid w:val="00A9547D"/>
    <w:rsid w:val="00A95822"/>
    <w:rsid w:val="00AA1D4E"/>
    <w:rsid w:val="00AA322C"/>
    <w:rsid w:val="00AA469E"/>
    <w:rsid w:val="00AA6F43"/>
    <w:rsid w:val="00AA7A5C"/>
    <w:rsid w:val="00AB3810"/>
    <w:rsid w:val="00AB543B"/>
    <w:rsid w:val="00AB58C4"/>
    <w:rsid w:val="00AB7B31"/>
    <w:rsid w:val="00AC0679"/>
    <w:rsid w:val="00AC11F1"/>
    <w:rsid w:val="00AC2FA7"/>
    <w:rsid w:val="00AC4CC0"/>
    <w:rsid w:val="00AD062A"/>
    <w:rsid w:val="00AD0C5F"/>
    <w:rsid w:val="00AD165D"/>
    <w:rsid w:val="00AD5B62"/>
    <w:rsid w:val="00AD5F50"/>
    <w:rsid w:val="00AE2F56"/>
    <w:rsid w:val="00AE3E2A"/>
    <w:rsid w:val="00AE715A"/>
    <w:rsid w:val="00AE7320"/>
    <w:rsid w:val="00AF115C"/>
    <w:rsid w:val="00AF4151"/>
    <w:rsid w:val="00AF5AEA"/>
    <w:rsid w:val="00AF6C55"/>
    <w:rsid w:val="00AF787B"/>
    <w:rsid w:val="00B00990"/>
    <w:rsid w:val="00B0147A"/>
    <w:rsid w:val="00B026B5"/>
    <w:rsid w:val="00B03B1F"/>
    <w:rsid w:val="00B040B3"/>
    <w:rsid w:val="00B04D6A"/>
    <w:rsid w:val="00B0537E"/>
    <w:rsid w:val="00B115F0"/>
    <w:rsid w:val="00B1232D"/>
    <w:rsid w:val="00B13B9C"/>
    <w:rsid w:val="00B169DA"/>
    <w:rsid w:val="00B17774"/>
    <w:rsid w:val="00B20D8D"/>
    <w:rsid w:val="00B22A24"/>
    <w:rsid w:val="00B22BFC"/>
    <w:rsid w:val="00B25A24"/>
    <w:rsid w:val="00B25C6D"/>
    <w:rsid w:val="00B26101"/>
    <w:rsid w:val="00B27FC8"/>
    <w:rsid w:val="00B31B69"/>
    <w:rsid w:val="00B368F7"/>
    <w:rsid w:val="00B404FF"/>
    <w:rsid w:val="00B437D3"/>
    <w:rsid w:val="00B45996"/>
    <w:rsid w:val="00B47286"/>
    <w:rsid w:val="00B47577"/>
    <w:rsid w:val="00B56FB7"/>
    <w:rsid w:val="00B60906"/>
    <w:rsid w:val="00B61B22"/>
    <w:rsid w:val="00B61DB1"/>
    <w:rsid w:val="00B65027"/>
    <w:rsid w:val="00B67B89"/>
    <w:rsid w:val="00B71755"/>
    <w:rsid w:val="00B73BE8"/>
    <w:rsid w:val="00B80750"/>
    <w:rsid w:val="00B81389"/>
    <w:rsid w:val="00B833AE"/>
    <w:rsid w:val="00B85309"/>
    <w:rsid w:val="00B8584C"/>
    <w:rsid w:val="00B86426"/>
    <w:rsid w:val="00B87BEB"/>
    <w:rsid w:val="00B95BD0"/>
    <w:rsid w:val="00BA435C"/>
    <w:rsid w:val="00BB1B9A"/>
    <w:rsid w:val="00BB269F"/>
    <w:rsid w:val="00BB299B"/>
    <w:rsid w:val="00BB333A"/>
    <w:rsid w:val="00BB3B3D"/>
    <w:rsid w:val="00BB6A85"/>
    <w:rsid w:val="00BB72FC"/>
    <w:rsid w:val="00BC5DBF"/>
    <w:rsid w:val="00BC611B"/>
    <w:rsid w:val="00BD025C"/>
    <w:rsid w:val="00BD10A2"/>
    <w:rsid w:val="00BD2B5F"/>
    <w:rsid w:val="00BD34F8"/>
    <w:rsid w:val="00BD3CDE"/>
    <w:rsid w:val="00BE218D"/>
    <w:rsid w:val="00BE27C2"/>
    <w:rsid w:val="00BE3B8B"/>
    <w:rsid w:val="00BE53BF"/>
    <w:rsid w:val="00BE6307"/>
    <w:rsid w:val="00BE70DA"/>
    <w:rsid w:val="00BF024F"/>
    <w:rsid w:val="00BF346F"/>
    <w:rsid w:val="00BF75FE"/>
    <w:rsid w:val="00BF7A77"/>
    <w:rsid w:val="00C00C45"/>
    <w:rsid w:val="00C01987"/>
    <w:rsid w:val="00C07492"/>
    <w:rsid w:val="00C076D6"/>
    <w:rsid w:val="00C101D5"/>
    <w:rsid w:val="00C1315B"/>
    <w:rsid w:val="00C1378F"/>
    <w:rsid w:val="00C15B0E"/>
    <w:rsid w:val="00C21373"/>
    <w:rsid w:val="00C21D19"/>
    <w:rsid w:val="00C22C93"/>
    <w:rsid w:val="00C51744"/>
    <w:rsid w:val="00C52C88"/>
    <w:rsid w:val="00C5436A"/>
    <w:rsid w:val="00C551DC"/>
    <w:rsid w:val="00C560B1"/>
    <w:rsid w:val="00C62E9E"/>
    <w:rsid w:val="00C63A01"/>
    <w:rsid w:val="00C743D3"/>
    <w:rsid w:val="00C74CC4"/>
    <w:rsid w:val="00C77B9C"/>
    <w:rsid w:val="00C810E6"/>
    <w:rsid w:val="00C811DC"/>
    <w:rsid w:val="00C83EC4"/>
    <w:rsid w:val="00C84419"/>
    <w:rsid w:val="00C84690"/>
    <w:rsid w:val="00C91D7E"/>
    <w:rsid w:val="00C953A2"/>
    <w:rsid w:val="00C96F37"/>
    <w:rsid w:val="00CA2A58"/>
    <w:rsid w:val="00CA5B4E"/>
    <w:rsid w:val="00CB281A"/>
    <w:rsid w:val="00CB38FF"/>
    <w:rsid w:val="00CB3B56"/>
    <w:rsid w:val="00CB543D"/>
    <w:rsid w:val="00CB7266"/>
    <w:rsid w:val="00CB7F9E"/>
    <w:rsid w:val="00CC009C"/>
    <w:rsid w:val="00CC16B6"/>
    <w:rsid w:val="00CC36DF"/>
    <w:rsid w:val="00CC6091"/>
    <w:rsid w:val="00CC63FB"/>
    <w:rsid w:val="00CD1112"/>
    <w:rsid w:val="00CD12A5"/>
    <w:rsid w:val="00CD337F"/>
    <w:rsid w:val="00CE4604"/>
    <w:rsid w:val="00CE60EE"/>
    <w:rsid w:val="00CE7EEE"/>
    <w:rsid w:val="00CF54DC"/>
    <w:rsid w:val="00CF73FB"/>
    <w:rsid w:val="00CF76C1"/>
    <w:rsid w:val="00CF7F49"/>
    <w:rsid w:val="00D001E4"/>
    <w:rsid w:val="00D006E1"/>
    <w:rsid w:val="00D00B9B"/>
    <w:rsid w:val="00D0531C"/>
    <w:rsid w:val="00D05967"/>
    <w:rsid w:val="00D113DE"/>
    <w:rsid w:val="00D21BB7"/>
    <w:rsid w:val="00D24A9A"/>
    <w:rsid w:val="00D250A5"/>
    <w:rsid w:val="00D26F6E"/>
    <w:rsid w:val="00D27309"/>
    <w:rsid w:val="00D31E30"/>
    <w:rsid w:val="00D34382"/>
    <w:rsid w:val="00D34CFD"/>
    <w:rsid w:val="00D406AB"/>
    <w:rsid w:val="00D4081D"/>
    <w:rsid w:val="00D45D29"/>
    <w:rsid w:val="00D462B0"/>
    <w:rsid w:val="00D463E2"/>
    <w:rsid w:val="00D46814"/>
    <w:rsid w:val="00D46961"/>
    <w:rsid w:val="00D47203"/>
    <w:rsid w:val="00D47E53"/>
    <w:rsid w:val="00D554C5"/>
    <w:rsid w:val="00D56390"/>
    <w:rsid w:val="00D569C2"/>
    <w:rsid w:val="00D569C5"/>
    <w:rsid w:val="00D615F8"/>
    <w:rsid w:val="00D644DF"/>
    <w:rsid w:val="00D70449"/>
    <w:rsid w:val="00D70632"/>
    <w:rsid w:val="00D71444"/>
    <w:rsid w:val="00D72350"/>
    <w:rsid w:val="00D7269E"/>
    <w:rsid w:val="00D7439F"/>
    <w:rsid w:val="00D7728D"/>
    <w:rsid w:val="00D80645"/>
    <w:rsid w:val="00D81957"/>
    <w:rsid w:val="00D83206"/>
    <w:rsid w:val="00D91146"/>
    <w:rsid w:val="00DA68FF"/>
    <w:rsid w:val="00DA70C4"/>
    <w:rsid w:val="00DA776E"/>
    <w:rsid w:val="00DB092F"/>
    <w:rsid w:val="00DB2326"/>
    <w:rsid w:val="00DB4539"/>
    <w:rsid w:val="00DB50ED"/>
    <w:rsid w:val="00DB626E"/>
    <w:rsid w:val="00DC07D2"/>
    <w:rsid w:val="00DC3354"/>
    <w:rsid w:val="00DC3926"/>
    <w:rsid w:val="00DC3B24"/>
    <w:rsid w:val="00DC5A04"/>
    <w:rsid w:val="00DD0901"/>
    <w:rsid w:val="00DD2B26"/>
    <w:rsid w:val="00DD2C77"/>
    <w:rsid w:val="00DD32A9"/>
    <w:rsid w:val="00DD6837"/>
    <w:rsid w:val="00DD77EC"/>
    <w:rsid w:val="00DE3695"/>
    <w:rsid w:val="00DE55C2"/>
    <w:rsid w:val="00DE59D4"/>
    <w:rsid w:val="00DF0433"/>
    <w:rsid w:val="00DF0B31"/>
    <w:rsid w:val="00DF284C"/>
    <w:rsid w:val="00DF32E9"/>
    <w:rsid w:val="00DF5904"/>
    <w:rsid w:val="00DF631D"/>
    <w:rsid w:val="00E01372"/>
    <w:rsid w:val="00E03963"/>
    <w:rsid w:val="00E04BEA"/>
    <w:rsid w:val="00E05E5B"/>
    <w:rsid w:val="00E06ED2"/>
    <w:rsid w:val="00E073C8"/>
    <w:rsid w:val="00E07DDF"/>
    <w:rsid w:val="00E101F7"/>
    <w:rsid w:val="00E105D1"/>
    <w:rsid w:val="00E10DC3"/>
    <w:rsid w:val="00E15559"/>
    <w:rsid w:val="00E15AB4"/>
    <w:rsid w:val="00E2059D"/>
    <w:rsid w:val="00E20E6B"/>
    <w:rsid w:val="00E22BD4"/>
    <w:rsid w:val="00E2313E"/>
    <w:rsid w:val="00E26989"/>
    <w:rsid w:val="00E41B67"/>
    <w:rsid w:val="00E5385B"/>
    <w:rsid w:val="00E53F86"/>
    <w:rsid w:val="00E54894"/>
    <w:rsid w:val="00E54E8C"/>
    <w:rsid w:val="00E56A6F"/>
    <w:rsid w:val="00E66F6A"/>
    <w:rsid w:val="00E679CA"/>
    <w:rsid w:val="00E72EA6"/>
    <w:rsid w:val="00E74E50"/>
    <w:rsid w:val="00E772AC"/>
    <w:rsid w:val="00E77B21"/>
    <w:rsid w:val="00E817CE"/>
    <w:rsid w:val="00E86014"/>
    <w:rsid w:val="00E94A8D"/>
    <w:rsid w:val="00E97C52"/>
    <w:rsid w:val="00EA2065"/>
    <w:rsid w:val="00EA5BB7"/>
    <w:rsid w:val="00EA7B8D"/>
    <w:rsid w:val="00EB0AF9"/>
    <w:rsid w:val="00EB3155"/>
    <w:rsid w:val="00EB4E9A"/>
    <w:rsid w:val="00EB5D9F"/>
    <w:rsid w:val="00EB6D80"/>
    <w:rsid w:val="00EC0F5E"/>
    <w:rsid w:val="00EC200A"/>
    <w:rsid w:val="00EC4E90"/>
    <w:rsid w:val="00EC6A5C"/>
    <w:rsid w:val="00ED2065"/>
    <w:rsid w:val="00ED7445"/>
    <w:rsid w:val="00EE1D73"/>
    <w:rsid w:val="00EE6825"/>
    <w:rsid w:val="00EF0C83"/>
    <w:rsid w:val="00EF2697"/>
    <w:rsid w:val="00EF48EF"/>
    <w:rsid w:val="00EF4C36"/>
    <w:rsid w:val="00EF6E9E"/>
    <w:rsid w:val="00F02E50"/>
    <w:rsid w:val="00F03744"/>
    <w:rsid w:val="00F068B5"/>
    <w:rsid w:val="00F06BCB"/>
    <w:rsid w:val="00F11C44"/>
    <w:rsid w:val="00F126B9"/>
    <w:rsid w:val="00F131FE"/>
    <w:rsid w:val="00F1660C"/>
    <w:rsid w:val="00F168D6"/>
    <w:rsid w:val="00F1794A"/>
    <w:rsid w:val="00F219A7"/>
    <w:rsid w:val="00F26E54"/>
    <w:rsid w:val="00F27EFB"/>
    <w:rsid w:val="00F32256"/>
    <w:rsid w:val="00F338A6"/>
    <w:rsid w:val="00F34D06"/>
    <w:rsid w:val="00F3573F"/>
    <w:rsid w:val="00F40D37"/>
    <w:rsid w:val="00F42733"/>
    <w:rsid w:val="00F43325"/>
    <w:rsid w:val="00F436F0"/>
    <w:rsid w:val="00F46D06"/>
    <w:rsid w:val="00F51071"/>
    <w:rsid w:val="00F56A20"/>
    <w:rsid w:val="00F5713F"/>
    <w:rsid w:val="00F60F68"/>
    <w:rsid w:val="00F61EEF"/>
    <w:rsid w:val="00F62D77"/>
    <w:rsid w:val="00F651B1"/>
    <w:rsid w:val="00F703D6"/>
    <w:rsid w:val="00F77CEA"/>
    <w:rsid w:val="00F81152"/>
    <w:rsid w:val="00F81C2E"/>
    <w:rsid w:val="00F83817"/>
    <w:rsid w:val="00F83B70"/>
    <w:rsid w:val="00F87B00"/>
    <w:rsid w:val="00F902D2"/>
    <w:rsid w:val="00F936A3"/>
    <w:rsid w:val="00F9382B"/>
    <w:rsid w:val="00F93BB5"/>
    <w:rsid w:val="00F9437A"/>
    <w:rsid w:val="00F965F0"/>
    <w:rsid w:val="00F97015"/>
    <w:rsid w:val="00F97330"/>
    <w:rsid w:val="00FA1FBA"/>
    <w:rsid w:val="00FA23DE"/>
    <w:rsid w:val="00FA2EFE"/>
    <w:rsid w:val="00FA5ADE"/>
    <w:rsid w:val="00FA6488"/>
    <w:rsid w:val="00FA64B7"/>
    <w:rsid w:val="00FA74B0"/>
    <w:rsid w:val="00FB0828"/>
    <w:rsid w:val="00FB19B3"/>
    <w:rsid w:val="00FB3609"/>
    <w:rsid w:val="00FB3ACD"/>
    <w:rsid w:val="00FB4C5B"/>
    <w:rsid w:val="00FB5C50"/>
    <w:rsid w:val="00FC4753"/>
    <w:rsid w:val="00FC51B0"/>
    <w:rsid w:val="00FC7231"/>
    <w:rsid w:val="00FD43F8"/>
    <w:rsid w:val="00FD5325"/>
    <w:rsid w:val="00FE3AA4"/>
    <w:rsid w:val="00FE6108"/>
    <w:rsid w:val="00FE74B0"/>
    <w:rsid w:val="00FE7D9B"/>
    <w:rsid w:val="00FF1BEA"/>
    <w:rsid w:val="00FF229F"/>
    <w:rsid w:val="00FF3756"/>
    <w:rsid w:val="00FF62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DF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link w:val="dotpointChar"/>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dotpointChar">
    <w:name w:val="dot point Char"/>
    <w:basedOn w:val="DefaultParagraphFont"/>
    <w:link w:val="dotpoint"/>
    <w:rsid w:val="008032FB"/>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8032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2FB"/>
    <w:rPr>
      <w:rFonts w:ascii="Tahoma" w:eastAsia="Times New Roman" w:hAnsi="Tahoma" w:cs="Tahoma"/>
      <w:sz w:val="16"/>
      <w:szCs w:val="16"/>
      <w:lang w:eastAsia="en-AU"/>
    </w:rPr>
  </w:style>
  <w:style w:type="paragraph" w:customStyle="1" w:styleId="Tabledotpoint20">
    <w:name w:val="Table dot point 2"/>
    <w:basedOn w:val="tabletext"/>
    <w:next w:val="tabletext"/>
    <w:rsid w:val="00E53F86"/>
    <w:pPr>
      <w:tabs>
        <w:tab w:val="num" w:pos="743"/>
      </w:tabs>
      <w:ind w:left="743" w:hanging="284"/>
    </w:pPr>
  </w:style>
  <w:style w:type="character" w:styleId="CommentReference">
    <w:name w:val="annotation reference"/>
    <w:basedOn w:val="DefaultParagraphFont"/>
    <w:uiPriority w:val="99"/>
    <w:semiHidden/>
    <w:unhideWhenUsed/>
    <w:rsid w:val="00E15AB4"/>
    <w:rPr>
      <w:sz w:val="16"/>
      <w:szCs w:val="16"/>
    </w:rPr>
  </w:style>
  <w:style w:type="paragraph" w:styleId="CommentText">
    <w:name w:val="annotation text"/>
    <w:basedOn w:val="Normal"/>
    <w:link w:val="CommentTextChar"/>
    <w:uiPriority w:val="99"/>
    <w:semiHidden/>
    <w:unhideWhenUsed/>
    <w:rsid w:val="00E15AB4"/>
    <w:rPr>
      <w:sz w:val="20"/>
    </w:rPr>
  </w:style>
  <w:style w:type="character" w:customStyle="1" w:styleId="CommentTextChar">
    <w:name w:val="Comment Text Char"/>
    <w:basedOn w:val="DefaultParagraphFont"/>
    <w:link w:val="CommentText"/>
    <w:uiPriority w:val="99"/>
    <w:semiHidden/>
    <w:rsid w:val="00E15AB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15AB4"/>
    <w:rPr>
      <w:b/>
      <w:bCs/>
    </w:rPr>
  </w:style>
  <w:style w:type="character" w:customStyle="1" w:styleId="CommentSubjectChar">
    <w:name w:val="Comment Subject Char"/>
    <w:basedOn w:val="CommentTextChar"/>
    <w:link w:val="CommentSubject"/>
    <w:uiPriority w:val="99"/>
    <w:semiHidden/>
    <w:rsid w:val="00E15AB4"/>
    <w:rPr>
      <w:rFonts w:ascii="Times New Roman" w:eastAsia="Times New Roman" w:hAnsi="Times New Roman" w:cs="Times New Roman"/>
      <w:b/>
      <w:bCs/>
      <w:sz w:val="20"/>
      <w:szCs w:val="20"/>
      <w:lang w:eastAsia="en-AU"/>
    </w:rPr>
  </w:style>
  <w:style w:type="paragraph" w:styleId="Revision">
    <w:name w:val="Revision"/>
    <w:hidden/>
    <w:uiPriority w:val="99"/>
    <w:semiHidden/>
    <w:rsid w:val="008A1BAE"/>
    <w:pPr>
      <w:spacing w:after="0" w:line="240" w:lineRule="auto"/>
    </w:pPr>
    <w:rPr>
      <w:rFonts w:ascii="Times New Roman" w:eastAsia="Times New Roman" w:hAnsi="Times New Roman" w:cs="Times New Roman"/>
      <w:szCs w:val="20"/>
      <w:lang w:eastAsia="en-AU"/>
    </w:rPr>
  </w:style>
  <w:style w:type="character" w:customStyle="1" w:styleId="referencingstyle0">
    <w:name w:val="referencingstyle"/>
    <w:basedOn w:val="DefaultParagraphFont"/>
    <w:rsid w:val="00250C8E"/>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link w:val="dotpointChar"/>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customStyle="1" w:styleId="dotpointChar">
    <w:name w:val="dot point Char"/>
    <w:basedOn w:val="DefaultParagraphFont"/>
    <w:link w:val="dotpoint"/>
    <w:rsid w:val="008032FB"/>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8032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2FB"/>
    <w:rPr>
      <w:rFonts w:ascii="Tahoma" w:eastAsia="Times New Roman" w:hAnsi="Tahoma" w:cs="Tahoma"/>
      <w:sz w:val="16"/>
      <w:szCs w:val="16"/>
      <w:lang w:eastAsia="en-AU"/>
    </w:rPr>
  </w:style>
  <w:style w:type="paragraph" w:customStyle="1" w:styleId="Tabledotpoint20">
    <w:name w:val="Table dot point 2"/>
    <w:basedOn w:val="tabletext"/>
    <w:next w:val="tabletext"/>
    <w:rsid w:val="00E53F86"/>
    <w:pPr>
      <w:tabs>
        <w:tab w:val="num" w:pos="743"/>
      </w:tabs>
      <w:ind w:left="743" w:hanging="284"/>
    </w:pPr>
  </w:style>
  <w:style w:type="character" w:styleId="CommentReference">
    <w:name w:val="annotation reference"/>
    <w:basedOn w:val="DefaultParagraphFont"/>
    <w:uiPriority w:val="99"/>
    <w:semiHidden/>
    <w:unhideWhenUsed/>
    <w:rsid w:val="00E15AB4"/>
    <w:rPr>
      <w:sz w:val="16"/>
      <w:szCs w:val="16"/>
    </w:rPr>
  </w:style>
  <w:style w:type="paragraph" w:styleId="CommentText">
    <w:name w:val="annotation text"/>
    <w:basedOn w:val="Normal"/>
    <w:link w:val="CommentTextChar"/>
    <w:uiPriority w:val="99"/>
    <w:semiHidden/>
    <w:unhideWhenUsed/>
    <w:rsid w:val="00E15AB4"/>
    <w:rPr>
      <w:sz w:val="20"/>
    </w:rPr>
  </w:style>
  <w:style w:type="character" w:customStyle="1" w:styleId="CommentTextChar">
    <w:name w:val="Comment Text Char"/>
    <w:basedOn w:val="DefaultParagraphFont"/>
    <w:link w:val="CommentText"/>
    <w:uiPriority w:val="99"/>
    <w:semiHidden/>
    <w:rsid w:val="00E15AB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15AB4"/>
    <w:rPr>
      <w:b/>
      <w:bCs/>
    </w:rPr>
  </w:style>
  <w:style w:type="character" w:customStyle="1" w:styleId="CommentSubjectChar">
    <w:name w:val="Comment Subject Char"/>
    <w:basedOn w:val="CommentTextChar"/>
    <w:link w:val="CommentSubject"/>
    <w:uiPriority w:val="99"/>
    <w:semiHidden/>
    <w:rsid w:val="00E15AB4"/>
    <w:rPr>
      <w:rFonts w:ascii="Times New Roman" w:eastAsia="Times New Roman" w:hAnsi="Times New Roman" w:cs="Times New Roman"/>
      <w:b/>
      <w:bCs/>
      <w:sz w:val="20"/>
      <w:szCs w:val="20"/>
      <w:lang w:eastAsia="en-AU"/>
    </w:rPr>
  </w:style>
  <w:style w:type="paragraph" w:styleId="Revision">
    <w:name w:val="Revision"/>
    <w:hidden/>
    <w:uiPriority w:val="99"/>
    <w:semiHidden/>
    <w:rsid w:val="008A1BAE"/>
    <w:pPr>
      <w:spacing w:after="0" w:line="240" w:lineRule="auto"/>
    </w:pPr>
    <w:rPr>
      <w:rFonts w:ascii="Times New Roman" w:eastAsia="Times New Roman" w:hAnsi="Times New Roman" w:cs="Times New Roman"/>
      <w:szCs w:val="20"/>
      <w:lang w:eastAsia="en-AU"/>
    </w:rPr>
  </w:style>
  <w:style w:type="character" w:customStyle="1" w:styleId="referencingstyle0">
    <w:name w:val="referencingstyle"/>
    <w:basedOn w:val="DefaultParagraphFont"/>
    <w:rsid w:val="00250C8E"/>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1563">
      <w:bodyDiv w:val="1"/>
      <w:marLeft w:val="0"/>
      <w:marRight w:val="0"/>
      <w:marTop w:val="0"/>
      <w:marBottom w:val="0"/>
      <w:divBdr>
        <w:top w:val="none" w:sz="0" w:space="0" w:color="auto"/>
        <w:left w:val="none" w:sz="0" w:space="0" w:color="auto"/>
        <w:bottom w:val="none" w:sz="0" w:space="0" w:color="auto"/>
        <w:right w:val="none" w:sz="0" w:space="0" w:color="auto"/>
      </w:divBdr>
      <w:divsChild>
        <w:div w:id="1571423119">
          <w:marLeft w:val="0"/>
          <w:marRight w:val="0"/>
          <w:marTop w:val="0"/>
          <w:marBottom w:val="0"/>
          <w:divBdr>
            <w:top w:val="none" w:sz="0" w:space="0" w:color="auto"/>
            <w:left w:val="none" w:sz="0" w:space="0" w:color="auto"/>
            <w:bottom w:val="none" w:sz="0" w:space="0" w:color="auto"/>
            <w:right w:val="none" w:sz="0" w:space="0" w:color="auto"/>
          </w:divBdr>
          <w:divsChild>
            <w:div w:id="382801383">
              <w:marLeft w:val="0"/>
              <w:marRight w:val="0"/>
              <w:marTop w:val="0"/>
              <w:marBottom w:val="0"/>
              <w:divBdr>
                <w:top w:val="none" w:sz="0" w:space="0" w:color="auto"/>
                <w:left w:val="none" w:sz="0" w:space="0" w:color="auto"/>
                <w:bottom w:val="none" w:sz="0" w:space="0" w:color="auto"/>
                <w:right w:val="none" w:sz="0" w:space="0" w:color="auto"/>
              </w:divBdr>
              <w:divsChild>
                <w:div w:id="1126393230">
                  <w:marLeft w:val="0"/>
                  <w:marRight w:val="0"/>
                  <w:marTop w:val="0"/>
                  <w:marBottom w:val="0"/>
                  <w:divBdr>
                    <w:top w:val="none" w:sz="0" w:space="0" w:color="auto"/>
                    <w:left w:val="none" w:sz="0" w:space="0" w:color="auto"/>
                    <w:bottom w:val="none" w:sz="0" w:space="0" w:color="auto"/>
                    <w:right w:val="none" w:sz="0" w:space="0" w:color="auto"/>
                  </w:divBdr>
                  <w:divsChild>
                    <w:div w:id="129134234">
                      <w:marLeft w:val="0"/>
                      <w:marRight w:val="0"/>
                      <w:marTop w:val="0"/>
                      <w:marBottom w:val="0"/>
                      <w:divBdr>
                        <w:top w:val="none" w:sz="0" w:space="0" w:color="auto"/>
                        <w:left w:val="none" w:sz="0" w:space="0" w:color="auto"/>
                        <w:bottom w:val="none" w:sz="0" w:space="0" w:color="auto"/>
                        <w:right w:val="none" w:sz="0" w:space="0" w:color="auto"/>
                      </w:divBdr>
                      <w:divsChild>
                        <w:div w:id="1142112314">
                          <w:marLeft w:val="0"/>
                          <w:marRight w:val="0"/>
                          <w:marTop w:val="0"/>
                          <w:marBottom w:val="0"/>
                          <w:divBdr>
                            <w:top w:val="none" w:sz="0" w:space="0" w:color="auto"/>
                            <w:left w:val="none" w:sz="0" w:space="0" w:color="auto"/>
                            <w:bottom w:val="none" w:sz="0" w:space="0" w:color="auto"/>
                            <w:right w:val="none" w:sz="0" w:space="0" w:color="auto"/>
                          </w:divBdr>
                          <w:divsChild>
                            <w:div w:id="1581909614">
                              <w:marLeft w:val="0"/>
                              <w:marRight w:val="0"/>
                              <w:marTop w:val="0"/>
                              <w:marBottom w:val="0"/>
                              <w:divBdr>
                                <w:top w:val="none" w:sz="0" w:space="0" w:color="auto"/>
                                <w:left w:val="none" w:sz="0" w:space="0" w:color="auto"/>
                                <w:bottom w:val="none" w:sz="0" w:space="0" w:color="auto"/>
                                <w:right w:val="none" w:sz="0" w:space="0" w:color="auto"/>
                              </w:divBdr>
                              <w:divsChild>
                                <w:div w:id="15806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135930">
      <w:bodyDiv w:val="1"/>
      <w:marLeft w:val="0"/>
      <w:marRight w:val="0"/>
      <w:marTop w:val="0"/>
      <w:marBottom w:val="0"/>
      <w:divBdr>
        <w:top w:val="none" w:sz="0" w:space="0" w:color="auto"/>
        <w:left w:val="none" w:sz="0" w:space="0" w:color="auto"/>
        <w:bottom w:val="none" w:sz="0" w:space="0" w:color="auto"/>
        <w:right w:val="none" w:sz="0" w:space="0" w:color="auto"/>
      </w:divBdr>
      <w:divsChild>
        <w:div w:id="1816069327">
          <w:marLeft w:val="0"/>
          <w:marRight w:val="0"/>
          <w:marTop w:val="0"/>
          <w:marBottom w:val="0"/>
          <w:divBdr>
            <w:top w:val="none" w:sz="0" w:space="0" w:color="auto"/>
            <w:left w:val="none" w:sz="0" w:space="0" w:color="auto"/>
            <w:bottom w:val="none" w:sz="0" w:space="0" w:color="auto"/>
            <w:right w:val="none" w:sz="0" w:space="0" w:color="auto"/>
          </w:divBdr>
          <w:divsChild>
            <w:div w:id="323094838">
              <w:marLeft w:val="0"/>
              <w:marRight w:val="0"/>
              <w:marTop w:val="0"/>
              <w:marBottom w:val="0"/>
              <w:divBdr>
                <w:top w:val="none" w:sz="0" w:space="0" w:color="auto"/>
                <w:left w:val="none" w:sz="0" w:space="0" w:color="auto"/>
                <w:bottom w:val="none" w:sz="0" w:space="0" w:color="auto"/>
                <w:right w:val="none" w:sz="0" w:space="0" w:color="auto"/>
              </w:divBdr>
              <w:divsChild>
                <w:div w:id="1678070940">
                  <w:marLeft w:val="0"/>
                  <w:marRight w:val="0"/>
                  <w:marTop w:val="0"/>
                  <w:marBottom w:val="0"/>
                  <w:divBdr>
                    <w:top w:val="none" w:sz="0" w:space="0" w:color="auto"/>
                    <w:left w:val="none" w:sz="0" w:space="0" w:color="auto"/>
                    <w:bottom w:val="none" w:sz="0" w:space="0" w:color="auto"/>
                    <w:right w:val="none" w:sz="0" w:space="0" w:color="auto"/>
                  </w:divBdr>
                  <w:divsChild>
                    <w:div w:id="105777275">
                      <w:marLeft w:val="0"/>
                      <w:marRight w:val="0"/>
                      <w:marTop w:val="0"/>
                      <w:marBottom w:val="0"/>
                      <w:divBdr>
                        <w:top w:val="none" w:sz="0" w:space="0" w:color="auto"/>
                        <w:left w:val="none" w:sz="0" w:space="0" w:color="auto"/>
                        <w:bottom w:val="none" w:sz="0" w:space="0" w:color="auto"/>
                        <w:right w:val="none" w:sz="0" w:space="0" w:color="auto"/>
                      </w:divBdr>
                      <w:divsChild>
                        <w:div w:id="1781296503">
                          <w:marLeft w:val="0"/>
                          <w:marRight w:val="0"/>
                          <w:marTop w:val="0"/>
                          <w:marBottom w:val="0"/>
                          <w:divBdr>
                            <w:top w:val="none" w:sz="0" w:space="0" w:color="auto"/>
                            <w:left w:val="none" w:sz="0" w:space="0" w:color="auto"/>
                            <w:bottom w:val="none" w:sz="0" w:space="0" w:color="auto"/>
                            <w:right w:val="none" w:sz="0" w:space="0" w:color="auto"/>
                          </w:divBdr>
                          <w:divsChild>
                            <w:div w:id="209923545">
                              <w:marLeft w:val="0"/>
                              <w:marRight w:val="0"/>
                              <w:marTop w:val="0"/>
                              <w:marBottom w:val="0"/>
                              <w:divBdr>
                                <w:top w:val="none" w:sz="0" w:space="0" w:color="auto"/>
                                <w:left w:val="none" w:sz="0" w:space="0" w:color="auto"/>
                                <w:bottom w:val="none" w:sz="0" w:space="0" w:color="auto"/>
                                <w:right w:val="none" w:sz="0" w:space="0" w:color="auto"/>
                              </w:divBdr>
                              <w:divsChild>
                                <w:div w:id="169107052">
                                  <w:marLeft w:val="0"/>
                                  <w:marRight w:val="0"/>
                                  <w:marTop w:val="0"/>
                                  <w:marBottom w:val="0"/>
                                  <w:divBdr>
                                    <w:top w:val="none" w:sz="0" w:space="0" w:color="auto"/>
                                    <w:left w:val="none" w:sz="0" w:space="0" w:color="auto"/>
                                    <w:bottom w:val="none" w:sz="0" w:space="0" w:color="auto"/>
                                    <w:right w:val="none" w:sz="0" w:space="0" w:color="auto"/>
                                  </w:divBdr>
                                  <w:divsChild>
                                    <w:div w:id="169872355">
                                      <w:marLeft w:val="0"/>
                                      <w:marRight w:val="0"/>
                                      <w:marTop w:val="0"/>
                                      <w:marBottom w:val="0"/>
                                      <w:divBdr>
                                        <w:top w:val="none" w:sz="0" w:space="0" w:color="auto"/>
                                        <w:left w:val="none" w:sz="0" w:space="0" w:color="auto"/>
                                        <w:bottom w:val="none" w:sz="0" w:space="0" w:color="auto"/>
                                        <w:right w:val="none" w:sz="0" w:space="0" w:color="auto"/>
                                      </w:divBdr>
                                      <w:divsChild>
                                        <w:div w:id="844831846">
                                          <w:marLeft w:val="0"/>
                                          <w:marRight w:val="0"/>
                                          <w:marTop w:val="75"/>
                                          <w:marBottom w:val="0"/>
                                          <w:divBdr>
                                            <w:top w:val="none" w:sz="0" w:space="0" w:color="auto"/>
                                            <w:left w:val="none" w:sz="0" w:space="0" w:color="auto"/>
                                            <w:bottom w:val="none" w:sz="0" w:space="0" w:color="auto"/>
                                            <w:right w:val="none" w:sz="0" w:space="0" w:color="auto"/>
                                          </w:divBdr>
                                          <w:divsChild>
                                            <w:div w:id="19139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462897">
      <w:bodyDiv w:val="1"/>
      <w:marLeft w:val="0"/>
      <w:marRight w:val="0"/>
      <w:marTop w:val="0"/>
      <w:marBottom w:val="0"/>
      <w:divBdr>
        <w:top w:val="none" w:sz="0" w:space="0" w:color="auto"/>
        <w:left w:val="none" w:sz="0" w:space="0" w:color="auto"/>
        <w:bottom w:val="none" w:sz="0" w:space="0" w:color="auto"/>
        <w:right w:val="none" w:sz="0" w:space="0" w:color="auto"/>
      </w:divBdr>
      <w:divsChild>
        <w:div w:id="774012617">
          <w:marLeft w:val="0"/>
          <w:marRight w:val="0"/>
          <w:marTop w:val="0"/>
          <w:marBottom w:val="0"/>
          <w:divBdr>
            <w:top w:val="single" w:sz="6" w:space="8" w:color="B8B8B8"/>
            <w:left w:val="none" w:sz="0" w:space="0" w:color="auto"/>
            <w:bottom w:val="none" w:sz="0" w:space="0" w:color="auto"/>
            <w:right w:val="none" w:sz="0" w:space="0" w:color="auto"/>
          </w:divBdr>
          <w:divsChild>
            <w:div w:id="322899169">
              <w:marLeft w:val="2"/>
              <w:marRight w:val="2"/>
              <w:marTop w:val="0"/>
              <w:marBottom w:val="0"/>
              <w:divBdr>
                <w:top w:val="single" w:sz="6" w:space="8" w:color="CDCCD4"/>
                <w:left w:val="single" w:sz="6" w:space="8" w:color="CDCCD4"/>
                <w:bottom w:val="single" w:sz="6" w:space="8" w:color="CDCCD4"/>
                <w:right w:val="single" w:sz="6" w:space="4" w:color="CDCCD4"/>
              </w:divBdr>
              <w:divsChild>
                <w:div w:id="1026059265">
                  <w:marLeft w:val="0"/>
                  <w:marRight w:val="0"/>
                  <w:marTop w:val="75"/>
                  <w:marBottom w:val="75"/>
                  <w:divBdr>
                    <w:top w:val="single" w:sz="6" w:space="8" w:color="CCCCD4"/>
                    <w:left w:val="single" w:sz="6" w:space="8" w:color="CCCCD4"/>
                    <w:bottom w:val="single" w:sz="6" w:space="8" w:color="CCCCD4"/>
                    <w:right w:val="single" w:sz="6" w:space="8" w:color="CCCCD4"/>
                  </w:divBdr>
                  <w:divsChild>
                    <w:div w:id="12788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781299936">
          <w:marLeft w:val="0"/>
          <w:marRight w:val="0"/>
          <w:marTop w:val="0"/>
          <w:marBottom w:val="0"/>
          <w:divBdr>
            <w:top w:val="single" w:sz="6" w:space="8" w:color="B8B8B8"/>
            <w:left w:val="none" w:sz="0" w:space="0" w:color="auto"/>
            <w:bottom w:val="none" w:sz="0" w:space="0" w:color="auto"/>
            <w:right w:val="none" w:sz="0" w:space="0" w:color="auto"/>
          </w:divBdr>
          <w:divsChild>
            <w:div w:id="413094620">
              <w:marLeft w:val="2"/>
              <w:marRight w:val="2"/>
              <w:marTop w:val="0"/>
              <w:marBottom w:val="0"/>
              <w:divBdr>
                <w:top w:val="single" w:sz="6" w:space="8" w:color="CDCCD4"/>
                <w:left w:val="single" w:sz="6" w:space="8" w:color="CDCCD4"/>
                <w:bottom w:val="single" w:sz="6" w:space="8" w:color="CDCCD4"/>
                <w:right w:val="single" w:sz="6" w:space="4" w:color="CDCCD4"/>
              </w:divBdr>
              <w:divsChild>
                <w:div w:id="1955287506">
                  <w:marLeft w:val="0"/>
                  <w:marRight w:val="0"/>
                  <w:marTop w:val="75"/>
                  <w:marBottom w:val="75"/>
                  <w:divBdr>
                    <w:top w:val="single" w:sz="6" w:space="8" w:color="CCCCD4"/>
                    <w:left w:val="single" w:sz="6" w:space="8" w:color="CCCCD4"/>
                    <w:bottom w:val="single" w:sz="6" w:space="8" w:color="CCCCD4"/>
                    <w:right w:val="single" w:sz="6" w:space="8" w:color="CCCCD4"/>
                  </w:divBdr>
                  <w:divsChild>
                    <w:div w:id="508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6588">
      <w:bodyDiv w:val="1"/>
      <w:marLeft w:val="0"/>
      <w:marRight w:val="0"/>
      <w:marTop w:val="0"/>
      <w:marBottom w:val="0"/>
      <w:divBdr>
        <w:top w:val="none" w:sz="0" w:space="0" w:color="auto"/>
        <w:left w:val="none" w:sz="0" w:space="0" w:color="auto"/>
        <w:bottom w:val="none" w:sz="0" w:space="0" w:color="auto"/>
        <w:right w:val="none" w:sz="0" w:space="0" w:color="auto"/>
      </w:divBdr>
      <w:divsChild>
        <w:div w:id="1257784299">
          <w:marLeft w:val="0"/>
          <w:marRight w:val="0"/>
          <w:marTop w:val="0"/>
          <w:marBottom w:val="0"/>
          <w:divBdr>
            <w:top w:val="single" w:sz="6" w:space="8" w:color="B8B8B8"/>
            <w:left w:val="none" w:sz="0" w:space="0" w:color="auto"/>
            <w:bottom w:val="none" w:sz="0" w:space="0" w:color="auto"/>
            <w:right w:val="none" w:sz="0" w:space="0" w:color="auto"/>
          </w:divBdr>
          <w:divsChild>
            <w:div w:id="194465546">
              <w:marLeft w:val="2"/>
              <w:marRight w:val="2"/>
              <w:marTop w:val="0"/>
              <w:marBottom w:val="0"/>
              <w:divBdr>
                <w:top w:val="single" w:sz="6" w:space="8" w:color="CDCCD4"/>
                <w:left w:val="single" w:sz="6" w:space="8" w:color="CDCCD4"/>
                <w:bottom w:val="single" w:sz="6" w:space="8" w:color="CDCCD4"/>
                <w:right w:val="single" w:sz="6" w:space="4" w:color="CDCCD4"/>
              </w:divBdr>
              <w:divsChild>
                <w:div w:id="1381826857">
                  <w:marLeft w:val="0"/>
                  <w:marRight w:val="0"/>
                  <w:marTop w:val="75"/>
                  <w:marBottom w:val="75"/>
                  <w:divBdr>
                    <w:top w:val="single" w:sz="6" w:space="8" w:color="CCCCD4"/>
                    <w:left w:val="single" w:sz="6" w:space="8" w:color="CCCCD4"/>
                    <w:bottom w:val="single" w:sz="6" w:space="8" w:color="CCCCD4"/>
                    <w:right w:val="single" w:sz="6" w:space="8" w:color="CCCCD4"/>
                  </w:divBdr>
                  <w:divsChild>
                    <w:div w:id="620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768327">
      <w:bodyDiv w:val="1"/>
      <w:marLeft w:val="0"/>
      <w:marRight w:val="0"/>
      <w:marTop w:val="0"/>
      <w:marBottom w:val="0"/>
      <w:divBdr>
        <w:top w:val="none" w:sz="0" w:space="0" w:color="auto"/>
        <w:left w:val="none" w:sz="0" w:space="0" w:color="auto"/>
        <w:bottom w:val="none" w:sz="0" w:space="0" w:color="auto"/>
        <w:right w:val="none" w:sz="0" w:space="0" w:color="auto"/>
      </w:divBdr>
    </w:div>
    <w:div w:id="695931419">
      <w:bodyDiv w:val="1"/>
      <w:marLeft w:val="0"/>
      <w:marRight w:val="0"/>
      <w:marTop w:val="0"/>
      <w:marBottom w:val="0"/>
      <w:divBdr>
        <w:top w:val="none" w:sz="0" w:space="0" w:color="auto"/>
        <w:left w:val="none" w:sz="0" w:space="0" w:color="auto"/>
        <w:bottom w:val="none" w:sz="0" w:space="0" w:color="auto"/>
        <w:right w:val="none" w:sz="0" w:space="0" w:color="auto"/>
      </w:divBdr>
      <w:divsChild>
        <w:div w:id="569922257">
          <w:marLeft w:val="0"/>
          <w:marRight w:val="0"/>
          <w:marTop w:val="0"/>
          <w:marBottom w:val="0"/>
          <w:divBdr>
            <w:top w:val="none" w:sz="0" w:space="0" w:color="auto"/>
            <w:left w:val="none" w:sz="0" w:space="0" w:color="auto"/>
            <w:bottom w:val="none" w:sz="0" w:space="0" w:color="auto"/>
            <w:right w:val="none" w:sz="0" w:space="0" w:color="auto"/>
          </w:divBdr>
          <w:divsChild>
            <w:div w:id="250968463">
              <w:marLeft w:val="-225"/>
              <w:marRight w:val="-225"/>
              <w:marTop w:val="0"/>
              <w:marBottom w:val="0"/>
              <w:divBdr>
                <w:top w:val="none" w:sz="0" w:space="0" w:color="auto"/>
                <w:left w:val="none" w:sz="0" w:space="0" w:color="auto"/>
                <w:bottom w:val="none" w:sz="0" w:space="0" w:color="auto"/>
                <w:right w:val="none" w:sz="0" w:space="0" w:color="auto"/>
              </w:divBdr>
              <w:divsChild>
                <w:div w:id="1206798188">
                  <w:marLeft w:val="0"/>
                  <w:marRight w:val="0"/>
                  <w:marTop w:val="0"/>
                  <w:marBottom w:val="0"/>
                  <w:divBdr>
                    <w:top w:val="none" w:sz="0" w:space="0" w:color="auto"/>
                    <w:left w:val="none" w:sz="0" w:space="0" w:color="auto"/>
                    <w:bottom w:val="none" w:sz="0" w:space="0" w:color="auto"/>
                    <w:right w:val="none" w:sz="0" w:space="0" w:color="auto"/>
                  </w:divBdr>
                  <w:divsChild>
                    <w:div w:id="9538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88259">
      <w:bodyDiv w:val="1"/>
      <w:marLeft w:val="0"/>
      <w:marRight w:val="0"/>
      <w:marTop w:val="0"/>
      <w:marBottom w:val="0"/>
      <w:divBdr>
        <w:top w:val="none" w:sz="0" w:space="0" w:color="auto"/>
        <w:left w:val="none" w:sz="0" w:space="0" w:color="auto"/>
        <w:bottom w:val="none" w:sz="0" w:space="0" w:color="auto"/>
        <w:right w:val="none" w:sz="0" w:space="0" w:color="auto"/>
      </w:divBdr>
      <w:divsChild>
        <w:div w:id="323626556">
          <w:marLeft w:val="0"/>
          <w:marRight w:val="0"/>
          <w:marTop w:val="0"/>
          <w:marBottom w:val="0"/>
          <w:divBdr>
            <w:top w:val="single" w:sz="6" w:space="8" w:color="B8B8B8"/>
            <w:left w:val="none" w:sz="0" w:space="0" w:color="auto"/>
            <w:bottom w:val="none" w:sz="0" w:space="0" w:color="auto"/>
            <w:right w:val="none" w:sz="0" w:space="0" w:color="auto"/>
          </w:divBdr>
          <w:divsChild>
            <w:div w:id="188029267">
              <w:marLeft w:val="2"/>
              <w:marRight w:val="2"/>
              <w:marTop w:val="0"/>
              <w:marBottom w:val="0"/>
              <w:divBdr>
                <w:top w:val="single" w:sz="6" w:space="8" w:color="CDCCD4"/>
                <w:left w:val="single" w:sz="6" w:space="8" w:color="CDCCD4"/>
                <w:bottom w:val="single" w:sz="6" w:space="8" w:color="CDCCD4"/>
                <w:right w:val="single" w:sz="6" w:space="4" w:color="CDCCD4"/>
              </w:divBdr>
              <w:divsChild>
                <w:div w:id="333413108">
                  <w:marLeft w:val="0"/>
                  <w:marRight w:val="0"/>
                  <w:marTop w:val="75"/>
                  <w:marBottom w:val="75"/>
                  <w:divBdr>
                    <w:top w:val="single" w:sz="6" w:space="8" w:color="CCCCD4"/>
                    <w:left w:val="single" w:sz="6" w:space="8" w:color="CCCCD4"/>
                    <w:bottom w:val="single" w:sz="6" w:space="8" w:color="CCCCD4"/>
                    <w:right w:val="single" w:sz="6" w:space="8" w:color="CCCCD4"/>
                  </w:divBdr>
                  <w:divsChild>
                    <w:div w:id="11157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56459">
      <w:bodyDiv w:val="1"/>
      <w:marLeft w:val="0"/>
      <w:marRight w:val="0"/>
      <w:marTop w:val="0"/>
      <w:marBottom w:val="0"/>
      <w:divBdr>
        <w:top w:val="none" w:sz="0" w:space="0" w:color="auto"/>
        <w:left w:val="none" w:sz="0" w:space="0" w:color="auto"/>
        <w:bottom w:val="none" w:sz="0" w:space="0" w:color="auto"/>
        <w:right w:val="none" w:sz="0" w:space="0" w:color="auto"/>
      </w:divBdr>
    </w:div>
    <w:div w:id="1588155086">
      <w:bodyDiv w:val="1"/>
      <w:marLeft w:val="0"/>
      <w:marRight w:val="0"/>
      <w:marTop w:val="0"/>
      <w:marBottom w:val="0"/>
      <w:divBdr>
        <w:top w:val="none" w:sz="0" w:space="0" w:color="auto"/>
        <w:left w:val="none" w:sz="0" w:space="0" w:color="auto"/>
        <w:bottom w:val="none" w:sz="0" w:space="0" w:color="auto"/>
        <w:right w:val="none" w:sz="0" w:space="0" w:color="auto"/>
      </w:divBdr>
    </w:div>
    <w:div w:id="1910143446">
      <w:bodyDiv w:val="1"/>
      <w:marLeft w:val="0"/>
      <w:marRight w:val="0"/>
      <w:marTop w:val="0"/>
      <w:marBottom w:val="0"/>
      <w:divBdr>
        <w:top w:val="none" w:sz="0" w:space="0" w:color="auto"/>
        <w:left w:val="none" w:sz="0" w:space="0" w:color="auto"/>
        <w:bottom w:val="none" w:sz="0" w:space="0" w:color="auto"/>
        <w:right w:val="none" w:sz="0" w:space="0" w:color="auto"/>
      </w:divBdr>
      <w:divsChild>
        <w:div w:id="672952241">
          <w:marLeft w:val="0"/>
          <w:marRight w:val="0"/>
          <w:marTop w:val="0"/>
          <w:marBottom w:val="0"/>
          <w:divBdr>
            <w:top w:val="none" w:sz="0" w:space="0" w:color="auto"/>
            <w:left w:val="none" w:sz="0" w:space="0" w:color="auto"/>
            <w:bottom w:val="none" w:sz="0" w:space="0" w:color="auto"/>
            <w:right w:val="none" w:sz="0" w:space="0" w:color="auto"/>
          </w:divBdr>
          <w:divsChild>
            <w:div w:id="872226549">
              <w:marLeft w:val="0"/>
              <w:marRight w:val="0"/>
              <w:marTop w:val="0"/>
              <w:marBottom w:val="0"/>
              <w:divBdr>
                <w:top w:val="none" w:sz="0" w:space="0" w:color="auto"/>
                <w:left w:val="none" w:sz="0" w:space="0" w:color="auto"/>
                <w:bottom w:val="none" w:sz="0" w:space="0" w:color="auto"/>
                <w:right w:val="none" w:sz="0" w:space="0" w:color="auto"/>
              </w:divBdr>
              <w:divsChild>
                <w:div w:id="1184898388">
                  <w:marLeft w:val="0"/>
                  <w:marRight w:val="0"/>
                  <w:marTop w:val="0"/>
                  <w:marBottom w:val="0"/>
                  <w:divBdr>
                    <w:top w:val="none" w:sz="0" w:space="0" w:color="auto"/>
                    <w:left w:val="none" w:sz="0" w:space="0" w:color="auto"/>
                    <w:bottom w:val="none" w:sz="0" w:space="0" w:color="auto"/>
                    <w:right w:val="none" w:sz="0" w:space="0" w:color="auto"/>
                  </w:divBdr>
                  <w:divsChild>
                    <w:div w:id="2136871926">
                      <w:marLeft w:val="0"/>
                      <w:marRight w:val="0"/>
                      <w:marTop w:val="0"/>
                      <w:marBottom w:val="0"/>
                      <w:divBdr>
                        <w:top w:val="none" w:sz="0" w:space="0" w:color="auto"/>
                        <w:left w:val="none" w:sz="0" w:space="0" w:color="auto"/>
                        <w:bottom w:val="none" w:sz="0" w:space="0" w:color="auto"/>
                        <w:right w:val="none" w:sz="0" w:space="0" w:color="auto"/>
                      </w:divBdr>
                      <w:divsChild>
                        <w:div w:id="329717284">
                          <w:marLeft w:val="0"/>
                          <w:marRight w:val="0"/>
                          <w:marTop w:val="0"/>
                          <w:marBottom w:val="0"/>
                          <w:divBdr>
                            <w:top w:val="none" w:sz="0" w:space="0" w:color="auto"/>
                            <w:left w:val="none" w:sz="0" w:space="0" w:color="auto"/>
                            <w:bottom w:val="none" w:sz="0" w:space="0" w:color="auto"/>
                            <w:right w:val="none" w:sz="0" w:space="0" w:color="auto"/>
                          </w:divBdr>
                          <w:divsChild>
                            <w:div w:id="1516849611">
                              <w:marLeft w:val="0"/>
                              <w:marRight w:val="0"/>
                              <w:marTop w:val="0"/>
                              <w:marBottom w:val="0"/>
                              <w:divBdr>
                                <w:top w:val="none" w:sz="0" w:space="0" w:color="auto"/>
                                <w:left w:val="none" w:sz="0" w:space="0" w:color="auto"/>
                                <w:bottom w:val="none" w:sz="0" w:space="0" w:color="auto"/>
                                <w:right w:val="none" w:sz="0" w:space="0" w:color="auto"/>
                              </w:divBdr>
                              <w:divsChild>
                                <w:div w:id="1931231649">
                                  <w:marLeft w:val="0"/>
                                  <w:marRight w:val="0"/>
                                  <w:marTop w:val="0"/>
                                  <w:marBottom w:val="0"/>
                                  <w:divBdr>
                                    <w:top w:val="none" w:sz="0" w:space="0" w:color="auto"/>
                                    <w:left w:val="none" w:sz="0" w:space="0" w:color="auto"/>
                                    <w:bottom w:val="none" w:sz="0" w:space="0" w:color="auto"/>
                                    <w:right w:val="none" w:sz="0" w:space="0" w:color="auto"/>
                                  </w:divBdr>
                                  <w:divsChild>
                                    <w:div w:id="885987416">
                                      <w:marLeft w:val="0"/>
                                      <w:marRight w:val="0"/>
                                      <w:marTop w:val="0"/>
                                      <w:marBottom w:val="0"/>
                                      <w:divBdr>
                                        <w:top w:val="none" w:sz="0" w:space="0" w:color="auto"/>
                                        <w:left w:val="none" w:sz="0" w:space="0" w:color="auto"/>
                                        <w:bottom w:val="none" w:sz="0" w:space="0" w:color="auto"/>
                                        <w:right w:val="none" w:sz="0" w:space="0" w:color="auto"/>
                                      </w:divBdr>
                                      <w:divsChild>
                                        <w:div w:id="109471422">
                                          <w:marLeft w:val="0"/>
                                          <w:marRight w:val="0"/>
                                          <w:marTop w:val="75"/>
                                          <w:marBottom w:val="0"/>
                                          <w:divBdr>
                                            <w:top w:val="none" w:sz="0" w:space="0" w:color="auto"/>
                                            <w:left w:val="none" w:sz="0" w:space="0" w:color="auto"/>
                                            <w:bottom w:val="none" w:sz="0" w:space="0" w:color="auto"/>
                                            <w:right w:val="none" w:sz="0" w:space="0" w:color="auto"/>
                                          </w:divBdr>
                                          <w:divsChild>
                                            <w:div w:id="14595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77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37" Type="http://schemas.openxmlformats.org/officeDocument/2006/relationships/footer" Target="footer1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oter" Target="footer15.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2018RG-302-623</_dlc_DocId>
    <TaxCatchAll xmlns="9f7bc583-7cbe-45b9-a2bd-8bbb6543b37e">
      <Value>7</Value>
    </TaxCatchAll>
    <_dlc_DocIdUrl xmlns="9f7bc583-7cbe-45b9-a2bd-8bbb6543b37e">
      <Url>http://tweb/sites/rg/iitd/rd/_layouts/15/DocIdRedir.aspx?ID=2018RG-302-623</Url>
      <Description>2018RG-302-623</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CC1B7260102564A889E25BC47867BC1" ma:contentTypeVersion="12323" ma:contentTypeDescription="" ma:contentTypeScope="" ma:versionID="6576b005e6bd66bac84a2b490d2b2cac">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40d72bbdc9daf5ad5ba89e69755f114b"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microsoft.com/sharepoint/v3"/>
    <ds:schemaRef ds:uri="9f7bc583-7cbe-45b9-a2bd-8bbb6543b37e"/>
    <ds:schemaRef ds:uri="http://www.w3.org/XML/1998/namespace"/>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1EEF8C7A-6F56-4C4D-B51C-8D77D5ADF651}">
  <ds:schemaRefs>
    <ds:schemaRef ds:uri="office.server.policy"/>
  </ds:schemaRefs>
</ds:datastoreItem>
</file>

<file path=customXml/itemProps4.xml><?xml version="1.0" encoding="utf-8"?>
<ds:datastoreItem xmlns:ds="http://schemas.openxmlformats.org/officeDocument/2006/customXml" ds:itemID="{4EA6609C-7048-42D0-8330-DB8A86E8A712}">
  <ds:schemaRefs>
    <ds:schemaRef ds:uri="http://schemas.microsoft.com/sharepoint/events"/>
  </ds:schemaRefs>
</ds:datastoreItem>
</file>

<file path=customXml/itemProps5.xml><?xml version="1.0" encoding="utf-8"?>
<ds:datastoreItem xmlns:ds="http://schemas.openxmlformats.org/officeDocument/2006/customXml" ds:itemID="{B7D83A91-B8BF-474B-B5AA-82AFF7C3B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EC064F-42D9-4FF1-9FDE-3A3C40C9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38</Pages>
  <Words>10779</Words>
  <Characters>55944</Characters>
  <Application>Microsoft Office Word</Application>
  <DocSecurity>0</DocSecurity>
  <Lines>1340</Lines>
  <Paragraphs>474</Paragraphs>
  <ScaleCrop>false</ScaleCrop>
  <HeadingPairs>
    <vt:vector size="2" baseType="variant">
      <vt:variant>
        <vt:lpstr>Title</vt:lpstr>
      </vt:variant>
      <vt:variant>
        <vt:i4>1</vt:i4>
      </vt:variant>
    </vt:vector>
  </HeadingPairs>
  <TitlesOfParts>
    <vt:vector size="1" baseType="lpstr">
      <vt:lpstr>Better targeting the R&amp;D Tax Incentive - </vt:lpstr>
    </vt:vector>
  </TitlesOfParts>
  <Company>Australian Government - The Treasury</Company>
  <LinksUpToDate>false</LinksUpToDate>
  <CharactersWithSpaces>66338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targeting the R&amp;D Tax Incentive - Exposure Draft Explanatory Materials</dc:title>
  <dc:creator>The Treasury</dc:creator>
  <cp:lastModifiedBy>Hill, Christine</cp:lastModifiedBy>
  <cp:revision>3</cp:revision>
  <cp:lastPrinted>2018-06-14T02:41:00Z</cp:lastPrinted>
  <dcterms:created xsi:type="dcterms:W3CDTF">2018-06-28T22:57:00Z</dcterms:created>
  <dcterms:modified xsi:type="dcterms:W3CDTF">2018-06-29T00:14:00Z</dcterms:modified>
</cp:coreProperties>
</file>