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6CD378" w14:textId="77777777" w:rsidR="00533459" w:rsidRDefault="00533459">
      <w:bookmarkStart w:id="0" w:name="_GoBack"/>
      <w:bookmarkEnd w:id="0"/>
    </w:p>
    <w:p w14:paraId="33F98DF8" w14:textId="77777777" w:rsidR="009E3109" w:rsidRDefault="009E3109" w:rsidP="009E3109">
      <w:pPr>
        <w:rPr>
          <w:b/>
          <w:sz w:val="28"/>
          <w:szCs w:val="28"/>
        </w:rPr>
      </w:pPr>
      <w:r>
        <w:rPr>
          <w:b/>
          <w:noProof/>
          <w:sz w:val="28"/>
          <w:szCs w:val="28"/>
          <w:lang w:eastAsia="en-AU"/>
        </w:rPr>
        <w:drawing>
          <wp:anchor distT="0" distB="0" distL="114300" distR="114300" simplePos="0" relativeHeight="251660288" behindDoc="0" locked="0" layoutInCell="1" allowOverlap="1" wp14:anchorId="785AE249" wp14:editId="51A7FA16">
            <wp:simplePos x="0" y="0"/>
            <wp:positionH relativeFrom="column">
              <wp:posOffset>1899285</wp:posOffset>
            </wp:positionH>
            <wp:positionV relativeFrom="paragraph">
              <wp:posOffset>252095</wp:posOffset>
            </wp:positionV>
            <wp:extent cx="2486025" cy="695325"/>
            <wp:effectExtent l="19050" t="0" r="9525" b="0"/>
            <wp:wrapNone/>
            <wp:docPr id="6" name="Picture 6" descr="CLUB HOZ 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UB HOZ POS.jpg"/>
                    <pic:cNvPicPr>
                      <a:picLocks noChangeAspect="1" noChangeArrowheads="1"/>
                    </pic:cNvPicPr>
                  </pic:nvPicPr>
                  <pic:blipFill>
                    <a:blip r:embed="rId14" cstate="print"/>
                    <a:srcRect l="6415" t="14778" r="3461" b="5911"/>
                    <a:stretch>
                      <a:fillRect/>
                    </a:stretch>
                  </pic:blipFill>
                  <pic:spPr bwMode="auto">
                    <a:xfrm>
                      <a:off x="0" y="0"/>
                      <a:ext cx="2486025" cy="695325"/>
                    </a:xfrm>
                    <a:prstGeom prst="rect">
                      <a:avLst/>
                    </a:prstGeom>
                    <a:noFill/>
                    <a:ln w="9525">
                      <a:noFill/>
                      <a:miter lim="800000"/>
                      <a:headEnd/>
                      <a:tailEnd/>
                    </a:ln>
                  </pic:spPr>
                </pic:pic>
              </a:graphicData>
            </a:graphic>
          </wp:anchor>
        </w:drawing>
      </w:r>
    </w:p>
    <w:p w14:paraId="07C821BD" w14:textId="77777777" w:rsidR="009E3109" w:rsidRDefault="009E3109" w:rsidP="009E3109">
      <w:pPr>
        <w:rPr>
          <w:b/>
          <w:sz w:val="28"/>
          <w:szCs w:val="28"/>
        </w:rPr>
      </w:pPr>
    </w:p>
    <w:p w14:paraId="23C2FD72" w14:textId="77777777" w:rsidR="009E3109" w:rsidRDefault="009E3109" w:rsidP="009E3109">
      <w:pPr>
        <w:rPr>
          <w:b/>
          <w:sz w:val="28"/>
          <w:szCs w:val="28"/>
        </w:rPr>
      </w:pPr>
    </w:p>
    <w:p w14:paraId="0A81B138" w14:textId="77777777" w:rsidR="009E3109" w:rsidRDefault="00B40D5E" w:rsidP="009E3109">
      <w:pPr>
        <w:jc w:val="center"/>
        <w:rPr>
          <w:b/>
          <w:sz w:val="28"/>
          <w:szCs w:val="28"/>
        </w:rPr>
      </w:pPr>
      <w:r w:rsidRPr="00B40D5E">
        <w:rPr>
          <w:b/>
          <w:noProof/>
          <w:sz w:val="28"/>
          <w:szCs w:val="28"/>
          <w:lang w:eastAsia="en-AU"/>
        </w:rPr>
        <w:drawing>
          <wp:inline distT="0" distB="0" distL="0" distR="0" wp14:anchorId="343209AA" wp14:editId="7EA99945">
            <wp:extent cx="1895475" cy="1509954"/>
            <wp:effectExtent l="19050" t="0" r="9525" b="0"/>
            <wp:docPr id="3" name="Picture 1" descr="M:\Marketing Services\File Share Area\QIEC\1. ASSETS\LOGOS\VERTICAL WITH TAGLINE\CMYK\JPG\QIEC_VERTICAL_TAGLINE_CMYK_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rketing Services\File Share Area\QIEC\1. ASSETS\LOGOS\VERTICAL WITH TAGLINE\CMYK\JPG\QIEC_VERTICAL_TAGLINE_CMYK_FC.jpg"/>
                    <pic:cNvPicPr>
                      <a:picLocks noChangeAspect="1" noChangeArrowheads="1"/>
                    </pic:cNvPicPr>
                  </pic:nvPicPr>
                  <pic:blipFill>
                    <a:blip r:embed="rId15" cstate="print"/>
                    <a:srcRect/>
                    <a:stretch>
                      <a:fillRect/>
                    </a:stretch>
                  </pic:blipFill>
                  <pic:spPr bwMode="auto">
                    <a:xfrm>
                      <a:off x="0" y="0"/>
                      <a:ext cx="1907426" cy="1519474"/>
                    </a:xfrm>
                    <a:prstGeom prst="rect">
                      <a:avLst/>
                    </a:prstGeom>
                    <a:noFill/>
                    <a:ln w="9525">
                      <a:noFill/>
                      <a:miter lim="800000"/>
                      <a:headEnd/>
                      <a:tailEnd/>
                    </a:ln>
                  </pic:spPr>
                </pic:pic>
              </a:graphicData>
            </a:graphic>
          </wp:inline>
        </w:drawing>
      </w:r>
    </w:p>
    <w:p w14:paraId="2C786AAA" w14:textId="1C2668EF" w:rsidR="009E3109" w:rsidRDefault="009E3109" w:rsidP="004174AD">
      <w:pPr>
        <w:jc w:val="center"/>
        <w:rPr>
          <w:b/>
          <w:sz w:val="28"/>
          <w:szCs w:val="28"/>
        </w:rPr>
      </w:pPr>
    </w:p>
    <w:p w14:paraId="22A0D3E0" w14:textId="77777777" w:rsidR="009E3109" w:rsidRDefault="009E3109" w:rsidP="009E3109">
      <w:pPr>
        <w:rPr>
          <w:b/>
          <w:sz w:val="28"/>
          <w:szCs w:val="28"/>
        </w:rPr>
      </w:pPr>
    </w:p>
    <w:p w14:paraId="0EED033B" w14:textId="77777777" w:rsidR="009E3109" w:rsidRDefault="009E3109" w:rsidP="009E3109">
      <w:pPr>
        <w:rPr>
          <w:rFonts w:ascii="Arial" w:hAnsi="Arial" w:cs="Arial"/>
          <w:b/>
          <w:sz w:val="36"/>
          <w:szCs w:val="36"/>
        </w:rPr>
      </w:pPr>
    </w:p>
    <w:p w14:paraId="35A1B385" w14:textId="77777777" w:rsidR="009E3109" w:rsidRDefault="009E3109" w:rsidP="009E3109">
      <w:pPr>
        <w:rPr>
          <w:rFonts w:ascii="Arial" w:hAnsi="Arial" w:cs="Arial"/>
          <w:b/>
          <w:sz w:val="36"/>
          <w:szCs w:val="36"/>
        </w:rPr>
      </w:pPr>
      <w:r>
        <w:rPr>
          <w:rFonts w:ascii="Arial" w:hAnsi="Arial" w:cs="Arial"/>
          <w:b/>
          <w:sz w:val="36"/>
          <w:szCs w:val="36"/>
        </w:rPr>
        <w:br/>
      </w:r>
    </w:p>
    <w:p w14:paraId="658879B5" w14:textId="2205AFC7" w:rsidR="00F1444D" w:rsidRDefault="00F1444D" w:rsidP="00F1444D">
      <w:pPr>
        <w:jc w:val="center"/>
        <w:rPr>
          <w:b/>
          <w:sz w:val="40"/>
          <w:szCs w:val="40"/>
        </w:rPr>
      </w:pPr>
      <w:r>
        <w:rPr>
          <w:b/>
          <w:sz w:val="40"/>
          <w:szCs w:val="40"/>
        </w:rPr>
        <w:t>Submission in response to</w:t>
      </w:r>
      <w:r w:rsidR="00501782">
        <w:rPr>
          <w:b/>
          <w:sz w:val="40"/>
          <w:szCs w:val="40"/>
        </w:rPr>
        <w:t xml:space="preserve"> </w:t>
      </w:r>
      <w:r w:rsidR="003C4563">
        <w:rPr>
          <w:b/>
          <w:sz w:val="40"/>
          <w:szCs w:val="40"/>
        </w:rPr>
        <w:t xml:space="preserve">Treasury ‘Retirement Income </w:t>
      </w:r>
      <w:r w:rsidR="00625225">
        <w:rPr>
          <w:b/>
          <w:sz w:val="40"/>
          <w:szCs w:val="40"/>
        </w:rPr>
        <w:t>C</w:t>
      </w:r>
      <w:r w:rsidR="003C4563">
        <w:rPr>
          <w:b/>
          <w:sz w:val="40"/>
          <w:szCs w:val="40"/>
        </w:rPr>
        <w:t>ovenant’ position paper</w:t>
      </w:r>
    </w:p>
    <w:p w14:paraId="5ABFE61F" w14:textId="63066AF2" w:rsidR="00273B25" w:rsidRPr="00F1444D" w:rsidRDefault="00273B25" w:rsidP="00F1444D">
      <w:pPr>
        <w:jc w:val="center"/>
        <w:rPr>
          <w:b/>
          <w:sz w:val="40"/>
          <w:szCs w:val="40"/>
        </w:rPr>
      </w:pPr>
    </w:p>
    <w:p w14:paraId="0EEC0CCE" w14:textId="77777777" w:rsidR="00273B25" w:rsidRDefault="00273B25" w:rsidP="009E3109">
      <w:pPr>
        <w:jc w:val="right"/>
      </w:pPr>
    </w:p>
    <w:p w14:paraId="10B3F0A3" w14:textId="77777777" w:rsidR="00273B25" w:rsidRDefault="00273B25" w:rsidP="009E3109">
      <w:pPr>
        <w:jc w:val="right"/>
      </w:pPr>
    </w:p>
    <w:p w14:paraId="622360B9" w14:textId="6A9B88E7" w:rsidR="00322929" w:rsidRDefault="003C4563" w:rsidP="009E3109">
      <w:pPr>
        <w:jc w:val="right"/>
      </w:pPr>
      <w:r>
        <w:t>June</w:t>
      </w:r>
      <w:r w:rsidR="00E70C29">
        <w:t xml:space="preserve"> 2018</w:t>
      </w:r>
    </w:p>
    <w:p w14:paraId="02428C4D" w14:textId="0F84CC1F" w:rsidR="007234DA" w:rsidRPr="002C1CCD" w:rsidRDefault="00DC455A" w:rsidP="001B6BA5">
      <w:pPr>
        <w:pStyle w:val="ListParagraph"/>
        <w:numPr>
          <w:ilvl w:val="0"/>
          <w:numId w:val="1"/>
        </w:numPr>
        <w:ind w:left="426" w:hanging="426"/>
        <w:rPr>
          <w:rFonts w:ascii="Arial" w:hAnsi="Arial" w:cs="Arial"/>
          <w:b/>
          <w:sz w:val="32"/>
          <w:szCs w:val="32"/>
        </w:rPr>
      </w:pPr>
      <w:r>
        <w:br w:type="page"/>
      </w:r>
      <w:r w:rsidR="00E70C29" w:rsidRPr="00E70C29">
        <w:rPr>
          <w:rFonts w:ascii="Arial" w:hAnsi="Arial" w:cs="Arial"/>
          <w:b/>
          <w:sz w:val="32"/>
          <w:szCs w:val="32"/>
        </w:rPr>
        <w:lastRenderedPageBreak/>
        <w:t>Submission participants</w:t>
      </w:r>
      <w:r w:rsidR="00E70C29">
        <w:t xml:space="preserve"> </w:t>
      </w:r>
    </w:p>
    <w:p w14:paraId="4E0D1973" w14:textId="77777777" w:rsidR="002B1B9A" w:rsidRPr="006B44A0" w:rsidRDefault="002B1B9A" w:rsidP="002B1B9A">
      <w:pPr>
        <w:rPr>
          <w:rFonts w:ascii="Arial" w:hAnsi="Arial" w:cs="Arial"/>
        </w:rPr>
      </w:pPr>
      <w:r w:rsidRPr="006B44A0">
        <w:rPr>
          <w:rFonts w:ascii="Arial" w:hAnsi="Arial" w:cs="Arial"/>
        </w:rPr>
        <w:t>This submission is made by:</w:t>
      </w:r>
    </w:p>
    <w:p w14:paraId="05B4862C" w14:textId="2C86F5A9" w:rsidR="002B1B9A" w:rsidRPr="006B44A0" w:rsidRDefault="002B1B9A" w:rsidP="001B6BA5">
      <w:pPr>
        <w:pStyle w:val="ListParagraph"/>
        <w:numPr>
          <w:ilvl w:val="0"/>
          <w:numId w:val="2"/>
        </w:numPr>
        <w:spacing w:before="120" w:after="120" w:line="240" w:lineRule="auto"/>
        <w:ind w:left="760" w:hanging="357"/>
        <w:contextualSpacing w:val="0"/>
        <w:rPr>
          <w:rFonts w:ascii="Arial" w:hAnsi="Arial" w:cs="Arial"/>
        </w:rPr>
      </w:pPr>
      <w:r w:rsidRPr="006B44A0">
        <w:rPr>
          <w:rFonts w:ascii="Arial" w:hAnsi="Arial" w:cs="Arial"/>
        </w:rPr>
        <w:t xml:space="preserve">QIEC Super – a profit </w:t>
      </w:r>
      <w:r w:rsidR="00B40D5E" w:rsidRPr="006B44A0">
        <w:rPr>
          <w:rFonts w:ascii="Arial" w:hAnsi="Arial" w:cs="Arial"/>
        </w:rPr>
        <w:t xml:space="preserve">for members </w:t>
      </w:r>
      <w:r w:rsidRPr="006B44A0">
        <w:rPr>
          <w:rFonts w:ascii="Arial" w:hAnsi="Arial" w:cs="Arial"/>
        </w:rPr>
        <w:t>industry fund</w:t>
      </w:r>
      <w:r w:rsidR="0079350C" w:rsidRPr="006B44A0">
        <w:rPr>
          <w:rFonts w:ascii="Arial" w:hAnsi="Arial" w:cs="Arial"/>
        </w:rPr>
        <w:t>,</w:t>
      </w:r>
      <w:r w:rsidRPr="006B44A0">
        <w:rPr>
          <w:rFonts w:ascii="Arial" w:hAnsi="Arial" w:cs="Arial"/>
        </w:rPr>
        <w:t xml:space="preserve"> established specifically for the benefit of all participants in the non-Government education sector, child and other care and c</w:t>
      </w:r>
      <w:r w:rsidR="0016197D" w:rsidRPr="006B44A0">
        <w:rPr>
          <w:rFonts w:ascii="Arial" w:hAnsi="Arial" w:cs="Arial"/>
        </w:rPr>
        <w:t>ommunity services in Queensland;</w:t>
      </w:r>
    </w:p>
    <w:p w14:paraId="798C0B24" w14:textId="5991A27C" w:rsidR="002B1B9A" w:rsidRDefault="002B1B9A" w:rsidP="001B6BA5">
      <w:pPr>
        <w:pStyle w:val="ListParagraph"/>
        <w:numPr>
          <w:ilvl w:val="0"/>
          <w:numId w:val="2"/>
        </w:numPr>
        <w:spacing w:before="120" w:after="120" w:line="240" w:lineRule="auto"/>
        <w:ind w:left="760" w:hanging="357"/>
        <w:contextualSpacing w:val="0"/>
        <w:rPr>
          <w:rFonts w:ascii="Arial" w:hAnsi="Arial" w:cs="Arial"/>
        </w:rPr>
      </w:pPr>
      <w:r w:rsidRPr="006B44A0">
        <w:rPr>
          <w:rFonts w:ascii="Arial" w:hAnsi="Arial" w:cs="Arial"/>
        </w:rPr>
        <w:t xml:space="preserve">Club Super - a profit </w:t>
      </w:r>
      <w:r w:rsidR="00B40D5E" w:rsidRPr="006B44A0">
        <w:rPr>
          <w:rFonts w:ascii="Arial" w:hAnsi="Arial" w:cs="Arial"/>
        </w:rPr>
        <w:t xml:space="preserve">for members </w:t>
      </w:r>
      <w:r w:rsidRPr="006B44A0">
        <w:rPr>
          <w:rFonts w:ascii="Arial" w:hAnsi="Arial" w:cs="Arial"/>
        </w:rPr>
        <w:t>industry fund</w:t>
      </w:r>
      <w:r w:rsidR="0079350C" w:rsidRPr="006B44A0">
        <w:rPr>
          <w:rFonts w:ascii="Arial" w:hAnsi="Arial" w:cs="Arial"/>
        </w:rPr>
        <w:t>,</w:t>
      </w:r>
      <w:r w:rsidRPr="006B44A0">
        <w:rPr>
          <w:rFonts w:ascii="Arial" w:hAnsi="Arial" w:cs="Arial"/>
        </w:rPr>
        <w:t xml:space="preserve"> established specifically for the benefit of employees in the sporting and recreational clubs and asso</w:t>
      </w:r>
      <w:r w:rsidR="001369DE">
        <w:rPr>
          <w:rFonts w:ascii="Arial" w:hAnsi="Arial" w:cs="Arial"/>
        </w:rPr>
        <w:t>ciated industries in Queensland;</w:t>
      </w:r>
    </w:p>
    <w:p w14:paraId="7B828768" w14:textId="77777777" w:rsidR="001369DE" w:rsidRPr="001369DE" w:rsidRDefault="001369DE" w:rsidP="001369DE">
      <w:pPr>
        <w:spacing w:before="120" w:after="120" w:line="240" w:lineRule="auto"/>
        <w:rPr>
          <w:rFonts w:ascii="Arial" w:hAnsi="Arial" w:cs="Arial"/>
        </w:rPr>
      </w:pPr>
    </w:p>
    <w:p w14:paraId="19EF0D48" w14:textId="003E36D6" w:rsidR="00D0698C" w:rsidRDefault="00D454EA" w:rsidP="001B6BA5">
      <w:pPr>
        <w:pStyle w:val="ListParagraph"/>
        <w:numPr>
          <w:ilvl w:val="0"/>
          <w:numId w:val="1"/>
        </w:numPr>
        <w:ind w:left="426" w:hanging="426"/>
        <w:rPr>
          <w:rFonts w:ascii="Arial" w:eastAsia="Times New Roman" w:hAnsi="Arial" w:cs="Arial"/>
          <w:b/>
          <w:color w:val="0A2433"/>
          <w:sz w:val="28"/>
          <w:szCs w:val="28"/>
          <w:lang w:eastAsia="en-AU"/>
        </w:rPr>
      </w:pPr>
      <w:r>
        <w:rPr>
          <w:rFonts w:ascii="Arial" w:eastAsia="Times New Roman" w:hAnsi="Arial" w:cs="Arial"/>
          <w:b/>
          <w:color w:val="0A2433"/>
          <w:sz w:val="28"/>
          <w:szCs w:val="28"/>
          <w:lang w:eastAsia="en-AU"/>
        </w:rPr>
        <w:t>Introduction</w:t>
      </w:r>
    </w:p>
    <w:p w14:paraId="26B26946" w14:textId="4F352C2D" w:rsidR="006F21BE" w:rsidRDefault="003C4563" w:rsidP="003C4563">
      <w:pPr>
        <w:pStyle w:val="ListParagraph"/>
        <w:ind w:left="426"/>
        <w:rPr>
          <w:rFonts w:ascii="Arial" w:hAnsi="Arial" w:cs="Arial"/>
        </w:rPr>
      </w:pPr>
      <w:r w:rsidRPr="003C4563">
        <w:rPr>
          <w:rFonts w:ascii="Arial" w:hAnsi="Arial" w:cs="Arial"/>
        </w:rPr>
        <w:t xml:space="preserve">The </w:t>
      </w:r>
      <w:r w:rsidR="006F21BE">
        <w:rPr>
          <w:rFonts w:ascii="Arial" w:hAnsi="Arial" w:cs="Arial"/>
        </w:rPr>
        <w:t xml:space="preserve">Treasury position </w:t>
      </w:r>
      <w:r w:rsidRPr="003C4563">
        <w:rPr>
          <w:rFonts w:ascii="Arial" w:hAnsi="Arial" w:cs="Arial"/>
        </w:rPr>
        <w:t xml:space="preserve">paper outlines </w:t>
      </w:r>
      <w:r>
        <w:rPr>
          <w:rFonts w:ascii="Arial" w:hAnsi="Arial" w:cs="Arial"/>
        </w:rPr>
        <w:t>the Government’s intention to develop a retirement income framework</w:t>
      </w:r>
      <w:r w:rsidR="006F21BE">
        <w:rPr>
          <w:rFonts w:ascii="Arial" w:hAnsi="Arial" w:cs="Arial"/>
        </w:rPr>
        <w:t xml:space="preserve">.  </w:t>
      </w:r>
    </w:p>
    <w:p w14:paraId="371F6CEE" w14:textId="77777777" w:rsidR="006F21BE" w:rsidRDefault="006F21BE" w:rsidP="003C4563">
      <w:pPr>
        <w:pStyle w:val="ListParagraph"/>
        <w:ind w:left="426"/>
        <w:rPr>
          <w:rFonts w:ascii="Arial" w:hAnsi="Arial" w:cs="Arial"/>
        </w:rPr>
      </w:pPr>
    </w:p>
    <w:p w14:paraId="17D561CE" w14:textId="509404D4" w:rsidR="005F103E" w:rsidRDefault="005F103E" w:rsidP="002066D2">
      <w:pPr>
        <w:pStyle w:val="ListParagraph"/>
        <w:ind w:left="426"/>
        <w:rPr>
          <w:rFonts w:ascii="Arial" w:hAnsi="Arial" w:cs="Arial"/>
        </w:rPr>
      </w:pPr>
      <w:r>
        <w:rPr>
          <w:rFonts w:ascii="Arial" w:hAnsi="Arial" w:cs="Arial"/>
        </w:rPr>
        <w:t>The key elements of the proposed reti</w:t>
      </w:r>
      <w:r w:rsidR="002066D2">
        <w:rPr>
          <w:rFonts w:ascii="Arial" w:hAnsi="Arial" w:cs="Arial"/>
        </w:rPr>
        <w:t>rement income framework include t</w:t>
      </w:r>
      <w:r>
        <w:rPr>
          <w:rFonts w:ascii="Arial" w:hAnsi="Arial" w:cs="Arial"/>
        </w:rPr>
        <w:t>he introduction of a retirement covenant</w:t>
      </w:r>
      <w:r w:rsidR="002066D2">
        <w:rPr>
          <w:rFonts w:ascii="Arial" w:hAnsi="Arial" w:cs="Arial"/>
        </w:rPr>
        <w:t xml:space="preserve"> requiring Trustees to assist members to meet their retirement income objectives:</w:t>
      </w:r>
    </w:p>
    <w:p w14:paraId="41F96DCF" w14:textId="598A237D" w:rsidR="002066D2" w:rsidRDefault="002066D2" w:rsidP="002066D2">
      <w:pPr>
        <w:pStyle w:val="ListParagraph"/>
        <w:numPr>
          <w:ilvl w:val="0"/>
          <w:numId w:val="14"/>
        </w:numPr>
        <w:spacing w:before="120" w:after="120"/>
        <w:ind w:left="1145" w:hanging="357"/>
        <w:contextualSpacing w:val="0"/>
        <w:rPr>
          <w:rFonts w:ascii="Arial" w:hAnsi="Arial" w:cs="Arial"/>
        </w:rPr>
      </w:pPr>
      <w:r>
        <w:rPr>
          <w:rFonts w:ascii="Arial" w:hAnsi="Arial" w:cs="Arial"/>
        </w:rPr>
        <w:t xml:space="preserve">throughout retirement by developing a retirement income strategy for members; </w:t>
      </w:r>
    </w:p>
    <w:p w14:paraId="290EB345" w14:textId="141302AD" w:rsidR="002066D2" w:rsidRDefault="002066D2" w:rsidP="002066D2">
      <w:pPr>
        <w:pStyle w:val="ListParagraph"/>
        <w:numPr>
          <w:ilvl w:val="0"/>
          <w:numId w:val="14"/>
        </w:numPr>
        <w:spacing w:before="120" w:after="120"/>
        <w:ind w:left="1145" w:hanging="357"/>
        <w:contextualSpacing w:val="0"/>
        <w:rPr>
          <w:rFonts w:ascii="Arial" w:hAnsi="Arial" w:cs="Arial"/>
        </w:rPr>
      </w:pPr>
      <w:r>
        <w:rPr>
          <w:rFonts w:ascii="Arial" w:hAnsi="Arial" w:cs="Arial"/>
        </w:rPr>
        <w:t xml:space="preserve">by providing guidance to help members understand and make choices about the retirement income products offered by the </w:t>
      </w:r>
      <w:r w:rsidR="00BD06C6">
        <w:rPr>
          <w:rFonts w:ascii="Arial" w:hAnsi="Arial" w:cs="Arial"/>
        </w:rPr>
        <w:t>f</w:t>
      </w:r>
      <w:r>
        <w:rPr>
          <w:rFonts w:ascii="Arial" w:hAnsi="Arial" w:cs="Arial"/>
        </w:rPr>
        <w:t>und.</w:t>
      </w:r>
    </w:p>
    <w:p w14:paraId="59AAD986" w14:textId="6FE6704A" w:rsidR="006F21BE" w:rsidRPr="002066D2" w:rsidRDefault="002066D2" w:rsidP="002066D2">
      <w:pPr>
        <w:pStyle w:val="ListParagraph"/>
        <w:spacing w:before="120"/>
        <w:ind w:left="425"/>
        <w:contextualSpacing w:val="0"/>
        <w:rPr>
          <w:rFonts w:ascii="Arial" w:hAnsi="Arial" w:cs="Arial"/>
        </w:rPr>
      </w:pPr>
      <w:r>
        <w:rPr>
          <w:rFonts w:ascii="Arial" w:hAnsi="Arial" w:cs="Arial"/>
        </w:rPr>
        <w:t xml:space="preserve">A key component of the retirement income framework would be the </w:t>
      </w:r>
      <w:r w:rsidR="006F21BE">
        <w:rPr>
          <w:rFonts w:ascii="Arial" w:hAnsi="Arial" w:cs="Arial"/>
        </w:rPr>
        <w:t xml:space="preserve">compulsory offering of a Comprehensive Income Product for Retirement (CIPR) by all superannuation Trustees.  </w:t>
      </w:r>
    </w:p>
    <w:p w14:paraId="0DBE523F" w14:textId="4F7EAF19" w:rsidR="00E44998" w:rsidRDefault="006F21BE" w:rsidP="00E44998">
      <w:pPr>
        <w:pStyle w:val="ListParagraph"/>
        <w:spacing w:before="120" w:after="120"/>
        <w:ind w:left="425"/>
        <w:contextualSpacing w:val="0"/>
        <w:rPr>
          <w:rFonts w:ascii="Arial" w:hAnsi="Arial" w:cs="Arial"/>
        </w:rPr>
      </w:pPr>
      <w:r>
        <w:rPr>
          <w:rFonts w:ascii="Arial" w:hAnsi="Arial" w:cs="Arial"/>
        </w:rPr>
        <w:t>The position paper states that the introduction of a retirement income framework is</w:t>
      </w:r>
      <w:r w:rsidR="003C4563">
        <w:rPr>
          <w:rFonts w:ascii="Arial" w:hAnsi="Arial" w:cs="Arial"/>
        </w:rPr>
        <w:t xml:space="preserve"> to better align the retirement phase of superannuation with the Government’s </w:t>
      </w:r>
      <w:r w:rsidR="00D414AB">
        <w:rPr>
          <w:rFonts w:ascii="Arial" w:hAnsi="Arial" w:cs="Arial"/>
        </w:rPr>
        <w:t xml:space="preserve">proposed </w:t>
      </w:r>
      <w:r w:rsidR="003C4563">
        <w:rPr>
          <w:rFonts w:ascii="Arial" w:hAnsi="Arial" w:cs="Arial"/>
        </w:rPr>
        <w:t xml:space="preserve">objective for the superannuation system, which is to provide income in retirement to substitute or supplement the age pension.  </w:t>
      </w:r>
      <w:r w:rsidR="00D5004E">
        <w:rPr>
          <w:rFonts w:ascii="Arial" w:hAnsi="Arial" w:cs="Arial"/>
        </w:rPr>
        <w:t xml:space="preserve">While it is recognised that the Government has an interest in promoting the take up of CIPRS’s, this paper queries whether CIPR’s will actually be in the best interests of </w:t>
      </w:r>
      <w:r w:rsidR="00663BC1">
        <w:rPr>
          <w:rFonts w:ascii="Arial" w:hAnsi="Arial" w:cs="Arial"/>
        </w:rPr>
        <w:t xml:space="preserve">the majority of </w:t>
      </w:r>
      <w:r w:rsidR="00D5004E">
        <w:rPr>
          <w:rFonts w:ascii="Arial" w:hAnsi="Arial" w:cs="Arial"/>
        </w:rPr>
        <w:t xml:space="preserve">members. </w:t>
      </w:r>
    </w:p>
    <w:p w14:paraId="3F85CFBE" w14:textId="5C6820F7" w:rsidR="00625225" w:rsidRDefault="00663BC1" w:rsidP="00E44998">
      <w:pPr>
        <w:pStyle w:val="ListParagraph"/>
        <w:spacing w:before="120" w:after="120"/>
        <w:ind w:left="425"/>
        <w:contextualSpacing w:val="0"/>
        <w:rPr>
          <w:rFonts w:ascii="Arial" w:hAnsi="Arial" w:cs="Arial"/>
        </w:rPr>
      </w:pPr>
      <w:r>
        <w:rPr>
          <w:rFonts w:ascii="Arial" w:hAnsi="Arial" w:cs="Arial"/>
        </w:rPr>
        <w:t xml:space="preserve">We consider that the current income stream structure has worked well, as </w:t>
      </w:r>
      <w:r w:rsidR="00BD06C6">
        <w:rPr>
          <w:rFonts w:ascii="Arial" w:hAnsi="Arial" w:cs="Arial"/>
        </w:rPr>
        <w:t>Account Based Pensions (</w:t>
      </w:r>
      <w:r>
        <w:rPr>
          <w:rFonts w:ascii="Arial" w:hAnsi="Arial" w:cs="Arial"/>
        </w:rPr>
        <w:t>ABP</w:t>
      </w:r>
      <w:r w:rsidR="00BD06C6">
        <w:rPr>
          <w:rFonts w:ascii="Arial" w:hAnsi="Arial" w:cs="Arial"/>
        </w:rPr>
        <w:t>)</w:t>
      </w:r>
      <w:r>
        <w:rPr>
          <w:rFonts w:ascii="Arial" w:hAnsi="Arial" w:cs="Arial"/>
        </w:rPr>
        <w:t xml:space="preserve"> offer a simple, flexible and easy to manage solution for members in retirement.  </w:t>
      </w:r>
      <w:r w:rsidR="00625225">
        <w:rPr>
          <w:rFonts w:ascii="Arial" w:hAnsi="Arial" w:cs="Arial"/>
        </w:rPr>
        <w:t>ABP’s allow members to adapt their income stream to their evolving needs, by allow</w:t>
      </w:r>
      <w:r w:rsidR="00BD06C6">
        <w:rPr>
          <w:rFonts w:ascii="Arial" w:hAnsi="Arial" w:cs="Arial"/>
        </w:rPr>
        <w:t>ing</w:t>
      </w:r>
      <w:r w:rsidR="00625225">
        <w:rPr>
          <w:rFonts w:ascii="Arial" w:hAnsi="Arial" w:cs="Arial"/>
        </w:rPr>
        <w:t xml:space="preserve"> them to change their level and frequency of payments, or provide access to a lump sum, to deal with emergencies and other needs.  The reduced flexibility offered by a CIPR would adversely impact the lifestyle of many retirees. </w:t>
      </w:r>
    </w:p>
    <w:p w14:paraId="1A14793D" w14:textId="500F250C" w:rsidR="00D5004E" w:rsidRDefault="00625225" w:rsidP="00E44998">
      <w:pPr>
        <w:pStyle w:val="ListParagraph"/>
        <w:spacing w:before="120" w:after="120"/>
        <w:ind w:left="425"/>
        <w:contextualSpacing w:val="0"/>
        <w:rPr>
          <w:rFonts w:ascii="Arial" w:hAnsi="Arial" w:cs="Arial"/>
        </w:rPr>
      </w:pPr>
      <w:r>
        <w:rPr>
          <w:rFonts w:ascii="Arial" w:hAnsi="Arial" w:cs="Arial"/>
        </w:rPr>
        <w:t>In addition to an ABP, m</w:t>
      </w:r>
      <w:r w:rsidR="00663BC1">
        <w:rPr>
          <w:rFonts w:ascii="Arial" w:hAnsi="Arial" w:cs="Arial"/>
        </w:rPr>
        <w:t>any superannuation members also access a full or part age pension, which provides a fixed and secure source of income</w:t>
      </w:r>
      <w:r w:rsidR="003D573B">
        <w:rPr>
          <w:rFonts w:ascii="Arial" w:hAnsi="Arial" w:cs="Arial"/>
        </w:rPr>
        <w:t>.  When considered together</w:t>
      </w:r>
      <w:r w:rsidR="00663BC1">
        <w:rPr>
          <w:rFonts w:ascii="Arial" w:hAnsi="Arial" w:cs="Arial"/>
        </w:rPr>
        <w:t xml:space="preserve">, </w:t>
      </w:r>
      <w:r w:rsidR="003D573B">
        <w:rPr>
          <w:rFonts w:ascii="Arial" w:hAnsi="Arial" w:cs="Arial"/>
        </w:rPr>
        <w:t xml:space="preserve">this provides members with the security of a fixed income source, combined with the </w:t>
      </w:r>
      <w:r w:rsidR="00663BC1">
        <w:rPr>
          <w:rFonts w:ascii="Arial" w:hAnsi="Arial" w:cs="Arial"/>
        </w:rPr>
        <w:t>flexibility offered by ABP’s.  Introduction of CIPR’s would create two sources of fixed income, reducing income diversification and flexibility</w:t>
      </w:r>
      <w:r>
        <w:rPr>
          <w:rFonts w:ascii="Arial" w:hAnsi="Arial" w:cs="Arial"/>
        </w:rPr>
        <w:t xml:space="preserve">.  Additionally, having only fixed income sources (age pension and CIPR) would place members at the mercy of interest rates.  For the reasons outlined above, we consider CIPR’s may not be in the best interests of many members.  </w:t>
      </w:r>
    </w:p>
    <w:p w14:paraId="3F374342" w14:textId="77777777" w:rsidR="00C175B1" w:rsidRDefault="00C175B1" w:rsidP="00E44998">
      <w:pPr>
        <w:pStyle w:val="ListParagraph"/>
        <w:spacing w:before="120" w:after="120"/>
        <w:ind w:left="425"/>
        <w:contextualSpacing w:val="0"/>
        <w:rPr>
          <w:rFonts w:ascii="Arial" w:hAnsi="Arial" w:cs="Arial"/>
        </w:rPr>
      </w:pPr>
    </w:p>
    <w:p w14:paraId="08944B2E" w14:textId="77777777" w:rsidR="00F6448A" w:rsidRDefault="00F6448A" w:rsidP="00E44998">
      <w:pPr>
        <w:pStyle w:val="ListParagraph"/>
        <w:spacing w:before="120" w:after="120"/>
        <w:ind w:left="425"/>
        <w:contextualSpacing w:val="0"/>
        <w:rPr>
          <w:rFonts w:ascii="Arial" w:hAnsi="Arial" w:cs="Arial"/>
        </w:rPr>
      </w:pPr>
    </w:p>
    <w:p w14:paraId="3C14D996" w14:textId="77777777" w:rsidR="00F6448A" w:rsidRDefault="00F6448A" w:rsidP="00E44998">
      <w:pPr>
        <w:pStyle w:val="ListParagraph"/>
        <w:spacing w:before="120" w:after="120"/>
        <w:ind w:left="425"/>
        <w:contextualSpacing w:val="0"/>
        <w:rPr>
          <w:rFonts w:ascii="Arial" w:hAnsi="Arial" w:cs="Arial"/>
        </w:rPr>
      </w:pPr>
    </w:p>
    <w:p w14:paraId="242E2F65" w14:textId="1ADCF336" w:rsidR="00D5004E" w:rsidRPr="00D5004E" w:rsidRDefault="00D5004E" w:rsidP="00D5004E">
      <w:pPr>
        <w:pStyle w:val="ListParagraph"/>
        <w:numPr>
          <w:ilvl w:val="0"/>
          <w:numId w:val="1"/>
        </w:numPr>
        <w:ind w:left="426" w:hanging="426"/>
        <w:rPr>
          <w:rFonts w:ascii="Arial" w:eastAsia="Times New Roman" w:hAnsi="Arial" w:cs="Arial"/>
          <w:b/>
          <w:color w:val="0A2433"/>
          <w:sz w:val="28"/>
          <w:szCs w:val="28"/>
          <w:lang w:eastAsia="en-AU"/>
        </w:rPr>
      </w:pPr>
      <w:r w:rsidRPr="00D5004E">
        <w:rPr>
          <w:rFonts w:ascii="Arial" w:eastAsia="Times New Roman" w:hAnsi="Arial" w:cs="Arial"/>
          <w:b/>
          <w:color w:val="0A2433"/>
          <w:sz w:val="28"/>
          <w:szCs w:val="28"/>
          <w:lang w:eastAsia="en-AU"/>
        </w:rPr>
        <w:lastRenderedPageBreak/>
        <w:t>Executive summary</w:t>
      </w:r>
    </w:p>
    <w:p w14:paraId="6E2AD047" w14:textId="4A104027" w:rsidR="00E44998" w:rsidRDefault="00AF0384" w:rsidP="00AF0384">
      <w:pPr>
        <w:pStyle w:val="ListParagraph"/>
        <w:spacing w:before="240" w:after="120"/>
        <w:ind w:left="425"/>
        <w:contextualSpacing w:val="0"/>
        <w:rPr>
          <w:rFonts w:ascii="Arial" w:hAnsi="Arial" w:cs="Arial"/>
        </w:rPr>
      </w:pPr>
      <w:r>
        <w:rPr>
          <w:rFonts w:ascii="Arial" w:hAnsi="Arial" w:cs="Arial"/>
        </w:rPr>
        <w:t>We generally support the concept of Trustees having to comply with a retirement income covenant.  However, t</w:t>
      </w:r>
      <w:r w:rsidR="00E44998">
        <w:rPr>
          <w:rFonts w:ascii="Arial" w:hAnsi="Arial" w:cs="Arial"/>
        </w:rPr>
        <w:t xml:space="preserve">his submission raises a number of concerns with the </w:t>
      </w:r>
      <w:r>
        <w:rPr>
          <w:rFonts w:ascii="Arial" w:hAnsi="Arial" w:cs="Arial"/>
        </w:rPr>
        <w:t xml:space="preserve">CIPR’s </w:t>
      </w:r>
      <w:r w:rsidR="00E44998">
        <w:rPr>
          <w:rFonts w:ascii="Arial" w:hAnsi="Arial" w:cs="Arial"/>
        </w:rPr>
        <w:t>proposal, including:</w:t>
      </w:r>
    </w:p>
    <w:p w14:paraId="2A46FAB0" w14:textId="1C4BF3A7" w:rsidR="00E44998" w:rsidRDefault="00C22C75" w:rsidP="00E44998">
      <w:pPr>
        <w:pStyle w:val="ListParagraph"/>
        <w:numPr>
          <w:ilvl w:val="0"/>
          <w:numId w:val="18"/>
        </w:numPr>
        <w:spacing w:before="120" w:after="120"/>
        <w:ind w:left="1196" w:hanging="357"/>
        <w:contextualSpacing w:val="0"/>
        <w:rPr>
          <w:rFonts w:ascii="Arial" w:hAnsi="Arial" w:cs="Arial"/>
        </w:rPr>
      </w:pPr>
      <w:r>
        <w:rPr>
          <w:rFonts w:ascii="Arial" w:hAnsi="Arial" w:cs="Arial"/>
        </w:rPr>
        <w:t xml:space="preserve">compulsory offering of </w:t>
      </w:r>
      <w:r w:rsidR="00E44998">
        <w:rPr>
          <w:rFonts w:ascii="Arial" w:hAnsi="Arial" w:cs="Arial"/>
        </w:rPr>
        <w:t xml:space="preserve">CIPR’s </w:t>
      </w:r>
      <w:r>
        <w:rPr>
          <w:rFonts w:ascii="Arial" w:hAnsi="Arial" w:cs="Arial"/>
        </w:rPr>
        <w:t xml:space="preserve">by Trustees </w:t>
      </w:r>
      <w:r w:rsidR="00E44998">
        <w:rPr>
          <w:rFonts w:ascii="Arial" w:hAnsi="Arial" w:cs="Arial"/>
        </w:rPr>
        <w:t>;</w:t>
      </w:r>
    </w:p>
    <w:p w14:paraId="402CED80" w14:textId="5F1EE91E" w:rsidR="00E44998" w:rsidRDefault="00E44998" w:rsidP="00E44998">
      <w:pPr>
        <w:pStyle w:val="ListParagraph"/>
        <w:numPr>
          <w:ilvl w:val="0"/>
          <w:numId w:val="18"/>
        </w:numPr>
        <w:spacing w:before="120" w:after="120"/>
        <w:ind w:left="1196" w:hanging="357"/>
        <w:contextualSpacing w:val="0"/>
        <w:rPr>
          <w:rFonts w:ascii="Arial" w:hAnsi="Arial" w:cs="Arial"/>
        </w:rPr>
      </w:pPr>
      <w:r>
        <w:rPr>
          <w:rFonts w:ascii="Arial" w:hAnsi="Arial" w:cs="Arial"/>
        </w:rPr>
        <w:t xml:space="preserve">disincentives for members to invest in CIPR’s, and </w:t>
      </w:r>
      <w:r w:rsidR="00C22C75">
        <w:rPr>
          <w:rFonts w:ascii="Arial" w:hAnsi="Arial" w:cs="Arial"/>
        </w:rPr>
        <w:t xml:space="preserve">likely demand </w:t>
      </w:r>
      <w:r>
        <w:rPr>
          <w:rFonts w:ascii="Arial" w:hAnsi="Arial" w:cs="Arial"/>
        </w:rPr>
        <w:t>;</w:t>
      </w:r>
    </w:p>
    <w:p w14:paraId="0E2A5C7D" w14:textId="3FE20C33" w:rsidR="00E44998" w:rsidRDefault="00E44998" w:rsidP="00E44998">
      <w:pPr>
        <w:pStyle w:val="ListParagraph"/>
        <w:numPr>
          <w:ilvl w:val="0"/>
          <w:numId w:val="18"/>
        </w:numPr>
        <w:spacing w:before="120" w:after="120"/>
        <w:ind w:left="1196" w:hanging="357"/>
        <w:contextualSpacing w:val="0"/>
        <w:rPr>
          <w:rFonts w:ascii="Arial" w:hAnsi="Arial" w:cs="Arial"/>
        </w:rPr>
      </w:pPr>
      <w:r>
        <w:rPr>
          <w:rFonts w:ascii="Arial" w:hAnsi="Arial" w:cs="Arial"/>
        </w:rPr>
        <w:t xml:space="preserve">whether CIPR’s </w:t>
      </w:r>
      <w:r w:rsidR="00D5004E">
        <w:rPr>
          <w:rFonts w:ascii="Arial" w:hAnsi="Arial" w:cs="Arial"/>
        </w:rPr>
        <w:t xml:space="preserve">are </w:t>
      </w:r>
      <w:r w:rsidR="006F21BE">
        <w:rPr>
          <w:rFonts w:ascii="Arial" w:hAnsi="Arial" w:cs="Arial"/>
        </w:rPr>
        <w:t>likely to be in the best interests of the majority of members</w:t>
      </w:r>
      <w:r>
        <w:rPr>
          <w:rFonts w:ascii="Arial" w:hAnsi="Arial" w:cs="Arial"/>
        </w:rPr>
        <w:t>, and individual members;</w:t>
      </w:r>
    </w:p>
    <w:p w14:paraId="5754448D" w14:textId="428D3044" w:rsidR="00E44998" w:rsidRDefault="00E44998" w:rsidP="00E44998">
      <w:pPr>
        <w:pStyle w:val="ListParagraph"/>
        <w:numPr>
          <w:ilvl w:val="0"/>
          <w:numId w:val="18"/>
        </w:numPr>
        <w:spacing w:before="120" w:after="120"/>
        <w:ind w:left="1196" w:hanging="357"/>
        <w:contextualSpacing w:val="0"/>
        <w:rPr>
          <w:rFonts w:ascii="Arial" w:hAnsi="Arial" w:cs="Arial"/>
        </w:rPr>
      </w:pPr>
      <w:r>
        <w:rPr>
          <w:rFonts w:ascii="Arial" w:hAnsi="Arial" w:cs="Arial"/>
        </w:rPr>
        <w:t>whether proposed member consent to commence a CIPR is sufficient;</w:t>
      </w:r>
    </w:p>
    <w:p w14:paraId="72965AFC" w14:textId="0D2D6844" w:rsidR="00AF0384" w:rsidRDefault="00AF0384" w:rsidP="00E44998">
      <w:pPr>
        <w:pStyle w:val="ListParagraph"/>
        <w:numPr>
          <w:ilvl w:val="0"/>
          <w:numId w:val="18"/>
        </w:numPr>
        <w:spacing w:before="120" w:after="120"/>
        <w:ind w:left="1196" w:hanging="357"/>
        <w:contextualSpacing w:val="0"/>
        <w:rPr>
          <w:rFonts w:ascii="Arial" w:hAnsi="Arial" w:cs="Arial"/>
        </w:rPr>
      </w:pPr>
      <w:r>
        <w:rPr>
          <w:rFonts w:ascii="Arial" w:hAnsi="Arial" w:cs="Arial"/>
        </w:rPr>
        <w:t>introduction of standardised metrics;</w:t>
      </w:r>
    </w:p>
    <w:p w14:paraId="083725C2" w14:textId="2D0D23BC" w:rsidR="00E44998" w:rsidRDefault="00E44998" w:rsidP="00E44998">
      <w:pPr>
        <w:pStyle w:val="ListParagraph"/>
        <w:numPr>
          <w:ilvl w:val="0"/>
          <w:numId w:val="18"/>
        </w:numPr>
        <w:spacing w:before="120" w:after="120"/>
        <w:ind w:left="1196" w:hanging="357"/>
        <w:contextualSpacing w:val="0"/>
        <w:rPr>
          <w:rFonts w:ascii="Arial" w:hAnsi="Arial" w:cs="Arial"/>
        </w:rPr>
      </w:pPr>
      <w:r>
        <w:rPr>
          <w:rFonts w:ascii="Arial" w:hAnsi="Arial" w:cs="Arial"/>
        </w:rPr>
        <w:t>implications of partial or full outsourcing of CIPR products;</w:t>
      </w:r>
    </w:p>
    <w:p w14:paraId="3DA34DDD" w14:textId="257C33A2" w:rsidR="003C4563" w:rsidRDefault="00E44998" w:rsidP="00E44998">
      <w:pPr>
        <w:pStyle w:val="ListParagraph"/>
        <w:numPr>
          <w:ilvl w:val="0"/>
          <w:numId w:val="18"/>
        </w:numPr>
        <w:spacing w:before="120" w:after="120"/>
        <w:ind w:left="1196" w:hanging="357"/>
        <w:contextualSpacing w:val="0"/>
        <w:rPr>
          <w:rFonts w:ascii="Arial" w:hAnsi="Arial" w:cs="Arial"/>
        </w:rPr>
      </w:pPr>
      <w:r>
        <w:rPr>
          <w:rFonts w:ascii="Arial" w:hAnsi="Arial" w:cs="Arial"/>
        </w:rPr>
        <w:t>retirement income strategy considerations</w:t>
      </w:r>
    </w:p>
    <w:p w14:paraId="3482E2D3" w14:textId="461C2201" w:rsidR="003C4563" w:rsidRDefault="00C175B1" w:rsidP="003C4563">
      <w:pPr>
        <w:pStyle w:val="ListParagraph"/>
        <w:ind w:left="426"/>
        <w:rPr>
          <w:rFonts w:ascii="Arial" w:hAnsi="Arial" w:cs="Arial"/>
        </w:rPr>
      </w:pPr>
      <w:r>
        <w:rPr>
          <w:rFonts w:ascii="Arial" w:hAnsi="Arial" w:cs="Arial"/>
        </w:rPr>
        <w:t>These issues are expanded upon below.</w:t>
      </w:r>
    </w:p>
    <w:p w14:paraId="73FC207F" w14:textId="77777777" w:rsidR="00E44998" w:rsidRDefault="00E44998" w:rsidP="003C4563">
      <w:pPr>
        <w:pStyle w:val="ListParagraph"/>
        <w:ind w:left="426"/>
        <w:rPr>
          <w:rFonts w:ascii="Arial" w:hAnsi="Arial" w:cs="Arial"/>
        </w:rPr>
      </w:pPr>
    </w:p>
    <w:p w14:paraId="0BAA501D" w14:textId="0D6E4767" w:rsidR="006F21BE" w:rsidRPr="00C175B1" w:rsidRDefault="007B6E63" w:rsidP="00C175B1">
      <w:pPr>
        <w:pStyle w:val="ListParagraph"/>
        <w:numPr>
          <w:ilvl w:val="0"/>
          <w:numId w:val="1"/>
        </w:numPr>
        <w:ind w:left="426" w:hanging="426"/>
        <w:rPr>
          <w:rFonts w:ascii="Arial" w:eastAsia="Times New Roman" w:hAnsi="Arial" w:cs="Arial"/>
          <w:b/>
          <w:color w:val="0A2433"/>
          <w:sz w:val="28"/>
          <w:szCs w:val="28"/>
          <w:lang w:eastAsia="en-AU"/>
        </w:rPr>
      </w:pPr>
      <w:r>
        <w:rPr>
          <w:rFonts w:ascii="Arial" w:eastAsia="Times New Roman" w:hAnsi="Arial" w:cs="Arial"/>
          <w:b/>
          <w:color w:val="0A2433"/>
          <w:sz w:val="28"/>
          <w:szCs w:val="28"/>
          <w:lang w:eastAsia="en-AU"/>
        </w:rPr>
        <w:t>Nature and f</w:t>
      </w:r>
      <w:r w:rsidR="006F21BE" w:rsidRPr="006F21BE">
        <w:rPr>
          <w:rFonts w:ascii="Arial" w:eastAsia="Times New Roman" w:hAnsi="Arial" w:cs="Arial"/>
          <w:b/>
          <w:color w:val="0A2433"/>
          <w:sz w:val="28"/>
          <w:szCs w:val="28"/>
          <w:lang w:eastAsia="en-AU"/>
        </w:rPr>
        <w:t>eatures of CIPR’s</w:t>
      </w:r>
    </w:p>
    <w:p w14:paraId="3EE442D4" w14:textId="63B15760" w:rsidR="007B6E63" w:rsidRDefault="007B6E63" w:rsidP="00C175B1">
      <w:pPr>
        <w:pStyle w:val="ListParagraph"/>
        <w:spacing w:before="240"/>
        <w:ind w:left="425"/>
        <w:contextualSpacing w:val="0"/>
        <w:rPr>
          <w:rFonts w:ascii="Arial" w:hAnsi="Arial" w:cs="Arial"/>
          <w:u w:val="single"/>
        </w:rPr>
      </w:pPr>
      <w:r>
        <w:rPr>
          <w:rFonts w:ascii="Arial" w:hAnsi="Arial" w:cs="Arial"/>
          <w:u w:val="single"/>
        </w:rPr>
        <w:t>Compulsory offering of CIPR’s by Trustees</w:t>
      </w:r>
    </w:p>
    <w:p w14:paraId="4E066677" w14:textId="3F9A43C3" w:rsidR="005B47C0" w:rsidRDefault="007B6E63" w:rsidP="003C4563">
      <w:pPr>
        <w:pStyle w:val="ListParagraph"/>
        <w:ind w:left="426"/>
        <w:rPr>
          <w:rFonts w:ascii="Arial" w:hAnsi="Arial" w:cs="Arial"/>
        </w:rPr>
      </w:pPr>
      <w:r>
        <w:rPr>
          <w:rFonts w:ascii="Arial" w:hAnsi="Arial" w:cs="Arial"/>
        </w:rPr>
        <w:t xml:space="preserve">The paper proposes that Trustees will be required to comply with the </w:t>
      </w:r>
      <w:r w:rsidR="00D414AB">
        <w:rPr>
          <w:rFonts w:ascii="Arial" w:hAnsi="Arial" w:cs="Arial"/>
        </w:rPr>
        <w:t xml:space="preserve">new SIS Act </w:t>
      </w:r>
      <w:r>
        <w:rPr>
          <w:rFonts w:ascii="Arial" w:hAnsi="Arial" w:cs="Arial"/>
        </w:rPr>
        <w:t xml:space="preserve">retirement income covenant, and </w:t>
      </w:r>
      <w:r w:rsidR="004D3300">
        <w:rPr>
          <w:rFonts w:ascii="Arial" w:hAnsi="Arial" w:cs="Arial"/>
        </w:rPr>
        <w:t>must</w:t>
      </w:r>
      <w:r>
        <w:rPr>
          <w:rFonts w:ascii="Arial" w:hAnsi="Arial" w:cs="Arial"/>
        </w:rPr>
        <w:t xml:space="preserve"> offer a flagship CIPR from 1 July 2020.  </w:t>
      </w:r>
      <w:r w:rsidR="005B47C0">
        <w:rPr>
          <w:rFonts w:ascii="Arial" w:hAnsi="Arial" w:cs="Arial"/>
        </w:rPr>
        <w:t xml:space="preserve">To date, there has been very little interest and progress in the Australian market in the development and introduction of CIPR’s.  </w:t>
      </w:r>
    </w:p>
    <w:p w14:paraId="1977ADBB" w14:textId="77777777" w:rsidR="005B47C0" w:rsidRDefault="005B47C0" w:rsidP="003C4563">
      <w:pPr>
        <w:pStyle w:val="ListParagraph"/>
        <w:ind w:left="426"/>
        <w:rPr>
          <w:rFonts w:ascii="Arial" w:hAnsi="Arial" w:cs="Arial"/>
        </w:rPr>
      </w:pPr>
    </w:p>
    <w:p w14:paraId="1503E16B" w14:textId="3810B5BF" w:rsidR="00663BC1" w:rsidRDefault="004D3300" w:rsidP="003C4563">
      <w:pPr>
        <w:pStyle w:val="ListParagraph"/>
        <w:ind w:left="426"/>
        <w:rPr>
          <w:rFonts w:ascii="Arial" w:hAnsi="Arial" w:cs="Arial"/>
        </w:rPr>
      </w:pPr>
      <w:r>
        <w:rPr>
          <w:rFonts w:ascii="Arial" w:hAnsi="Arial" w:cs="Arial"/>
        </w:rPr>
        <w:t xml:space="preserve">The structure of CIPR’s, which represents a combination of </w:t>
      </w:r>
      <w:r w:rsidR="002461C7">
        <w:rPr>
          <w:rFonts w:ascii="Arial" w:hAnsi="Arial" w:cs="Arial"/>
        </w:rPr>
        <w:t xml:space="preserve">ABP </w:t>
      </w:r>
      <w:r>
        <w:rPr>
          <w:rFonts w:ascii="Arial" w:hAnsi="Arial" w:cs="Arial"/>
        </w:rPr>
        <w:t xml:space="preserve">and a pooled risk product (ie. Deferred Annuity), is necessarily </w:t>
      </w:r>
      <w:r w:rsidR="00101A30">
        <w:rPr>
          <w:rFonts w:ascii="Arial" w:hAnsi="Arial" w:cs="Arial"/>
        </w:rPr>
        <w:t xml:space="preserve">sophisticated and </w:t>
      </w:r>
      <w:r>
        <w:rPr>
          <w:rFonts w:ascii="Arial" w:hAnsi="Arial" w:cs="Arial"/>
        </w:rPr>
        <w:t xml:space="preserve">complex.  </w:t>
      </w:r>
      <w:r w:rsidR="003D4918">
        <w:rPr>
          <w:rFonts w:ascii="Arial" w:hAnsi="Arial" w:cs="Arial"/>
        </w:rPr>
        <w:t xml:space="preserve">Such products will undoubtedly require actuarial input, </w:t>
      </w:r>
      <w:r w:rsidR="0030425C">
        <w:rPr>
          <w:rFonts w:ascii="Arial" w:hAnsi="Arial" w:cs="Arial"/>
        </w:rPr>
        <w:t xml:space="preserve">and the Trustee will be required to enter into a partnership with </w:t>
      </w:r>
      <w:r w:rsidR="009957D0">
        <w:rPr>
          <w:rFonts w:ascii="Arial" w:hAnsi="Arial" w:cs="Arial"/>
        </w:rPr>
        <w:t>a</w:t>
      </w:r>
      <w:r w:rsidR="0030425C">
        <w:rPr>
          <w:rFonts w:ascii="Arial" w:hAnsi="Arial" w:cs="Arial"/>
        </w:rPr>
        <w:t xml:space="preserve"> life insurer (for the pooled risk component to address longevity risk).  CIPR’s </w:t>
      </w:r>
      <w:r w:rsidR="00D5004E">
        <w:rPr>
          <w:rFonts w:ascii="Arial" w:hAnsi="Arial" w:cs="Arial"/>
        </w:rPr>
        <w:t xml:space="preserve">will </w:t>
      </w:r>
      <w:r w:rsidR="0030425C">
        <w:rPr>
          <w:rFonts w:ascii="Arial" w:hAnsi="Arial" w:cs="Arial"/>
        </w:rPr>
        <w:t xml:space="preserve">also </w:t>
      </w:r>
      <w:r w:rsidR="00D5004E">
        <w:rPr>
          <w:rFonts w:ascii="Arial" w:hAnsi="Arial" w:cs="Arial"/>
        </w:rPr>
        <w:t>likely require maintenance of significant reserves by Trustees</w:t>
      </w:r>
      <w:r w:rsidR="003D4918">
        <w:rPr>
          <w:rFonts w:ascii="Arial" w:hAnsi="Arial" w:cs="Arial"/>
        </w:rPr>
        <w:t xml:space="preserve">.  </w:t>
      </w:r>
      <w:r w:rsidR="00663BC1">
        <w:rPr>
          <w:rFonts w:ascii="Arial" w:hAnsi="Arial" w:cs="Arial"/>
        </w:rPr>
        <w:t xml:space="preserve">A material allocation to reserves also has the potential to detract from the investment earnings applied to member accounts.  This may be considered an inappropriate outcome, particularly for those members who don’t take up a CIPR.  </w:t>
      </w:r>
    </w:p>
    <w:p w14:paraId="786C7108" w14:textId="77777777" w:rsidR="00663BC1" w:rsidRDefault="00663BC1" w:rsidP="003C4563">
      <w:pPr>
        <w:pStyle w:val="ListParagraph"/>
        <w:ind w:left="426"/>
        <w:rPr>
          <w:rFonts w:ascii="Arial" w:hAnsi="Arial" w:cs="Arial"/>
        </w:rPr>
      </w:pPr>
    </w:p>
    <w:p w14:paraId="2558DB33" w14:textId="024DDF4B" w:rsidR="004D3300" w:rsidRDefault="00C22C75" w:rsidP="003C4563">
      <w:pPr>
        <w:pStyle w:val="ListParagraph"/>
        <w:ind w:left="426"/>
        <w:rPr>
          <w:rFonts w:ascii="Arial" w:hAnsi="Arial" w:cs="Arial"/>
        </w:rPr>
      </w:pPr>
      <w:r>
        <w:rPr>
          <w:rFonts w:ascii="Arial" w:hAnsi="Arial" w:cs="Arial"/>
        </w:rPr>
        <w:t xml:space="preserve">In light of expected low take-up of CIPR’s (as set out below), providers will need to be conservative in pricing as risk may be spread over a small proportion of members. </w:t>
      </w:r>
      <w:r w:rsidR="00101A30">
        <w:rPr>
          <w:rFonts w:ascii="Arial" w:hAnsi="Arial" w:cs="Arial"/>
        </w:rPr>
        <w:t>As a result</w:t>
      </w:r>
      <w:r w:rsidR="00663BC1">
        <w:rPr>
          <w:rFonts w:ascii="Arial" w:hAnsi="Arial" w:cs="Arial"/>
        </w:rPr>
        <w:t xml:space="preserve"> of the above factors</w:t>
      </w:r>
      <w:r w:rsidR="00101A30">
        <w:rPr>
          <w:rFonts w:ascii="Arial" w:hAnsi="Arial" w:cs="Arial"/>
        </w:rPr>
        <w:t xml:space="preserve">, CIPR’s are expected to be more expensive than an </w:t>
      </w:r>
      <w:r w:rsidR="002461C7">
        <w:rPr>
          <w:rFonts w:ascii="Arial" w:hAnsi="Arial" w:cs="Arial"/>
        </w:rPr>
        <w:t>ABP</w:t>
      </w:r>
      <w:r w:rsidR="007C4CF6">
        <w:rPr>
          <w:rFonts w:ascii="Arial" w:hAnsi="Arial" w:cs="Arial"/>
        </w:rPr>
        <w:t xml:space="preserve"> and will have considerable complexity</w:t>
      </w:r>
      <w:r w:rsidR="00101A30">
        <w:rPr>
          <w:rFonts w:ascii="Arial" w:hAnsi="Arial" w:cs="Arial"/>
        </w:rPr>
        <w:t xml:space="preserve">.  </w:t>
      </w:r>
      <w:r w:rsidR="00477AAD">
        <w:rPr>
          <w:rFonts w:ascii="Arial" w:hAnsi="Arial" w:cs="Arial"/>
        </w:rPr>
        <w:t xml:space="preserve">  </w:t>
      </w:r>
    </w:p>
    <w:p w14:paraId="505DE7E4" w14:textId="77777777" w:rsidR="00D5004E" w:rsidRDefault="00D5004E" w:rsidP="003C4563">
      <w:pPr>
        <w:pStyle w:val="ListParagraph"/>
        <w:ind w:left="426"/>
        <w:rPr>
          <w:rFonts w:ascii="Arial" w:hAnsi="Arial" w:cs="Arial"/>
        </w:rPr>
      </w:pPr>
    </w:p>
    <w:p w14:paraId="29E7F8A0" w14:textId="33750767" w:rsidR="002C018A" w:rsidRDefault="00421C03" w:rsidP="003C4563">
      <w:pPr>
        <w:pStyle w:val="ListParagraph"/>
        <w:ind w:left="426"/>
        <w:rPr>
          <w:rFonts w:ascii="Arial" w:hAnsi="Arial" w:cs="Arial"/>
        </w:rPr>
      </w:pPr>
      <w:r>
        <w:rPr>
          <w:rFonts w:ascii="Arial" w:hAnsi="Arial" w:cs="Arial"/>
        </w:rPr>
        <w:t>The position paper also outlines that although the offering of a flagship CIPR is proposed to be compulsory, if Trustees have obtained reliable information (th</w:t>
      </w:r>
      <w:r w:rsidR="00F24A0B">
        <w:rPr>
          <w:rFonts w:ascii="Arial" w:hAnsi="Arial" w:cs="Arial"/>
        </w:rPr>
        <w:t>r</w:t>
      </w:r>
      <w:r>
        <w:rPr>
          <w:rFonts w:ascii="Arial" w:hAnsi="Arial" w:cs="Arial"/>
        </w:rPr>
        <w:t xml:space="preserve">ough financial advice), about an individual’s circumstances, the Trustee may offer them alternative retirement income products, if the Trustee deems it is in the best interests of the member to do so.  </w:t>
      </w:r>
      <w:r w:rsidR="002C018A">
        <w:rPr>
          <w:rFonts w:ascii="Arial" w:hAnsi="Arial" w:cs="Arial"/>
        </w:rPr>
        <w:t xml:space="preserve">This raises questions around Trustee liability.  For example, if a member has a balance of $20,000 and the Trustee determines it is in the best interests of the member to offer them a different product, presumably the member could still decide to choose a CIPR (even though the Trustee has deemed it not </w:t>
      </w:r>
      <w:r w:rsidR="008939AB">
        <w:rPr>
          <w:rFonts w:ascii="Arial" w:hAnsi="Arial" w:cs="Arial"/>
        </w:rPr>
        <w:t>in their best interests</w:t>
      </w:r>
      <w:r w:rsidR="002C018A">
        <w:rPr>
          <w:rFonts w:ascii="Arial" w:hAnsi="Arial" w:cs="Arial"/>
        </w:rPr>
        <w:t>).  Where would that leave the Trustee in terms of its obligation to act in the best interests of members?  Also, we question the proposed requirement for the Trustee to only be able to rely on ‘reliable information’ sourced from financial advice</w:t>
      </w:r>
      <w:r w:rsidR="008939AB">
        <w:rPr>
          <w:rFonts w:ascii="Arial" w:hAnsi="Arial" w:cs="Arial"/>
        </w:rPr>
        <w:t>, in offering an alternative retirement product to a member.  In the above example</w:t>
      </w:r>
      <w:r w:rsidR="009957D0">
        <w:rPr>
          <w:rFonts w:ascii="Arial" w:hAnsi="Arial" w:cs="Arial"/>
        </w:rPr>
        <w:t xml:space="preserve"> of a low retirement balance member</w:t>
      </w:r>
      <w:r w:rsidR="008939AB">
        <w:rPr>
          <w:rFonts w:ascii="Arial" w:hAnsi="Arial" w:cs="Arial"/>
        </w:rPr>
        <w:t>, financial advice is not required to conclude that a CIPR is unlikely to be appropriate for the member. This requires reconsideration.</w:t>
      </w:r>
    </w:p>
    <w:p w14:paraId="741930EF" w14:textId="77777777" w:rsidR="009957D0" w:rsidRDefault="009957D0" w:rsidP="003C4563">
      <w:pPr>
        <w:pStyle w:val="ListParagraph"/>
        <w:ind w:left="426"/>
        <w:rPr>
          <w:rFonts w:ascii="Arial" w:hAnsi="Arial" w:cs="Arial"/>
        </w:rPr>
      </w:pPr>
    </w:p>
    <w:p w14:paraId="057724C8" w14:textId="7D9924A3" w:rsidR="009957D0" w:rsidRDefault="00A16991" w:rsidP="003C4563">
      <w:pPr>
        <w:pStyle w:val="ListParagraph"/>
        <w:ind w:left="426"/>
        <w:rPr>
          <w:rFonts w:ascii="Arial" w:hAnsi="Arial" w:cs="Arial"/>
        </w:rPr>
      </w:pPr>
      <w:r>
        <w:rPr>
          <w:rFonts w:ascii="Arial" w:hAnsi="Arial" w:cs="Arial"/>
        </w:rPr>
        <w:t>We consider that there is merit in the introduction of a retirement income framework, requiring Trustees to actively consider the type of retirement income products they offer.  However, having regard to the factors outlined in this submission, including expected low demand, we consider that the offering of CIPR’s by superannuation funds should be voluntary.</w:t>
      </w:r>
    </w:p>
    <w:p w14:paraId="0A15F608" w14:textId="77777777" w:rsidR="00D414AB" w:rsidRDefault="00D414AB" w:rsidP="003C4563">
      <w:pPr>
        <w:pStyle w:val="ListParagraph"/>
        <w:ind w:left="426"/>
        <w:rPr>
          <w:rFonts w:ascii="Arial" w:hAnsi="Arial" w:cs="Arial"/>
        </w:rPr>
      </w:pPr>
    </w:p>
    <w:p w14:paraId="526E501D" w14:textId="59823F52" w:rsidR="004B29CB" w:rsidRPr="004B29CB" w:rsidRDefault="00D414AB" w:rsidP="00C175B1">
      <w:pPr>
        <w:pStyle w:val="ListParagraph"/>
        <w:ind w:left="425"/>
        <w:contextualSpacing w:val="0"/>
        <w:rPr>
          <w:rFonts w:ascii="Arial" w:hAnsi="Arial" w:cs="Arial"/>
          <w:u w:val="single"/>
        </w:rPr>
      </w:pPr>
      <w:r>
        <w:rPr>
          <w:rFonts w:ascii="Arial" w:hAnsi="Arial" w:cs="Arial"/>
          <w:u w:val="single"/>
        </w:rPr>
        <w:t>Disincentives to invest in CIPR’s</w:t>
      </w:r>
      <w:r w:rsidR="00C22C75">
        <w:rPr>
          <w:rFonts w:ascii="Arial" w:hAnsi="Arial" w:cs="Arial"/>
          <w:u w:val="single"/>
        </w:rPr>
        <w:t>, and likely demand</w:t>
      </w:r>
    </w:p>
    <w:p w14:paraId="142804AA" w14:textId="2D495943" w:rsidR="00172269" w:rsidRDefault="001E42C2" w:rsidP="00C175B1">
      <w:pPr>
        <w:pStyle w:val="ListParagraph"/>
        <w:spacing w:before="120"/>
        <w:ind w:left="425"/>
        <w:contextualSpacing w:val="0"/>
        <w:rPr>
          <w:rFonts w:ascii="Arial" w:hAnsi="Arial" w:cs="Arial"/>
        </w:rPr>
      </w:pPr>
      <w:r>
        <w:rPr>
          <w:rFonts w:ascii="Arial" w:hAnsi="Arial" w:cs="Arial"/>
        </w:rPr>
        <w:t xml:space="preserve">As above, </w:t>
      </w:r>
      <w:r w:rsidR="004B29CB">
        <w:rPr>
          <w:rFonts w:ascii="Arial" w:hAnsi="Arial" w:cs="Arial"/>
        </w:rPr>
        <w:t xml:space="preserve">CIPR’s will need to incorporate a pooled risk product from a life insurer.  The position paper contemplates a split in the member’s balance of </w:t>
      </w:r>
      <w:r>
        <w:rPr>
          <w:rFonts w:ascii="Arial" w:hAnsi="Arial" w:cs="Arial"/>
        </w:rPr>
        <w:t>approximately 80</w:t>
      </w:r>
      <w:r w:rsidR="004B29CB">
        <w:rPr>
          <w:rFonts w:ascii="Arial" w:hAnsi="Arial" w:cs="Arial"/>
        </w:rPr>
        <w:t xml:space="preserve">% </w:t>
      </w:r>
      <w:r>
        <w:rPr>
          <w:rFonts w:ascii="Arial" w:hAnsi="Arial" w:cs="Arial"/>
        </w:rPr>
        <w:t>ABP and 20</w:t>
      </w:r>
      <w:r w:rsidR="004B29CB">
        <w:rPr>
          <w:rFonts w:ascii="Arial" w:hAnsi="Arial" w:cs="Arial"/>
        </w:rPr>
        <w:t xml:space="preserve">% Pooled Risk product.  In relation to the monies invested in the Pooled Risk product, this </w:t>
      </w:r>
      <w:r w:rsidR="009957D0">
        <w:rPr>
          <w:rFonts w:ascii="Arial" w:hAnsi="Arial" w:cs="Arial"/>
        </w:rPr>
        <w:t>would</w:t>
      </w:r>
      <w:r w:rsidR="004B29CB">
        <w:rPr>
          <w:rFonts w:ascii="Arial" w:hAnsi="Arial" w:cs="Arial"/>
        </w:rPr>
        <w:t xml:space="preserve"> be forfeited to the life insurer if the member dies early.  The risk of losing capital is a longstanding disincentive for members to invest in life insurance products, and is considered to be a significant reason why the take up of life</w:t>
      </w:r>
      <w:r w:rsidR="00172269">
        <w:rPr>
          <w:rFonts w:ascii="Arial" w:hAnsi="Arial" w:cs="Arial"/>
        </w:rPr>
        <w:t xml:space="preserve">time pensions has been much lower than the take up of </w:t>
      </w:r>
      <w:r>
        <w:rPr>
          <w:rFonts w:ascii="Arial" w:hAnsi="Arial" w:cs="Arial"/>
        </w:rPr>
        <w:t>ABP’s</w:t>
      </w:r>
      <w:r w:rsidR="00DB4A4F">
        <w:rPr>
          <w:rFonts w:ascii="Arial" w:hAnsi="Arial" w:cs="Arial"/>
        </w:rPr>
        <w:t xml:space="preserve"> across the industry</w:t>
      </w:r>
      <w:r w:rsidR="00172269">
        <w:rPr>
          <w:rFonts w:ascii="Arial" w:hAnsi="Arial" w:cs="Arial"/>
        </w:rPr>
        <w:t xml:space="preserve">.  This same disincentive exists </w:t>
      </w:r>
      <w:r>
        <w:rPr>
          <w:rFonts w:ascii="Arial" w:hAnsi="Arial" w:cs="Arial"/>
        </w:rPr>
        <w:t xml:space="preserve">(in part) </w:t>
      </w:r>
      <w:r w:rsidR="00172269">
        <w:rPr>
          <w:rFonts w:ascii="Arial" w:hAnsi="Arial" w:cs="Arial"/>
        </w:rPr>
        <w:t xml:space="preserve">in relation to CIPR’s, and we consider this will be one factor which will discourage members from investing in CIPR’s.  </w:t>
      </w:r>
    </w:p>
    <w:p w14:paraId="6D04521B" w14:textId="729CE17F" w:rsidR="004B29CB" w:rsidRDefault="00DB4A4F" w:rsidP="003C4563">
      <w:pPr>
        <w:pStyle w:val="ListParagraph"/>
        <w:ind w:left="426"/>
        <w:rPr>
          <w:rFonts w:ascii="Arial" w:hAnsi="Arial" w:cs="Arial"/>
        </w:rPr>
      </w:pPr>
      <w:r>
        <w:rPr>
          <w:rFonts w:ascii="Arial" w:hAnsi="Arial" w:cs="Arial"/>
        </w:rPr>
        <w:t xml:space="preserve">However, it is recognised that there may be some members who will be attracted to the security offered by a CIPR in terms of addressing longevity risk, but the CIPR’s model as outlined in the position paper contemplates limited flexibility by </w:t>
      </w:r>
      <w:r w:rsidR="00921B45">
        <w:rPr>
          <w:rFonts w:ascii="Arial" w:hAnsi="Arial" w:cs="Arial"/>
        </w:rPr>
        <w:t xml:space="preserve">only </w:t>
      </w:r>
      <w:r>
        <w:rPr>
          <w:rFonts w:ascii="Arial" w:hAnsi="Arial" w:cs="Arial"/>
        </w:rPr>
        <w:t xml:space="preserve">allowing members to access to a lump sum payment, within limits.  </w:t>
      </w:r>
      <w:r w:rsidR="00921B45">
        <w:rPr>
          <w:rFonts w:ascii="Arial" w:hAnsi="Arial" w:cs="Arial"/>
        </w:rPr>
        <w:t xml:space="preserve">It is expected that many members will be reluctant to give up the greater flexibility offered by an </w:t>
      </w:r>
      <w:r w:rsidR="001E42C2">
        <w:rPr>
          <w:rFonts w:ascii="Arial" w:hAnsi="Arial" w:cs="Arial"/>
        </w:rPr>
        <w:t>ABP</w:t>
      </w:r>
      <w:r w:rsidR="00921B45">
        <w:rPr>
          <w:rFonts w:ascii="Arial" w:hAnsi="Arial" w:cs="Arial"/>
        </w:rPr>
        <w:t xml:space="preserve">, which provides for unlimited lump sum commutation.  It is recognised that </w:t>
      </w:r>
      <w:r w:rsidR="00DA3034">
        <w:rPr>
          <w:rFonts w:ascii="Arial" w:hAnsi="Arial" w:cs="Arial"/>
        </w:rPr>
        <w:t xml:space="preserve">the security </w:t>
      </w:r>
      <w:r w:rsidR="002B3DDA">
        <w:rPr>
          <w:rFonts w:ascii="Arial" w:hAnsi="Arial" w:cs="Arial"/>
        </w:rPr>
        <w:t xml:space="preserve">against longevity risk </w:t>
      </w:r>
      <w:r w:rsidR="00DA3034">
        <w:rPr>
          <w:rFonts w:ascii="Arial" w:hAnsi="Arial" w:cs="Arial"/>
        </w:rPr>
        <w:t xml:space="preserve">offered by a CIPR </w:t>
      </w:r>
      <w:r w:rsidR="002B3DDA">
        <w:rPr>
          <w:rFonts w:ascii="Arial" w:hAnsi="Arial" w:cs="Arial"/>
        </w:rPr>
        <w:t xml:space="preserve">(with limited flexibility), </w:t>
      </w:r>
      <w:r w:rsidR="00DA3034">
        <w:rPr>
          <w:rFonts w:ascii="Arial" w:hAnsi="Arial" w:cs="Arial"/>
        </w:rPr>
        <w:t xml:space="preserve">and the </w:t>
      </w:r>
      <w:r w:rsidR="002B3DDA">
        <w:rPr>
          <w:rFonts w:ascii="Arial" w:hAnsi="Arial" w:cs="Arial"/>
        </w:rPr>
        <w:t>greater flexibility offered by an</w:t>
      </w:r>
      <w:r w:rsidR="002B3DDA" w:rsidRPr="002B3DDA">
        <w:rPr>
          <w:rFonts w:ascii="Arial" w:hAnsi="Arial" w:cs="Arial"/>
        </w:rPr>
        <w:t xml:space="preserve"> </w:t>
      </w:r>
      <w:r w:rsidR="001E42C2">
        <w:rPr>
          <w:rFonts w:ascii="Arial" w:hAnsi="Arial" w:cs="Arial"/>
        </w:rPr>
        <w:t>ABP</w:t>
      </w:r>
      <w:r w:rsidR="002B3DDA">
        <w:rPr>
          <w:rFonts w:ascii="Arial" w:hAnsi="Arial" w:cs="Arial"/>
        </w:rPr>
        <w:t xml:space="preserve"> are in conflict.  When pressed to choose between the two products, we consider that most members </w:t>
      </w:r>
      <w:r w:rsidR="009957D0">
        <w:rPr>
          <w:rFonts w:ascii="Arial" w:hAnsi="Arial" w:cs="Arial"/>
        </w:rPr>
        <w:t>would</w:t>
      </w:r>
      <w:r w:rsidR="002B3DDA">
        <w:rPr>
          <w:rFonts w:ascii="Arial" w:hAnsi="Arial" w:cs="Arial"/>
        </w:rPr>
        <w:t xml:space="preserve"> opt to retain the greater flexibility offered by an </w:t>
      </w:r>
      <w:r w:rsidR="001E42C2">
        <w:rPr>
          <w:rFonts w:ascii="Arial" w:hAnsi="Arial" w:cs="Arial"/>
        </w:rPr>
        <w:t>ABP</w:t>
      </w:r>
      <w:r w:rsidR="002B3DDA">
        <w:rPr>
          <w:rFonts w:ascii="Arial" w:hAnsi="Arial" w:cs="Arial"/>
        </w:rPr>
        <w:t xml:space="preserve"> (without loss of capital on death), rather than a CIPR.</w:t>
      </w:r>
    </w:p>
    <w:p w14:paraId="6EC94C5C" w14:textId="77777777" w:rsidR="003D4918" w:rsidRDefault="003D4918" w:rsidP="003C4563">
      <w:pPr>
        <w:pStyle w:val="ListParagraph"/>
        <w:ind w:left="426"/>
        <w:rPr>
          <w:rFonts w:ascii="Arial" w:hAnsi="Arial" w:cs="Arial"/>
        </w:rPr>
      </w:pPr>
    </w:p>
    <w:p w14:paraId="3353BD7C" w14:textId="6637744C" w:rsidR="00C22C75" w:rsidRDefault="00C22C75" w:rsidP="003C4563">
      <w:pPr>
        <w:pStyle w:val="ListParagraph"/>
        <w:ind w:left="426"/>
        <w:rPr>
          <w:rFonts w:ascii="Arial" w:hAnsi="Arial" w:cs="Arial"/>
        </w:rPr>
      </w:pPr>
      <w:r>
        <w:rPr>
          <w:rFonts w:ascii="Arial" w:hAnsi="Arial" w:cs="Arial"/>
        </w:rPr>
        <w:t>As set out in the introduction, CIPR’s would also represent a higher cost product that provides reduced flexibility, with adverse lifestyle implications.</w:t>
      </w:r>
    </w:p>
    <w:p w14:paraId="2E9904DB" w14:textId="77777777" w:rsidR="00C22C75" w:rsidRDefault="00C22C75" w:rsidP="003C4563">
      <w:pPr>
        <w:pStyle w:val="ListParagraph"/>
        <w:ind w:left="426"/>
        <w:rPr>
          <w:rFonts w:ascii="Arial" w:hAnsi="Arial" w:cs="Arial"/>
        </w:rPr>
      </w:pPr>
    </w:p>
    <w:p w14:paraId="11447416" w14:textId="5D181A27" w:rsidR="00D414AB" w:rsidRDefault="00C22C75" w:rsidP="00C22C75">
      <w:pPr>
        <w:pStyle w:val="ListParagraph"/>
        <w:ind w:left="426"/>
        <w:rPr>
          <w:rFonts w:ascii="Arial" w:hAnsi="Arial" w:cs="Arial"/>
        </w:rPr>
      </w:pPr>
      <w:r>
        <w:rPr>
          <w:rFonts w:ascii="Arial" w:hAnsi="Arial" w:cs="Arial"/>
        </w:rPr>
        <w:t>In light of the factors outlined above, Trustees may be faced with a scenario where many members may not be attracted to a produc</w:t>
      </w:r>
      <w:r w:rsidR="00E96E9B">
        <w:rPr>
          <w:rFonts w:ascii="Arial" w:hAnsi="Arial" w:cs="Arial"/>
        </w:rPr>
        <w:t xml:space="preserve">t with complexity, </w:t>
      </w:r>
      <w:r w:rsidR="009957D0">
        <w:rPr>
          <w:rFonts w:ascii="Arial" w:hAnsi="Arial" w:cs="Arial"/>
        </w:rPr>
        <w:t>high cost</w:t>
      </w:r>
      <w:r w:rsidR="00E96E9B">
        <w:rPr>
          <w:rFonts w:ascii="Arial" w:hAnsi="Arial" w:cs="Arial"/>
        </w:rPr>
        <w:t>, reduced flexibility and potential for partial loss of capital on death</w:t>
      </w:r>
      <w:r w:rsidR="009957D0">
        <w:rPr>
          <w:rFonts w:ascii="Arial" w:hAnsi="Arial" w:cs="Arial"/>
        </w:rPr>
        <w:t>.  As a result,</w:t>
      </w:r>
      <w:r>
        <w:rPr>
          <w:rFonts w:ascii="Arial" w:hAnsi="Arial" w:cs="Arial"/>
        </w:rPr>
        <w:t xml:space="preserve"> the take-up of CIPR’s may be low, which would leave the broader membership bearing higher fees and costs for a product that few of them are actually members of, or even interested in.</w:t>
      </w:r>
      <w:r w:rsidR="00E96E9B">
        <w:rPr>
          <w:rFonts w:ascii="Arial" w:hAnsi="Arial" w:cs="Arial"/>
        </w:rPr>
        <w:t xml:space="preserve"> </w:t>
      </w:r>
    </w:p>
    <w:p w14:paraId="17450CC3" w14:textId="77777777" w:rsidR="00C175B1" w:rsidRPr="00AF0384" w:rsidRDefault="00C175B1" w:rsidP="00C22C75">
      <w:pPr>
        <w:pStyle w:val="ListParagraph"/>
        <w:ind w:left="426"/>
        <w:rPr>
          <w:rFonts w:ascii="Arial" w:hAnsi="Arial" w:cs="Arial"/>
        </w:rPr>
      </w:pPr>
    </w:p>
    <w:p w14:paraId="2663C4A9" w14:textId="5C7C5CE3" w:rsidR="00CC3ABE" w:rsidRPr="00CC3ABE" w:rsidRDefault="00CC3ABE" w:rsidP="00DA4552">
      <w:pPr>
        <w:pStyle w:val="ListParagraph"/>
        <w:spacing w:before="120" w:after="120"/>
        <w:ind w:left="425"/>
        <w:contextualSpacing w:val="0"/>
        <w:rPr>
          <w:rFonts w:ascii="Arial" w:hAnsi="Arial" w:cs="Arial"/>
          <w:u w:val="single"/>
        </w:rPr>
      </w:pPr>
      <w:r w:rsidRPr="00CC3ABE">
        <w:rPr>
          <w:rFonts w:ascii="Arial" w:hAnsi="Arial" w:cs="Arial"/>
          <w:u w:val="single"/>
        </w:rPr>
        <w:t>Member consent</w:t>
      </w:r>
    </w:p>
    <w:p w14:paraId="51C9CBBE" w14:textId="60A49F2B" w:rsidR="00555E7B" w:rsidRDefault="00CC3ABE" w:rsidP="00DA4552">
      <w:pPr>
        <w:pStyle w:val="ListParagraph"/>
        <w:spacing w:before="120" w:after="120"/>
        <w:ind w:left="425"/>
        <w:contextualSpacing w:val="0"/>
        <w:rPr>
          <w:rFonts w:ascii="Arial" w:hAnsi="Arial" w:cs="Arial"/>
        </w:rPr>
      </w:pPr>
      <w:r>
        <w:rPr>
          <w:rFonts w:ascii="Arial" w:hAnsi="Arial" w:cs="Arial"/>
        </w:rPr>
        <w:t xml:space="preserve">The position paper </w:t>
      </w:r>
      <w:r w:rsidR="00555E7B">
        <w:rPr>
          <w:rFonts w:ascii="Arial" w:hAnsi="Arial" w:cs="Arial"/>
        </w:rPr>
        <w:t xml:space="preserve">outlines that members will be required to </w:t>
      </w:r>
      <w:r w:rsidR="008939AB">
        <w:rPr>
          <w:rFonts w:ascii="Arial" w:hAnsi="Arial" w:cs="Arial"/>
        </w:rPr>
        <w:t xml:space="preserve">provide express </w:t>
      </w:r>
      <w:r w:rsidR="00555E7B">
        <w:rPr>
          <w:rFonts w:ascii="Arial" w:hAnsi="Arial" w:cs="Arial"/>
        </w:rPr>
        <w:t xml:space="preserve">consent to the opening of a CIPR for them.  Consent is already required for the opening of all retirement income products through the completion of an application form, so there is nothing new in that respect.  However, CIPR’s will contain far great complexity compared to an </w:t>
      </w:r>
      <w:r w:rsidR="001E42C2">
        <w:rPr>
          <w:rFonts w:ascii="Arial" w:hAnsi="Arial" w:cs="Arial"/>
        </w:rPr>
        <w:t>ABP</w:t>
      </w:r>
      <w:r w:rsidR="00555E7B">
        <w:rPr>
          <w:rFonts w:ascii="Arial" w:hAnsi="Arial" w:cs="Arial"/>
        </w:rPr>
        <w:t xml:space="preserve">, and will have greater potential for complaints.  For example, some members will likely change their mind after commencing a CIPR, and want to revert to full flexibility for commutation, and won’t be able to do so.  </w:t>
      </w:r>
      <w:r w:rsidR="00E62DA4">
        <w:rPr>
          <w:rFonts w:ascii="Arial" w:hAnsi="Arial" w:cs="Arial"/>
        </w:rPr>
        <w:t xml:space="preserve">Beneficiaries are likely to complain about loss of capital following the early death of a member.  </w:t>
      </w:r>
      <w:r w:rsidR="001E42C2">
        <w:rPr>
          <w:rFonts w:ascii="Arial" w:hAnsi="Arial" w:cs="Arial"/>
        </w:rPr>
        <w:t>Other complaints are likely around misunderstanding of the detailed rules of a CIPR</w:t>
      </w:r>
      <w:r w:rsidR="001E42C2" w:rsidRPr="00AF0384">
        <w:rPr>
          <w:rFonts w:ascii="Arial" w:hAnsi="Arial" w:cs="Arial"/>
        </w:rPr>
        <w:t>.</w:t>
      </w:r>
      <w:r w:rsidR="00AF0384" w:rsidRPr="00AF0384">
        <w:rPr>
          <w:rFonts w:ascii="Arial" w:hAnsi="Arial" w:cs="Arial"/>
        </w:rPr>
        <w:t xml:space="preserve">  In this context, it will be vital that Trustees are offered the ”safe harbour” protections described in the paper, while ensuring there remain protections for the members from bad advice. The balancing of these two competing priorities needs careful consideration.</w:t>
      </w:r>
    </w:p>
    <w:p w14:paraId="2A0453F9" w14:textId="2CFED11E" w:rsidR="00CC3ABE" w:rsidRDefault="00AF0384" w:rsidP="00DA4552">
      <w:pPr>
        <w:pStyle w:val="ListParagraph"/>
        <w:spacing w:before="120" w:after="120"/>
        <w:ind w:left="425"/>
        <w:contextualSpacing w:val="0"/>
        <w:rPr>
          <w:rFonts w:ascii="Arial" w:hAnsi="Arial" w:cs="Arial"/>
        </w:rPr>
      </w:pPr>
      <w:r>
        <w:rPr>
          <w:rFonts w:ascii="Arial" w:hAnsi="Arial" w:cs="Arial"/>
        </w:rPr>
        <w:t>Given the significant complexity of CIPR’s and the potential for complaints</w:t>
      </w:r>
      <w:r w:rsidR="00431F3C">
        <w:rPr>
          <w:rFonts w:ascii="Arial" w:hAnsi="Arial" w:cs="Arial"/>
        </w:rPr>
        <w:t>, it is questioned whether just requiring members to consent to the o</w:t>
      </w:r>
      <w:r w:rsidR="0028698F">
        <w:rPr>
          <w:rFonts w:ascii="Arial" w:hAnsi="Arial" w:cs="Arial"/>
        </w:rPr>
        <w:t>pening of a CIPR is sufficient.  The financial services industry lives by the mantra that members should not invest in products that they don’t understand</w:t>
      </w:r>
      <w:r w:rsidR="00F9165F">
        <w:rPr>
          <w:rFonts w:ascii="Arial" w:hAnsi="Arial" w:cs="Arial"/>
        </w:rPr>
        <w:t>, and Trustees are required to act in the best interest of members</w:t>
      </w:r>
      <w:r w:rsidR="0028698F">
        <w:rPr>
          <w:rFonts w:ascii="Arial" w:hAnsi="Arial" w:cs="Arial"/>
        </w:rPr>
        <w:t xml:space="preserve">.  It is doubtful that obtaining mere consent in the opening of a CIPR will be sufficient demonstration that the Trustee has acted in the best interests of each individual.  </w:t>
      </w:r>
    </w:p>
    <w:p w14:paraId="49B44EDC" w14:textId="0816B638" w:rsidR="004D3300" w:rsidRPr="00BE0BC8" w:rsidRDefault="00BE0BC8" w:rsidP="00C175B1">
      <w:pPr>
        <w:pStyle w:val="ListParagraph"/>
        <w:ind w:left="425"/>
        <w:contextualSpacing w:val="0"/>
        <w:rPr>
          <w:rFonts w:ascii="Arial" w:hAnsi="Arial" w:cs="Arial"/>
          <w:u w:val="single"/>
        </w:rPr>
      </w:pPr>
      <w:r w:rsidRPr="00BE0BC8">
        <w:rPr>
          <w:rFonts w:ascii="Arial" w:hAnsi="Arial" w:cs="Arial"/>
          <w:u w:val="single"/>
        </w:rPr>
        <w:t>Full or partial outsourcing of the CIPR product</w:t>
      </w:r>
    </w:p>
    <w:p w14:paraId="64D893F7" w14:textId="5C8BF884" w:rsidR="007B6E63" w:rsidRDefault="007B6E63" w:rsidP="00DA4552">
      <w:pPr>
        <w:pStyle w:val="ListParagraph"/>
        <w:spacing w:before="120" w:after="120"/>
        <w:ind w:left="425"/>
        <w:contextualSpacing w:val="0"/>
        <w:rPr>
          <w:rFonts w:ascii="Arial" w:hAnsi="Arial" w:cs="Arial"/>
        </w:rPr>
      </w:pPr>
      <w:r>
        <w:rPr>
          <w:rFonts w:ascii="Arial" w:hAnsi="Arial" w:cs="Arial"/>
        </w:rPr>
        <w:t xml:space="preserve">The paper provides that Trustees may decide to </w:t>
      </w:r>
      <w:r w:rsidR="004D3300">
        <w:rPr>
          <w:rFonts w:ascii="Arial" w:hAnsi="Arial" w:cs="Arial"/>
        </w:rPr>
        <w:t xml:space="preserve">offer their CIPR in part, or full, by a third party, if it is in the best interests of members.  </w:t>
      </w:r>
      <w:r w:rsidR="00BE0BC8">
        <w:rPr>
          <w:rFonts w:ascii="Arial" w:hAnsi="Arial" w:cs="Arial"/>
        </w:rPr>
        <w:t>We consider it will not be an option for the vast majority of superannuation funds to offer a CIPR alone, as they will not have the required authorisations to be able to offer pooled risk products themselves.  Consequently, most CIPR’s will either be a partially or fully outsourced product between a super</w:t>
      </w:r>
      <w:r w:rsidR="00E96E9B">
        <w:rPr>
          <w:rFonts w:ascii="Arial" w:hAnsi="Arial" w:cs="Arial"/>
        </w:rPr>
        <w:t>annuation fund and a life insurer</w:t>
      </w:r>
      <w:r w:rsidR="00BE0BC8">
        <w:rPr>
          <w:rFonts w:ascii="Arial" w:hAnsi="Arial" w:cs="Arial"/>
        </w:rPr>
        <w:t xml:space="preserve">.  Under the partially outsourced model, it is understood Trustees would run the </w:t>
      </w:r>
      <w:r w:rsidR="00E62DA4">
        <w:rPr>
          <w:rFonts w:ascii="Arial" w:hAnsi="Arial" w:cs="Arial"/>
        </w:rPr>
        <w:t>ABP</w:t>
      </w:r>
      <w:r w:rsidR="00BE0BC8">
        <w:rPr>
          <w:rFonts w:ascii="Arial" w:hAnsi="Arial" w:cs="Arial"/>
        </w:rPr>
        <w:t xml:space="preserve"> and would outsource the pooled risk product component to a life insurer.  Under the fully outsourced model, it is understood both the </w:t>
      </w:r>
      <w:r w:rsidR="00E62DA4">
        <w:rPr>
          <w:rFonts w:ascii="Arial" w:hAnsi="Arial" w:cs="Arial"/>
        </w:rPr>
        <w:t>ABP</w:t>
      </w:r>
      <w:r w:rsidR="00BE0BC8">
        <w:rPr>
          <w:rFonts w:ascii="Arial" w:hAnsi="Arial" w:cs="Arial"/>
        </w:rPr>
        <w:t xml:space="preserve"> and pooled risk product component would be outsourced to a life insurer.  </w:t>
      </w:r>
    </w:p>
    <w:p w14:paraId="7AC052FA" w14:textId="4F4A73E5" w:rsidR="00BE0BC8" w:rsidRDefault="00BB34B7" w:rsidP="00DA4552">
      <w:pPr>
        <w:pStyle w:val="ListParagraph"/>
        <w:spacing w:before="120" w:after="120"/>
        <w:ind w:left="425"/>
        <w:contextualSpacing w:val="0"/>
        <w:rPr>
          <w:rFonts w:ascii="Arial" w:hAnsi="Arial" w:cs="Arial"/>
        </w:rPr>
      </w:pPr>
      <w:r>
        <w:rPr>
          <w:rFonts w:ascii="Arial" w:hAnsi="Arial" w:cs="Arial"/>
        </w:rPr>
        <w:t xml:space="preserve">This raises a number of issues.  Firstly, the Trustees would retain responsibility </w:t>
      </w:r>
      <w:r w:rsidR="005003C5">
        <w:rPr>
          <w:rFonts w:ascii="Arial" w:hAnsi="Arial" w:cs="Arial"/>
        </w:rPr>
        <w:t xml:space="preserve">and accountability </w:t>
      </w:r>
      <w:r>
        <w:rPr>
          <w:rFonts w:ascii="Arial" w:hAnsi="Arial" w:cs="Arial"/>
        </w:rPr>
        <w:t xml:space="preserve">for the operation of the CIPR, but would have limited control in the operation of the product.  While Trustees would undoubtedly conduct appropriate due diligence before selecting an external provider, </w:t>
      </w:r>
      <w:r w:rsidR="005003C5">
        <w:rPr>
          <w:rFonts w:ascii="Arial" w:hAnsi="Arial" w:cs="Arial"/>
        </w:rPr>
        <w:t xml:space="preserve">this creates a troubling divergence between responsibility and control.  There would need to be tight legal arrangements in place to ensure that the Trustee is indemnified for any errors or misdeeds of the life insurer.  </w:t>
      </w:r>
    </w:p>
    <w:p w14:paraId="7F2D1C63" w14:textId="05CB9ED1" w:rsidR="005003C5" w:rsidRDefault="005003C5" w:rsidP="00DA4552">
      <w:pPr>
        <w:pStyle w:val="ListParagraph"/>
        <w:spacing w:before="120" w:after="120"/>
        <w:ind w:left="425"/>
        <w:contextualSpacing w:val="0"/>
        <w:rPr>
          <w:rFonts w:ascii="Arial" w:hAnsi="Arial" w:cs="Arial"/>
        </w:rPr>
      </w:pPr>
      <w:r>
        <w:rPr>
          <w:rFonts w:ascii="Arial" w:hAnsi="Arial" w:cs="Arial"/>
        </w:rPr>
        <w:t xml:space="preserve">Secondly, this creates issues around philosophy and values.  For example, industry funds operate on a not for profit model, whereas life </w:t>
      </w:r>
      <w:r w:rsidR="00E96E9B">
        <w:rPr>
          <w:rFonts w:ascii="Arial" w:hAnsi="Arial" w:cs="Arial"/>
        </w:rPr>
        <w:t>insurers</w:t>
      </w:r>
      <w:r>
        <w:rPr>
          <w:rFonts w:ascii="Arial" w:hAnsi="Arial" w:cs="Arial"/>
        </w:rPr>
        <w:t xml:space="preserve"> operate on a profit model.  The partial or full CIPR outsourcing model will undermine the values of industry funds, as they will be compelled to offer a CIPR (with a profit component).  </w:t>
      </w:r>
    </w:p>
    <w:p w14:paraId="06459F49" w14:textId="18A4D1AC" w:rsidR="003C4563" w:rsidRPr="006F21BE" w:rsidRDefault="006F21BE" w:rsidP="00C175B1">
      <w:pPr>
        <w:pStyle w:val="ListParagraph"/>
        <w:ind w:left="425"/>
        <w:contextualSpacing w:val="0"/>
        <w:rPr>
          <w:rFonts w:ascii="Arial" w:hAnsi="Arial" w:cs="Arial"/>
          <w:u w:val="single"/>
        </w:rPr>
      </w:pPr>
      <w:r w:rsidRPr="006F21BE">
        <w:rPr>
          <w:rFonts w:ascii="Arial" w:hAnsi="Arial" w:cs="Arial"/>
          <w:u w:val="single"/>
        </w:rPr>
        <w:t>Introduction of standardised metrics</w:t>
      </w:r>
    </w:p>
    <w:p w14:paraId="5A8D9F32" w14:textId="6B6A0F21" w:rsidR="005279B5" w:rsidRDefault="006F21BE" w:rsidP="00C62053">
      <w:pPr>
        <w:pStyle w:val="ListParagraph"/>
        <w:spacing w:before="120" w:after="120"/>
        <w:ind w:left="426"/>
        <w:contextualSpacing w:val="0"/>
        <w:rPr>
          <w:rFonts w:ascii="Arial" w:hAnsi="Arial" w:cs="Arial"/>
        </w:rPr>
      </w:pPr>
      <w:r>
        <w:rPr>
          <w:rFonts w:ascii="Arial" w:hAnsi="Arial" w:cs="Arial"/>
        </w:rPr>
        <w:t xml:space="preserve">The paper proposes that the Government </w:t>
      </w:r>
      <w:r w:rsidR="005279B5">
        <w:rPr>
          <w:rFonts w:ascii="Arial" w:hAnsi="Arial" w:cs="Arial"/>
        </w:rPr>
        <w:t xml:space="preserve">will require Trustees to disclose standardised metrics in relation to their retirement products offering.  It is noted that similar standardised metrics have previously been introduced for MySuper products, in the form of a MySuper dashboard.  In our experience, the MySuper dashboard is accessed by a very small proportion of members.  We expect that most superannuation funds in the industry would have a similar experience.  This reflects the relatively low levels of engagement across the superannuation industry.  As a result, the MySuper dashboard has proven to be more of a compliance burden for superannuation funds, rather than being an effective tool for members in comparing alternative products. </w:t>
      </w:r>
    </w:p>
    <w:p w14:paraId="712A5996" w14:textId="164C7119" w:rsidR="003C4563" w:rsidRDefault="005279B5" w:rsidP="00C62053">
      <w:pPr>
        <w:pStyle w:val="ListParagraph"/>
        <w:spacing w:before="120" w:after="120"/>
        <w:ind w:left="425"/>
        <w:contextualSpacing w:val="0"/>
        <w:rPr>
          <w:rFonts w:ascii="Arial" w:hAnsi="Arial" w:cs="Arial"/>
        </w:rPr>
      </w:pPr>
      <w:r>
        <w:rPr>
          <w:rFonts w:ascii="Arial" w:hAnsi="Arial" w:cs="Arial"/>
        </w:rPr>
        <w:t xml:space="preserve">Introduction of standardised metrics for retirement products runs the risk of similarly representing an additional compliance task for superannuation funds, without </w:t>
      </w:r>
      <w:r w:rsidR="007B6E63">
        <w:rPr>
          <w:rFonts w:ascii="Arial" w:hAnsi="Arial" w:cs="Arial"/>
        </w:rPr>
        <w:t>serving much practical purpose, unless engagement levels can be increased.</w:t>
      </w:r>
    </w:p>
    <w:p w14:paraId="06EC19FA" w14:textId="77777777" w:rsidR="00F6448A" w:rsidRDefault="00F6448A" w:rsidP="00C62053">
      <w:pPr>
        <w:pStyle w:val="ListParagraph"/>
        <w:spacing w:before="120" w:after="120"/>
        <w:ind w:left="425"/>
        <w:contextualSpacing w:val="0"/>
        <w:rPr>
          <w:rFonts w:ascii="Arial" w:hAnsi="Arial" w:cs="Arial"/>
        </w:rPr>
      </w:pPr>
    </w:p>
    <w:p w14:paraId="72804BAE" w14:textId="32B02C31" w:rsidR="007B6E63" w:rsidRPr="00F24A0B" w:rsidRDefault="00F24A0B" w:rsidP="00C175B1">
      <w:pPr>
        <w:pStyle w:val="ListParagraph"/>
        <w:ind w:left="425"/>
        <w:contextualSpacing w:val="0"/>
        <w:rPr>
          <w:rFonts w:ascii="Arial" w:hAnsi="Arial" w:cs="Arial"/>
          <w:u w:val="single"/>
        </w:rPr>
      </w:pPr>
      <w:r w:rsidRPr="00F24A0B">
        <w:rPr>
          <w:rFonts w:ascii="Arial" w:hAnsi="Arial" w:cs="Arial"/>
          <w:u w:val="single"/>
        </w:rPr>
        <w:t>Are CIPR’s in the best interests of members?</w:t>
      </w:r>
    </w:p>
    <w:p w14:paraId="267B2CF5" w14:textId="33915A85" w:rsidR="00AF0384" w:rsidRDefault="00AF0384" w:rsidP="00C62053">
      <w:pPr>
        <w:pStyle w:val="ListParagraph"/>
        <w:spacing w:before="120" w:after="120"/>
        <w:ind w:left="426"/>
        <w:contextualSpacing w:val="0"/>
        <w:rPr>
          <w:rFonts w:ascii="Arial" w:hAnsi="Arial" w:cs="Arial"/>
        </w:rPr>
      </w:pPr>
      <w:r>
        <w:rPr>
          <w:rFonts w:ascii="Arial" w:hAnsi="Arial" w:cs="Arial"/>
        </w:rPr>
        <w:t xml:space="preserve">Trustees will be required to develop CIPR’s (in partnership with life insurers), having the best interests of members (collectively) in mind. </w:t>
      </w:r>
      <w:r w:rsidR="00E96E9B">
        <w:rPr>
          <w:rFonts w:ascii="Arial" w:hAnsi="Arial" w:cs="Arial"/>
        </w:rPr>
        <w:t xml:space="preserve"> Due to the range of factors outlined in this submission</w:t>
      </w:r>
      <w:r>
        <w:rPr>
          <w:rFonts w:ascii="Arial" w:hAnsi="Arial" w:cs="Arial"/>
        </w:rPr>
        <w:t xml:space="preserve">, we consider it cannot be assumed that the opening of a CIPR will be in the best interests of individuals.  That is a decision each individual will have to make, based on their needs and preferences.   </w:t>
      </w:r>
    </w:p>
    <w:p w14:paraId="1052DE93" w14:textId="446CEBB6" w:rsidR="00C62053" w:rsidRDefault="00F24A0B" w:rsidP="00C62053">
      <w:pPr>
        <w:pStyle w:val="ListParagraph"/>
        <w:spacing w:before="120" w:after="120"/>
        <w:ind w:left="426"/>
        <w:contextualSpacing w:val="0"/>
        <w:rPr>
          <w:rFonts w:ascii="Arial" w:hAnsi="Arial" w:cs="Arial"/>
        </w:rPr>
      </w:pPr>
      <w:r>
        <w:rPr>
          <w:rFonts w:ascii="Arial" w:hAnsi="Arial" w:cs="Arial"/>
        </w:rPr>
        <w:t xml:space="preserve">This submission has highlighted that compared to an </w:t>
      </w:r>
      <w:r w:rsidR="00E62DA4">
        <w:rPr>
          <w:rFonts w:ascii="Arial" w:hAnsi="Arial" w:cs="Arial"/>
        </w:rPr>
        <w:t>ABP</w:t>
      </w:r>
      <w:r>
        <w:rPr>
          <w:rFonts w:ascii="Arial" w:hAnsi="Arial" w:cs="Arial"/>
        </w:rPr>
        <w:t>, there are a range of considerations in relation to the commencement of a CIPR, around partial loss of capital, reduced flexibility in terms of commutations, expected higher cost,</w:t>
      </w:r>
      <w:r w:rsidR="00AF0384">
        <w:rPr>
          <w:rFonts w:ascii="Arial" w:hAnsi="Arial" w:cs="Arial"/>
        </w:rPr>
        <w:t xml:space="preserve"> and</w:t>
      </w:r>
      <w:r>
        <w:rPr>
          <w:rFonts w:ascii="Arial" w:hAnsi="Arial" w:cs="Arial"/>
        </w:rPr>
        <w:t xml:space="preserve"> increased complexity </w:t>
      </w:r>
      <w:r w:rsidR="005961AD">
        <w:rPr>
          <w:rFonts w:ascii="Arial" w:hAnsi="Arial" w:cs="Arial"/>
        </w:rPr>
        <w:t>(</w:t>
      </w:r>
      <w:r>
        <w:rPr>
          <w:rFonts w:ascii="Arial" w:hAnsi="Arial" w:cs="Arial"/>
        </w:rPr>
        <w:t>which has the potential to reduce comprehension and result in more complaints</w:t>
      </w:r>
      <w:r w:rsidR="005961AD">
        <w:rPr>
          <w:rFonts w:ascii="Arial" w:hAnsi="Arial" w:cs="Arial"/>
        </w:rPr>
        <w:t xml:space="preserve">).  </w:t>
      </w:r>
      <w:r w:rsidR="00A16991">
        <w:rPr>
          <w:rFonts w:ascii="Arial" w:hAnsi="Arial" w:cs="Arial"/>
        </w:rPr>
        <w:t>Consequently, we consider t</w:t>
      </w:r>
      <w:r w:rsidR="00327EC8">
        <w:rPr>
          <w:rFonts w:ascii="Arial" w:hAnsi="Arial" w:cs="Arial"/>
        </w:rPr>
        <w:t>here</w:t>
      </w:r>
      <w:r w:rsidR="00C62053">
        <w:rPr>
          <w:rFonts w:ascii="Arial" w:hAnsi="Arial" w:cs="Arial"/>
        </w:rPr>
        <w:t xml:space="preserve"> may be low interest </w:t>
      </w:r>
      <w:r w:rsidR="00327EC8">
        <w:rPr>
          <w:rFonts w:ascii="Arial" w:hAnsi="Arial" w:cs="Arial"/>
        </w:rPr>
        <w:t xml:space="preserve">levels </w:t>
      </w:r>
      <w:r w:rsidR="00C62053">
        <w:rPr>
          <w:rFonts w:ascii="Arial" w:hAnsi="Arial" w:cs="Arial"/>
        </w:rPr>
        <w:t xml:space="preserve">from members. </w:t>
      </w:r>
    </w:p>
    <w:p w14:paraId="0C3A4686" w14:textId="64233D07" w:rsidR="00F24A0B" w:rsidRDefault="00C62053" w:rsidP="00C62053">
      <w:pPr>
        <w:pStyle w:val="ListParagraph"/>
        <w:spacing w:before="120" w:after="120"/>
        <w:ind w:left="426"/>
        <w:contextualSpacing w:val="0"/>
        <w:rPr>
          <w:rFonts w:ascii="Arial" w:hAnsi="Arial" w:cs="Arial"/>
        </w:rPr>
      </w:pPr>
      <w:r>
        <w:rPr>
          <w:rFonts w:ascii="Arial" w:hAnsi="Arial" w:cs="Arial"/>
        </w:rPr>
        <w:t xml:space="preserve">Further, </w:t>
      </w:r>
      <w:r w:rsidR="00327EC8">
        <w:rPr>
          <w:rFonts w:ascii="Arial" w:hAnsi="Arial" w:cs="Arial"/>
        </w:rPr>
        <w:t>when considering the best interests of members</w:t>
      </w:r>
      <w:r>
        <w:rPr>
          <w:rFonts w:ascii="Arial" w:hAnsi="Arial" w:cs="Arial"/>
        </w:rPr>
        <w:t xml:space="preserve"> collective</w:t>
      </w:r>
      <w:r w:rsidR="00327EC8">
        <w:rPr>
          <w:rFonts w:ascii="Arial" w:hAnsi="Arial" w:cs="Arial"/>
        </w:rPr>
        <w:t>ly</w:t>
      </w:r>
      <w:r>
        <w:rPr>
          <w:rFonts w:ascii="Arial" w:hAnsi="Arial" w:cs="Arial"/>
        </w:rPr>
        <w:t xml:space="preserve">, it may in fact not be </w:t>
      </w:r>
      <w:r w:rsidR="00327EC8">
        <w:rPr>
          <w:rFonts w:ascii="Arial" w:hAnsi="Arial" w:cs="Arial"/>
        </w:rPr>
        <w:t>appropriate</w:t>
      </w:r>
      <w:r>
        <w:rPr>
          <w:rFonts w:ascii="Arial" w:hAnsi="Arial" w:cs="Arial"/>
        </w:rPr>
        <w:t xml:space="preserve"> for some superannuation funds to offer a CIPR based on the demographics of their membership</w:t>
      </w:r>
      <w:r w:rsidR="005961AD">
        <w:rPr>
          <w:rFonts w:ascii="Arial" w:hAnsi="Arial" w:cs="Arial"/>
        </w:rPr>
        <w:t xml:space="preserve">.  </w:t>
      </w:r>
      <w:r w:rsidR="00327EC8">
        <w:rPr>
          <w:rFonts w:ascii="Arial" w:hAnsi="Arial" w:cs="Arial"/>
        </w:rPr>
        <w:t xml:space="preserve">The paper recognises that CIPR’s are unlikely to be in the best interests of members who have an account balance under $50,000.  </w:t>
      </w:r>
      <w:r w:rsidR="00D92AC1">
        <w:rPr>
          <w:rFonts w:ascii="Arial" w:hAnsi="Arial" w:cs="Arial"/>
        </w:rPr>
        <w:t xml:space="preserve">Many </w:t>
      </w:r>
      <w:r w:rsidR="00A16991">
        <w:rPr>
          <w:rFonts w:ascii="Arial" w:hAnsi="Arial" w:cs="Arial"/>
        </w:rPr>
        <w:t>f</w:t>
      </w:r>
      <w:r w:rsidR="00D92AC1">
        <w:rPr>
          <w:rFonts w:ascii="Arial" w:hAnsi="Arial" w:cs="Arial"/>
        </w:rPr>
        <w:t xml:space="preserve">unds in the industry have relatively low average account balances.  Rather than being a compulsory offering, we consider it should be up to Trustees to decide whether the offering of a CIPR is suitable, and in the best interests of </w:t>
      </w:r>
      <w:r w:rsidR="00E62DA4">
        <w:rPr>
          <w:rFonts w:ascii="Arial" w:hAnsi="Arial" w:cs="Arial"/>
        </w:rPr>
        <w:t xml:space="preserve">their </w:t>
      </w:r>
      <w:r w:rsidR="00D92AC1">
        <w:rPr>
          <w:rFonts w:ascii="Arial" w:hAnsi="Arial" w:cs="Arial"/>
        </w:rPr>
        <w:t>members collectively.</w:t>
      </w:r>
    </w:p>
    <w:p w14:paraId="742137AD" w14:textId="77777777" w:rsidR="00C22C75" w:rsidRPr="00933C7A" w:rsidRDefault="00C22C75" w:rsidP="00C175B1">
      <w:pPr>
        <w:pStyle w:val="ListParagraph"/>
        <w:ind w:left="425"/>
        <w:contextualSpacing w:val="0"/>
        <w:rPr>
          <w:rFonts w:ascii="Arial" w:hAnsi="Arial" w:cs="Arial"/>
          <w:u w:val="single"/>
        </w:rPr>
      </w:pPr>
      <w:r w:rsidRPr="00933C7A">
        <w:rPr>
          <w:rFonts w:ascii="Arial" w:hAnsi="Arial" w:cs="Arial"/>
          <w:u w:val="single"/>
        </w:rPr>
        <w:t>Retirement Income strategy considerations</w:t>
      </w:r>
    </w:p>
    <w:p w14:paraId="3961D70B" w14:textId="77777777" w:rsidR="00C22C75" w:rsidRPr="00933C7A" w:rsidRDefault="00C22C75" w:rsidP="00C22C75">
      <w:pPr>
        <w:pStyle w:val="ListParagraph"/>
        <w:spacing w:before="120"/>
        <w:ind w:left="426"/>
        <w:rPr>
          <w:rFonts w:ascii="Arial" w:hAnsi="Arial" w:cs="Arial"/>
        </w:rPr>
      </w:pPr>
      <w:r>
        <w:rPr>
          <w:rFonts w:ascii="Arial" w:hAnsi="Arial" w:cs="Arial"/>
        </w:rPr>
        <w:t>The position paper outlines that in devising and implementing a retirement income strategy, Trustees will be required to consider a range of factors.  This includes:</w:t>
      </w:r>
    </w:p>
    <w:p w14:paraId="798389C0" w14:textId="77777777" w:rsidR="00C22C75" w:rsidRPr="00933C7A" w:rsidRDefault="00C22C75" w:rsidP="00C22C75">
      <w:pPr>
        <w:pStyle w:val="ListParagraph"/>
        <w:numPr>
          <w:ilvl w:val="0"/>
          <w:numId w:val="17"/>
        </w:numPr>
        <w:autoSpaceDE w:val="0"/>
        <w:autoSpaceDN w:val="0"/>
        <w:adjustRightInd w:val="0"/>
        <w:spacing w:before="240" w:after="120" w:line="240" w:lineRule="auto"/>
        <w:contextualSpacing w:val="0"/>
        <w:rPr>
          <w:rFonts w:ascii="Arial" w:hAnsi="Arial" w:cs="Arial"/>
        </w:rPr>
      </w:pPr>
      <w:r w:rsidRPr="00933C7A">
        <w:rPr>
          <w:rFonts w:ascii="Arial" w:hAnsi="Arial" w:cs="Arial"/>
        </w:rPr>
        <w:t xml:space="preserve">maximising income for life for members; </w:t>
      </w:r>
    </w:p>
    <w:p w14:paraId="464872E6" w14:textId="77777777" w:rsidR="00C22C75" w:rsidRPr="00933C7A" w:rsidRDefault="00C22C75" w:rsidP="00C22C75">
      <w:pPr>
        <w:pStyle w:val="ListParagraph"/>
        <w:numPr>
          <w:ilvl w:val="0"/>
          <w:numId w:val="17"/>
        </w:numPr>
        <w:autoSpaceDE w:val="0"/>
        <w:autoSpaceDN w:val="0"/>
        <w:adjustRightInd w:val="0"/>
        <w:spacing w:before="240" w:after="120" w:line="240" w:lineRule="auto"/>
        <w:contextualSpacing w:val="0"/>
        <w:rPr>
          <w:rFonts w:ascii="Arial" w:hAnsi="Arial" w:cs="Arial"/>
        </w:rPr>
      </w:pPr>
      <w:r w:rsidRPr="00933C7A">
        <w:rPr>
          <w:rFonts w:ascii="Arial" w:hAnsi="Arial" w:cs="Arial"/>
        </w:rPr>
        <w:t xml:space="preserve">the potential life spans of members and the costs and benefits of managing longevity risk for members as a whole; </w:t>
      </w:r>
    </w:p>
    <w:p w14:paraId="646CCDF9" w14:textId="77777777" w:rsidR="00C22C75" w:rsidRPr="00933C7A" w:rsidRDefault="00C22C75" w:rsidP="00C22C75">
      <w:pPr>
        <w:pStyle w:val="ListParagraph"/>
        <w:numPr>
          <w:ilvl w:val="0"/>
          <w:numId w:val="17"/>
        </w:numPr>
        <w:autoSpaceDE w:val="0"/>
        <w:autoSpaceDN w:val="0"/>
        <w:adjustRightInd w:val="0"/>
        <w:spacing w:before="240" w:after="120" w:line="240" w:lineRule="auto"/>
        <w:contextualSpacing w:val="0"/>
        <w:rPr>
          <w:rFonts w:ascii="Arial" w:hAnsi="Arial" w:cs="Arial"/>
        </w:rPr>
      </w:pPr>
      <w:r w:rsidRPr="00933C7A">
        <w:rPr>
          <w:rFonts w:ascii="Arial" w:hAnsi="Arial" w:cs="Arial"/>
        </w:rPr>
        <w:t xml:space="preserve">managing risks that affect the stability of income, including inflation; </w:t>
      </w:r>
    </w:p>
    <w:p w14:paraId="3D26C34A" w14:textId="77777777" w:rsidR="00C22C75" w:rsidRPr="00933C7A" w:rsidRDefault="00C22C75" w:rsidP="00C22C75">
      <w:pPr>
        <w:pStyle w:val="ListParagraph"/>
        <w:numPr>
          <w:ilvl w:val="0"/>
          <w:numId w:val="17"/>
        </w:numPr>
        <w:autoSpaceDE w:val="0"/>
        <w:autoSpaceDN w:val="0"/>
        <w:adjustRightInd w:val="0"/>
        <w:spacing w:before="240" w:after="120" w:line="240" w:lineRule="auto"/>
        <w:contextualSpacing w:val="0"/>
        <w:rPr>
          <w:rFonts w:ascii="Arial" w:hAnsi="Arial" w:cs="Arial"/>
        </w:rPr>
      </w:pPr>
      <w:r w:rsidRPr="00933C7A">
        <w:rPr>
          <w:rFonts w:ascii="Arial" w:hAnsi="Arial" w:cs="Arial"/>
        </w:rPr>
        <w:t xml:space="preserve">providing members with access to capital; </w:t>
      </w:r>
    </w:p>
    <w:p w14:paraId="131ED510" w14:textId="77777777" w:rsidR="00C22C75" w:rsidRPr="00933C7A" w:rsidRDefault="00C22C75" w:rsidP="00C22C75">
      <w:pPr>
        <w:pStyle w:val="ListParagraph"/>
        <w:numPr>
          <w:ilvl w:val="0"/>
          <w:numId w:val="17"/>
        </w:numPr>
        <w:autoSpaceDE w:val="0"/>
        <w:autoSpaceDN w:val="0"/>
        <w:adjustRightInd w:val="0"/>
        <w:spacing w:before="240" w:after="120" w:line="240" w:lineRule="auto"/>
        <w:contextualSpacing w:val="0"/>
        <w:rPr>
          <w:rFonts w:ascii="Arial" w:hAnsi="Arial" w:cs="Arial"/>
        </w:rPr>
      </w:pPr>
      <w:r w:rsidRPr="00933C7A">
        <w:rPr>
          <w:rFonts w:ascii="Arial" w:hAnsi="Arial" w:cs="Arial"/>
        </w:rPr>
        <w:t xml:space="preserve">member needs and preferences for the factors above; </w:t>
      </w:r>
    </w:p>
    <w:p w14:paraId="20E07EDC" w14:textId="77777777" w:rsidR="00C22C75" w:rsidRPr="00933C7A" w:rsidRDefault="00C22C75" w:rsidP="00C22C75">
      <w:pPr>
        <w:pStyle w:val="ListParagraph"/>
        <w:numPr>
          <w:ilvl w:val="0"/>
          <w:numId w:val="17"/>
        </w:numPr>
        <w:autoSpaceDE w:val="0"/>
        <w:autoSpaceDN w:val="0"/>
        <w:adjustRightInd w:val="0"/>
        <w:spacing w:before="240" w:after="120" w:line="240" w:lineRule="auto"/>
        <w:contextualSpacing w:val="0"/>
        <w:rPr>
          <w:rFonts w:ascii="Arial" w:hAnsi="Arial" w:cs="Arial"/>
        </w:rPr>
      </w:pPr>
      <w:r w:rsidRPr="00933C7A">
        <w:rPr>
          <w:rFonts w:ascii="Arial" w:hAnsi="Arial" w:cs="Arial"/>
        </w:rPr>
        <w:t xml:space="preserve">the costs and benefits to members of developing a CIPR in-house compared with offering a CIPR developed and managed by a third party or a combination of both in-house and a third party; </w:t>
      </w:r>
    </w:p>
    <w:p w14:paraId="5F6F92AA" w14:textId="77777777" w:rsidR="00C22C75" w:rsidRPr="00933C7A" w:rsidRDefault="00C22C75" w:rsidP="00C22C75">
      <w:pPr>
        <w:pStyle w:val="ListParagraph"/>
        <w:numPr>
          <w:ilvl w:val="0"/>
          <w:numId w:val="17"/>
        </w:numPr>
        <w:autoSpaceDE w:val="0"/>
        <w:autoSpaceDN w:val="0"/>
        <w:adjustRightInd w:val="0"/>
        <w:spacing w:before="240" w:after="120" w:line="240" w:lineRule="auto"/>
        <w:contextualSpacing w:val="0"/>
        <w:rPr>
          <w:rFonts w:ascii="Arial" w:hAnsi="Arial" w:cs="Arial"/>
        </w:rPr>
      </w:pPr>
      <w:r w:rsidRPr="00933C7A">
        <w:rPr>
          <w:rFonts w:ascii="Arial" w:hAnsi="Arial" w:cs="Arial"/>
        </w:rPr>
        <w:t xml:space="preserve">expected member eligibility for the Age Pension; and </w:t>
      </w:r>
    </w:p>
    <w:p w14:paraId="565A6E4E" w14:textId="77777777" w:rsidR="00C22C75" w:rsidRPr="00933C7A" w:rsidRDefault="00C22C75" w:rsidP="00C22C75">
      <w:pPr>
        <w:pStyle w:val="ListParagraph"/>
        <w:numPr>
          <w:ilvl w:val="0"/>
          <w:numId w:val="17"/>
        </w:numPr>
        <w:autoSpaceDE w:val="0"/>
        <w:autoSpaceDN w:val="0"/>
        <w:adjustRightInd w:val="0"/>
        <w:spacing w:before="240" w:after="120" w:line="240" w:lineRule="auto"/>
        <w:contextualSpacing w:val="0"/>
        <w:rPr>
          <w:rFonts w:ascii="Arial" w:hAnsi="Arial" w:cs="Arial"/>
        </w:rPr>
      </w:pPr>
      <w:r w:rsidRPr="00933C7A">
        <w:rPr>
          <w:rFonts w:ascii="Arial" w:hAnsi="Arial" w:cs="Arial"/>
        </w:rPr>
        <w:t xml:space="preserve">whether and how cognitive decline may affect outcomes. </w:t>
      </w:r>
    </w:p>
    <w:p w14:paraId="66468B6A" w14:textId="53DF2E57" w:rsidR="00C22C75" w:rsidRDefault="00C22C75" w:rsidP="00C22C75">
      <w:pPr>
        <w:pStyle w:val="ListParagraph"/>
        <w:spacing w:before="120" w:after="120"/>
        <w:ind w:left="425"/>
        <w:contextualSpacing w:val="0"/>
        <w:rPr>
          <w:rFonts w:ascii="Arial" w:hAnsi="Arial" w:cs="Arial"/>
        </w:rPr>
      </w:pPr>
      <w:r>
        <w:rPr>
          <w:rFonts w:ascii="Arial" w:hAnsi="Arial" w:cs="Arial"/>
        </w:rPr>
        <w:t xml:space="preserve">In relation to point 7, it needs to be recognised that Trustees will generally not have access to this information.  While account balance information provides a guide, members may have  arrangements external to their superannuation account, which the Trustee is completely unaware of.  </w:t>
      </w:r>
      <w:r w:rsidR="008939AB">
        <w:rPr>
          <w:rFonts w:ascii="Arial" w:hAnsi="Arial" w:cs="Arial"/>
        </w:rPr>
        <w:t xml:space="preserve">Trustees are also being asked not just to assess current eligibility, but future eligibility to access the age pension.  </w:t>
      </w:r>
      <w:r>
        <w:rPr>
          <w:rFonts w:ascii="Arial" w:hAnsi="Arial" w:cs="Arial"/>
        </w:rPr>
        <w:t>Therefore, it seems unreasonable to require Trustees to account for this factor in devising a retirement income strategy.</w:t>
      </w:r>
    </w:p>
    <w:p w14:paraId="3B5F3C9F" w14:textId="77777777" w:rsidR="00C22C75" w:rsidRDefault="00C22C75" w:rsidP="00C22C75">
      <w:pPr>
        <w:pStyle w:val="ListParagraph"/>
        <w:spacing w:before="120" w:after="120"/>
        <w:ind w:left="425"/>
        <w:contextualSpacing w:val="0"/>
        <w:rPr>
          <w:rFonts w:ascii="Arial" w:hAnsi="Arial" w:cs="Arial"/>
        </w:rPr>
      </w:pPr>
      <w:r>
        <w:rPr>
          <w:rFonts w:ascii="Arial" w:hAnsi="Arial" w:cs="Arial"/>
        </w:rPr>
        <w:t xml:space="preserve">Similarly, in relation to point 8, Trustees will be required to assess whether cognitive decline may occur across the membership, which may hinder members’ ability to make optimal retirement income decisions.  As future cognitive decline is entirely unpredictable, how are Trustees supposed to assess this?  Trustees will not have access to family histories of members who may have dementia or other cognitive conditions.  It is entirely unclear on what basis Trustees could account for such factors.  This requires reconsideration. </w:t>
      </w:r>
    </w:p>
    <w:p w14:paraId="4F225B9B" w14:textId="4FA574CE" w:rsidR="00C22C75" w:rsidRPr="003C4563" w:rsidRDefault="00C22C75" w:rsidP="00C22C75">
      <w:pPr>
        <w:pStyle w:val="ListParagraph"/>
        <w:spacing w:before="120" w:after="120"/>
        <w:ind w:left="425"/>
        <w:contextualSpacing w:val="0"/>
        <w:rPr>
          <w:rFonts w:ascii="Arial" w:hAnsi="Arial" w:cs="Arial"/>
        </w:rPr>
      </w:pPr>
      <w:r>
        <w:rPr>
          <w:rFonts w:ascii="Arial" w:hAnsi="Arial" w:cs="Arial"/>
        </w:rPr>
        <w:t>Additionally, point 5 will require Trustees to consider member needs and preferences for factors 1-4, including maximising income for life in retirement.  As it is proposed that the offering of CIPR’s will be compulsory, it seems the member’s preferences won’t matter in this respect, as CIPR’s will have to be offered regardless.</w:t>
      </w:r>
    </w:p>
    <w:sectPr w:rsidR="00C22C75" w:rsidRPr="003C4563" w:rsidSect="00156FFC">
      <w:footerReference w:type="default" r:id="rId16"/>
      <w:pgSz w:w="11906" w:h="16838"/>
      <w:pgMar w:top="1440" w:right="1191" w:bottom="567" w:left="1191"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CB5483" w14:textId="77777777" w:rsidR="00587ADF" w:rsidRDefault="00587ADF" w:rsidP="004A12B4">
      <w:pPr>
        <w:spacing w:after="0" w:line="240" w:lineRule="auto"/>
      </w:pPr>
      <w:r>
        <w:separator/>
      </w:r>
    </w:p>
  </w:endnote>
  <w:endnote w:type="continuationSeparator" w:id="0">
    <w:p w14:paraId="29CEAE5D" w14:textId="77777777" w:rsidR="00587ADF" w:rsidRDefault="00587ADF" w:rsidP="004A1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716171"/>
      <w:docPartObj>
        <w:docPartGallery w:val="Page Numbers (Bottom of Page)"/>
        <w:docPartUnique/>
      </w:docPartObj>
    </w:sdtPr>
    <w:sdtEndPr/>
    <w:sdtContent>
      <w:sdt>
        <w:sdtPr>
          <w:id w:val="565050523"/>
          <w:docPartObj>
            <w:docPartGallery w:val="Page Numbers (Top of Page)"/>
            <w:docPartUnique/>
          </w:docPartObj>
        </w:sdtPr>
        <w:sdtEndPr/>
        <w:sdtContent>
          <w:p w14:paraId="26B239FC" w14:textId="77777777" w:rsidR="004A12B4" w:rsidRDefault="004A12B4">
            <w:pPr>
              <w:pStyle w:val="Footer"/>
              <w:jc w:val="right"/>
            </w:pPr>
            <w:r>
              <w:t xml:space="preserve">Page </w:t>
            </w:r>
            <w:r w:rsidR="00171469">
              <w:rPr>
                <w:b/>
                <w:sz w:val="24"/>
                <w:szCs w:val="24"/>
              </w:rPr>
              <w:fldChar w:fldCharType="begin"/>
            </w:r>
            <w:r>
              <w:rPr>
                <w:b/>
              </w:rPr>
              <w:instrText xml:space="preserve"> PAGE </w:instrText>
            </w:r>
            <w:r w:rsidR="00171469">
              <w:rPr>
                <w:b/>
                <w:sz w:val="24"/>
                <w:szCs w:val="24"/>
              </w:rPr>
              <w:fldChar w:fldCharType="separate"/>
            </w:r>
            <w:r w:rsidR="007E591D">
              <w:rPr>
                <w:b/>
                <w:noProof/>
              </w:rPr>
              <w:t>1</w:t>
            </w:r>
            <w:r w:rsidR="00171469">
              <w:rPr>
                <w:b/>
                <w:sz w:val="24"/>
                <w:szCs w:val="24"/>
              </w:rPr>
              <w:fldChar w:fldCharType="end"/>
            </w:r>
            <w:r>
              <w:t xml:space="preserve"> of </w:t>
            </w:r>
            <w:r w:rsidR="00171469">
              <w:rPr>
                <w:b/>
                <w:sz w:val="24"/>
                <w:szCs w:val="24"/>
              </w:rPr>
              <w:fldChar w:fldCharType="begin"/>
            </w:r>
            <w:r>
              <w:rPr>
                <w:b/>
              </w:rPr>
              <w:instrText xml:space="preserve"> NUMPAGES  </w:instrText>
            </w:r>
            <w:r w:rsidR="00171469">
              <w:rPr>
                <w:b/>
                <w:sz w:val="24"/>
                <w:szCs w:val="24"/>
              </w:rPr>
              <w:fldChar w:fldCharType="separate"/>
            </w:r>
            <w:r w:rsidR="007E591D">
              <w:rPr>
                <w:b/>
                <w:noProof/>
              </w:rPr>
              <w:t>3</w:t>
            </w:r>
            <w:r w:rsidR="00171469">
              <w:rPr>
                <w:b/>
                <w:sz w:val="24"/>
                <w:szCs w:val="24"/>
              </w:rPr>
              <w:fldChar w:fldCharType="end"/>
            </w:r>
          </w:p>
        </w:sdtContent>
      </w:sdt>
    </w:sdtContent>
  </w:sdt>
  <w:p w14:paraId="1E67468D" w14:textId="77777777" w:rsidR="004A12B4" w:rsidRDefault="004A12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C8E63C" w14:textId="77777777" w:rsidR="00587ADF" w:rsidRDefault="00587ADF" w:rsidP="004A12B4">
      <w:pPr>
        <w:spacing w:after="0" w:line="240" w:lineRule="auto"/>
      </w:pPr>
      <w:r>
        <w:separator/>
      </w:r>
    </w:p>
  </w:footnote>
  <w:footnote w:type="continuationSeparator" w:id="0">
    <w:p w14:paraId="6390B606" w14:textId="77777777" w:rsidR="00587ADF" w:rsidRDefault="00587ADF" w:rsidP="004A12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3FF9"/>
    <w:multiLevelType w:val="hybridMultilevel"/>
    <w:tmpl w:val="371ED86C"/>
    <w:lvl w:ilvl="0" w:tplc="789EAC5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054942"/>
    <w:multiLevelType w:val="hybridMultilevel"/>
    <w:tmpl w:val="6F28ED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4225B83"/>
    <w:multiLevelType w:val="hybridMultilevel"/>
    <w:tmpl w:val="DB18D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770A2E"/>
    <w:multiLevelType w:val="hybridMultilevel"/>
    <w:tmpl w:val="96D4CEB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
    <w:nsid w:val="2AAA6D53"/>
    <w:multiLevelType w:val="hybridMultilevel"/>
    <w:tmpl w:val="90605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926351"/>
    <w:multiLevelType w:val="hybridMultilevel"/>
    <w:tmpl w:val="E742632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nsid w:val="37AC1306"/>
    <w:multiLevelType w:val="hybridMultilevel"/>
    <w:tmpl w:val="FF7CD942"/>
    <w:lvl w:ilvl="0" w:tplc="04090001">
      <w:start w:val="1"/>
      <w:numFmt w:val="bullet"/>
      <w:lvlText w:val=""/>
      <w:lvlJc w:val="left"/>
      <w:pPr>
        <w:ind w:left="1275" w:hanging="360"/>
      </w:pPr>
      <w:rPr>
        <w:rFonts w:ascii="Symbol" w:hAnsi="Symbol"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7">
    <w:nsid w:val="3B7C4081"/>
    <w:multiLevelType w:val="hybridMultilevel"/>
    <w:tmpl w:val="757A25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751081"/>
    <w:multiLevelType w:val="hybridMultilevel"/>
    <w:tmpl w:val="AA5C3E6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9">
    <w:nsid w:val="46014CCE"/>
    <w:multiLevelType w:val="hybridMultilevel"/>
    <w:tmpl w:val="6EC6F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1E0003"/>
    <w:multiLevelType w:val="hybridMultilevel"/>
    <w:tmpl w:val="B9D470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537D3C1A"/>
    <w:multiLevelType w:val="hybridMultilevel"/>
    <w:tmpl w:val="F134FC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5C9421F"/>
    <w:multiLevelType w:val="hybridMultilevel"/>
    <w:tmpl w:val="CD3AE41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5CD113EE"/>
    <w:multiLevelType w:val="hybridMultilevel"/>
    <w:tmpl w:val="9294B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014E03"/>
    <w:multiLevelType w:val="multilevel"/>
    <w:tmpl w:val="24344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3A8006E"/>
    <w:multiLevelType w:val="hybridMultilevel"/>
    <w:tmpl w:val="A0A67B20"/>
    <w:lvl w:ilvl="0" w:tplc="0C09000F">
      <w:start w:val="1"/>
      <w:numFmt w:val="decimal"/>
      <w:lvlText w:val="%1."/>
      <w:lvlJc w:val="left"/>
      <w:pPr>
        <w:ind w:left="360" w:hanging="360"/>
      </w:pPr>
      <w:rPr>
        <w:rFonts w:cs="Times New Roman"/>
      </w:rPr>
    </w:lvl>
    <w:lvl w:ilvl="1" w:tplc="0C090019">
      <w:start w:val="1"/>
      <w:numFmt w:val="lowerLetter"/>
      <w:lvlText w:val="%2."/>
      <w:lvlJc w:val="left"/>
      <w:pPr>
        <w:ind w:left="1080" w:hanging="360"/>
      </w:pPr>
      <w:rPr>
        <w:rFonts w:cs="Times New Roman"/>
      </w:rPr>
    </w:lvl>
    <w:lvl w:ilvl="2" w:tplc="0C09001B">
      <w:start w:val="1"/>
      <w:numFmt w:val="lowerRoman"/>
      <w:lvlText w:val="%3."/>
      <w:lvlJc w:val="right"/>
      <w:pPr>
        <w:ind w:left="1800" w:hanging="180"/>
      </w:pPr>
      <w:rPr>
        <w:rFonts w:cs="Times New Roman"/>
      </w:rPr>
    </w:lvl>
    <w:lvl w:ilvl="3" w:tplc="0C09000F">
      <w:start w:val="1"/>
      <w:numFmt w:val="decimal"/>
      <w:lvlText w:val="%4."/>
      <w:lvlJc w:val="left"/>
      <w:pPr>
        <w:ind w:left="2520" w:hanging="360"/>
      </w:pPr>
      <w:rPr>
        <w:rFonts w:cs="Times New Roman"/>
      </w:rPr>
    </w:lvl>
    <w:lvl w:ilvl="4" w:tplc="0C090019">
      <w:start w:val="1"/>
      <w:numFmt w:val="lowerLetter"/>
      <w:lvlText w:val="%5."/>
      <w:lvlJc w:val="left"/>
      <w:pPr>
        <w:ind w:left="3240" w:hanging="360"/>
      </w:pPr>
      <w:rPr>
        <w:rFonts w:cs="Times New Roman"/>
      </w:rPr>
    </w:lvl>
    <w:lvl w:ilvl="5" w:tplc="0C09001B">
      <w:start w:val="1"/>
      <w:numFmt w:val="lowerRoman"/>
      <w:lvlText w:val="%6."/>
      <w:lvlJc w:val="right"/>
      <w:pPr>
        <w:ind w:left="3960" w:hanging="180"/>
      </w:pPr>
      <w:rPr>
        <w:rFonts w:cs="Times New Roman"/>
      </w:rPr>
    </w:lvl>
    <w:lvl w:ilvl="6" w:tplc="0C09000F">
      <w:start w:val="1"/>
      <w:numFmt w:val="decimal"/>
      <w:lvlText w:val="%7."/>
      <w:lvlJc w:val="left"/>
      <w:pPr>
        <w:ind w:left="4680" w:hanging="360"/>
      </w:pPr>
      <w:rPr>
        <w:rFonts w:cs="Times New Roman"/>
      </w:rPr>
    </w:lvl>
    <w:lvl w:ilvl="7" w:tplc="0C090019">
      <w:start w:val="1"/>
      <w:numFmt w:val="lowerLetter"/>
      <w:lvlText w:val="%8."/>
      <w:lvlJc w:val="left"/>
      <w:pPr>
        <w:ind w:left="5400" w:hanging="360"/>
      </w:pPr>
      <w:rPr>
        <w:rFonts w:cs="Times New Roman"/>
      </w:rPr>
    </w:lvl>
    <w:lvl w:ilvl="8" w:tplc="0C09001B">
      <w:start w:val="1"/>
      <w:numFmt w:val="lowerRoman"/>
      <w:lvlText w:val="%9."/>
      <w:lvlJc w:val="right"/>
      <w:pPr>
        <w:ind w:left="6120" w:hanging="180"/>
      </w:pPr>
      <w:rPr>
        <w:rFonts w:cs="Times New Roman"/>
      </w:rPr>
    </w:lvl>
  </w:abstractNum>
  <w:abstractNum w:abstractNumId="16">
    <w:nsid w:val="6DF63EF2"/>
    <w:multiLevelType w:val="hybridMultilevel"/>
    <w:tmpl w:val="28303D9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nsid w:val="7F250D73"/>
    <w:multiLevelType w:val="hybridMultilevel"/>
    <w:tmpl w:val="2A88050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abstractNumId w:val="10"/>
  </w:num>
  <w:num w:numId="2">
    <w:abstractNumId w:val="17"/>
  </w:num>
  <w:num w:numId="3">
    <w:abstractNumId w:val="3"/>
  </w:num>
  <w:num w:numId="4">
    <w:abstractNumId w:val="14"/>
  </w:num>
  <w:num w:numId="5">
    <w:abstractNumId w:val="6"/>
  </w:num>
  <w:num w:numId="6">
    <w:abstractNumId w:val="0"/>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7"/>
  </w:num>
  <w:num w:numId="10">
    <w:abstractNumId w:val="13"/>
  </w:num>
  <w:num w:numId="11">
    <w:abstractNumId w:val="11"/>
  </w:num>
  <w:num w:numId="12">
    <w:abstractNumId w:val="9"/>
  </w:num>
  <w:num w:numId="13">
    <w:abstractNumId w:val="5"/>
  </w:num>
  <w:num w:numId="14">
    <w:abstractNumId w:val="16"/>
  </w:num>
  <w:num w:numId="15">
    <w:abstractNumId w:val="2"/>
  </w:num>
  <w:num w:numId="16">
    <w:abstractNumId w:val="4"/>
  </w:num>
  <w:num w:numId="17">
    <w:abstractNumId w:val="1"/>
  </w:num>
  <w:num w:numId="18">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321"/>
    <w:rsid w:val="00003EBE"/>
    <w:rsid w:val="00006960"/>
    <w:rsid w:val="000115F3"/>
    <w:rsid w:val="0003714F"/>
    <w:rsid w:val="00040E56"/>
    <w:rsid w:val="0004363D"/>
    <w:rsid w:val="00045F05"/>
    <w:rsid w:val="00047376"/>
    <w:rsid w:val="000476E5"/>
    <w:rsid w:val="000572F8"/>
    <w:rsid w:val="00067A58"/>
    <w:rsid w:val="00074843"/>
    <w:rsid w:val="00075A14"/>
    <w:rsid w:val="00084A90"/>
    <w:rsid w:val="00090883"/>
    <w:rsid w:val="00091B1B"/>
    <w:rsid w:val="000942C7"/>
    <w:rsid w:val="000A05D1"/>
    <w:rsid w:val="000A1162"/>
    <w:rsid w:val="000A22FC"/>
    <w:rsid w:val="000A2E77"/>
    <w:rsid w:val="000A583A"/>
    <w:rsid w:val="000B010E"/>
    <w:rsid w:val="000C5A97"/>
    <w:rsid w:val="000C70AD"/>
    <w:rsid w:val="000D1485"/>
    <w:rsid w:val="000D23B2"/>
    <w:rsid w:val="000D6D33"/>
    <w:rsid w:val="000D6E7C"/>
    <w:rsid w:val="000D787C"/>
    <w:rsid w:val="000E3195"/>
    <w:rsid w:val="000F0050"/>
    <w:rsid w:val="000F00D4"/>
    <w:rsid w:val="000F2B14"/>
    <w:rsid w:val="000F4790"/>
    <w:rsid w:val="000F479B"/>
    <w:rsid w:val="000F5927"/>
    <w:rsid w:val="000F7904"/>
    <w:rsid w:val="00101A30"/>
    <w:rsid w:val="00111B0B"/>
    <w:rsid w:val="001129D5"/>
    <w:rsid w:val="001336DA"/>
    <w:rsid w:val="001369DE"/>
    <w:rsid w:val="0014029F"/>
    <w:rsid w:val="00140755"/>
    <w:rsid w:val="00141275"/>
    <w:rsid w:val="001464BF"/>
    <w:rsid w:val="001509EF"/>
    <w:rsid w:val="00156FFC"/>
    <w:rsid w:val="001610CF"/>
    <w:rsid w:val="0016197D"/>
    <w:rsid w:val="001653F8"/>
    <w:rsid w:val="00171469"/>
    <w:rsid w:val="00172269"/>
    <w:rsid w:val="00173D7D"/>
    <w:rsid w:val="00180B9F"/>
    <w:rsid w:val="00181ABB"/>
    <w:rsid w:val="00184115"/>
    <w:rsid w:val="00190864"/>
    <w:rsid w:val="00192819"/>
    <w:rsid w:val="00192DCF"/>
    <w:rsid w:val="00195158"/>
    <w:rsid w:val="0019717D"/>
    <w:rsid w:val="001A3EC0"/>
    <w:rsid w:val="001B3F49"/>
    <w:rsid w:val="001B53B4"/>
    <w:rsid w:val="001B6BA5"/>
    <w:rsid w:val="001C1FA8"/>
    <w:rsid w:val="001C21D5"/>
    <w:rsid w:val="001C4CFA"/>
    <w:rsid w:val="001D59B2"/>
    <w:rsid w:val="001E2692"/>
    <w:rsid w:val="001E42C2"/>
    <w:rsid w:val="001F0CE3"/>
    <w:rsid w:val="001F1BA6"/>
    <w:rsid w:val="001F2AF3"/>
    <w:rsid w:val="0020500D"/>
    <w:rsid w:val="002066D2"/>
    <w:rsid w:val="002107FA"/>
    <w:rsid w:val="00211107"/>
    <w:rsid w:val="002240E7"/>
    <w:rsid w:val="00225A6C"/>
    <w:rsid w:val="00226876"/>
    <w:rsid w:val="002317E1"/>
    <w:rsid w:val="00231BD4"/>
    <w:rsid w:val="002326C1"/>
    <w:rsid w:val="0023623C"/>
    <w:rsid w:val="00242C3C"/>
    <w:rsid w:val="0024543E"/>
    <w:rsid w:val="002456A5"/>
    <w:rsid w:val="002461C7"/>
    <w:rsid w:val="0024720D"/>
    <w:rsid w:val="002476E7"/>
    <w:rsid w:val="00247EC0"/>
    <w:rsid w:val="00261796"/>
    <w:rsid w:val="0027015A"/>
    <w:rsid w:val="00271055"/>
    <w:rsid w:val="00273B25"/>
    <w:rsid w:val="0028698F"/>
    <w:rsid w:val="00291B71"/>
    <w:rsid w:val="002947BB"/>
    <w:rsid w:val="00295A67"/>
    <w:rsid w:val="00295C2B"/>
    <w:rsid w:val="00295F04"/>
    <w:rsid w:val="002A0269"/>
    <w:rsid w:val="002A3A50"/>
    <w:rsid w:val="002A767B"/>
    <w:rsid w:val="002B1B9A"/>
    <w:rsid w:val="002B1D55"/>
    <w:rsid w:val="002B3DDA"/>
    <w:rsid w:val="002B6960"/>
    <w:rsid w:val="002C018A"/>
    <w:rsid w:val="002C1CCD"/>
    <w:rsid w:val="002C2439"/>
    <w:rsid w:val="002C4066"/>
    <w:rsid w:val="002C6023"/>
    <w:rsid w:val="002D62C4"/>
    <w:rsid w:val="002E3DDA"/>
    <w:rsid w:val="002F4D8A"/>
    <w:rsid w:val="002F6BE8"/>
    <w:rsid w:val="0030425C"/>
    <w:rsid w:val="00310D2A"/>
    <w:rsid w:val="0031159F"/>
    <w:rsid w:val="00322929"/>
    <w:rsid w:val="00326443"/>
    <w:rsid w:val="00327EC8"/>
    <w:rsid w:val="00330AFD"/>
    <w:rsid w:val="0033110F"/>
    <w:rsid w:val="00332410"/>
    <w:rsid w:val="003325A0"/>
    <w:rsid w:val="00350B73"/>
    <w:rsid w:val="003519EB"/>
    <w:rsid w:val="0035311C"/>
    <w:rsid w:val="0035623E"/>
    <w:rsid w:val="003607C2"/>
    <w:rsid w:val="00360816"/>
    <w:rsid w:val="00361126"/>
    <w:rsid w:val="00366975"/>
    <w:rsid w:val="00367AF3"/>
    <w:rsid w:val="00367CD3"/>
    <w:rsid w:val="00371D40"/>
    <w:rsid w:val="00377BBC"/>
    <w:rsid w:val="00377CD0"/>
    <w:rsid w:val="0038169F"/>
    <w:rsid w:val="00385819"/>
    <w:rsid w:val="003A6E2D"/>
    <w:rsid w:val="003B0D95"/>
    <w:rsid w:val="003B5C5A"/>
    <w:rsid w:val="003B73F7"/>
    <w:rsid w:val="003B75BF"/>
    <w:rsid w:val="003C3170"/>
    <w:rsid w:val="003C4442"/>
    <w:rsid w:val="003C4563"/>
    <w:rsid w:val="003C7BC4"/>
    <w:rsid w:val="003D2609"/>
    <w:rsid w:val="003D4918"/>
    <w:rsid w:val="003D573B"/>
    <w:rsid w:val="003D6C0B"/>
    <w:rsid w:val="003E410C"/>
    <w:rsid w:val="003E7D1A"/>
    <w:rsid w:val="003F19C4"/>
    <w:rsid w:val="003F60E4"/>
    <w:rsid w:val="003F6C0D"/>
    <w:rsid w:val="004025EC"/>
    <w:rsid w:val="004025EF"/>
    <w:rsid w:val="004174AD"/>
    <w:rsid w:val="0042022A"/>
    <w:rsid w:val="00421C03"/>
    <w:rsid w:val="00422966"/>
    <w:rsid w:val="00426B55"/>
    <w:rsid w:val="00431852"/>
    <w:rsid w:val="00431E8A"/>
    <w:rsid w:val="00431F3C"/>
    <w:rsid w:val="00432AAA"/>
    <w:rsid w:val="00435FCD"/>
    <w:rsid w:val="00444124"/>
    <w:rsid w:val="00451E52"/>
    <w:rsid w:val="004542AA"/>
    <w:rsid w:val="00456EA4"/>
    <w:rsid w:val="00477AAD"/>
    <w:rsid w:val="00481B0D"/>
    <w:rsid w:val="00485B00"/>
    <w:rsid w:val="00485F58"/>
    <w:rsid w:val="004863D7"/>
    <w:rsid w:val="00491DDB"/>
    <w:rsid w:val="00491E5D"/>
    <w:rsid w:val="00492394"/>
    <w:rsid w:val="0049410E"/>
    <w:rsid w:val="004955E2"/>
    <w:rsid w:val="004964A5"/>
    <w:rsid w:val="004A12B4"/>
    <w:rsid w:val="004A3009"/>
    <w:rsid w:val="004A342E"/>
    <w:rsid w:val="004A504C"/>
    <w:rsid w:val="004B29CB"/>
    <w:rsid w:val="004C64D9"/>
    <w:rsid w:val="004C6886"/>
    <w:rsid w:val="004C6994"/>
    <w:rsid w:val="004D13E9"/>
    <w:rsid w:val="004D3300"/>
    <w:rsid w:val="004D4FC3"/>
    <w:rsid w:val="004D567B"/>
    <w:rsid w:val="004E16F4"/>
    <w:rsid w:val="004E1F8C"/>
    <w:rsid w:val="004E48BB"/>
    <w:rsid w:val="004E4BFF"/>
    <w:rsid w:val="004E67A0"/>
    <w:rsid w:val="004E7E70"/>
    <w:rsid w:val="004F3355"/>
    <w:rsid w:val="004F7323"/>
    <w:rsid w:val="005003C5"/>
    <w:rsid w:val="00501782"/>
    <w:rsid w:val="00502E1F"/>
    <w:rsid w:val="0051305B"/>
    <w:rsid w:val="005131BD"/>
    <w:rsid w:val="00514277"/>
    <w:rsid w:val="00515EC3"/>
    <w:rsid w:val="00521BBB"/>
    <w:rsid w:val="005229F2"/>
    <w:rsid w:val="00522CE5"/>
    <w:rsid w:val="00525122"/>
    <w:rsid w:val="005252B6"/>
    <w:rsid w:val="00525738"/>
    <w:rsid w:val="00526E43"/>
    <w:rsid w:val="005279B5"/>
    <w:rsid w:val="00533459"/>
    <w:rsid w:val="005339B4"/>
    <w:rsid w:val="00534E0B"/>
    <w:rsid w:val="00540077"/>
    <w:rsid w:val="00541AF2"/>
    <w:rsid w:val="00542766"/>
    <w:rsid w:val="0055036D"/>
    <w:rsid w:val="0055231B"/>
    <w:rsid w:val="005557CE"/>
    <w:rsid w:val="00555E7B"/>
    <w:rsid w:val="00557DB7"/>
    <w:rsid w:val="00562A87"/>
    <w:rsid w:val="00564ECC"/>
    <w:rsid w:val="005663FC"/>
    <w:rsid w:val="00570D80"/>
    <w:rsid w:val="005735FF"/>
    <w:rsid w:val="0057741F"/>
    <w:rsid w:val="00583CCC"/>
    <w:rsid w:val="00587ADF"/>
    <w:rsid w:val="00595F9C"/>
    <w:rsid w:val="005961AD"/>
    <w:rsid w:val="005A2051"/>
    <w:rsid w:val="005A5083"/>
    <w:rsid w:val="005A51EF"/>
    <w:rsid w:val="005B47C0"/>
    <w:rsid w:val="005B4D88"/>
    <w:rsid w:val="005B5A16"/>
    <w:rsid w:val="005C6550"/>
    <w:rsid w:val="005C78C7"/>
    <w:rsid w:val="005D29E5"/>
    <w:rsid w:val="005D2D02"/>
    <w:rsid w:val="005D5953"/>
    <w:rsid w:val="005D6E97"/>
    <w:rsid w:val="005E47A7"/>
    <w:rsid w:val="005F103E"/>
    <w:rsid w:val="005F1E99"/>
    <w:rsid w:val="005F2B40"/>
    <w:rsid w:val="00603FBF"/>
    <w:rsid w:val="00612FE3"/>
    <w:rsid w:val="0062009D"/>
    <w:rsid w:val="00625225"/>
    <w:rsid w:val="006253A2"/>
    <w:rsid w:val="0062773C"/>
    <w:rsid w:val="0064342E"/>
    <w:rsid w:val="00643A70"/>
    <w:rsid w:val="0065002B"/>
    <w:rsid w:val="0065009F"/>
    <w:rsid w:val="0065090A"/>
    <w:rsid w:val="00651162"/>
    <w:rsid w:val="00651C6B"/>
    <w:rsid w:val="00661E7C"/>
    <w:rsid w:val="00663BC1"/>
    <w:rsid w:val="00666459"/>
    <w:rsid w:val="006765D5"/>
    <w:rsid w:val="00687827"/>
    <w:rsid w:val="00694BB0"/>
    <w:rsid w:val="006974BF"/>
    <w:rsid w:val="006A3977"/>
    <w:rsid w:val="006A67EF"/>
    <w:rsid w:val="006B44A0"/>
    <w:rsid w:val="006B5586"/>
    <w:rsid w:val="006D6530"/>
    <w:rsid w:val="006E149D"/>
    <w:rsid w:val="006E3A00"/>
    <w:rsid w:val="006E44F5"/>
    <w:rsid w:val="006F12B1"/>
    <w:rsid w:val="006F1526"/>
    <w:rsid w:val="006F21BE"/>
    <w:rsid w:val="006F524A"/>
    <w:rsid w:val="006F6151"/>
    <w:rsid w:val="006F645E"/>
    <w:rsid w:val="006F6A5D"/>
    <w:rsid w:val="006F73D2"/>
    <w:rsid w:val="00702AB9"/>
    <w:rsid w:val="00703114"/>
    <w:rsid w:val="00703B19"/>
    <w:rsid w:val="00706A33"/>
    <w:rsid w:val="00711656"/>
    <w:rsid w:val="007141ED"/>
    <w:rsid w:val="007234DA"/>
    <w:rsid w:val="0072798E"/>
    <w:rsid w:val="007313A5"/>
    <w:rsid w:val="0073197C"/>
    <w:rsid w:val="00732678"/>
    <w:rsid w:val="00733ECE"/>
    <w:rsid w:val="0073689E"/>
    <w:rsid w:val="00737054"/>
    <w:rsid w:val="007371A0"/>
    <w:rsid w:val="007431A3"/>
    <w:rsid w:val="00743905"/>
    <w:rsid w:val="00746B22"/>
    <w:rsid w:val="007478F7"/>
    <w:rsid w:val="00750E3B"/>
    <w:rsid w:val="00751068"/>
    <w:rsid w:val="007517AA"/>
    <w:rsid w:val="0075229F"/>
    <w:rsid w:val="00752A9C"/>
    <w:rsid w:val="0075543D"/>
    <w:rsid w:val="007611F8"/>
    <w:rsid w:val="00787B59"/>
    <w:rsid w:val="0079252C"/>
    <w:rsid w:val="00793479"/>
    <w:rsid w:val="0079350C"/>
    <w:rsid w:val="007A49DF"/>
    <w:rsid w:val="007B5E64"/>
    <w:rsid w:val="007B6E63"/>
    <w:rsid w:val="007C3829"/>
    <w:rsid w:val="007C4B26"/>
    <w:rsid w:val="007C4CF6"/>
    <w:rsid w:val="007D76B2"/>
    <w:rsid w:val="007E26B4"/>
    <w:rsid w:val="007E591D"/>
    <w:rsid w:val="007E6F74"/>
    <w:rsid w:val="00801959"/>
    <w:rsid w:val="0080203B"/>
    <w:rsid w:val="0081332F"/>
    <w:rsid w:val="00817DD7"/>
    <w:rsid w:val="008205A5"/>
    <w:rsid w:val="00825DEC"/>
    <w:rsid w:val="00827CC6"/>
    <w:rsid w:val="00830730"/>
    <w:rsid w:val="00832CED"/>
    <w:rsid w:val="00833188"/>
    <w:rsid w:val="00837D15"/>
    <w:rsid w:val="0084026D"/>
    <w:rsid w:val="00843768"/>
    <w:rsid w:val="00843C9D"/>
    <w:rsid w:val="008440CE"/>
    <w:rsid w:val="00854BF6"/>
    <w:rsid w:val="00854E14"/>
    <w:rsid w:val="00857B8B"/>
    <w:rsid w:val="008739DA"/>
    <w:rsid w:val="00877052"/>
    <w:rsid w:val="00880C7B"/>
    <w:rsid w:val="008835EE"/>
    <w:rsid w:val="0088736E"/>
    <w:rsid w:val="00887873"/>
    <w:rsid w:val="00887930"/>
    <w:rsid w:val="00887BBF"/>
    <w:rsid w:val="008939AB"/>
    <w:rsid w:val="008A2A70"/>
    <w:rsid w:val="008B7436"/>
    <w:rsid w:val="008C065B"/>
    <w:rsid w:val="008D0A96"/>
    <w:rsid w:val="008E23A2"/>
    <w:rsid w:val="008E65F0"/>
    <w:rsid w:val="008E74D9"/>
    <w:rsid w:val="008F271F"/>
    <w:rsid w:val="008F594C"/>
    <w:rsid w:val="008F7321"/>
    <w:rsid w:val="008F7F33"/>
    <w:rsid w:val="00900099"/>
    <w:rsid w:val="00914263"/>
    <w:rsid w:val="00921B45"/>
    <w:rsid w:val="00924803"/>
    <w:rsid w:val="00925988"/>
    <w:rsid w:val="0093095A"/>
    <w:rsid w:val="00932E4E"/>
    <w:rsid w:val="00933C7A"/>
    <w:rsid w:val="00934AB8"/>
    <w:rsid w:val="00934D3B"/>
    <w:rsid w:val="009358D8"/>
    <w:rsid w:val="00941199"/>
    <w:rsid w:val="0095213F"/>
    <w:rsid w:val="009575B0"/>
    <w:rsid w:val="00960299"/>
    <w:rsid w:val="009853E5"/>
    <w:rsid w:val="00986E70"/>
    <w:rsid w:val="009940FC"/>
    <w:rsid w:val="009943CF"/>
    <w:rsid w:val="009957D0"/>
    <w:rsid w:val="009A42BB"/>
    <w:rsid w:val="009C2B38"/>
    <w:rsid w:val="009C6034"/>
    <w:rsid w:val="009D2AC8"/>
    <w:rsid w:val="009D4BCD"/>
    <w:rsid w:val="009D63E0"/>
    <w:rsid w:val="009D65C0"/>
    <w:rsid w:val="009E25FC"/>
    <w:rsid w:val="009E3109"/>
    <w:rsid w:val="009E6FFD"/>
    <w:rsid w:val="009E758B"/>
    <w:rsid w:val="009F2525"/>
    <w:rsid w:val="009F7815"/>
    <w:rsid w:val="00A00120"/>
    <w:rsid w:val="00A02E94"/>
    <w:rsid w:val="00A05869"/>
    <w:rsid w:val="00A05E01"/>
    <w:rsid w:val="00A131C2"/>
    <w:rsid w:val="00A136C9"/>
    <w:rsid w:val="00A16991"/>
    <w:rsid w:val="00A17C1A"/>
    <w:rsid w:val="00A335BE"/>
    <w:rsid w:val="00A36079"/>
    <w:rsid w:val="00A41E77"/>
    <w:rsid w:val="00A4221B"/>
    <w:rsid w:val="00A47A69"/>
    <w:rsid w:val="00A53A45"/>
    <w:rsid w:val="00A66DD3"/>
    <w:rsid w:val="00A71F12"/>
    <w:rsid w:val="00A724A8"/>
    <w:rsid w:val="00A7315F"/>
    <w:rsid w:val="00A81EC6"/>
    <w:rsid w:val="00A854AE"/>
    <w:rsid w:val="00AB0B49"/>
    <w:rsid w:val="00AB1659"/>
    <w:rsid w:val="00AB1F72"/>
    <w:rsid w:val="00AB665C"/>
    <w:rsid w:val="00AC5A1D"/>
    <w:rsid w:val="00AD3D0B"/>
    <w:rsid w:val="00AD743D"/>
    <w:rsid w:val="00AE12BD"/>
    <w:rsid w:val="00AE4BAF"/>
    <w:rsid w:val="00AF0384"/>
    <w:rsid w:val="00AF1031"/>
    <w:rsid w:val="00AF54C0"/>
    <w:rsid w:val="00AF5B8C"/>
    <w:rsid w:val="00B130D6"/>
    <w:rsid w:val="00B15213"/>
    <w:rsid w:val="00B202F3"/>
    <w:rsid w:val="00B339AF"/>
    <w:rsid w:val="00B33B1E"/>
    <w:rsid w:val="00B40D5E"/>
    <w:rsid w:val="00B41B81"/>
    <w:rsid w:val="00B41B86"/>
    <w:rsid w:val="00B42B60"/>
    <w:rsid w:val="00B43C68"/>
    <w:rsid w:val="00B50A44"/>
    <w:rsid w:val="00B54693"/>
    <w:rsid w:val="00B73DF7"/>
    <w:rsid w:val="00B74602"/>
    <w:rsid w:val="00B90CA1"/>
    <w:rsid w:val="00B922AD"/>
    <w:rsid w:val="00B95B45"/>
    <w:rsid w:val="00BB1238"/>
    <w:rsid w:val="00BB1968"/>
    <w:rsid w:val="00BB34B7"/>
    <w:rsid w:val="00BB3C18"/>
    <w:rsid w:val="00BC0634"/>
    <w:rsid w:val="00BC09D5"/>
    <w:rsid w:val="00BC7921"/>
    <w:rsid w:val="00BD0243"/>
    <w:rsid w:val="00BD06C6"/>
    <w:rsid w:val="00BE0BC8"/>
    <w:rsid w:val="00BE1913"/>
    <w:rsid w:val="00BE2B7C"/>
    <w:rsid w:val="00BF4A79"/>
    <w:rsid w:val="00BF54CB"/>
    <w:rsid w:val="00C011B0"/>
    <w:rsid w:val="00C02541"/>
    <w:rsid w:val="00C058CB"/>
    <w:rsid w:val="00C079A7"/>
    <w:rsid w:val="00C120D6"/>
    <w:rsid w:val="00C175B1"/>
    <w:rsid w:val="00C20207"/>
    <w:rsid w:val="00C22C75"/>
    <w:rsid w:val="00C2459C"/>
    <w:rsid w:val="00C264CC"/>
    <w:rsid w:val="00C27C20"/>
    <w:rsid w:val="00C329A7"/>
    <w:rsid w:val="00C36846"/>
    <w:rsid w:val="00C406FE"/>
    <w:rsid w:val="00C47A2F"/>
    <w:rsid w:val="00C62053"/>
    <w:rsid w:val="00C63C28"/>
    <w:rsid w:val="00C732BC"/>
    <w:rsid w:val="00C806F0"/>
    <w:rsid w:val="00C81828"/>
    <w:rsid w:val="00C82816"/>
    <w:rsid w:val="00C82B66"/>
    <w:rsid w:val="00C905AF"/>
    <w:rsid w:val="00C937CA"/>
    <w:rsid w:val="00C94659"/>
    <w:rsid w:val="00C95246"/>
    <w:rsid w:val="00C96350"/>
    <w:rsid w:val="00CA4DBC"/>
    <w:rsid w:val="00CA788A"/>
    <w:rsid w:val="00CB0A04"/>
    <w:rsid w:val="00CC19A2"/>
    <w:rsid w:val="00CC1DF3"/>
    <w:rsid w:val="00CC3ABE"/>
    <w:rsid w:val="00CC5601"/>
    <w:rsid w:val="00CD2AE6"/>
    <w:rsid w:val="00CD512D"/>
    <w:rsid w:val="00CD7A62"/>
    <w:rsid w:val="00CE327F"/>
    <w:rsid w:val="00CE603C"/>
    <w:rsid w:val="00CE61EA"/>
    <w:rsid w:val="00D034EC"/>
    <w:rsid w:val="00D0698C"/>
    <w:rsid w:val="00D06B73"/>
    <w:rsid w:val="00D10B31"/>
    <w:rsid w:val="00D13EDF"/>
    <w:rsid w:val="00D14BD1"/>
    <w:rsid w:val="00D22E35"/>
    <w:rsid w:val="00D25057"/>
    <w:rsid w:val="00D26D00"/>
    <w:rsid w:val="00D40A12"/>
    <w:rsid w:val="00D40C8E"/>
    <w:rsid w:val="00D414AB"/>
    <w:rsid w:val="00D44139"/>
    <w:rsid w:val="00D454EA"/>
    <w:rsid w:val="00D45B66"/>
    <w:rsid w:val="00D460BD"/>
    <w:rsid w:val="00D47062"/>
    <w:rsid w:val="00D5004E"/>
    <w:rsid w:val="00D510D9"/>
    <w:rsid w:val="00D547E9"/>
    <w:rsid w:val="00D5670D"/>
    <w:rsid w:val="00D6191A"/>
    <w:rsid w:val="00D725BA"/>
    <w:rsid w:val="00D73AB2"/>
    <w:rsid w:val="00D75353"/>
    <w:rsid w:val="00D806F2"/>
    <w:rsid w:val="00D83076"/>
    <w:rsid w:val="00D90887"/>
    <w:rsid w:val="00D92AC1"/>
    <w:rsid w:val="00D94465"/>
    <w:rsid w:val="00DA2944"/>
    <w:rsid w:val="00DA3034"/>
    <w:rsid w:val="00DA4552"/>
    <w:rsid w:val="00DA5B97"/>
    <w:rsid w:val="00DA695E"/>
    <w:rsid w:val="00DB1B10"/>
    <w:rsid w:val="00DB4A4F"/>
    <w:rsid w:val="00DC22D0"/>
    <w:rsid w:val="00DC455A"/>
    <w:rsid w:val="00DC7E71"/>
    <w:rsid w:val="00DD6074"/>
    <w:rsid w:val="00DE29E0"/>
    <w:rsid w:val="00DE2E15"/>
    <w:rsid w:val="00DE6EAC"/>
    <w:rsid w:val="00DE77B4"/>
    <w:rsid w:val="00E00D6C"/>
    <w:rsid w:val="00E06742"/>
    <w:rsid w:val="00E11D5C"/>
    <w:rsid w:val="00E16AD1"/>
    <w:rsid w:val="00E224B4"/>
    <w:rsid w:val="00E276FE"/>
    <w:rsid w:val="00E33B9C"/>
    <w:rsid w:val="00E33DB1"/>
    <w:rsid w:val="00E353EA"/>
    <w:rsid w:val="00E369CA"/>
    <w:rsid w:val="00E378CE"/>
    <w:rsid w:val="00E41DCD"/>
    <w:rsid w:val="00E44998"/>
    <w:rsid w:val="00E54DAD"/>
    <w:rsid w:val="00E62DA4"/>
    <w:rsid w:val="00E632AA"/>
    <w:rsid w:val="00E673D8"/>
    <w:rsid w:val="00E70C29"/>
    <w:rsid w:val="00E73142"/>
    <w:rsid w:val="00E817C2"/>
    <w:rsid w:val="00E845C6"/>
    <w:rsid w:val="00E93623"/>
    <w:rsid w:val="00E966DA"/>
    <w:rsid w:val="00E96E9B"/>
    <w:rsid w:val="00EA6FC9"/>
    <w:rsid w:val="00EC3DCE"/>
    <w:rsid w:val="00EC52C6"/>
    <w:rsid w:val="00EC5528"/>
    <w:rsid w:val="00ED5053"/>
    <w:rsid w:val="00ED700C"/>
    <w:rsid w:val="00EE11F3"/>
    <w:rsid w:val="00EE184D"/>
    <w:rsid w:val="00EE1DB7"/>
    <w:rsid w:val="00EF06BD"/>
    <w:rsid w:val="00EF3024"/>
    <w:rsid w:val="00EF3747"/>
    <w:rsid w:val="00EF63AC"/>
    <w:rsid w:val="00F00F5F"/>
    <w:rsid w:val="00F01917"/>
    <w:rsid w:val="00F03A68"/>
    <w:rsid w:val="00F057CB"/>
    <w:rsid w:val="00F12E55"/>
    <w:rsid w:val="00F1444D"/>
    <w:rsid w:val="00F21C95"/>
    <w:rsid w:val="00F24A0B"/>
    <w:rsid w:val="00F26263"/>
    <w:rsid w:val="00F61541"/>
    <w:rsid w:val="00F62743"/>
    <w:rsid w:val="00F6448A"/>
    <w:rsid w:val="00F80853"/>
    <w:rsid w:val="00F80E02"/>
    <w:rsid w:val="00F81756"/>
    <w:rsid w:val="00F82B96"/>
    <w:rsid w:val="00F86D8E"/>
    <w:rsid w:val="00F9165F"/>
    <w:rsid w:val="00F921E0"/>
    <w:rsid w:val="00FA1F26"/>
    <w:rsid w:val="00FA2B28"/>
    <w:rsid w:val="00FA52FD"/>
    <w:rsid w:val="00FA532E"/>
    <w:rsid w:val="00FB60C2"/>
    <w:rsid w:val="00FB61B6"/>
    <w:rsid w:val="00FC1BD9"/>
    <w:rsid w:val="00FC484C"/>
    <w:rsid w:val="00FD3473"/>
    <w:rsid w:val="00FD3EB1"/>
    <w:rsid w:val="00FD6701"/>
    <w:rsid w:val="00FD7929"/>
    <w:rsid w:val="00FE50EC"/>
    <w:rsid w:val="00FF054E"/>
    <w:rsid w:val="00FF1BBC"/>
    <w:rsid w:val="00FF52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02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459"/>
  </w:style>
  <w:style w:type="paragraph" w:styleId="Heading1">
    <w:name w:val="heading 1"/>
    <w:basedOn w:val="Normal"/>
    <w:link w:val="Heading1Char"/>
    <w:uiPriority w:val="9"/>
    <w:qFormat/>
    <w:rsid w:val="00DE77B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F7321"/>
    <w:rPr>
      <w:b w:val="0"/>
      <w:bCs w:val="0"/>
    </w:rPr>
  </w:style>
  <w:style w:type="paragraph" w:styleId="NormalWeb">
    <w:name w:val="Normal (Web)"/>
    <w:basedOn w:val="Normal"/>
    <w:uiPriority w:val="99"/>
    <w:semiHidden/>
    <w:unhideWhenUsed/>
    <w:rsid w:val="008F7321"/>
    <w:pPr>
      <w:spacing w:after="0" w:line="240" w:lineRule="auto"/>
    </w:pPr>
    <w:rPr>
      <w:rFonts w:ascii="inherit" w:eastAsia="Times New Roman" w:hAnsi="inherit" w:cs="Times New Roman"/>
      <w:sz w:val="24"/>
      <w:szCs w:val="24"/>
      <w:lang w:eastAsia="en-AU"/>
    </w:rPr>
  </w:style>
  <w:style w:type="paragraph" w:styleId="ListParagraph">
    <w:name w:val="List Paragraph"/>
    <w:basedOn w:val="Normal"/>
    <w:uiPriority w:val="34"/>
    <w:qFormat/>
    <w:rsid w:val="008F7321"/>
    <w:pPr>
      <w:ind w:left="720"/>
      <w:contextualSpacing/>
    </w:pPr>
  </w:style>
  <w:style w:type="character" w:styleId="Hyperlink">
    <w:name w:val="Hyperlink"/>
    <w:basedOn w:val="DefaultParagraphFont"/>
    <w:uiPriority w:val="99"/>
    <w:unhideWhenUsed/>
    <w:rsid w:val="00F86D8E"/>
    <w:rPr>
      <w:color w:val="0000FF" w:themeColor="hyperlink"/>
      <w:u w:val="single"/>
    </w:rPr>
  </w:style>
  <w:style w:type="paragraph" w:styleId="CommentText">
    <w:name w:val="annotation text"/>
    <w:basedOn w:val="Normal"/>
    <w:link w:val="CommentTextChar"/>
    <w:uiPriority w:val="99"/>
    <w:semiHidden/>
    <w:unhideWhenUsed/>
    <w:rsid w:val="00CC5601"/>
    <w:pPr>
      <w:spacing w:line="240" w:lineRule="auto"/>
    </w:pPr>
    <w:rPr>
      <w:sz w:val="20"/>
      <w:szCs w:val="20"/>
    </w:rPr>
  </w:style>
  <w:style w:type="character" w:customStyle="1" w:styleId="CommentTextChar">
    <w:name w:val="Comment Text Char"/>
    <w:basedOn w:val="DefaultParagraphFont"/>
    <w:link w:val="CommentText"/>
    <w:uiPriority w:val="99"/>
    <w:semiHidden/>
    <w:rsid w:val="00CC5601"/>
    <w:rPr>
      <w:sz w:val="20"/>
      <w:szCs w:val="20"/>
    </w:rPr>
  </w:style>
  <w:style w:type="paragraph" w:customStyle="1" w:styleId="definition">
    <w:name w:val="definition"/>
    <w:basedOn w:val="Normal"/>
    <w:rsid w:val="00932E4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932E4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D4FC3"/>
    <w:rPr>
      <w:color w:val="800080" w:themeColor="followedHyperlink"/>
      <w:u w:val="single"/>
    </w:rPr>
  </w:style>
  <w:style w:type="paragraph" w:styleId="BalloonText">
    <w:name w:val="Balloon Text"/>
    <w:basedOn w:val="Normal"/>
    <w:link w:val="BalloonTextChar"/>
    <w:uiPriority w:val="99"/>
    <w:semiHidden/>
    <w:unhideWhenUsed/>
    <w:rsid w:val="009E31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109"/>
    <w:rPr>
      <w:rFonts w:ascii="Tahoma" w:hAnsi="Tahoma" w:cs="Tahoma"/>
      <w:sz w:val="16"/>
      <w:szCs w:val="16"/>
    </w:rPr>
  </w:style>
  <w:style w:type="paragraph" w:styleId="Header">
    <w:name w:val="header"/>
    <w:basedOn w:val="Normal"/>
    <w:link w:val="HeaderChar"/>
    <w:uiPriority w:val="99"/>
    <w:unhideWhenUsed/>
    <w:rsid w:val="004A12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2B4"/>
  </w:style>
  <w:style w:type="paragraph" w:styleId="Footer">
    <w:name w:val="footer"/>
    <w:basedOn w:val="Normal"/>
    <w:link w:val="FooterChar"/>
    <w:uiPriority w:val="99"/>
    <w:unhideWhenUsed/>
    <w:rsid w:val="004A12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2B4"/>
  </w:style>
  <w:style w:type="character" w:customStyle="1" w:styleId="Heading1Char">
    <w:name w:val="Heading 1 Char"/>
    <w:basedOn w:val="DefaultParagraphFont"/>
    <w:link w:val="Heading1"/>
    <w:uiPriority w:val="9"/>
    <w:rsid w:val="00DE77B4"/>
    <w:rPr>
      <w:rFonts w:ascii="Times New Roman" w:eastAsia="Times New Roman" w:hAnsi="Times New Roman" w:cs="Times New Roman"/>
      <w:b/>
      <w:bCs/>
      <w:kern w:val="36"/>
      <w:sz w:val="48"/>
      <w:szCs w:val="48"/>
      <w:lang w:eastAsia="en-AU"/>
    </w:rPr>
  </w:style>
  <w:style w:type="character" w:styleId="CommentReference">
    <w:name w:val="annotation reference"/>
    <w:basedOn w:val="DefaultParagraphFont"/>
    <w:uiPriority w:val="99"/>
    <w:semiHidden/>
    <w:unhideWhenUsed/>
    <w:rsid w:val="00DE77B4"/>
    <w:rPr>
      <w:sz w:val="16"/>
      <w:szCs w:val="16"/>
    </w:rPr>
  </w:style>
  <w:style w:type="paragraph" w:styleId="CommentSubject">
    <w:name w:val="annotation subject"/>
    <w:basedOn w:val="CommentText"/>
    <w:next w:val="CommentText"/>
    <w:link w:val="CommentSubjectChar"/>
    <w:uiPriority w:val="99"/>
    <w:semiHidden/>
    <w:unhideWhenUsed/>
    <w:rsid w:val="00DE77B4"/>
    <w:rPr>
      <w:b/>
      <w:bCs/>
    </w:rPr>
  </w:style>
  <w:style w:type="character" w:customStyle="1" w:styleId="CommentSubjectChar">
    <w:name w:val="Comment Subject Char"/>
    <w:basedOn w:val="CommentTextChar"/>
    <w:link w:val="CommentSubject"/>
    <w:uiPriority w:val="99"/>
    <w:semiHidden/>
    <w:rsid w:val="00DE77B4"/>
    <w:rPr>
      <w:b/>
      <w:bCs/>
      <w:sz w:val="20"/>
      <w:szCs w:val="20"/>
    </w:rPr>
  </w:style>
  <w:style w:type="paragraph" w:styleId="FootnoteText">
    <w:name w:val="footnote text"/>
    <w:basedOn w:val="Normal"/>
    <w:link w:val="FootnoteTextChar"/>
    <w:uiPriority w:val="99"/>
    <w:semiHidden/>
    <w:unhideWhenUsed/>
    <w:rsid w:val="007611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11F8"/>
    <w:rPr>
      <w:sz w:val="20"/>
      <w:szCs w:val="20"/>
    </w:rPr>
  </w:style>
  <w:style w:type="character" w:styleId="FootnoteReference">
    <w:name w:val="footnote reference"/>
    <w:basedOn w:val="DefaultParagraphFont"/>
    <w:uiPriority w:val="99"/>
    <w:semiHidden/>
    <w:unhideWhenUsed/>
    <w:rsid w:val="007611F8"/>
    <w:rPr>
      <w:vertAlign w:val="superscript"/>
    </w:rPr>
  </w:style>
  <w:style w:type="paragraph" w:customStyle="1" w:styleId="Default">
    <w:name w:val="Default"/>
    <w:rsid w:val="000C70AD"/>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eGrid">
    <w:name w:val="Table Grid"/>
    <w:basedOn w:val="TableNormal"/>
    <w:uiPriority w:val="59"/>
    <w:rsid w:val="00A05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459"/>
  </w:style>
  <w:style w:type="paragraph" w:styleId="Heading1">
    <w:name w:val="heading 1"/>
    <w:basedOn w:val="Normal"/>
    <w:link w:val="Heading1Char"/>
    <w:uiPriority w:val="9"/>
    <w:qFormat/>
    <w:rsid w:val="00DE77B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F7321"/>
    <w:rPr>
      <w:b w:val="0"/>
      <w:bCs w:val="0"/>
    </w:rPr>
  </w:style>
  <w:style w:type="paragraph" w:styleId="NormalWeb">
    <w:name w:val="Normal (Web)"/>
    <w:basedOn w:val="Normal"/>
    <w:uiPriority w:val="99"/>
    <w:semiHidden/>
    <w:unhideWhenUsed/>
    <w:rsid w:val="008F7321"/>
    <w:pPr>
      <w:spacing w:after="0" w:line="240" w:lineRule="auto"/>
    </w:pPr>
    <w:rPr>
      <w:rFonts w:ascii="inherit" w:eastAsia="Times New Roman" w:hAnsi="inherit" w:cs="Times New Roman"/>
      <w:sz w:val="24"/>
      <w:szCs w:val="24"/>
      <w:lang w:eastAsia="en-AU"/>
    </w:rPr>
  </w:style>
  <w:style w:type="paragraph" w:styleId="ListParagraph">
    <w:name w:val="List Paragraph"/>
    <w:basedOn w:val="Normal"/>
    <w:uiPriority w:val="34"/>
    <w:qFormat/>
    <w:rsid w:val="008F7321"/>
    <w:pPr>
      <w:ind w:left="720"/>
      <w:contextualSpacing/>
    </w:pPr>
  </w:style>
  <w:style w:type="character" w:styleId="Hyperlink">
    <w:name w:val="Hyperlink"/>
    <w:basedOn w:val="DefaultParagraphFont"/>
    <w:uiPriority w:val="99"/>
    <w:unhideWhenUsed/>
    <w:rsid w:val="00F86D8E"/>
    <w:rPr>
      <w:color w:val="0000FF" w:themeColor="hyperlink"/>
      <w:u w:val="single"/>
    </w:rPr>
  </w:style>
  <w:style w:type="paragraph" w:styleId="CommentText">
    <w:name w:val="annotation text"/>
    <w:basedOn w:val="Normal"/>
    <w:link w:val="CommentTextChar"/>
    <w:uiPriority w:val="99"/>
    <w:semiHidden/>
    <w:unhideWhenUsed/>
    <w:rsid w:val="00CC5601"/>
    <w:pPr>
      <w:spacing w:line="240" w:lineRule="auto"/>
    </w:pPr>
    <w:rPr>
      <w:sz w:val="20"/>
      <w:szCs w:val="20"/>
    </w:rPr>
  </w:style>
  <w:style w:type="character" w:customStyle="1" w:styleId="CommentTextChar">
    <w:name w:val="Comment Text Char"/>
    <w:basedOn w:val="DefaultParagraphFont"/>
    <w:link w:val="CommentText"/>
    <w:uiPriority w:val="99"/>
    <w:semiHidden/>
    <w:rsid w:val="00CC5601"/>
    <w:rPr>
      <w:sz w:val="20"/>
      <w:szCs w:val="20"/>
    </w:rPr>
  </w:style>
  <w:style w:type="paragraph" w:customStyle="1" w:styleId="definition">
    <w:name w:val="definition"/>
    <w:basedOn w:val="Normal"/>
    <w:rsid w:val="00932E4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932E4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D4FC3"/>
    <w:rPr>
      <w:color w:val="800080" w:themeColor="followedHyperlink"/>
      <w:u w:val="single"/>
    </w:rPr>
  </w:style>
  <w:style w:type="paragraph" w:styleId="BalloonText">
    <w:name w:val="Balloon Text"/>
    <w:basedOn w:val="Normal"/>
    <w:link w:val="BalloonTextChar"/>
    <w:uiPriority w:val="99"/>
    <w:semiHidden/>
    <w:unhideWhenUsed/>
    <w:rsid w:val="009E31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109"/>
    <w:rPr>
      <w:rFonts w:ascii="Tahoma" w:hAnsi="Tahoma" w:cs="Tahoma"/>
      <w:sz w:val="16"/>
      <w:szCs w:val="16"/>
    </w:rPr>
  </w:style>
  <w:style w:type="paragraph" w:styleId="Header">
    <w:name w:val="header"/>
    <w:basedOn w:val="Normal"/>
    <w:link w:val="HeaderChar"/>
    <w:uiPriority w:val="99"/>
    <w:unhideWhenUsed/>
    <w:rsid w:val="004A12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2B4"/>
  </w:style>
  <w:style w:type="paragraph" w:styleId="Footer">
    <w:name w:val="footer"/>
    <w:basedOn w:val="Normal"/>
    <w:link w:val="FooterChar"/>
    <w:uiPriority w:val="99"/>
    <w:unhideWhenUsed/>
    <w:rsid w:val="004A12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2B4"/>
  </w:style>
  <w:style w:type="character" w:customStyle="1" w:styleId="Heading1Char">
    <w:name w:val="Heading 1 Char"/>
    <w:basedOn w:val="DefaultParagraphFont"/>
    <w:link w:val="Heading1"/>
    <w:uiPriority w:val="9"/>
    <w:rsid w:val="00DE77B4"/>
    <w:rPr>
      <w:rFonts w:ascii="Times New Roman" w:eastAsia="Times New Roman" w:hAnsi="Times New Roman" w:cs="Times New Roman"/>
      <w:b/>
      <w:bCs/>
      <w:kern w:val="36"/>
      <w:sz w:val="48"/>
      <w:szCs w:val="48"/>
      <w:lang w:eastAsia="en-AU"/>
    </w:rPr>
  </w:style>
  <w:style w:type="character" w:styleId="CommentReference">
    <w:name w:val="annotation reference"/>
    <w:basedOn w:val="DefaultParagraphFont"/>
    <w:uiPriority w:val="99"/>
    <w:semiHidden/>
    <w:unhideWhenUsed/>
    <w:rsid w:val="00DE77B4"/>
    <w:rPr>
      <w:sz w:val="16"/>
      <w:szCs w:val="16"/>
    </w:rPr>
  </w:style>
  <w:style w:type="paragraph" w:styleId="CommentSubject">
    <w:name w:val="annotation subject"/>
    <w:basedOn w:val="CommentText"/>
    <w:next w:val="CommentText"/>
    <w:link w:val="CommentSubjectChar"/>
    <w:uiPriority w:val="99"/>
    <w:semiHidden/>
    <w:unhideWhenUsed/>
    <w:rsid w:val="00DE77B4"/>
    <w:rPr>
      <w:b/>
      <w:bCs/>
    </w:rPr>
  </w:style>
  <w:style w:type="character" w:customStyle="1" w:styleId="CommentSubjectChar">
    <w:name w:val="Comment Subject Char"/>
    <w:basedOn w:val="CommentTextChar"/>
    <w:link w:val="CommentSubject"/>
    <w:uiPriority w:val="99"/>
    <w:semiHidden/>
    <w:rsid w:val="00DE77B4"/>
    <w:rPr>
      <w:b/>
      <w:bCs/>
      <w:sz w:val="20"/>
      <w:szCs w:val="20"/>
    </w:rPr>
  </w:style>
  <w:style w:type="paragraph" w:styleId="FootnoteText">
    <w:name w:val="footnote text"/>
    <w:basedOn w:val="Normal"/>
    <w:link w:val="FootnoteTextChar"/>
    <w:uiPriority w:val="99"/>
    <w:semiHidden/>
    <w:unhideWhenUsed/>
    <w:rsid w:val="007611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11F8"/>
    <w:rPr>
      <w:sz w:val="20"/>
      <w:szCs w:val="20"/>
    </w:rPr>
  </w:style>
  <w:style w:type="character" w:styleId="FootnoteReference">
    <w:name w:val="footnote reference"/>
    <w:basedOn w:val="DefaultParagraphFont"/>
    <w:uiPriority w:val="99"/>
    <w:semiHidden/>
    <w:unhideWhenUsed/>
    <w:rsid w:val="007611F8"/>
    <w:rPr>
      <w:vertAlign w:val="superscript"/>
    </w:rPr>
  </w:style>
  <w:style w:type="paragraph" w:customStyle="1" w:styleId="Default">
    <w:name w:val="Default"/>
    <w:rsid w:val="000C70AD"/>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eGrid">
    <w:name w:val="Table Grid"/>
    <w:basedOn w:val="TableNormal"/>
    <w:uiPriority w:val="59"/>
    <w:rsid w:val="00A05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781376">
      <w:bodyDiv w:val="1"/>
      <w:marLeft w:val="0"/>
      <w:marRight w:val="0"/>
      <w:marTop w:val="0"/>
      <w:marBottom w:val="0"/>
      <w:divBdr>
        <w:top w:val="none" w:sz="0" w:space="0" w:color="auto"/>
        <w:left w:val="none" w:sz="0" w:space="0" w:color="auto"/>
        <w:bottom w:val="none" w:sz="0" w:space="0" w:color="auto"/>
        <w:right w:val="none" w:sz="0" w:space="0" w:color="auto"/>
      </w:divBdr>
    </w:div>
    <w:div w:id="964580723">
      <w:bodyDiv w:val="1"/>
      <w:marLeft w:val="0"/>
      <w:marRight w:val="0"/>
      <w:marTop w:val="0"/>
      <w:marBottom w:val="0"/>
      <w:divBdr>
        <w:top w:val="none" w:sz="0" w:space="0" w:color="auto"/>
        <w:left w:val="none" w:sz="0" w:space="0" w:color="auto"/>
        <w:bottom w:val="none" w:sz="0" w:space="0" w:color="auto"/>
        <w:right w:val="none" w:sz="0" w:space="0" w:color="auto"/>
      </w:divBdr>
      <w:divsChild>
        <w:div w:id="812481039">
          <w:marLeft w:val="0"/>
          <w:marRight w:val="0"/>
          <w:marTop w:val="0"/>
          <w:marBottom w:val="0"/>
          <w:divBdr>
            <w:top w:val="none" w:sz="0" w:space="0" w:color="auto"/>
            <w:left w:val="none" w:sz="0" w:space="0" w:color="auto"/>
            <w:bottom w:val="none" w:sz="0" w:space="0" w:color="auto"/>
            <w:right w:val="none" w:sz="0" w:space="0" w:color="auto"/>
          </w:divBdr>
          <w:divsChild>
            <w:div w:id="286161866">
              <w:marLeft w:val="0"/>
              <w:marRight w:val="0"/>
              <w:marTop w:val="0"/>
              <w:marBottom w:val="0"/>
              <w:divBdr>
                <w:top w:val="none" w:sz="0" w:space="0" w:color="auto"/>
                <w:left w:val="none" w:sz="0" w:space="0" w:color="auto"/>
                <w:bottom w:val="none" w:sz="0" w:space="0" w:color="auto"/>
                <w:right w:val="none" w:sz="0" w:space="0" w:color="auto"/>
              </w:divBdr>
              <w:divsChild>
                <w:div w:id="1501968812">
                  <w:marLeft w:val="0"/>
                  <w:marRight w:val="0"/>
                  <w:marTop w:val="0"/>
                  <w:marBottom w:val="0"/>
                  <w:divBdr>
                    <w:top w:val="none" w:sz="0" w:space="0" w:color="auto"/>
                    <w:left w:val="none" w:sz="0" w:space="0" w:color="auto"/>
                    <w:bottom w:val="none" w:sz="0" w:space="0" w:color="auto"/>
                    <w:right w:val="none" w:sz="0" w:space="0" w:color="auto"/>
                  </w:divBdr>
                  <w:divsChild>
                    <w:div w:id="620915475">
                      <w:marLeft w:val="0"/>
                      <w:marRight w:val="0"/>
                      <w:marTop w:val="0"/>
                      <w:marBottom w:val="0"/>
                      <w:divBdr>
                        <w:top w:val="none" w:sz="0" w:space="0" w:color="auto"/>
                        <w:left w:val="none" w:sz="0" w:space="0" w:color="auto"/>
                        <w:bottom w:val="none" w:sz="0" w:space="0" w:color="auto"/>
                        <w:right w:val="none" w:sz="0" w:space="0" w:color="auto"/>
                      </w:divBdr>
                      <w:divsChild>
                        <w:div w:id="127820628">
                          <w:marLeft w:val="0"/>
                          <w:marRight w:val="0"/>
                          <w:marTop w:val="0"/>
                          <w:marBottom w:val="0"/>
                          <w:divBdr>
                            <w:top w:val="none" w:sz="0" w:space="0" w:color="auto"/>
                            <w:left w:val="none" w:sz="0" w:space="0" w:color="auto"/>
                            <w:bottom w:val="none" w:sz="0" w:space="0" w:color="auto"/>
                            <w:right w:val="none" w:sz="0" w:space="0" w:color="auto"/>
                          </w:divBdr>
                          <w:divsChild>
                            <w:div w:id="504127285">
                              <w:marLeft w:val="0"/>
                              <w:marRight w:val="0"/>
                              <w:marTop w:val="0"/>
                              <w:marBottom w:val="0"/>
                              <w:divBdr>
                                <w:top w:val="single" w:sz="6" w:space="0" w:color="828282"/>
                                <w:left w:val="single" w:sz="6" w:space="0" w:color="828282"/>
                                <w:bottom w:val="single" w:sz="6" w:space="0" w:color="828282"/>
                                <w:right w:val="single" w:sz="6" w:space="0" w:color="828282"/>
                              </w:divBdr>
                              <w:divsChild>
                                <w:div w:id="1772356285">
                                  <w:marLeft w:val="0"/>
                                  <w:marRight w:val="0"/>
                                  <w:marTop w:val="0"/>
                                  <w:marBottom w:val="0"/>
                                  <w:divBdr>
                                    <w:top w:val="none" w:sz="0" w:space="0" w:color="auto"/>
                                    <w:left w:val="none" w:sz="0" w:space="0" w:color="auto"/>
                                    <w:bottom w:val="none" w:sz="0" w:space="0" w:color="auto"/>
                                    <w:right w:val="none" w:sz="0" w:space="0" w:color="auto"/>
                                  </w:divBdr>
                                  <w:divsChild>
                                    <w:div w:id="1854538074">
                                      <w:marLeft w:val="0"/>
                                      <w:marRight w:val="0"/>
                                      <w:marTop w:val="0"/>
                                      <w:marBottom w:val="0"/>
                                      <w:divBdr>
                                        <w:top w:val="none" w:sz="0" w:space="0" w:color="auto"/>
                                        <w:left w:val="none" w:sz="0" w:space="0" w:color="auto"/>
                                        <w:bottom w:val="none" w:sz="0" w:space="0" w:color="auto"/>
                                        <w:right w:val="none" w:sz="0" w:space="0" w:color="auto"/>
                                      </w:divBdr>
                                      <w:divsChild>
                                        <w:div w:id="180167762">
                                          <w:marLeft w:val="0"/>
                                          <w:marRight w:val="0"/>
                                          <w:marTop w:val="0"/>
                                          <w:marBottom w:val="0"/>
                                          <w:divBdr>
                                            <w:top w:val="none" w:sz="0" w:space="0" w:color="auto"/>
                                            <w:left w:val="none" w:sz="0" w:space="0" w:color="auto"/>
                                            <w:bottom w:val="none" w:sz="0" w:space="0" w:color="auto"/>
                                            <w:right w:val="none" w:sz="0" w:space="0" w:color="auto"/>
                                          </w:divBdr>
                                          <w:divsChild>
                                            <w:div w:id="714888055">
                                              <w:marLeft w:val="0"/>
                                              <w:marRight w:val="0"/>
                                              <w:marTop w:val="0"/>
                                              <w:marBottom w:val="0"/>
                                              <w:divBdr>
                                                <w:top w:val="none" w:sz="0" w:space="0" w:color="auto"/>
                                                <w:left w:val="none" w:sz="0" w:space="0" w:color="auto"/>
                                                <w:bottom w:val="none" w:sz="0" w:space="0" w:color="auto"/>
                                                <w:right w:val="none" w:sz="0" w:space="0" w:color="auto"/>
                                              </w:divBdr>
                                              <w:divsChild>
                                                <w:div w:id="709644224">
                                                  <w:marLeft w:val="0"/>
                                                  <w:marRight w:val="0"/>
                                                  <w:marTop w:val="0"/>
                                                  <w:marBottom w:val="0"/>
                                                  <w:divBdr>
                                                    <w:top w:val="none" w:sz="0" w:space="0" w:color="auto"/>
                                                    <w:left w:val="none" w:sz="0" w:space="0" w:color="auto"/>
                                                    <w:bottom w:val="none" w:sz="0" w:space="0" w:color="auto"/>
                                                    <w:right w:val="none" w:sz="0" w:space="0" w:color="auto"/>
                                                  </w:divBdr>
                                                  <w:divsChild>
                                                    <w:div w:id="232276441">
                                                      <w:marLeft w:val="0"/>
                                                      <w:marRight w:val="0"/>
                                                      <w:marTop w:val="0"/>
                                                      <w:marBottom w:val="0"/>
                                                      <w:divBdr>
                                                        <w:top w:val="none" w:sz="0" w:space="0" w:color="auto"/>
                                                        <w:left w:val="none" w:sz="0" w:space="0" w:color="auto"/>
                                                        <w:bottom w:val="none" w:sz="0" w:space="0" w:color="auto"/>
                                                        <w:right w:val="none" w:sz="0" w:space="0" w:color="auto"/>
                                                      </w:divBdr>
                                                      <w:divsChild>
                                                        <w:div w:id="94465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6598189">
      <w:bodyDiv w:val="1"/>
      <w:marLeft w:val="0"/>
      <w:marRight w:val="0"/>
      <w:marTop w:val="0"/>
      <w:marBottom w:val="0"/>
      <w:divBdr>
        <w:top w:val="none" w:sz="0" w:space="0" w:color="auto"/>
        <w:left w:val="none" w:sz="0" w:space="0" w:color="auto"/>
        <w:bottom w:val="none" w:sz="0" w:space="0" w:color="auto"/>
        <w:right w:val="none" w:sz="0" w:space="0" w:color="auto"/>
      </w:divBdr>
    </w:div>
    <w:div w:id="1109665443">
      <w:bodyDiv w:val="1"/>
      <w:marLeft w:val="0"/>
      <w:marRight w:val="0"/>
      <w:marTop w:val="0"/>
      <w:marBottom w:val="0"/>
      <w:divBdr>
        <w:top w:val="none" w:sz="0" w:space="0" w:color="auto"/>
        <w:left w:val="none" w:sz="0" w:space="0" w:color="auto"/>
        <w:bottom w:val="none" w:sz="0" w:space="0" w:color="auto"/>
        <w:right w:val="none" w:sz="0" w:space="0" w:color="auto"/>
      </w:divBdr>
    </w:div>
    <w:div w:id="1154686293">
      <w:bodyDiv w:val="1"/>
      <w:marLeft w:val="0"/>
      <w:marRight w:val="0"/>
      <w:marTop w:val="0"/>
      <w:marBottom w:val="0"/>
      <w:divBdr>
        <w:top w:val="none" w:sz="0" w:space="0" w:color="auto"/>
        <w:left w:val="none" w:sz="0" w:space="0" w:color="auto"/>
        <w:bottom w:val="none" w:sz="0" w:space="0" w:color="auto"/>
        <w:right w:val="none" w:sz="0" w:space="0" w:color="auto"/>
      </w:divBdr>
      <w:divsChild>
        <w:div w:id="1733459712">
          <w:marLeft w:val="0"/>
          <w:marRight w:val="0"/>
          <w:marTop w:val="0"/>
          <w:marBottom w:val="0"/>
          <w:divBdr>
            <w:top w:val="none" w:sz="0" w:space="0" w:color="auto"/>
            <w:left w:val="none" w:sz="0" w:space="0" w:color="auto"/>
            <w:bottom w:val="none" w:sz="0" w:space="0" w:color="auto"/>
            <w:right w:val="none" w:sz="0" w:space="0" w:color="auto"/>
          </w:divBdr>
          <w:divsChild>
            <w:div w:id="1386414980">
              <w:marLeft w:val="-225"/>
              <w:marRight w:val="-225"/>
              <w:marTop w:val="0"/>
              <w:marBottom w:val="0"/>
              <w:divBdr>
                <w:top w:val="none" w:sz="0" w:space="0" w:color="auto"/>
                <w:left w:val="none" w:sz="0" w:space="0" w:color="auto"/>
                <w:bottom w:val="none" w:sz="0" w:space="0" w:color="auto"/>
                <w:right w:val="none" w:sz="0" w:space="0" w:color="auto"/>
              </w:divBdr>
              <w:divsChild>
                <w:div w:id="100231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418961">
      <w:bodyDiv w:val="1"/>
      <w:marLeft w:val="0"/>
      <w:marRight w:val="0"/>
      <w:marTop w:val="0"/>
      <w:marBottom w:val="0"/>
      <w:divBdr>
        <w:top w:val="none" w:sz="0" w:space="0" w:color="auto"/>
        <w:left w:val="none" w:sz="0" w:space="0" w:color="auto"/>
        <w:bottom w:val="none" w:sz="0" w:space="0" w:color="auto"/>
        <w:right w:val="none" w:sz="0" w:space="0" w:color="auto"/>
      </w:divBdr>
      <w:divsChild>
        <w:div w:id="878593572">
          <w:marLeft w:val="0"/>
          <w:marRight w:val="0"/>
          <w:marTop w:val="0"/>
          <w:marBottom w:val="0"/>
          <w:divBdr>
            <w:top w:val="none" w:sz="0" w:space="0" w:color="auto"/>
            <w:left w:val="none" w:sz="0" w:space="0" w:color="auto"/>
            <w:bottom w:val="none" w:sz="0" w:space="0" w:color="auto"/>
            <w:right w:val="none" w:sz="0" w:space="0" w:color="auto"/>
          </w:divBdr>
        </w:div>
      </w:divsChild>
    </w:div>
    <w:div w:id="1836529728">
      <w:bodyDiv w:val="1"/>
      <w:marLeft w:val="0"/>
      <w:marRight w:val="0"/>
      <w:marTop w:val="0"/>
      <w:marBottom w:val="0"/>
      <w:divBdr>
        <w:top w:val="none" w:sz="0" w:space="0" w:color="auto"/>
        <w:left w:val="none" w:sz="0" w:space="0" w:color="auto"/>
        <w:bottom w:val="none" w:sz="0" w:space="0" w:color="auto"/>
        <w:right w:val="none" w:sz="0" w:space="0" w:color="auto"/>
      </w:divBdr>
    </w:div>
    <w:div w:id="2044279848">
      <w:bodyDiv w:val="1"/>
      <w:marLeft w:val="0"/>
      <w:marRight w:val="0"/>
      <w:marTop w:val="0"/>
      <w:marBottom w:val="0"/>
      <w:divBdr>
        <w:top w:val="none" w:sz="0" w:space="0" w:color="auto"/>
        <w:left w:val="none" w:sz="0" w:space="0" w:color="auto"/>
        <w:bottom w:val="none" w:sz="0" w:space="0" w:color="auto"/>
        <w:right w:val="none" w:sz="0" w:space="0" w:color="auto"/>
      </w:divBdr>
    </w:div>
    <w:div w:id="207115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jpeg"/><Relationship Id="rId10" Type="http://schemas.openxmlformats.org/officeDocument/2006/relationships/settings" Target="settings.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38C6F54242556948B6F04600E4F98FD4" ma:contentTypeVersion="13066" ma:contentTypeDescription="" ma:contentTypeScope="" ma:versionID="4fe92024e1e11e0a1fb61316f0a5a562">
  <xsd:schema xmlns:xsd="http://www.w3.org/2001/XMLSchema" xmlns:xs="http://www.w3.org/2001/XMLSchema" xmlns:p="http://schemas.microsoft.com/office/2006/metadata/properties" xmlns:ns1="http://schemas.microsoft.com/sharepoint/v3" xmlns:ns2="0f563589-9cf9-4143-b1eb-fb0534803d38" xmlns:ns3="e544e5cc-ab70-42e1-849e-1a0f8bb1f4ef" targetNamespace="http://schemas.microsoft.com/office/2006/metadata/properties" ma:root="true" ma:fieldsID="cd2eeaaf444acb04b47aeaae710f3b50" ns1:_="" ns2:_="" ns3:_="">
    <xsd:import namespace="http://schemas.microsoft.com/sharepoint/v3"/>
    <xsd:import namespace="0f563589-9cf9-4143-b1eb-fb0534803d38"/>
    <xsd:import namespace="e544e5cc-ab70-42e1-849e-1a0f8bb1f4ef"/>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19;#TSY RA-9241 - Retain as national archives|f92f0150-6021-43b5-a30c-415e02490674"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RA-9241 - Retain as national archives</TermName>
          <TermId xmlns="http://schemas.microsoft.com/office/infopath/2007/PartnerControls">f92f0150-6021-43b5-a30c-415e02490674</TermId>
        </TermInfo>
      </Terms>
    </lb508a4dc5e84436a0fe496b536466aa>
    <TaxCatchAll xmlns="0f563589-9cf9-4143-b1eb-fb0534803d38">
      <Value>19</Value>
    </TaxCatchAll>
    <_dlc_DocId xmlns="0f563589-9cf9-4143-b1eb-fb0534803d38">2018FG-583247893-130</_dlc_DocId>
    <_dlc_DocIdUrl xmlns="0f563589-9cf9-4143-b1eb-fb0534803d38">
      <Url>http://tweb/sites/fg/ripd/ciprs/_layouts/15/DocIdRedir.aspx?ID=2018FG-583247893-130</Url>
      <Description>2018FG-583247893-130</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C7E24-E4AD-4DB3-849C-18B4370D8DF8}">
  <ds:schemaRefs>
    <ds:schemaRef ds:uri="office.server.policy"/>
  </ds:schemaRefs>
</ds:datastoreItem>
</file>

<file path=customXml/itemProps2.xml><?xml version="1.0" encoding="utf-8"?>
<ds:datastoreItem xmlns:ds="http://schemas.openxmlformats.org/officeDocument/2006/customXml" ds:itemID="{B2FEFDC9-152F-433B-B4B3-12C8CDCBB811}">
  <ds:schemaRefs>
    <ds:schemaRef ds:uri="http://schemas.microsoft.com/sharepoint/events"/>
  </ds:schemaRefs>
</ds:datastoreItem>
</file>

<file path=customXml/itemProps3.xml><?xml version="1.0" encoding="utf-8"?>
<ds:datastoreItem xmlns:ds="http://schemas.openxmlformats.org/officeDocument/2006/customXml" ds:itemID="{EB8F578D-1009-431E-8F9F-95E259C69A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e544e5cc-ab70-42e1-849e-1a0f8bb1f4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2E51C2-2DB3-4413-96C6-B65C2A7FAB1A}">
  <ds:schemaRefs>
    <ds:schemaRef ds:uri="http://schemas.microsoft.com/sharepoint/v3"/>
    <ds:schemaRef ds:uri="http://purl.org/dc/dcmitype/"/>
    <ds:schemaRef ds:uri="e544e5cc-ab70-42e1-849e-1a0f8bb1f4ef"/>
    <ds:schemaRef ds:uri="http://schemas.microsoft.com/office/2006/documentManagement/types"/>
    <ds:schemaRef ds:uri="http://schemas.openxmlformats.org/package/2006/metadata/core-properti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0f563589-9cf9-4143-b1eb-fb0534803d38"/>
  </ds:schemaRefs>
</ds:datastoreItem>
</file>

<file path=customXml/itemProps5.xml><?xml version="1.0" encoding="utf-8"?>
<ds:datastoreItem xmlns:ds="http://schemas.openxmlformats.org/officeDocument/2006/customXml" ds:itemID="{F1D15431-478D-421A-93AC-D585174C3A26}">
  <ds:schemaRefs>
    <ds:schemaRef ds:uri="http://schemas.microsoft.com/sharepoint/v3/contenttype/forms"/>
  </ds:schemaRefs>
</ds:datastoreItem>
</file>

<file path=customXml/itemProps6.xml><?xml version="1.0" encoding="utf-8"?>
<ds:datastoreItem xmlns:ds="http://schemas.openxmlformats.org/officeDocument/2006/customXml" ds:itemID="{3D4165B0-5E04-4FA0-9FDE-F19E173E3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2625</Words>
  <Characters>13911</Characters>
  <Application>Microsoft Office Word</Application>
  <DocSecurity>0</DocSecurity>
  <Lines>245</Lines>
  <Paragraphs>64</Paragraphs>
  <ScaleCrop>false</ScaleCrop>
  <Company/>
  <LinksUpToDate>false</LinksUpToDate>
  <CharactersWithSpaces>16593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IFAA - Retirement Income Covenant Position Paper</dc:title>
  <dc:creator/>
  <cp:lastModifiedBy/>
  <cp:revision>1</cp:revision>
  <dcterms:created xsi:type="dcterms:W3CDTF">2018-07-31T00:33:00Z</dcterms:created>
  <dcterms:modified xsi:type="dcterms:W3CDTF">2018-07-31T00:33:00Z</dcterms:modified>
  <dc:language>English</dc:language>
</cp:coreProperties>
</file>