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07" w:rsidRDefault="00FD2507" w:rsidP="00FD2507">
      <w:pPr>
        <w:pStyle w:val="NoSpacing"/>
        <w:sectPr w:rsidR="00FD2507" w:rsidSect="001B1796">
          <w:headerReference w:type="default" r:id="rId15"/>
          <w:footerReference w:type="default" r:id="rId16"/>
          <w:pgSz w:w="11907" w:h="16839" w:code="9"/>
          <w:pgMar w:top="2778" w:right="1275" w:bottom="1276" w:left="1701" w:header="720" w:footer="595" w:gutter="0"/>
          <w:cols w:space="720"/>
          <w:docGrid w:linePitch="360"/>
        </w:sectPr>
      </w:pPr>
      <w:bookmarkStart w:id="0" w:name="_GoBack"/>
      <w:bookmarkEnd w:id="0"/>
    </w:p>
    <w:p w:rsidR="0058129D" w:rsidRDefault="00606BF5" w:rsidP="0058129D">
      <w:pPr>
        <w:pStyle w:val="NoSpacing"/>
      </w:pPr>
      <w:r>
        <w:lastRenderedPageBreak/>
        <w:t>14 August 2017</w:t>
      </w:r>
    </w:p>
    <w:p w:rsidR="00FB678E" w:rsidRDefault="00FB678E" w:rsidP="0058129D">
      <w:pPr>
        <w:pStyle w:val="NoSpacing"/>
      </w:pPr>
    </w:p>
    <w:p w:rsidR="00FB678E" w:rsidRPr="00720216" w:rsidRDefault="00FB678E" w:rsidP="0058129D">
      <w:pPr>
        <w:pStyle w:val="NoSpacing"/>
        <w:rPr>
          <w:lang w:val="en-AU"/>
        </w:rPr>
      </w:pPr>
    </w:p>
    <w:p w:rsidR="00FD2507" w:rsidRPr="00B3420E" w:rsidRDefault="00606BF5" w:rsidP="0058129D">
      <w:pPr>
        <w:rPr>
          <w:lang w:val="en-US"/>
        </w:rPr>
      </w:pPr>
      <w:r w:rsidRPr="00B3420E">
        <w:rPr>
          <w:lang w:val="en-US"/>
        </w:rPr>
        <w:t>Manager</w:t>
      </w:r>
      <w:r w:rsidRPr="00B3420E">
        <w:rPr>
          <w:lang w:val="en-US"/>
        </w:rPr>
        <w:br/>
        <w:t>Banking, Insurance and Capital Markets Unit</w:t>
      </w:r>
      <w:r w:rsidRPr="00B3420E">
        <w:rPr>
          <w:lang w:val="en-US"/>
        </w:rPr>
        <w:br/>
        <w:t>Financial System Division</w:t>
      </w:r>
      <w:r w:rsidRPr="00B3420E">
        <w:rPr>
          <w:lang w:val="en-US"/>
        </w:rPr>
        <w:br/>
        <w:t>The Treasury</w:t>
      </w:r>
      <w:r w:rsidRPr="00B3420E">
        <w:rPr>
          <w:lang w:val="en-US"/>
        </w:rPr>
        <w:br/>
        <w:t>Langton Crescent</w:t>
      </w:r>
      <w:r w:rsidRPr="00B3420E">
        <w:rPr>
          <w:lang w:val="en-US"/>
        </w:rPr>
        <w:br/>
        <w:t>PARKES ACT 2600</w:t>
      </w:r>
    </w:p>
    <w:p w:rsidR="00606BF5" w:rsidRPr="00232F17" w:rsidRDefault="00606BF5" w:rsidP="0058129D">
      <w:pPr>
        <w:rPr>
          <w:rFonts w:cs="Arial"/>
          <w:color w:val="000000"/>
          <w:szCs w:val="20"/>
          <w:shd w:val="clear" w:color="auto" w:fill="F5F8FB"/>
        </w:rPr>
      </w:pPr>
    </w:p>
    <w:p w:rsidR="00606BF5" w:rsidRPr="00606BF5" w:rsidRDefault="00B3420E" w:rsidP="0058129D">
      <w:pPr>
        <w:rPr>
          <w:szCs w:val="20"/>
        </w:rPr>
      </w:pPr>
      <w:r>
        <w:rPr>
          <w:rFonts w:cs="Arial"/>
          <w:color w:val="000000"/>
          <w:szCs w:val="20"/>
        </w:rPr>
        <w:t>E</w:t>
      </w:r>
      <w:r w:rsidR="00606BF5" w:rsidRPr="00B3420E">
        <w:rPr>
          <w:rFonts w:cs="Arial"/>
          <w:color w:val="000000"/>
          <w:szCs w:val="20"/>
        </w:rPr>
        <w:t xml:space="preserve">mail: </w:t>
      </w:r>
      <w:hyperlink r:id="rId17" w:history="1">
        <w:r w:rsidR="00606BF5" w:rsidRPr="00B3420E">
          <w:rPr>
            <w:rStyle w:val="Hyperlink"/>
            <w:rFonts w:cs="Arial"/>
            <w:szCs w:val="20"/>
          </w:rPr>
          <w:t>useofbank@treasury.gov.au</w:t>
        </w:r>
      </w:hyperlink>
      <w:r w:rsidR="00606BF5" w:rsidRPr="00606BF5">
        <w:rPr>
          <w:rFonts w:cs="Arial"/>
          <w:color w:val="000000"/>
          <w:szCs w:val="20"/>
          <w:shd w:val="clear" w:color="auto" w:fill="F5F8FB"/>
        </w:rPr>
        <w:t xml:space="preserve"> </w:t>
      </w:r>
    </w:p>
    <w:p w:rsidR="00D1189E" w:rsidRPr="00606BF5" w:rsidRDefault="00D1189E" w:rsidP="0058129D">
      <w:pPr>
        <w:rPr>
          <w:szCs w:val="20"/>
        </w:rPr>
      </w:pPr>
    </w:p>
    <w:p w:rsidR="000F5C97" w:rsidRPr="00606BF5" w:rsidRDefault="000F5C97" w:rsidP="0058129D">
      <w:pPr>
        <w:rPr>
          <w:szCs w:val="20"/>
        </w:rPr>
      </w:pPr>
      <w:r w:rsidRPr="00606BF5">
        <w:rPr>
          <w:szCs w:val="20"/>
        </w:rPr>
        <w:t xml:space="preserve">Dear </w:t>
      </w:r>
      <w:r w:rsidR="00606BF5" w:rsidRPr="00606BF5">
        <w:rPr>
          <w:szCs w:val="20"/>
        </w:rPr>
        <w:t>Manager</w:t>
      </w:r>
    </w:p>
    <w:p w:rsidR="00D1189E" w:rsidRPr="00606BF5" w:rsidRDefault="00D1189E" w:rsidP="0058129D">
      <w:pPr>
        <w:rPr>
          <w:szCs w:val="20"/>
        </w:rPr>
      </w:pPr>
    </w:p>
    <w:p w:rsidR="000F5C97" w:rsidRPr="00606BF5" w:rsidRDefault="00AE0ECA" w:rsidP="0058129D">
      <w:pPr>
        <w:rPr>
          <w:rStyle w:val="Strong"/>
          <w:szCs w:val="20"/>
        </w:rPr>
      </w:pPr>
      <w:r>
        <w:rPr>
          <w:rStyle w:val="Strong"/>
          <w:szCs w:val="20"/>
        </w:rPr>
        <w:t xml:space="preserve">Reducing barriers to the use of the </w:t>
      </w:r>
      <w:r w:rsidR="00F94268">
        <w:rPr>
          <w:rStyle w:val="Strong"/>
          <w:szCs w:val="20"/>
        </w:rPr>
        <w:t>words ‘bank’, ‘banking’ and ‘banker’</w:t>
      </w:r>
    </w:p>
    <w:p w:rsidR="00D1189E" w:rsidRPr="00606BF5" w:rsidRDefault="00D1189E" w:rsidP="0058129D">
      <w:pPr>
        <w:rPr>
          <w:rStyle w:val="Strong"/>
          <w:szCs w:val="20"/>
        </w:rPr>
      </w:pPr>
    </w:p>
    <w:p w:rsidR="00606BF5" w:rsidRDefault="00606BF5" w:rsidP="00606BF5">
      <w:r>
        <w:t xml:space="preserve">Thank you for the opportunity to comment on </w:t>
      </w:r>
      <w:r w:rsidR="009534FC" w:rsidRPr="009534FC">
        <w:t xml:space="preserve">draft </w:t>
      </w:r>
      <w:r w:rsidR="009534FC" w:rsidRPr="009534FC">
        <w:rPr>
          <w:i/>
        </w:rPr>
        <w:t>Treasury Laws Amendment (2017 Measures No. 8) Bill 2017: amendment to section 66 of Banking Act (the draft Bill)</w:t>
      </w:r>
      <w:r w:rsidRPr="009534FC">
        <w:rPr>
          <w:i/>
        </w:rPr>
        <w:t>.</w:t>
      </w:r>
    </w:p>
    <w:p w:rsidR="00606BF5" w:rsidRDefault="00606BF5" w:rsidP="00606BF5"/>
    <w:p w:rsidR="000145E0" w:rsidRDefault="000145E0" w:rsidP="00606BF5">
      <w:r>
        <w:t>COBA supports the Bill’s objective of allowing ADIs to use the term ‘bank’ should they so choose</w:t>
      </w:r>
      <w:r w:rsidR="008E13EB">
        <w:t>. W</w:t>
      </w:r>
      <w:r>
        <w:t>e would prefer to retain the existing review mechanism</w:t>
      </w:r>
      <w:r w:rsidR="009F12AE">
        <w:t>s</w:t>
      </w:r>
      <w:r>
        <w:t xml:space="preserve"> in cases where APRA makes a determination restricting an ADI from using the term bank.</w:t>
      </w:r>
    </w:p>
    <w:p w:rsidR="000145E0" w:rsidRDefault="000145E0" w:rsidP="00606BF5"/>
    <w:p w:rsidR="00606BF5" w:rsidRDefault="00606BF5" w:rsidP="00606BF5">
      <w:pPr>
        <w:rPr>
          <w:szCs w:val="20"/>
        </w:rPr>
      </w:pPr>
      <w:r w:rsidRPr="003748C7" w:rsidDel="00651B1E">
        <w:rPr>
          <w:szCs w:val="20"/>
        </w:rPr>
        <w:t xml:space="preserve">COBA is the industry association for Australia’s </w:t>
      </w:r>
      <w:r>
        <w:rPr>
          <w:szCs w:val="20"/>
        </w:rPr>
        <w:t xml:space="preserve">customer owned </w:t>
      </w:r>
      <w:r w:rsidRPr="003748C7" w:rsidDel="00651B1E">
        <w:rPr>
          <w:szCs w:val="20"/>
        </w:rPr>
        <w:t xml:space="preserve">banking institutions– mutual banks, credit unions, and building societies. Collectively, the sector we represent has </w:t>
      </w:r>
      <w:r w:rsidRPr="008D70A0" w:rsidDel="00651B1E">
        <w:rPr>
          <w:szCs w:val="20"/>
        </w:rPr>
        <w:t>$10</w:t>
      </w:r>
      <w:r w:rsidRPr="008D70A0">
        <w:rPr>
          <w:szCs w:val="20"/>
        </w:rPr>
        <w:t>6</w:t>
      </w:r>
      <w:r w:rsidRPr="008D70A0" w:rsidDel="00651B1E">
        <w:rPr>
          <w:szCs w:val="20"/>
        </w:rPr>
        <w:t xml:space="preserve"> billion in assets</w:t>
      </w:r>
      <w:r w:rsidRPr="003748C7" w:rsidDel="00651B1E">
        <w:rPr>
          <w:szCs w:val="20"/>
        </w:rPr>
        <w:t xml:space="preserve"> and more than 4 million customers. </w:t>
      </w:r>
    </w:p>
    <w:p w:rsidR="00606BF5" w:rsidRDefault="00606BF5" w:rsidP="00606BF5">
      <w:pPr>
        <w:rPr>
          <w:szCs w:val="20"/>
        </w:rPr>
      </w:pPr>
    </w:p>
    <w:p w:rsidR="00C91317" w:rsidRDefault="00556688" w:rsidP="00606BF5">
      <w:pPr>
        <w:rPr>
          <w:szCs w:val="20"/>
        </w:rPr>
      </w:pPr>
      <w:r>
        <w:rPr>
          <w:szCs w:val="20"/>
        </w:rPr>
        <w:t xml:space="preserve">COBA </w:t>
      </w:r>
      <w:r w:rsidR="00026918">
        <w:rPr>
          <w:szCs w:val="20"/>
        </w:rPr>
        <w:t xml:space="preserve">welcomes the Government’s decision to reduce the barriers </w:t>
      </w:r>
      <w:r w:rsidR="002132EA">
        <w:rPr>
          <w:szCs w:val="20"/>
        </w:rPr>
        <w:t xml:space="preserve">to the use of the restricted terms ‘bank’, ‘banking’ or ‘banker’ for </w:t>
      </w:r>
      <w:r w:rsidR="00026918">
        <w:rPr>
          <w:szCs w:val="20"/>
        </w:rPr>
        <w:t>ADIs</w:t>
      </w:r>
      <w:r w:rsidR="007B19DF">
        <w:rPr>
          <w:szCs w:val="20"/>
        </w:rPr>
        <w:t xml:space="preserve"> offer</w:t>
      </w:r>
      <w:r w:rsidR="00026918">
        <w:rPr>
          <w:szCs w:val="20"/>
        </w:rPr>
        <w:t>ing</w:t>
      </w:r>
      <w:r w:rsidR="007B19DF">
        <w:rPr>
          <w:szCs w:val="20"/>
        </w:rPr>
        <w:t xml:space="preserve"> banking</w:t>
      </w:r>
      <w:r w:rsidR="002132EA">
        <w:rPr>
          <w:szCs w:val="20"/>
        </w:rPr>
        <w:t xml:space="preserve"> services.</w:t>
      </w:r>
      <w:r w:rsidR="000145E0">
        <w:rPr>
          <w:szCs w:val="20"/>
        </w:rPr>
        <w:t xml:space="preserve"> </w:t>
      </w:r>
      <w:r w:rsidR="007B19DF">
        <w:rPr>
          <w:szCs w:val="20"/>
        </w:rPr>
        <w:t>This will increase the options for smaller ADIs to describe and brand their business</w:t>
      </w:r>
      <w:r w:rsidR="008A32CA">
        <w:rPr>
          <w:szCs w:val="20"/>
        </w:rPr>
        <w:t xml:space="preserve"> and to </w:t>
      </w:r>
      <w:r w:rsidR="007B19DF">
        <w:rPr>
          <w:szCs w:val="20"/>
        </w:rPr>
        <w:t>level</w:t>
      </w:r>
      <w:r w:rsidR="00373CFD">
        <w:rPr>
          <w:szCs w:val="20"/>
        </w:rPr>
        <w:t xml:space="preserve"> the playing field</w:t>
      </w:r>
      <w:r w:rsidR="0030674C">
        <w:rPr>
          <w:szCs w:val="20"/>
        </w:rPr>
        <w:t xml:space="preserve"> for smaller ADIs</w:t>
      </w:r>
      <w:r w:rsidR="00181EE7">
        <w:rPr>
          <w:szCs w:val="20"/>
        </w:rPr>
        <w:t xml:space="preserve"> that offer banking services</w:t>
      </w:r>
      <w:r w:rsidR="00373CFD">
        <w:rPr>
          <w:szCs w:val="20"/>
        </w:rPr>
        <w:t>.</w:t>
      </w:r>
      <w:r w:rsidR="009534FC">
        <w:rPr>
          <w:szCs w:val="20"/>
        </w:rPr>
        <w:t xml:space="preserve"> </w:t>
      </w:r>
      <w:r w:rsidR="007B19DF">
        <w:rPr>
          <w:szCs w:val="20"/>
        </w:rPr>
        <w:t xml:space="preserve"> </w:t>
      </w:r>
    </w:p>
    <w:p w:rsidR="0052740E" w:rsidRDefault="0052740E" w:rsidP="00606BF5">
      <w:pPr>
        <w:rPr>
          <w:szCs w:val="20"/>
        </w:rPr>
      </w:pPr>
    </w:p>
    <w:p w:rsidR="0052740E" w:rsidRDefault="000145E0" w:rsidP="00606BF5">
      <w:pPr>
        <w:rPr>
          <w:szCs w:val="20"/>
        </w:rPr>
      </w:pPr>
      <w:r>
        <w:rPr>
          <w:szCs w:val="20"/>
        </w:rPr>
        <w:t>The</w:t>
      </w:r>
      <w:r w:rsidR="0052740E">
        <w:rPr>
          <w:szCs w:val="20"/>
        </w:rPr>
        <w:t xml:space="preserve"> changes may require APRA to more broadly review its policies related to section 66 </w:t>
      </w:r>
      <w:r w:rsidR="00C83565">
        <w:rPr>
          <w:szCs w:val="20"/>
        </w:rPr>
        <w:t>as well as</w:t>
      </w:r>
      <w:r w:rsidR="0052740E">
        <w:rPr>
          <w:szCs w:val="20"/>
        </w:rPr>
        <w:t xml:space="preserve"> area</w:t>
      </w:r>
      <w:r w:rsidR="00C83565">
        <w:rPr>
          <w:szCs w:val="20"/>
        </w:rPr>
        <w:t>s</w:t>
      </w:r>
      <w:r w:rsidR="0052740E">
        <w:rPr>
          <w:szCs w:val="20"/>
        </w:rPr>
        <w:t xml:space="preserve"> whe</w:t>
      </w:r>
      <w:r w:rsidR="00C83565">
        <w:rPr>
          <w:szCs w:val="20"/>
        </w:rPr>
        <w:t xml:space="preserve">re </w:t>
      </w:r>
      <w:r w:rsidR="0052740E">
        <w:rPr>
          <w:szCs w:val="20"/>
        </w:rPr>
        <w:t>‘bank’ is used as a de</w:t>
      </w:r>
      <w:r>
        <w:rPr>
          <w:szCs w:val="20"/>
        </w:rPr>
        <w:t xml:space="preserve"> </w:t>
      </w:r>
      <w:r w:rsidR="0052740E">
        <w:rPr>
          <w:szCs w:val="20"/>
        </w:rPr>
        <w:t xml:space="preserve">facto size measure. </w:t>
      </w:r>
    </w:p>
    <w:p w:rsidR="007A7B54" w:rsidRDefault="007A7B54" w:rsidP="00606BF5">
      <w:pPr>
        <w:rPr>
          <w:szCs w:val="20"/>
        </w:rPr>
      </w:pPr>
    </w:p>
    <w:p w:rsidR="00836D2F" w:rsidRPr="00B3420E" w:rsidRDefault="00836D2F" w:rsidP="00836D2F">
      <w:pPr>
        <w:rPr>
          <w:b/>
          <w:szCs w:val="20"/>
        </w:rPr>
      </w:pPr>
      <w:r>
        <w:rPr>
          <w:b/>
          <w:szCs w:val="20"/>
        </w:rPr>
        <w:t xml:space="preserve">Ensuring all ADIs with banking businesses </w:t>
      </w:r>
      <w:r w:rsidR="00B275B7">
        <w:rPr>
          <w:b/>
          <w:szCs w:val="20"/>
        </w:rPr>
        <w:t>are able to use the term ‘bank’</w:t>
      </w:r>
    </w:p>
    <w:p w:rsidR="001E2F9F" w:rsidRDefault="001E2F9F" w:rsidP="00606BF5">
      <w:pPr>
        <w:rPr>
          <w:szCs w:val="20"/>
        </w:rPr>
      </w:pPr>
    </w:p>
    <w:p w:rsidR="007B19DF" w:rsidRDefault="000145E0" w:rsidP="007A7B54">
      <w:pPr>
        <w:rPr>
          <w:szCs w:val="20"/>
        </w:rPr>
      </w:pPr>
      <w:r>
        <w:rPr>
          <w:szCs w:val="20"/>
        </w:rPr>
        <w:t>All</w:t>
      </w:r>
      <w:r w:rsidR="00E91810" w:rsidRPr="00E91810">
        <w:rPr>
          <w:szCs w:val="20"/>
        </w:rPr>
        <w:t xml:space="preserve"> ADIs who undertake ‘banking’ activities should </w:t>
      </w:r>
      <w:r w:rsidR="002C7CD5">
        <w:rPr>
          <w:szCs w:val="20"/>
        </w:rPr>
        <w:t>have the option</w:t>
      </w:r>
      <w:r w:rsidR="00E91810" w:rsidRPr="00E91810">
        <w:rPr>
          <w:szCs w:val="20"/>
        </w:rPr>
        <w:t xml:space="preserve"> to use the term</w:t>
      </w:r>
      <w:r w:rsidR="002C7CD5">
        <w:rPr>
          <w:szCs w:val="20"/>
        </w:rPr>
        <w:t>s</w:t>
      </w:r>
      <w:r w:rsidR="00E91810" w:rsidRPr="00E91810">
        <w:rPr>
          <w:szCs w:val="20"/>
        </w:rPr>
        <w:t xml:space="preserve"> ‘bank’</w:t>
      </w:r>
      <w:r w:rsidR="00B16F1B">
        <w:rPr>
          <w:szCs w:val="20"/>
        </w:rPr>
        <w:t>, ‘banker’ and ‘banking</w:t>
      </w:r>
      <w:r w:rsidR="002C7CD5">
        <w:rPr>
          <w:szCs w:val="20"/>
        </w:rPr>
        <w:t>’</w:t>
      </w:r>
      <w:r w:rsidR="00E91810" w:rsidRPr="00E91810">
        <w:rPr>
          <w:szCs w:val="20"/>
        </w:rPr>
        <w:t>.</w:t>
      </w:r>
      <w:r w:rsidR="005610BF">
        <w:rPr>
          <w:szCs w:val="20"/>
        </w:rPr>
        <w:t xml:space="preserve"> </w:t>
      </w:r>
      <w:r w:rsidR="003F7C58">
        <w:rPr>
          <w:szCs w:val="20"/>
        </w:rPr>
        <w:t xml:space="preserve">Currently, ADIs with less than $50 million in capital are not eligible to apply to use the term ‘bank’ and APRA restricts use of the terms ‘banking’ and ‘banker’ by credit unions and building societies, i.e. they </w:t>
      </w:r>
      <w:r w:rsidR="003F7C58" w:rsidRPr="005610BF">
        <w:rPr>
          <w:szCs w:val="20"/>
        </w:rPr>
        <w:t>must not use those words</w:t>
      </w:r>
      <w:r w:rsidR="003F7C58">
        <w:t xml:space="preserve"> as part of a registered corporate, business or trading name or internet domain name.</w:t>
      </w:r>
    </w:p>
    <w:p w:rsidR="007B19DF" w:rsidRDefault="007B19DF" w:rsidP="007A7B54"/>
    <w:p w:rsidR="00F21CCB" w:rsidRDefault="003F7C58" w:rsidP="007A7B54">
      <w:pPr>
        <w:rPr>
          <w:szCs w:val="20"/>
        </w:rPr>
      </w:pPr>
      <w:r>
        <w:t>Under the proposed reforms, t</w:t>
      </w:r>
      <w:r w:rsidR="00B16F1B">
        <w:t xml:space="preserve">here are two broad ways that ADIs </w:t>
      </w:r>
      <w:r>
        <w:t xml:space="preserve">will be able to </w:t>
      </w:r>
      <w:r w:rsidR="00B16F1B">
        <w:t xml:space="preserve">use </w:t>
      </w:r>
      <w:r w:rsidR="002C7CD5">
        <w:t>the terms</w:t>
      </w:r>
      <w:r>
        <w:t xml:space="preserve">: </w:t>
      </w:r>
      <w:r w:rsidR="00B16F1B">
        <w:t xml:space="preserve">undertaking a rebrand to use </w:t>
      </w:r>
      <w:r w:rsidR="00F21CCB">
        <w:t>the terms</w:t>
      </w:r>
      <w:r w:rsidR="00B16F1B">
        <w:t xml:space="preserve"> in </w:t>
      </w:r>
      <w:r w:rsidR="00B16F1B">
        <w:rPr>
          <w:szCs w:val="20"/>
        </w:rPr>
        <w:t xml:space="preserve">registered corporate, business, </w:t>
      </w:r>
      <w:r w:rsidR="00B275B7">
        <w:rPr>
          <w:szCs w:val="20"/>
        </w:rPr>
        <w:t>trading</w:t>
      </w:r>
      <w:r w:rsidR="00F21CCB">
        <w:rPr>
          <w:szCs w:val="20"/>
        </w:rPr>
        <w:t xml:space="preserve"> or</w:t>
      </w:r>
      <w:r w:rsidR="00B16F1B">
        <w:rPr>
          <w:szCs w:val="20"/>
        </w:rPr>
        <w:t xml:space="preserve"> internet domain names</w:t>
      </w:r>
      <w:r>
        <w:rPr>
          <w:szCs w:val="20"/>
        </w:rPr>
        <w:t xml:space="preserve">; </w:t>
      </w:r>
      <w:r w:rsidR="00B16F1B">
        <w:rPr>
          <w:szCs w:val="20"/>
        </w:rPr>
        <w:t>or</w:t>
      </w:r>
      <w:r>
        <w:rPr>
          <w:szCs w:val="20"/>
        </w:rPr>
        <w:t>,</w:t>
      </w:r>
      <w:r w:rsidR="00B16F1B">
        <w:rPr>
          <w:szCs w:val="20"/>
        </w:rPr>
        <w:t xml:space="preserve"> </w:t>
      </w:r>
      <w:r w:rsidR="002C7CD5">
        <w:rPr>
          <w:szCs w:val="20"/>
        </w:rPr>
        <w:t>with</w:t>
      </w:r>
      <w:r w:rsidR="00B16F1B">
        <w:rPr>
          <w:szCs w:val="20"/>
        </w:rPr>
        <w:t xml:space="preserve"> a ‘small b’ where a credit union or building society </w:t>
      </w:r>
      <w:r w:rsidR="002C7CD5">
        <w:rPr>
          <w:szCs w:val="20"/>
        </w:rPr>
        <w:t>use</w:t>
      </w:r>
      <w:r w:rsidR="000145E0">
        <w:rPr>
          <w:szCs w:val="20"/>
        </w:rPr>
        <w:t>s</w:t>
      </w:r>
      <w:r w:rsidR="002C7CD5">
        <w:rPr>
          <w:szCs w:val="20"/>
        </w:rPr>
        <w:t xml:space="preserve"> the terms to describe itself or its activities</w:t>
      </w:r>
      <w:r>
        <w:rPr>
          <w:szCs w:val="20"/>
        </w:rPr>
        <w:t xml:space="preserve"> without rebranding</w:t>
      </w:r>
      <w:r w:rsidR="002C7CD5">
        <w:rPr>
          <w:szCs w:val="20"/>
        </w:rPr>
        <w:t>.</w:t>
      </w:r>
      <w:r w:rsidR="00951F60">
        <w:rPr>
          <w:szCs w:val="20"/>
        </w:rPr>
        <w:t xml:space="preserve"> </w:t>
      </w:r>
    </w:p>
    <w:p w:rsidR="00F21CCB" w:rsidRDefault="00F21CCB" w:rsidP="007A7B54">
      <w:pPr>
        <w:rPr>
          <w:szCs w:val="20"/>
        </w:rPr>
      </w:pPr>
    </w:p>
    <w:p w:rsidR="00951F60" w:rsidRPr="00B275B7" w:rsidRDefault="00951F60" w:rsidP="007A7B54">
      <w:pPr>
        <w:rPr>
          <w:color w:val="auto"/>
          <w:szCs w:val="20"/>
        </w:rPr>
      </w:pPr>
      <w:r>
        <w:rPr>
          <w:szCs w:val="20"/>
        </w:rPr>
        <w:t xml:space="preserve">While not all credit unions and </w:t>
      </w:r>
      <w:r w:rsidRPr="00B275B7">
        <w:rPr>
          <w:color w:val="auto"/>
          <w:szCs w:val="20"/>
        </w:rPr>
        <w:t xml:space="preserve">building societies will choose to do so, the ability to describe themselves as ‘small b’ banks </w:t>
      </w:r>
      <w:r w:rsidR="003F7C58" w:rsidRPr="00B275B7">
        <w:rPr>
          <w:color w:val="auto"/>
          <w:szCs w:val="20"/>
        </w:rPr>
        <w:t xml:space="preserve">or to </w:t>
      </w:r>
      <w:r w:rsidRPr="00B275B7">
        <w:rPr>
          <w:color w:val="auto"/>
          <w:szCs w:val="20"/>
        </w:rPr>
        <w:t xml:space="preserve">rebrand </w:t>
      </w:r>
      <w:r w:rsidR="003F7C58" w:rsidRPr="00B275B7">
        <w:rPr>
          <w:color w:val="auto"/>
          <w:szCs w:val="20"/>
        </w:rPr>
        <w:t xml:space="preserve">increases </w:t>
      </w:r>
      <w:r w:rsidR="00F84F09">
        <w:rPr>
          <w:color w:val="auto"/>
          <w:szCs w:val="20"/>
        </w:rPr>
        <w:t>this</w:t>
      </w:r>
      <w:r w:rsidR="003F7C58" w:rsidRPr="00B275B7">
        <w:rPr>
          <w:color w:val="auto"/>
          <w:szCs w:val="20"/>
        </w:rPr>
        <w:t xml:space="preserve"> flexibility and enables them to </w:t>
      </w:r>
      <w:r w:rsidR="003F7C58" w:rsidRPr="00B275B7">
        <w:rPr>
          <w:color w:val="auto"/>
          <w:shd w:val="clear" w:color="auto" w:fill="FFFFFF"/>
        </w:rPr>
        <w:t>benefit from the broad consumer understanding of the term ‘bank’.</w:t>
      </w:r>
    </w:p>
    <w:p w:rsidR="00951F60" w:rsidRDefault="00951F60" w:rsidP="00951F60">
      <w:pPr>
        <w:rPr>
          <w:szCs w:val="20"/>
        </w:rPr>
      </w:pPr>
      <w:r>
        <w:rPr>
          <w:szCs w:val="20"/>
        </w:rPr>
        <w:lastRenderedPageBreak/>
        <w:t xml:space="preserve">Since 2011, 19 former credit unions or building societies have rebranded as banks (while retaining their mutual structure). Not all customer-owned banking institutions </w:t>
      </w:r>
      <w:r w:rsidR="003F7C58">
        <w:rPr>
          <w:szCs w:val="20"/>
        </w:rPr>
        <w:t>above the $50 million threshold</w:t>
      </w:r>
      <w:r>
        <w:rPr>
          <w:szCs w:val="20"/>
        </w:rPr>
        <w:t xml:space="preserve"> have chosen to rebrand as banks, with </w:t>
      </w:r>
      <w:r w:rsidRPr="00D21716">
        <w:rPr>
          <w:szCs w:val="20"/>
        </w:rPr>
        <w:t>the two largest credit</w:t>
      </w:r>
      <w:r>
        <w:rPr>
          <w:szCs w:val="20"/>
        </w:rPr>
        <w:t xml:space="preserve"> </w:t>
      </w:r>
      <w:r w:rsidRPr="00D21716">
        <w:rPr>
          <w:szCs w:val="20"/>
        </w:rPr>
        <w:t xml:space="preserve">unions and </w:t>
      </w:r>
      <w:r>
        <w:rPr>
          <w:szCs w:val="20"/>
        </w:rPr>
        <w:t>the</w:t>
      </w:r>
      <w:r w:rsidRPr="00D21716">
        <w:rPr>
          <w:szCs w:val="20"/>
        </w:rPr>
        <w:t xml:space="preserve"> largest building </w:t>
      </w:r>
      <w:r>
        <w:rPr>
          <w:szCs w:val="20"/>
        </w:rPr>
        <w:t xml:space="preserve">society opting not to rebrand. </w:t>
      </w:r>
    </w:p>
    <w:p w:rsidR="007A7B54" w:rsidRPr="00E91810" w:rsidRDefault="007A7B54" w:rsidP="007A7B54">
      <w:pPr>
        <w:rPr>
          <w:szCs w:val="20"/>
        </w:rPr>
      </w:pPr>
    </w:p>
    <w:p w:rsidR="00B16422" w:rsidRPr="00B3420E" w:rsidRDefault="00583B8F" w:rsidP="00B16422">
      <w:pPr>
        <w:rPr>
          <w:b/>
          <w:szCs w:val="20"/>
        </w:rPr>
      </w:pPr>
      <w:r>
        <w:rPr>
          <w:b/>
          <w:szCs w:val="20"/>
        </w:rPr>
        <w:t xml:space="preserve">Part </w:t>
      </w:r>
      <w:r w:rsidR="000B139B">
        <w:rPr>
          <w:b/>
          <w:szCs w:val="20"/>
        </w:rPr>
        <w:t>V</w:t>
      </w:r>
      <w:r>
        <w:rPr>
          <w:b/>
          <w:szCs w:val="20"/>
        </w:rPr>
        <w:t>I</w:t>
      </w:r>
      <w:r w:rsidR="00D73A23">
        <w:rPr>
          <w:b/>
          <w:szCs w:val="20"/>
        </w:rPr>
        <w:t xml:space="preserve"> r</w:t>
      </w:r>
      <w:r w:rsidR="00B16422">
        <w:rPr>
          <w:b/>
          <w:szCs w:val="20"/>
        </w:rPr>
        <w:t xml:space="preserve">eview </w:t>
      </w:r>
      <w:r w:rsidR="00F94821">
        <w:rPr>
          <w:b/>
          <w:szCs w:val="20"/>
        </w:rPr>
        <w:t>of</w:t>
      </w:r>
      <w:r w:rsidR="00B16422">
        <w:rPr>
          <w:b/>
          <w:szCs w:val="20"/>
        </w:rPr>
        <w:t xml:space="preserve"> determination</w:t>
      </w:r>
      <w:r w:rsidR="00F94821">
        <w:rPr>
          <w:b/>
          <w:szCs w:val="20"/>
        </w:rPr>
        <w:t>s</w:t>
      </w:r>
      <w:r w:rsidR="00AD5897">
        <w:rPr>
          <w:b/>
          <w:szCs w:val="20"/>
        </w:rPr>
        <w:t xml:space="preserve"> </w:t>
      </w:r>
      <w:r w:rsidR="00E97877">
        <w:rPr>
          <w:b/>
          <w:szCs w:val="20"/>
        </w:rPr>
        <w:t>on</w:t>
      </w:r>
      <w:r w:rsidR="00AD5897">
        <w:rPr>
          <w:b/>
          <w:szCs w:val="20"/>
        </w:rPr>
        <w:t xml:space="preserve"> individual ADIs</w:t>
      </w:r>
    </w:p>
    <w:p w:rsidR="002869E9" w:rsidRDefault="002869E9" w:rsidP="00D1189E"/>
    <w:p w:rsidR="006B6341" w:rsidRDefault="006B6341" w:rsidP="00D1189E">
      <w:r>
        <w:t>COBA does not object to APRA retaining the ability to determine that some ADIs may not use the restricted terms.</w:t>
      </w:r>
    </w:p>
    <w:p w:rsidR="000F0E8C" w:rsidRDefault="000F0E8C" w:rsidP="00D1189E"/>
    <w:p w:rsidR="000F0E8C" w:rsidRDefault="000F0E8C" w:rsidP="00D1189E">
      <w:r>
        <w:t>The draft Explanatory Memorandum says it is expected that APRA would use the power to prohibit certain ADIs which do not have the ordinary characteristics of banks from utilising the term ‘bank’ (for example, purchase</w:t>
      </w:r>
      <w:r w:rsidR="00F84F09">
        <w:t>d</w:t>
      </w:r>
      <w:r>
        <w:t xml:space="preserve"> payment facilities). “This power may also be used to deny the use of the term where serious or unusual circumstances warrant APRA making this determination,” the draft EM says.</w:t>
      </w:r>
    </w:p>
    <w:p w:rsidR="006B6341" w:rsidRDefault="006B6341" w:rsidP="00D1189E"/>
    <w:p w:rsidR="006B6341" w:rsidRDefault="000F0E8C" w:rsidP="00D1189E">
      <w:r>
        <w:t xml:space="preserve">Given that there is no guidance on what may constitute “serious or unusual circumstances”, COBA believes such determinations </w:t>
      </w:r>
      <w:r w:rsidR="006B6341">
        <w:t>affecting individual ADIs should be reviewable under the current review mechanism</w:t>
      </w:r>
      <w:r w:rsidR="00174BBA">
        <w:t>s</w:t>
      </w:r>
      <w:r w:rsidR="006B6341">
        <w:t xml:space="preserve"> provided by subsection 66(2C) of the Banking Act, which makes decisions taken under section 66 reviewable under Part VI of the Banking Act.</w:t>
      </w:r>
    </w:p>
    <w:p w:rsidR="00182B92" w:rsidRDefault="00182B92" w:rsidP="00D1189E"/>
    <w:p w:rsidR="009607A3" w:rsidRDefault="00741FD1" w:rsidP="00741FD1">
      <w:r>
        <w:t>While the</w:t>
      </w:r>
      <w:r w:rsidR="006B6341">
        <w:t xml:space="preserve"> draft </w:t>
      </w:r>
      <w:r w:rsidR="000F0E8C">
        <w:t>EM</w:t>
      </w:r>
      <w:r w:rsidR="009607A3">
        <w:t xml:space="preserve"> notes </w:t>
      </w:r>
      <w:r w:rsidR="004072E9">
        <w:t>that there</w:t>
      </w:r>
      <w:r>
        <w:t xml:space="preserve"> is the opportunity</w:t>
      </w:r>
      <w:r w:rsidR="004072E9">
        <w:t xml:space="preserve"> </w:t>
      </w:r>
      <w:r w:rsidR="000B139B">
        <w:t>for</w:t>
      </w:r>
      <w:r w:rsidR="009607A3">
        <w:t xml:space="preserve"> review</w:t>
      </w:r>
      <w:r>
        <w:t xml:space="preserve"> under the </w:t>
      </w:r>
      <w:r w:rsidRPr="00741FD1">
        <w:rPr>
          <w:i/>
        </w:rPr>
        <w:t>Administrative Decisions (Judicial Review) Act 1977</w:t>
      </w:r>
      <w:r w:rsidR="009607A3" w:rsidRPr="00741FD1">
        <w:rPr>
          <w:i/>
        </w:rPr>
        <w:t>,</w:t>
      </w:r>
      <w:r w:rsidR="009607A3">
        <w:t xml:space="preserve"> </w:t>
      </w:r>
      <w:r w:rsidR="00AD5897">
        <w:t>this is unlikely to</w:t>
      </w:r>
      <w:r w:rsidR="00B57B07">
        <w:t xml:space="preserve"> </w:t>
      </w:r>
      <w:r w:rsidR="00174BBA">
        <w:t xml:space="preserve">be </w:t>
      </w:r>
      <w:r w:rsidR="009D481A">
        <w:t xml:space="preserve">as </w:t>
      </w:r>
      <w:r w:rsidR="00174BBA">
        <w:t xml:space="preserve">efficient or to promote accountability as effectively as the existing mechanisms under Part VI. </w:t>
      </w:r>
    </w:p>
    <w:p w:rsidR="009607A3" w:rsidRDefault="009607A3" w:rsidP="00D1189E"/>
    <w:p w:rsidR="00B01A10" w:rsidRDefault="00174BBA" w:rsidP="00D1189E">
      <w:r>
        <w:t>For example, t</w:t>
      </w:r>
      <w:r w:rsidR="00B57B07">
        <w:t>he</w:t>
      </w:r>
      <w:r w:rsidR="000B139B">
        <w:t xml:space="preserve"> change in the</w:t>
      </w:r>
      <w:r w:rsidR="00B01A10">
        <w:t xml:space="preserve"> review mechanism leads to </w:t>
      </w:r>
      <w:r w:rsidR="000B139B">
        <w:t xml:space="preserve">a shift from a ‘merits’ based review under the </w:t>
      </w:r>
      <w:r>
        <w:t xml:space="preserve">Administrative Appeals Tribunal </w:t>
      </w:r>
      <w:r w:rsidR="000B139B">
        <w:t xml:space="preserve">to a </w:t>
      </w:r>
      <w:r w:rsidR="00B57B07">
        <w:t>‘lawfulness’ based review (</w:t>
      </w:r>
      <w:r w:rsidR="000B139B">
        <w:t>judicial review</w:t>
      </w:r>
      <w:r w:rsidR="00B57B07">
        <w:t>)</w:t>
      </w:r>
      <w:r w:rsidR="000B139B">
        <w:t xml:space="preserve">. </w:t>
      </w:r>
      <w:r w:rsidR="00B57B07">
        <w:t xml:space="preserve">The second reading speech of the </w:t>
      </w:r>
      <w:r w:rsidR="00B57B07" w:rsidRPr="00B57B07">
        <w:t>Administrative Decisions Act</w:t>
      </w:r>
      <w:r w:rsidR="00B57B07">
        <w:rPr>
          <w:rStyle w:val="FootnoteReference"/>
        </w:rPr>
        <w:footnoteReference w:id="1"/>
      </w:r>
      <w:r w:rsidR="00B57B07">
        <w:t xml:space="preserve"> highlights these differences:</w:t>
      </w:r>
    </w:p>
    <w:p w:rsidR="00741FD1" w:rsidRDefault="00741FD1" w:rsidP="00B57B07">
      <w:pPr>
        <w:pStyle w:val="ListParagraph"/>
        <w:numPr>
          <w:ilvl w:val="0"/>
          <w:numId w:val="11"/>
        </w:numPr>
      </w:pPr>
      <w:r>
        <w:t>“The Administrative Appeals Tribunal is empowered to review on the merits any decision of a Minister or official acting under a statutory power if, but only if, the relevant legislation provides for an appeal to the Tribunal”</w:t>
      </w:r>
    </w:p>
    <w:p w:rsidR="00741FD1" w:rsidRDefault="00AD5897" w:rsidP="00B57B07">
      <w:pPr>
        <w:pStyle w:val="ListParagraph"/>
        <w:numPr>
          <w:ilvl w:val="0"/>
          <w:numId w:val="11"/>
        </w:numPr>
      </w:pPr>
      <w:r>
        <w:t>“Judicial review by the Federal Court of Australia will not be concerned at all with the merits of the decision or action under review</w:t>
      </w:r>
      <w:r w:rsidR="00B57B07">
        <w:t>. The only question for the Court will be whether the action is lawful…”</w:t>
      </w:r>
    </w:p>
    <w:p w:rsidR="00B57B07" w:rsidRDefault="00B57B07" w:rsidP="00B57B07"/>
    <w:p w:rsidR="005A6A83" w:rsidRDefault="000F0E8C" w:rsidP="00D1189E">
      <w:r>
        <w:t xml:space="preserve">APRA has considerable discretion in using its powers so measures to promote accountability, such as the existing range of review mechanisms, should not be removed. </w:t>
      </w:r>
    </w:p>
    <w:p w:rsidR="000F0E8C" w:rsidRDefault="000F0E8C" w:rsidP="00D1189E"/>
    <w:p w:rsidR="00B3420E" w:rsidRDefault="00D73A23" w:rsidP="00D1189E">
      <w:pPr>
        <w:rPr>
          <w:b/>
          <w:szCs w:val="20"/>
        </w:rPr>
      </w:pPr>
      <w:r>
        <w:rPr>
          <w:b/>
          <w:szCs w:val="20"/>
        </w:rPr>
        <w:t>Allowing the</w:t>
      </w:r>
      <w:r w:rsidR="00A10F02">
        <w:rPr>
          <w:b/>
          <w:szCs w:val="20"/>
        </w:rPr>
        <w:t xml:space="preserve"> use of</w:t>
      </w:r>
      <w:r w:rsidR="00B3420E" w:rsidRPr="00B3420E">
        <w:rPr>
          <w:b/>
          <w:szCs w:val="20"/>
        </w:rPr>
        <w:t xml:space="preserve"> credit union </w:t>
      </w:r>
      <w:r w:rsidR="00A10F02">
        <w:rPr>
          <w:b/>
          <w:szCs w:val="20"/>
        </w:rPr>
        <w:t xml:space="preserve">or building society by a mutual bank </w:t>
      </w:r>
    </w:p>
    <w:p w:rsidR="00E91810" w:rsidRDefault="00E91810" w:rsidP="00D1189E">
      <w:pPr>
        <w:rPr>
          <w:b/>
          <w:szCs w:val="20"/>
        </w:rPr>
      </w:pPr>
    </w:p>
    <w:p w:rsidR="00741FD1" w:rsidRPr="005610DC" w:rsidRDefault="009D481A" w:rsidP="00741FD1">
      <w:pPr>
        <w:rPr>
          <w:iCs/>
          <w:szCs w:val="20"/>
        </w:rPr>
      </w:pPr>
      <w:r>
        <w:rPr>
          <w:iCs/>
          <w:szCs w:val="20"/>
        </w:rPr>
        <w:t xml:space="preserve">APRA is likely to have </w:t>
      </w:r>
      <w:r w:rsidR="008A32CA">
        <w:rPr>
          <w:iCs/>
          <w:szCs w:val="20"/>
        </w:rPr>
        <w:t xml:space="preserve">to </w:t>
      </w:r>
      <w:r>
        <w:rPr>
          <w:iCs/>
          <w:szCs w:val="20"/>
        </w:rPr>
        <w:t xml:space="preserve">reconsider </w:t>
      </w:r>
      <w:r w:rsidR="008A32CA">
        <w:rPr>
          <w:iCs/>
          <w:szCs w:val="20"/>
        </w:rPr>
        <w:t>some of its s</w:t>
      </w:r>
      <w:r w:rsidR="00F94821">
        <w:rPr>
          <w:iCs/>
          <w:szCs w:val="20"/>
        </w:rPr>
        <w:t xml:space="preserve">ection </w:t>
      </w:r>
      <w:r w:rsidR="008A32CA">
        <w:rPr>
          <w:iCs/>
          <w:szCs w:val="20"/>
        </w:rPr>
        <w:t>66</w:t>
      </w:r>
      <w:r>
        <w:rPr>
          <w:iCs/>
          <w:szCs w:val="20"/>
        </w:rPr>
        <w:t xml:space="preserve"> policy position</w:t>
      </w:r>
      <w:r w:rsidR="008A32CA">
        <w:rPr>
          <w:iCs/>
          <w:szCs w:val="20"/>
        </w:rPr>
        <w:t>s</w:t>
      </w:r>
      <w:r>
        <w:rPr>
          <w:iCs/>
          <w:szCs w:val="20"/>
        </w:rPr>
        <w:t xml:space="preserve"> in line with the </w:t>
      </w:r>
      <w:r w:rsidR="00F94821">
        <w:rPr>
          <w:iCs/>
          <w:szCs w:val="20"/>
        </w:rPr>
        <w:t xml:space="preserve">proposed </w:t>
      </w:r>
      <w:r>
        <w:rPr>
          <w:iCs/>
          <w:szCs w:val="20"/>
        </w:rPr>
        <w:t>amendments.</w:t>
      </w:r>
      <w:r w:rsidR="008A32CA">
        <w:rPr>
          <w:iCs/>
          <w:szCs w:val="20"/>
        </w:rPr>
        <w:t xml:space="preserve"> One of these positions is the use of </w:t>
      </w:r>
      <w:r w:rsidR="00174BBA">
        <w:rPr>
          <w:iCs/>
          <w:szCs w:val="20"/>
        </w:rPr>
        <w:t>‘</w:t>
      </w:r>
      <w:r w:rsidR="008A32CA">
        <w:rPr>
          <w:iCs/>
          <w:szCs w:val="20"/>
        </w:rPr>
        <w:t>credit union</w:t>
      </w:r>
      <w:r w:rsidR="00174BBA">
        <w:rPr>
          <w:iCs/>
          <w:szCs w:val="20"/>
        </w:rPr>
        <w:t>’</w:t>
      </w:r>
      <w:r w:rsidR="008A32CA">
        <w:rPr>
          <w:iCs/>
          <w:szCs w:val="20"/>
        </w:rPr>
        <w:t xml:space="preserve"> or </w:t>
      </w:r>
      <w:r w:rsidR="00174BBA">
        <w:rPr>
          <w:iCs/>
          <w:szCs w:val="20"/>
        </w:rPr>
        <w:t>‘</w:t>
      </w:r>
      <w:r w:rsidR="008A32CA">
        <w:rPr>
          <w:iCs/>
          <w:szCs w:val="20"/>
        </w:rPr>
        <w:t>building society</w:t>
      </w:r>
      <w:r w:rsidR="00174BBA">
        <w:rPr>
          <w:iCs/>
          <w:szCs w:val="20"/>
        </w:rPr>
        <w:t>’</w:t>
      </w:r>
      <w:r w:rsidR="008A32CA">
        <w:rPr>
          <w:iCs/>
          <w:szCs w:val="20"/>
        </w:rPr>
        <w:t xml:space="preserve"> by a mutual bank and vice versa. </w:t>
      </w:r>
      <w:r w:rsidR="00741FD1">
        <w:rPr>
          <w:szCs w:val="20"/>
        </w:rPr>
        <w:t>APRA’s current inte</w:t>
      </w:r>
      <w:r w:rsidR="008A32CA">
        <w:rPr>
          <w:szCs w:val="20"/>
        </w:rPr>
        <w:t>rpretation of</w:t>
      </w:r>
      <w:r w:rsidR="00741FD1">
        <w:rPr>
          <w:szCs w:val="20"/>
        </w:rPr>
        <w:t xml:space="preserve"> s66 notes that mutual banks will </w:t>
      </w:r>
      <w:r w:rsidR="00741FD1" w:rsidRPr="008A32CA">
        <w:rPr>
          <w:iCs/>
          <w:szCs w:val="20"/>
        </w:rPr>
        <w:t>not be permitted to continue to use the expressions ‘credit union’ … or ‘building society</w:t>
      </w:r>
      <w:r w:rsidR="00F21CCB">
        <w:rPr>
          <w:iCs/>
          <w:szCs w:val="20"/>
        </w:rPr>
        <w:t>’</w:t>
      </w:r>
      <w:r w:rsidR="00741FD1">
        <w:rPr>
          <w:i/>
          <w:iCs/>
          <w:szCs w:val="20"/>
        </w:rPr>
        <w:t>.</w:t>
      </w:r>
      <w:r w:rsidR="008A32CA">
        <w:rPr>
          <w:rStyle w:val="FootnoteReference"/>
          <w:i/>
          <w:iCs/>
          <w:szCs w:val="20"/>
        </w:rPr>
        <w:footnoteReference w:id="2"/>
      </w:r>
      <w:r w:rsidR="00741FD1">
        <w:rPr>
          <w:i/>
          <w:iCs/>
          <w:szCs w:val="20"/>
        </w:rPr>
        <w:t xml:space="preserve">  </w:t>
      </w:r>
    </w:p>
    <w:p w:rsidR="00741FD1" w:rsidRDefault="00741FD1" w:rsidP="00D1189E">
      <w:pPr>
        <w:rPr>
          <w:b/>
          <w:szCs w:val="20"/>
        </w:rPr>
      </w:pPr>
    </w:p>
    <w:p w:rsidR="00741FD1" w:rsidRDefault="00741FD1" w:rsidP="00741FD1">
      <w:pPr>
        <w:rPr>
          <w:szCs w:val="20"/>
        </w:rPr>
      </w:pPr>
      <w:r>
        <w:rPr>
          <w:szCs w:val="20"/>
        </w:rPr>
        <w:t>Further consolidation in the</w:t>
      </w:r>
      <w:r w:rsidR="00174BBA">
        <w:rPr>
          <w:szCs w:val="20"/>
        </w:rPr>
        <w:t xml:space="preserve"> mutual</w:t>
      </w:r>
      <w:r>
        <w:rPr>
          <w:szCs w:val="20"/>
        </w:rPr>
        <w:t xml:space="preserve"> ADI sector is likely over coming years, and it is easy to envisage a scenario in the future where a </w:t>
      </w:r>
      <w:r w:rsidR="008A32CA">
        <w:rPr>
          <w:szCs w:val="20"/>
        </w:rPr>
        <w:t xml:space="preserve">larger </w:t>
      </w:r>
      <w:r>
        <w:rPr>
          <w:szCs w:val="20"/>
        </w:rPr>
        <w:t xml:space="preserve">mutual bank merges with a smaller </w:t>
      </w:r>
      <w:r w:rsidR="00174BBA">
        <w:rPr>
          <w:szCs w:val="20"/>
        </w:rPr>
        <w:t>credit union or building society</w:t>
      </w:r>
      <w:r>
        <w:rPr>
          <w:szCs w:val="20"/>
        </w:rPr>
        <w:t xml:space="preserve">, or a </w:t>
      </w:r>
      <w:r w:rsidR="008A32CA">
        <w:rPr>
          <w:szCs w:val="20"/>
        </w:rPr>
        <w:t>larger</w:t>
      </w:r>
      <w:r w:rsidR="00174BBA">
        <w:rPr>
          <w:szCs w:val="20"/>
        </w:rPr>
        <w:t xml:space="preserve"> credit </w:t>
      </w:r>
      <w:r w:rsidR="00B275B7">
        <w:rPr>
          <w:szCs w:val="20"/>
        </w:rPr>
        <w:t>union merges</w:t>
      </w:r>
      <w:r>
        <w:rPr>
          <w:szCs w:val="20"/>
        </w:rPr>
        <w:t xml:space="preserve"> with a smaller mutual bank. </w:t>
      </w:r>
      <w:r w:rsidR="009D481A">
        <w:rPr>
          <w:szCs w:val="20"/>
        </w:rPr>
        <w:t>It</w:t>
      </w:r>
      <w:r>
        <w:rPr>
          <w:szCs w:val="20"/>
        </w:rPr>
        <w:t xml:space="preserve"> is possible that the merged entity may wish to retain the existing credit union, building society or mutual bank brands. While COBA does not believe that the proposed </w:t>
      </w:r>
      <w:r w:rsidR="00174BBA">
        <w:rPr>
          <w:szCs w:val="20"/>
        </w:rPr>
        <w:t xml:space="preserve">legislative </w:t>
      </w:r>
      <w:r>
        <w:rPr>
          <w:szCs w:val="20"/>
        </w:rPr>
        <w:t xml:space="preserve">amendments prevent this, </w:t>
      </w:r>
      <w:r w:rsidR="008A32CA">
        <w:rPr>
          <w:szCs w:val="20"/>
        </w:rPr>
        <w:t>any future</w:t>
      </w:r>
      <w:r>
        <w:rPr>
          <w:szCs w:val="20"/>
        </w:rPr>
        <w:t xml:space="preserve"> policy </w:t>
      </w:r>
      <w:r w:rsidR="008A32CA">
        <w:rPr>
          <w:szCs w:val="20"/>
        </w:rPr>
        <w:t>interpreting a revised section 66 should allow flexibility to use these terms.</w:t>
      </w:r>
    </w:p>
    <w:p w:rsidR="005610DC" w:rsidRDefault="005610DC" w:rsidP="00D1189E">
      <w:pPr>
        <w:rPr>
          <w:szCs w:val="20"/>
        </w:rPr>
      </w:pPr>
    </w:p>
    <w:p w:rsidR="00236871" w:rsidRPr="0056738E" w:rsidRDefault="00D73A23" w:rsidP="00D1189E">
      <w:pPr>
        <w:rPr>
          <w:b/>
          <w:szCs w:val="20"/>
        </w:rPr>
      </w:pPr>
      <w:r>
        <w:rPr>
          <w:b/>
          <w:szCs w:val="20"/>
        </w:rPr>
        <w:t>Aligning business name registration consent</w:t>
      </w:r>
      <w:r w:rsidR="008A32CA">
        <w:rPr>
          <w:b/>
          <w:szCs w:val="20"/>
        </w:rPr>
        <w:t xml:space="preserve"> policy</w:t>
      </w:r>
      <w:r>
        <w:rPr>
          <w:b/>
          <w:szCs w:val="20"/>
        </w:rPr>
        <w:t xml:space="preserve"> with the proposed changes</w:t>
      </w:r>
    </w:p>
    <w:p w:rsidR="00236871" w:rsidRDefault="00236871" w:rsidP="00D1189E"/>
    <w:p w:rsidR="008A32CA" w:rsidRDefault="008A32CA" w:rsidP="008A32CA">
      <w:pPr>
        <w:tabs>
          <w:tab w:val="left" w:pos="915"/>
        </w:tabs>
      </w:pPr>
      <w:r>
        <w:t>COBA notes that</w:t>
      </w:r>
      <w:r w:rsidR="001C4519">
        <w:t>,</w:t>
      </w:r>
      <w:r>
        <w:t xml:space="preserve"> as </w:t>
      </w:r>
      <w:r w:rsidR="005610DC">
        <w:t xml:space="preserve">part of the </w:t>
      </w:r>
      <w:r>
        <w:t>business names</w:t>
      </w:r>
      <w:r w:rsidR="005610DC">
        <w:t xml:space="preserve"> registr</w:t>
      </w:r>
      <w:r>
        <w:t>ation process</w:t>
      </w:r>
      <w:r w:rsidR="001C4519">
        <w:t>,</w:t>
      </w:r>
      <w:r>
        <w:t xml:space="preserve"> </w:t>
      </w:r>
      <w:r w:rsidR="005610DC">
        <w:t>consent</w:t>
      </w:r>
      <w:r w:rsidR="001C4519">
        <w:t xml:space="preserve"> is still</w:t>
      </w:r>
      <w:r w:rsidR="005610DC">
        <w:t xml:space="preserve"> required from APRA.</w:t>
      </w:r>
      <w:r>
        <w:rPr>
          <w:rStyle w:val="FootnoteReference"/>
        </w:rPr>
        <w:footnoteReference w:id="3"/>
      </w:r>
      <w:r>
        <w:t xml:space="preserve"> </w:t>
      </w:r>
      <w:r>
        <w:rPr>
          <w:color w:val="000000"/>
          <w:shd w:val="clear" w:color="auto" w:fill="FFFFFF"/>
        </w:rPr>
        <w:t>While this is unlikely to be problematic, COBA believes that</w:t>
      </w:r>
      <w:r w:rsidR="006121DD">
        <w:rPr>
          <w:color w:val="000000"/>
          <w:shd w:val="clear" w:color="auto" w:fill="FFFFFF"/>
        </w:rPr>
        <w:t xml:space="preserve"> any policy underlying APRA’s</w:t>
      </w:r>
      <w:r>
        <w:rPr>
          <w:color w:val="000000"/>
          <w:shd w:val="clear" w:color="auto" w:fill="FFFFFF"/>
        </w:rPr>
        <w:t xml:space="preserve"> consent must be in line with Government’s intention to allow smaller ADIs to the use the word ‘bank’.</w:t>
      </w:r>
    </w:p>
    <w:p w:rsidR="00B275B7" w:rsidRDefault="00B275B7" w:rsidP="00934932">
      <w:pPr>
        <w:tabs>
          <w:tab w:val="left" w:pos="915"/>
        </w:tabs>
      </w:pPr>
    </w:p>
    <w:p w:rsidR="00182B92" w:rsidRPr="00E54C33" w:rsidRDefault="00182B92" w:rsidP="00182B92">
      <w:pPr>
        <w:rPr>
          <w:szCs w:val="20"/>
        </w:rPr>
      </w:pPr>
      <w:r w:rsidRPr="00E54C33">
        <w:rPr>
          <w:szCs w:val="20"/>
        </w:rPr>
        <w:t xml:space="preserve">Please contact me on 02 </w:t>
      </w:r>
      <w:r>
        <w:rPr>
          <w:szCs w:val="20"/>
        </w:rPr>
        <w:t>8035 8448</w:t>
      </w:r>
      <w:r w:rsidRPr="00E54C33">
        <w:rPr>
          <w:szCs w:val="20"/>
        </w:rPr>
        <w:t xml:space="preserve"> or </w:t>
      </w:r>
      <w:r>
        <w:rPr>
          <w:szCs w:val="20"/>
        </w:rPr>
        <w:t>Mark Nguyen</w:t>
      </w:r>
      <w:r w:rsidRPr="00E54C33">
        <w:rPr>
          <w:szCs w:val="20"/>
        </w:rPr>
        <w:t>, Policy Adviser, on 02</w:t>
      </w:r>
      <w:r>
        <w:rPr>
          <w:szCs w:val="20"/>
        </w:rPr>
        <w:t> </w:t>
      </w:r>
      <w:r w:rsidRPr="00E54C33">
        <w:rPr>
          <w:szCs w:val="20"/>
        </w:rPr>
        <w:t>8</w:t>
      </w:r>
      <w:r>
        <w:rPr>
          <w:szCs w:val="20"/>
        </w:rPr>
        <w:t>035</w:t>
      </w:r>
      <w:r w:rsidRPr="00E54C33">
        <w:rPr>
          <w:szCs w:val="20"/>
        </w:rPr>
        <w:t xml:space="preserve"> </w:t>
      </w:r>
      <w:r>
        <w:rPr>
          <w:szCs w:val="20"/>
        </w:rPr>
        <w:t>8443</w:t>
      </w:r>
      <w:r w:rsidR="0038433C">
        <w:rPr>
          <w:szCs w:val="20"/>
        </w:rPr>
        <w:t xml:space="preserve"> to discuss any aspect of this</w:t>
      </w:r>
      <w:r w:rsidRPr="00E54C33">
        <w:rPr>
          <w:szCs w:val="20"/>
        </w:rPr>
        <w:t xml:space="preserve"> </w:t>
      </w:r>
      <w:r>
        <w:rPr>
          <w:szCs w:val="20"/>
        </w:rPr>
        <w:t>submission</w:t>
      </w:r>
      <w:r w:rsidRPr="00E54C33">
        <w:rPr>
          <w:szCs w:val="20"/>
        </w:rPr>
        <w:t>.</w:t>
      </w:r>
    </w:p>
    <w:p w:rsidR="00182B92" w:rsidRDefault="00182B92" w:rsidP="00D1189E"/>
    <w:p w:rsidR="00236871" w:rsidRDefault="00236871" w:rsidP="00D1189E">
      <w:r>
        <w:t>Yours sincerely</w:t>
      </w:r>
    </w:p>
    <w:p w:rsidR="00D1189E" w:rsidRDefault="00D1189E" w:rsidP="00D1189E"/>
    <w:p w:rsidR="00934932" w:rsidRDefault="00934932" w:rsidP="00D1189E"/>
    <w:p w:rsidR="00934932" w:rsidRDefault="000311FB" w:rsidP="00D1189E">
      <w:r>
        <w:rPr>
          <w:noProof/>
          <w:lang w:eastAsia="en-AU"/>
        </w:rPr>
        <w:drawing>
          <wp:inline distT="0" distB="0" distL="0" distR="0" wp14:anchorId="5745E3AC" wp14:editId="2F3C13CE">
            <wp:extent cx="1397635" cy="551815"/>
            <wp:effectExtent l="0" t="0" r="0" b="635"/>
            <wp:docPr id="2" name="Picture 2" descr="\\sifpp01\homedir\llawler\LUKE\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fpp01\homedir\llawler\LUKE\signature.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97635" cy="551815"/>
                    </a:xfrm>
                    <a:prstGeom prst="rect">
                      <a:avLst/>
                    </a:prstGeom>
                    <a:noFill/>
                    <a:ln>
                      <a:noFill/>
                    </a:ln>
                  </pic:spPr>
                </pic:pic>
              </a:graphicData>
            </a:graphic>
          </wp:inline>
        </w:drawing>
      </w:r>
    </w:p>
    <w:p w:rsidR="00FB678E" w:rsidRDefault="00FB678E" w:rsidP="00D1189E"/>
    <w:p w:rsidR="007F4826" w:rsidRDefault="007F4826" w:rsidP="00D1189E"/>
    <w:p w:rsidR="00236871" w:rsidRPr="00D1189E" w:rsidRDefault="00181EE7" w:rsidP="00D1189E">
      <w:pPr>
        <w:rPr>
          <w:rStyle w:val="Strong"/>
        </w:rPr>
      </w:pPr>
      <w:r>
        <w:rPr>
          <w:rStyle w:val="Strong"/>
        </w:rPr>
        <w:t>LUKE LAWLER</w:t>
      </w:r>
    </w:p>
    <w:p w:rsidR="00FD2507" w:rsidRPr="00FB678E" w:rsidRDefault="00181EE7" w:rsidP="00D1189E">
      <w:pPr>
        <w:rPr>
          <w:b/>
        </w:rPr>
      </w:pPr>
      <w:r>
        <w:rPr>
          <w:b/>
        </w:rPr>
        <w:t>Director - Policy</w:t>
      </w:r>
    </w:p>
    <w:p w:rsidR="001E0271" w:rsidRPr="00FD2507" w:rsidRDefault="001E0271" w:rsidP="00D1189E"/>
    <w:sectPr w:rsidR="001E0271" w:rsidRPr="00FD2507" w:rsidSect="001B1796">
      <w:headerReference w:type="default" r:id="rId19"/>
      <w:footerReference w:type="default" r:id="rId20"/>
      <w:type w:val="continuous"/>
      <w:pgSz w:w="11907" w:h="16839" w:code="9"/>
      <w:pgMar w:top="1276" w:right="1275" w:bottom="1134" w:left="1701" w:header="851" w:footer="5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5F3" w:rsidRDefault="006E75F3" w:rsidP="00FA0A34">
      <w:r>
        <w:separator/>
      </w:r>
    </w:p>
  </w:endnote>
  <w:endnote w:type="continuationSeparator" w:id="0">
    <w:p w:rsidR="006E75F3" w:rsidRDefault="006E75F3" w:rsidP="00FA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9EC" w:rsidRPr="00E6645A" w:rsidRDefault="009477E8" w:rsidP="002B30E2">
    <w:pPr>
      <w:pStyle w:val="FootnoteText"/>
      <w:tabs>
        <w:tab w:val="left" w:pos="7880"/>
        <w:tab w:val="right" w:pos="9242"/>
      </w:tabs>
      <w:jc w:val="left"/>
    </w:pPr>
    <w:r>
      <w:rPr>
        <w:noProof/>
        <w:lang w:eastAsia="en-AU"/>
      </w:rPr>
      <w:drawing>
        <wp:anchor distT="0" distB="0" distL="114300" distR="114300" simplePos="0" relativeHeight="251684864" behindDoc="0" locked="0" layoutInCell="1" allowOverlap="1" wp14:anchorId="388642C0" wp14:editId="11BB92B3">
          <wp:simplePos x="0" y="0"/>
          <wp:positionH relativeFrom="column">
            <wp:posOffset>3047365</wp:posOffset>
          </wp:positionH>
          <wp:positionV relativeFrom="paragraph">
            <wp:posOffset>20955</wp:posOffset>
          </wp:positionV>
          <wp:extent cx="2877312" cy="121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3223 COBA-letterhead-word-footer_update_Final.jpg"/>
                  <pic:cNvPicPr/>
                </pic:nvPicPr>
                <pic:blipFill>
                  <a:blip r:embed="rId1">
                    <a:extLst>
                      <a:ext uri="{28A0092B-C50C-407E-A947-70E740481C1C}">
                        <a14:useLocalDpi xmlns:a14="http://schemas.microsoft.com/office/drawing/2010/main" val="0"/>
                      </a:ext>
                    </a:extLst>
                  </a:blip>
                  <a:stretch>
                    <a:fillRect/>
                  </a:stretch>
                </pic:blipFill>
                <pic:spPr>
                  <a:xfrm>
                    <a:off x="0" y="0"/>
                    <a:ext cx="2877312" cy="121920"/>
                  </a:xfrm>
                  <a:prstGeom prst="rect">
                    <a:avLst/>
                  </a:prstGeom>
                </pic:spPr>
              </pic:pic>
            </a:graphicData>
          </a:graphic>
          <wp14:sizeRelH relativeFrom="page">
            <wp14:pctWidth>0</wp14:pctWidth>
          </wp14:sizeRelH>
          <wp14:sizeRelV relativeFrom="page">
            <wp14:pctHeight>0</wp14:pctHeight>
          </wp14:sizeRelV>
        </wp:anchor>
      </w:drawing>
    </w:r>
    <w:r w:rsidR="009F49EC">
      <w:tab/>
    </w:r>
    <w:r w:rsidR="009F49EC">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78E" w:rsidRDefault="003101AC" w:rsidP="003101AC">
    <w:pPr>
      <w:pStyle w:val="FootnoteText"/>
      <w:ind w:right="-312"/>
    </w:pPr>
    <w:r>
      <w:t xml:space="preserve">    </w:t>
    </w:r>
    <w:r w:rsidR="00FB678E">
      <w:t xml:space="preserve">     </w:t>
    </w:r>
    <w:sdt>
      <w:sdtPr>
        <w:id w:val="1659346242"/>
        <w:docPartObj>
          <w:docPartGallery w:val="Page Numbers (Bottom of Page)"/>
          <w:docPartUnique/>
        </w:docPartObj>
      </w:sdtPr>
      <w:sdtEndPr>
        <w:rPr>
          <w:noProof/>
        </w:rPr>
      </w:sdtEndPr>
      <w:sdtContent>
        <w:r w:rsidR="00FB678E">
          <w:fldChar w:fldCharType="begin"/>
        </w:r>
        <w:r w:rsidR="00FB678E">
          <w:instrText xml:space="preserve"> PAGE   \* MERGEFORMAT </w:instrText>
        </w:r>
        <w:r w:rsidR="00FB678E">
          <w:fldChar w:fldCharType="separate"/>
        </w:r>
        <w:r w:rsidR="00727C28">
          <w:rPr>
            <w:noProof/>
          </w:rPr>
          <w:t>2</w:t>
        </w:r>
        <w:r w:rsidR="00FB678E">
          <w:rPr>
            <w:noProof/>
          </w:rPr>
          <w:fldChar w:fldCharType="end"/>
        </w:r>
      </w:sdtContent>
    </w:sdt>
  </w:p>
  <w:p w:rsidR="00FB678E" w:rsidRPr="00E6645A" w:rsidRDefault="009477E8" w:rsidP="002B30E2">
    <w:pPr>
      <w:pStyle w:val="FootnoteText"/>
      <w:tabs>
        <w:tab w:val="left" w:pos="7880"/>
        <w:tab w:val="right" w:pos="9242"/>
      </w:tabs>
      <w:jc w:val="left"/>
    </w:pPr>
    <w:r>
      <w:rPr>
        <w:noProof/>
        <w:lang w:eastAsia="en-AU"/>
      </w:rPr>
      <w:drawing>
        <wp:anchor distT="0" distB="0" distL="114300" distR="114300" simplePos="0" relativeHeight="251686912" behindDoc="0" locked="0" layoutInCell="1" allowOverlap="1" wp14:anchorId="71B00BD4" wp14:editId="09C2BF6D">
          <wp:simplePos x="0" y="0"/>
          <wp:positionH relativeFrom="column">
            <wp:posOffset>3037840</wp:posOffset>
          </wp:positionH>
          <wp:positionV relativeFrom="paragraph">
            <wp:posOffset>173355</wp:posOffset>
          </wp:positionV>
          <wp:extent cx="2877312" cy="1219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3223 COBA-letterhead-word-footer_update_Final.jpg"/>
                  <pic:cNvPicPr/>
                </pic:nvPicPr>
                <pic:blipFill>
                  <a:blip r:embed="rId1">
                    <a:extLst>
                      <a:ext uri="{28A0092B-C50C-407E-A947-70E740481C1C}">
                        <a14:useLocalDpi xmlns:a14="http://schemas.microsoft.com/office/drawing/2010/main" val="0"/>
                      </a:ext>
                    </a:extLst>
                  </a:blip>
                  <a:stretch>
                    <a:fillRect/>
                  </a:stretch>
                </pic:blipFill>
                <pic:spPr>
                  <a:xfrm>
                    <a:off x="0" y="0"/>
                    <a:ext cx="2877312" cy="121920"/>
                  </a:xfrm>
                  <a:prstGeom prst="rect">
                    <a:avLst/>
                  </a:prstGeom>
                </pic:spPr>
              </pic:pic>
            </a:graphicData>
          </a:graphic>
          <wp14:sizeRelH relativeFrom="page">
            <wp14:pctWidth>0</wp14:pctWidth>
          </wp14:sizeRelH>
          <wp14:sizeRelV relativeFrom="page">
            <wp14:pctHeight>0</wp14:pctHeight>
          </wp14:sizeRelV>
        </wp:anchor>
      </w:drawing>
    </w:r>
    <w:r w:rsidR="00FB678E">
      <w:tab/>
    </w:r>
    <w:r w:rsidR="00FB678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5F3" w:rsidRDefault="006E75F3" w:rsidP="00FA0A34">
      <w:r>
        <w:separator/>
      </w:r>
    </w:p>
  </w:footnote>
  <w:footnote w:type="continuationSeparator" w:id="0">
    <w:p w:rsidR="006E75F3" w:rsidRDefault="006E75F3" w:rsidP="00FA0A34">
      <w:r>
        <w:continuationSeparator/>
      </w:r>
    </w:p>
  </w:footnote>
  <w:footnote w:id="1">
    <w:p w:rsidR="00B57B07" w:rsidRDefault="00B57B07" w:rsidP="009D481A">
      <w:pPr>
        <w:pStyle w:val="FootnoteText"/>
        <w:jc w:val="left"/>
      </w:pPr>
      <w:r>
        <w:rPr>
          <w:rStyle w:val="FootnoteReference"/>
        </w:rPr>
        <w:footnoteRef/>
      </w:r>
      <w:r>
        <w:t xml:space="preserve"> </w:t>
      </w:r>
      <w:hyperlink r:id="rId1" w:history="1">
        <w:r w:rsidR="008A32CA" w:rsidRPr="00D21EDB">
          <w:rPr>
            <w:rStyle w:val="Hyperlink"/>
          </w:rPr>
          <w:t>http://www.aph.gov.au/binaries/library/pubs/explanmem/docs/1977adjr_2randem.pdf</w:t>
        </w:r>
      </w:hyperlink>
      <w:r w:rsidR="008A32CA">
        <w:t xml:space="preserve"> </w:t>
      </w:r>
    </w:p>
  </w:footnote>
  <w:footnote w:id="2">
    <w:p w:rsidR="008A32CA" w:rsidRDefault="008A32CA" w:rsidP="008A32CA">
      <w:pPr>
        <w:pStyle w:val="FootnoteText"/>
        <w:jc w:val="left"/>
      </w:pPr>
      <w:r>
        <w:rPr>
          <w:rStyle w:val="FootnoteReference"/>
        </w:rPr>
        <w:footnoteRef/>
      </w:r>
      <w:r>
        <w:t xml:space="preserve"> APRA Guidelines on </w:t>
      </w:r>
      <w:r w:rsidRPr="008A32CA">
        <w:t>Implementation of section 66 of the Banking Act 1959</w:t>
      </w:r>
      <w:r>
        <w:t>, August 2015, see page 8.</w:t>
      </w:r>
    </w:p>
  </w:footnote>
  <w:footnote w:id="3">
    <w:p w:rsidR="008A32CA" w:rsidRDefault="008A32CA" w:rsidP="008A32CA">
      <w:pPr>
        <w:pStyle w:val="FootnoteText"/>
        <w:jc w:val="left"/>
      </w:pPr>
      <w:r>
        <w:rPr>
          <w:rStyle w:val="FootnoteReference"/>
        </w:rPr>
        <w:footnoteRef/>
      </w:r>
      <w:r>
        <w:t xml:space="preserve"> </w:t>
      </w:r>
      <w:r w:rsidRPr="007F3FA2">
        <w:t>Business Names Registration (Availabili</w:t>
      </w:r>
      <w:r>
        <w:t>ty of Names) Determination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9EC" w:rsidRDefault="00664B3A">
    <w:pPr>
      <w:pStyle w:val="Header"/>
    </w:pPr>
    <w:r>
      <w:rPr>
        <w:noProof/>
        <w:lang w:eastAsia="en-AU"/>
      </w:rPr>
      <w:drawing>
        <wp:anchor distT="0" distB="0" distL="114300" distR="114300" simplePos="0" relativeHeight="251681792" behindDoc="0" locked="0" layoutInCell="1" allowOverlap="1" wp14:anchorId="12E946F9" wp14:editId="1A548BDC">
          <wp:simplePos x="0" y="0"/>
          <wp:positionH relativeFrom="page">
            <wp:align>right</wp:align>
          </wp:positionH>
          <wp:positionV relativeFrom="page">
            <wp:align>top</wp:align>
          </wp:positionV>
          <wp:extent cx="7223760" cy="11765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A3769 COBA-letterhead-temp-syd-update_Final.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223760" cy="117652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9EC" w:rsidRDefault="009F49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1BF85E60"/>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9868469C"/>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D4242090"/>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137E26A4"/>
    <w:lvl w:ilvl="0">
      <w:start w:val="1"/>
      <w:numFmt w:val="bullet"/>
      <w:lvlText w:val=""/>
      <w:lvlJc w:val="left"/>
      <w:pPr>
        <w:tabs>
          <w:tab w:val="num" w:pos="720"/>
        </w:tabs>
        <w:ind w:left="720" w:hanging="360"/>
      </w:pPr>
      <w:rPr>
        <w:rFonts w:ascii="Symbol" w:hAnsi="Symbol" w:hint="default"/>
      </w:rPr>
    </w:lvl>
  </w:abstractNum>
  <w:abstractNum w:abstractNumId="4">
    <w:nsid w:val="FFFFFF89"/>
    <w:multiLevelType w:val="singleLevel"/>
    <w:tmpl w:val="B6A42D5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178505F0"/>
    <w:multiLevelType w:val="multilevel"/>
    <w:tmpl w:val="030C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4C218C"/>
    <w:multiLevelType w:val="hybridMultilevel"/>
    <w:tmpl w:val="6D9C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B76FC4"/>
    <w:multiLevelType w:val="multilevel"/>
    <w:tmpl w:val="1100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E50991"/>
    <w:multiLevelType w:val="hybridMultilevel"/>
    <w:tmpl w:val="9836EEF8"/>
    <w:lvl w:ilvl="0" w:tplc="7B74A514">
      <w:numFmt w:val="bullet"/>
      <w:lvlText w:val=""/>
      <w:lvlJc w:val="left"/>
      <w:pPr>
        <w:ind w:left="720" w:hanging="360"/>
      </w:pPr>
      <w:rPr>
        <w:rFonts w:ascii="Trebuchet MS" w:eastAsiaTheme="minorHAnsi" w:hAnsi="Trebuchet MS" w:cs="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BAF788E"/>
    <w:multiLevelType w:val="hybridMultilevel"/>
    <w:tmpl w:val="87927B08"/>
    <w:lvl w:ilvl="0" w:tplc="7B74A514">
      <w:numFmt w:val="bullet"/>
      <w:lvlText w:val=""/>
      <w:lvlJc w:val="left"/>
      <w:pPr>
        <w:ind w:left="720" w:hanging="360"/>
      </w:pPr>
      <w:rPr>
        <w:rFonts w:ascii="Trebuchet MS" w:eastAsiaTheme="minorHAnsi" w:hAnsi="Trebuchet MS" w:cs="Trebuchet M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ED04ECA"/>
    <w:multiLevelType w:val="hybridMultilevel"/>
    <w:tmpl w:val="AC920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7"/>
  </w:num>
  <w:num w:numId="8">
    <w:abstractNumId w:val="10"/>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F5"/>
    <w:rsid w:val="000145E0"/>
    <w:rsid w:val="00015F63"/>
    <w:rsid w:val="0001637B"/>
    <w:rsid w:val="00026918"/>
    <w:rsid w:val="000311FB"/>
    <w:rsid w:val="000327C0"/>
    <w:rsid w:val="00087533"/>
    <w:rsid w:val="000B139B"/>
    <w:rsid w:val="000B3373"/>
    <w:rsid w:val="000F0E8C"/>
    <w:rsid w:val="000F5C97"/>
    <w:rsid w:val="00116658"/>
    <w:rsid w:val="00174BBA"/>
    <w:rsid w:val="00181EE7"/>
    <w:rsid w:val="00182B92"/>
    <w:rsid w:val="00186426"/>
    <w:rsid w:val="0018791B"/>
    <w:rsid w:val="00190397"/>
    <w:rsid w:val="001B1796"/>
    <w:rsid w:val="001C4519"/>
    <w:rsid w:val="001E0271"/>
    <w:rsid w:val="001E2F9F"/>
    <w:rsid w:val="001E4A9C"/>
    <w:rsid w:val="001F0C28"/>
    <w:rsid w:val="002132EA"/>
    <w:rsid w:val="00225009"/>
    <w:rsid w:val="00232F17"/>
    <w:rsid w:val="00236871"/>
    <w:rsid w:val="00265237"/>
    <w:rsid w:val="002869E9"/>
    <w:rsid w:val="00296B5B"/>
    <w:rsid w:val="002B30E2"/>
    <w:rsid w:val="002C135C"/>
    <w:rsid w:val="002C7CD5"/>
    <w:rsid w:val="002F5E00"/>
    <w:rsid w:val="002F6E2F"/>
    <w:rsid w:val="0030674C"/>
    <w:rsid w:val="003101AC"/>
    <w:rsid w:val="00325E5A"/>
    <w:rsid w:val="003531E3"/>
    <w:rsid w:val="00373CFD"/>
    <w:rsid w:val="0038433C"/>
    <w:rsid w:val="003A069C"/>
    <w:rsid w:val="003B0028"/>
    <w:rsid w:val="003C62BF"/>
    <w:rsid w:val="003E537B"/>
    <w:rsid w:val="003F443A"/>
    <w:rsid w:val="003F7C58"/>
    <w:rsid w:val="004054E4"/>
    <w:rsid w:val="004072E9"/>
    <w:rsid w:val="0041688D"/>
    <w:rsid w:val="004309E5"/>
    <w:rsid w:val="00440E28"/>
    <w:rsid w:val="00443988"/>
    <w:rsid w:val="004458B5"/>
    <w:rsid w:val="0045338C"/>
    <w:rsid w:val="00473F9B"/>
    <w:rsid w:val="004946DE"/>
    <w:rsid w:val="0052740E"/>
    <w:rsid w:val="005447F0"/>
    <w:rsid w:val="00550104"/>
    <w:rsid w:val="00556688"/>
    <w:rsid w:val="005610BF"/>
    <w:rsid w:val="005610DC"/>
    <w:rsid w:val="0056300B"/>
    <w:rsid w:val="0056738E"/>
    <w:rsid w:val="0058129D"/>
    <w:rsid w:val="00583B8F"/>
    <w:rsid w:val="00587E09"/>
    <w:rsid w:val="005A6A83"/>
    <w:rsid w:val="005B6E4E"/>
    <w:rsid w:val="005B76CE"/>
    <w:rsid w:val="005D46D7"/>
    <w:rsid w:val="00606BF5"/>
    <w:rsid w:val="006121DD"/>
    <w:rsid w:val="00612CBB"/>
    <w:rsid w:val="00621C38"/>
    <w:rsid w:val="006440EA"/>
    <w:rsid w:val="00664B3A"/>
    <w:rsid w:val="00676415"/>
    <w:rsid w:val="006B6341"/>
    <w:rsid w:val="006C08E3"/>
    <w:rsid w:val="006C6FEF"/>
    <w:rsid w:val="006D3D32"/>
    <w:rsid w:val="006E75F3"/>
    <w:rsid w:val="007121EB"/>
    <w:rsid w:val="00720216"/>
    <w:rsid w:val="00727C28"/>
    <w:rsid w:val="007334C0"/>
    <w:rsid w:val="00734A92"/>
    <w:rsid w:val="00741FD1"/>
    <w:rsid w:val="00753DDB"/>
    <w:rsid w:val="00757891"/>
    <w:rsid w:val="007840A8"/>
    <w:rsid w:val="00794E37"/>
    <w:rsid w:val="007A1F40"/>
    <w:rsid w:val="007A7B54"/>
    <w:rsid w:val="007B19DF"/>
    <w:rsid w:val="007D2F2E"/>
    <w:rsid w:val="007D7D5A"/>
    <w:rsid w:val="007E69FA"/>
    <w:rsid w:val="007F3FA2"/>
    <w:rsid w:val="007F4826"/>
    <w:rsid w:val="00836D2F"/>
    <w:rsid w:val="00836E09"/>
    <w:rsid w:val="0086744D"/>
    <w:rsid w:val="00877849"/>
    <w:rsid w:val="008802FC"/>
    <w:rsid w:val="00881CC1"/>
    <w:rsid w:val="00885009"/>
    <w:rsid w:val="008A32CA"/>
    <w:rsid w:val="008A4718"/>
    <w:rsid w:val="008D0919"/>
    <w:rsid w:val="008D1E1A"/>
    <w:rsid w:val="008E13EB"/>
    <w:rsid w:val="008E3582"/>
    <w:rsid w:val="008F5C71"/>
    <w:rsid w:val="008F67CA"/>
    <w:rsid w:val="0092175E"/>
    <w:rsid w:val="00934932"/>
    <w:rsid w:val="009477E8"/>
    <w:rsid w:val="00950283"/>
    <w:rsid w:val="00951F60"/>
    <w:rsid w:val="009534FC"/>
    <w:rsid w:val="009607A3"/>
    <w:rsid w:val="00966028"/>
    <w:rsid w:val="00976B26"/>
    <w:rsid w:val="00990897"/>
    <w:rsid w:val="009A032D"/>
    <w:rsid w:val="009A4692"/>
    <w:rsid w:val="009C2736"/>
    <w:rsid w:val="009D481A"/>
    <w:rsid w:val="009D5869"/>
    <w:rsid w:val="009F0D45"/>
    <w:rsid w:val="009F12AE"/>
    <w:rsid w:val="009F49EC"/>
    <w:rsid w:val="00A10F02"/>
    <w:rsid w:val="00A200A2"/>
    <w:rsid w:val="00A227F0"/>
    <w:rsid w:val="00A56150"/>
    <w:rsid w:val="00A76953"/>
    <w:rsid w:val="00A82A8F"/>
    <w:rsid w:val="00A85C4C"/>
    <w:rsid w:val="00A874EC"/>
    <w:rsid w:val="00AC2D46"/>
    <w:rsid w:val="00AD1B8A"/>
    <w:rsid w:val="00AD5897"/>
    <w:rsid w:val="00AE0ECA"/>
    <w:rsid w:val="00AF702D"/>
    <w:rsid w:val="00B01A10"/>
    <w:rsid w:val="00B16422"/>
    <w:rsid w:val="00B16F1B"/>
    <w:rsid w:val="00B275B7"/>
    <w:rsid w:val="00B3420E"/>
    <w:rsid w:val="00B37516"/>
    <w:rsid w:val="00B506B9"/>
    <w:rsid w:val="00B51AC6"/>
    <w:rsid w:val="00B57B07"/>
    <w:rsid w:val="00B65C4A"/>
    <w:rsid w:val="00B86C20"/>
    <w:rsid w:val="00BA0461"/>
    <w:rsid w:val="00BD1F71"/>
    <w:rsid w:val="00BD537C"/>
    <w:rsid w:val="00BD746B"/>
    <w:rsid w:val="00BE398C"/>
    <w:rsid w:val="00BE7342"/>
    <w:rsid w:val="00C278F3"/>
    <w:rsid w:val="00C30F70"/>
    <w:rsid w:val="00C32703"/>
    <w:rsid w:val="00C47AD2"/>
    <w:rsid w:val="00C83565"/>
    <w:rsid w:val="00C91317"/>
    <w:rsid w:val="00C91CD4"/>
    <w:rsid w:val="00C97F87"/>
    <w:rsid w:val="00CE4D4B"/>
    <w:rsid w:val="00CF4DCC"/>
    <w:rsid w:val="00D1189E"/>
    <w:rsid w:val="00D21716"/>
    <w:rsid w:val="00D42D56"/>
    <w:rsid w:val="00D73A23"/>
    <w:rsid w:val="00D97109"/>
    <w:rsid w:val="00DA27D3"/>
    <w:rsid w:val="00DA5A53"/>
    <w:rsid w:val="00DA6373"/>
    <w:rsid w:val="00DC76D8"/>
    <w:rsid w:val="00DD499E"/>
    <w:rsid w:val="00E05108"/>
    <w:rsid w:val="00E064DA"/>
    <w:rsid w:val="00E11D03"/>
    <w:rsid w:val="00E503B7"/>
    <w:rsid w:val="00E5503D"/>
    <w:rsid w:val="00E5707D"/>
    <w:rsid w:val="00E6645A"/>
    <w:rsid w:val="00E71808"/>
    <w:rsid w:val="00E91810"/>
    <w:rsid w:val="00E97877"/>
    <w:rsid w:val="00EB7202"/>
    <w:rsid w:val="00F0078A"/>
    <w:rsid w:val="00F21CCB"/>
    <w:rsid w:val="00F555D9"/>
    <w:rsid w:val="00F74480"/>
    <w:rsid w:val="00F84F09"/>
    <w:rsid w:val="00F93114"/>
    <w:rsid w:val="00F94268"/>
    <w:rsid w:val="00F94821"/>
    <w:rsid w:val="00FA0A34"/>
    <w:rsid w:val="00FB51C2"/>
    <w:rsid w:val="00FB678E"/>
    <w:rsid w:val="00FD2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qFormat="1"/>
    <w:lsdException w:name="List Bullet"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11D03"/>
    <w:pPr>
      <w:spacing w:after="0" w:line="240" w:lineRule="auto"/>
    </w:pPr>
    <w:rPr>
      <w:rFonts w:ascii="Verdana" w:eastAsiaTheme="minorEastAsia" w:hAnsi="Verdana"/>
      <w:color w:val="000000" w:themeColor="text1"/>
      <w:sz w:val="20"/>
      <w:lang w:val="en-AU"/>
    </w:rPr>
  </w:style>
  <w:style w:type="paragraph" w:styleId="Heading1">
    <w:name w:val="heading 1"/>
    <w:next w:val="Subtitle"/>
    <w:link w:val="Heading1Char"/>
    <w:uiPriority w:val="9"/>
    <w:qFormat/>
    <w:rsid w:val="00325E5A"/>
    <w:pPr>
      <w:keepNext/>
      <w:keepLines/>
      <w:spacing w:after="840" w:line="620" w:lineRule="exact"/>
      <w:outlineLvl w:val="0"/>
    </w:pPr>
    <w:rPr>
      <w:rFonts w:ascii="Verdana" w:eastAsiaTheme="majorEastAsia" w:hAnsi="Verdana" w:cstheme="majorBidi"/>
      <w:caps/>
      <w:color w:val="00693C"/>
      <w:sz w:val="52"/>
      <w:szCs w:val="32"/>
    </w:rPr>
  </w:style>
  <w:style w:type="paragraph" w:styleId="Heading2">
    <w:name w:val="heading 2"/>
    <w:basedOn w:val="Normal"/>
    <w:next w:val="Normal"/>
    <w:link w:val="Heading2Char"/>
    <w:uiPriority w:val="9"/>
    <w:unhideWhenUsed/>
    <w:qFormat/>
    <w:rsid w:val="00E6645A"/>
    <w:pPr>
      <w:keepNext/>
      <w:keepLines/>
      <w:spacing w:before="360" w:line="280" w:lineRule="exact"/>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A34"/>
    <w:pPr>
      <w:tabs>
        <w:tab w:val="center" w:pos="4680"/>
        <w:tab w:val="right" w:pos="9360"/>
      </w:tabs>
    </w:pPr>
  </w:style>
  <w:style w:type="character" w:customStyle="1" w:styleId="HeaderChar">
    <w:name w:val="Header Char"/>
    <w:basedOn w:val="DefaultParagraphFont"/>
    <w:link w:val="Header"/>
    <w:uiPriority w:val="99"/>
    <w:rsid w:val="00FA0A34"/>
  </w:style>
  <w:style w:type="paragraph" w:styleId="Footer">
    <w:name w:val="footer"/>
    <w:basedOn w:val="Normal"/>
    <w:link w:val="FooterChar"/>
    <w:uiPriority w:val="99"/>
    <w:unhideWhenUsed/>
    <w:rsid w:val="00E6645A"/>
    <w:pPr>
      <w:tabs>
        <w:tab w:val="center" w:pos="4680"/>
        <w:tab w:val="right" w:pos="9360"/>
      </w:tabs>
      <w:jc w:val="right"/>
    </w:pPr>
    <w:rPr>
      <w:sz w:val="14"/>
    </w:rPr>
  </w:style>
  <w:style w:type="character" w:customStyle="1" w:styleId="FooterChar">
    <w:name w:val="Footer Char"/>
    <w:basedOn w:val="DefaultParagraphFont"/>
    <w:link w:val="Footer"/>
    <w:uiPriority w:val="99"/>
    <w:rsid w:val="00E6645A"/>
    <w:rPr>
      <w:rFonts w:ascii="Verdana" w:eastAsiaTheme="minorEastAsia" w:hAnsi="Verdana"/>
      <w:color w:val="595959" w:themeColor="text1" w:themeTint="A6"/>
      <w:sz w:val="14"/>
    </w:rPr>
  </w:style>
  <w:style w:type="character" w:customStyle="1" w:styleId="Heading1Char">
    <w:name w:val="Heading 1 Char"/>
    <w:basedOn w:val="DefaultParagraphFont"/>
    <w:link w:val="Heading1"/>
    <w:uiPriority w:val="9"/>
    <w:rsid w:val="00325E5A"/>
    <w:rPr>
      <w:rFonts w:ascii="Verdana" w:eastAsiaTheme="majorEastAsia" w:hAnsi="Verdana" w:cstheme="majorBidi"/>
      <w:caps/>
      <w:color w:val="00693C"/>
      <w:sz w:val="52"/>
      <w:szCs w:val="32"/>
    </w:rPr>
  </w:style>
  <w:style w:type="paragraph" w:styleId="Subtitle">
    <w:name w:val="Subtitle"/>
    <w:basedOn w:val="Normal"/>
    <w:next w:val="Normal"/>
    <w:link w:val="SubtitleChar"/>
    <w:uiPriority w:val="11"/>
    <w:qFormat/>
    <w:rsid w:val="00F555D9"/>
    <w:pPr>
      <w:numPr>
        <w:ilvl w:val="1"/>
      </w:numPr>
      <w:spacing w:after="400" w:line="400" w:lineRule="exact"/>
    </w:pPr>
    <w:rPr>
      <w:color w:val="5A5A5A" w:themeColor="text1" w:themeTint="A5"/>
      <w:sz w:val="32"/>
    </w:rPr>
  </w:style>
  <w:style w:type="character" w:customStyle="1" w:styleId="SubtitleChar">
    <w:name w:val="Subtitle Char"/>
    <w:basedOn w:val="DefaultParagraphFont"/>
    <w:link w:val="Subtitle"/>
    <w:uiPriority w:val="11"/>
    <w:rsid w:val="00F555D9"/>
    <w:rPr>
      <w:rFonts w:ascii="Verdana" w:eastAsiaTheme="minorEastAsia" w:hAnsi="Verdana"/>
      <w:color w:val="5A5A5A" w:themeColor="text1" w:themeTint="A5"/>
      <w:sz w:val="32"/>
    </w:rPr>
  </w:style>
  <w:style w:type="character" w:customStyle="1" w:styleId="Heading2Char">
    <w:name w:val="Heading 2 Char"/>
    <w:basedOn w:val="DefaultParagraphFont"/>
    <w:link w:val="Heading2"/>
    <w:uiPriority w:val="9"/>
    <w:rsid w:val="00E6645A"/>
    <w:rPr>
      <w:rFonts w:ascii="Verdana" w:eastAsiaTheme="majorEastAsia" w:hAnsi="Verdana" w:cstheme="majorBidi"/>
      <w:color w:val="595959" w:themeColor="text1" w:themeTint="A6"/>
      <w:sz w:val="24"/>
      <w:szCs w:val="26"/>
    </w:rPr>
  </w:style>
  <w:style w:type="paragraph" w:styleId="ListBullet">
    <w:name w:val="List Bullet"/>
    <w:basedOn w:val="Normal"/>
    <w:uiPriority w:val="99"/>
    <w:unhideWhenUsed/>
    <w:qFormat/>
    <w:rsid w:val="00AD1B8A"/>
    <w:pPr>
      <w:numPr>
        <w:numId w:val="1"/>
      </w:numPr>
      <w:ind w:left="227" w:hanging="227"/>
      <w:contextualSpacing/>
    </w:pPr>
  </w:style>
  <w:style w:type="paragraph" w:styleId="EndnoteText">
    <w:name w:val="endnote text"/>
    <w:basedOn w:val="Normal"/>
    <w:next w:val="Normal"/>
    <w:link w:val="EndnoteTextChar"/>
    <w:uiPriority w:val="99"/>
    <w:unhideWhenUsed/>
    <w:qFormat/>
    <w:rsid w:val="00236871"/>
    <w:pPr>
      <w:spacing w:before="760" w:line="200" w:lineRule="exact"/>
    </w:pPr>
    <w:rPr>
      <w:b/>
      <w:caps/>
      <w:sz w:val="16"/>
      <w:szCs w:val="20"/>
    </w:rPr>
  </w:style>
  <w:style w:type="character" w:customStyle="1" w:styleId="EndnoteTextChar">
    <w:name w:val="Endnote Text Char"/>
    <w:basedOn w:val="DefaultParagraphFont"/>
    <w:link w:val="EndnoteText"/>
    <w:uiPriority w:val="99"/>
    <w:rsid w:val="00236871"/>
    <w:rPr>
      <w:rFonts w:ascii="Verdana" w:eastAsiaTheme="minorEastAsia" w:hAnsi="Verdana"/>
      <w:b/>
      <w:caps/>
      <w:color w:val="595959" w:themeColor="text1" w:themeTint="A6"/>
      <w:sz w:val="16"/>
      <w:szCs w:val="20"/>
    </w:rPr>
  </w:style>
  <w:style w:type="paragraph" w:styleId="FootnoteText">
    <w:name w:val="footnote text"/>
    <w:basedOn w:val="Normal"/>
    <w:link w:val="FootnoteTextChar"/>
    <w:uiPriority w:val="99"/>
    <w:unhideWhenUsed/>
    <w:qFormat/>
    <w:rsid w:val="00236871"/>
    <w:pPr>
      <w:ind w:right="-510"/>
      <w:jc w:val="right"/>
    </w:pPr>
    <w:rPr>
      <w:sz w:val="15"/>
      <w:szCs w:val="20"/>
    </w:rPr>
  </w:style>
  <w:style w:type="character" w:customStyle="1" w:styleId="FootnoteTextChar">
    <w:name w:val="Footnote Text Char"/>
    <w:basedOn w:val="DefaultParagraphFont"/>
    <w:link w:val="FootnoteText"/>
    <w:uiPriority w:val="99"/>
    <w:rsid w:val="00236871"/>
    <w:rPr>
      <w:rFonts w:ascii="Verdana" w:eastAsiaTheme="minorEastAsia" w:hAnsi="Verdana"/>
      <w:color w:val="595959" w:themeColor="text1" w:themeTint="A6"/>
      <w:sz w:val="15"/>
      <w:szCs w:val="20"/>
    </w:rPr>
  </w:style>
  <w:style w:type="paragraph" w:styleId="NoSpacing">
    <w:name w:val="No Spacing"/>
    <w:uiPriority w:val="1"/>
    <w:qFormat/>
    <w:rsid w:val="00D1189E"/>
    <w:pPr>
      <w:spacing w:after="0" w:line="240" w:lineRule="auto"/>
    </w:pPr>
    <w:rPr>
      <w:rFonts w:ascii="Verdana" w:eastAsiaTheme="minorEastAsia" w:hAnsi="Verdana"/>
      <w:color w:val="000000" w:themeColor="text1"/>
      <w:sz w:val="20"/>
    </w:rPr>
  </w:style>
  <w:style w:type="table" w:styleId="TableGrid">
    <w:name w:val="Table Grid"/>
    <w:basedOn w:val="TableNormal"/>
    <w:uiPriority w:val="39"/>
    <w:rsid w:val="005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89E"/>
    <w:rPr>
      <w:rFonts w:ascii="Verdana" w:hAnsi="Verdana"/>
      <w:b/>
      <w:bCs/>
      <w:i w:val="0"/>
      <w:color w:val="auto"/>
      <w:sz w:val="20"/>
    </w:rPr>
  </w:style>
  <w:style w:type="paragraph" w:styleId="BalloonText">
    <w:name w:val="Balloon Text"/>
    <w:basedOn w:val="Normal"/>
    <w:link w:val="BalloonTextChar"/>
    <w:uiPriority w:val="99"/>
    <w:semiHidden/>
    <w:unhideWhenUsed/>
    <w:rsid w:val="00E50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3B7"/>
    <w:rPr>
      <w:rFonts w:ascii="Lucida Grande" w:eastAsiaTheme="minorEastAsia" w:hAnsi="Lucida Grande" w:cs="Lucida Grande"/>
      <w:color w:val="000000" w:themeColor="text1"/>
      <w:sz w:val="18"/>
      <w:szCs w:val="18"/>
    </w:rPr>
  </w:style>
  <w:style w:type="character" w:styleId="Hyperlink">
    <w:name w:val="Hyperlink"/>
    <w:basedOn w:val="DefaultParagraphFont"/>
    <w:uiPriority w:val="99"/>
    <w:unhideWhenUsed/>
    <w:rsid w:val="00606BF5"/>
    <w:rPr>
      <w:color w:val="0563C1" w:themeColor="hyperlink"/>
      <w:u w:val="single"/>
    </w:rPr>
  </w:style>
  <w:style w:type="paragraph" w:styleId="NormalWeb">
    <w:name w:val="Normal (Web)"/>
    <w:basedOn w:val="Normal"/>
    <w:uiPriority w:val="99"/>
    <w:semiHidden/>
    <w:unhideWhenUsed/>
    <w:rsid w:val="00B3420E"/>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Emphasis">
    <w:name w:val="Emphasis"/>
    <w:basedOn w:val="DefaultParagraphFont"/>
    <w:uiPriority w:val="20"/>
    <w:qFormat/>
    <w:rsid w:val="00B3420E"/>
    <w:rPr>
      <w:i/>
      <w:iCs/>
    </w:rPr>
  </w:style>
  <w:style w:type="paragraph" w:customStyle="1" w:styleId="Default">
    <w:name w:val="Default"/>
    <w:rsid w:val="00D21716"/>
    <w:pPr>
      <w:autoSpaceDE w:val="0"/>
      <w:autoSpaceDN w:val="0"/>
      <w:adjustRightInd w:val="0"/>
      <w:spacing w:after="0" w:line="240" w:lineRule="auto"/>
    </w:pPr>
    <w:rPr>
      <w:rFonts w:ascii="Arial" w:hAnsi="Arial" w:cs="Arial"/>
      <w:color w:val="000000"/>
      <w:sz w:val="24"/>
      <w:szCs w:val="24"/>
      <w:lang w:val="en-AU" w:eastAsia="en-AU"/>
    </w:rPr>
  </w:style>
  <w:style w:type="paragraph" w:styleId="ListParagraph">
    <w:name w:val="List Paragraph"/>
    <w:basedOn w:val="Normal"/>
    <w:uiPriority w:val="34"/>
    <w:rsid w:val="008802FC"/>
    <w:pPr>
      <w:ind w:left="720"/>
      <w:contextualSpacing/>
    </w:pPr>
  </w:style>
  <w:style w:type="character" w:styleId="FootnoteReference">
    <w:name w:val="footnote reference"/>
    <w:basedOn w:val="DefaultParagraphFont"/>
    <w:uiPriority w:val="99"/>
    <w:semiHidden/>
    <w:unhideWhenUsed/>
    <w:rsid w:val="007F3F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dnote text" w:qFormat="1"/>
    <w:lsdException w:name="List Bullet"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11D03"/>
    <w:pPr>
      <w:spacing w:after="0" w:line="240" w:lineRule="auto"/>
    </w:pPr>
    <w:rPr>
      <w:rFonts w:ascii="Verdana" w:eastAsiaTheme="minorEastAsia" w:hAnsi="Verdana"/>
      <w:color w:val="000000" w:themeColor="text1"/>
      <w:sz w:val="20"/>
      <w:lang w:val="en-AU"/>
    </w:rPr>
  </w:style>
  <w:style w:type="paragraph" w:styleId="Heading1">
    <w:name w:val="heading 1"/>
    <w:next w:val="Subtitle"/>
    <w:link w:val="Heading1Char"/>
    <w:uiPriority w:val="9"/>
    <w:qFormat/>
    <w:rsid w:val="00325E5A"/>
    <w:pPr>
      <w:keepNext/>
      <w:keepLines/>
      <w:spacing w:after="840" w:line="620" w:lineRule="exact"/>
      <w:outlineLvl w:val="0"/>
    </w:pPr>
    <w:rPr>
      <w:rFonts w:ascii="Verdana" w:eastAsiaTheme="majorEastAsia" w:hAnsi="Verdana" w:cstheme="majorBidi"/>
      <w:caps/>
      <w:color w:val="00693C"/>
      <w:sz w:val="52"/>
      <w:szCs w:val="32"/>
    </w:rPr>
  </w:style>
  <w:style w:type="paragraph" w:styleId="Heading2">
    <w:name w:val="heading 2"/>
    <w:basedOn w:val="Normal"/>
    <w:next w:val="Normal"/>
    <w:link w:val="Heading2Char"/>
    <w:uiPriority w:val="9"/>
    <w:unhideWhenUsed/>
    <w:qFormat/>
    <w:rsid w:val="00E6645A"/>
    <w:pPr>
      <w:keepNext/>
      <w:keepLines/>
      <w:spacing w:before="360" w:line="280" w:lineRule="exact"/>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A34"/>
    <w:pPr>
      <w:tabs>
        <w:tab w:val="center" w:pos="4680"/>
        <w:tab w:val="right" w:pos="9360"/>
      </w:tabs>
    </w:pPr>
  </w:style>
  <w:style w:type="character" w:customStyle="1" w:styleId="HeaderChar">
    <w:name w:val="Header Char"/>
    <w:basedOn w:val="DefaultParagraphFont"/>
    <w:link w:val="Header"/>
    <w:uiPriority w:val="99"/>
    <w:rsid w:val="00FA0A34"/>
  </w:style>
  <w:style w:type="paragraph" w:styleId="Footer">
    <w:name w:val="footer"/>
    <w:basedOn w:val="Normal"/>
    <w:link w:val="FooterChar"/>
    <w:uiPriority w:val="99"/>
    <w:unhideWhenUsed/>
    <w:rsid w:val="00E6645A"/>
    <w:pPr>
      <w:tabs>
        <w:tab w:val="center" w:pos="4680"/>
        <w:tab w:val="right" w:pos="9360"/>
      </w:tabs>
      <w:jc w:val="right"/>
    </w:pPr>
    <w:rPr>
      <w:sz w:val="14"/>
    </w:rPr>
  </w:style>
  <w:style w:type="character" w:customStyle="1" w:styleId="FooterChar">
    <w:name w:val="Footer Char"/>
    <w:basedOn w:val="DefaultParagraphFont"/>
    <w:link w:val="Footer"/>
    <w:uiPriority w:val="99"/>
    <w:rsid w:val="00E6645A"/>
    <w:rPr>
      <w:rFonts w:ascii="Verdana" w:eastAsiaTheme="minorEastAsia" w:hAnsi="Verdana"/>
      <w:color w:val="595959" w:themeColor="text1" w:themeTint="A6"/>
      <w:sz w:val="14"/>
    </w:rPr>
  </w:style>
  <w:style w:type="character" w:customStyle="1" w:styleId="Heading1Char">
    <w:name w:val="Heading 1 Char"/>
    <w:basedOn w:val="DefaultParagraphFont"/>
    <w:link w:val="Heading1"/>
    <w:uiPriority w:val="9"/>
    <w:rsid w:val="00325E5A"/>
    <w:rPr>
      <w:rFonts w:ascii="Verdana" w:eastAsiaTheme="majorEastAsia" w:hAnsi="Verdana" w:cstheme="majorBidi"/>
      <w:caps/>
      <w:color w:val="00693C"/>
      <w:sz w:val="52"/>
      <w:szCs w:val="32"/>
    </w:rPr>
  </w:style>
  <w:style w:type="paragraph" w:styleId="Subtitle">
    <w:name w:val="Subtitle"/>
    <w:basedOn w:val="Normal"/>
    <w:next w:val="Normal"/>
    <w:link w:val="SubtitleChar"/>
    <w:uiPriority w:val="11"/>
    <w:qFormat/>
    <w:rsid w:val="00F555D9"/>
    <w:pPr>
      <w:numPr>
        <w:ilvl w:val="1"/>
      </w:numPr>
      <w:spacing w:after="400" w:line="400" w:lineRule="exact"/>
    </w:pPr>
    <w:rPr>
      <w:color w:val="5A5A5A" w:themeColor="text1" w:themeTint="A5"/>
      <w:sz w:val="32"/>
    </w:rPr>
  </w:style>
  <w:style w:type="character" w:customStyle="1" w:styleId="SubtitleChar">
    <w:name w:val="Subtitle Char"/>
    <w:basedOn w:val="DefaultParagraphFont"/>
    <w:link w:val="Subtitle"/>
    <w:uiPriority w:val="11"/>
    <w:rsid w:val="00F555D9"/>
    <w:rPr>
      <w:rFonts w:ascii="Verdana" w:eastAsiaTheme="minorEastAsia" w:hAnsi="Verdana"/>
      <w:color w:val="5A5A5A" w:themeColor="text1" w:themeTint="A5"/>
      <w:sz w:val="32"/>
    </w:rPr>
  </w:style>
  <w:style w:type="character" w:customStyle="1" w:styleId="Heading2Char">
    <w:name w:val="Heading 2 Char"/>
    <w:basedOn w:val="DefaultParagraphFont"/>
    <w:link w:val="Heading2"/>
    <w:uiPriority w:val="9"/>
    <w:rsid w:val="00E6645A"/>
    <w:rPr>
      <w:rFonts w:ascii="Verdana" w:eastAsiaTheme="majorEastAsia" w:hAnsi="Verdana" w:cstheme="majorBidi"/>
      <w:color w:val="595959" w:themeColor="text1" w:themeTint="A6"/>
      <w:sz w:val="24"/>
      <w:szCs w:val="26"/>
    </w:rPr>
  </w:style>
  <w:style w:type="paragraph" w:styleId="ListBullet">
    <w:name w:val="List Bullet"/>
    <w:basedOn w:val="Normal"/>
    <w:uiPriority w:val="99"/>
    <w:unhideWhenUsed/>
    <w:qFormat/>
    <w:rsid w:val="00AD1B8A"/>
    <w:pPr>
      <w:numPr>
        <w:numId w:val="1"/>
      </w:numPr>
      <w:ind w:left="227" w:hanging="227"/>
      <w:contextualSpacing/>
    </w:pPr>
  </w:style>
  <w:style w:type="paragraph" w:styleId="EndnoteText">
    <w:name w:val="endnote text"/>
    <w:basedOn w:val="Normal"/>
    <w:next w:val="Normal"/>
    <w:link w:val="EndnoteTextChar"/>
    <w:uiPriority w:val="99"/>
    <w:unhideWhenUsed/>
    <w:qFormat/>
    <w:rsid w:val="00236871"/>
    <w:pPr>
      <w:spacing w:before="760" w:line="200" w:lineRule="exact"/>
    </w:pPr>
    <w:rPr>
      <w:b/>
      <w:caps/>
      <w:sz w:val="16"/>
      <w:szCs w:val="20"/>
    </w:rPr>
  </w:style>
  <w:style w:type="character" w:customStyle="1" w:styleId="EndnoteTextChar">
    <w:name w:val="Endnote Text Char"/>
    <w:basedOn w:val="DefaultParagraphFont"/>
    <w:link w:val="EndnoteText"/>
    <w:uiPriority w:val="99"/>
    <w:rsid w:val="00236871"/>
    <w:rPr>
      <w:rFonts w:ascii="Verdana" w:eastAsiaTheme="minorEastAsia" w:hAnsi="Verdana"/>
      <w:b/>
      <w:caps/>
      <w:color w:val="595959" w:themeColor="text1" w:themeTint="A6"/>
      <w:sz w:val="16"/>
      <w:szCs w:val="20"/>
    </w:rPr>
  </w:style>
  <w:style w:type="paragraph" w:styleId="FootnoteText">
    <w:name w:val="footnote text"/>
    <w:basedOn w:val="Normal"/>
    <w:link w:val="FootnoteTextChar"/>
    <w:uiPriority w:val="99"/>
    <w:unhideWhenUsed/>
    <w:qFormat/>
    <w:rsid w:val="00236871"/>
    <w:pPr>
      <w:ind w:right="-510"/>
      <w:jc w:val="right"/>
    </w:pPr>
    <w:rPr>
      <w:sz w:val="15"/>
      <w:szCs w:val="20"/>
    </w:rPr>
  </w:style>
  <w:style w:type="character" w:customStyle="1" w:styleId="FootnoteTextChar">
    <w:name w:val="Footnote Text Char"/>
    <w:basedOn w:val="DefaultParagraphFont"/>
    <w:link w:val="FootnoteText"/>
    <w:uiPriority w:val="99"/>
    <w:rsid w:val="00236871"/>
    <w:rPr>
      <w:rFonts w:ascii="Verdana" w:eastAsiaTheme="minorEastAsia" w:hAnsi="Verdana"/>
      <w:color w:val="595959" w:themeColor="text1" w:themeTint="A6"/>
      <w:sz w:val="15"/>
      <w:szCs w:val="20"/>
    </w:rPr>
  </w:style>
  <w:style w:type="paragraph" w:styleId="NoSpacing">
    <w:name w:val="No Spacing"/>
    <w:uiPriority w:val="1"/>
    <w:qFormat/>
    <w:rsid w:val="00D1189E"/>
    <w:pPr>
      <w:spacing w:after="0" w:line="240" w:lineRule="auto"/>
    </w:pPr>
    <w:rPr>
      <w:rFonts w:ascii="Verdana" w:eastAsiaTheme="minorEastAsia" w:hAnsi="Verdana"/>
      <w:color w:val="000000" w:themeColor="text1"/>
      <w:sz w:val="20"/>
    </w:rPr>
  </w:style>
  <w:style w:type="table" w:styleId="TableGrid">
    <w:name w:val="Table Grid"/>
    <w:basedOn w:val="TableNormal"/>
    <w:uiPriority w:val="39"/>
    <w:rsid w:val="0058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1189E"/>
    <w:rPr>
      <w:rFonts w:ascii="Verdana" w:hAnsi="Verdana"/>
      <w:b/>
      <w:bCs/>
      <w:i w:val="0"/>
      <w:color w:val="auto"/>
      <w:sz w:val="20"/>
    </w:rPr>
  </w:style>
  <w:style w:type="paragraph" w:styleId="BalloonText">
    <w:name w:val="Balloon Text"/>
    <w:basedOn w:val="Normal"/>
    <w:link w:val="BalloonTextChar"/>
    <w:uiPriority w:val="99"/>
    <w:semiHidden/>
    <w:unhideWhenUsed/>
    <w:rsid w:val="00E503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03B7"/>
    <w:rPr>
      <w:rFonts w:ascii="Lucida Grande" w:eastAsiaTheme="minorEastAsia" w:hAnsi="Lucida Grande" w:cs="Lucida Grande"/>
      <w:color w:val="000000" w:themeColor="text1"/>
      <w:sz w:val="18"/>
      <w:szCs w:val="18"/>
    </w:rPr>
  </w:style>
  <w:style w:type="character" w:styleId="Hyperlink">
    <w:name w:val="Hyperlink"/>
    <w:basedOn w:val="DefaultParagraphFont"/>
    <w:uiPriority w:val="99"/>
    <w:unhideWhenUsed/>
    <w:rsid w:val="00606BF5"/>
    <w:rPr>
      <w:color w:val="0563C1" w:themeColor="hyperlink"/>
      <w:u w:val="single"/>
    </w:rPr>
  </w:style>
  <w:style w:type="paragraph" w:styleId="NormalWeb">
    <w:name w:val="Normal (Web)"/>
    <w:basedOn w:val="Normal"/>
    <w:uiPriority w:val="99"/>
    <w:semiHidden/>
    <w:unhideWhenUsed/>
    <w:rsid w:val="00B3420E"/>
    <w:pPr>
      <w:spacing w:before="100" w:beforeAutospacing="1" w:after="100" w:afterAutospacing="1"/>
    </w:pPr>
    <w:rPr>
      <w:rFonts w:ascii="Times New Roman" w:eastAsia="Times New Roman" w:hAnsi="Times New Roman" w:cs="Times New Roman"/>
      <w:color w:val="auto"/>
      <w:sz w:val="24"/>
      <w:szCs w:val="24"/>
      <w:lang w:eastAsia="en-AU"/>
    </w:rPr>
  </w:style>
  <w:style w:type="character" w:styleId="Emphasis">
    <w:name w:val="Emphasis"/>
    <w:basedOn w:val="DefaultParagraphFont"/>
    <w:uiPriority w:val="20"/>
    <w:qFormat/>
    <w:rsid w:val="00B3420E"/>
    <w:rPr>
      <w:i/>
      <w:iCs/>
    </w:rPr>
  </w:style>
  <w:style w:type="paragraph" w:customStyle="1" w:styleId="Default">
    <w:name w:val="Default"/>
    <w:rsid w:val="00D21716"/>
    <w:pPr>
      <w:autoSpaceDE w:val="0"/>
      <w:autoSpaceDN w:val="0"/>
      <w:adjustRightInd w:val="0"/>
      <w:spacing w:after="0" w:line="240" w:lineRule="auto"/>
    </w:pPr>
    <w:rPr>
      <w:rFonts w:ascii="Arial" w:hAnsi="Arial" w:cs="Arial"/>
      <w:color w:val="000000"/>
      <w:sz w:val="24"/>
      <w:szCs w:val="24"/>
      <w:lang w:val="en-AU" w:eastAsia="en-AU"/>
    </w:rPr>
  </w:style>
  <w:style w:type="paragraph" w:styleId="ListParagraph">
    <w:name w:val="List Paragraph"/>
    <w:basedOn w:val="Normal"/>
    <w:uiPriority w:val="34"/>
    <w:rsid w:val="008802FC"/>
    <w:pPr>
      <w:ind w:left="720"/>
      <w:contextualSpacing/>
    </w:pPr>
  </w:style>
  <w:style w:type="character" w:styleId="FootnoteReference">
    <w:name w:val="footnote reference"/>
    <w:basedOn w:val="DefaultParagraphFont"/>
    <w:uiPriority w:val="99"/>
    <w:semiHidden/>
    <w:unhideWhenUsed/>
    <w:rsid w:val="007F3F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93329">
      <w:bodyDiv w:val="1"/>
      <w:marLeft w:val="0"/>
      <w:marRight w:val="0"/>
      <w:marTop w:val="0"/>
      <w:marBottom w:val="0"/>
      <w:divBdr>
        <w:top w:val="none" w:sz="0" w:space="0" w:color="auto"/>
        <w:left w:val="none" w:sz="0" w:space="0" w:color="auto"/>
        <w:bottom w:val="none" w:sz="0" w:space="0" w:color="auto"/>
        <w:right w:val="none" w:sz="0" w:space="0" w:color="auto"/>
      </w:divBdr>
    </w:div>
    <w:div w:id="180665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useofbank@treasury.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aph.gov.au/binaries/library/pubs/explanmem/docs/1977adjr_2randem.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localhost/Users/Natalie/Documents/Nat's%20Work%20Folder/COB3769%20Legal%20Text%20Change/Final/Links/ABA3769%20COBA-letterhead-temp-syd-update_Final.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38BF9C984E708F4593163B93C0430418" ma:contentTypeVersion="6257" ma:contentTypeDescription=" " ma:contentTypeScope="" ma:versionID="1a615a8316afb2a5df62760d84cafeef">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e1950192d94e5fcc694f2ebb1ffed81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2017MG-97-39538</_dlc_DocId>
    <TaxCatchAll xmlns="d4dd4adf-ddb3-46a3-8d7c-fab3fb2a6bc7">
      <Value>7</Value>
    </TaxCatchAll>
    <_dlc_DocIdUrl xmlns="d4dd4adf-ddb3-46a3-8d7c-fab3fb2a6bc7">
      <Url>http://tweb13/sites/mg/fsd/_layouts/15/DocIdRedir.aspx?ID=2017MG-97-39538</Url>
      <Description>2017MG-97-39538</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14867-0F5E-495B-AC5C-80936074187D}">
  <ds:schemaRefs>
    <ds:schemaRef ds:uri="http://schemas.microsoft.com/sharepoint/events"/>
  </ds:schemaRefs>
</ds:datastoreItem>
</file>

<file path=customXml/itemProps2.xml><?xml version="1.0" encoding="utf-8"?>
<ds:datastoreItem xmlns:ds="http://schemas.openxmlformats.org/officeDocument/2006/customXml" ds:itemID="{3F518B12-E184-41C4-948F-DD6EBCBE227D}">
  <ds:schemaRefs>
    <ds:schemaRef ds:uri="http://schemas.microsoft.com/sharepoint/v3/contenttype/forms"/>
  </ds:schemaRefs>
</ds:datastoreItem>
</file>

<file path=customXml/itemProps3.xml><?xml version="1.0" encoding="utf-8"?>
<ds:datastoreItem xmlns:ds="http://schemas.openxmlformats.org/officeDocument/2006/customXml" ds:itemID="{BB8A76C6-CB7F-4624-81DC-6B70632F8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D696B-2D8B-4449-84EA-8F18E72C088C}">
  <ds:schemaRefs>
    <ds:schemaRef ds:uri="office.server.policy"/>
  </ds:schemaRefs>
</ds:datastoreItem>
</file>

<file path=customXml/itemProps5.xml><?xml version="1.0" encoding="utf-8"?>
<ds:datastoreItem xmlns:ds="http://schemas.openxmlformats.org/officeDocument/2006/customXml" ds:itemID="{B01258CC-59D1-4773-8295-CA8224EDB6C8}">
  <ds:schemaRefs>
    <ds:schemaRef ds:uri="http://schemas.microsoft.com/sharepoint/events"/>
  </ds:schemaRefs>
</ds:datastoreItem>
</file>

<file path=customXml/itemProps6.xml><?xml version="1.0" encoding="utf-8"?>
<ds:datastoreItem xmlns:ds="http://schemas.openxmlformats.org/officeDocument/2006/customXml" ds:itemID="{AF382F7F-B21E-471A-BFE2-22D0C020C3BD}">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7.xml><?xml version="1.0" encoding="utf-8"?>
<ds:datastoreItem xmlns:ds="http://schemas.openxmlformats.org/officeDocument/2006/customXml" ds:itemID="{1D96EEAB-2FB7-4280-91D9-58CDEE501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1042</Words>
  <Characters>5377</Characters>
  <Application>Microsoft Office Word</Application>
  <DocSecurity>0</DocSecurity>
  <Lines>127</Lines>
  <Paragraphs>33</Paragraphs>
  <ScaleCrop>false</ScaleCrop>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COBA - Reducing barriers to new entrants to the banking sector - removing restrictions on the use of the term ‘bank’</dc:title>
  <dc:creator/>
  <cp:lastModifiedBy/>
  <cp:revision>1</cp:revision>
  <dcterms:created xsi:type="dcterms:W3CDTF">2017-10-24T02:41:00Z</dcterms:created>
  <dcterms:modified xsi:type="dcterms:W3CDTF">2017-10-24T02:41:00Z</dcterms:modified>
  <dc:language>English</dc:language>
</cp:coreProperties>
</file>