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E4645" w14:textId="67D07036" w:rsidR="00DD58E1" w:rsidRDefault="00DD58E1" w:rsidP="002576C7">
      <w:pPr>
        <w:pStyle w:val="Baseparagraphcentred"/>
      </w:pPr>
      <w:bookmarkStart w:id="0" w:name="_GoBack"/>
      <w:bookmarkEnd w:id="0"/>
    </w:p>
    <w:p w14:paraId="787AA57F" w14:textId="77777777" w:rsidR="00DD58E1" w:rsidRDefault="00DD58E1" w:rsidP="002576C7">
      <w:pPr>
        <w:pStyle w:val="Baseparagraphcentred"/>
      </w:pPr>
    </w:p>
    <w:p w14:paraId="74B8FF68" w14:textId="77777777" w:rsidR="00DD58E1" w:rsidRDefault="00DD58E1" w:rsidP="002576C7">
      <w:pPr>
        <w:pStyle w:val="Baseparagraphcentred"/>
      </w:pPr>
    </w:p>
    <w:p w14:paraId="782B27F9" w14:textId="77777777" w:rsidR="00DD58E1" w:rsidRDefault="00DD58E1" w:rsidP="002576C7">
      <w:pPr>
        <w:pStyle w:val="Baseparagraphcentred"/>
      </w:pPr>
    </w:p>
    <w:p w14:paraId="2AA96A94" w14:textId="77777777" w:rsidR="00DD58E1" w:rsidRDefault="00DD58E1" w:rsidP="002576C7">
      <w:pPr>
        <w:pStyle w:val="Baseparagraphcentred"/>
      </w:pPr>
    </w:p>
    <w:p w14:paraId="406A71A1" w14:textId="248459B2" w:rsidR="00DD58E1" w:rsidRDefault="00DD58E1" w:rsidP="002576C7">
      <w:pPr>
        <w:pStyle w:val="Baseparagraphcentred"/>
      </w:pPr>
      <w:r>
        <w:t>EXPOSURE DRAFT</w:t>
      </w:r>
    </w:p>
    <w:p w14:paraId="4E95FA5D" w14:textId="77777777" w:rsidR="00DD58E1" w:rsidRDefault="00DD58E1" w:rsidP="002576C7">
      <w:pPr>
        <w:pStyle w:val="Baseparagraphcentred"/>
      </w:pPr>
    </w:p>
    <w:p w14:paraId="6AB2A98F" w14:textId="77777777" w:rsidR="00DD58E1" w:rsidRDefault="00DD58E1" w:rsidP="002576C7">
      <w:pPr>
        <w:pStyle w:val="Baseparagraphcentred"/>
      </w:pPr>
    </w:p>
    <w:p w14:paraId="631FC2BE" w14:textId="77777777" w:rsidR="00DD58E1" w:rsidRDefault="00DD58E1" w:rsidP="002576C7">
      <w:pPr>
        <w:pStyle w:val="Baseparagraphcentred"/>
      </w:pPr>
    </w:p>
    <w:p w14:paraId="547ECD29" w14:textId="00E25B36" w:rsidR="00DD58E1" w:rsidRDefault="00DD58E1" w:rsidP="002576C7">
      <w:pPr>
        <w:pStyle w:val="BillName"/>
      </w:pPr>
      <w:r>
        <w:t>TREASURY LAWS AMENDMENT (ENTERPRISE TAX PLAN BASE RATE ENTITIES) BILL 2017</w:t>
      </w:r>
    </w:p>
    <w:p w14:paraId="1F918B71" w14:textId="77777777" w:rsidR="00DD58E1" w:rsidRDefault="00DD58E1" w:rsidP="002576C7">
      <w:pPr>
        <w:pStyle w:val="Baseparagraphcentred"/>
      </w:pPr>
    </w:p>
    <w:p w14:paraId="2D9F36F5" w14:textId="77777777" w:rsidR="00DD58E1" w:rsidRDefault="00DD58E1" w:rsidP="002576C7">
      <w:pPr>
        <w:pStyle w:val="Baseparagraphcentred"/>
      </w:pPr>
    </w:p>
    <w:p w14:paraId="500C24BA" w14:textId="77777777" w:rsidR="00DD58E1" w:rsidRDefault="00DD58E1" w:rsidP="002576C7">
      <w:pPr>
        <w:pStyle w:val="Baseparagraphcentred"/>
      </w:pPr>
    </w:p>
    <w:p w14:paraId="7CE9D799" w14:textId="77777777" w:rsidR="00DD58E1" w:rsidRDefault="00DD58E1" w:rsidP="002576C7">
      <w:pPr>
        <w:pStyle w:val="Baseparagraphcentred"/>
      </w:pPr>
    </w:p>
    <w:p w14:paraId="3200F53B" w14:textId="77777777" w:rsidR="00DD58E1" w:rsidRDefault="00DD58E1" w:rsidP="002576C7">
      <w:pPr>
        <w:pStyle w:val="Baseparagraphcentred"/>
      </w:pPr>
      <w:r>
        <w:t>EXPLANATORY MEMORANDUM</w:t>
      </w:r>
    </w:p>
    <w:p w14:paraId="69CC9A71" w14:textId="77777777" w:rsidR="00DD58E1" w:rsidRDefault="00DD58E1" w:rsidP="002576C7">
      <w:pPr>
        <w:pStyle w:val="Baseparagraphcentred"/>
      </w:pPr>
    </w:p>
    <w:p w14:paraId="694DE23A" w14:textId="77777777" w:rsidR="00DD58E1" w:rsidRDefault="00DD58E1" w:rsidP="002576C7">
      <w:pPr>
        <w:pStyle w:val="Baseparagraphcentred"/>
      </w:pPr>
    </w:p>
    <w:p w14:paraId="6BECAA9A" w14:textId="77777777" w:rsidR="00DD58E1" w:rsidRDefault="00DD58E1" w:rsidP="002576C7">
      <w:pPr>
        <w:pStyle w:val="Baseparagraphcentred"/>
      </w:pPr>
    </w:p>
    <w:p w14:paraId="1C207C82" w14:textId="413450C6" w:rsidR="00DD58E1" w:rsidRDefault="00DD58E1" w:rsidP="002576C7">
      <w:pPr>
        <w:pStyle w:val="Baseparagraphcentred"/>
      </w:pPr>
    </w:p>
    <w:p w14:paraId="25554BA3" w14:textId="77777777" w:rsidR="00DD58E1" w:rsidRDefault="00DD58E1" w:rsidP="002576C7">
      <w:pPr>
        <w:sectPr w:rsidR="00DD58E1" w:rsidSect="0033433C">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54437FD5" w14:textId="77777777" w:rsidR="00DD58E1" w:rsidRPr="003E0794" w:rsidRDefault="00DD58E1" w:rsidP="002576C7">
      <w:pPr>
        <w:pStyle w:val="TOCHeading"/>
      </w:pPr>
      <w:r w:rsidRPr="003E0794">
        <w:lastRenderedPageBreak/>
        <w:t>Table of contents</w:t>
      </w:r>
    </w:p>
    <w:p w14:paraId="425446A5" w14:textId="77777777" w:rsidR="00DD58E1" w:rsidRDefault="00DD58E1">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Pr>
          <w:noProof/>
        </w:rPr>
        <w:t>Chapter 1</w:t>
      </w:r>
      <w:r>
        <w:rPr>
          <w:rFonts w:asciiTheme="minorHAnsi" w:eastAsiaTheme="minorEastAsia" w:hAnsiTheme="minorHAnsi" w:cstheme="minorBidi"/>
          <w:noProof/>
          <w:sz w:val="22"/>
          <w:szCs w:val="22"/>
        </w:rPr>
        <w:tab/>
      </w:r>
      <w:r>
        <w:rPr>
          <w:noProof/>
        </w:rPr>
        <w:t>Enterprise tax plan base rate entities</w:t>
      </w:r>
      <w:r>
        <w:rPr>
          <w:noProof/>
        </w:rPr>
        <w:tab/>
      </w:r>
      <w:r>
        <w:rPr>
          <w:noProof/>
        </w:rPr>
        <w:fldChar w:fldCharType="begin"/>
      </w:r>
      <w:r>
        <w:rPr>
          <w:noProof/>
        </w:rPr>
        <w:instrText xml:space="preserve"> PAGEREF _Toc493175613 \h </w:instrText>
      </w:r>
      <w:r>
        <w:rPr>
          <w:noProof/>
        </w:rPr>
      </w:r>
      <w:r>
        <w:rPr>
          <w:noProof/>
        </w:rPr>
        <w:fldChar w:fldCharType="separate"/>
      </w:r>
      <w:r w:rsidR="00477C68">
        <w:rPr>
          <w:noProof/>
        </w:rPr>
        <w:t>3</w:t>
      </w:r>
      <w:r>
        <w:rPr>
          <w:noProof/>
        </w:rPr>
        <w:fldChar w:fldCharType="end"/>
      </w:r>
    </w:p>
    <w:p w14:paraId="3C8C037E" w14:textId="77777777" w:rsidR="00DD58E1" w:rsidRDefault="00DD58E1" w:rsidP="002576C7">
      <w:pPr>
        <w:pStyle w:val="base-text-paragraphnonumbers"/>
      </w:pPr>
      <w:r>
        <w:rPr>
          <w:b/>
          <w:bCs/>
          <w:noProof/>
          <w:lang w:val="en-US"/>
        </w:rPr>
        <w:fldChar w:fldCharType="end"/>
      </w:r>
    </w:p>
    <w:p w14:paraId="626ECEF0" w14:textId="77777777" w:rsidR="00DD58E1" w:rsidRDefault="00DD58E1" w:rsidP="002576C7">
      <w:pPr>
        <w:pStyle w:val="Hiddentext"/>
      </w:pPr>
      <w:r>
        <w:t>Do not remove section break.</w:t>
      </w:r>
    </w:p>
    <w:p w14:paraId="5005C90B" w14:textId="77777777" w:rsidR="00DD58E1" w:rsidRDefault="00DD58E1" w:rsidP="002576C7">
      <w:pPr>
        <w:pStyle w:val="base-text-paragraphnonumbers"/>
        <w:sectPr w:rsidR="00DD58E1" w:rsidSect="0033433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46A843F2" w14:textId="77777777" w:rsidR="00DD58E1" w:rsidRPr="00D67ADC" w:rsidRDefault="00DD58E1" w:rsidP="007C3C95">
      <w:pPr>
        <w:pStyle w:val="Chapterheadingsubdocument"/>
      </w:pPr>
      <w:r w:rsidRPr="00D67ADC">
        <w:lastRenderedPageBreak/>
        <w:t>Glossary</w:t>
      </w:r>
    </w:p>
    <w:p w14:paraId="4043744E" w14:textId="77777777" w:rsidR="00DD58E1" w:rsidRDefault="00DD58E1" w:rsidP="007C3C95">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DD58E1" w:rsidRPr="00123D96" w14:paraId="7DFE6A39" w14:textId="77777777" w:rsidTr="00637D3C">
        <w:tc>
          <w:tcPr>
            <w:tcW w:w="2721" w:type="dxa"/>
          </w:tcPr>
          <w:p w14:paraId="76D1A28F" w14:textId="77777777" w:rsidR="00DD58E1" w:rsidRPr="00123D96" w:rsidRDefault="00DD58E1" w:rsidP="007C3C95">
            <w:pPr>
              <w:pStyle w:val="tableheaderwithintable"/>
            </w:pPr>
            <w:r w:rsidRPr="00123D96">
              <w:t>Abbreviation</w:t>
            </w:r>
          </w:p>
        </w:tc>
        <w:tc>
          <w:tcPr>
            <w:tcW w:w="3885" w:type="dxa"/>
          </w:tcPr>
          <w:p w14:paraId="63563A10" w14:textId="77777777" w:rsidR="00DD58E1" w:rsidRPr="00123D96" w:rsidRDefault="00DD58E1" w:rsidP="007C3C95">
            <w:pPr>
              <w:pStyle w:val="tableheaderwithintable"/>
            </w:pPr>
            <w:r w:rsidRPr="00123D96">
              <w:t>Definition</w:t>
            </w:r>
          </w:p>
        </w:tc>
      </w:tr>
      <w:tr w:rsidR="00DD58E1" w:rsidRPr="002C43E8" w14:paraId="6D620DE2" w14:textId="77777777" w:rsidTr="00637D3C">
        <w:tc>
          <w:tcPr>
            <w:tcW w:w="2721" w:type="dxa"/>
          </w:tcPr>
          <w:p w14:paraId="6A665B5C" w14:textId="3108968E" w:rsidR="00DD58E1" w:rsidRPr="002C43E8" w:rsidRDefault="00DD58E1" w:rsidP="00DD58E1">
            <w:pPr>
              <w:pStyle w:val="Glossarytabletext"/>
              <w:rPr>
                <w:lang w:val="en-US" w:eastAsia="en-US"/>
              </w:rPr>
            </w:pPr>
            <w:r>
              <w:t>ITAA 1936</w:t>
            </w:r>
          </w:p>
        </w:tc>
        <w:tc>
          <w:tcPr>
            <w:tcW w:w="3885" w:type="dxa"/>
          </w:tcPr>
          <w:p w14:paraId="73CBD2C7" w14:textId="2B824878" w:rsidR="00DD58E1" w:rsidRPr="002C43E8" w:rsidRDefault="00DD58E1" w:rsidP="00DD58E1">
            <w:pPr>
              <w:pStyle w:val="Glossarytabletext"/>
              <w:rPr>
                <w:lang w:val="en-US" w:eastAsia="en-US"/>
              </w:rPr>
            </w:pPr>
            <w:r w:rsidRPr="00E8048D">
              <w:rPr>
                <w:i/>
              </w:rPr>
              <w:t>Income Tax Assessment Act 19</w:t>
            </w:r>
            <w:r>
              <w:rPr>
                <w:i/>
              </w:rPr>
              <w:t>36</w:t>
            </w:r>
          </w:p>
        </w:tc>
      </w:tr>
      <w:tr w:rsidR="00DD58E1" w:rsidRPr="002C43E8" w14:paraId="0CE9CA6A" w14:textId="77777777" w:rsidTr="00637D3C">
        <w:tc>
          <w:tcPr>
            <w:tcW w:w="2721" w:type="dxa"/>
          </w:tcPr>
          <w:p w14:paraId="65BB7F06" w14:textId="2B0B09B6" w:rsidR="00DD58E1" w:rsidRPr="002C43E8" w:rsidRDefault="00DD58E1" w:rsidP="007C3C95">
            <w:pPr>
              <w:pStyle w:val="Glossarytabletext"/>
              <w:rPr>
                <w:lang w:val="en-US" w:eastAsia="en-US"/>
              </w:rPr>
            </w:pPr>
            <w:r>
              <w:t>ITAA 1997</w:t>
            </w:r>
          </w:p>
        </w:tc>
        <w:tc>
          <w:tcPr>
            <w:tcW w:w="3885" w:type="dxa"/>
          </w:tcPr>
          <w:p w14:paraId="650506FB" w14:textId="6E40E05D" w:rsidR="00DD58E1" w:rsidRPr="002C43E8" w:rsidRDefault="00DD58E1" w:rsidP="00DD58E1">
            <w:pPr>
              <w:pStyle w:val="Glossarytabletext"/>
              <w:rPr>
                <w:lang w:val="en-US" w:eastAsia="en-US"/>
              </w:rPr>
            </w:pPr>
            <w:r w:rsidRPr="00E8048D">
              <w:rPr>
                <w:i/>
              </w:rPr>
              <w:t>Income Tax Assessment Act 1997</w:t>
            </w:r>
          </w:p>
        </w:tc>
      </w:tr>
      <w:tr w:rsidR="00DD58E1" w:rsidRPr="002C43E8" w14:paraId="3F9C2708" w14:textId="77777777" w:rsidTr="00637D3C">
        <w:tc>
          <w:tcPr>
            <w:tcW w:w="2721" w:type="dxa"/>
          </w:tcPr>
          <w:p w14:paraId="1F83C68D" w14:textId="5981CC60" w:rsidR="00DD58E1" w:rsidRPr="002C43E8" w:rsidRDefault="00DD58E1" w:rsidP="007C3C95">
            <w:pPr>
              <w:pStyle w:val="Glossarytabletext"/>
              <w:rPr>
                <w:lang w:val="en-US" w:eastAsia="en-US"/>
              </w:rPr>
            </w:pPr>
            <w:r>
              <w:t>Rates Act</w:t>
            </w:r>
          </w:p>
        </w:tc>
        <w:tc>
          <w:tcPr>
            <w:tcW w:w="3885" w:type="dxa"/>
          </w:tcPr>
          <w:p w14:paraId="1D64D06A" w14:textId="7603DF0D" w:rsidR="00DD58E1" w:rsidRPr="002C43E8" w:rsidRDefault="00DD58E1" w:rsidP="007C3C95">
            <w:pPr>
              <w:pStyle w:val="Glossarytabletext"/>
              <w:rPr>
                <w:lang w:val="en-US" w:eastAsia="en-US"/>
              </w:rPr>
            </w:pPr>
            <w:r w:rsidRPr="00A731FE">
              <w:rPr>
                <w:i/>
              </w:rPr>
              <w:t>Income Tax Rates Act 1986</w:t>
            </w:r>
          </w:p>
        </w:tc>
      </w:tr>
    </w:tbl>
    <w:p w14:paraId="022BF149" w14:textId="77777777" w:rsidR="00DD58E1" w:rsidRDefault="00DD58E1" w:rsidP="007C3C95">
      <w:pPr>
        <w:sectPr w:rsidR="00DD58E1" w:rsidSect="007C3C95">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75ECC3AA" w14:textId="77777777" w:rsidR="00873B9D" w:rsidRPr="00F51A71" w:rsidRDefault="00873B9D" w:rsidP="002750AE">
      <w:pPr>
        <w:pStyle w:val="ChapterHeading"/>
        <w:tabs>
          <w:tab w:val="clear" w:pos="1134"/>
          <w:tab w:val="num" w:pos="360"/>
        </w:tabs>
      </w:pPr>
      <w:r w:rsidRPr="00F51A71">
        <w:lastRenderedPageBreak/>
        <w:br/>
      </w:r>
      <w:bookmarkStart w:id="1" w:name="_Toc493175613"/>
      <w:r>
        <w:t>Enterprise tax plan base rate entities</w:t>
      </w:r>
      <w:bookmarkEnd w:id="1"/>
    </w:p>
    <w:p w14:paraId="171B395C" w14:textId="77777777" w:rsidR="00873B9D" w:rsidRDefault="00873B9D" w:rsidP="00570968">
      <w:pPr>
        <w:pStyle w:val="Heading2"/>
      </w:pPr>
      <w:r>
        <w:t>Outline of chapter</w:t>
      </w:r>
    </w:p>
    <w:p w14:paraId="0A7447C8" w14:textId="20F26D30" w:rsidR="00873B9D" w:rsidRDefault="00873B9D" w:rsidP="001738B7">
      <w:pPr>
        <w:pStyle w:val="base-text-paragraph"/>
      </w:pPr>
      <w:r>
        <w:t xml:space="preserve">This Bill amends the </w:t>
      </w:r>
      <w:r w:rsidRPr="00A731FE">
        <w:rPr>
          <w:i/>
        </w:rPr>
        <w:t>Income Tax Rates Act 1986</w:t>
      </w:r>
      <w:r>
        <w:t xml:space="preserve"> </w:t>
      </w:r>
      <w:r w:rsidR="00A731FE">
        <w:t xml:space="preserve">(the Rates Act) </w:t>
      </w:r>
      <w:r>
        <w:t xml:space="preserve">to ensure that a corporate tax entity will </w:t>
      </w:r>
      <w:r w:rsidR="00A731FE">
        <w:t xml:space="preserve">not </w:t>
      </w:r>
      <w:r>
        <w:t xml:space="preserve">qualify for the lower corporate tax rate if </w:t>
      </w:r>
      <w:r w:rsidR="00A731FE">
        <w:t>80 per cent or more of its assessable income is income of a passive nature.</w:t>
      </w:r>
      <w:r>
        <w:t xml:space="preserve"> </w:t>
      </w:r>
    </w:p>
    <w:p w14:paraId="29F27077" w14:textId="77777777" w:rsidR="00873B9D" w:rsidRDefault="00873B9D" w:rsidP="00570968">
      <w:pPr>
        <w:pStyle w:val="Heading2"/>
      </w:pPr>
      <w:r>
        <w:t>Context of amendments</w:t>
      </w:r>
    </w:p>
    <w:p w14:paraId="5D033485" w14:textId="77777777" w:rsidR="000063C3" w:rsidRDefault="000063C3" w:rsidP="001738B7">
      <w:pPr>
        <w:pStyle w:val="base-text-paragraph"/>
      </w:pPr>
      <w:r>
        <w:t>As part of the Government’s Enterprise Tax Plan, the corporate tax rate for small corporate tax entities has been cut to 27.5 per cent. This lower corporate tax rate applies to a corporate tax entity that carries on a business and:</w:t>
      </w:r>
    </w:p>
    <w:p w14:paraId="082842F4" w14:textId="23D10C08" w:rsidR="000063C3" w:rsidRDefault="000063C3" w:rsidP="000063C3">
      <w:pPr>
        <w:pStyle w:val="dotpoint"/>
      </w:pPr>
      <w:r>
        <w:t>for the 2016</w:t>
      </w:r>
      <w:r>
        <w:noBreakHyphen/>
        <w:t xml:space="preserve">17 income year </w:t>
      </w:r>
      <w:r>
        <w:rPr>
          <w:rFonts w:ascii="Calibri" w:hAnsi="Calibri"/>
        </w:rPr>
        <w:t>—</w:t>
      </w:r>
      <w:r>
        <w:t xml:space="preserve"> has an aggregated turnover of less than $10 million; </w:t>
      </w:r>
    </w:p>
    <w:p w14:paraId="3E7FF127" w14:textId="5DCC39E0" w:rsidR="000063C3" w:rsidRDefault="000063C3" w:rsidP="000063C3">
      <w:pPr>
        <w:pStyle w:val="dotpoint"/>
      </w:pPr>
      <w:r>
        <w:t>for the 2017</w:t>
      </w:r>
      <w:r>
        <w:noBreakHyphen/>
        <w:t xml:space="preserve">18 income year </w:t>
      </w:r>
      <w:r>
        <w:rPr>
          <w:rFonts w:ascii="Calibri" w:hAnsi="Calibri"/>
        </w:rPr>
        <w:t>—</w:t>
      </w:r>
      <w:r>
        <w:t xml:space="preserve"> has an aggregated turnover of less than $25 million; and</w:t>
      </w:r>
    </w:p>
    <w:p w14:paraId="4CA34B8C" w14:textId="6A543477" w:rsidR="000063C3" w:rsidRDefault="000063C3" w:rsidP="000063C3">
      <w:pPr>
        <w:pStyle w:val="dotpoint"/>
      </w:pPr>
      <w:proofErr w:type="gramStart"/>
      <w:r>
        <w:t>for</w:t>
      </w:r>
      <w:proofErr w:type="gramEnd"/>
      <w:r>
        <w:t xml:space="preserve"> the 2018</w:t>
      </w:r>
      <w:r>
        <w:noBreakHyphen/>
        <w:t xml:space="preserve">19 income year </w:t>
      </w:r>
      <w:r>
        <w:rPr>
          <w:rFonts w:ascii="Calibri" w:hAnsi="Calibri"/>
        </w:rPr>
        <w:t>—</w:t>
      </w:r>
      <w:r>
        <w:t xml:space="preserve"> has an aggregated turnover of less than $50 million.</w:t>
      </w:r>
    </w:p>
    <w:p w14:paraId="0670F276" w14:textId="30773E7C" w:rsidR="000063C3" w:rsidRDefault="000063C3" w:rsidP="001738B7">
      <w:pPr>
        <w:pStyle w:val="base-text-paragraph"/>
      </w:pPr>
      <w:r>
        <w:t>Under the second phase of the Enterprise Tax Plan, the aggregated turnover that applies for corporate tax entity to qualify for the lower corporate tax rate is increased annually until it reaches $1 billion in the 2022</w:t>
      </w:r>
      <w:r>
        <w:noBreakHyphen/>
        <w:t>23 income year. In the 2023</w:t>
      </w:r>
      <w:r>
        <w:noBreakHyphen/>
        <w:t xml:space="preserve">24 income year, the corporate tax rate will be 27.5 per cent all corporate tax entities. The corporate tax </w:t>
      </w:r>
      <w:r w:rsidR="00820392">
        <w:t xml:space="preserve">rate </w:t>
      </w:r>
      <w:r>
        <w:t>will then be progressively lowered in stages until it reaches 25 per cent for the 2026</w:t>
      </w:r>
      <w:r>
        <w:noBreakHyphen/>
        <w:t>27 income year and for subsequent income years.</w:t>
      </w:r>
    </w:p>
    <w:p w14:paraId="060FF694" w14:textId="794EAF2F" w:rsidR="000566AC" w:rsidRDefault="000566AC" w:rsidP="001738B7">
      <w:pPr>
        <w:pStyle w:val="base-text-paragraph"/>
      </w:pPr>
      <w:r>
        <w:t>U</w:t>
      </w:r>
      <w:r w:rsidR="00FA2649">
        <w:t xml:space="preserve">nder these amendments, companies that are generating predominantly passive income will not be eligible for </w:t>
      </w:r>
      <w:r>
        <w:t xml:space="preserve">the </w:t>
      </w:r>
      <w:r w:rsidR="00FA2649">
        <w:t xml:space="preserve">lower </w:t>
      </w:r>
      <w:r>
        <w:t>corporate tax rate.</w:t>
      </w:r>
    </w:p>
    <w:p w14:paraId="7D0B604C" w14:textId="77777777" w:rsidR="00873B9D" w:rsidRDefault="00873B9D" w:rsidP="00570968">
      <w:pPr>
        <w:pStyle w:val="Heading2"/>
      </w:pPr>
      <w:r>
        <w:lastRenderedPageBreak/>
        <w:t>Summary of new law</w:t>
      </w:r>
    </w:p>
    <w:p w14:paraId="6DF1A7D8" w14:textId="0B26D707" w:rsidR="000566AC" w:rsidRDefault="000566AC" w:rsidP="001738B7">
      <w:pPr>
        <w:pStyle w:val="base-text-paragraph"/>
      </w:pPr>
      <w:r>
        <w:t>This Bill amends the Rates Act to ensure that a corporate tax entity will qualify for the lower corporate tax rate for an income year only if:</w:t>
      </w:r>
    </w:p>
    <w:p w14:paraId="34006382" w14:textId="77777777" w:rsidR="000566AC" w:rsidRDefault="000566AC" w:rsidP="000566AC">
      <w:pPr>
        <w:pStyle w:val="dotpoint"/>
      </w:pPr>
      <w:r>
        <w:t>the corporate tax entity carries on a business in the income year;</w:t>
      </w:r>
    </w:p>
    <w:p w14:paraId="484E13AE" w14:textId="77777777" w:rsidR="000566AC" w:rsidRDefault="000566AC" w:rsidP="000566AC">
      <w:pPr>
        <w:pStyle w:val="dotpoint"/>
      </w:pPr>
      <w:r>
        <w:t>the aggregated turnover of the corporate tax entity for the income year is less than the aggregated turnover threshold for that income year; and</w:t>
      </w:r>
    </w:p>
    <w:p w14:paraId="2973DF35" w14:textId="5730A27E" w:rsidR="000566AC" w:rsidRDefault="000566AC" w:rsidP="000566AC">
      <w:pPr>
        <w:pStyle w:val="dotpoint"/>
      </w:pPr>
      <w:proofErr w:type="gramStart"/>
      <w:r>
        <w:t>the</w:t>
      </w:r>
      <w:proofErr w:type="gramEnd"/>
      <w:r>
        <w:t xml:space="preserve"> corporate tax entity does not have passive income</w:t>
      </w:r>
      <w:r w:rsidR="0034598D" w:rsidRPr="0034598D">
        <w:t xml:space="preserve"> </w:t>
      </w:r>
      <w:r w:rsidR="0034598D">
        <w:t>for that income year</w:t>
      </w:r>
      <w:r>
        <w:t xml:space="preserve"> of 80 per cent or more of its assessable income for that income year.</w:t>
      </w:r>
    </w:p>
    <w:p w14:paraId="448B5FB1" w14:textId="77777777" w:rsidR="00873B9D" w:rsidRDefault="00873B9D" w:rsidP="0057096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73B9D" w:rsidRPr="004666B8" w14:paraId="0B70A33F" w14:textId="77777777" w:rsidTr="00637D3C">
        <w:tc>
          <w:tcPr>
            <w:tcW w:w="3275" w:type="dxa"/>
          </w:tcPr>
          <w:p w14:paraId="31E2D4AE" w14:textId="77777777" w:rsidR="00873B9D" w:rsidRPr="004666B8" w:rsidRDefault="00873B9D" w:rsidP="00286426">
            <w:pPr>
              <w:pStyle w:val="tableheaderwithintable"/>
              <w:rPr>
                <w:lang w:val="en-US" w:eastAsia="en-US"/>
              </w:rPr>
            </w:pPr>
            <w:r w:rsidRPr="004666B8">
              <w:rPr>
                <w:lang w:val="en-US" w:eastAsia="en-US"/>
              </w:rPr>
              <w:t>New law</w:t>
            </w:r>
          </w:p>
        </w:tc>
        <w:tc>
          <w:tcPr>
            <w:tcW w:w="3276" w:type="dxa"/>
          </w:tcPr>
          <w:p w14:paraId="6605E6B5" w14:textId="77777777" w:rsidR="00873B9D" w:rsidRPr="004666B8" w:rsidRDefault="00873B9D" w:rsidP="00286426">
            <w:pPr>
              <w:pStyle w:val="tableheaderwithintable"/>
              <w:rPr>
                <w:lang w:val="en-US" w:eastAsia="en-US"/>
              </w:rPr>
            </w:pPr>
            <w:r w:rsidRPr="004666B8">
              <w:rPr>
                <w:lang w:val="en-US" w:eastAsia="en-US"/>
              </w:rPr>
              <w:t>Current law</w:t>
            </w:r>
          </w:p>
        </w:tc>
      </w:tr>
      <w:tr w:rsidR="00873B9D" w:rsidRPr="004666B8" w14:paraId="1C963C64" w14:textId="77777777" w:rsidTr="00637D3C">
        <w:tc>
          <w:tcPr>
            <w:tcW w:w="3275" w:type="dxa"/>
          </w:tcPr>
          <w:p w14:paraId="13DB0802" w14:textId="77777777" w:rsidR="000566AC" w:rsidRPr="000566AC" w:rsidRDefault="000566AC" w:rsidP="000566AC">
            <w:pPr>
              <w:pStyle w:val="tabletext"/>
              <w:rPr>
                <w:lang w:val="en-US" w:eastAsia="en-US"/>
              </w:rPr>
            </w:pPr>
            <w:r>
              <w:rPr>
                <w:lang w:val="en-US" w:eastAsia="en-US"/>
              </w:rPr>
              <w:t>A</w:t>
            </w:r>
            <w:r w:rsidRPr="000566AC">
              <w:rPr>
                <w:lang w:val="en-US" w:eastAsia="en-US"/>
              </w:rPr>
              <w:t xml:space="preserve"> corporate tax entity will qualify for the lower corporate tax rate for an income year only if:</w:t>
            </w:r>
          </w:p>
          <w:p w14:paraId="54CEE102" w14:textId="359AADC8" w:rsidR="000566AC" w:rsidRPr="000566AC" w:rsidRDefault="000566AC" w:rsidP="000566AC">
            <w:pPr>
              <w:pStyle w:val="tabledotpoint"/>
              <w:rPr>
                <w:lang w:val="en-US" w:eastAsia="en-US"/>
              </w:rPr>
            </w:pPr>
            <w:r w:rsidRPr="000566AC">
              <w:rPr>
                <w:lang w:val="en-US" w:eastAsia="en-US"/>
              </w:rPr>
              <w:t>the corporate tax entity carries on a business in the income year;</w:t>
            </w:r>
            <w:r>
              <w:rPr>
                <w:lang w:val="en-US" w:eastAsia="en-US"/>
              </w:rPr>
              <w:t xml:space="preserve"> </w:t>
            </w:r>
          </w:p>
          <w:p w14:paraId="1F9AF0FB" w14:textId="7E8B0062" w:rsidR="000566AC" w:rsidRPr="000566AC" w:rsidRDefault="000566AC" w:rsidP="000566AC">
            <w:pPr>
              <w:pStyle w:val="tabledotpoint"/>
              <w:rPr>
                <w:lang w:val="en-US" w:eastAsia="en-US"/>
              </w:rPr>
            </w:pPr>
            <w:r w:rsidRPr="000566AC">
              <w:rPr>
                <w:lang w:val="en-US" w:eastAsia="en-US"/>
              </w:rPr>
              <w:t xml:space="preserve">the aggregated turnover of the corporate tax entity for the income year is less than the aggregated turnover </w:t>
            </w:r>
            <w:r>
              <w:rPr>
                <w:lang w:val="en-US" w:eastAsia="en-US"/>
              </w:rPr>
              <w:t>threshold for that income year; and</w:t>
            </w:r>
          </w:p>
          <w:p w14:paraId="7B33542B" w14:textId="66AF3446" w:rsidR="00873B9D" w:rsidRPr="004666B8" w:rsidRDefault="000566AC" w:rsidP="000566AC">
            <w:pPr>
              <w:pStyle w:val="tabledotpoint"/>
              <w:rPr>
                <w:lang w:val="en-US" w:eastAsia="en-US"/>
              </w:rPr>
            </w:pPr>
            <w:proofErr w:type="gramStart"/>
            <w:r w:rsidRPr="000566AC">
              <w:rPr>
                <w:lang w:val="en-US" w:eastAsia="en-US"/>
              </w:rPr>
              <w:t>the</w:t>
            </w:r>
            <w:proofErr w:type="gramEnd"/>
            <w:r w:rsidRPr="000566AC">
              <w:rPr>
                <w:lang w:val="en-US" w:eastAsia="en-US"/>
              </w:rPr>
              <w:t xml:space="preserve"> corporate tax entity does not have passive income </w:t>
            </w:r>
            <w:r w:rsidR="0034598D">
              <w:t>for that income year</w:t>
            </w:r>
            <w:r w:rsidR="0034598D" w:rsidRPr="000566AC">
              <w:rPr>
                <w:lang w:val="en-US" w:eastAsia="en-US"/>
              </w:rPr>
              <w:t xml:space="preserve"> </w:t>
            </w:r>
            <w:r w:rsidRPr="000566AC">
              <w:rPr>
                <w:lang w:val="en-US" w:eastAsia="en-US"/>
              </w:rPr>
              <w:t>of 80 per cent or more of its assessable income for that income year.</w:t>
            </w:r>
          </w:p>
        </w:tc>
        <w:tc>
          <w:tcPr>
            <w:tcW w:w="3276" w:type="dxa"/>
          </w:tcPr>
          <w:p w14:paraId="183B15B2" w14:textId="5CCCBB0E" w:rsidR="000566AC" w:rsidRPr="000566AC" w:rsidRDefault="000566AC" w:rsidP="000566AC">
            <w:pPr>
              <w:pStyle w:val="tabletext"/>
              <w:rPr>
                <w:lang w:val="en-US" w:eastAsia="en-US"/>
              </w:rPr>
            </w:pPr>
            <w:r>
              <w:rPr>
                <w:lang w:val="en-US" w:eastAsia="en-US"/>
              </w:rPr>
              <w:t>A</w:t>
            </w:r>
            <w:r w:rsidRPr="000566AC">
              <w:rPr>
                <w:lang w:val="en-US" w:eastAsia="en-US"/>
              </w:rPr>
              <w:t xml:space="preserve"> corporate tax entity will qualify for the lower corporate tax rate for an income year only if:</w:t>
            </w:r>
          </w:p>
          <w:p w14:paraId="2DBBFC7F" w14:textId="3E0BB912" w:rsidR="000566AC" w:rsidRPr="000566AC" w:rsidRDefault="000566AC" w:rsidP="000566AC">
            <w:pPr>
              <w:pStyle w:val="tabledotpoint"/>
              <w:rPr>
                <w:lang w:val="en-US" w:eastAsia="en-US"/>
              </w:rPr>
            </w:pPr>
            <w:r w:rsidRPr="000566AC">
              <w:rPr>
                <w:lang w:val="en-US" w:eastAsia="en-US"/>
              </w:rPr>
              <w:t>the corporate tax entity carries on a business in the income year;</w:t>
            </w:r>
            <w:r>
              <w:rPr>
                <w:lang w:val="en-US" w:eastAsia="en-US"/>
              </w:rPr>
              <w:t xml:space="preserve"> and</w:t>
            </w:r>
          </w:p>
          <w:p w14:paraId="31D98D8B" w14:textId="77777777" w:rsidR="000566AC" w:rsidRDefault="000566AC" w:rsidP="000566AC">
            <w:pPr>
              <w:pStyle w:val="tabledotpoint"/>
              <w:rPr>
                <w:lang w:val="en-US" w:eastAsia="en-US"/>
              </w:rPr>
            </w:pPr>
            <w:proofErr w:type="gramStart"/>
            <w:r w:rsidRPr="000566AC">
              <w:rPr>
                <w:lang w:val="en-US" w:eastAsia="en-US"/>
              </w:rPr>
              <w:t>the</w:t>
            </w:r>
            <w:proofErr w:type="gramEnd"/>
            <w:r w:rsidRPr="000566AC">
              <w:rPr>
                <w:lang w:val="en-US" w:eastAsia="en-US"/>
              </w:rPr>
              <w:t xml:space="preserve"> aggregated turnover of the corporate tax entity for the income year is less than the aggregated turnover </w:t>
            </w:r>
            <w:r>
              <w:rPr>
                <w:lang w:val="en-US" w:eastAsia="en-US"/>
              </w:rPr>
              <w:t>threshold for that income year.</w:t>
            </w:r>
          </w:p>
          <w:p w14:paraId="7B30DCDE" w14:textId="0217DCB3" w:rsidR="00873B9D" w:rsidRPr="000566AC" w:rsidRDefault="00873B9D" w:rsidP="000566AC">
            <w:pPr>
              <w:pStyle w:val="tabledotpoint"/>
              <w:numPr>
                <w:ilvl w:val="0"/>
                <w:numId w:val="0"/>
              </w:numPr>
              <w:rPr>
                <w:lang w:val="en-US" w:eastAsia="en-US"/>
              </w:rPr>
            </w:pPr>
          </w:p>
        </w:tc>
      </w:tr>
    </w:tbl>
    <w:p w14:paraId="4A979907" w14:textId="77777777" w:rsidR="00873B9D" w:rsidRDefault="00873B9D" w:rsidP="00570968">
      <w:pPr>
        <w:pStyle w:val="Heading2"/>
      </w:pPr>
      <w:r>
        <w:t>Detailed explanation of new law</w:t>
      </w:r>
    </w:p>
    <w:p w14:paraId="34D66D12" w14:textId="76B1AD21" w:rsidR="00873B9D" w:rsidRDefault="0034598D" w:rsidP="001738B7">
      <w:pPr>
        <w:pStyle w:val="base-text-paragraph"/>
      </w:pPr>
      <w:r>
        <w:t>A corporate tax entity will qualify for the 27.5 per cent corporate tax rate for an income year only if the corporate tax entity is a base rate entity for that income year.</w:t>
      </w:r>
      <w:r w:rsidR="00246F88">
        <w:t xml:space="preserve"> </w:t>
      </w:r>
      <w:r w:rsidR="00246F88" w:rsidRPr="00246F88">
        <w:rPr>
          <w:rStyle w:val="Referencingstyle"/>
        </w:rPr>
        <w:t>[Schedule 1, item</w:t>
      </w:r>
      <w:r w:rsidR="00246F88">
        <w:rPr>
          <w:rStyle w:val="Referencingstyle"/>
        </w:rPr>
        <w:t>s</w:t>
      </w:r>
      <w:r w:rsidR="00246F88" w:rsidRPr="00246F88">
        <w:rPr>
          <w:rStyle w:val="Referencingstyle"/>
        </w:rPr>
        <w:t xml:space="preserve"> </w:t>
      </w:r>
      <w:r w:rsidR="00246F88">
        <w:rPr>
          <w:rStyle w:val="Referencingstyle"/>
        </w:rPr>
        <w:t>2 to 9 and 11 to 13</w:t>
      </w:r>
      <w:r w:rsidR="00246F88" w:rsidRPr="00246F88">
        <w:rPr>
          <w:rStyle w:val="Referencingstyle"/>
        </w:rPr>
        <w:t xml:space="preserve">, section 23AA </w:t>
      </w:r>
      <w:r w:rsidR="00246F88">
        <w:rPr>
          <w:rStyle w:val="Referencingstyle"/>
        </w:rPr>
        <w:t>of the Rates Act</w:t>
      </w:r>
      <w:r w:rsidR="00246F88" w:rsidRPr="00246F88">
        <w:rPr>
          <w:rStyle w:val="Referencingstyle"/>
        </w:rPr>
        <w:t>]</w:t>
      </w:r>
    </w:p>
    <w:p w14:paraId="4A656E39" w14:textId="4462CBF2" w:rsidR="0034598D" w:rsidRDefault="0034598D" w:rsidP="0034598D">
      <w:pPr>
        <w:pStyle w:val="base-text-paragraph"/>
      </w:pPr>
      <w:r>
        <w:lastRenderedPageBreak/>
        <w:t xml:space="preserve">A corporate tax entity is a </w:t>
      </w:r>
      <w:r w:rsidRPr="006B4855">
        <w:rPr>
          <w:b/>
          <w:i/>
        </w:rPr>
        <w:t>base rate entity</w:t>
      </w:r>
      <w:r>
        <w:t xml:space="preserve"> for an income year only if:</w:t>
      </w:r>
    </w:p>
    <w:p w14:paraId="3042676F" w14:textId="77777777" w:rsidR="0034598D" w:rsidRDefault="0034598D" w:rsidP="0034598D">
      <w:pPr>
        <w:pStyle w:val="dotpoint"/>
      </w:pPr>
      <w:r>
        <w:t>the corporate tax entity carries on a business in the income year;</w:t>
      </w:r>
    </w:p>
    <w:p w14:paraId="4274ED71" w14:textId="02A8206E" w:rsidR="00CA5FD4" w:rsidRDefault="0034598D" w:rsidP="0034598D">
      <w:pPr>
        <w:pStyle w:val="dotpoint"/>
      </w:pPr>
      <w:r>
        <w:t>the aggregated turnover of the corporate tax entity for the income year is less</w:t>
      </w:r>
      <w:r w:rsidR="00FA2649">
        <w:t xml:space="preserve"> than</w:t>
      </w:r>
      <w:r w:rsidR="00CA5FD4">
        <w:t>:</w:t>
      </w:r>
    </w:p>
    <w:p w14:paraId="425BF6DB" w14:textId="77777777" w:rsidR="00CA5FD4" w:rsidRDefault="00CA5FD4" w:rsidP="00CA5FD4">
      <w:pPr>
        <w:pStyle w:val="dotpoint2"/>
      </w:pPr>
      <w:r>
        <w:t>for the 2016</w:t>
      </w:r>
      <w:r>
        <w:noBreakHyphen/>
        <w:t xml:space="preserve">17 income year </w:t>
      </w:r>
      <w:r>
        <w:rPr>
          <w:rFonts w:ascii="Calibri" w:hAnsi="Calibri"/>
        </w:rPr>
        <w:t>—</w:t>
      </w:r>
      <w:r>
        <w:t xml:space="preserve"> $10 million</w:t>
      </w:r>
      <w:r w:rsidR="0034598D">
        <w:t>;</w:t>
      </w:r>
    </w:p>
    <w:p w14:paraId="70A7BC81" w14:textId="77777777" w:rsidR="00CA5FD4" w:rsidRDefault="00CA5FD4" w:rsidP="00CA5FD4">
      <w:pPr>
        <w:pStyle w:val="dotpoint2"/>
      </w:pPr>
      <w:r>
        <w:t>for the 2017</w:t>
      </w:r>
      <w:r>
        <w:noBreakHyphen/>
        <w:t xml:space="preserve">18 income year </w:t>
      </w:r>
      <w:r>
        <w:rPr>
          <w:rFonts w:ascii="Calibri" w:hAnsi="Calibri"/>
        </w:rPr>
        <w:t>—</w:t>
      </w:r>
      <w:r>
        <w:t xml:space="preserve"> $25 million;</w:t>
      </w:r>
    </w:p>
    <w:p w14:paraId="7E86E849" w14:textId="558F0EAA" w:rsidR="0034598D" w:rsidRDefault="00CA5FD4" w:rsidP="00CA5FD4">
      <w:pPr>
        <w:pStyle w:val="dotpoint2"/>
      </w:pPr>
      <w:r>
        <w:t>for the 2018</w:t>
      </w:r>
      <w:r>
        <w:noBreakHyphen/>
        <w:t xml:space="preserve">19 income year </w:t>
      </w:r>
      <w:r>
        <w:rPr>
          <w:rFonts w:ascii="Calibri" w:hAnsi="Calibri"/>
        </w:rPr>
        <w:t>—</w:t>
      </w:r>
      <w:r>
        <w:t xml:space="preserve"> $50 million;</w:t>
      </w:r>
      <w:r w:rsidR="0034598D">
        <w:t xml:space="preserve"> and</w:t>
      </w:r>
    </w:p>
    <w:p w14:paraId="188A25FE" w14:textId="511BBBAA" w:rsidR="0034598D" w:rsidRDefault="0034598D" w:rsidP="0034598D">
      <w:pPr>
        <w:pStyle w:val="dotpoint"/>
      </w:pPr>
      <w:proofErr w:type="gramStart"/>
      <w:r>
        <w:t>the</w:t>
      </w:r>
      <w:proofErr w:type="gramEnd"/>
      <w:r>
        <w:t xml:space="preserve"> corporate tax entity does not have base rate entity passive income for that income year of 80 per cent or more of its assessable income for that income year.</w:t>
      </w:r>
    </w:p>
    <w:p w14:paraId="14CC791C" w14:textId="1E355997" w:rsidR="00246F88" w:rsidRPr="00246F88" w:rsidRDefault="00246F88" w:rsidP="00246F88">
      <w:pPr>
        <w:pStyle w:val="base-text-paragraphnonumbers"/>
        <w:rPr>
          <w:rStyle w:val="Referencingstyle"/>
        </w:rPr>
      </w:pPr>
      <w:r w:rsidRPr="00246F88">
        <w:rPr>
          <w:rStyle w:val="Referencingstyle"/>
        </w:rPr>
        <w:t>[Schedule</w:t>
      </w:r>
      <w:r w:rsidR="00CA5FD4">
        <w:rPr>
          <w:rStyle w:val="Referencingstyle"/>
        </w:rPr>
        <w:t>s</w:t>
      </w:r>
      <w:r w:rsidRPr="00246F88">
        <w:rPr>
          <w:rStyle w:val="Referencingstyle"/>
        </w:rPr>
        <w:t> 1, item</w:t>
      </w:r>
      <w:r w:rsidR="00CA5FD4">
        <w:rPr>
          <w:rStyle w:val="Referencingstyle"/>
        </w:rPr>
        <w:t>s</w:t>
      </w:r>
      <w:r w:rsidRPr="00246F88">
        <w:rPr>
          <w:rStyle w:val="Referencingstyle"/>
        </w:rPr>
        <w:t xml:space="preserve"> </w:t>
      </w:r>
      <w:r w:rsidR="00CA5FD4">
        <w:rPr>
          <w:rStyle w:val="Referencingstyle"/>
        </w:rPr>
        <w:t xml:space="preserve">1, </w:t>
      </w:r>
      <w:r w:rsidRPr="00246F88">
        <w:rPr>
          <w:rStyle w:val="Referencingstyle"/>
        </w:rPr>
        <w:t>10</w:t>
      </w:r>
      <w:r w:rsidR="00CA5FD4">
        <w:rPr>
          <w:rStyle w:val="Referencingstyle"/>
        </w:rPr>
        <w:t xml:space="preserve"> and 14</w:t>
      </w:r>
      <w:r w:rsidRPr="00246F88">
        <w:rPr>
          <w:rStyle w:val="Referencingstyle"/>
        </w:rPr>
        <w:t>,</w:t>
      </w:r>
      <w:r w:rsidR="00CA5FD4" w:rsidRPr="00CA5FD4">
        <w:rPr>
          <w:rStyle w:val="Referencingstyle"/>
        </w:rPr>
        <w:t xml:space="preserve"> </w:t>
      </w:r>
      <w:r w:rsidR="00CA5FD4">
        <w:rPr>
          <w:rStyle w:val="Referencingstyle"/>
        </w:rPr>
        <w:t>definition of ‘base rate entity’ in subsection 3(1) and</w:t>
      </w:r>
      <w:r w:rsidRPr="00246F88">
        <w:rPr>
          <w:rStyle w:val="Referencingstyle"/>
        </w:rPr>
        <w:t xml:space="preserve"> section 23AA </w:t>
      </w:r>
      <w:r>
        <w:rPr>
          <w:rStyle w:val="Referencingstyle"/>
        </w:rPr>
        <w:t>of the Rates Act</w:t>
      </w:r>
      <w:r w:rsidRPr="00246F88">
        <w:rPr>
          <w:rStyle w:val="Referencingstyle"/>
        </w:rPr>
        <w:t>]</w:t>
      </w:r>
    </w:p>
    <w:p w14:paraId="09C2B497" w14:textId="675D1970" w:rsidR="0034598D" w:rsidRDefault="0034598D" w:rsidP="001738B7">
      <w:pPr>
        <w:pStyle w:val="base-text-paragraph"/>
      </w:pPr>
      <w:r>
        <w:t xml:space="preserve">An amount of income is </w:t>
      </w:r>
      <w:r w:rsidRPr="006B4855">
        <w:rPr>
          <w:b/>
          <w:i/>
        </w:rPr>
        <w:t>base rate entity passive income</w:t>
      </w:r>
      <w:r>
        <w:t xml:space="preserve"> </w:t>
      </w:r>
      <w:r w:rsidR="00E8048D">
        <w:t xml:space="preserve">of a corporate tax entity </w:t>
      </w:r>
      <w:r>
        <w:t>if</w:t>
      </w:r>
      <w:r w:rsidR="00E8048D">
        <w:t xml:space="preserve"> it is:</w:t>
      </w:r>
    </w:p>
    <w:p w14:paraId="71655B1D" w14:textId="50CED52B" w:rsidR="00E8048D" w:rsidRPr="001F7F0A" w:rsidRDefault="00E8048D" w:rsidP="00E8048D">
      <w:pPr>
        <w:pStyle w:val="dotpoint"/>
      </w:pPr>
      <w:r>
        <w:t xml:space="preserve">a </w:t>
      </w:r>
      <w:r w:rsidRPr="00682CEC">
        <w:rPr>
          <w:i/>
        </w:rPr>
        <w:t>distribution</w:t>
      </w:r>
      <w:r>
        <w:t xml:space="preserve"> (as defined in section 960</w:t>
      </w:r>
      <w:r>
        <w:noBreakHyphen/>
        <w:t xml:space="preserve">120 of the </w:t>
      </w:r>
      <w:r w:rsidRPr="00E8048D">
        <w:rPr>
          <w:i/>
        </w:rPr>
        <w:t>Income Tax Assessment Act 1997</w:t>
      </w:r>
      <w:r>
        <w:t xml:space="preserve"> (ITAA 1997)) </w:t>
      </w:r>
      <w:r w:rsidR="000D0A9D">
        <w:t xml:space="preserve">made </w:t>
      </w:r>
      <w:r>
        <w:t>by a corporate tax entity</w:t>
      </w:r>
      <w:r w:rsidR="000D0A9D">
        <w:t xml:space="preserve">, </w:t>
      </w:r>
      <w:r w:rsidR="000D0A9D" w:rsidRPr="001F7F0A">
        <w:t xml:space="preserve">other than a </w:t>
      </w:r>
      <w:r w:rsidR="000D0A9D" w:rsidRPr="001F7F0A">
        <w:rPr>
          <w:i/>
        </w:rPr>
        <w:t>non</w:t>
      </w:r>
      <w:r w:rsidR="000D0A9D" w:rsidRPr="001F7F0A">
        <w:rPr>
          <w:i/>
        </w:rPr>
        <w:noBreakHyphen/>
        <w:t>portfolio dividend</w:t>
      </w:r>
      <w:r w:rsidR="000D0A9D" w:rsidRPr="001F7F0A">
        <w:t xml:space="preserve"> (within the meaning of section 317 of the ITAA 1936)</w:t>
      </w:r>
      <w:r w:rsidRPr="001F7F0A">
        <w:t>;</w:t>
      </w:r>
    </w:p>
    <w:p w14:paraId="79292871" w14:textId="29D4B634" w:rsidR="00E8048D" w:rsidRDefault="00E8048D" w:rsidP="00E8048D">
      <w:pPr>
        <w:pStyle w:val="dotpoint"/>
      </w:pPr>
      <w:r>
        <w:t xml:space="preserve">a </w:t>
      </w:r>
      <w:r w:rsidRPr="00682CEC">
        <w:rPr>
          <w:i/>
        </w:rPr>
        <w:t>non</w:t>
      </w:r>
      <w:r w:rsidRPr="00682CEC">
        <w:rPr>
          <w:i/>
        </w:rPr>
        <w:noBreakHyphen/>
        <w:t xml:space="preserve">share </w:t>
      </w:r>
      <w:r w:rsidR="000D0A9D" w:rsidRPr="00682CEC">
        <w:rPr>
          <w:i/>
        </w:rPr>
        <w:t>dividend</w:t>
      </w:r>
      <w:r w:rsidR="000D0A9D">
        <w:t xml:space="preserve"> </w:t>
      </w:r>
      <w:r>
        <w:t>(as defined in section 974</w:t>
      </w:r>
      <w:r>
        <w:noBreakHyphen/>
        <w:t xml:space="preserve">115 of the ITAA 1997) </w:t>
      </w:r>
      <w:r w:rsidR="000D0A9D">
        <w:t xml:space="preserve">made </w:t>
      </w:r>
      <w:r>
        <w:t>by a company;</w:t>
      </w:r>
    </w:p>
    <w:p w14:paraId="1AF4684A" w14:textId="7E3C232C" w:rsidR="00E8048D" w:rsidRPr="00AF55CA" w:rsidRDefault="000D0A9D" w:rsidP="00E8048D">
      <w:pPr>
        <w:pStyle w:val="dotpoint"/>
      </w:pPr>
      <w:r w:rsidRPr="003B3D1D">
        <w:rPr>
          <w:i/>
        </w:rPr>
        <w:t>i</w:t>
      </w:r>
      <w:r w:rsidR="00E8048D" w:rsidRPr="003B3D1D">
        <w:rPr>
          <w:i/>
        </w:rPr>
        <w:t>nterest</w:t>
      </w:r>
      <w:r w:rsidR="00DD58E1">
        <w:rPr>
          <w:i/>
        </w:rPr>
        <w:t xml:space="preserve"> income</w:t>
      </w:r>
      <w:r w:rsidR="003B3D1D">
        <w:t xml:space="preserve"> (as defined in subsection 6(1) of the </w:t>
      </w:r>
      <w:r w:rsidR="003B3D1D" w:rsidRPr="001F7F0A">
        <w:t>ITAA 1936</w:t>
      </w:r>
      <w:r w:rsidR="003B3D1D">
        <w:t xml:space="preserve">) </w:t>
      </w:r>
      <w:r w:rsidR="003B3D1D">
        <w:rPr>
          <w:rFonts w:ascii="Calibri" w:hAnsi="Calibri"/>
        </w:rPr>
        <w:t>—</w:t>
      </w:r>
      <w:r w:rsidR="003B3D1D">
        <w:t xml:space="preserve"> this will ensure that interest derived by, for example, an approved deposit</w:t>
      </w:r>
      <w:r w:rsidR="003B3D1D">
        <w:noBreakHyphen/>
        <w:t>taking institution is not passive income</w:t>
      </w:r>
      <w:r w:rsidR="00E8048D" w:rsidRPr="00AF55CA">
        <w:t>;</w:t>
      </w:r>
    </w:p>
    <w:p w14:paraId="712FA8DB" w14:textId="66540739" w:rsidR="00E8048D" w:rsidRDefault="00E8048D" w:rsidP="00E8048D">
      <w:pPr>
        <w:pStyle w:val="dotpoint"/>
      </w:pPr>
      <w:r>
        <w:t xml:space="preserve">a royalty; </w:t>
      </w:r>
    </w:p>
    <w:p w14:paraId="2CDD2C7F" w14:textId="21D8AAD3" w:rsidR="00E8048D" w:rsidRDefault="00E8048D" w:rsidP="00E8048D">
      <w:pPr>
        <w:pStyle w:val="dotpoint"/>
      </w:pPr>
      <w:r>
        <w:t>rent;</w:t>
      </w:r>
    </w:p>
    <w:p w14:paraId="78DF07DF" w14:textId="24C83D07" w:rsidR="00E8048D" w:rsidRDefault="00E8048D" w:rsidP="00E8048D">
      <w:pPr>
        <w:pStyle w:val="dotpoint"/>
      </w:pPr>
      <w:r>
        <w:t xml:space="preserve">a gain on a </w:t>
      </w:r>
      <w:r w:rsidRPr="00682CEC">
        <w:rPr>
          <w:i/>
        </w:rPr>
        <w:t>qualifying security</w:t>
      </w:r>
      <w:r>
        <w:t xml:space="preserve"> (as defined in </w:t>
      </w:r>
      <w:r w:rsidR="00011D69">
        <w:t xml:space="preserve">Division 16E of </w:t>
      </w:r>
      <w:r>
        <w:t>Part</w:t>
      </w:r>
      <w:r w:rsidR="00011D69">
        <w:t> III</w:t>
      </w:r>
      <w:r>
        <w:t xml:space="preserve"> of the ITAA 1936)</w:t>
      </w:r>
      <w:r w:rsidR="00011D69">
        <w:t>;</w:t>
      </w:r>
    </w:p>
    <w:p w14:paraId="171F3F33" w14:textId="0D7155D0" w:rsidR="00011D69" w:rsidRDefault="00011D69" w:rsidP="00E8048D">
      <w:pPr>
        <w:pStyle w:val="dotpoint"/>
      </w:pPr>
      <w:r>
        <w:t xml:space="preserve">a </w:t>
      </w:r>
      <w:r w:rsidRPr="00682CEC">
        <w:rPr>
          <w:i/>
        </w:rPr>
        <w:t>capital gain</w:t>
      </w:r>
      <w:r>
        <w:t xml:space="preserve"> (as defined in subsection 995</w:t>
      </w:r>
      <w:r>
        <w:noBreakHyphen/>
        <w:t>1(1) of the ITAA 1997);</w:t>
      </w:r>
    </w:p>
    <w:p w14:paraId="162237FC" w14:textId="3D93A639" w:rsidR="00246F88" w:rsidRDefault="00246F88" w:rsidP="00E8048D">
      <w:pPr>
        <w:pStyle w:val="dotpoint"/>
      </w:pPr>
      <w:r>
        <w:lastRenderedPageBreak/>
        <w:t>a</w:t>
      </w:r>
      <w:r w:rsidR="000D0A9D">
        <w:t>n a</w:t>
      </w:r>
      <w:r>
        <w:t>mount that flow</w:t>
      </w:r>
      <w:r w:rsidR="000D0A9D">
        <w:t>s</w:t>
      </w:r>
      <w:r>
        <w:t xml:space="preserve"> through a partnership (under Division 5 of Part III of the ITAA 1936) to the extent that </w:t>
      </w:r>
      <w:r w:rsidR="000D0A9D">
        <w:t>it is</w:t>
      </w:r>
      <w:r>
        <w:t xml:space="preserve"> attributable to </w:t>
      </w:r>
      <w:r w:rsidR="000D0A9D">
        <w:t xml:space="preserve">an amount that is </w:t>
      </w:r>
      <w:r>
        <w:t xml:space="preserve">passive income; </w:t>
      </w:r>
      <w:r w:rsidR="00AF55CA">
        <w:t>or</w:t>
      </w:r>
    </w:p>
    <w:p w14:paraId="5B209E9A" w14:textId="0F76A738" w:rsidR="00011D69" w:rsidRDefault="000D0A9D" w:rsidP="00E8048D">
      <w:pPr>
        <w:pStyle w:val="dotpoint"/>
      </w:pPr>
      <w:proofErr w:type="gramStart"/>
      <w:r>
        <w:t>an</w:t>
      </w:r>
      <w:proofErr w:type="gramEnd"/>
      <w:r>
        <w:t xml:space="preserve"> </w:t>
      </w:r>
      <w:r w:rsidR="00246F88">
        <w:t>amount that flow</w:t>
      </w:r>
      <w:r>
        <w:t>s</w:t>
      </w:r>
      <w:r w:rsidR="00246F88">
        <w:t xml:space="preserve"> through a trust (under Division 6 of Part III of the ITAA 1936) to </w:t>
      </w:r>
      <w:r>
        <w:t>the extent that it is attributable to an amount that is passive income</w:t>
      </w:r>
      <w:r w:rsidR="00246F88">
        <w:t>.</w:t>
      </w:r>
    </w:p>
    <w:p w14:paraId="33E61BEB" w14:textId="318D9A0D" w:rsidR="00246F88" w:rsidRDefault="00246F88" w:rsidP="00246F88">
      <w:pPr>
        <w:pStyle w:val="base-text-paragraphnonumbers"/>
        <w:rPr>
          <w:rStyle w:val="Referencingstyle"/>
        </w:rPr>
      </w:pPr>
      <w:r w:rsidRPr="00246F88">
        <w:rPr>
          <w:rStyle w:val="Referencingstyle"/>
        </w:rPr>
        <w:t>[Schedule 1, item</w:t>
      </w:r>
      <w:r w:rsidR="00CA5FD4">
        <w:rPr>
          <w:rStyle w:val="Referencingstyle"/>
        </w:rPr>
        <w:t>s 1 and</w:t>
      </w:r>
      <w:r w:rsidRPr="00246F88">
        <w:rPr>
          <w:rStyle w:val="Referencingstyle"/>
        </w:rPr>
        <w:t xml:space="preserve"> 10, </w:t>
      </w:r>
      <w:r w:rsidR="00CA5FD4">
        <w:rPr>
          <w:rStyle w:val="Referencingstyle"/>
        </w:rPr>
        <w:t xml:space="preserve">definition of ‘base rate passive income’ in subsection 3(1) and </w:t>
      </w:r>
      <w:r w:rsidRPr="00246F88">
        <w:rPr>
          <w:rStyle w:val="Referencingstyle"/>
        </w:rPr>
        <w:t>section 23A</w:t>
      </w:r>
      <w:r>
        <w:rPr>
          <w:rStyle w:val="Referencingstyle"/>
        </w:rPr>
        <w:t>B of the Rates Act</w:t>
      </w:r>
      <w:r w:rsidRPr="00246F88">
        <w:rPr>
          <w:rStyle w:val="Referencingstyle"/>
        </w:rPr>
        <w:t>]</w:t>
      </w:r>
    </w:p>
    <w:p w14:paraId="2DCFBADD" w14:textId="6090D973" w:rsidR="000D0A9D" w:rsidRPr="001F7F0A" w:rsidRDefault="00682CEC" w:rsidP="000D0A9D">
      <w:pPr>
        <w:pStyle w:val="base-text-paragraph"/>
      </w:pPr>
      <w:r w:rsidRPr="001F7F0A">
        <w:t xml:space="preserve">In this regard, in relation to paragraph </w:t>
      </w:r>
      <w:proofErr w:type="gramStart"/>
      <w:r w:rsidRPr="001F7F0A">
        <w:t>23AB(</w:t>
      </w:r>
      <w:proofErr w:type="gramEnd"/>
      <w:r w:rsidRPr="001F7F0A">
        <w:t>a), a distribution made by a corporate tax entity includes dividends, and amounts that are taken to be dividends under the income tax law, made by a company (item 1 of the table in subsection 960</w:t>
      </w:r>
      <w:r w:rsidRPr="001F7F0A">
        <w:noBreakHyphen/>
        <w:t>120(1) of the ITAA 1997</w:t>
      </w:r>
      <w:r w:rsidR="005E661F" w:rsidRPr="001F7F0A">
        <w:t>)</w:t>
      </w:r>
      <w:r w:rsidRPr="001F7F0A">
        <w:t>.</w:t>
      </w:r>
    </w:p>
    <w:p w14:paraId="7D921C21" w14:textId="3F9C994C" w:rsidR="00682CEC" w:rsidRPr="001F7F0A" w:rsidRDefault="00682CEC" w:rsidP="000D0A9D">
      <w:pPr>
        <w:pStyle w:val="base-text-paragraph"/>
      </w:pPr>
      <w:r w:rsidRPr="001F7F0A">
        <w:t xml:space="preserve">In addition, a </w:t>
      </w:r>
      <w:r w:rsidRPr="001F7F0A">
        <w:rPr>
          <w:i/>
        </w:rPr>
        <w:t>non</w:t>
      </w:r>
      <w:r w:rsidRPr="001F7F0A">
        <w:rPr>
          <w:i/>
        </w:rPr>
        <w:noBreakHyphen/>
        <w:t>portfolio dividend</w:t>
      </w:r>
      <w:r w:rsidRPr="001F7F0A">
        <w:t xml:space="preserve"> (within the meaning of section 317 of the ITAA 1936) is not base rate entity passive income. A non</w:t>
      </w:r>
      <w:r w:rsidRPr="001F7F0A">
        <w:noBreakHyphen/>
        <w:t>portfolio dividend is, broadly, a dividend paid to a company where that company has a voting interest amount</w:t>
      </w:r>
      <w:r w:rsidR="0009491D" w:rsidRPr="001F7F0A">
        <w:t>ing</w:t>
      </w:r>
      <w:r w:rsidRPr="001F7F0A">
        <w:t xml:space="preserve"> to at least 10 per cent of the voting power in the company paying that dividend. Consequently, dividends derived, for example, by a holding company which are made by a </w:t>
      </w:r>
      <w:r w:rsidR="0009491D" w:rsidRPr="001F7F0A">
        <w:t>wholly</w:t>
      </w:r>
      <w:r w:rsidR="0009491D" w:rsidRPr="001F7F0A">
        <w:noBreakHyphen/>
        <w:t xml:space="preserve">owned </w:t>
      </w:r>
      <w:r w:rsidRPr="001F7F0A">
        <w:t>subsidiary company that carries on active trading business will not be base rate entity passive income</w:t>
      </w:r>
      <w:r w:rsidR="0009491D" w:rsidRPr="001F7F0A">
        <w:t xml:space="preserve"> of the holding company</w:t>
      </w:r>
      <w:r w:rsidRPr="001F7F0A">
        <w:t>.</w:t>
      </w:r>
    </w:p>
    <w:p w14:paraId="212328FA" w14:textId="77777777" w:rsidR="00873B9D" w:rsidRDefault="00873B9D" w:rsidP="00570968">
      <w:pPr>
        <w:pStyle w:val="Heading2"/>
      </w:pPr>
      <w:r>
        <w:t>Consequential amendments</w:t>
      </w:r>
    </w:p>
    <w:p w14:paraId="718C3144" w14:textId="18E4AB80" w:rsidR="008A0775" w:rsidRDefault="008A0775" w:rsidP="008A0775">
      <w:pPr>
        <w:pStyle w:val="Heading3"/>
      </w:pPr>
      <w:r>
        <w:t>Consequential amendments to the ITAA 1997</w:t>
      </w:r>
    </w:p>
    <w:p w14:paraId="7597A364" w14:textId="7248D9FF" w:rsidR="00986931" w:rsidRDefault="00986931" w:rsidP="00986931">
      <w:pPr>
        <w:pStyle w:val="Heading4"/>
      </w:pPr>
      <w:r>
        <w:t>Lower corporate tax rate applies base rate entities</w:t>
      </w:r>
    </w:p>
    <w:p w14:paraId="438C41F3" w14:textId="5F99DED3" w:rsidR="00AA4A82" w:rsidRDefault="00AA4A82" w:rsidP="001738B7">
      <w:pPr>
        <w:pStyle w:val="base-text-paragraph"/>
      </w:pPr>
      <w:r>
        <w:t>For the 2016</w:t>
      </w:r>
      <w:r>
        <w:noBreakHyphen/>
        <w:t>17 income year, the</w:t>
      </w:r>
      <w:r w:rsidR="008A0775">
        <w:t>se</w:t>
      </w:r>
      <w:r>
        <w:t xml:space="preserve"> amendments will result in the 27.5 per cent corporate tax rate being applied to an entity that is a base rate entity (rather a small business entity). The amendments effectively bring forward the co</w:t>
      </w:r>
      <w:r w:rsidR="00FA2649">
        <w:t>ncept of a base rate entity by one</w:t>
      </w:r>
      <w:r>
        <w:t xml:space="preserve"> year. A range of consequential amendments are required to reflect this change.</w:t>
      </w:r>
    </w:p>
    <w:p w14:paraId="49DA56D5" w14:textId="177D512D" w:rsidR="00F83A13" w:rsidRDefault="00AA4A82" w:rsidP="001738B7">
      <w:pPr>
        <w:pStyle w:val="base-text-paragraph"/>
      </w:pPr>
      <w:r>
        <w:t>First, a</w:t>
      </w:r>
      <w:r w:rsidR="00F83A13">
        <w:t xml:space="preserve"> number of examples in the income tax law to illustrate the operation of certain provisions reflect the top corporate tax rate of 30 per cent. </w:t>
      </w:r>
      <w:r w:rsidR="00CA5FD4">
        <w:t>Consequential amendments are made to</w:t>
      </w:r>
      <w:r w:rsidR="00F83A13">
        <w:t xml:space="preserve"> modify these examples so that they refer to an entity that is not a base rate entity. </w:t>
      </w:r>
      <w:r w:rsidR="00F83A13" w:rsidRPr="00246F88">
        <w:rPr>
          <w:rStyle w:val="Referencingstyle"/>
        </w:rPr>
        <w:t>[Schedule </w:t>
      </w:r>
      <w:r w:rsidR="00F83A13">
        <w:rPr>
          <w:rStyle w:val="Referencingstyle"/>
        </w:rPr>
        <w:t>2</w:t>
      </w:r>
      <w:r w:rsidR="00F83A13" w:rsidRPr="00246F88">
        <w:rPr>
          <w:rStyle w:val="Referencingstyle"/>
        </w:rPr>
        <w:t>, item</w:t>
      </w:r>
      <w:r w:rsidR="00F83A13">
        <w:rPr>
          <w:rStyle w:val="Referencingstyle"/>
        </w:rPr>
        <w:t>s</w:t>
      </w:r>
      <w:r w:rsidR="00F83A13" w:rsidRPr="00246F88">
        <w:rPr>
          <w:rStyle w:val="Referencingstyle"/>
        </w:rPr>
        <w:t xml:space="preserve"> </w:t>
      </w:r>
      <w:r w:rsidR="004A141B">
        <w:rPr>
          <w:rStyle w:val="Referencingstyle"/>
        </w:rPr>
        <w:t>1</w:t>
      </w:r>
      <w:r w:rsidR="00F83A13">
        <w:rPr>
          <w:rStyle w:val="Referencingstyle"/>
        </w:rPr>
        <w:t xml:space="preserve"> to </w:t>
      </w:r>
      <w:r w:rsidR="004A141B">
        <w:rPr>
          <w:rStyle w:val="Referencingstyle"/>
        </w:rPr>
        <w:t>3</w:t>
      </w:r>
      <w:r w:rsidR="00F83A13">
        <w:rPr>
          <w:rStyle w:val="Referencingstyle"/>
        </w:rPr>
        <w:t xml:space="preserve"> and </w:t>
      </w:r>
      <w:r w:rsidR="004A141B">
        <w:rPr>
          <w:rStyle w:val="Referencingstyle"/>
        </w:rPr>
        <w:t>6</w:t>
      </w:r>
      <w:r w:rsidR="00F83A13">
        <w:rPr>
          <w:rStyle w:val="Referencingstyle"/>
        </w:rPr>
        <w:t>,</w:t>
      </w:r>
      <w:r w:rsidR="00F83A13" w:rsidRPr="00246F88">
        <w:rPr>
          <w:rStyle w:val="Referencingstyle"/>
        </w:rPr>
        <w:t xml:space="preserve"> </w:t>
      </w:r>
      <w:r w:rsidR="00F83A13">
        <w:rPr>
          <w:rStyle w:val="Referencingstyle"/>
        </w:rPr>
        <w:t xml:space="preserve">examples in </w:t>
      </w:r>
      <w:r w:rsidR="00F83A13" w:rsidRPr="00246F88">
        <w:rPr>
          <w:rStyle w:val="Referencingstyle"/>
        </w:rPr>
        <w:t>s</w:t>
      </w:r>
      <w:r w:rsidR="00F83A13">
        <w:rPr>
          <w:rStyle w:val="Referencingstyle"/>
        </w:rPr>
        <w:t>ubs</w:t>
      </w:r>
      <w:r w:rsidR="00F83A13" w:rsidRPr="00246F88">
        <w:rPr>
          <w:rStyle w:val="Referencingstyle"/>
        </w:rPr>
        <w:t>ection</w:t>
      </w:r>
      <w:r w:rsidR="00F83A13">
        <w:rPr>
          <w:rStyle w:val="Referencingstyle"/>
        </w:rPr>
        <w:t>s</w:t>
      </w:r>
      <w:r w:rsidR="00F83A13" w:rsidRPr="00246F88">
        <w:rPr>
          <w:rStyle w:val="Referencingstyle"/>
        </w:rPr>
        <w:t xml:space="preserve"> </w:t>
      </w:r>
      <w:r w:rsidR="00F83A13">
        <w:rPr>
          <w:rStyle w:val="Referencingstyle"/>
        </w:rPr>
        <w:t>36</w:t>
      </w:r>
      <w:r w:rsidR="00F83A13">
        <w:rPr>
          <w:rStyle w:val="Referencingstyle"/>
        </w:rPr>
        <w:noBreakHyphen/>
        <w:t>17(5), 36</w:t>
      </w:r>
      <w:r w:rsidR="00F83A13">
        <w:rPr>
          <w:rStyle w:val="Referencingstyle"/>
        </w:rPr>
        <w:noBreakHyphen/>
        <w:t>55(1)</w:t>
      </w:r>
      <w:r w:rsidR="00F83A13" w:rsidRPr="00246F88">
        <w:rPr>
          <w:rStyle w:val="Referencingstyle"/>
        </w:rPr>
        <w:t xml:space="preserve"> </w:t>
      </w:r>
      <w:r w:rsidR="001F7F0A">
        <w:rPr>
          <w:rStyle w:val="Referencingstyle"/>
        </w:rPr>
        <w:t>36</w:t>
      </w:r>
      <w:r w:rsidR="001F7F0A">
        <w:rPr>
          <w:rStyle w:val="Referencingstyle"/>
        </w:rPr>
        <w:noBreakHyphen/>
        <w:t>55(2) and </w:t>
      </w:r>
      <w:r w:rsidR="00F83A13">
        <w:rPr>
          <w:rStyle w:val="Referencingstyle"/>
        </w:rPr>
        <w:t>115</w:t>
      </w:r>
      <w:r w:rsidR="00F83A13">
        <w:rPr>
          <w:rStyle w:val="Referencingstyle"/>
        </w:rPr>
        <w:noBreakHyphen/>
        <w:t>280(3) of the ITAA 1997</w:t>
      </w:r>
      <w:r w:rsidR="00F83A13" w:rsidRPr="00246F88">
        <w:rPr>
          <w:rStyle w:val="Referencingstyle"/>
        </w:rPr>
        <w:t>]</w:t>
      </w:r>
    </w:p>
    <w:p w14:paraId="5CE7C5B3" w14:textId="75A5BEAE" w:rsidR="00873B9D" w:rsidRPr="00986931" w:rsidRDefault="00AA4A82" w:rsidP="001738B7">
      <w:pPr>
        <w:pStyle w:val="base-text-paragraph"/>
        <w:rPr>
          <w:rStyle w:val="Referencingstyle"/>
          <w:b w:val="0"/>
          <w:i w:val="0"/>
          <w:sz w:val="22"/>
        </w:rPr>
      </w:pPr>
      <w:r>
        <w:lastRenderedPageBreak/>
        <w:t>Second, consequential amendments to t</w:t>
      </w:r>
      <w:r w:rsidR="00F83A13">
        <w:t xml:space="preserve">he tax offset carry forward rules </w:t>
      </w:r>
      <w:r>
        <w:t xml:space="preserve">will ensure that those rules apply </w:t>
      </w:r>
      <w:r w:rsidR="00F83A13">
        <w:t>appropriately to a</w:t>
      </w:r>
      <w:r>
        <w:t>n entity that is a</w:t>
      </w:r>
      <w:r w:rsidR="00F83A13">
        <w:t xml:space="preserve"> base rate entity</w:t>
      </w:r>
      <w:r>
        <w:t xml:space="preserve">. </w:t>
      </w:r>
      <w:r w:rsidRPr="00246F88">
        <w:rPr>
          <w:rStyle w:val="Referencingstyle"/>
        </w:rPr>
        <w:t>[Schedule </w:t>
      </w:r>
      <w:r>
        <w:rPr>
          <w:rStyle w:val="Referencingstyle"/>
        </w:rPr>
        <w:t>2</w:t>
      </w:r>
      <w:r w:rsidRPr="00246F88">
        <w:rPr>
          <w:rStyle w:val="Referencingstyle"/>
        </w:rPr>
        <w:t>, item</w:t>
      </w:r>
      <w:r>
        <w:rPr>
          <w:rStyle w:val="Referencingstyle"/>
        </w:rPr>
        <w:t>s</w:t>
      </w:r>
      <w:r w:rsidRPr="00246F88">
        <w:rPr>
          <w:rStyle w:val="Referencingstyle"/>
        </w:rPr>
        <w:t xml:space="preserve"> </w:t>
      </w:r>
      <w:r w:rsidR="004A141B">
        <w:rPr>
          <w:rStyle w:val="Referencingstyle"/>
        </w:rPr>
        <w:t>4</w:t>
      </w:r>
      <w:r>
        <w:rPr>
          <w:rStyle w:val="Referencingstyle"/>
        </w:rPr>
        <w:t xml:space="preserve"> and </w:t>
      </w:r>
      <w:r w:rsidR="004A141B">
        <w:rPr>
          <w:rStyle w:val="Referencingstyle"/>
        </w:rPr>
        <w:t>5</w:t>
      </w:r>
      <w:r>
        <w:rPr>
          <w:rStyle w:val="Referencingstyle"/>
        </w:rPr>
        <w:t>,</w:t>
      </w:r>
      <w:r w:rsidRPr="00246F88">
        <w:rPr>
          <w:rStyle w:val="Referencingstyle"/>
        </w:rPr>
        <w:t xml:space="preserve"> </w:t>
      </w:r>
      <w:r>
        <w:rPr>
          <w:rStyle w:val="Referencingstyle"/>
        </w:rPr>
        <w:t>paragraphs</w:t>
      </w:r>
      <w:r w:rsidRPr="00246F88">
        <w:rPr>
          <w:rStyle w:val="Referencingstyle"/>
        </w:rPr>
        <w:t xml:space="preserve"> </w:t>
      </w:r>
      <w:r w:rsidR="001F7F0A">
        <w:rPr>
          <w:rStyle w:val="Referencingstyle"/>
        </w:rPr>
        <w:t>65</w:t>
      </w:r>
      <w:r w:rsidR="001F7F0A">
        <w:rPr>
          <w:rStyle w:val="Referencingstyle"/>
        </w:rPr>
        <w:noBreakHyphen/>
        <w:t>30(2)(a) and </w:t>
      </w:r>
      <w:r>
        <w:rPr>
          <w:rStyle w:val="Referencingstyle"/>
        </w:rPr>
        <w:t>65</w:t>
      </w:r>
      <w:r>
        <w:rPr>
          <w:rStyle w:val="Referencingstyle"/>
        </w:rPr>
        <w:noBreakHyphen/>
        <w:t>35(3A)(a) of the ITAA 1997</w:t>
      </w:r>
      <w:r w:rsidRPr="00246F88">
        <w:rPr>
          <w:rStyle w:val="Referencingstyle"/>
        </w:rPr>
        <w:t>]</w:t>
      </w:r>
    </w:p>
    <w:p w14:paraId="30C70F49" w14:textId="1F0FE778" w:rsidR="00986931" w:rsidRPr="001F7F0A" w:rsidRDefault="00986931" w:rsidP="00986931">
      <w:pPr>
        <w:pStyle w:val="Heading4"/>
        <w:rPr>
          <w:rStyle w:val="Referencingstyle"/>
          <w:b/>
          <w:i/>
          <w:sz w:val="22"/>
        </w:rPr>
      </w:pPr>
      <w:r w:rsidRPr="001F7F0A">
        <w:rPr>
          <w:rStyle w:val="Referencingstyle"/>
          <w:b/>
          <w:i/>
          <w:sz w:val="22"/>
        </w:rPr>
        <w:t>Operation of the imputation system</w:t>
      </w:r>
    </w:p>
    <w:p w14:paraId="70AFB06B" w14:textId="343267C4" w:rsidR="00986931" w:rsidRPr="001F7F0A" w:rsidRDefault="0009491D" w:rsidP="001738B7">
      <w:pPr>
        <w:pStyle w:val="base-text-paragraph"/>
        <w:rPr>
          <w:rStyle w:val="Referencingstyle"/>
          <w:b w:val="0"/>
          <w:i w:val="0"/>
          <w:sz w:val="22"/>
        </w:rPr>
      </w:pPr>
      <w:r w:rsidRPr="001F7F0A">
        <w:rPr>
          <w:rStyle w:val="Referencingstyle"/>
          <w:b w:val="0"/>
          <w:i w:val="0"/>
          <w:sz w:val="22"/>
        </w:rPr>
        <w:t>Under the company imputation system, when an Australian corporate tax entity distributes profits to its members, the ent</w:t>
      </w:r>
      <w:r w:rsidR="000D7CB2" w:rsidRPr="001F7F0A">
        <w:rPr>
          <w:rStyle w:val="Referencingstyle"/>
          <w:b w:val="0"/>
          <w:i w:val="0"/>
          <w:sz w:val="22"/>
        </w:rPr>
        <w:t xml:space="preserve">ity has the option of passing </w:t>
      </w:r>
      <w:r w:rsidRPr="001F7F0A">
        <w:rPr>
          <w:rStyle w:val="Referencingstyle"/>
          <w:b w:val="0"/>
          <w:i w:val="0"/>
          <w:sz w:val="22"/>
        </w:rPr>
        <w:t xml:space="preserve">to those members </w:t>
      </w:r>
      <w:r w:rsidR="000D7CB2" w:rsidRPr="001F7F0A">
        <w:rPr>
          <w:rStyle w:val="Referencingstyle"/>
          <w:b w:val="0"/>
          <w:i w:val="0"/>
          <w:sz w:val="22"/>
        </w:rPr>
        <w:t>credit for income tax paid by the entity on the profits. This is done by franking the distribution.</w:t>
      </w:r>
    </w:p>
    <w:p w14:paraId="43627BC1" w14:textId="08B741C7" w:rsidR="000D7CB2" w:rsidRPr="001F7F0A" w:rsidRDefault="000D7CB2" w:rsidP="001738B7">
      <w:pPr>
        <w:pStyle w:val="base-text-paragraph"/>
        <w:rPr>
          <w:rStyle w:val="Referencingstyle"/>
          <w:b w:val="0"/>
          <w:i w:val="0"/>
          <w:sz w:val="22"/>
        </w:rPr>
      </w:pPr>
      <w:r w:rsidRPr="001F7F0A">
        <w:rPr>
          <w:rStyle w:val="Referencingstyle"/>
          <w:b w:val="0"/>
          <w:i w:val="0"/>
          <w:sz w:val="22"/>
        </w:rPr>
        <w:t xml:space="preserve">The amount of franking credits that can be attached to a distribution cannot exceed the </w:t>
      </w:r>
      <w:r w:rsidRPr="001F7F0A">
        <w:rPr>
          <w:rStyle w:val="Referencingstyle"/>
          <w:b w:val="0"/>
          <w:sz w:val="22"/>
        </w:rPr>
        <w:t>maximum franking credit</w:t>
      </w:r>
      <w:r w:rsidRPr="001F7F0A">
        <w:rPr>
          <w:rStyle w:val="Referencingstyle"/>
          <w:b w:val="0"/>
          <w:i w:val="0"/>
          <w:sz w:val="22"/>
        </w:rPr>
        <w:t xml:space="preserve"> for the distribution (section 202</w:t>
      </w:r>
      <w:r w:rsidRPr="001F7F0A">
        <w:rPr>
          <w:rStyle w:val="Referencingstyle"/>
          <w:b w:val="0"/>
          <w:i w:val="0"/>
          <w:sz w:val="22"/>
        </w:rPr>
        <w:noBreakHyphen/>
      </w:r>
      <w:r w:rsidR="005E661F" w:rsidRPr="001F7F0A">
        <w:rPr>
          <w:rStyle w:val="Referencingstyle"/>
          <w:b w:val="0"/>
          <w:i w:val="0"/>
          <w:sz w:val="22"/>
        </w:rPr>
        <w:t xml:space="preserve">60 of the ITAA 1997). </w:t>
      </w:r>
      <w:r w:rsidRPr="001F7F0A">
        <w:rPr>
          <w:rStyle w:val="Referencingstyle"/>
          <w:b w:val="0"/>
          <w:i w:val="0"/>
          <w:sz w:val="22"/>
        </w:rPr>
        <w:t xml:space="preserve">The maximum franking credit is worked out by reference to the </w:t>
      </w:r>
      <w:r w:rsidRPr="001F7F0A">
        <w:rPr>
          <w:rStyle w:val="Referencingstyle"/>
          <w:b w:val="0"/>
          <w:sz w:val="22"/>
        </w:rPr>
        <w:t>corporate tax gross</w:t>
      </w:r>
      <w:r w:rsidRPr="001F7F0A">
        <w:rPr>
          <w:rStyle w:val="Referencingstyle"/>
          <w:b w:val="0"/>
          <w:sz w:val="22"/>
        </w:rPr>
        <w:noBreakHyphen/>
        <w:t>up rate</w:t>
      </w:r>
      <w:r w:rsidRPr="001F7F0A">
        <w:rPr>
          <w:rStyle w:val="Referencingstyle"/>
          <w:b w:val="0"/>
          <w:i w:val="0"/>
          <w:sz w:val="22"/>
        </w:rPr>
        <w:t>, which is defined in subsection 995</w:t>
      </w:r>
      <w:r w:rsidRPr="001F7F0A">
        <w:rPr>
          <w:rStyle w:val="Referencingstyle"/>
          <w:b w:val="0"/>
          <w:i w:val="0"/>
          <w:sz w:val="22"/>
        </w:rPr>
        <w:noBreakHyphen/>
      </w:r>
      <w:proofErr w:type="gramStart"/>
      <w:r w:rsidRPr="001F7F0A">
        <w:rPr>
          <w:rStyle w:val="Referencingstyle"/>
          <w:b w:val="0"/>
          <w:i w:val="0"/>
          <w:sz w:val="22"/>
        </w:rPr>
        <w:t>1(</w:t>
      </w:r>
      <w:proofErr w:type="gramEnd"/>
      <w:r w:rsidRPr="001F7F0A">
        <w:rPr>
          <w:rStyle w:val="Referencingstyle"/>
          <w:b w:val="0"/>
          <w:i w:val="0"/>
          <w:sz w:val="22"/>
        </w:rPr>
        <w:t xml:space="preserve">1) by reference to the </w:t>
      </w:r>
      <w:r w:rsidRPr="001F7F0A">
        <w:rPr>
          <w:rStyle w:val="Referencingstyle"/>
          <w:b w:val="0"/>
          <w:sz w:val="22"/>
        </w:rPr>
        <w:t>corporate tax rate for imputation purposes</w:t>
      </w:r>
      <w:r w:rsidRPr="001F7F0A">
        <w:rPr>
          <w:rStyle w:val="Referencingstyle"/>
          <w:b w:val="0"/>
          <w:i w:val="0"/>
          <w:sz w:val="22"/>
        </w:rPr>
        <w:t xml:space="preserve">. </w:t>
      </w:r>
    </w:p>
    <w:p w14:paraId="63C9259A" w14:textId="0DE33FA4" w:rsidR="00BD612D" w:rsidRPr="001F7F0A" w:rsidRDefault="000D7CB2" w:rsidP="001738B7">
      <w:pPr>
        <w:pStyle w:val="base-text-paragraph"/>
        <w:rPr>
          <w:rStyle w:val="Referencingstyle"/>
          <w:b w:val="0"/>
          <w:i w:val="0"/>
          <w:sz w:val="22"/>
        </w:rPr>
      </w:pPr>
      <w:r w:rsidRPr="001F7F0A">
        <w:rPr>
          <w:rStyle w:val="Referencingstyle"/>
          <w:b w:val="0"/>
          <w:i w:val="0"/>
          <w:sz w:val="22"/>
        </w:rPr>
        <w:t>Corporate tax entities usually pay distributions to members for an income year during that income year. However, a corporate tax entity will not know its aggregated turnover</w:t>
      </w:r>
      <w:r w:rsidR="00BD612D" w:rsidRPr="001F7F0A">
        <w:rPr>
          <w:rStyle w:val="Referencingstyle"/>
          <w:b w:val="0"/>
          <w:i w:val="0"/>
          <w:sz w:val="22"/>
        </w:rPr>
        <w:t>,</w:t>
      </w:r>
      <w:r w:rsidRPr="001F7F0A">
        <w:rPr>
          <w:rStyle w:val="Referencingstyle"/>
          <w:b w:val="0"/>
          <w:i w:val="0"/>
          <w:sz w:val="22"/>
        </w:rPr>
        <w:t xml:space="preserve"> the </w:t>
      </w:r>
      <w:r w:rsidR="00BD612D" w:rsidRPr="001F7F0A">
        <w:rPr>
          <w:rStyle w:val="Referencingstyle"/>
          <w:b w:val="0"/>
          <w:i w:val="0"/>
          <w:sz w:val="22"/>
        </w:rPr>
        <w:t>amount</w:t>
      </w:r>
      <w:r w:rsidRPr="001F7F0A">
        <w:rPr>
          <w:rStyle w:val="Referencingstyle"/>
          <w:b w:val="0"/>
          <w:i w:val="0"/>
          <w:sz w:val="22"/>
        </w:rPr>
        <w:t xml:space="preserve"> of its passive income</w:t>
      </w:r>
      <w:r w:rsidR="00BD612D" w:rsidRPr="001F7F0A">
        <w:rPr>
          <w:rStyle w:val="Referencingstyle"/>
          <w:b w:val="0"/>
          <w:i w:val="0"/>
          <w:sz w:val="22"/>
        </w:rPr>
        <w:t xml:space="preserve">, or the amount of its assessable income </w:t>
      </w:r>
      <w:r w:rsidRPr="001F7F0A">
        <w:rPr>
          <w:rStyle w:val="Referencingstyle"/>
          <w:b w:val="0"/>
          <w:i w:val="0"/>
          <w:sz w:val="22"/>
        </w:rPr>
        <w:t xml:space="preserve">for an income year until after the end of that income year. </w:t>
      </w:r>
      <w:r w:rsidR="00BD612D" w:rsidRPr="001F7F0A">
        <w:rPr>
          <w:rStyle w:val="Referencingstyle"/>
          <w:b w:val="0"/>
          <w:i w:val="0"/>
          <w:sz w:val="22"/>
        </w:rPr>
        <w:t xml:space="preserve">Therefore, </w:t>
      </w:r>
      <w:r w:rsidR="002A0276" w:rsidRPr="001F7F0A">
        <w:rPr>
          <w:rStyle w:val="Referencingstyle"/>
          <w:b w:val="0"/>
          <w:i w:val="0"/>
          <w:sz w:val="22"/>
        </w:rPr>
        <w:t xml:space="preserve">generally, </w:t>
      </w:r>
      <w:r w:rsidR="00BD612D" w:rsidRPr="001F7F0A">
        <w:rPr>
          <w:rStyle w:val="Referencingstyle"/>
          <w:b w:val="0"/>
          <w:i w:val="0"/>
          <w:sz w:val="22"/>
        </w:rPr>
        <w:t xml:space="preserve">for the purposes of working out its corporate tax rate for imputation purposes for an income year, </w:t>
      </w:r>
      <w:r w:rsidR="002A0276" w:rsidRPr="001F7F0A">
        <w:rPr>
          <w:rStyle w:val="Referencingstyle"/>
          <w:b w:val="0"/>
          <w:i w:val="0"/>
          <w:sz w:val="22"/>
        </w:rPr>
        <w:t>a</w:t>
      </w:r>
      <w:r w:rsidR="00BD612D" w:rsidRPr="001F7F0A">
        <w:rPr>
          <w:rStyle w:val="Referencingstyle"/>
          <w:b w:val="0"/>
          <w:i w:val="0"/>
          <w:sz w:val="22"/>
        </w:rPr>
        <w:t xml:space="preserve"> </w:t>
      </w:r>
      <w:r w:rsidR="000C4A9F" w:rsidRPr="001F7F0A">
        <w:rPr>
          <w:rStyle w:val="Referencingstyle"/>
          <w:b w:val="0"/>
          <w:i w:val="0"/>
          <w:sz w:val="22"/>
        </w:rPr>
        <w:t xml:space="preserve">corporate tax </w:t>
      </w:r>
      <w:r w:rsidR="00BD612D" w:rsidRPr="001F7F0A">
        <w:rPr>
          <w:rStyle w:val="Referencingstyle"/>
          <w:b w:val="0"/>
          <w:i w:val="0"/>
          <w:sz w:val="22"/>
        </w:rPr>
        <w:t>entity must assume that:</w:t>
      </w:r>
    </w:p>
    <w:p w14:paraId="38641E60" w14:textId="77777777" w:rsidR="000C4A9F" w:rsidRPr="001F7F0A" w:rsidRDefault="000C4A9F" w:rsidP="000C4A9F">
      <w:pPr>
        <w:pStyle w:val="dotpoint"/>
        <w:rPr>
          <w:rStyle w:val="Referencingstyle"/>
          <w:b w:val="0"/>
          <w:i w:val="0"/>
          <w:sz w:val="22"/>
        </w:rPr>
      </w:pPr>
      <w:r w:rsidRPr="001F7F0A">
        <w:rPr>
          <w:rStyle w:val="Referencingstyle"/>
          <w:b w:val="0"/>
          <w:i w:val="0"/>
          <w:sz w:val="22"/>
        </w:rPr>
        <w:t>its aggregated turnover for the income year is equal to its aggregated turnover for the previous income year;</w:t>
      </w:r>
    </w:p>
    <w:p w14:paraId="1130A993" w14:textId="5AFFBD1D" w:rsidR="000C4A9F" w:rsidRPr="001F7F0A" w:rsidRDefault="000C4A9F" w:rsidP="000C4A9F">
      <w:pPr>
        <w:pStyle w:val="dotpoint"/>
        <w:rPr>
          <w:rStyle w:val="Referencingstyle"/>
          <w:b w:val="0"/>
          <w:i w:val="0"/>
          <w:sz w:val="22"/>
        </w:rPr>
      </w:pPr>
      <w:r w:rsidRPr="001F7F0A">
        <w:rPr>
          <w:rStyle w:val="Referencingstyle"/>
          <w:b w:val="0"/>
          <w:i w:val="0"/>
          <w:sz w:val="22"/>
        </w:rPr>
        <w:t>its base rate passive income for the income year is equal to its base rate passive income for the previous income year; and</w:t>
      </w:r>
    </w:p>
    <w:p w14:paraId="7E4C9512" w14:textId="7748CBB7" w:rsidR="000C4A9F" w:rsidRPr="001F7F0A" w:rsidRDefault="000C4A9F" w:rsidP="000C4A9F">
      <w:pPr>
        <w:pStyle w:val="dotpoint"/>
        <w:rPr>
          <w:rStyle w:val="Referencingstyle"/>
          <w:b w:val="0"/>
          <w:i w:val="0"/>
          <w:sz w:val="22"/>
        </w:rPr>
      </w:pPr>
      <w:proofErr w:type="gramStart"/>
      <w:r w:rsidRPr="001F7F0A">
        <w:rPr>
          <w:rStyle w:val="Referencingstyle"/>
          <w:b w:val="0"/>
          <w:i w:val="0"/>
          <w:sz w:val="22"/>
        </w:rPr>
        <w:t>its</w:t>
      </w:r>
      <w:proofErr w:type="gramEnd"/>
      <w:r w:rsidRPr="001F7F0A">
        <w:rPr>
          <w:rStyle w:val="Referencingstyle"/>
          <w:b w:val="0"/>
          <w:i w:val="0"/>
          <w:sz w:val="22"/>
        </w:rPr>
        <w:t xml:space="preserve"> assessable income for the income year is equal to its assessable income for the previous income year.</w:t>
      </w:r>
    </w:p>
    <w:p w14:paraId="68BD3A5F" w14:textId="2E485AA8" w:rsidR="002A0276" w:rsidRPr="001F7F0A" w:rsidRDefault="002A0276" w:rsidP="002A0276">
      <w:pPr>
        <w:pStyle w:val="base-text-paragraphnonumbers"/>
        <w:rPr>
          <w:rStyle w:val="Referencingstyle"/>
          <w:b w:val="0"/>
          <w:i w:val="0"/>
          <w:sz w:val="22"/>
        </w:rPr>
      </w:pPr>
      <w:r w:rsidRPr="001F7F0A">
        <w:rPr>
          <w:rStyle w:val="Referencingstyle"/>
        </w:rPr>
        <w:t xml:space="preserve">[Schedule 2, item </w:t>
      </w:r>
      <w:r w:rsidR="001F7F0A">
        <w:rPr>
          <w:rStyle w:val="Referencingstyle"/>
        </w:rPr>
        <w:t>7</w:t>
      </w:r>
      <w:r w:rsidRPr="001F7F0A">
        <w:rPr>
          <w:rStyle w:val="Referencingstyle"/>
        </w:rPr>
        <w:t>, paragraph</w:t>
      </w:r>
      <w:r w:rsidR="004104AE" w:rsidRPr="001F7F0A">
        <w:rPr>
          <w:rStyle w:val="Referencingstyle"/>
        </w:rPr>
        <w:t xml:space="preserve"> (a) of the definition of ‘corporate tax rate for imputation purposes’ in subsection 995</w:t>
      </w:r>
      <w:r w:rsidR="004104AE" w:rsidRPr="001F7F0A">
        <w:rPr>
          <w:rStyle w:val="Referencingstyle"/>
        </w:rPr>
        <w:noBreakHyphen/>
      </w:r>
      <w:proofErr w:type="gramStart"/>
      <w:r w:rsidR="004104AE" w:rsidRPr="001F7F0A">
        <w:rPr>
          <w:rStyle w:val="Referencingstyle"/>
        </w:rPr>
        <w:t>1(</w:t>
      </w:r>
      <w:proofErr w:type="gramEnd"/>
      <w:r w:rsidR="004104AE" w:rsidRPr="001F7F0A">
        <w:rPr>
          <w:rStyle w:val="Referencingstyle"/>
        </w:rPr>
        <w:t xml:space="preserve">1) of the </w:t>
      </w:r>
      <w:r w:rsidRPr="001F7F0A">
        <w:rPr>
          <w:rStyle w:val="Referencingstyle"/>
        </w:rPr>
        <w:t>ITAA 1997]</w:t>
      </w:r>
    </w:p>
    <w:p w14:paraId="4D60A9BE" w14:textId="0F0F9B50" w:rsidR="000D7CB2" w:rsidRPr="001F7F0A" w:rsidRDefault="002A0276" w:rsidP="001738B7">
      <w:pPr>
        <w:pStyle w:val="base-text-paragraph"/>
        <w:rPr>
          <w:rStyle w:val="Referencingstyle"/>
          <w:b w:val="0"/>
          <w:i w:val="0"/>
          <w:sz w:val="22"/>
        </w:rPr>
      </w:pPr>
      <w:r w:rsidRPr="001F7F0A">
        <w:rPr>
          <w:rStyle w:val="Referencingstyle"/>
          <w:b w:val="0"/>
          <w:i w:val="0"/>
          <w:sz w:val="22"/>
        </w:rPr>
        <w:t>However, if the corporate tax entity did not exist in the previous income year, its corporate tax rate for imputation purposes for an income year will be the lower corporate tax rate of 27.5 per cent</w:t>
      </w:r>
      <w:r w:rsidR="00BD612D" w:rsidRPr="001F7F0A">
        <w:rPr>
          <w:rStyle w:val="Referencingstyle"/>
          <w:b w:val="0"/>
          <w:i w:val="0"/>
          <w:sz w:val="22"/>
        </w:rPr>
        <w:t>.</w:t>
      </w:r>
      <w:r w:rsidR="000D7CB2" w:rsidRPr="001F7F0A">
        <w:rPr>
          <w:rStyle w:val="Referencingstyle"/>
          <w:b w:val="0"/>
          <w:i w:val="0"/>
          <w:sz w:val="22"/>
        </w:rPr>
        <w:t xml:space="preserve"> </w:t>
      </w:r>
      <w:r w:rsidR="004104AE" w:rsidRPr="001F7F0A">
        <w:rPr>
          <w:rStyle w:val="Referencingstyle"/>
        </w:rPr>
        <w:t xml:space="preserve">[Schedule 2, item </w:t>
      </w:r>
      <w:r w:rsidR="001F7F0A">
        <w:rPr>
          <w:rStyle w:val="Referencingstyle"/>
        </w:rPr>
        <w:t>7</w:t>
      </w:r>
      <w:r w:rsidR="004104AE" w:rsidRPr="001F7F0A">
        <w:rPr>
          <w:rStyle w:val="Referencingstyle"/>
        </w:rPr>
        <w:t>, paragraph (b) of the definition of ‘corporate tax rate for imputation purposes’ in subsection 995</w:t>
      </w:r>
      <w:r w:rsidR="004104AE" w:rsidRPr="001F7F0A">
        <w:rPr>
          <w:rStyle w:val="Referencingstyle"/>
        </w:rPr>
        <w:noBreakHyphen/>
        <w:t>1(1) of the ITAA 1997]</w:t>
      </w:r>
    </w:p>
    <w:p w14:paraId="24947F84" w14:textId="77777777" w:rsidR="000C4A9F" w:rsidRPr="001F7F0A" w:rsidRDefault="000C4A9F" w:rsidP="004104AE">
      <w:pPr>
        <w:pStyle w:val="ExampleHeading"/>
        <w:rPr>
          <w:rStyle w:val="Referencingstyle"/>
          <w:b/>
          <w:i w:val="0"/>
          <w:sz w:val="22"/>
        </w:rPr>
      </w:pPr>
    </w:p>
    <w:p w14:paraId="7428570E" w14:textId="51C3A75C" w:rsidR="004104AE" w:rsidRPr="001F7F0A" w:rsidRDefault="00247D82" w:rsidP="004104AE">
      <w:pPr>
        <w:pStyle w:val="exampletext"/>
      </w:pPr>
      <w:r w:rsidRPr="001F7F0A">
        <w:t>Company A is carrying on a business and, i</w:t>
      </w:r>
      <w:r w:rsidR="004104AE" w:rsidRPr="001F7F0A">
        <w:t>n the 2016</w:t>
      </w:r>
      <w:r w:rsidR="004104AE" w:rsidRPr="001F7F0A">
        <w:noBreakHyphen/>
        <w:t>17 income year, has</w:t>
      </w:r>
      <w:r w:rsidR="00CD71FE" w:rsidRPr="001F7F0A">
        <w:t>:</w:t>
      </w:r>
    </w:p>
    <w:p w14:paraId="29EF698C" w14:textId="05EEB9CD" w:rsidR="00CD71FE" w:rsidRPr="001F7F0A" w:rsidRDefault="00CD71FE" w:rsidP="00CD71FE">
      <w:pPr>
        <w:pStyle w:val="exampledotpoint1"/>
      </w:pPr>
      <w:r w:rsidRPr="001F7F0A">
        <w:t>aggregated turnover of $8 million;</w:t>
      </w:r>
    </w:p>
    <w:p w14:paraId="7880F2C7" w14:textId="5926A5AB" w:rsidR="00CD71FE" w:rsidRPr="001F7F0A" w:rsidRDefault="00CD71FE" w:rsidP="00CD71FE">
      <w:pPr>
        <w:pStyle w:val="exampledotpoint1"/>
      </w:pPr>
      <w:r w:rsidRPr="001F7F0A">
        <w:t>base rate passive income</w:t>
      </w:r>
      <w:r w:rsidR="002B3EC6" w:rsidRPr="001F7F0A">
        <w:t xml:space="preserve"> of $7.5 </w:t>
      </w:r>
      <w:r w:rsidRPr="001F7F0A">
        <w:t>million; and</w:t>
      </w:r>
    </w:p>
    <w:p w14:paraId="6A6276EB" w14:textId="5E921B8F" w:rsidR="00CD71FE" w:rsidRPr="001F7F0A" w:rsidRDefault="00CD71FE" w:rsidP="00CD71FE">
      <w:pPr>
        <w:pStyle w:val="exampledotpoint1"/>
      </w:pPr>
      <w:proofErr w:type="gramStart"/>
      <w:r w:rsidRPr="001F7F0A">
        <w:t>assessable</w:t>
      </w:r>
      <w:proofErr w:type="gramEnd"/>
      <w:r w:rsidRPr="001F7F0A">
        <w:t xml:space="preserve"> income of $8</w:t>
      </w:r>
      <w:r w:rsidR="002B3EC6" w:rsidRPr="001F7F0A">
        <w:t> </w:t>
      </w:r>
      <w:r w:rsidRPr="001F7F0A">
        <w:t>million.</w:t>
      </w:r>
    </w:p>
    <w:p w14:paraId="300B9EEA" w14:textId="1FD8D857" w:rsidR="00CD71FE" w:rsidRPr="001F7F0A" w:rsidRDefault="00CD71FE" w:rsidP="004104AE">
      <w:pPr>
        <w:pStyle w:val="exampletext"/>
      </w:pPr>
      <w:r w:rsidRPr="001F7F0A">
        <w:t>Therefore, for the 2016</w:t>
      </w:r>
      <w:r w:rsidRPr="001F7F0A">
        <w:noBreakHyphen/>
        <w:t>17 income year</w:t>
      </w:r>
      <w:r w:rsidR="00D20A54" w:rsidRPr="001F7F0A">
        <w:t>,</w:t>
      </w:r>
      <w:r w:rsidRPr="001F7F0A">
        <w:t xml:space="preserve"> 92.59 per cent of Company A’s assessable income is base rate entity passive income. Consequently, for that income year, Company A’s corporate tax rate is 30 per cent</w:t>
      </w:r>
      <w:r w:rsidR="002B3EC6" w:rsidRPr="001F7F0A">
        <w:t xml:space="preserve"> (even though its aggregated turnover is only $8 million)</w:t>
      </w:r>
      <w:r w:rsidRPr="001F7F0A">
        <w:t>.</w:t>
      </w:r>
    </w:p>
    <w:p w14:paraId="06DD85BD" w14:textId="3596D4EA" w:rsidR="00CD71FE" w:rsidRPr="001F7F0A" w:rsidRDefault="000847AE" w:rsidP="004104AE">
      <w:pPr>
        <w:pStyle w:val="exampletext"/>
      </w:pPr>
      <w:r w:rsidRPr="001F7F0A">
        <w:t>Company A proposes to pay a dividend to its shareholders in the 2017</w:t>
      </w:r>
      <w:r w:rsidRPr="001F7F0A">
        <w:noBreakHyphen/>
        <w:t>18 income year</w:t>
      </w:r>
      <w:r w:rsidR="00D20A54" w:rsidRPr="001F7F0A">
        <w:t>.</w:t>
      </w:r>
      <w:r w:rsidRPr="001F7F0A">
        <w:t xml:space="preserve"> </w:t>
      </w:r>
      <w:r w:rsidR="00CD71FE" w:rsidRPr="001F7F0A">
        <w:t>For the purpose of working out its corporate tax rate for imputation purposes for the 2017</w:t>
      </w:r>
      <w:r w:rsidR="00CD71FE" w:rsidRPr="001F7F0A">
        <w:noBreakHyphen/>
        <w:t>18 income year, Company A must assume that its aggregated turnover, base rate passive income and assessable income are the same as for the 2016</w:t>
      </w:r>
      <w:r w:rsidR="00CD71FE" w:rsidRPr="001F7F0A">
        <w:noBreakHyphen/>
        <w:t xml:space="preserve">17 income year. </w:t>
      </w:r>
    </w:p>
    <w:p w14:paraId="0C976268" w14:textId="4F433347" w:rsidR="00D20A54" w:rsidRPr="001F7F0A" w:rsidRDefault="00D20A54" w:rsidP="004104AE">
      <w:pPr>
        <w:pStyle w:val="exampletext"/>
      </w:pPr>
      <w:r w:rsidRPr="001F7F0A">
        <w:t>As 92.59 per cent of its assessable income was base rate entity passive income</w:t>
      </w:r>
      <w:r w:rsidR="00CD71FE" w:rsidRPr="001F7F0A">
        <w:t xml:space="preserve"> </w:t>
      </w:r>
      <w:r w:rsidRPr="001F7F0A">
        <w:t>for the 2016</w:t>
      </w:r>
      <w:r w:rsidRPr="001F7F0A">
        <w:noBreakHyphen/>
        <w:t xml:space="preserve">17 income year, </w:t>
      </w:r>
      <w:r w:rsidR="00CD71FE" w:rsidRPr="001F7F0A">
        <w:t xml:space="preserve">Company A’s </w:t>
      </w:r>
      <w:r w:rsidRPr="001F7F0A">
        <w:t xml:space="preserve">corporate tax rate for imputation purposes is 30 per cent. Therefore, </w:t>
      </w:r>
      <w:r w:rsidR="00247D82" w:rsidRPr="001F7F0A">
        <w:t xml:space="preserve">Company A’s </w:t>
      </w:r>
      <w:r w:rsidRPr="001F7F0A">
        <w:t xml:space="preserve">corporate tax gross-up rate for that income year will be 2.33 (that is, </w:t>
      </w:r>
      <w:r w:rsidRPr="001F7F0A">
        <w:br/>
        <w:t xml:space="preserve">(100% </w:t>
      </w:r>
      <w:r w:rsidRPr="001F7F0A">
        <w:rPr>
          <w:rFonts w:ascii="Calibri" w:hAnsi="Calibri"/>
        </w:rPr>
        <w:t>—</w:t>
      </w:r>
      <w:r w:rsidRPr="001F7F0A">
        <w:t xml:space="preserve"> 30%)/30%). </w:t>
      </w:r>
    </w:p>
    <w:p w14:paraId="1634CDC6" w14:textId="760B3431" w:rsidR="00CE0F61" w:rsidRDefault="00CE0F61" w:rsidP="004104AE">
      <w:pPr>
        <w:pStyle w:val="exampletext"/>
      </w:pPr>
      <w:r w:rsidRPr="00CE0F61">
        <w:t>Company A makes a fully franked distributio</w:t>
      </w:r>
      <w:r>
        <w:t>n of $100 per share in the 2017</w:t>
      </w:r>
      <w:r>
        <w:noBreakHyphen/>
        <w:t xml:space="preserve">18 income year. </w:t>
      </w:r>
      <w:r w:rsidRPr="00CE0F61">
        <w:t>The maximum franking credit that can be attached to that distribution is $42.</w:t>
      </w:r>
      <w:r w:rsidR="00477C68">
        <w:t>91</w:t>
      </w:r>
      <w:r w:rsidRPr="00CE0F61">
        <w:t xml:space="preserve"> (that is, $100/2.33). Company A makes the dividend payment on 31 March 2018</w:t>
      </w:r>
      <w:r>
        <w:t>.</w:t>
      </w:r>
    </w:p>
    <w:p w14:paraId="14A6C02C" w14:textId="77777777" w:rsidR="00CE0F61" w:rsidRDefault="00BA3F3F" w:rsidP="00BA3F3F">
      <w:pPr>
        <w:pStyle w:val="exampletext"/>
      </w:pPr>
      <w:r>
        <w:t>Amy holds 50 shares in Company A and receives a dividend of $5,000. Franking credits of $2,145 are attache</w:t>
      </w:r>
      <w:r w:rsidR="00CE0F61">
        <w:t>d to the dividend. For the 2017</w:t>
      </w:r>
      <w:r w:rsidR="00CE0F61">
        <w:noBreakHyphen/>
      </w:r>
      <w:r>
        <w:t>18 income year, Amy includes $7,145 in her assessable income in relation to the dividend she has received from Company A</w:t>
      </w:r>
      <w:r w:rsidR="00CE0F61">
        <w:t xml:space="preserve"> </w:t>
      </w:r>
      <w:r w:rsidR="00CE0F61">
        <w:rPr>
          <w:rFonts w:ascii="Calibri" w:hAnsi="Calibri"/>
        </w:rPr>
        <w:t xml:space="preserve">— </w:t>
      </w:r>
      <w:r>
        <w:t>that is</w:t>
      </w:r>
      <w:r w:rsidR="00CE0F61">
        <w:t>:</w:t>
      </w:r>
    </w:p>
    <w:p w14:paraId="735BE3C8" w14:textId="77777777" w:rsidR="00CE0F61" w:rsidRDefault="00BA3F3F" w:rsidP="00CE0F61">
      <w:pPr>
        <w:pStyle w:val="exampledotpoint1"/>
      </w:pPr>
      <w:r>
        <w:t>the amount of the dividend ($5,000)</w:t>
      </w:r>
      <w:r w:rsidR="00CE0F61">
        <w:t>;</w:t>
      </w:r>
      <w:r>
        <w:t xml:space="preserve"> plus </w:t>
      </w:r>
    </w:p>
    <w:p w14:paraId="61D25805" w14:textId="41533D47" w:rsidR="00CE0F61" w:rsidRDefault="00BA3F3F" w:rsidP="00CE0F61">
      <w:pPr>
        <w:pStyle w:val="exampledotpoint1"/>
      </w:pPr>
      <w:proofErr w:type="gramStart"/>
      <w:r>
        <w:t>the</w:t>
      </w:r>
      <w:proofErr w:type="gramEnd"/>
      <w:r>
        <w:t xml:space="preserve"> amou</w:t>
      </w:r>
      <w:r w:rsidR="006D41C4">
        <w:t>nt of franking credits ($2,145)</w:t>
      </w:r>
      <w:r>
        <w:t xml:space="preserve">. </w:t>
      </w:r>
    </w:p>
    <w:p w14:paraId="4060813E" w14:textId="7DEA5559" w:rsidR="00CE0F61" w:rsidRDefault="00BA3F3F" w:rsidP="00BA3F3F">
      <w:pPr>
        <w:pStyle w:val="exampletext"/>
      </w:pPr>
      <w:r>
        <w:t>Amy is entitled to a refundable tax offset equal to the amount of the franking credits. Amy’s total assessable income for t</w:t>
      </w:r>
      <w:r w:rsidR="00CE0F61">
        <w:t>he 2017</w:t>
      </w:r>
      <w:r w:rsidR="00CE0F61">
        <w:noBreakHyphen/>
        <w:t>18 </w:t>
      </w:r>
      <w:r>
        <w:t>income year is $30,000 (so that her marginal tax rate is 19</w:t>
      </w:r>
      <w:r w:rsidR="00CE0F61">
        <w:t> per cent</w:t>
      </w:r>
      <w:r>
        <w:t xml:space="preserve">). Therefore, (ignoring </w:t>
      </w:r>
      <w:proofErr w:type="spellStart"/>
      <w:r>
        <w:t>medicare</w:t>
      </w:r>
      <w:proofErr w:type="spellEnd"/>
      <w:r>
        <w:t xml:space="preserve"> levy) the tax payable by Amy on the franked dividend is $1,357.55. The excess franking credits ($787.45) will be</w:t>
      </w:r>
      <w:r w:rsidR="00CE0F61">
        <w:t>:</w:t>
      </w:r>
    </w:p>
    <w:p w14:paraId="0A6A3E96" w14:textId="65B46D3B" w:rsidR="00CE0F61" w:rsidRDefault="006D41C4" w:rsidP="00CE0F61">
      <w:pPr>
        <w:pStyle w:val="exampledotpoint1"/>
      </w:pPr>
      <w:r>
        <w:t xml:space="preserve">applied to </w:t>
      </w:r>
      <w:r w:rsidR="00BA3F3F">
        <w:t>reduce Amy’s other tax liabilities</w:t>
      </w:r>
      <w:r w:rsidR="00CE0F61">
        <w:t>; or</w:t>
      </w:r>
    </w:p>
    <w:p w14:paraId="5DB83A71" w14:textId="3F4B6DDF" w:rsidR="00BA3F3F" w:rsidRDefault="00CE0F61" w:rsidP="00CE0F61">
      <w:pPr>
        <w:pStyle w:val="exampledotpoint1"/>
      </w:pPr>
      <w:proofErr w:type="gramStart"/>
      <w:r>
        <w:lastRenderedPageBreak/>
        <w:t>if</w:t>
      </w:r>
      <w:proofErr w:type="gramEnd"/>
      <w:r>
        <w:t xml:space="preserve"> she </w:t>
      </w:r>
      <w:r w:rsidR="00BA3F3F">
        <w:t xml:space="preserve">has no other tax liabilities, </w:t>
      </w:r>
      <w:r w:rsidR="006D41C4">
        <w:t xml:space="preserve">refunded to </w:t>
      </w:r>
      <w:r w:rsidR="00BA3F3F">
        <w:t>Amy.</w:t>
      </w:r>
    </w:p>
    <w:p w14:paraId="544745D5" w14:textId="6A8DCD3A" w:rsidR="00CE0F61" w:rsidRDefault="00BA3F3F" w:rsidP="00BA3F3F">
      <w:pPr>
        <w:pStyle w:val="exampletext"/>
      </w:pPr>
      <w:r>
        <w:t>Emma also holds 50 shares in Company A and receives a dividend of $5,000. Franking credits of $2,145 are attache</w:t>
      </w:r>
      <w:r w:rsidR="00CE0F61">
        <w:t>d to the dividend. For the 2017</w:t>
      </w:r>
      <w:r w:rsidR="00CE0F61">
        <w:noBreakHyphen/>
      </w:r>
      <w:r>
        <w:t xml:space="preserve">18 income year, Emma includes $7,145 in her assessable income in relation to the dividend she has received from Company A </w:t>
      </w:r>
      <w:r w:rsidR="00CE0F61">
        <w:rPr>
          <w:rFonts w:ascii="Calibri" w:hAnsi="Calibri"/>
        </w:rPr>
        <w:t xml:space="preserve">— </w:t>
      </w:r>
      <w:r>
        <w:t>that is</w:t>
      </w:r>
      <w:r w:rsidR="00CE0F61">
        <w:t>:</w:t>
      </w:r>
      <w:r>
        <w:t xml:space="preserve"> </w:t>
      </w:r>
    </w:p>
    <w:p w14:paraId="4E426157" w14:textId="77777777" w:rsidR="00CE0F61" w:rsidRDefault="00BA3F3F" w:rsidP="00CE0F61">
      <w:pPr>
        <w:pStyle w:val="exampledotpoint1"/>
      </w:pPr>
      <w:r>
        <w:t>the amount of the dividend ($5,000)</w:t>
      </w:r>
      <w:r w:rsidR="00CE0F61">
        <w:t>;</w:t>
      </w:r>
      <w:r>
        <w:t xml:space="preserve"> plus </w:t>
      </w:r>
    </w:p>
    <w:p w14:paraId="618EE20C" w14:textId="5DDD51F1" w:rsidR="00CE0F61" w:rsidRDefault="00BA3F3F" w:rsidP="00CE0F61">
      <w:pPr>
        <w:pStyle w:val="exampledotpoint1"/>
      </w:pPr>
      <w:proofErr w:type="gramStart"/>
      <w:r>
        <w:t>the</w:t>
      </w:r>
      <w:proofErr w:type="gramEnd"/>
      <w:r>
        <w:t xml:space="preserve"> amoun</w:t>
      </w:r>
      <w:r w:rsidR="006D41C4">
        <w:t>t of franking credits ($2,145)</w:t>
      </w:r>
      <w:r>
        <w:t xml:space="preserve">.  </w:t>
      </w:r>
    </w:p>
    <w:p w14:paraId="63BC2653" w14:textId="19C1E915" w:rsidR="00BA3F3F" w:rsidRDefault="00BA3F3F" w:rsidP="00BA3F3F">
      <w:pPr>
        <w:pStyle w:val="exampletext"/>
      </w:pPr>
      <w:r>
        <w:t>Emma is entitled to a refundable tax offset equal to the amount of the franking credits. Emma’s total</w:t>
      </w:r>
      <w:r w:rsidR="00CE0F61">
        <w:t xml:space="preserve"> assessable income for the 2017</w:t>
      </w:r>
      <w:r w:rsidR="00CE0F61">
        <w:noBreakHyphen/>
        <w:t>18 </w:t>
      </w:r>
      <w:r>
        <w:t>income year is $120,000 (so that her marginal tax rate is 37</w:t>
      </w:r>
      <w:r w:rsidR="00CE0F61">
        <w:t> per cent</w:t>
      </w:r>
      <w:r>
        <w:t xml:space="preserve">). Therefore, (ignoring </w:t>
      </w:r>
      <w:proofErr w:type="spellStart"/>
      <w:r>
        <w:t>medicare</w:t>
      </w:r>
      <w:proofErr w:type="spellEnd"/>
      <w:r>
        <w:t xml:space="preserve"> levy) the tax payable by Emma on the franked dividend is $2,643.65. </w:t>
      </w:r>
      <w:r w:rsidR="00CE0F61">
        <w:t>Consequently</w:t>
      </w:r>
      <w:r>
        <w:t>, Emma will need to pay additional tax of $498.65 on the franked dividend that she has received from Company A.</w:t>
      </w:r>
    </w:p>
    <w:p w14:paraId="442D94D8" w14:textId="10767D3A" w:rsidR="008A0775" w:rsidRDefault="008A0775" w:rsidP="008A0775">
      <w:pPr>
        <w:pStyle w:val="Heading3"/>
      </w:pPr>
      <w:r>
        <w:t xml:space="preserve">Consequential amendments to the </w:t>
      </w:r>
      <w:r w:rsidR="00BC61C0" w:rsidRPr="00BC61C0">
        <w:rPr>
          <w:i/>
        </w:rPr>
        <w:t>Treasury Laws Amendment (Enterprise Tax Plan) Act 2017</w:t>
      </w:r>
    </w:p>
    <w:p w14:paraId="4B4C7C3E" w14:textId="0EC8BC30" w:rsidR="00AA4A82" w:rsidRDefault="008A0775" w:rsidP="008A0775">
      <w:pPr>
        <w:pStyle w:val="base-text-paragraph"/>
      </w:pPr>
      <w:r>
        <w:t>T</w:t>
      </w:r>
      <w:r w:rsidR="00FA2649">
        <w:t>o bring forward the concept of a base rate entity by one year, t</w:t>
      </w:r>
      <w:r>
        <w:t xml:space="preserve">hese amendments </w:t>
      </w:r>
      <w:r w:rsidR="00FA2649">
        <w:t>replace some of the provisions in</w:t>
      </w:r>
      <w:r>
        <w:t xml:space="preserve"> the </w:t>
      </w:r>
      <w:r w:rsidRPr="00BC61C0">
        <w:rPr>
          <w:i/>
        </w:rPr>
        <w:t>Treasury Laws Amendment (Enterprise Tax Plan) Act 2017</w:t>
      </w:r>
      <w:r>
        <w:t xml:space="preserve">. Therefore, consequential amendments will repeal amendments made by that Act that are now redundant. </w:t>
      </w:r>
      <w:r w:rsidRPr="00246F88">
        <w:rPr>
          <w:rStyle w:val="Referencingstyle"/>
        </w:rPr>
        <w:t>[Schedule </w:t>
      </w:r>
      <w:r>
        <w:rPr>
          <w:rStyle w:val="Referencingstyle"/>
        </w:rPr>
        <w:t>2</w:t>
      </w:r>
      <w:r w:rsidRPr="00246F88">
        <w:rPr>
          <w:rStyle w:val="Referencingstyle"/>
        </w:rPr>
        <w:t>, item</w:t>
      </w:r>
      <w:r>
        <w:rPr>
          <w:rStyle w:val="Referencingstyle"/>
        </w:rPr>
        <w:t>s</w:t>
      </w:r>
      <w:r w:rsidRPr="00246F88">
        <w:rPr>
          <w:rStyle w:val="Referencingstyle"/>
        </w:rPr>
        <w:t xml:space="preserve"> </w:t>
      </w:r>
      <w:r w:rsidR="001F7F0A">
        <w:rPr>
          <w:rStyle w:val="Referencingstyle"/>
        </w:rPr>
        <w:t>9</w:t>
      </w:r>
      <w:r>
        <w:rPr>
          <w:rStyle w:val="Referencingstyle"/>
        </w:rPr>
        <w:t xml:space="preserve"> to </w:t>
      </w:r>
      <w:r w:rsidR="00986931">
        <w:rPr>
          <w:rStyle w:val="Referencingstyle"/>
        </w:rPr>
        <w:t>1</w:t>
      </w:r>
      <w:r w:rsidR="001F7F0A">
        <w:rPr>
          <w:rStyle w:val="Referencingstyle"/>
        </w:rPr>
        <w:t>2</w:t>
      </w:r>
      <w:r w:rsidRPr="00246F88">
        <w:rPr>
          <w:rStyle w:val="Referencingstyle"/>
        </w:rPr>
        <w:t>]</w:t>
      </w:r>
      <w:r>
        <w:t xml:space="preserve"> </w:t>
      </w:r>
    </w:p>
    <w:p w14:paraId="06FE639F" w14:textId="5315AE40" w:rsidR="00BC61C0" w:rsidRDefault="00BC61C0" w:rsidP="00BC61C0">
      <w:pPr>
        <w:pStyle w:val="Heading3"/>
      </w:pPr>
      <w:r>
        <w:t>Consequential amendments to the Rates Act</w:t>
      </w:r>
    </w:p>
    <w:p w14:paraId="4271E976" w14:textId="77777777" w:rsidR="00BC61C0" w:rsidRDefault="00BC61C0" w:rsidP="00BC61C0">
      <w:pPr>
        <w:pStyle w:val="base-text-paragraph"/>
        <w:numPr>
          <w:ilvl w:val="1"/>
          <w:numId w:val="32"/>
        </w:numPr>
      </w:pPr>
      <w:r>
        <w:t>Under the second phase of the Enterprise Tax Plan, in the 2023</w:t>
      </w:r>
      <w:r>
        <w:noBreakHyphen/>
        <w:t>24 income year, the corporate tax rate will be 27.5 per cent all corporate tax entities, with the consequence that there will no longer be a need to identify an entity that is a base rate entity.</w:t>
      </w:r>
    </w:p>
    <w:p w14:paraId="3D0FF6BB" w14:textId="5C213A5C" w:rsidR="00BC61C0" w:rsidRPr="00FA2649" w:rsidRDefault="00BC61C0" w:rsidP="00BC61C0">
      <w:pPr>
        <w:pStyle w:val="base-text-paragraph"/>
        <w:numPr>
          <w:ilvl w:val="1"/>
          <w:numId w:val="32"/>
        </w:numPr>
        <w:rPr>
          <w:rStyle w:val="Referencingstyle"/>
          <w:b w:val="0"/>
          <w:i w:val="0"/>
          <w:sz w:val="22"/>
        </w:rPr>
      </w:pPr>
      <w:r>
        <w:t>Consequently, if the</w:t>
      </w:r>
      <w:r w:rsidRPr="00BC61C0">
        <w:t xml:space="preserve"> </w:t>
      </w:r>
      <w:r w:rsidRPr="00BC61C0">
        <w:rPr>
          <w:i/>
        </w:rPr>
        <w:t>Treasury Laws Amendment (Enterprise Tax Plan</w:t>
      </w:r>
      <w:r>
        <w:rPr>
          <w:i/>
        </w:rPr>
        <w:t xml:space="preserve"> No. 2</w:t>
      </w:r>
      <w:r w:rsidRPr="00BC61C0">
        <w:rPr>
          <w:i/>
        </w:rPr>
        <w:t>) Act 2017</w:t>
      </w:r>
      <w:r>
        <w:t xml:space="preserve"> </w:t>
      </w:r>
      <w:r w:rsidR="00204E7C">
        <w:t xml:space="preserve">comes into force and </w:t>
      </w:r>
      <w:r>
        <w:t>com</w:t>
      </w:r>
      <w:r w:rsidR="00204E7C">
        <w:t>mences</w:t>
      </w:r>
      <w:r>
        <w:t xml:space="preserve">, the definition of </w:t>
      </w:r>
      <w:r w:rsidRPr="00BC61C0">
        <w:rPr>
          <w:i/>
        </w:rPr>
        <w:t>base rate passive income</w:t>
      </w:r>
      <w:r>
        <w:t xml:space="preserve"> will be repeal</w:t>
      </w:r>
      <w:r w:rsidR="001F7F0A">
        <w:t>ed with effect from the 2023</w:t>
      </w:r>
      <w:r w:rsidR="001F7F0A">
        <w:noBreakHyphen/>
        <w:t>24 </w:t>
      </w:r>
      <w:r>
        <w:t xml:space="preserve">income year. </w:t>
      </w:r>
      <w:r w:rsidR="00204E7C">
        <w:rPr>
          <w:rStyle w:val="Referencingstyle"/>
        </w:rPr>
        <w:t xml:space="preserve">[Item 7 of the table in subsection 2(1); </w:t>
      </w:r>
      <w:r w:rsidRPr="00246F88">
        <w:rPr>
          <w:rStyle w:val="Referencingstyle"/>
        </w:rPr>
        <w:t>Schedule </w:t>
      </w:r>
      <w:r>
        <w:rPr>
          <w:rStyle w:val="Referencingstyle"/>
        </w:rPr>
        <w:t>2</w:t>
      </w:r>
      <w:r w:rsidRPr="00246F88">
        <w:rPr>
          <w:rStyle w:val="Referencingstyle"/>
        </w:rPr>
        <w:t>, item</w:t>
      </w:r>
      <w:r>
        <w:rPr>
          <w:rStyle w:val="Referencingstyle"/>
        </w:rPr>
        <w:t>s</w:t>
      </w:r>
      <w:r w:rsidRPr="00246F88">
        <w:rPr>
          <w:rStyle w:val="Referencingstyle"/>
        </w:rPr>
        <w:t xml:space="preserve"> </w:t>
      </w:r>
      <w:r w:rsidR="00986931">
        <w:rPr>
          <w:rStyle w:val="Referencingstyle"/>
        </w:rPr>
        <w:t>1</w:t>
      </w:r>
      <w:r w:rsidR="001F7F0A">
        <w:rPr>
          <w:rStyle w:val="Referencingstyle"/>
        </w:rPr>
        <w:t>3 to </w:t>
      </w:r>
      <w:r w:rsidR="00986931">
        <w:rPr>
          <w:rStyle w:val="Referencingstyle"/>
        </w:rPr>
        <w:t>1</w:t>
      </w:r>
      <w:r w:rsidR="001F7F0A">
        <w:rPr>
          <w:rStyle w:val="Referencingstyle"/>
        </w:rPr>
        <w:t>5</w:t>
      </w:r>
      <w:r w:rsidRPr="00246F88">
        <w:rPr>
          <w:rStyle w:val="Referencingstyle"/>
        </w:rPr>
        <w:t>]</w:t>
      </w:r>
    </w:p>
    <w:p w14:paraId="42985DC9" w14:textId="77777777" w:rsidR="00873B9D" w:rsidRDefault="00873B9D" w:rsidP="00570968">
      <w:pPr>
        <w:pStyle w:val="Heading2"/>
      </w:pPr>
      <w:r>
        <w:t>Application and transitional provisions</w:t>
      </w:r>
    </w:p>
    <w:p w14:paraId="73D04202" w14:textId="53D1962A" w:rsidR="00204E7C" w:rsidRDefault="00204E7C" w:rsidP="001738B7">
      <w:pPr>
        <w:pStyle w:val="base-text-paragraph"/>
      </w:pPr>
      <w:r>
        <w:t>The amendments apply to the 2016</w:t>
      </w:r>
      <w:r>
        <w:noBreakHyphen/>
        <w:t>17 income year and later years of income and</w:t>
      </w:r>
      <w:r w:rsidR="002B3EC6">
        <w:t>, broadly,</w:t>
      </w:r>
      <w:r>
        <w:t xml:space="preserve"> commence on 1 July 2016. </w:t>
      </w:r>
      <w:r w:rsidRPr="00246F88">
        <w:rPr>
          <w:rStyle w:val="Referencingstyle"/>
        </w:rPr>
        <w:t>[</w:t>
      </w:r>
      <w:r>
        <w:rPr>
          <w:rStyle w:val="Referencingstyle"/>
        </w:rPr>
        <w:t xml:space="preserve">Subsection 2(1); </w:t>
      </w:r>
      <w:r w:rsidRPr="00246F88">
        <w:rPr>
          <w:rStyle w:val="Referencingstyle"/>
        </w:rPr>
        <w:t>Schedule </w:t>
      </w:r>
      <w:r>
        <w:rPr>
          <w:rStyle w:val="Referencingstyle"/>
        </w:rPr>
        <w:t>1</w:t>
      </w:r>
      <w:r w:rsidRPr="00246F88">
        <w:rPr>
          <w:rStyle w:val="Referencingstyle"/>
        </w:rPr>
        <w:t xml:space="preserve">, item </w:t>
      </w:r>
      <w:r>
        <w:rPr>
          <w:rStyle w:val="Referencingstyle"/>
        </w:rPr>
        <w:t>15</w:t>
      </w:r>
      <w:r w:rsidR="00247D82">
        <w:rPr>
          <w:rStyle w:val="Referencingstyle"/>
        </w:rPr>
        <w:t xml:space="preserve">; Schedule 2, item </w:t>
      </w:r>
      <w:r w:rsidR="001F7F0A">
        <w:rPr>
          <w:rStyle w:val="Referencingstyle"/>
        </w:rPr>
        <w:t>8</w:t>
      </w:r>
      <w:r w:rsidRPr="00246F88">
        <w:rPr>
          <w:rStyle w:val="Referencingstyle"/>
        </w:rPr>
        <w:t>]</w:t>
      </w:r>
    </w:p>
    <w:p w14:paraId="5A7F50CB" w14:textId="41C7AA7D" w:rsidR="00CE0F61" w:rsidRDefault="00CE0F61" w:rsidP="00CE0F61">
      <w:pPr>
        <w:pStyle w:val="base-text-paragraph"/>
      </w:pPr>
      <w:r w:rsidRPr="00CE0F61">
        <w:lastRenderedPageBreak/>
        <w:t>The applicatio</w:t>
      </w:r>
      <w:r>
        <w:t>n of the amendments to the 2016</w:t>
      </w:r>
      <w:r>
        <w:noBreakHyphen/>
      </w:r>
      <w:r w:rsidRPr="00CE0F61">
        <w:t xml:space="preserve">17 income year is necessary to clarify the eligibility for the lower corporate tax rate. This change will make it easier for all </w:t>
      </w:r>
      <w:r>
        <w:t>small business entities to self</w:t>
      </w:r>
      <w:r>
        <w:noBreakHyphen/>
      </w:r>
      <w:r w:rsidRPr="00CE0F61">
        <w:t xml:space="preserve">assess their eligibility for the lower corporate tax rate. </w:t>
      </w:r>
    </w:p>
    <w:p w14:paraId="04D83B9B" w14:textId="77777777" w:rsidR="00873B9D" w:rsidRDefault="00873B9D" w:rsidP="00570968">
      <w:pPr>
        <w:pStyle w:val="Hiddentext"/>
      </w:pPr>
      <w:r>
        <w:t>Do not remove section break.</w:t>
      </w:r>
    </w:p>
    <w:p w14:paraId="76735750" w14:textId="77777777" w:rsidR="00873B9D" w:rsidRDefault="00873B9D" w:rsidP="00570968">
      <w:pPr>
        <w:sectPr w:rsidR="00873B9D" w:rsidSect="00570968">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41E98622" w14:textId="77777777" w:rsidR="00D85BEA" w:rsidRPr="00200C32" w:rsidRDefault="00D85BEA" w:rsidP="00005CFC"/>
    <w:sectPr w:rsidR="00D85BEA" w:rsidRPr="00200C32" w:rsidSect="00821379">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D73F8" w14:textId="77777777" w:rsidR="00873B9D" w:rsidRDefault="00873B9D">
      <w:r>
        <w:separator/>
      </w:r>
    </w:p>
  </w:endnote>
  <w:endnote w:type="continuationSeparator" w:id="0">
    <w:p w14:paraId="6459EFBF" w14:textId="77777777" w:rsidR="00873B9D" w:rsidRDefault="0087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EB511" w14:textId="77777777" w:rsidR="00DD58E1" w:rsidRDefault="00DD58E1"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D605" w14:textId="77777777" w:rsidR="00873B9D" w:rsidRDefault="00873B9D" w:rsidP="00570968">
    <w:pPr>
      <w:pStyle w:val="rightfooter"/>
    </w:pPr>
    <w:r>
      <w:fldChar w:fldCharType="begin"/>
    </w:r>
    <w:r>
      <w:instrText xml:space="preserve"> PAGE   \* MERGEFORMAT </w:instrText>
    </w:r>
    <w:r>
      <w:fldChar w:fldCharType="separate"/>
    </w:r>
    <w:r w:rsidR="0064593F">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7229" w14:textId="77777777" w:rsidR="00873B9D" w:rsidRDefault="00873B9D" w:rsidP="00570968">
    <w:pPr>
      <w:pStyle w:val="rightfooter"/>
    </w:pPr>
    <w:r>
      <w:fldChar w:fldCharType="begin"/>
    </w:r>
    <w:r>
      <w:instrText xml:space="preserve"> PAGE  \* Arabic  \* MERGEFORMAT </w:instrText>
    </w:r>
    <w:r>
      <w:fldChar w:fldCharType="separate"/>
    </w:r>
    <w:r w:rsidR="0064593F">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2B78" w14:textId="77777777" w:rsidR="001D5436" w:rsidRDefault="001D5436"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E5C3" w14:textId="77777777" w:rsidR="001D5436" w:rsidRDefault="001D5436"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463C" w14:textId="77777777" w:rsidR="001D5436" w:rsidRDefault="001D5436" w:rsidP="005A76CC">
    <w:pPr>
      <w:pStyle w:val="rightfooter"/>
    </w:pPr>
    <w:r>
      <w:fldChar w:fldCharType="begin"/>
    </w:r>
    <w:r>
      <w:instrText xml:space="preserve"> PAGE  \* Arabic  \* MERGEFORMAT </w:instrText>
    </w:r>
    <w:r>
      <w:fldChar w:fldCharType="separate"/>
    </w:r>
    <w:r w:rsidR="0064593F">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AAEE" w14:textId="77777777" w:rsidR="00DD58E1" w:rsidRDefault="00DD58E1"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D887E" w14:textId="77777777" w:rsidR="00DD58E1" w:rsidRDefault="00DD58E1"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84C9" w14:textId="77777777" w:rsidR="00DD58E1" w:rsidRDefault="00DD58E1"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EFCE" w14:textId="77777777" w:rsidR="00DD58E1" w:rsidRPr="00B2068E" w:rsidRDefault="00DD58E1" w:rsidP="003343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7491" w14:textId="77777777" w:rsidR="00DD58E1" w:rsidRDefault="00DD58E1" w:rsidP="007C3C9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3039" w14:textId="77777777" w:rsidR="00DD58E1" w:rsidRDefault="00DD58E1" w:rsidP="007C3C9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540B" w14:textId="77777777" w:rsidR="00DD58E1" w:rsidRDefault="00DD58E1" w:rsidP="007C3C95">
    <w:pPr>
      <w:pStyle w:val="rightfooter"/>
    </w:pPr>
    <w:r>
      <w:fldChar w:fldCharType="begin"/>
    </w:r>
    <w:r>
      <w:instrText xml:space="preserve"> PAGE  \* Arabic  \* MERGEFORMAT </w:instrText>
    </w:r>
    <w:r>
      <w:fldChar w:fldCharType="separate"/>
    </w:r>
    <w:r w:rsidR="0064593F">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ACFB3" w14:textId="77777777" w:rsidR="00873B9D" w:rsidRDefault="00873B9D" w:rsidP="00570968">
    <w:pPr>
      <w:pStyle w:val="leftfooter"/>
    </w:pPr>
    <w:r>
      <w:fldChar w:fldCharType="begin"/>
    </w:r>
    <w:r>
      <w:instrText xml:space="preserve"> PAGE   \* MERGEFORMAT </w:instrText>
    </w:r>
    <w:r>
      <w:fldChar w:fldCharType="separate"/>
    </w:r>
    <w:r w:rsidR="0064593F">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99BF" w14:textId="77777777" w:rsidR="00873B9D" w:rsidRDefault="00873B9D">
      <w:r>
        <w:separator/>
      </w:r>
    </w:p>
  </w:footnote>
  <w:footnote w:type="continuationSeparator" w:id="0">
    <w:p w14:paraId="1EE0EDC0" w14:textId="77777777" w:rsidR="00873B9D" w:rsidRDefault="0087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32CB" w14:textId="77777777" w:rsidR="00DD58E1" w:rsidRDefault="00DD58E1" w:rsidP="0033433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9B69" w14:textId="6A3BCB2D" w:rsidR="00873B9D" w:rsidRDefault="00DD58E1" w:rsidP="00570968">
    <w:pPr>
      <w:pStyle w:val="rightheader"/>
    </w:pPr>
    <w:r w:rsidRPr="00DD58E1">
      <w:t>Enterprise tax plan base rate entities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B367" w14:textId="77777777" w:rsidR="001D5436" w:rsidRDefault="001D5436"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A68E" w14:textId="77777777" w:rsidR="001D5436" w:rsidRDefault="001D5436"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6202" w14:textId="77777777" w:rsidR="00DD58E1" w:rsidRDefault="00DD58E1"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C267" w14:textId="77777777" w:rsidR="00DD58E1" w:rsidRDefault="0064593F">
    <w:pPr>
      <w:pStyle w:val="Header"/>
    </w:pPr>
    <w:r>
      <w:rPr>
        <w:noProof/>
      </w:rPr>
      <w:pict w14:anchorId="28ADA6BC">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4300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B4E75" w14:textId="77777777" w:rsidR="00DD58E1" w:rsidRDefault="00DD58E1"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390C" w14:textId="77777777" w:rsidR="00DD58E1" w:rsidRDefault="00DD58E1"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5647D" w14:textId="77777777" w:rsidR="00DD58E1" w:rsidRDefault="00DD58E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70D93" w14:textId="77777777" w:rsidR="00DD58E1" w:rsidRDefault="00DD58E1" w:rsidP="007C3C95">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6E1B6" w14:textId="77777777" w:rsidR="00DD58E1" w:rsidRDefault="00DD58E1" w:rsidP="007C3C95">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7A8A1" w14:textId="1C67C469" w:rsidR="00873B9D" w:rsidRDefault="00DD58E1" w:rsidP="00570968">
    <w:pPr>
      <w:pStyle w:val="leftheader"/>
    </w:pPr>
    <w:r w:rsidRPr="00DD58E1">
      <w:t>Treasury Laws Amendment (Enterprise Tax Plan Base Rate Entities)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9D"/>
    <w:rsid w:val="00005CFC"/>
    <w:rsid w:val="000063C3"/>
    <w:rsid w:val="00011D69"/>
    <w:rsid w:val="00012F66"/>
    <w:rsid w:val="000327A2"/>
    <w:rsid w:val="0003305A"/>
    <w:rsid w:val="00034BE8"/>
    <w:rsid w:val="00050170"/>
    <w:rsid w:val="0005600E"/>
    <w:rsid w:val="000566AC"/>
    <w:rsid w:val="00060758"/>
    <w:rsid w:val="00067E1D"/>
    <w:rsid w:val="000705A5"/>
    <w:rsid w:val="000725C0"/>
    <w:rsid w:val="00075250"/>
    <w:rsid w:val="00076543"/>
    <w:rsid w:val="00076E86"/>
    <w:rsid w:val="000835C7"/>
    <w:rsid w:val="000847AE"/>
    <w:rsid w:val="00085C5D"/>
    <w:rsid w:val="0009055D"/>
    <w:rsid w:val="0009491D"/>
    <w:rsid w:val="000960B7"/>
    <w:rsid w:val="000A0AFD"/>
    <w:rsid w:val="000A2094"/>
    <w:rsid w:val="000A341E"/>
    <w:rsid w:val="000A5B26"/>
    <w:rsid w:val="000A6DBE"/>
    <w:rsid w:val="000B7FBA"/>
    <w:rsid w:val="000C06D9"/>
    <w:rsid w:val="000C4A9F"/>
    <w:rsid w:val="000D0A9D"/>
    <w:rsid w:val="000D54A6"/>
    <w:rsid w:val="000D7CB2"/>
    <w:rsid w:val="000E089D"/>
    <w:rsid w:val="000E5B9A"/>
    <w:rsid w:val="00107C9E"/>
    <w:rsid w:val="001114E6"/>
    <w:rsid w:val="00113E19"/>
    <w:rsid w:val="00121EB0"/>
    <w:rsid w:val="00123D96"/>
    <w:rsid w:val="0012405D"/>
    <w:rsid w:val="00124E15"/>
    <w:rsid w:val="00131E0C"/>
    <w:rsid w:val="0014197C"/>
    <w:rsid w:val="00147843"/>
    <w:rsid w:val="00174A29"/>
    <w:rsid w:val="001757E2"/>
    <w:rsid w:val="001A7A18"/>
    <w:rsid w:val="001D5436"/>
    <w:rsid w:val="001E6545"/>
    <w:rsid w:val="001F7F0A"/>
    <w:rsid w:val="00200C32"/>
    <w:rsid w:val="00200E96"/>
    <w:rsid w:val="00201B36"/>
    <w:rsid w:val="00204E7C"/>
    <w:rsid w:val="00220D6C"/>
    <w:rsid w:val="00222D57"/>
    <w:rsid w:val="00231CBA"/>
    <w:rsid w:val="00236A1C"/>
    <w:rsid w:val="00246F88"/>
    <w:rsid w:val="00247D82"/>
    <w:rsid w:val="00250154"/>
    <w:rsid w:val="00253E01"/>
    <w:rsid w:val="002576C7"/>
    <w:rsid w:val="00266048"/>
    <w:rsid w:val="00272FD3"/>
    <w:rsid w:val="002748EB"/>
    <w:rsid w:val="002857E2"/>
    <w:rsid w:val="002A0276"/>
    <w:rsid w:val="002A0A1C"/>
    <w:rsid w:val="002A4F1C"/>
    <w:rsid w:val="002A64A2"/>
    <w:rsid w:val="002B3EC6"/>
    <w:rsid w:val="002C43E8"/>
    <w:rsid w:val="002D2436"/>
    <w:rsid w:val="002D6555"/>
    <w:rsid w:val="002E3A4D"/>
    <w:rsid w:val="002E5FD3"/>
    <w:rsid w:val="002F2244"/>
    <w:rsid w:val="002F3991"/>
    <w:rsid w:val="002F75B0"/>
    <w:rsid w:val="0030256C"/>
    <w:rsid w:val="00320374"/>
    <w:rsid w:val="00325BF0"/>
    <w:rsid w:val="0034598D"/>
    <w:rsid w:val="00345CCB"/>
    <w:rsid w:val="00346BEB"/>
    <w:rsid w:val="003501C2"/>
    <w:rsid w:val="003505E3"/>
    <w:rsid w:val="0036787F"/>
    <w:rsid w:val="00370AE1"/>
    <w:rsid w:val="00370CF4"/>
    <w:rsid w:val="003719A4"/>
    <w:rsid w:val="00376FAF"/>
    <w:rsid w:val="00377CD4"/>
    <w:rsid w:val="00386A6F"/>
    <w:rsid w:val="00387BAB"/>
    <w:rsid w:val="00390E94"/>
    <w:rsid w:val="0039400F"/>
    <w:rsid w:val="003A311E"/>
    <w:rsid w:val="003A5A84"/>
    <w:rsid w:val="003A5D7E"/>
    <w:rsid w:val="003B2C77"/>
    <w:rsid w:val="003B3D1D"/>
    <w:rsid w:val="003B550D"/>
    <w:rsid w:val="003C1301"/>
    <w:rsid w:val="003C5BA3"/>
    <w:rsid w:val="003D6FD9"/>
    <w:rsid w:val="003D734D"/>
    <w:rsid w:val="003D7F02"/>
    <w:rsid w:val="003E0794"/>
    <w:rsid w:val="003E5EE9"/>
    <w:rsid w:val="003E68F7"/>
    <w:rsid w:val="003F096C"/>
    <w:rsid w:val="003F4BD0"/>
    <w:rsid w:val="004104AE"/>
    <w:rsid w:val="00411C02"/>
    <w:rsid w:val="0041699B"/>
    <w:rsid w:val="0043366C"/>
    <w:rsid w:val="00433B1D"/>
    <w:rsid w:val="00433FD9"/>
    <w:rsid w:val="00436054"/>
    <w:rsid w:val="00441D38"/>
    <w:rsid w:val="00442FB9"/>
    <w:rsid w:val="0044391B"/>
    <w:rsid w:val="00450635"/>
    <w:rsid w:val="00451BB3"/>
    <w:rsid w:val="00457BC3"/>
    <w:rsid w:val="00460019"/>
    <w:rsid w:val="00465A34"/>
    <w:rsid w:val="00470181"/>
    <w:rsid w:val="004710EB"/>
    <w:rsid w:val="00475D9F"/>
    <w:rsid w:val="00477C68"/>
    <w:rsid w:val="00480C91"/>
    <w:rsid w:val="004836D2"/>
    <w:rsid w:val="00483A94"/>
    <w:rsid w:val="004A141B"/>
    <w:rsid w:val="004B755A"/>
    <w:rsid w:val="004C1468"/>
    <w:rsid w:val="004D6B85"/>
    <w:rsid w:val="004E161F"/>
    <w:rsid w:val="004E6082"/>
    <w:rsid w:val="00502551"/>
    <w:rsid w:val="00504D4A"/>
    <w:rsid w:val="005052B0"/>
    <w:rsid w:val="0050652E"/>
    <w:rsid w:val="00515E69"/>
    <w:rsid w:val="005177DF"/>
    <w:rsid w:val="00517B68"/>
    <w:rsid w:val="00523617"/>
    <w:rsid w:val="005255EA"/>
    <w:rsid w:val="005408E6"/>
    <w:rsid w:val="0054284D"/>
    <w:rsid w:val="00555D38"/>
    <w:rsid w:val="00560C14"/>
    <w:rsid w:val="00580C19"/>
    <w:rsid w:val="00585AFF"/>
    <w:rsid w:val="005A5348"/>
    <w:rsid w:val="005A5BB3"/>
    <w:rsid w:val="005A76CC"/>
    <w:rsid w:val="005B22C7"/>
    <w:rsid w:val="005B546F"/>
    <w:rsid w:val="005C0475"/>
    <w:rsid w:val="005C2B1A"/>
    <w:rsid w:val="005C6FB4"/>
    <w:rsid w:val="005D0F90"/>
    <w:rsid w:val="005E661F"/>
    <w:rsid w:val="005E741D"/>
    <w:rsid w:val="005E77E1"/>
    <w:rsid w:val="0060211C"/>
    <w:rsid w:val="006071CA"/>
    <w:rsid w:val="006071E9"/>
    <w:rsid w:val="00621923"/>
    <w:rsid w:val="006412C3"/>
    <w:rsid w:val="0064593F"/>
    <w:rsid w:val="00653DA2"/>
    <w:rsid w:val="006655F9"/>
    <w:rsid w:val="006712FD"/>
    <w:rsid w:val="00676AC8"/>
    <w:rsid w:val="00682CEC"/>
    <w:rsid w:val="006857AE"/>
    <w:rsid w:val="006916A8"/>
    <w:rsid w:val="006A4718"/>
    <w:rsid w:val="006B4855"/>
    <w:rsid w:val="006C3CEB"/>
    <w:rsid w:val="006D4184"/>
    <w:rsid w:val="006D41C4"/>
    <w:rsid w:val="006D4CA4"/>
    <w:rsid w:val="006D737B"/>
    <w:rsid w:val="006E01A2"/>
    <w:rsid w:val="006E08FB"/>
    <w:rsid w:val="006E60FD"/>
    <w:rsid w:val="006F7AFB"/>
    <w:rsid w:val="007001D0"/>
    <w:rsid w:val="00703C25"/>
    <w:rsid w:val="00707D39"/>
    <w:rsid w:val="00710171"/>
    <w:rsid w:val="007155B4"/>
    <w:rsid w:val="00725B4F"/>
    <w:rsid w:val="007329C5"/>
    <w:rsid w:val="00736240"/>
    <w:rsid w:val="007439D0"/>
    <w:rsid w:val="007454F8"/>
    <w:rsid w:val="00753239"/>
    <w:rsid w:val="00762AAE"/>
    <w:rsid w:val="00762D28"/>
    <w:rsid w:val="007652BC"/>
    <w:rsid w:val="00766B32"/>
    <w:rsid w:val="00774214"/>
    <w:rsid w:val="007871CD"/>
    <w:rsid w:val="00790795"/>
    <w:rsid w:val="00792ECD"/>
    <w:rsid w:val="00793F75"/>
    <w:rsid w:val="007966EF"/>
    <w:rsid w:val="007A1BCB"/>
    <w:rsid w:val="007A4C99"/>
    <w:rsid w:val="007B188B"/>
    <w:rsid w:val="007B23EE"/>
    <w:rsid w:val="007D1821"/>
    <w:rsid w:val="007E25E0"/>
    <w:rsid w:val="007E3C31"/>
    <w:rsid w:val="007F5B1F"/>
    <w:rsid w:val="00813210"/>
    <w:rsid w:val="008147F1"/>
    <w:rsid w:val="00820392"/>
    <w:rsid w:val="008212B5"/>
    <w:rsid w:val="00821379"/>
    <w:rsid w:val="00827930"/>
    <w:rsid w:val="00830A28"/>
    <w:rsid w:val="00832743"/>
    <w:rsid w:val="00835001"/>
    <w:rsid w:val="00844687"/>
    <w:rsid w:val="00855D57"/>
    <w:rsid w:val="00867F0F"/>
    <w:rsid w:val="00873B9D"/>
    <w:rsid w:val="008752F1"/>
    <w:rsid w:val="00885BE8"/>
    <w:rsid w:val="00890245"/>
    <w:rsid w:val="008923A4"/>
    <w:rsid w:val="008A0775"/>
    <w:rsid w:val="008B0747"/>
    <w:rsid w:val="008B095D"/>
    <w:rsid w:val="008B31CE"/>
    <w:rsid w:val="008B56B5"/>
    <w:rsid w:val="008C359D"/>
    <w:rsid w:val="008C51F4"/>
    <w:rsid w:val="008C68A9"/>
    <w:rsid w:val="008D0AE4"/>
    <w:rsid w:val="008D4C40"/>
    <w:rsid w:val="008D75E9"/>
    <w:rsid w:val="008E5E62"/>
    <w:rsid w:val="008F1A67"/>
    <w:rsid w:val="008F5AB9"/>
    <w:rsid w:val="008F726E"/>
    <w:rsid w:val="00901ED2"/>
    <w:rsid w:val="009125BB"/>
    <w:rsid w:val="00915FA5"/>
    <w:rsid w:val="00917DED"/>
    <w:rsid w:val="00922787"/>
    <w:rsid w:val="00926E36"/>
    <w:rsid w:val="00935C6B"/>
    <w:rsid w:val="00937B71"/>
    <w:rsid w:val="00940BFD"/>
    <w:rsid w:val="0095290C"/>
    <w:rsid w:val="009530DE"/>
    <w:rsid w:val="00953F17"/>
    <w:rsid w:val="009615B2"/>
    <w:rsid w:val="0096411E"/>
    <w:rsid w:val="00973550"/>
    <w:rsid w:val="009759C8"/>
    <w:rsid w:val="00986931"/>
    <w:rsid w:val="009973BE"/>
    <w:rsid w:val="009977B4"/>
    <w:rsid w:val="00997812"/>
    <w:rsid w:val="009A2B11"/>
    <w:rsid w:val="009A4908"/>
    <w:rsid w:val="009B0AB7"/>
    <w:rsid w:val="009B2AD6"/>
    <w:rsid w:val="009B3657"/>
    <w:rsid w:val="009C380E"/>
    <w:rsid w:val="009E5ACA"/>
    <w:rsid w:val="009E6C76"/>
    <w:rsid w:val="00A01492"/>
    <w:rsid w:val="00A03E30"/>
    <w:rsid w:val="00A04A9F"/>
    <w:rsid w:val="00A07DDF"/>
    <w:rsid w:val="00A1128B"/>
    <w:rsid w:val="00A22C72"/>
    <w:rsid w:val="00A27B13"/>
    <w:rsid w:val="00A27B94"/>
    <w:rsid w:val="00A32143"/>
    <w:rsid w:val="00A332EA"/>
    <w:rsid w:val="00A37F77"/>
    <w:rsid w:val="00A44E9C"/>
    <w:rsid w:val="00A516CB"/>
    <w:rsid w:val="00A53EB2"/>
    <w:rsid w:val="00A54CD3"/>
    <w:rsid w:val="00A575AE"/>
    <w:rsid w:val="00A61078"/>
    <w:rsid w:val="00A62D18"/>
    <w:rsid w:val="00A65D09"/>
    <w:rsid w:val="00A722B0"/>
    <w:rsid w:val="00A731FE"/>
    <w:rsid w:val="00A834B8"/>
    <w:rsid w:val="00A86F1A"/>
    <w:rsid w:val="00A9159F"/>
    <w:rsid w:val="00A9275F"/>
    <w:rsid w:val="00A93921"/>
    <w:rsid w:val="00A96322"/>
    <w:rsid w:val="00AA20C9"/>
    <w:rsid w:val="00AA2141"/>
    <w:rsid w:val="00AA4A82"/>
    <w:rsid w:val="00AA50D8"/>
    <w:rsid w:val="00AA5524"/>
    <w:rsid w:val="00AD1AAD"/>
    <w:rsid w:val="00AD4ABE"/>
    <w:rsid w:val="00AD687A"/>
    <w:rsid w:val="00AD6DC4"/>
    <w:rsid w:val="00AD6E17"/>
    <w:rsid w:val="00AE23F9"/>
    <w:rsid w:val="00AF0A9F"/>
    <w:rsid w:val="00AF0EB2"/>
    <w:rsid w:val="00AF3340"/>
    <w:rsid w:val="00AF55CA"/>
    <w:rsid w:val="00B00C37"/>
    <w:rsid w:val="00B07898"/>
    <w:rsid w:val="00B206C1"/>
    <w:rsid w:val="00B31641"/>
    <w:rsid w:val="00B321BE"/>
    <w:rsid w:val="00B3403E"/>
    <w:rsid w:val="00B6273D"/>
    <w:rsid w:val="00B64794"/>
    <w:rsid w:val="00B654ED"/>
    <w:rsid w:val="00B67600"/>
    <w:rsid w:val="00B725B1"/>
    <w:rsid w:val="00B7388C"/>
    <w:rsid w:val="00B7408F"/>
    <w:rsid w:val="00B75DB6"/>
    <w:rsid w:val="00B93631"/>
    <w:rsid w:val="00B94871"/>
    <w:rsid w:val="00B94FB4"/>
    <w:rsid w:val="00BA2235"/>
    <w:rsid w:val="00BA2903"/>
    <w:rsid w:val="00BA3F3F"/>
    <w:rsid w:val="00BA728F"/>
    <w:rsid w:val="00BC33C9"/>
    <w:rsid w:val="00BC3DB1"/>
    <w:rsid w:val="00BC61C0"/>
    <w:rsid w:val="00BD4513"/>
    <w:rsid w:val="00BD612D"/>
    <w:rsid w:val="00BE681A"/>
    <w:rsid w:val="00BF1C59"/>
    <w:rsid w:val="00C03AF3"/>
    <w:rsid w:val="00C05595"/>
    <w:rsid w:val="00C1738A"/>
    <w:rsid w:val="00C26CB0"/>
    <w:rsid w:val="00C27414"/>
    <w:rsid w:val="00C32240"/>
    <w:rsid w:val="00C44D85"/>
    <w:rsid w:val="00C55D39"/>
    <w:rsid w:val="00C643DF"/>
    <w:rsid w:val="00C744BC"/>
    <w:rsid w:val="00C8648B"/>
    <w:rsid w:val="00C947E7"/>
    <w:rsid w:val="00C978EF"/>
    <w:rsid w:val="00CA5F63"/>
    <w:rsid w:val="00CA5FD4"/>
    <w:rsid w:val="00CA7CDA"/>
    <w:rsid w:val="00CB007F"/>
    <w:rsid w:val="00CB6473"/>
    <w:rsid w:val="00CC09C5"/>
    <w:rsid w:val="00CC5A10"/>
    <w:rsid w:val="00CD1FA8"/>
    <w:rsid w:val="00CD71FE"/>
    <w:rsid w:val="00CE0F61"/>
    <w:rsid w:val="00CE1CB4"/>
    <w:rsid w:val="00CE4136"/>
    <w:rsid w:val="00CE5590"/>
    <w:rsid w:val="00CF3913"/>
    <w:rsid w:val="00CF5226"/>
    <w:rsid w:val="00CF5EE9"/>
    <w:rsid w:val="00CF670E"/>
    <w:rsid w:val="00D01826"/>
    <w:rsid w:val="00D01E95"/>
    <w:rsid w:val="00D11D73"/>
    <w:rsid w:val="00D15430"/>
    <w:rsid w:val="00D20A54"/>
    <w:rsid w:val="00D22699"/>
    <w:rsid w:val="00D363E1"/>
    <w:rsid w:val="00D372B4"/>
    <w:rsid w:val="00D4029F"/>
    <w:rsid w:val="00D522E9"/>
    <w:rsid w:val="00D66F0C"/>
    <w:rsid w:val="00D67ADC"/>
    <w:rsid w:val="00D75FB3"/>
    <w:rsid w:val="00D85B38"/>
    <w:rsid w:val="00D85BEA"/>
    <w:rsid w:val="00D90D9C"/>
    <w:rsid w:val="00D93657"/>
    <w:rsid w:val="00D96329"/>
    <w:rsid w:val="00D963F2"/>
    <w:rsid w:val="00DA4D6C"/>
    <w:rsid w:val="00DA72C6"/>
    <w:rsid w:val="00DB1F26"/>
    <w:rsid w:val="00DB36FF"/>
    <w:rsid w:val="00DB4106"/>
    <w:rsid w:val="00DD2EC4"/>
    <w:rsid w:val="00DD58E1"/>
    <w:rsid w:val="00DD6306"/>
    <w:rsid w:val="00DE2E40"/>
    <w:rsid w:val="00E01A29"/>
    <w:rsid w:val="00E110EE"/>
    <w:rsid w:val="00E2061C"/>
    <w:rsid w:val="00E31B34"/>
    <w:rsid w:val="00E33716"/>
    <w:rsid w:val="00E47DF5"/>
    <w:rsid w:val="00E509B6"/>
    <w:rsid w:val="00E54185"/>
    <w:rsid w:val="00E62E8C"/>
    <w:rsid w:val="00E7365D"/>
    <w:rsid w:val="00E74BDE"/>
    <w:rsid w:val="00E8048D"/>
    <w:rsid w:val="00E80C57"/>
    <w:rsid w:val="00E85785"/>
    <w:rsid w:val="00E87729"/>
    <w:rsid w:val="00E91A7C"/>
    <w:rsid w:val="00EC41BE"/>
    <w:rsid w:val="00ED50A3"/>
    <w:rsid w:val="00EE7884"/>
    <w:rsid w:val="00EF521D"/>
    <w:rsid w:val="00EF789C"/>
    <w:rsid w:val="00F053A1"/>
    <w:rsid w:val="00F05754"/>
    <w:rsid w:val="00F14312"/>
    <w:rsid w:val="00F1601D"/>
    <w:rsid w:val="00F51A71"/>
    <w:rsid w:val="00F605D2"/>
    <w:rsid w:val="00F83A13"/>
    <w:rsid w:val="00F853D1"/>
    <w:rsid w:val="00F86732"/>
    <w:rsid w:val="00F87253"/>
    <w:rsid w:val="00F87F97"/>
    <w:rsid w:val="00F918CE"/>
    <w:rsid w:val="00F92FE2"/>
    <w:rsid w:val="00F95B90"/>
    <w:rsid w:val="00FA129E"/>
    <w:rsid w:val="00FA2649"/>
    <w:rsid w:val="00FA3792"/>
    <w:rsid w:val="00FA37E6"/>
    <w:rsid w:val="00FB53AE"/>
    <w:rsid w:val="00FC1516"/>
    <w:rsid w:val="00FC604E"/>
    <w:rsid w:val="00FD4B5C"/>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5E1A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8E5E62"/>
    <w:pPr>
      <w:spacing w:before="0" w:after="0"/>
    </w:pPr>
    <w:rPr>
      <w:rFonts w:ascii="Tahoma" w:hAnsi="Tahoma" w:cs="Tahoma"/>
      <w:sz w:val="16"/>
      <w:szCs w:val="16"/>
    </w:rPr>
  </w:style>
  <w:style w:type="character" w:customStyle="1" w:styleId="BalloonTextChar">
    <w:name w:val="Balloon Text Char"/>
    <w:basedOn w:val="DefaultParagraphFont"/>
    <w:link w:val="BalloonText"/>
    <w:rsid w:val="008E5E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8E5E62"/>
    <w:pPr>
      <w:spacing w:before="0" w:after="0"/>
    </w:pPr>
    <w:rPr>
      <w:rFonts w:ascii="Tahoma" w:hAnsi="Tahoma" w:cs="Tahoma"/>
      <w:sz w:val="16"/>
      <w:szCs w:val="16"/>
    </w:rPr>
  </w:style>
  <w:style w:type="character" w:customStyle="1" w:styleId="BalloonTextChar">
    <w:name w:val="Balloon Text Char"/>
    <w:basedOn w:val="DefaultParagraphFont"/>
    <w:link w:val="BalloonText"/>
    <w:rsid w:val="008E5E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7</Value>
    </TaxCatchAll>
    <_dlc_DocId xmlns="9f7bc583-7cbe-45b9-a2bd-8bbb6543b37e">2017RG-109-1964</_dlc_DocId>
    <_dlc_DocIdUrl xmlns="9f7bc583-7cbe-45b9-a2bd-8bbb6543b37e">
      <Url>http://tweb/sites/rg/citd/_layouts/15/DocIdRedir.aspx?ID=2017RG-109-1964</Url>
      <Description>2017RG-109-1964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F8E56604EED9714DBFAD560C5884763B" ma:contentTypeVersion="5507" ma:contentTypeDescription=" " ma:contentTypeScope="" ma:versionID="eef7041cac06c3f24fb3cd591adb00bd">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2d77bdba58d6951f09b998892190280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5AFA-22D8-42D3-8EBA-111DC4286C15}">
  <ds:schemaRefs>
    <ds:schemaRef ds:uri="office.server.policy"/>
  </ds:schemaRefs>
</ds:datastoreItem>
</file>

<file path=customXml/itemProps2.xml><?xml version="1.0" encoding="utf-8"?>
<ds:datastoreItem xmlns:ds="http://schemas.openxmlformats.org/officeDocument/2006/customXml" ds:itemID="{8F307BB8-3B1E-48E4-BC2D-3B86F55A68FF}">
  <ds:schemaRefs>
    <ds:schemaRef ds:uri="http://schemas.microsoft.com/sharepoint/v3"/>
    <ds:schemaRef ds:uri="http://schemas.microsoft.com/sharepoint/v4"/>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f7bc583-7cbe-45b9-a2bd-8bbb6543b37e"/>
  </ds:schemaRefs>
</ds:datastoreItem>
</file>

<file path=customXml/itemProps3.xml><?xml version="1.0" encoding="utf-8"?>
<ds:datastoreItem xmlns:ds="http://schemas.openxmlformats.org/officeDocument/2006/customXml" ds:itemID="{5094FF38-B6CC-43A6-A82C-0B8A640EC294}">
  <ds:schemaRefs>
    <ds:schemaRef ds:uri="http://schemas.microsoft.com/sharepoint/v3/contenttype/forms"/>
  </ds:schemaRefs>
</ds:datastoreItem>
</file>

<file path=customXml/itemProps4.xml><?xml version="1.0" encoding="utf-8"?>
<ds:datastoreItem xmlns:ds="http://schemas.openxmlformats.org/officeDocument/2006/customXml" ds:itemID="{CD238D4D-60F2-4F49-89CD-EC17F014C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68B70B-4D98-4644-9152-5E0C308485D3}">
  <ds:schemaRefs>
    <ds:schemaRef ds:uri="http://schemas.microsoft.com/sharepoint/events"/>
  </ds:schemaRefs>
</ds:datastoreItem>
</file>

<file path=customXml/itemProps6.xml><?xml version="1.0" encoding="utf-8"?>
<ds:datastoreItem xmlns:ds="http://schemas.openxmlformats.org/officeDocument/2006/customXml" ds:itemID="{CBD294E0-5B98-40F7-BC69-30B6E563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0</TotalTime>
  <Pages>15</Pages>
  <Words>2347</Words>
  <Characters>11456</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Anthony</dc:creator>
  <cp:lastModifiedBy>Henty, Philippa</cp:lastModifiedBy>
  <cp:revision>2</cp:revision>
  <cp:lastPrinted>2017-09-18T04:04:00Z</cp:lastPrinted>
  <dcterms:created xsi:type="dcterms:W3CDTF">2017-09-18T04:10:00Z</dcterms:created>
  <dcterms:modified xsi:type="dcterms:W3CDTF">2017-09-18T04:10:00Z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0x01010036BB8DE7EC542E42A8B2E98CC20CB69700F8E56604EED9714DBFAD560C5884763B</vt:lpwstr>
  </property>
  <property fmtid="{D5CDD505-2E9C-101B-9397-08002B2CF9AE}" pid="3" name="TSYRecordClass">
    <vt:lpwstr>6</vt:lpwstr>
  </property>
  <property fmtid="{D5CDD505-2E9C-101B-9397-08002B2CF9AE}" pid="4" name="_dlc_DocIdItemGuid">
    <vt:lpwstr>1ce1a423-ff8a-4942-99bd-b5b32a44775b</vt:lpwstr>
  </property>
  <property fmtid="{D5CDD505-2E9C-101B-9397-08002B2CF9AE}" pid="5" name="RecordPoint_WorkflowType">
    <vt:lpwstr>ActiveSubmitStub</vt:lpwstr>
  </property>
  <property fmtid="{D5CDD505-2E9C-101B-9397-08002B2CF9AE}" pid="6" name="RecordPoint_ActiveItemUniqueId">
    <vt:lpwstr>{1ce1a423-ff8a-4942-99bd-b5b32a44775b}</vt:lpwstr>
  </property>
  <property fmtid="{D5CDD505-2E9C-101B-9397-08002B2CF9AE}" pid="7" name="RecordPoint_ActiveItemWebId">
    <vt:lpwstr>{d08daa6a-5e5e-49f3-9d0d-66002ab0e83b}</vt:lpwstr>
  </property>
  <property fmtid="{D5CDD505-2E9C-101B-9397-08002B2CF9AE}" pid="8" name="RecordPoint_ActiveItemSiteId">
    <vt:lpwstr>{5b52b9a5-e5b2-4521-8814-a1e24ca2869d}</vt:lpwstr>
  </property>
  <property fmtid="{D5CDD505-2E9C-101B-9397-08002B2CF9AE}" pid="9" name="RecordPoint_ActiveItemListId">
    <vt:lpwstr>{0294d44c-90df-4106-a29f-f22e4c381edf}</vt:lpwstr>
  </property>
  <property fmtid="{D5CDD505-2E9C-101B-9397-08002B2CF9AE}" pid="10" name="RecordPoint_SubmissionCompleted">
    <vt:lpwstr/>
  </property>
  <property fmtid="{D5CDD505-2E9C-101B-9397-08002B2CF9AE}" pid="11" name="RecordPoint_RecordNumberSubmitted">
    <vt:lpwstr/>
  </property>
  <property fmtid="{D5CDD505-2E9C-101B-9397-08002B2CF9AE}" pid="12" name="_AdHocReviewCycleID">
    <vt:i4>-1992215885</vt:i4>
  </property>
  <property fmtid="{D5CDD505-2E9C-101B-9397-08002B2CF9AE}" pid="13" name="_NewReviewCycle">
    <vt:lpwstr/>
  </property>
  <property fmtid="{D5CDD505-2E9C-101B-9397-08002B2CF9AE}" pid="14" name="_EmailSubject">
    <vt:lpwstr>Consultation publishing [SEC=UNCLASSIFIED]</vt:lpwstr>
  </property>
  <property fmtid="{D5CDD505-2E9C-101B-9397-08002B2CF9AE}" pid="15" name="_AuthorEmail">
    <vt:lpwstr>Philippa.Henty@TREASURY.GOV.AU</vt:lpwstr>
  </property>
  <property fmtid="{D5CDD505-2E9C-101B-9397-08002B2CF9AE}" pid="16" name="_AuthorEmailDisplayName">
    <vt:lpwstr>Henty, Philippa</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PreviousAdHocReviewCycleID">
    <vt:i4>-2144657318</vt:i4>
  </property>
</Properties>
</file>