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317" w:rsidRDefault="009F6317" w:rsidP="009F6317">
      <w:pPr>
        <w:pStyle w:val="Baseparagraphcentred"/>
        <w:rPr>
          <w:sz w:val="20"/>
        </w:rPr>
      </w:pPr>
    </w:p>
    <w:p w:rsidR="009F6317" w:rsidRDefault="009F6317" w:rsidP="009F6317">
      <w:pPr>
        <w:pStyle w:val="Baseparagraphcentred"/>
        <w:rPr>
          <w:sz w:val="20"/>
        </w:rPr>
      </w:pPr>
    </w:p>
    <w:p w:rsidR="009F6317" w:rsidRDefault="009F6317" w:rsidP="009F6317">
      <w:pPr>
        <w:pStyle w:val="Baseparagraphcentred"/>
        <w:rPr>
          <w:sz w:val="20"/>
        </w:rPr>
      </w:pPr>
    </w:p>
    <w:p w:rsidR="009F6317" w:rsidRDefault="009F6317" w:rsidP="009F6317">
      <w:pPr>
        <w:pStyle w:val="Baseparagraphcentred"/>
        <w:rPr>
          <w:sz w:val="20"/>
        </w:rPr>
      </w:pPr>
    </w:p>
    <w:p w:rsidR="009F6317" w:rsidRDefault="009F6317" w:rsidP="009F6317">
      <w:pPr>
        <w:pStyle w:val="Baseparagraphcentred"/>
        <w:rPr>
          <w:sz w:val="20"/>
        </w:rPr>
      </w:pPr>
    </w:p>
    <w:p w:rsidR="009F6317" w:rsidRDefault="009F6317" w:rsidP="009F6317">
      <w:pPr>
        <w:pStyle w:val="Baseparagraphcentred"/>
      </w:pPr>
      <w:r>
        <w:t>EXPOSURE DRAFT</w:t>
      </w:r>
    </w:p>
    <w:p w:rsidR="009F6317" w:rsidRDefault="009F6317" w:rsidP="009F6317">
      <w:pPr>
        <w:pStyle w:val="Baseparagraphcentred"/>
        <w:rPr>
          <w:sz w:val="20"/>
        </w:rPr>
      </w:pPr>
    </w:p>
    <w:p w:rsidR="009F6317" w:rsidRDefault="009F6317" w:rsidP="009F6317">
      <w:pPr>
        <w:pStyle w:val="Baseparagraphcentred"/>
        <w:rPr>
          <w:sz w:val="20"/>
        </w:rPr>
      </w:pPr>
    </w:p>
    <w:p w:rsidR="009F6317" w:rsidRDefault="009F6317" w:rsidP="009F6317">
      <w:pPr>
        <w:pStyle w:val="Baseparagraphcentred"/>
        <w:rPr>
          <w:sz w:val="20"/>
        </w:rPr>
      </w:pPr>
    </w:p>
    <w:p w:rsidR="009F6317" w:rsidRDefault="009F6317" w:rsidP="009F6317">
      <w:pPr>
        <w:pStyle w:val="BillName"/>
      </w:pPr>
      <w:r>
        <w:t>treasury LEGISLATION Amendment (IMPROVING ACCOUNTABILITY AND MEMBER OUTCOMES IN SUPERANNUATION) bill 2017</w:t>
      </w:r>
    </w:p>
    <w:p w:rsidR="009F6317" w:rsidRDefault="009F6317" w:rsidP="009F6317">
      <w:pPr>
        <w:pStyle w:val="Baseparagraphcentred"/>
        <w:rPr>
          <w:sz w:val="20"/>
        </w:rPr>
      </w:pPr>
    </w:p>
    <w:p w:rsidR="009F6317" w:rsidRDefault="009F6317" w:rsidP="009F6317">
      <w:pPr>
        <w:pStyle w:val="Baseparagraphcentred"/>
        <w:rPr>
          <w:sz w:val="20"/>
        </w:rPr>
      </w:pPr>
    </w:p>
    <w:p w:rsidR="009F6317" w:rsidRDefault="009F6317" w:rsidP="009F6317">
      <w:pPr>
        <w:pStyle w:val="Baseparagraphcentred"/>
        <w:rPr>
          <w:sz w:val="20"/>
        </w:rPr>
      </w:pPr>
    </w:p>
    <w:p w:rsidR="009F6317" w:rsidRDefault="009F6317" w:rsidP="009F6317">
      <w:pPr>
        <w:pStyle w:val="Baseparagraphcentred"/>
        <w:rPr>
          <w:sz w:val="20"/>
        </w:rPr>
      </w:pPr>
    </w:p>
    <w:p w:rsidR="009F6317" w:rsidRDefault="009F6317" w:rsidP="009F6317">
      <w:pPr>
        <w:pStyle w:val="Baseparagraphcentred"/>
      </w:pPr>
      <w:r>
        <w:t>EXPLANATORY MEMORANDUM</w:t>
      </w:r>
    </w:p>
    <w:p w:rsidR="009F6317" w:rsidRDefault="009F6317" w:rsidP="009F6317">
      <w:pPr>
        <w:pStyle w:val="Baseparagraphcentred"/>
        <w:rPr>
          <w:sz w:val="20"/>
        </w:rPr>
      </w:pPr>
    </w:p>
    <w:p w:rsidR="009F6317" w:rsidRDefault="009F6317" w:rsidP="009F6317">
      <w:pPr>
        <w:pStyle w:val="Baseparagraphcentred"/>
        <w:rPr>
          <w:sz w:val="20"/>
        </w:rPr>
      </w:pPr>
    </w:p>
    <w:p w:rsidR="009F6317" w:rsidRDefault="009F6317" w:rsidP="009F6317">
      <w:pPr>
        <w:pStyle w:val="Baseparagraphcentred"/>
        <w:rPr>
          <w:sz w:val="20"/>
        </w:rPr>
      </w:pPr>
    </w:p>
    <w:p w:rsidR="009F6317" w:rsidRDefault="009F6317" w:rsidP="009F6317">
      <w:pPr>
        <w:pStyle w:val="Baseparagraphcentred"/>
        <w:rPr>
          <w:sz w:val="20"/>
        </w:rPr>
      </w:pPr>
    </w:p>
    <w:p w:rsidR="009F6317" w:rsidRDefault="009F6317" w:rsidP="009F6317">
      <w:pPr>
        <w:spacing w:before="0" w:after="0"/>
        <w:sectPr w:rsidR="009F6317" w:rsidSect="009F6317">
          <w:type w:val="oddPage"/>
          <w:pgSz w:w="11906" w:h="16838"/>
          <w:pgMar w:top="2466" w:right="2098" w:bottom="2466" w:left="2098" w:header="1559" w:footer="1899" w:gutter="0"/>
          <w:cols w:space="720"/>
        </w:sectPr>
      </w:pPr>
    </w:p>
    <w:p w:rsidR="007C0947" w:rsidRPr="00BC6100" w:rsidRDefault="007C0947" w:rsidP="007C0947"/>
    <w:p w:rsidR="007C0947" w:rsidRPr="000D5EC1" w:rsidRDefault="007C0947" w:rsidP="007C0947">
      <w:pPr>
        <w:pStyle w:val="TOCHeading"/>
      </w:pPr>
      <w:r w:rsidRPr="000D5EC1">
        <w:t>Table of contents</w:t>
      </w:r>
    </w:p>
    <w:p w:rsidR="004C17FE" w:rsidRDefault="007C0947">
      <w:pPr>
        <w:pStyle w:val="TOC2"/>
        <w:rPr>
          <w:rFonts w:asciiTheme="minorHAnsi" w:eastAsiaTheme="minorEastAsia" w:hAnsiTheme="minorHAnsi" w:cstheme="minorBidi"/>
          <w:sz w:val="22"/>
          <w:szCs w:val="22"/>
        </w:rPr>
      </w:pPr>
      <w:r w:rsidRPr="00E45D1B">
        <w:rPr>
          <w:noProof w:val="0"/>
        </w:rPr>
        <w:fldChar w:fldCharType="begin"/>
      </w:r>
      <w:r w:rsidRPr="00E45D1B">
        <w:instrText xml:space="preserve"> TOC \t "Chapter Heading,1,Chapter heading subdocument,2" </w:instrText>
      </w:r>
      <w:r w:rsidRPr="00E45D1B">
        <w:rPr>
          <w:noProof w:val="0"/>
        </w:rPr>
        <w:fldChar w:fldCharType="separate"/>
      </w:r>
      <w:r w:rsidR="004C17FE">
        <w:t>Glossary</w:t>
      </w:r>
      <w:r w:rsidR="004C17FE">
        <w:tab/>
      </w:r>
      <w:r w:rsidR="004C17FE">
        <w:fldChar w:fldCharType="begin"/>
      </w:r>
      <w:r w:rsidR="004C17FE">
        <w:instrText xml:space="preserve"> PAGEREF _Toc488413406 \h </w:instrText>
      </w:r>
      <w:r w:rsidR="004C17FE">
        <w:fldChar w:fldCharType="separate"/>
      </w:r>
      <w:r w:rsidR="004C17FE">
        <w:t>1</w:t>
      </w:r>
      <w:r w:rsidR="004C17FE">
        <w:fldChar w:fldCharType="end"/>
      </w:r>
    </w:p>
    <w:p w:rsidR="004C17FE" w:rsidRDefault="004C17FE">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Overview of improving accountability and member outcomes in superannuation</w:t>
      </w:r>
      <w:r>
        <w:rPr>
          <w:noProof/>
        </w:rPr>
        <w:tab/>
      </w:r>
      <w:r>
        <w:rPr>
          <w:noProof/>
        </w:rPr>
        <w:fldChar w:fldCharType="begin"/>
      </w:r>
      <w:r>
        <w:rPr>
          <w:noProof/>
        </w:rPr>
        <w:instrText xml:space="preserve"> PAGEREF _Toc488413407 \h </w:instrText>
      </w:r>
      <w:r>
        <w:rPr>
          <w:noProof/>
        </w:rPr>
      </w:r>
      <w:r>
        <w:rPr>
          <w:noProof/>
        </w:rPr>
        <w:fldChar w:fldCharType="separate"/>
      </w:r>
      <w:r>
        <w:rPr>
          <w:noProof/>
        </w:rPr>
        <w:t>3</w:t>
      </w:r>
      <w:r>
        <w:rPr>
          <w:noProof/>
        </w:rPr>
        <w:fldChar w:fldCharType="end"/>
      </w:r>
    </w:p>
    <w:p w:rsidR="004C17FE" w:rsidRDefault="004C17FE">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Annual MySuper outcomes assessment</w:t>
      </w:r>
      <w:r>
        <w:rPr>
          <w:noProof/>
        </w:rPr>
        <w:tab/>
      </w:r>
      <w:r>
        <w:rPr>
          <w:noProof/>
        </w:rPr>
        <w:fldChar w:fldCharType="begin"/>
      </w:r>
      <w:r>
        <w:rPr>
          <w:noProof/>
        </w:rPr>
        <w:instrText xml:space="preserve"> PAGEREF _Toc488413408 \h </w:instrText>
      </w:r>
      <w:r>
        <w:rPr>
          <w:noProof/>
        </w:rPr>
      </w:r>
      <w:r>
        <w:rPr>
          <w:noProof/>
        </w:rPr>
        <w:fldChar w:fldCharType="separate"/>
      </w:r>
      <w:r>
        <w:rPr>
          <w:noProof/>
        </w:rPr>
        <w:t>7</w:t>
      </w:r>
      <w:r>
        <w:rPr>
          <w:noProof/>
        </w:rPr>
        <w:fldChar w:fldCharType="end"/>
      </w:r>
    </w:p>
    <w:p w:rsidR="004C17FE" w:rsidRDefault="004C17FE">
      <w:pPr>
        <w:pStyle w:val="TOC1"/>
        <w:rPr>
          <w:rFonts w:asciiTheme="minorHAnsi" w:eastAsiaTheme="minorEastAsia" w:hAnsiTheme="minorHAnsi" w:cstheme="minorBidi"/>
          <w:noProof/>
          <w:sz w:val="22"/>
          <w:szCs w:val="22"/>
        </w:rPr>
      </w:pPr>
      <w:r>
        <w:rPr>
          <w:noProof/>
        </w:rPr>
        <w:t>Chapter 3</w:t>
      </w:r>
      <w:r>
        <w:rPr>
          <w:rFonts w:asciiTheme="minorHAnsi" w:eastAsiaTheme="minorEastAsia" w:hAnsiTheme="minorHAnsi" w:cstheme="minorBidi"/>
          <w:noProof/>
          <w:sz w:val="22"/>
          <w:szCs w:val="22"/>
        </w:rPr>
        <w:tab/>
      </w:r>
      <w:r>
        <w:rPr>
          <w:noProof/>
        </w:rPr>
        <w:t>Authority to offer a MySuper product</w:t>
      </w:r>
      <w:r>
        <w:rPr>
          <w:noProof/>
        </w:rPr>
        <w:tab/>
      </w:r>
      <w:r>
        <w:rPr>
          <w:noProof/>
        </w:rPr>
        <w:fldChar w:fldCharType="begin"/>
      </w:r>
      <w:r>
        <w:rPr>
          <w:noProof/>
        </w:rPr>
        <w:instrText xml:space="preserve"> PAGEREF _Toc488413409 \h </w:instrText>
      </w:r>
      <w:r>
        <w:rPr>
          <w:noProof/>
        </w:rPr>
      </w:r>
      <w:r>
        <w:rPr>
          <w:noProof/>
        </w:rPr>
        <w:fldChar w:fldCharType="separate"/>
      </w:r>
      <w:r>
        <w:rPr>
          <w:noProof/>
        </w:rPr>
        <w:t>14</w:t>
      </w:r>
      <w:r>
        <w:rPr>
          <w:noProof/>
        </w:rPr>
        <w:fldChar w:fldCharType="end"/>
      </w:r>
    </w:p>
    <w:p w:rsidR="004C17FE" w:rsidRDefault="004C17FE">
      <w:pPr>
        <w:pStyle w:val="TOC1"/>
        <w:rPr>
          <w:rFonts w:asciiTheme="minorHAnsi" w:eastAsiaTheme="minorEastAsia" w:hAnsiTheme="minorHAnsi" w:cstheme="minorBidi"/>
          <w:noProof/>
          <w:sz w:val="22"/>
          <w:szCs w:val="22"/>
        </w:rPr>
      </w:pPr>
      <w:r>
        <w:rPr>
          <w:noProof/>
        </w:rPr>
        <w:t>Chapter 4</w:t>
      </w:r>
      <w:r>
        <w:rPr>
          <w:rFonts w:asciiTheme="minorHAnsi" w:eastAsiaTheme="minorEastAsia" w:hAnsiTheme="minorHAnsi" w:cstheme="minorBidi"/>
          <w:noProof/>
          <w:sz w:val="22"/>
          <w:szCs w:val="22"/>
        </w:rPr>
        <w:tab/>
      </w:r>
      <w:r>
        <w:rPr>
          <w:noProof/>
        </w:rPr>
        <w:t>Director penalties</w:t>
      </w:r>
      <w:r>
        <w:rPr>
          <w:noProof/>
        </w:rPr>
        <w:tab/>
      </w:r>
      <w:r>
        <w:rPr>
          <w:noProof/>
        </w:rPr>
        <w:fldChar w:fldCharType="begin"/>
      </w:r>
      <w:r>
        <w:rPr>
          <w:noProof/>
        </w:rPr>
        <w:instrText xml:space="preserve"> PAGEREF _Toc488413410 \h </w:instrText>
      </w:r>
      <w:r>
        <w:rPr>
          <w:noProof/>
        </w:rPr>
      </w:r>
      <w:r>
        <w:rPr>
          <w:noProof/>
        </w:rPr>
        <w:fldChar w:fldCharType="separate"/>
      </w:r>
      <w:r>
        <w:rPr>
          <w:noProof/>
        </w:rPr>
        <w:t>19</w:t>
      </w:r>
      <w:r>
        <w:rPr>
          <w:noProof/>
        </w:rPr>
        <w:fldChar w:fldCharType="end"/>
      </w:r>
    </w:p>
    <w:p w:rsidR="004C17FE" w:rsidRDefault="004C17FE">
      <w:pPr>
        <w:pStyle w:val="TOC1"/>
        <w:rPr>
          <w:rFonts w:asciiTheme="minorHAnsi" w:eastAsiaTheme="minorEastAsia" w:hAnsiTheme="minorHAnsi" w:cstheme="minorBidi"/>
          <w:noProof/>
          <w:sz w:val="22"/>
          <w:szCs w:val="22"/>
        </w:rPr>
      </w:pPr>
      <w:r>
        <w:rPr>
          <w:noProof/>
        </w:rPr>
        <w:t>Chapter 5</w:t>
      </w:r>
      <w:r>
        <w:rPr>
          <w:rFonts w:asciiTheme="minorHAnsi" w:eastAsiaTheme="minorEastAsia" w:hAnsiTheme="minorHAnsi" w:cstheme="minorBidi"/>
          <w:noProof/>
          <w:sz w:val="22"/>
          <w:szCs w:val="22"/>
        </w:rPr>
        <w:tab/>
      </w:r>
      <w:r>
        <w:rPr>
          <w:noProof/>
        </w:rPr>
        <w:t>Approval to own or control an RSE licensee</w:t>
      </w:r>
      <w:r>
        <w:rPr>
          <w:noProof/>
        </w:rPr>
        <w:tab/>
      </w:r>
      <w:r>
        <w:rPr>
          <w:noProof/>
        </w:rPr>
        <w:fldChar w:fldCharType="begin"/>
      </w:r>
      <w:r>
        <w:rPr>
          <w:noProof/>
        </w:rPr>
        <w:instrText xml:space="preserve"> PAGEREF _Toc488413411 \h </w:instrText>
      </w:r>
      <w:r>
        <w:rPr>
          <w:noProof/>
        </w:rPr>
      </w:r>
      <w:r>
        <w:rPr>
          <w:noProof/>
        </w:rPr>
        <w:fldChar w:fldCharType="separate"/>
      </w:r>
      <w:r>
        <w:rPr>
          <w:noProof/>
        </w:rPr>
        <w:t>25</w:t>
      </w:r>
      <w:r>
        <w:rPr>
          <w:noProof/>
        </w:rPr>
        <w:fldChar w:fldCharType="end"/>
      </w:r>
    </w:p>
    <w:p w:rsidR="004C17FE" w:rsidRDefault="004C17FE">
      <w:pPr>
        <w:pStyle w:val="TOC1"/>
        <w:rPr>
          <w:rFonts w:asciiTheme="minorHAnsi" w:eastAsiaTheme="minorEastAsia" w:hAnsiTheme="minorHAnsi" w:cstheme="minorBidi"/>
          <w:noProof/>
          <w:sz w:val="22"/>
          <w:szCs w:val="22"/>
        </w:rPr>
      </w:pPr>
      <w:r>
        <w:rPr>
          <w:noProof/>
        </w:rPr>
        <w:t>Chapter 6</w:t>
      </w:r>
      <w:r>
        <w:rPr>
          <w:rFonts w:asciiTheme="minorHAnsi" w:eastAsiaTheme="minorEastAsia" w:hAnsiTheme="minorHAnsi" w:cstheme="minorBidi"/>
          <w:noProof/>
          <w:sz w:val="22"/>
          <w:szCs w:val="22"/>
        </w:rPr>
        <w:tab/>
      </w:r>
      <w:r>
        <w:rPr>
          <w:noProof/>
        </w:rPr>
        <w:t>APRA directions power</w:t>
      </w:r>
      <w:r>
        <w:rPr>
          <w:noProof/>
        </w:rPr>
        <w:tab/>
      </w:r>
      <w:r>
        <w:rPr>
          <w:noProof/>
        </w:rPr>
        <w:fldChar w:fldCharType="begin"/>
      </w:r>
      <w:r>
        <w:rPr>
          <w:noProof/>
        </w:rPr>
        <w:instrText xml:space="preserve"> PAGEREF _Toc488413412 \h </w:instrText>
      </w:r>
      <w:r>
        <w:rPr>
          <w:noProof/>
        </w:rPr>
      </w:r>
      <w:r>
        <w:rPr>
          <w:noProof/>
        </w:rPr>
        <w:fldChar w:fldCharType="separate"/>
      </w:r>
      <w:r>
        <w:rPr>
          <w:noProof/>
        </w:rPr>
        <w:t>41</w:t>
      </w:r>
      <w:r>
        <w:rPr>
          <w:noProof/>
        </w:rPr>
        <w:fldChar w:fldCharType="end"/>
      </w:r>
    </w:p>
    <w:p w:rsidR="004C17FE" w:rsidRDefault="004C17FE">
      <w:pPr>
        <w:pStyle w:val="TOC1"/>
        <w:rPr>
          <w:rFonts w:asciiTheme="minorHAnsi" w:eastAsiaTheme="minorEastAsia" w:hAnsiTheme="minorHAnsi" w:cstheme="minorBidi"/>
          <w:noProof/>
          <w:sz w:val="22"/>
          <w:szCs w:val="22"/>
        </w:rPr>
      </w:pPr>
      <w:r>
        <w:rPr>
          <w:noProof/>
        </w:rPr>
        <w:t>Chapter 7</w:t>
      </w:r>
      <w:r>
        <w:rPr>
          <w:rFonts w:asciiTheme="minorHAnsi" w:eastAsiaTheme="minorEastAsia" w:hAnsiTheme="minorHAnsi" w:cstheme="minorBidi"/>
          <w:noProof/>
          <w:sz w:val="22"/>
          <w:szCs w:val="22"/>
        </w:rPr>
        <w:tab/>
      </w:r>
      <w:r>
        <w:rPr>
          <w:noProof/>
        </w:rPr>
        <w:t>Annual members’ meeting</w:t>
      </w:r>
      <w:r>
        <w:rPr>
          <w:noProof/>
        </w:rPr>
        <w:tab/>
      </w:r>
      <w:r>
        <w:rPr>
          <w:noProof/>
        </w:rPr>
        <w:fldChar w:fldCharType="begin"/>
      </w:r>
      <w:r>
        <w:rPr>
          <w:noProof/>
        </w:rPr>
        <w:instrText xml:space="preserve"> PAGEREF _Toc488413413 \h </w:instrText>
      </w:r>
      <w:r>
        <w:rPr>
          <w:noProof/>
        </w:rPr>
      </w:r>
      <w:r>
        <w:rPr>
          <w:noProof/>
        </w:rPr>
        <w:fldChar w:fldCharType="separate"/>
      </w:r>
      <w:r>
        <w:rPr>
          <w:noProof/>
        </w:rPr>
        <w:t>61</w:t>
      </w:r>
      <w:r>
        <w:rPr>
          <w:noProof/>
        </w:rPr>
        <w:fldChar w:fldCharType="end"/>
      </w:r>
    </w:p>
    <w:p w:rsidR="004C17FE" w:rsidRDefault="004C17FE">
      <w:pPr>
        <w:pStyle w:val="TOC1"/>
        <w:rPr>
          <w:rFonts w:asciiTheme="minorHAnsi" w:eastAsiaTheme="minorEastAsia" w:hAnsiTheme="minorHAnsi" w:cstheme="minorBidi"/>
          <w:noProof/>
          <w:sz w:val="22"/>
          <w:szCs w:val="22"/>
        </w:rPr>
      </w:pPr>
      <w:r>
        <w:rPr>
          <w:noProof/>
        </w:rPr>
        <w:t>Chapter 8</w:t>
      </w:r>
      <w:r>
        <w:rPr>
          <w:rFonts w:asciiTheme="minorHAnsi" w:eastAsiaTheme="minorEastAsia" w:hAnsiTheme="minorHAnsi" w:cstheme="minorBidi"/>
          <w:noProof/>
          <w:sz w:val="22"/>
          <w:szCs w:val="22"/>
        </w:rPr>
        <w:tab/>
      </w:r>
      <w:r>
        <w:rPr>
          <w:noProof/>
        </w:rPr>
        <w:t>Reporting standards</w:t>
      </w:r>
      <w:r>
        <w:rPr>
          <w:noProof/>
        </w:rPr>
        <w:tab/>
      </w:r>
      <w:r>
        <w:rPr>
          <w:noProof/>
        </w:rPr>
        <w:fldChar w:fldCharType="begin"/>
      </w:r>
      <w:r>
        <w:rPr>
          <w:noProof/>
        </w:rPr>
        <w:instrText xml:space="preserve"> PAGEREF _Toc488413414 \h </w:instrText>
      </w:r>
      <w:r>
        <w:rPr>
          <w:noProof/>
        </w:rPr>
      </w:r>
      <w:r>
        <w:rPr>
          <w:noProof/>
        </w:rPr>
        <w:fldChar w:fldCharType="separate"/>
      </w:r>
      <w:r>
        <w:rPr>
          <w:noProof/>
        </w:rPr>
        <w:t>71</w:t>
      </w:r>
      <w:r>
        <w:rPr>
          <w:noProof/>
        </w:rPr>
        <w:fldChar w:fldCharType="end"/>
      </w:r>
    </w:p>
    <w:p w:rsidR="007C0947" w:rsidRPr="00E45D1B" w:rsidRDefault="007C0947" w:rsidP="007C0947">
      <w:pPr>
        <w:pStyle w:val="base-text-paragraphnonumbers"/>
      </w:pPr>
      <w:r w:rsidRPr="00E45D1B">
        <w:rPr>
          <w:b/>
          <w:bCs/>
          <w:noProof/>
          <w:lang w:val="en-US"/>
        </w:rPr>
        <w:fldChar w:fldCharType="end"/>
      </w:r>
    </w:p>
    <w:p w:rsidR="007C0947" w:rsidRPr="00E45D1B" w:rsidRDefault="007C0947" w:rsidP="007C0947">
      <w:pPr>
        <w:pStyle w:val="Hiddentext"/>
      </w:pPr>
    </w:p>
    <w:p w:rsidR="007C0947" w:rsidRPr="00E45D1B" w:rsidRDefault="007C0947" w:rsidP="007C0947">
      <w:pPr>
        <w:pStyle w:val="base-text-paragraphnonumbers"/>
        <w:sectPr w:rsidR="007C0947" w:rsidRPr="00E45D1B" w:rsidSect="009E6BFE">
          <w:headerReference w:type="even" r:id="rId14"/>
          <w:headerReference w:type="default" r:id="rId15"/>
          <w:footerReference w:type="even" r:id="rId16"/>
          <w:footerReference w:type="default" r:id="rId17"/>
          <w:headerReference w:type="first" r:id="rId18"/>
          <w:footerReference w:type="first" r:id="rId19"/>
          <w:type w:val="oddPage"/>
          <w:pgSz w:w="11906" w:h="16838" w:code="9"/>
          <w:pgMar w:top="2466" w:right="2098" w:bottom="2466" w:left="2098" w:header="1559" w:footer="1899" w:gutter="0"/>
          <w:cols w:space="708"/>
          <w:titlePg/>
          <w:docGrid w:linePitch="360"/>
        </w:sectPr>
      </w:pPr>
    </w:p>
    <w:p w:rsidR="007C0947" w:rsidRPr="00E45D1B" w:rsidRDefault="007C0947" w:rsidP="007C0947"/>
    <w:p w:rsidR="007C0947" w:rsidRPr="000D5EC1" w:rsidRDefault="007C0947" w:rsidP="007C0947">
      <w:pPr>
        <w:pStyle w:val="Chapterheadingsubdocument"/>
      </w:pPr>
      <w:bookmarkStart w:id="0" w:name="_Toc483916182"/>
      <w:bookmarkStart w:id="1" w:name="_Toc488398219"/>
      <w:bookmarkStart w:id="2" w:name="_Toc488413406"/>
      <w:r w:rsidRPr="000D5EC1">
        <w:t>Glossary</w:t>
      </w:r>
      <w:bookmarkEnd w:id="0"/>
      <w:bookmarkEnd w:id="1"/>
      <w:bookmarkEnd w:id="2"/>
    </w:p>
    <w:p w:rsidR="007C0947" w:rsidRPr="000D5EC1" w:rsidRDefault="007C0947" w:rsidP="007C0947">
      <w:pPr>
        <w:pStyle w:val="BTPwithextraspacing"/>
      </w:pPr>
      <w:r w:rsidRPr="000D5EC1">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7C0947" w:rsidRPr="000D5EC1" w:rsidTr="009E6BFE">
        <w:trPr>
          <w:tblHeader/>
        </w:trPr>
        <w:tc>
          <w:tcPr>
            <w:tcW w:w="2721" w:type="dxa"/>
          </w:tcPr>
          <w:p w:rsidR="007C0947" w:rsidRPr="000D5EC1" w:rsidRDefault="007C0947" w:rsidP="009E6BFE">
            <w:pPr>
              <w:pStyle w:val="tableheaderwithintable"/>
            </w:pPr>
            <w:r w:rsidRPr="000D5EC1">
              <w:t>Abbreviation</w:t>
            </w:r>
          </w:p>
        </w:tc>
        <w:tc>
          <w:tcPr>
            <w:tcW w:w="3885" w:type="dxa"/>
          </w:tcPr>
          <w:p w:rsidR="007C0947" w:rsidRPr="000D5EC1" w:rsidRDefault="007C0947" w:rsidP="009E6BFE">
            <w:pPr>
              <w:pStyle w:val="tableheaderwithintable"/>
            </w:pPr>
            <w:r w:rsidRPr="000D5EC1">
              <w:t>Definition</w:t>
            </w:r>
          </w:p>
        </w:tc>
      </w:tr>
      <w:tr w:rsidR="007C0947" w:rsidRPr="000D5EC1" w:rsidTr="009E6BFE">
        <w:tc>
          <w:tcPr>
            <w:tcW w:w="2721" w:type="dxa"/>
          </w:tcPr>
          <w:p w:rsidR="007C0947" w:rsidRPr="000D5EC1" w:rsidRDefault="007C0947" w:rsidP="009E6BFE">
            <w:pPr>
              <w:pStyle w:val="tableheaderwithintable"/>
              <w:jc w:val="left"/>
              <w:rPr>
                <w:b w:val="0"/>
                <w:i w:val="0"/>
              </w:rPr>
            </w:pPr>
            <w:r w:rsidRPr="000D5EC1">
              <w:rPr>
                <w:b w:val="0"/>
                <w:i w:val="0"/>
              </w:rPr>
              <w:t>AAT</w:t>
            </w:r>
          </w:p>
        </w:tc>
        <w:tc>
          <w:tcPr>
            <w:tcW w:w="3885" w:type="dxa"/>
          </w:tcPr>
          <w:p w:rsidR="007C0947" w:rsidRPr="000D5EC1" w:rsidRDefault="007C0947" w:rsidP="009E6BFE">
            <w:pPr>
              <w:pStyle w:val="tableheaderwithintable"/>
              <w:jc w:val="left"/>
              <w:rPr>
                <w:b w:val="0"/>
                <w:i w:val="0"/>
              </w:rPr>
            </w:pPr>
            <w:r w:rsidRPr="000D5EC1">
              <w:rPr>
                <w:b w:val="0"/>
                <w:i w:val="0"/>
              </w:rPr>
              <w:t>Administrative Appeals Tribunal</w:t>
            </w:r>
          </w:p>
        </w:tc>
      </w:tr>
      <w:tr w:rsidR="007C0947" w:rsidRPr="000D5EC1" w:rsidTr="009E6BFE">
        <w:tc>
          <w:tcPr>
            <w:tcW w:w="2721" w:type="dxa"/>
          </w:tcPr>
          <w:p w:rsidR="007C0947" w:rsidRPr="000D5EC1" w:rsidRDefault="007C0947" w:rsidP="009E6BFE">
            <w:pPr>
              <w:pStyle w:val="tableheaderwithintable"/>
              <w:jc w:val="left"/>
              <w:rPr>
                <w:b w:val="0"/>
                <w:i w:val="0"/>
              </w:rPr>
            </w:pPr>
            <w:r w:rsidRPr="000D5EC1">
              <w:rPr>
                <w:b w:val="0"/>
                <w:i w:val="0"/>
              </w:rPr>
              <w:t>AMM</w:t>
            </w:r>
          </w:p>
        </w:tc>
        <w:tc>
          <w:tcPr>
            <w:tcW w:w="3885" w:type="dxa"/>
          </w:tcPr>
          <w:p w:rsidR="007C0947" w:rsidRPr="000D5EC1" w:rsidRDefault="007C0947" w:rsidP="009E6BFE">
            <w:pPr>
              <w:pStyle w:val="tableheaderwithintable"/>
              <w:jc w:val="left"/>
              <w:rPr>
                <w:b w:val="0"/>
                <w:i w:val="0"/>
              </w:rPr>
            </w:pPr>
            <w:r w:rsidRPr="000D5EC1">
              <w:rPr>
                <w:b w:val="0"/>
                <w:i w:val="0"/>
              </w:rPr>
              <w:t xml:space="preserve">Annual </w:t>
            </w:r>
            <w:r w:rsidR="00F90782">
              <w:rPr>
                <w:b w:val="0"/>
                <w:i w:val="0"/>
              </w:rPr>
              <w:t>m</w:t>
            </w:r>
            <w:r w:rsidRPr="000D5EC1">
              <w:rPr>
                <w:b w:val="0"/>
                <w:i w:val="0"/>
              </w:rPr>
              <w:t>embers</w:t>
            </w:r>
            <w:r>
              <w:rPr>
                <w:b w:val="0"/>
                <w:i w:val="0"/>
              </w:rPr>
              <w:t>’</w:t>
            </w:r>
            <w:r w:rsidRPr="000D5EC1">
              <w:rPr>
                <w:b w:val="0"/>
                <w:i w:val="0"/>
              </w:rPr>
              <w:t xml:space="preserve"> </w:t>
            </w:r>
            <w:r w:rsidR="00F90782">
              <w:rPr>
                <w:b w:val="0"/>
                <w:i w:val="0"/>
              </w:rPr>
              <w:t>m</w:t>
            </w:r>
            <w:r w:rsidRPr="000D5EC1">
              <w:rPr>
                <w:b w:val="0"/>
                <w:i w:val="0"/>
              </w:rPr>
              <w:t>eeting</w:t>
            </w:r>
          </w:p>
        </w:tc>
      </w:tr>
      <w:tr w:rsidR="007C0947" w:rsidRPr="000D5EC1" w:rsidTr="009E6BFE">
        <w:tc>
          <w:tcPr>
            <w:tcW w:w="2721" w:type="dxa"/>
          </w:tcPr>
          <w:p w:rsidR="007C0947" w:rsidRPr="000D5EC1" w:rsidRDefault="007C0947" w:rsidP="009E6BFE">
            <w:pPr>
              <w:pStyle w:val="tableheaderwithintable"/>
              <w:jc w:val="left"/>
              <w:rPr>
                <w:b w:val="0"/>
                <w:i w:val="0"/>
              </w:rPr>
            </w:pPr>
            <w:r w:rsidRPr="000D5EC1">
              <w:rPr>
                <w:b w:val="0"/>
                <w:i w:val="0"/>
              </w:rPr>
              <w:t>APRA</w:t>
            </w:r>
          </w:p>
        </w:tc>
        <w:tc>
          <w:tcPr>
            <w:tcW w:w="3885" w:type="dxa"/>
          </w:tcPr>
          <w:p w:rsidR="007C0947" w:rsidRPr="000D5EC1" w:rsidRDefault="007C0947" w:rsidP="009E6BFE">
            <w:pPr>
              <w:pStyle w:val="tableheaderwithintable"/>
              <w:jc w:val="left"/>
            </w:pPr>
            <w:r w:rsidRPr="000D5EC1">
              <w:rPr>
                <w:b w:val="0"/>
                <w:i w:val="0"/>
              </w:rPr>
              <w:t>Australian Prudential Regulation Authority</w:t>
            </w:r>
          </w:p>
        </w:tc>
      </w:tr>
      <w:tr w:rsidR="007C0947" w:rsidRPr="000D5EC1" w:rsidTr="009E6BFE">
        <w:tc>
          <w:tcPr>
            <w:tcW w:w="2721" w:type="dxa"/>
          </w:tcPr>
          <w:p w:rsidR="007C0947" w:rsidRPr="000D5EC1" w:rsidRDefault="007C0947" w:rsidP="009E6BFE">
            <w:pPr>
              <w:pStyle w:val="tableheaderwithintable"/>
              <w:jc w:val="left"/>
              <w:rPr>
                <w:b w:val="0"/>
                <w:i w:val="0"/>
              </w:rPr>
            </w:pPr>
            <w:r w:rsidRPr="000D5EC1">
              <w:rPr>
                <w:b w:val="0"/>
                <w:i w:val="0"/>
              </w:rPr>
              <w:t>ASIC</w:t>
            </w:r>
          </w:p>
        </w:tc>
        <w:tc>
          <w:tcPr>
            <w:tcW w:w="3885" w:type="dxa"/>
          </w:tcPr>
          <w:p w:rsidR="007C0947" w:rsidRPr="000D5EC1" w:rsidRDefault="007C0947" w:rsidP="009E6BFE">
            <w:pPr>
              <w:pStyle w:val="tableheaderwithintable"/>
              <w:jc w:val="left"/>
            </w:pPr>
            <w:r w:rsidRPr="000D5EC1">
              <w:rPr>
                <w:b w:val="0"/>
                <w:i w:val="0"/>
              </w:rPr>
              <w:t>Australian Securities and Investments Commission</w:t>
            </w:r>
          </w:p>
        </w:tc>
      </w:tr>
      <w:tr w:rsidR="00C86EDA" w:rsidRPr="000D5EC1" w:rsidTr="009E6BFE">
        <w:tc>
          <w:tcPr>
            <w:tcW w:w="2721" w:type="dxa"/>
          </w:tcPr>
          <w:p w:rsidR="00C86EDA" w:rsidRPr="000D5EC1" w:rsidRDefault="00C86EDA" w:rsidP="009E6BFE">
            <w:pPr>
              <w:pStyle w:val="tableheaderwithintable"/>
              <w:jc w:val="left"/>
              <w:rPr>
                <w:b w:val="0"/>
                <w:i w:val="0"/>
              </w:rPr>
            </w:pPr>
            <w:r>
              <w:rPr>
                <w:b w:val="0"/>
                <w:i w:val="0"/>
              </w:rPr>
              <w:t>ASX</w:t>
            </w:r>
          </w:p>
        </w:tc>
        <w:tc>
          <w:tcPr>
            <w:tcW w:w="3885" w:type="dxa"/>
          </w:tcPr>
          <w:p w:rsidR="00C86EDA" w:rsidRPr="000D5EC1" w:rsidRDefault="00C86EDA" w:rsidP="009E6BFE">
            <w:pPr>
              <w:pStyle w:val="tableheaderwithintable"/>
              <w:jc w:val="left"/>
              <w:rPr>
                <w:b w:val="0"/>
                <w:i w:val="0"/>
              </w:rPr>
            </w:pPr>
            <w:r>
              <w:rPr>
                <w:b w:val="0"/>
                <w:i w:val="0"/>
              </w:rPr>
              <w:t>Australian Stock Exchange</w:t>
            </w:r>
          </w:p>
        </w:tc>
      </w:tr>
      <w:tr w:rsidR="007C0947" w:rsidRPr="000D5EC1" w:rsidTr="009E6BFE">
        <w:tc>
          <w:tcPr>
            <w:tcW w:w="2721" w:type="dxa"/>
          </w:tcPr>
          <w:p w:rsidR="007C0947" w:rsidRPr="000D5EC1" w:rsidRDefault="007C0947" w:rsidP="009E6BFE">
            <w:pPr>
              <w:pStyle w:val="Glossarytabletext"/>
              <w:rPr>
                <w:lang w:val="en-US" w:eastAsia="en-US"/>
              </w:rPr>
            </w:pPr>
            <w:r w:rsidRPr="000D5EC1">
              <w:rPr>
                <w:lang w:val="en-US" w:eastAsia="en-US"/>
              </w:rPr>
              <w:t>Bill</w:t>
            </w:r>
          </w:p>
        </w:tc>
        <w:tc>
          <w:tcPr>
            <w:tcW w:w="3885" w:type="dxa"/>
          </w:tcPr>
          <w:p w:rsidR="007C0947" w:rsidRPr="000D5EC1" w:rsidRDefault="007C0947" w:rsidP="009E6BFE">
            <w:pPr>
              <w:pStyle w:val="Glossarytabletext"/>
              <w:rPr>
                <w:i/>
                <w:lang w:val="en-US" w:eastAsia="en-US"/>
              </w:rPr>
            </w:pPr>
            <w:r w:rsidRPr="000D5EC1">
              <w:rPr>
                <w:lang w:val="en-US" w:eastAsia="en-US"/>
              </w:rPr>
              <w:t>Treasury L</w:t>
            </w:r>
            <w:r w:rsidR="00D66C07">
              <w:rPr>
                <w:lang w:val="en-US" w:eastAsia="en-US"/>
              </w:rPr>
              <w:t>egislation</w:t>
            </w:r>
            <w:r w:rsidRPr="000D5EC1">
              <w:rPr>
                <w:lang w:val="en-US" w:eastAsia="en-US"/>
              </w:rPr>
              <w:t xml:space="preserve"> Amendment (Improving Accountability and Member Outcomes</w:t>
            </w:r>
            <w:r w:rsidR="00F90782">
              <w:rPr>
                <w:lang w:val="en-US" w:eastAsia="en-US"/>
              </w:rPr>
              <w:t xml:space="preserve"> in Superannuation</w:t>
            </w:r>
            <w:r w:rsidRPr="000D5EC1">
              <w:rPr>
                <w:lang w:val="en-US" w:eastAsia="en-US"/>
              </w:rPr>
              <w:t>) Bill 2017</w:t>
            </w:r>
          </w:p>
        </w:tc>
      </w:tr>
      <w:tr w:rsidR="00325689" w:rsidRPr="000D5EC1" w:rsidTr="00325689">
        <w:tc>
          <w:tcPr>
            <w:tcW w:w="2721" w:type="dxa"/>
          </w:tcPr>
          <w:p w:rsidR="00325689" w:rsidRPr="000D5EC1" w:rsidRDefault="00325689" w:rsidP="00325689">
            <w:pPr>
              <w:pStyle w:val="Glossarytabletext"/>
              <w:rPr>
                <w:lang w:val="en-US" w:eastAsia="en-US"/>
              </w:rPr>
            </w:pPr>
            <w:r w:rsidRPr="000D5EC1">
              <w:rPr>
                <w:lang w:val="en-US" w:eastAsia="en-US"/>
              </w:rPr>
              <w:t>Committee</w:t>
            </w:r>
          </w:p>
        </w:tc>
        <w:tc>
          <w:tcPr>
            <w:tcW w:w="3885" w:type="dxa"/>
          </w:tcPr>
          <w:p w:rsidR="00325689" w:rsidRPr="000D5EC1" w:rsidRDefault="00325689" w:rsidP="00325689">
            <w:pPr>
              <w:pStyle w:val="Glossarytabletext"/>
              <w:rPr>
                <w:lang w:val="en-US" w:eastAsia="en-US"/>
              </w:rPr>
            </w:pPr>
            <w:r w:rsidRPr="000D5EC1">
              <w:rPr>
                <w:lang w:val="en-US" w:eastAsia="en-US"/>
              </w:rPr>
              <w:t>Parliamentary Joint Committee</w:t>
            </w:r>
          </w:p>
        </w:tc>
      </w:tr>
      <w:tr w:rsidR="007C0947" w:rsidRPr="000D5EC1" w:rsidTr="009E6BFE">
        <w:tc>
          <w:tcPr>
            <w:tcW w:w="2721" w:type="dxa"/>
          </w:tcPr>
          <w:p w:rsidR="007C0947" w:rsidRPr="000D5EC1" w:rsidRDefault="007C0947" w:rsidP="009E6BFE">
            <w:pPr>
              <w:pStyle w:val="Glossarytabletext"/>
              <w:rPr>
                <w:lang w:val="en-US" w:eastAsia="en-US"/>
              </w:rPr>
            </w:pPr>
            <w:r w:rsidRPr="000D5EC1">
              <w:rPr>
                <w:lang w:val="en-US" w:eastAsia="en-US"/>
              </w:rPr>
              <w:t xml:space="preserve">Cooper Review </w:t>
            </w:r>
          </w:p>
        </w:tc>
        <w:tc>
          <w:tcPr>
            <w:tcW w:w="3885" w:type="dxa"/>
          </w:tcPr>
          <w:p w:rsidR="007C0947" w:rsidRPr="000D5EC1" w:rsidRDefault="007C0947" w:rsidP="009E6BFE">
            <w:pPr>
              <w:pStyle w:val="Glossarytabletext"/>
              <w:rPr>
                <w:i/>
                <w:lang w:val="en-US" w:eastAsia="en-US"/>
              </w:rPr>
            </w:pPr>
            <w:r w:rsidRPr="000D5EC1">
              <w:t>Review of the Governance, Efficiency, Structure and Operation of Australia’s Superannuation System</w:t>
            </w:r>
          </w:p>
        </w:tc>
      </w:tr>
      <w:tr w:rsidR="007C0947" w:rsidRPr="000D5EC1" w:rsidTr="009E6BFE">
        <w:tc>
          <w:tcPr>
            <w:tcW w:w="2721" w:type="dxa"/>
          </w:tcPr>
          <w:p w:rsidR="007C0947" w:rsidRPr="000D5EC1" w:rsidRDefault="007C0947" w:rsidP="009E6BFE">
            <w:pPr>
              <w:pStyle w:val="Glossarytabletext"/>
              <w:rPr>
                <w:lang w:val="en-US" w:eastAsia="en-US"/>
              </w:rPr>
            </w:pPr>
            <w:r w:rsidRPr="000D5EC1">
              <w:rPr>
                <w:lang w:val="en-US" w:eastAsia="en-US"/>
              </w:rPr>
              <w:t xml:space="preserve">Corporations Act </w:t>
            </w:r>
          </w:p>
        </w:tc>
        <w:tc>
          <w:tcPr>
            <w:tcW w:w="3885" w:type="dxa"/>
          </w:tcPr>
          <w:p w:rsidR="007C0947" w:rsidRPr="000D5EC1" w:rsidRDefault="007C0947" w:rsidP="009E6BFE">
            <w:pPr>
              <w:pStyle w:val="Glossarytabletext"/>
              <w:rPr>
                <w:i/>
                <w:lang w:val="en-US" w:eastAsia="en-US"/>
              </w:rPr>
            </w:pPr>
            <w:r w:rsidRPr="000D5EC1">
              <w:rPr>
                <w:i/>
                <w:lang w:val="en-US" w:eastAsia="en-US"/>
              </w:rPr>
              <w:t>Corporations Act 2001</w:t>
            </w:r>
          </w:p>
        </w:tc>
      </w:tr>
      <w:tr w:rsidR="007C0947" w:rsidRPr="000D5EC1" w:rsidTr="009E6BFE">
        <w:tc>
          <w:tcPr>
            <w:tcW w:w="2721" w:type="dxa"/>
          </w:tcPr>
          <w:p w:rsidR="007C0947" w:rsidRPr="000D5EC1" w:rsidRDefault="007C0947" w:rsidP="009E6BFE">
            <w:pPr>
              <w:pStyle w:val="Glossarytabletext"/>
              <w:rPr>
                <w:lang w:val="en-US" w:eastAsia="en-US"/>
              </w:rPr>
            </w:pPr>
            <w:r w:rsidRPr="000D5EC1">
              <w:rPr>
                <w:lang w:val="en-US" w:eastAsia="en-US"/>
              </w:rPr>
              <w:t>FSCODA</w:t>
            </w:r>
          </w:p>
        </w:tc>
        <w:tc>
          <w:tcPr>
            <w:tcW w:w="3885" w:type="dxa"/>
          </w:tcPr>
          <w:p w:rsidR="007C0947" w:rsidRPr="00E45D1B" w:rsidRDefault="007C0947" w:rsidP="009E6BFE">
            <w:pPr>
              <w:pStyle w:val="Glossarytabletext"/>
              <w:rPr>
                <w:i/>
                <w:lang w:val="en-US" w:eastAsia="en-US"/>
              </w:rPr>
            </w:pPr>
            <w:r w:rsidRPr="00E45D1B">
              <w:rPr>
                <w:i/>
                <w:lang w:val="en-US" w:eastAsia="en-US"/>
              </w:rPr>
              <w:t>Financial Services (Collection of Data) Act 2001</w:t>
            </w:r>
          </w:p>
        </w:tc>
      </w:tr>
      <w:tr w:rsidR="007C0947" w:rsidRPr="000D5EC1" w:rsidTr="009E6BFE">
        <w:tc>
          <w:tcPr>
            <w:tcW w:w="2721" w:type="dxa"/>
          </w:tcPr>
          <w:p w:rsidR="007C0947" w:rsidRPr="000D5EC1" w:rsidRDefault="007C0947" w:rsidP="009E6BFE">
            <w:pPr>
              <w:pStyle w:val="Glossarytabletext"/>
              <w:rPr>
                <w:lang w:val="en-US" w:eastAsia="en-US"/>
              </w:rPr>
            </w:pPr>
            <w:r w:rsidRPr="000D5EC1">
              <w:rPr>
                <w:lang w:val="en-US" w:eastAsia="en-US"/>
              </w:rPr>
              <w:t>FSI</w:t>
            </w:r>
          </w:p>
        </w:tc>
        <w:tc>
          <w:tcPr>
            <w:tcW w:w="3885" w:type="dxa"/>
          </w:tcPr>
          <w:p w:rsidR="007C0947" w:rsidRPr="00E45D1B" w:rsidRDefault="007C0947" w:rsidP="009E6BFE">
            <w:pPr>
              <w:pStyle w:val="Glossarytabletext"/>
              <w:rPr>
                <w:lang w:val="en-US" w:eastAsia="en-US"/>
              </w:rPr>
            </w:pPr>
            <w:r w:rsidRPr="00E45D1B">
              <w:rPr>
                <w:lang w:val="en-US" w:eastAsia="en-US"/>
              </w:rPr>
              <w:t>Financial System Inquiry</w:t>
            </w:r>
          </w:p>
        </w:tc>
      </w:tr>
      <w:tr w:rsidR="007C0947" w:rsidRPr="000D5EC1" w:rsidTr="009E6BFE">
        <w:tc>
          <w:tcPr>
            <w:tcW w:w="2721" w:type="dxa"/>
          </w:tcPr>
          <w:p w:rsidR="007C0947" w:rsidRPr="000D5EC1" w:rsidRDefault="007C0947" w:rsidP="009E6BFE">
            <w:pPr>
              <w:pStyle w:val="Glossarytabletext"/>
              <w:rPr>
                <w:lang w:val="en-US" w:eastAsia="en-US"/>
              </w:rPr>
            </w:pPr>
            <w:r w:rsidRPr="000D5EC1">
              <w:rPr>
                <w:lang w:val="en-US" w:eastAsia="en-US"/>
              </w:rPr>
              <w:t>FSSA</w:t>
            </w:r>
          </w:p>
        </w:tc>
        <w:tc>
          <w:tcPr>
            <w:tcW w:w="3885" w:type="dxa"/>
          </w:tcPr>
          <w:p w:rsidR="007C0947" w:rsidRPr="000D5EC1" w:rsidRDefault="007C0947" w:rsidP="009E6BFE">
            <w:pPr>
              <w:pStyle w:val="Glossarytabletext"/>
              <w:rPr>
                <w:i/>
                <w:lang w:val="en-US" w:eastAsia="en-US"/>
              </w:rPr>
            </w:pPr>
            <w:r w:rsidRPr="000D5EC1">
              <w:rPr>
                <w:i/>
                <w:lang w:val="en-US" w:eastAsia="en-US"/>
              </w:rPr>
              <w:t>Financial Sector Shareholding Act 1998</w:t>
            </w:r>
          </w:p>
        </w:tc>
      </w:tr>
      <w:tr w:rsidR="007C0947" w:rsidRPr="000D5EC1" w:rsidTr="009E6BFE">
        <w:tc>
          <w:tcPr>
            <w:tcW w:w="2721" w:type="dxa"/>
          </w:tcPr>
          <w:p w:rsidR="007C0947" w:rsidRPr="000D5EC1" w:rsidRDefault="007C0947" w:rsidP="009E6BFE">
            <w:pPr>
              <w:pStyle w:val="Glossarytabletext"/>
              <w:rPr>
                <w:lang w:val="en-US" w:eastAsia="en-US"/>
              </w:rPr>
            </w:pPr>
            <w:bookmarkStart w:id="3" w:name="_GoBack"/>
            <w:bookmarkEnd w:id="3"/>
            <w:r w:rsidRPr="000D5EC1">
              <w:rPr>
                <w:lang w:val="en-US" w:eastAsia="en-US"/>
              </w:rPr>
              <w:t xml:space="preserve">RSE </w:t>
            </w:r>
          </w:p>
        </w:tc>
        <w:tc>
          <w:tcPr>
            <w:tcW w:w="3885" w:type="dxa"/>
          </w:tcPr>
          <w:p w:rsidR="007C0947" w:rsidRPr="000D5EC1" w:rsidRDefault="007C0947" w:rsidP="00F90782">
            <w:pPr>
              <w:pStyle w:val="Glossarytabletext"/>
              <w:rPr>
                <w:lang w:val="en-US" w:eastAsia="en-US"/>
              </w:rPr>
            </w:pPr>
            <w:r w:rsidRPr="000D5EC1">
              <w:rPr>
                <w:lang w:val="en-US" w:eastAsia="en-US"/>
              </w:rPr>
              <w:t xml:space="preserve">Registrable </w:t>
            </w:r>
            <w:r w:rsidR="00F90782">
              <w:rPr>
                <w:lang w:val="en-US" w:eastAsia="en-US"/>
              </w:rPr>
              <w:t>s</w:t>
            </w:r>
            <w:r w:rsidRPr="000D5EC1">
              <w:rPr>
                <w:lang w:val="en-US" w:eastAsia="en-US"/>
              </w:rPr>
              <w:t xml:space="preserve">uperannuation </w:t>
            </w:r>
            <w:r w:rsidR="00F90782">
              <w:rPr>
                <w:lang w:val="en-US" w:eastAsia="en-US"/>
              </w:rPr>
              <w:t>e</w:t>
            </w:r>
            <w:r w:rsidRPr="000D5EC1">
              <w:rPr>
                <w:lang w:val="en-US" w:eastAsia="en-US"/>
              </w:rPr>
              <w:t>ntity</w:t>
            </w:r>
          </w:p>
        </w:tc>
      </w:tr>
      <w:tr w:rsidR="00B8173E" w:rsidRPr="000D5EC1" w:rsidTr="009E6BFE">
        <w:tc>
          <w:tcPr>
            <w:tcW w:w="2721" w:type="dxa"/>
          </w:tcPr>
          <w:p w:rsidR="00B8173E" w:rsidRPr="000D5EC1" w:rsidRDefault="00B8173E" w:rsidP="009E6BFE">
            <w:pPr>
              <w:pStyle w:val="Glossarytabletext"/>
              <w:rPr>
                <w:lang w:val="en-US" w:eastAsia="en-US"/>
              </w:rPr>
            </w:pPr>
            <w:r>
              <w:rPr>
                <w:lang w:val="en-US" w:eastAsia="en-US"/>
              </w:rPr>
              <w:t>SMSF</w:t>
            </w:r>
          </w:p>
        </w:tc>
        <w:tc>
          <w:tcPr>
            <w:tcW w:w="3885" w:type="dxa"/>
          </w:tcPr>
          <w:p w:rsidR="00B8173E" w:rsidRPr="00B8173E" w:rsidRDefault="00B8173E" w:rsidP="009E6BFE">
            <w:pPr>
              <w:pStyle w:val="Glossarytabletext"/>
              <w:rPr>
                <w:lang w:val="en-US" w:eastAsia="en-US"/>
              </w:rPr>
            </w:pPr>
            <w:proofErr w:type="spellStart"/>
            <w:r>
              <w:rPr>
                <w:lang w:eastAsia="en-US"/>
              </w:rPr>
              <w:t>S</w:t>
            </w:r>
            <w:r w:rsidRPr="00B8173E">
              <w:rPr>
                <w:lang w:eastAsia="en-US"/>
              </w:rPr>
              <w:t>elf managed</w:t>
            </w:r>
            <w:proofErr w:type="spellEnd"/>
            <w:r w:rsidRPr="00B8173E">
              <w:rPr>
                <w:lang w:eastAsia="en-US"/>
              </w:rPr>
              <w:t xml:space="preserve"> superannuation funds</w:t>
            </w:r>
          </w:p>
        </w:tc>
      </w:tr>
      <w:tr w:rsidR="007C0947" w:rsidRPr="000D5EC1" w:rsidTr="009E6BFE">
        <w:tc>
          <w:tcPr>
            <w:tcW w:w="2721" w:type="dxa"/>
          </w:tcPr>
          <w:p w:rsidR="007C0947" w:rsidRPr="000D5EC1" w:rsidRDefault="007C0947" w:rsidP="009E6BFE">
            <w:pPr>
              <w:pStyle w:val="Glossarytabletext"/>
              <w:rPr>
                <w:lang w:val="en-US" w:eastAsia="en-US"/>
              </w:rPr>
            </w:pPr>
            <w:r w:rsidRPr="000D5EC1">
              <w:rPr>
                <w:lang w:val="en-US" w:eastAsia="en-US"/>
              </w:rPr>
              <w:t>SIS Act</w:t>
            </w:r>
          </w:p>
        </w:tc>
        <w:tc>
          <w:tcPr>
            <w:tcW w:w="3885" w:type="dxa"/>
          </w:tcPr>
          <w:p w:rsidR="007C0947" w:rsidRPr="000D5EC1" w:rsidRDefault="007C0947" w:rsidP="009E6BFE">
            <w:pPr>
              <w:pStyle w:val="Glossarytabletext"/>
              <w:rPr>
                <w:i/>
                <w:lang w:val="en-US" w:eastAsia="en-US"/>
              </w:rPr>
            </w:pPr>
            <w:r w:rsidRPr="000D5EC1">
              <w:rPr>
                <w:i/>
                <w:lang w:val="en-US" w:eastAsia="en-US"/>
              </w:rPr>
              <w:t>Superannuation Industry (Supervision) Act 1993</w:t>
            </w:r>
          </w:p>
        </w:tc>
      </w:tr>
      <w:tr w:rsidR="00D25721" w:rsidRPr="000D5EC1" w:rsidTr="009E6BFE">
        <w:tc>
          <w:tcPr>
            <w:tcW w:w="2721" w:type="dxa"/>
          </w:tcPr>
          <w:p w:rsidR="00D25721" w:rsidRPr="000D5EC1" w:rsidRDefault="00D25721" w:rsidP="009E6BFE">
            <w:pPr>
              <w:pStyle w:val="Glossarytabletext"/>
              <w:rPr>
                <w:lang w:val="en-US" w:eastAsia="en-US"/>
              </w:rPr>
            </w:pPr>
            <w:r>
              <w:rPr>
                <w:lang w:val="en-US" w:eastAsia="en-US"/>
              </w:rPr>
              <w:t>SIS Regulations</w:t>
            </w:r>
          </w:p>
        </w:tc>
        <w:tc>
          <w:tcPr>
            <w:tcW w:w="3885" w:type="dxa"/>
          </w:tcPr>
          <w:p w:rsidR="00D25721" w:rsidRPr="000D5EC1" w:rsidRDefault="00D25721" w:rsidP="009E6BFE">
            <w:pPr>
              <w:pStyle w:val="Glossarytabletext"/>
              <w:rPr>
                <w:i/>
                <w:lang w:val="en-US" w:eastAsia="en-US"/>
              </w:rPr>
            </w:pPr>
            <w:r w:rsidRPr="000D5EC1">
              <w:rPr>
                <w:i/>
                <w:lang w:val="en-US" w:eastAsia="en-US"/>
              </w:rPr>
              <w:t>Superannuation Industry (Supervision)</w:t>
            </w:r>
            <w:r>
              <w:rPr>
                <w:i/>
                <w:lang w:val="en-US" w:eastAsia="en-US"/>
              </w:rPr>
              <w:t xml:space="preserve"> Regulations 1994</w:t>
            </w:r>
          </w:p>
        </w:tc>
      </w:tr>
    </w:tbl>
    <w:p w:rsidR="007C0947" w:rsidRPr="000D5EC1" w:rsidRDefault="007C0947" w:rsidP="007C0947">
      <w:pPr>
        <w:sectPr w:rsidR="007C0947" w:rsidRPr="000D5EC1" w:rsidSect="009E6BFE">
          <w:headerReference w:type="even" r:id="rId20"/>
          <w:headerReference w:type="default" r:id="rId21"/>
          <w:footerReference w:type="even" r:id="rId22"/>
          <w:footerReference w:type="default" r:id="rId23"/>
          <w:footerReference w:type="first" r:id="rId24"/>
          <w:type w:val="oddPage"/>
          <w:pgSz w:w="11906" w:h="16838" w:code="9"/>
          <w:pgMar w:top="2466" w:right="2098" w:bottom="2466" w:left="2098" w:header="1559" w:footer="1899" w:gutter="0"/>
          <w:pgNumType w:start="1"/>
          <w:cols w:space="708"/>
          <w:titlePg/>
          <w:docGrid w:linePitch="360"/>
        </w:sectPr>
      </w:pPr>
    </w:p>
    <w:p w:rsidR="001F1D78" w:rsidRPr="00F51A71" w:rsidRDefault="001F1D78" w:rsidP="001F1D78">
      <w:pPr>
        <w:pStyle w:val="ChapterHeading"/>
        <w:numPr>
          <w:ilvl w:val="0"/>
          <w:numId w:val="70"/>
        </w:numPr>
        <w:tabs>
          <w:tab w:val="clear" w:pos="1134"/>
          <w:tab w:val="num" w:pos="360"/>
        </w:tabs>
      </w:pPr>
      <w:bookmarkStart w:id="4" w:name="_Toc488395529"/>
      <w:bookmarkStart w:id="5" w:name="_Toc488398220"/>
      <w:bookmarkStart w:id="6" w:name="_Toc488395530"/>
      <w:bookmarkStart w:id="7" w:name="_Toc488398221"/>
      <w:bookmarkStart w:id="8" w:name="_Toc488395542"/>
      <w:bookmarkStart w:id="9" w:name="_Toc488398233"/>
      <w:bookmarkStart w:id="10" w:name="_Toc488395543"/>
      <w:bookmarkStart w:id="11" w:name="_Toc488398234"/>
      <w:bookmarkStart w:id="12" w:name="_Toc488398235"/>
      <w:bookmarkStart w:id="13" w:name="_Toc488398236"/>
      <w:bookmarkStart w:id="14" w:name="_Toc488398237"/>
      <w:bookmarkStart w:id="15" w:name="_Toc488398238"/>
      <w:bookmarkStart w:id="16" w:name="_Toc488398239"/>
      <w:bookmarkStart w:id="17" w:name="_Toc488398240"/>
      <w:bookmarkStart w:id="18" w:name="_Toc488398241"/>
      <w:bookmarkStart w:id="19" w:name="_Toc488398242"/>
      <w:bookmarkStart w:id="20" w:name="_Toc488398243"/>
      <w:bookmarkStart w:id="21" w:name="_Toc488398244"/>
      <w:bookmarkStart w:id="22" w:name="_Toc488398245"/>
      <w:bookmarkStart w:id="23" w:name="_Toc488398246"/>
      <w:bookmarkStart w:id="24" w:name="_Toc488398247"/>
      <w:bookmarkStart w:id="25" w:name="_Toc488398248"/>
      <w:bookmarkStart w:id="26" w:name="_Toc488398249"/>
      <w:bookmarkStart w:id="27" w:name="_Toc488398250"/>
      <w:bookmarkStart w:id="28" w:name="_Toc488398251"/>
      <w:bookmarkStart w:id="29" w:name="_Toc488398252"/>
      <w:bookmarkStart w:id="30" w:name="_Toc488398253"/>
      <w:bookmarkStart w:id="31" w:name="_Toc488398254"/>
      <w:bookmarkStart w:id="32" w:name="_Toc488398255"/>
      <w:bookmarkStart w:id="33" w:name="_Toc488398256"/>
      <w:bookmarkStart w:id="34" w:name="_Toc488398257"/>
      <w:bookmarkStart w:id="35" w:name="_Toc488398258"/>
      <w:bookmarkStart w:id="36" w:name="_Toc488398259"/>
      <w:bookmarkStart w:id="37" w:name="_Toc488398260"/>
      <w:bookmarkStart w:id="38" w:name="_Toc488398261"/>
      <w:bookmarkStart w:id="39" w:name="_Toc488398262"/>
      <w:bookmarkStart w:id="40" w:name="_Toc488398263"/>
      <w:bookmarkStart w:id="41" w:name="_Toc488398264"/>
      <w:bookmarkStart w:id="42" w:name="_Toc488398265"/>
      <w:bookmarkStart w:id="43" w:name="_Toc488398266"/>
      <w:bookmarkStart w:id="44" w:name="_Toc488398267"/>
      <w:bookmarkStart w:id="45" w:name="_Toc488398268"/>
      <w:bookmarkStart w:id="46" w:name="_Toc488398269"/>
      <w:bookmarkStart w:id="47" w:name="_Toc488398270"/>
      <w:bookmarkStart w:id="48" w:name="_Toc488398271"/>
      <w:bookmarkStart w:id="49" w:name="_Toc488398272"/>
      <w:bookmarkStart w:id="50" w:name="_Toc488398273"/>
      <w:bookmarkStart w:id="51" w:name="_Toc488398274"/>
      <w:bookmarkStart w:id="52" w:name="_Toc488398275"/>
      <w:bookmarkStart w:id="53" w:name="_Toc488398276"/>
      <w:bookmarkStart w:id="54" w:name="_Toc488398277"/>
      <w:bookmarkStart w:id="55" w:name="_Toc488398278"/>
      <w:bookmarkStart w:id="56" w:name="_Toc488398279"/>
      <w:bookmarkStart w:id="57" w:name="_Toc488398280"/>
      <w:bookmarkStart w:id="58" w:name="_Toc488398281"/>
      <w:bookmarkStart w:id="59" w:name="_Toc488398282"/>
      <w:bookmarkStart w:id="60" w:name="_Toc488398283"/>
      <w:bookmarkStart w:id="61" w:name="_Toc488398284"/>
      <w:bookmarkStart w:id="62" w:name="_Toc488395544"/>
      <w:bookmarkStart w:id="63" w:name="_Toc488398285"/>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F51A71">
        <w:lastRenderedPageBreak/>
        <w:br/>
      </w:r>
      <w:bookmarkStart w:id="64" w:name="_Toc488398286"/>
      <w:bookmarkStart w:id="65" w:name="_Toc488413407"/>
      <w:r>
        <w:t>Overview of improving accountability and member outcomes in superannuation</w:t>
      </w:r>
      <w:bookmarkEnd w:id="64"/>
      <w:bookmarkEnd w:id="65"/>
    </w:p>
    <w:p w:rsidR="001F1D78" w:rsidRDefault="001F1D78" w:rsidP="00BB7AC1">
      <w:pPr>
        <w:pStyle w:val="Heading2"/>
      </w:pPr>
      <w:r>
        <w:t>Outline of chapter</w:t>
      </w:r>
    </w:p>
    <w:p w:rsidR="00455E91" w:rsidRDefault="00455E91" w:rsidP="00613BE4">
      <w:pPr>
        <w:pStyle w:val="base-text-paragraph"/>
      </w:pPr>
      <w:r w:rsidRPr="000D5EC1">
        <w:t xml:space="preserve">The </w:t>
      </w:r>
      <w:r>
        <w:t xml:space="preserve">exposure draft </w:t>
      </w:r>
      <w:r w:rsidRPr="000D5EC1">
        <w:t xml:space="preserve">Treasury </w:t>
      </w:r>
      <w:r>
        <w:t>Legislation</w:t>
      </w:r>
      <w:r w:rsidRPr="000D5EC1">
        <w:t xml:space="preserve"> Amendment (Improving Accountability and Member Outcomes</w:t>
      </w:r>
      <w:r>
        <w:t xml:space="preserve"> in Superannuation</w:t>
      </w:r>
      <w:r w:rsidRPr="000D5EC1">
        <w:t>) Bill 2017 (Bill) contains amendments</w:t>
      </w:r>
      <w:r>
        <w:t xml:space="preserve"> to the</w:t>
      </w:r>
      <w:r w:rsidRPr="000D5EC1">
        <w:t xml:space="preserve"> </w:t>
      </w:r>
      <w:r w:rsidRPr="000D5EC1">
        <w:rPr>
          <w:i/>
        </w:rPr>
        <w:t>Superannuation Industry (Supervision) Act 1993</w:t>
      </w:r>
      <w:r w:rsidRPr="000D5EC1">
        <w:t xml:space="preserve"> (SIS Act)</w:t>
      </w:r>
      <w:r>
        <w:t>;</w:t>
      </w:r>
      <w:r w:rsidRPr="000D5EC1">
        <w:t xml:space="preserve"> the </w:t>
      </w:r>
      <w:r w:rsidRPr="000D5EC1">
        <w:rPr>
          <w:i/>
        </w:rPr>
        <w:t>Corporations Act 2001</w:t>
      </w:r>
      <w:r w:rsidRPr="000D5EC1">
        <w:t xml:space="preserve"> (Corporations Act)</w:t>
      </w:r>
      <w:r>
        <w:t xml:space="preserve">, and the </w:t>
      </w:r>
      <w:r w:rsidRPr="002F70F1">
        <w:rPr>
          <w:i/>
        </w:rPr>
        <w:t>Financial Sector (Collection of Data) Act 2001</w:t>
      </w:r>
      <w:r>
        <w:rPr>
          <w:i/>
        </w:rPr>
        <w:t xml:space="preserve"> </w:t>
      </w:r>
      <w:r w:rsidR="00310364">
        <w:t xml:space="preserve">(FSCODA) </w:t>
      </w:r>
      <w:r>
        <w:t xml:space="preserve">that </w:t>
      </w:r>
      <w:r w:rsidRPr="000D5EC1">
        <w:t xml:space="preserve">will </w:t>
      </w:r>
      <w:r>
        <w:t xml:space="preserve">modernise and </w:t>
      </w:r>
      <w:r w:rsidRPr="000D5EC1">
        <w:t>increase confidence within the superannuation system</w:t>
      </w:r>
      <w:r>
        <w:t xml:space="preserve">. </w:t>
      </w:r>
    </w:p>
    <w:p w:rsidR="00455E91" w:rsidRDefault="00455E91" w:rsidP="00613BE4">
      <w:pPr>
        <w:pStyle w:val="base-text-paragraph"/>
      </w:pPr>
      <w:r>
        <w:t>This chapter provides an overview of those amendments.</w:t>
      </w:r>
    </w:p>
    <w:p w:rsidR="001F1D78" w:rsidRDefault="001F1D78" w:rsidP="00613BE4">
      <w:pPr>
        <w:pStyle w:val="Hiddentext"/>
      </w:pPr>
    </w:p>
    <w:p w:rsidR="001F1D78" w:rsidRDefault="001F1D78" w:rsidP="001F1D78">
      <w:pPr>
        <w:pStyle w:val="Heading2"/>
      </w:pPr>
      <w:r>
        <w:t>Context of amendments</w:t>
      </w:r>
    </w:p>
    <w:p w:rsidR="001F1D78" w:rsidRPr="000D5EC1" w:rsidRDefault="001F1D78" w:rsidP="00613BE4">
      <w:pPr>
        <w:pStyle w:val="base-text-paragraph"/>
      </w:pPr>
      <w:r w:rsidRPr="000D5EC1">
        <w:t xml:space="preserve">Superannuation is a </w:t>
      </w:r>
      <w:r>
        <w:t>major</w:t>
      </w:r>
      <w:r w:rsidRPr="000D5EC1">
        <w:t xml:space="preserve"> part of Australia’s retirement income system. Together with the Age Pension and savings outside of superannuation, it supports Australians in their retirement years.  </w:t>
      </w:r>
    </w:p>
    <w:p w:rsidR="001F1D78" w:rsidRPr="000D5EC1" w:rsidRDefault="001F1D78" w:rsidP="00613BE4">
      <w:pPr>
        <w:pStyle w:val="base-text-paragraph"/>
      </w:pPr>
      <w:r w:rsidRPr="000D5EC1">
        <w:t xml:space="preserve">With savings of over $2 trillion, superannuation is the second-largest savings vehicle for Australian households (accounting for 17 per cent of household assets). </w:t>
      </w:r>
    </w:p>
    <w:p w:rsidR="001F1D78" w:rsidRPr="000D5EC1" w:rsidRDefault="001F1D78" w:rsidP="00613BE4">
      <w:pPr>
        <w:pStyle w:val="base-text-paragraph"/>
      </w:pPr>
      <w:r>
        <w:t>Over</w:t>
      </w:r>
      <w:r w:rsidRPr="000D5EC1">
        <w:t xml:space="preserve"> the </w:t>
      </w:r>
      <w:r>
        <w:t>next decade</w:t>
      </w:r>
      <w:r w:rsidRPr="000D5EC1">
        <w:t xml:space="preserve"> as the system reaches maturity, Australians will have </w:t>
      </w:r>
      <w:r>
        <w:t>received</w:t>
      </w:r>
      <w:r w:rsidRPr="000D5EC1">
        <w:t xml:space="preserve"> compulsory superannuation contributions for most or all of their working lives. As such, the income generated from these contributions will be an essential contributor to people’s wellbeing in retirement.</w:t>
      </w:r>
    </w:p>
    <w:p w:rsidR="001F1D78" w:rsidRDefault="001F1D78" w:rsidP="00613BE4">
      <w:pPr>
        <w:pStyle w:val="base-text-paragraph"/>
      </w:pPr>
      <w:r>
        <w:t xml:space="preserve">Given the importance of the superannuation sector to working Australians, and its importance in the financial system and the economy more broadly, we need to ensure that there is confidence in the system and that it meets contemporary standards, and is consistently delivering the best outcomes for members. </w:t>
      </w:r>
    </w:p>
    <w:p w:rsidR="001F1D78" w:rsidRDefault="001F1D78" w:rsidP="00613BE4">
      <w:pPr>
        <w:pStyle w:val="base-text-paragraph"/>
      </w:pPr>
      <w:r>
        <w:lastRenderedPageBreak/>
        <w:t>Having a modern, vibrant superannuation system, which is solely focused on delivering outcomes for members, culminating in the efficient delivery of income in retirement, is critical.</w:t>
      </w:r>
    </w:p>
    <w:p w:rsidR="001F1D78" w:rsidRDefault="001F1D78" w:rsidP="00613BE4">
      <w:pPr>
        <w:pStyle w:val="base-text-paragraph"/>
      </w:pPr>
      <w:r>
        <w:t xml:space="preserve">A modern superannuation system empowers members; provides for transparency and accountability around funds’ activities and performance; enables regulators to hold trustees to high standards and take appropriate action where they fall short; and ensures members get their full entitlements. </w:t>
      </w:r>
    </w:p>
    <w:p w:rsidR="001F1D78" w:rsidRDefault="001F1D78" w:rsidP="00613BE4">
      <w:pPr>
        <w:pStyle w:val="base-text-paragraph"/>
      </w:pPr>
      <w:r>
        <w:t xml:space="preserve">It is now 25 years since the introduction of compulsory superannuation, balances are growing and more Australians are drawing down on their retirement savings. That is why it is appropriate for key aspects of the superannuation system to be modernised. At present the system is not consistently delivering. Several aspects of the regulatory framework do not meet contemporary best practice or the standards applied elsewhere in the financial system. </w:t>
      </w:r>
      <w:r w:rsidRPr="00D532D5">
        <w:t>This means that the current framework is not holding funds to the highest standards of accountability</w:t>
      </w:r>
      <w:r w:rsidR="0052270D">
        <w:t xml:space="preserve"> and transparency</w:t>
      </w:r>
      <w:r w:rsidRPr="00D532D5">
        <w:t>, to the detriment of members.</w:t>
      </w:r>
    </w:p>
    <w:p w:rsidR="001F1D78" w:rsidRDefault="001F1D78" w:rsidP="00613BE4">
      <w:pPr>
        <w:pStyle w:val="base-text-paragraph"/>
      </w:pPr>
      <w:r>
        <w:t xml:space="preserve">Superannuation funds must ensure members’ interests are always paramount </w:t>
      </w:r>
      <w:r w:rsidR="002E25C7">
        <w:rPr>
          <w:rFonts w:ascii="Calibri" w:hAnsi="Calibri"/>
        </w:rPr>
        <w:t>—</w:t>
      </w:r>
      <w:r>
        <w:t xml:space="preserve"> after all, our system is premised upon a trust framework and trustees owe fiduciary obligations to their members. </w:t>
      </w:r>
    </w:p>
    <w:p w:rsidR="001F1D78" w:rsidRPr="000D5EC1" w:rsidRDefault="001F1D78" w:rsidP="00613BE4">
      <w:pPr>
        <w:pStyle w:val="base-text-paragraph"/>
      </w:pPr>
      <w:r w:rsidRPr="000D5EC1">
        <w:t xml:space="preserve">The </w:t>
      </w:r>
      <w:r>
        <w:t xml:space="preserve">exposure draft </w:t>
      </w:r>
      <w:r w:rsidRPr="000D5EC1">
        <w:t xml:space="preserve">Bill will </w:t>
      </w:r>
      <w:r>
        <w:t xml:space="preserve">modernise and </w:t>
      </w:r>
      <w:r w:rsidRPr="000D5EC1">
        <w:t>increase confidence within the superannuation system</w:t>
      </w:r>
      <w:r>
        <w:t xml:space="preserve"> by:</w:t>
      </w:r>
    </w:p>
    <w:p w:rsidR="001F1D78" w:rsidRPr="000D5EC1" w:rsidRDefault="001F1D78" w:rsidP="00613BE4">
      <w:pPr>
        <w:pStyle w:val="dotpoint"/>
      </w:pPr>
      <w:r>
        <w:t>l</w:t>
      </w:r>
      <w:r w:rsidRPr="000D5EC1">
        <w:t xml:space="preserve">ifting the bar for fund performance </w:t>
      </w:r>
      <w:r w:rsidR="002E25C7">
        <w:rPr>
          <w:rFonts w:ascii="Calibri" w:hAnsi="Calibri"/>
        </w:rPr>
        <w:t>—</w:t>
      </w:r>
      <w:r w:rsidRPr="000D5EC1">
        <w:t xml:space="preserve"> facilitating improved decision-making</w:t>
      </w:r>
      <w:r w:rsidR="00455E91">
        <w:t>;</w:t>
      </w:r>
    </w:p>
    <w:p w:rsidR="001F1D78" w:rsidRPr="000D5EC1" w:rsidRDefault="001F1D78" w:rsidP="00613BE4">
      <w:pPr>
        <w:pStyle w:val="dotpoint"/>
      </w:pPr>
      <w:r>
        <w:t>s</w:t>
      </w:r>
      <w:r w:rsidRPr="000D5EC1">
        <w:t xml:space="preserve">trengthening supervision and enforcement </w:t>
      </w:r>
      <w:r w:rsidR="002E25C7">
        <w:rPr>
          <w:rFonts w:ascii="Calibri" w:hAnsi="Calibri"/>
        </w:rPr>
        <w:t>—</w:t>
      </w:r>
      <w:r w:rsidRPr="000D5EC1">
        <w:t xml:space="preserve"> </w:t>
      </w:r>
      <w:r>
        <w:t>giving</w:t>
      </w:r>
      <w:r w:rsidRPr="000D5EC1">
        <w:t xml:space="preserve"> APRA improved capability to take preventive and corrective action </w:t>
      </w:r>
      <w:r>
        <w:t>in response to</w:t>
      </w:r>
      <w:r w:rsidRPr="000D5EC1">
        <w:t xml:space="preserve"> b</w:t>
      </w:r>
      <w:r>
        <w:t>r</w:t>
      </w:r>
      <w:r w:rsidRPr="000D5EC1">
        <w:t>eaches of the law or where funds may not be acting in the best interests of their members</w:t>
      </w:r>
      <w:r w:rsidR="00455E91">
        <w:t>; and</w:t>
      </w:r>
    </w:p>
    <w:p w:rsidR="001F1D78" w:rsidRDefault="001F1D78" w:rsidP="00613BE4">
      <w:pPr>
        <w:pStyle w:val="dotpoint"/>
      </w:pPr>
      <w:proofErr w:type="gramStart"/>
      <w:r>
        <w:t>e</w:t>
      </w:r>
      <w:r w:rsidRPr="000D5EC1">
        <w:t>mpowering</w:t>
      </w:r>
      <w:proofErr w:type="gramEnd"/>
      <w:r w:rsidRPr="000D5EC1">
        <w:t xml:space="preserve"> members</w:t>
      </w:r>
      <w:r w:rsidR="002E25C7">
        <w:t xml:space="preserve"> </w:t>
      </w:r>
      <w:r w:rsidR="002E25C7">
        <w:rPr>
          <w:rFonts w:ascii="Calibri" w:hAnsi="Calibri"/>
        </w:rPr>
        <w:t>—</w:t>
      </w:r>
      <w:r w:rsidRPr="000D5EC1">
        <w:t xml:space="preserve"> </w:t>
      </w:r>
      <w:r>
        <w:t>strengthening</w:t>
      </w:r>
      <w:r w:rsidRPr="000D5EC1">
        <w:t xml:space="preserve"> fund accountability and boosting confidence in the superannuation system.</w:t>
      </w:r>
    </w:p>
    <w:p w:rsidR="001F1D78" w:rsidRDefault="001F1D78" w:rsidP="00BB7AC1">
      <w:pPr>
        <w:pStyle w:val="Heading2"/>
      </w:pPr>
      <w:r>
        <w:t>Summary of new law</w:t>
      </w:r>
    </w:p>
    <w:p w:rsidR="00613BE4" w:rsidRPr="00613BE4" w:rsidRDefault="00613BE4" w:rsidP="00055763">
      <w:pPr>
        <w:pStyle w:val="Heading3"/>
      </w:pPr>
      <w:r w:rsidRPr="00613BE4">
        <w:t xml:space="preserve">Annual MySuper outcomes assessment </w:t>
      </w:r>
    </w:p>
    <w:p w:rsidR="00613BE4" w:rsidRPr="00613BE4" w:rsidRDefault="00613BE4" w:rsidP="00613BE4">
      <w:pPr>
        <w:pStyle w:val="base-text-paragraph"/>
        <w:numPr>
          <w:ilvl w:val="1"/>
          <w:numId w:val="70"/>
        </w:numPr>
      </w:pPr>
      <w:r w:rsidRPr="00613BE4">
        <w:t xml:space="preserve">Schedule 1 to the exposure draft Bill strengthens the obligation on superannuation trustees to consider the appropriateness of their MySuper product offering. Trustees will be required to assess on an </w:t>
      </w:r>
      <w:r w:rsidRPr="00613BE4">
        <w:lastRenderedPageBreak/>
        <w:t>annual basis, whether the outcomes that are being delivered are promoting the financial interests of their MySuper members.</w:t>
      </w:r>
    </w:p>
    <w:p w:rsidR="00613BE4" w:rsidRPr="0069372D" w:rsidRDefault="00613BE4" w:rsidP="0069372D">
      <w:pPr>
        <w:pStyle w:val="base-text-paragraph"/>
        <w:numPr>
          <w:ilvl w:val="1"/>
          <w:numId w:val="70"/>
        </w:numPr>
        <w:rPr>
          <w:b/>
          <w:i/>
        </w:rPr>
      </w:pPr>
      <w:r w:rsidRPr="00613BE4">
        <w:t>The amendments will expand the range of factors that trustees consider in assessing the quality and appropriateness of their MySuper product.</w:t>
      </w:r>
      <w:r w:rsidRPr="0069372D">
        <w:rPr>
          <w:b/>
          <w:i/>
        </w:rPr>
        <w:t xml:space="preserve"> </w:t>
      </w:r>
    </w:p>
    <w:p w:rsidR="00613BE4" w:rsidRPr="00613BE4" w:rsidRDefault="00613BE4" w:rsidP="00055763">
      <w:pPr>
        <w:pStyle w:val="Heading3"/>
      </w:pPr>
      <w:r w:rsidRPr="00613BE4">
        <w:t>Authority to offer a MySuper product</w:t>
      </w:r>
    </w:p>
    <w:p w:rsidR="00613BE4" w:rsidRPr="00613BE4" w:rsidRDefault="00613BE4" w:rsidP="00613BE4">
      <w:pPr>
        <w:pStyle w:val="base-text-paragraph"/>
        <w:numPr>
          <w:ilvl w:val="1"/>
          <w:numId w:val="70"/>
        </w:numPr>
      </w:pPr>
      <w:r w:rsidRPr="00613BE4">
        <w:t>Schedule 2 to the exposure draft Bill</w:t>
      </w:r>
      <w:r w:rsidRPr="00613BE4" w:rsidDel="00C137D8">
        <w:t xml:space="preserve"> </w:t>
      </w:r>
      <w:r w:rsidRPr="00613BE4">
        <w:t>provides the Australian Prudential Regulation Authority (APRA) an enhanced capacity to refuse a registerable superannuation entity (RSE) a new authority to offer a MySuper product, or to cancel such authority.</w:t>
      </w:r>
    </w:p>
    <w:p w:rsidR="00613BE4" w:rsidRPr="00613BE4" w:rsidRDefault="00613BE4" w:rsidP="00613BE4">
      <w:pPr>
        <w:pStyle w:val="base-text-paragraph"/>
        <w:numPr>
          <w:ilvl w:val="1"/>
          <w:numId w:val="70"/>
        </w:numPr>
      </w:pPr>
      <w:r w:rsidRPr="00613BE4">
        <w:t>This will improve the quality of MySuper products by allowing APRA to refuse, or cancel, an authority to offer a MySuper product if APRA has a reason to believe the RSE licensee may fail to comply with its obligations.</w:t>
      </w:r>
    </w:p>
    <w:p w:rsidR="00613BE4" w:rsidRPr="00613BE4" w:rsidRDefault="00613BE4" w:rsidP="00055763">
      <w:pPr>
        <w:pStyle w:val="Heading3"/>
      </w:pPr>
      <w:r w:rsidRPr="00613BE4">
        <w:t xml:space="preserve">Director penalties </w:t>
      </w:r>
    </w:p>
    <w:p w:rsidR="00613BE4" w:rsidRPr="00613BE4" w:rsidRDefault="00613BE4" w:rsidP="00613BE4">
      <w:pPr>
        <w:pStyle w:val="base-text-paragraph"/>
        <w:numPr>
          <w:ilvl w:val="1"/>
          <w:numId w:val="70"/>
        </w:numPr>
      </w:pPr>
      <w:r w:rsidRPr="00613BE4">
        <w:t xml:space="preserve">Schedule </w:t>
      </w:r>
      <w:r w:rsidR="004C17FE">
        <w:t>3</w:t>
      </w:r>
      <w:r w:rsidRPr="00613BE4">
        <w:t xml:space="preserve"> to the exposure draft Bill will ensure that directors of RSE licensees are held accountable for their conduct in the same way directors of managed investments schemes are currently held accountable.</w:t>
      </w:r>
    </w:p>
    <w:p w:rsidR="00613BE4" w:rsidRPr="00613BE4" w:rsidRDefault="00613BE4" w:rsidP="00613BE4">
      <w:pPr>
        <w:pStyle w:val="base-text-paragraph"/>
        <w:numPr>
          <w:ilvl w:val="1"/>
          <w:numId w:val="70"/>
        </w:numPr>
      </w:pPr>
      <w:r w:rsidRPr="00613BE4">
        <w:t>The amendments will ensure that an appropriate penalty regime is in place for directors who fail to execute their responsibilities to act in the best interests of members, or who use their position to further their own interests to the detriment of members.</w:t>
      </w:r>
    </w:p>
    <w:p w:rsidR="00613BE4" w:rsidRPr="00A433BE" w:rsidRDefault="00613BE4" w:rsidP="00613BE4">
      <w:pPr>
        <w:pStyle w:val="base-text-paragraph"/>
        <w:numPr>
          <w:ilvl w:val="1"/>
          <w:numId w:val="70"/>
        </w:numPr>
      </w:pPr>
      <w:r w:rsidRPr="00A433BE">
        <w:t>The Government</w:t>
      </w:r>
      <w:r w:rsidR="00D60AD1" w:rsidRPr="00A433BE">
        <w:t xml:space="preserve"> announced this </w:t>
      </w:r>
      <w:r w:rsidR="00055763" w:rsidRPr="00A433BE">
        <w:t xml:space="preserve">on 20 October 2015 </w:t>
      </w:r>
      <w:r w:rsidR="00D60AD1" w:rsidRPr="00A433BE">
        <w:t>in its</w:t>
      </w:r>
      <w:r w:rsidRPr="00A433BE">
        <w:t xml:space="preserve"> response to the Financial System Inquiry</w:t>
      </w:r>
      <w:r w:rsidR="00055763" w:rsidRPr="00A433BE">
        <w:t>.</w:t>
      </w:r>
    </w:p>
    <w:p w:rsidR="00613BE4" w:rsidRPr="00613BE4" w:rsidRDefault="00613BE4" w:rsidP="00055763">
      <w:pPr>
        <w:pStyle w:val="Heading3"/>
      </w:pPr>
      <w:r w:rsidRPr="00613BE4">
        <w:t>Approval to own or control an RSE Licensee</w:t>
      </w:r>
    </w:p>
    <w:p w:rsidR="00613BE4" w:rsidRPr="00613BE4" w:rsidRDefault="00613BE4" w:rsidP="00613BE4">
      <w:pPr>
        <w:pStyle w:val="base-text-paragraph"/>
        <w:numPr>
          <w:ilvl w:val="1"/>
          <w:numId w:val="70"/>
        </w:numPr>
      </w:pPr>
      <w:r w:rsidRPr="00613BE4">
        <w:t xml:space="preserve">Schedule </w:t>
      </w:r>
      <w:r w:rsidR="004C17FE">
        <w:t>4</w:t>
      </w:r>
      <w:r w:rsidRPr="00613BE4">
        <w:t xml:space="preserve"> to the exposure draft Bill seeks to protect members by strengthening APRA’s supervision and enforcement powers when a change of ownership or control of a RSE licensee takes place. The amendments will reduce the potential for fraud against members of RSEs by requiring persons to obtain approval from APRA to own or hold a controlling stake in an RSE licensee.  </w:t>
      </w:r>
    </w:p>
    <w:p w:rsidR="00613BE4" w:rsidRPr="00613BE4" w:rsidRDefault="00613BE4" w:rsidP="00613BE4">
      <w:pPr>
        <w:pStyle w:val="base-text-paragraph"/>
        <w:numPr>
          <w:ilvl w:val="1"/>
          <w:numId w:val="70"/>
        </w:numPr>
      </w:pPr>
      <w:r w:rsidRPr="00613BE4">
        <w:t>The amendments will enable APRA to refuse authority for a change in ownership where it has concerns about the new owner, give a direction to a person to relinquish control of an RSE licensee and remove or suspend an RSE licensee where it is subject to the control of its owner.</w:t>
      </w:r>
    </w:p>
    <w:p w:rsidR="00613BE4" w:rsidRPr="00613BE4" w:rsidRDefault="00613BE4" w:rsidP="00055763">
      <w:pPr>
        <w:pStyle w:val="Heading3"/>
      </w:pPr>
      <w:r w:rsidRPr="00613BE4">
        <w:lastRenderedPageBreak/>
        <w:t>APRA directions power</w:t>
      </w:r>
    </w:p>
    <w:p w:rsidR="00613BE4" w:rsidRPr="00613BE4" w:rsidRDefault="00742024" w:rsidP="00613BE4">
      <w:pPr>
        <w:pStyle w:val="base-text-paragraph"/>
        <w:numPr>
          <w:ilvl w:val="1"/>
          <w:numId w:val="70"/>
        </w:numPr>
      </w:pPr>
      <w:r>
        <w:t>Schedule 5</w:t>
      </w:r>
      <w:r w:rsidR="00613BE4" w:rsidRPr="00613BE4">
        <w:t xml:space="preserve"> to the exposure draft Bill harmonises the directions powers across the banking, insurance and superannuation industries, by enabling APRA to intervene at an early stage to address prudential concerns in a manner that ensures the required actions are in the best interests of members.</w:t>
      </w:r>
    </w:p>
    <w:p w:rsidR="00613BE4" w:rsidRPr="00613BE4" w:rsidRDefault="00613BE4" w:rsidP="00055763">
      <w:pPr>
        <w:pStyle w:val="Heading3"/>
      </w:pPr>
      <w:r w:rsidRPr="00613BE4">
        <w:t xml:space="preserve">Annual members’ meetings </w:t>
      </w:r>
    </w:p>
    <w:p w:rsidR="00613BE4" w:rsidRPr="00613BE4" w:rsidRDefault="00613BE4" w:rsidP="00613BE4">
      <w:pPr>
        <w:pStyle w:val="base-text-paragraph"/>
        <w:numPr>
          <w:ilvl w:val="1"/>
          <w:numId w:val="70"/>
        </w:numPr>
      </w:pPr>
      <w:r w:rsidRPr="00613BE4">
        <w:t xml:space="preserve">Schedule </w:t>
      </w:r>
      <w:r w:rsidR="004C17FE">
        <w:t>7</w:t>
      </w:r>
      <w:r w:rsidRPr="00613BE4">
        <w:t xml:space="preserve"> to the exposure draft Bill will ensure greater accountability and transparency of superannuation funds by requiring RSE licensees to hold annual members’ meetings (AMMs), to discuss the key aspects of the fund and provide members with a forum to ask questions about all areas of the fund’s performance and operations.</w:t>
      </w:r>
    </w:p>
    <w:p w:rsidR="00613BE4" w:rsidRPr="00613BE4" w:rsidRDefault="00613BE4" w:rsidP="00613BE4">
      <w:pPr>
        <w:pStyle w:val="base-text-paragraph"/>
        <w:numPr>
          <w:ilvl w:val="1"/>
          <w:numId w:val="70"/>
        </w:numPr>
      </w:pPr>
      <w:r w:rsidRPr="00613BE4">
        <w:t>The amendments will require RSE licensees to hold an AMM within five months after the end of each financial year.</w:t>
      </w:r>
    </w:p>
    <w:p w:rsidR="00613BE4" w:rsidRPr="00613BE4" w:rsidRDefault="00613BE4" w:rsidP="00055763">
      <w:pPr>
        <w:pStyle w:val="Heading3"/>
      </w:pPr>
      <w:r w:rsidRPr="00613BE4">
        <w:t>Reporting standards</w:t>
      </w:r>
    </w:p>
    <w:p w:rsidR="00613BE4" w:rsidRPr="00613BE4" w:rsidRDefault="00613BE4" w:rsidP="00613BE4">
      <w:pPr>
        <w:pStyle w:val="base-text-paragraph"/>
        <w:numPr>
          <w:ilvl w:val="1"/>
          <w:numId w:val="70"/>
        </w:numPr>
      </w:pPr>
      <w:r w:rsidRPr="00613BE4">
        <w:t xml:space="preserve">Schedule </w:t>
      </w:r>
      <w:r w:rsidR="004C17FE">
        <w:t>8</w:t>
      </w:r>
      <w:r w:rsidRPr="00613BE4">
        <w:t xml:space="preserve"> to the exposure draft Bill amends the </w:t>
      </w:r>
      <w:r w:rsidR="00310364">
        <w:t xml:space="preserve">FSCODA </w:t>
      </w:r>
      <w:r w:rsidRPr="00613BE4">
        <w:t>to provide APRA with the ability to obtain information on expenses incurred by RSE and RSE licensees in managing/operating the RSE.</w:t>
      </w:r>
    </w:p>
    <w:p w:rsidR="00613BE4" w:rsidRPr="00613BE4" w:rsidRDefault="00613BE4" w:rsidP="00613BE4">
      <w:pPr>
        <w:pStyle w:val="base-text-paragraph"/>
        <w:numPr>
          <w:ilvl w:val="1"/>
          <w:numId w:val="70"/>
        </w:numPr>
      </w:pPr>
      <w:r w:rsidRPr="00613BE4">
        <w:t>This additional information will enable APRA to understand the full picture of how RSEs are using member contributions and will enable APRA to consider whether expenses of individual RSEs are in line with covenants under the</w:t>
      </w:r>
      <w:r w:rsidR="00310364">
        <w:t xml:space="preserve"> SIS Act</w:t>
      </w:r>
      <w:r w:rsidRPr="00613BE4">
        <w:t>.</w:t>
      </w:r>
    </w:p>
    <w:p w:rsidR="0069372D" w:rsidRDefault="0069372D" w:rsidP="00A2439A">
      <w:pPr>
        <w:pStyle w:val="Heading2"/>
      </w:pPr>
      <w:r>
        <w:t>Application and transitional provisions</w:t>
      </w:r>
    </w:p>
    <w:p w:rsidR="0069372D" w:rsidRDefault="005703EC" w:rsidP="0069372D">
      <w:pPr>
        <w:pStyle w:val="base-text-paragraph"/>
      </w:pPr>
      <w:r>
        <w:t>T</w:t>
      </w:r>
      <w:r w:rsidR="0069372D" w:rsidRPr="00613BE4">
        <w:t xml:space="preserve">he amendments in this </w:t>
      </w:r>
      <w:r w:rsidR="0069372D">
        <w:t>exposure draft</w:t>
      </w:r>
      <w:r w:rsidR="0069372D" w:rsidRPr="00613BE4">
        <w:t xml:space="preserve"> will take effect from the day after the exposure draft Bill receives Royal Assent.</w:t>
      </w:r>
    </w:p>
    <w:p w:rsidR="0015170D" w:rsidRDefault="0015170D" w:rsidP="0069372D">
      <w:pPr>
        <w:pStyle w:val="base-text-paragraph"/>
      </w:pPr>
      <w:r>
        <w:t>The application and transitional provisions for each schedule are explained in detail in their respective chapters.</w:t>
      </w:r>
    </w:p>
    <w:p w:rsidR="001F1D78" w:rsidRDefault="001F1D78" w:rsidP="001F1D78">
      <w:pPr>
        <w:pStyle w:val="Hiddentext"/>
      </w:pPr>
      <w:r>
        <w:t>Do not remove section break.</w:t>
      </w:r>
    </w:p>
    <w:p w:rsidR="001F1D78" w:rsidRDefault="001F1D78" w:rsidP="001F1D78">
      <w:pPr>
        <w:sectPr w:rsidR="001F1D78" w:rsidSect="001F1D78">
          <w:headerReference w:type="even" r:id="rId25"/>
          <w:headerReference w:type="default" r:id="rId26"/>
          <w:footerReference w:type="even" r:id="rId27"/>
          <w:footerReference w:type="default" r:id="rId28"/>
          <w:footerReference w:type="first" r:id="rId29"/>
          <w:type w:val="oddPage"/>
          <w:pgSz w:w="11906" w:h="16838" w:code="9"/>
          <w:pgMar w:top="2466" w:right="2098" w:bottom="2466" w:left="2098" w:header="1559" w:footer="1899" w:gutter="0"/>
          <w:cols w:space="708"/>
          <w:titlePg/>
          <w:docGrid w:linePitch="360"/>
        </w:sectPr>
      </w:pPr>
    </w:p>
    <w:p w:rsidR="007C0947" w:rsidRPr="00F43F10" w:rsidRDefault="007C0947" w:rsidP="007C0947">
      <w:pPr>
        <w:pStyle w:val="ChapterHeading"/>
        <w:numPr>
          <w:ilvl w:val="0"/>
          <w:numId w:val="21"/>
        </w:numPr>
        <w:ind w:left="0"/>
      </w:pPr>
      <w:bookmarkStart w:id="66" w:name="_Toc483573620"/>
      <w:bookmarkStart w:id="67" w:name="_Toc483916184"/>
      <w:bookmarkStart w:id="68" w:name="_Toc483573621"/>
      <w:bookmarkStart w:id="69" w:name="_Toc483916185"/>
      <w:bookmarkStart w:id="70" w:name="_Toc483573622"/>
      <w:bookmarkStart w:id="71" w:name="_Toc483916186"/>
      <w:bookmarkStart w:id="72" w:name="_Toc483573623"/>
      <w:bookmarkStart w:id="73" w:name="_Toc483916187"/>
      <w:bookmarkStart w:id="74" w:name="_Toc483573624"/>
      <w:bookmarkStart w:id="75" w:name="_Toc483916188"/>
      <w:bookmarkStart w:id="76" w:name="_Toc483573625"/>
      <w:bookmarkStart w:id="77" w:name="_Toc483916189"/>
      <w:bookmarkStart w:id="78" w:name="_Toc483573626"/>
      <w:bookmarkStart w:id="79" w:name="_Toc483916190"/>
      <w:bookmarkStart w:id="80" w:name="_Toc483573627"/>
      <w:bookmarkStart w:id="81" w:name="_Toc483916191"/>
      <w:bookmarkStart w:id="82" w:name="_Toc483573629"/>
      <w:bookmarkStart w:id="83" w:name="_Toc483916193"/>
      <w:bookmarkStart w:id="84" w:name="_Toc483573630"/>
      <w:bookmarkStart w:id="85" w:name="_Toc483916194"/>
      <w:bookmarkStart w:id="86" w:name="_Toc483573631"/>
      <w:bookmarkStart w:id="87" w:name="_Toc483916195"/>
      <w:bookmarkStart w:id="88" w:name="_Toc483573635"/>
      <w:bookmarkStart w:id="89" w:name="_Toc483916199"/>
      <w:bookmarkStart w:id="90" w:name="_Toc483573637"/>
      <w:bookmarkStart w:id="91" w:name="_Toc483916201"/>
      <w:bookmarkStart w:id="92" w:name="_Toc483573646"/>
      <w:bookmarkStart w:id="93" w:name="_Toc483916210"/>
      <w:bookmarkStart w:id="94" w:name="_Toc483573647"/>
      <w:bookmarkStart w:id="95" w:name="_Toc483916211"/>
      <w:bookmarkStart w:id="96" w:name="_Toc483573649"/>
      <w:bookmarkStart w:id="97" w:name="_Toc483916213"/>
      <w:bookmarkStart w:id="98" w:name="_Toc483573654"/>
      <w:bookmarkStart w:id="99" w:name="_Toc483916218"/>
      <w:bookmarkStart w:id="100" w:name="_Toc483573655"/>
      <w:bookmarkStart w:id="101" w:name="_Toc483916219"/>
      <w:bookmarkStart w:id="102" w:name="_Toc483573656"/>
      <w:bookmarkStart w:id="103" w:name="_Toc483916220"/>
      <w:bookmarkStart w:id="104" w:name="_Toc483573658"/>
      <w:bookmarkStart w:id="105" w:name="_Toc483916222"/>
      <w:bookmarkStart w:id="106" w:name="_Toc483573659"/>
      <w:bookmarkStart w:id="107" w:name="_Toc483916223"/>
      <w:bookmarkStart w:id="108" w:name="_Toc483573661"/>
      <w:bookmarkStart w:id="109" w:name="_Toc483916225"/>
      <w:bookmarkStart w:id="110" w:name="_Toc483573662"/>
      <w:bookmarkStart w:id="111" w:name="_Toc483916226"/>
      <w:bookmarkStart w:id="112" w:name="_Toc483573665"/>
      <w:bookmarkStart w:id="113" w:name="_Toc483916229"/>
      <w:bookmarkStart w:id="114" w:name="_Toc483573668"/>
      <w:bookmarkStart w:id="115" w:name="_Toc483916232"/>
      <w:bookmarkStart w:id="116" w:name="_Toc483573669"/>
      <w:bookmarkStart w:id="117" w:name="_Toc483916233"/>
      <w:bookmarkStart w:id="118" w:name="_Toc483573671"/>
      <w:bookmarkStart w:id="119" w:name="_Toc483916235"/>
      <w:bookmarkStart w:id="120" w:name="_Toc483573672"/>
      <w:bookmarkStart w:id="121" w:name="_Toc483916236"/>
      <w:bookmarkStart w:id="122" w:name="_Toc483573673"/>
      <w:bookmarkStart w:id="123" w:name="_Toc483916237"/>
      <w:bookmarkStart w:id="124" w:name="_Toc483573681"/>
      <w:bookmarkStart w:id="125" w:name="_Toc483916245"/>
      <w:bookmarkStart w:id="126" w:name="_Toc483573682"/>
      <w:bookmarkStart w:id="127" w:name="_Toc483916246"/>
      <w:bookmarkStart w:id="128" w:name="_Toc483573683"/>
      <w:bookmarkStart w:id="129" w:name="_Toc483916247"/>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0D5EC1">
        <w:lastRenderedPageBreak/>
        <w:br/>
      </w:r>
      <w:bookmarkStart w:id="130" w:name="_Toc483916248"/>
      <w:bookmarkStart w:id="131" w:name="_Toc488398287"/>
      <w:bookmarkStart w:id="132" w:name="_Toc488413408"/>
      <w:r w:rsidRPr="00F43F10">
        <w:t>Annual MySuper outcomes assessment</w:t>
      </w:r>
      <w:bookmarkEnd w:id="130"/>
      <w:bookmarkEnd w:id="131"/>
      <w:bookmarkEnd w:id="132"/>
      <w:r w:rsidRPr="00F43F10">
        <w:t xml:space="preserve"> </w:t>
      </w:r>
    </w:p>
    <w:p w:rsidR="00F70F10" w:rsidRPr="000D5EC1" w:rsidRDefault="00F70F10" w:rsidP="00F70F10">
      <w:pPr>
        <w:pStyle w:val="Heading2"/>
      </w:pPr>
      <w:r w:rsidRPr="000D5EC1">
        <w:t>Outline of chapter</w:t>
      </w:r>
    </w:p>
    <w:p w:rsidR="00F70F10" w:rsidRDefault="00953B87" w:rsidP="00F70F10">
      <w:pPr>
        <w:pStyle w:val="base-text-paragraph"/>
        <w:numPr>
          <w:ilvl w:val="1"/>
          <w:numId w:val="24"/>
        </w:numPr>
        <w:tabs>
          <w:tab w:val="clear" w:pos="1985"/>
          <w:tab w:val="num" w:pos="1844"/>
        </w:tabs>
        <w:ind w:left="993"/>
      </w:pPr>
      <w:r>
        <w:t>Schedule 1 to the exposure draft Bill amends</w:t>
      </w:r>
      <w:r w:rsidR="00F70F10" w:rsidRPr="00BC6100">
        <w:t xml:space="preserve"> the</w:t>
      </w:r>
      <w:r w:rsidR="00F70F10" w:rsidRPr="0002141B">
        <w:t xml:space="preserve"> </w:t>
      </w:r>
      <w:r w:rsidR="00F70F10" w:rsidRPr="00E92AEB">
        <w:rPr>
          <w:i/>
        </w:rPr>
        <w:t>Superannuation Industry (Supervision) Act 199</w:t>
      </w:r>
      <w:r w:rsidR="00F70F10" w:rsidRPr="003023F3">
        <w:rPr>
          <w:i/>
        </w:rPr>
        <w:t>3</w:t>
      </w:r>
      <w:r w:rsidR="00F70F10" w:rsidRPr="003023F3">
        <w:t xml:space="preserve"> </w:t>
      </w:r>
      <w:r w:rsidR="00F70F10">
        <w:t xml:space="preserve">(SIS Act) to strengthen the obligation on superannuation trustees to consider the appropriateness of their MySuper product offering on an ongoing annual basis and </w:t>
      </w:r>
      <w:r w:rsidR="001F2A8E">
        <w:t xml:space="preserve">how that product continues to deliver </w:t>
      </w:r>
      <w:r w:rsidR="0076186D">
        <w:t>appropriate</w:t>
      </w:r>
      <w:r w:rsidR="00F70F10">
        <w:t xml:space="preserve"> outcomes to MySuper members.</w:t>
      </w:r>
    </w:p>
    <w:p w:rsidR="00F70F10" w:rsidRDefault="00F70F10" w:rsidP="00F70F10">
      <w:pPr>
        <w:pStyle w:val="base-text-paragraph"/>
        <w:numPr>
          <w:ilvl w:val="1"/>
          <w:numId w:val="24"/>
        </w:numPr>
        <w:tabs>
          <w:tab w:val="clear" w:pos="1985"/>
          <w:tab w:val="num" w:pos="1844"/>
        </w:tabs>
        <w:ind w:left="993"/>
      </w:pPr>
      <w:r w:rsidRPr="003023F3">
        <w:t xml:space="preserve">The purpose of these amendments is to </w:t>
      </w:r>
      <w:r>
        <w:t xml:space="preserve">ensure that trustees are promoting the financial interests of their MySuper members, which is expected to lead to an increase in the overall quality </w:t>
      </w:r>
      <w:r w:rsidRPr="003023F3">
        <w:t>of MySuper products</w:t>
      </w:r>
      <w:r>
        <w:t>.</w:t>
      </w:r>
    </w:p>
    <w:p w:rsidR="00F70F10" w:rsidRDefault="00F70F10" w:rsidP="00F70F10">
      <w:pPr>
        <w:pStyle w:val="base-text-paragraph"/>
        <w:numPr>
          <w:ilvl w:val="1"/>
          <w:numId w:val="24"/>
        </w:numPr>
        <w:tabs>
          <w:tab w:val="clear" w:pos="1985"/>
          <w:tab w:val="num" w:pos="1844"/>
        </w:tabs>
        <w:ind w:left="993"/>
      </w:pPr>
      <w:r>
        <w:t xml:space="preserve">Trustees </w:t>
      </w:r>
      <w:r w:rsidR="00A002DD">
        <w:t>will</w:t>
      </w:r>
      <w:r>
        <w:t xml:space="preserve"> be required to</w:t>
      </w:r>
      <w:r w:rsidRPr="003023F3">
        <w:t xml:space="preserve"> undertake an annual determination conside</w:t>
      </w:r>
      <w:r w:rsidRPr="0002672B">
        <w:t xml:space="preserve">ring a number of features </w:t>
      </w:r>
      <w:r>
        <w:t>that the outcomes being delivered are in</w:t>
      </w:r>
      <w:r w:rsidR="001F2A8E">
        <w:t xml:space="preserve"> promoting</w:t>
      </w:r>
      <w:r>
        <w:t xml:space="preserve"> the financial interests of their MySuper members. </w:t>
      </w:r>
    </w:p>
    <w:p w:rsidR="00953B87" w:rsidRPr="00773742" w:rsidRDefault="00953B87" w:rsidP="00F70F10">
      <w:pPr>
        <w:pStyle w:val="base-text-paragraph"/>
        <w:numPr>
          <w:ilvl w:val="1"/>
          <w:numId w:val="24"/>
        </w:numPr>
        <w:tabs>
          <w:tab w:val="clear" w:pos="1985"/>
          <w:tab w:val="num" w:pos="1844"/>
        </w:tabs>
        <w:ind w:left="993"/>
      </w:pPr>
      <w:r w:rsidRPr="000D5EC1">
        <w:t xml:space="preserve">All legislative references in this </w:t>
      </w:r>
      <w:r>
        <w:t>c</w:t>
      </w:r>
      <w:r w:rsidRPr="000D5EC1">
        <w:t xml:space="preserve">hapter are to the </w:t>
      </w:r>
      <w:r>
        <w:t>SIS Act</w:t>
      </w:r>
      <w:r w:rsidRPr="000D5EC1">
        <w:rPr>
          <w:i/>
        </w:rPr>
        <w:t xml:space="preserve"> </w:t>
      </w:r>
      <w:r w:rsidRPr="000D5EC1">
        <w:t>unless otherwise indicated</w:t>
      </w:r>
      <w:r>
        <w:t>.</w:t>
      </w:r>
    </w:p>
    <w:p w:rsidR="00F70F10" w:rsidRPr="000D5EC1" w:rsidRDefault="00F70F10" w:rsidP="00F70F10">
      <w:pPr>
        <w:pStyle w:val="Heading2"/>
      </w:pPr>
      <w:r w:rsidRPr="000D5EC1">
        <w:t>Context of amendments</w:t>
      </w:r>
    </w:p>
    <w:p w:rsidR="00F70F10" w:rsidRPr="000D5EC1" w:rsidRDefault="00F70F10" w:rsidP="00F70F10">
      <w:pPr>
        <w:pStyle w:val="base-text-paragraph"/>
        <w:numPr>
          <w:ilvl w:val="1"/>
          <w:numId w:val="24"/>
        </w:numPr>
        <w:tabs>
          <w:tab w:val="clear" w:pos="1985"/>
          <w:tab w:val="num" w:pos="1844"/>
        </w:tabs>
      </w:pPr>
      <w:r w:rsidRPr="000D5EC1">
        <w:t>The SIS Act requires superannuation trustees to promote the financial interests of their</w:t>
      </w:r>
      <w:r>
        <w:t xml:space="preserve"> MySuper</w:t>
      </w:r>
      <w:r w:rsidRPr="000D5EC1">
        <w:t xml:space="preserve"> members as part of the enhanced trustee obligations in relation to a MySuper product. In particular, trustees must have regard to returns to those beneficiaries (after the deduction of fees, costs and taxes).</w:t>
      </w:r>
    </w:p>
    <w:p w:rsidR="00F70F10" w:rsidRPr="000D5EC1" w:rsidRDefault="00F70F10" w:rsidP="00F70F10">
      <w:pPr>
        <w:pStyle w:val="base-text-paragraph"/>
        <w:numPr>
          <w:ilvl w:val="1"/>
          <w:numId w:val="24"/>
        </w:numPr>
        <w:tabs>
          <w:tab w:val="clear" w:pos="1985"/>
          <w:tab w:val="num" w:pos="1844"/>
        </w:tabs>
      </w:pPr>
      <w:r w:rsidRPr="000D5EC1">
        <w:t xml:space="preserve">Currently, trustees are required to undertake an annual assessment of whether beneficiaries holding a MySuper product in their </w:t>
      </w:r>
      <w:r w:rsidRPr="000E5797">
        <w:t>registrable superannuation entity</w:t>
      </w:r>
      <w:r>
        <w:t xml:space="preserve"> (</w:t>
      </w:r>
      <w:r w:rsidRPr="000D5EC1">
        <w:t>RSE</w:t>
      </w:r>
      <w:r>
        <w:t>)</w:t>
      </w:r>
      <w:r w:rsidRPr="000D5EC1">
        <w:t xml:space="preserve"> are disadvantaged when compared </w:t>
      </w:r>
      <w:r>
        <w:t>to</w:t>
      </w:r>
      <w:r w:rsidRPr="000D5EC1">
        <w:t xml:space="preserve"> the experience of beneficiaries holding MySuper products in other RSEs because the trustee’s MySuper product or RSE lacks sufficient scale (the scale test).</w:t>
      </w:r>
    </w:p>
    <w:p w:rsidR="00F70F10" w:rsidRPr="000D5EC1" w:rsidRDefault="00F70F10" w:rsidP="00F70F10">
      <w:pPr>
        <w:pStyle w:val="base-text-paragraph"/>
        <w:numPr>
          <w:ilvl w:val="1"/>
          <w:numId w:val="24"/>
        </w:numPr>
      </w:pPr>
      <w:r w:rsidRPr="000D5EC1">
        <w:t xml:space="preserve">Whilst the scale test was designed to ensure that members were not disadvantaged by being in a small fund with high costs per member, there are limitations to the value of the current test. For example, trustees with a large number of members </w:t>
      </w:r>
      <w:r w:rsidR="001F2A8E">
        <w:t xml:space="preserve">and assets </w:t>
      </w:r>
      <w:r w:rsidRPr="000D5EC1">
        <w:t xml:space="preserve">in the MySuper product can </w:t>
      </w:r>
      <w:r w:rsidRPr="000D5EC1">
        <w:lastRenderedPageBreak/>
        <w:t xml:space="preserve">easily pass the scale test, even if they are underperforming relative to other MySuper products. </w:t>
      </w:r>
    </w:p>
    <w:p w:rsidR="00F70F10" w:rsidRPr="000D5EC1" w:rsidRDefault="00F70F10" w:rsidP="00F70F10">
      <w:pPr>
        <w:pStyle w:val="base-text-paragraph"/>
        <w:numPr>
          <w:ilvl w:val="1"/>
          <w:numId w:val="24"/>
        </w:numPr>
      </w:pPr>
      <w:r>
        <w:t xml:space="preserve">The Government recognises that member outcomes are </w:t>
      </w:r>
      <w:r w:rsidRPr="000D5EC1">
        <w:t xml:space="preserve">influenced by more than just the scale of the </w:t>
      </w:r>
      <w:r>
        <w:t xml:space="preserve">superannuation </w:t>
      </w:r>
      <w:r w:rsidRPr="000D5EC1">
        <w:t xml:space="preserve">fund. </w:t>
      </w:r>
      <w:r w:rsidR="008E65BA">
        <w:t>W</w:t>
      </w:r>
      <w:r w:rsidR="001F2A8E">
        <w:t>hen making their annual assessment,</w:t>
      </w:r>
      <w:r>
        <w:t xml:space="preserve"> </w:t>
      </w:r>
      <w:r w:rsidR="008E65BA">
        <w:t xml:space="preserve">trustees </w:t>
      </w:r>
      <w:r>
        <w:t xml:space="preserve">should have regard to not only scale but also to the outcomes that are being delivered to members in that MySuper product. These include </w:t>
      </w:r>
      <w:r w:rsidR="002D0EC5">
        <w:t xml:space="preserve">consideration of </w:t>
      </w:r>
      <w:r>
        <w:t>the r</w:t>
      </w:r>
      <w:r w:rsidRPr="000D5EC1">
        <w:t>eturns, costs, fees, investment strategy and</w:t>
      </w:r>
      <w:r>
        <w:t xml:space="preserve"> the insurance offering of the MySuper product to determine whether they </w:t>
      </w:r>
      <w:r w:rsidR="002D0EC5">
        <w:t xml:space="preserve">are </w:t>
      </w:r>
      <w:r>
        <w:t>promoting the financial interests of members.</w:t>
      </w:r>
      <w:r w:rsidRPr="000D5EC1">
        <w:t xml:space="preserve"> </w:t>
      </w:r>
    </w:p>
    <w:p w:rsidR="00F70F10" w:rsidRDefault="002D0EC5" w:rsidP="00F70F10">
      <w:pPr>
        <w:pStyle w:val="base-text-paragraph"/>
        <w:numPr>
          <w:ilvl w:val="1"/>
          <w:numId w:val="24"/>
        </w:numPr>
        <w:tabs>
          <w:tab w:val="clear" w:pos="1985"/>
          <w:tab w:val="num" w:pos="1844"/>
        </w:tabs>
      </w:pPr>
      <w:r w:rsidRPr="002D0EC5">
        <w:t>Accordingly, the amendments will replace the scale test with a new outcomes test, which will require trustees to assess whether their MySuper product is optimising outcomes to members by effectively promoting the financial interests of their beneficiaries</w:t>
      </w:r>
      <w:r w:rsidR="00F70F10">
        <w:t xml:space="preserve">. </w:t>
      </w:r>
    </w:p>
    <w:p w:rsidR="00F70F10" w:rsidRPr="000D5EC1" w:rsidRDefault="0076186D" w:rsidP="00F70F10">
      <w:pPr>
        <w:pStyle w:val="base-text-paragraph"/>
        <w:numPr>
          <w:ilvl w:val="1"/>
          <w:numId w:val="24"/>
        </w:numPr>
        <w:tabs>
          <w:tab w:val="clear" w:pos="1985"/>
          <w:tab w:val="num" w:pos="1844"/>
        </w:tabs>
      </w:pPr>
      <w:r>
        <w:t xml:space="preserve">Promoting </w:t>
      </w:r>
      <w:r w:rsidRPr="00136E42">
        <w:t>financial interests</w:t>
      </w:r>
      <w:r>
        <w:t xml:space="preserve"> requires trustees to assess their MySuper product in respect to</w:t>
      </w:r>
      <w:r w:rsidRPr="000D5EC1">
        <w:t xml:space="preserve"> a range of product features</w:t>
      </w:r>
      <w:r>
        <w:t xml:space="preserve"> including their insurance and investment strategies,</w:t>
      </w:r>
      <w:r w:rsidRPr="000D5EC1">
        <w:t xml:space="preserve"> and compar</w:t>
      </w:r>
      <w:r>
        <w:t>ing</w:t>
      </w:r>
      <w:r w:rsidRPr="000D5EC1">
        <w:t xml:space="preserve"> how their product is performing against other MySuper products using certain performance metrics.</w:t>
      </w:r>
      <w:r w:rsidRPr="00136E42">
        <w:t xml:space="preserve"> </w:t>
      </w:r>
      <w:r>
        <w:t>That is, p</w:t>
      </w:r>
      <w:r w:rsidRPr="00136E42">
        <w:t>romoting the financial interests of beneficiaries</w:t>
      </w:r>
      <w:r w:rsidRPr="00136E42" w:rsidDel="00136E42">
        <w:t xml:space="preserve"> </w:t>
      </w:r>
      <w:r>
        <w:t>does not just mean achieving the highest return at the expense of improved member outcome.</w:t>
      </w:r>
    </w:p>
    <w:p w:rsidR="00F70F10" w:rsidRPr="000D5EC1" w:rsidRDefault="002D0EC5" w:rsidP="00F70F10">
      <w:pPr>
        <w:pStyle w:val="base-text-paragraph"/>
        <w:numPr>
          <w:ilvl w:val="1"/>
          <w:numId w:val="24"/>
        </w:numPr>
        <w:tabs>
          <w:tab w:val="clear" w:pos="1985"/>
          <w:tab w:val="num" w:pos="1844"/>
        </w:tabs>
      </w:pPr>
      <w:r w:rsidRPr="000D5EC1">
        <w:t>A more comprehensive assessment of MySuper product</w:t>
      </w:r>
      <w:r>
        <w:t xml:space="preserve">s </w:t>
      </w:r>
      <w:r w:rsidRPr="000D5EC1">
        <w:t xml:space="preserve">will make </w:t>
      </w:r>
      <w:r>
        <w:t>trustees</w:t>
      </w:r>
      <w:r w:rsidRPr="000D5EC1">
        <w:t xml:space="preserve"> more accountable for their MySuper products and </w:t>
      </w:r>
      <w:r>
        <w:t>enhance</w:t>
      </w:r>
      <w:r w:rsidRPr="000D5EC1">
        <w:t xml:space="preserve"> APRA’s ability to take </w:t>
      </w:r>
      <w:r>
        <w:t xml:space="preserve">specific </w:t>
      </w:r>
      <w:r w:rsidRPr="000D5EC1">
        <w:t xml:space="preserve">action to </w:t>
      </w:r>
      <w:r>
        <w:t xml:space="preserve">ensure the trustee rectifies the performance of their </w:t>
      </w:r>
      <w:r w:rsidRPr="000D5EC1">
        <w:t xml:space="preserve">MySuper product where the financial interests of members are not being </w:t>
      </w:r>
      <w:r>
        <w:t xml:space="preserve">effectively </w:t>
      </w:r>
      <w:r w:rsidRPr="000D5EC1">
        <w:t>promoted</w:t>
      </w:r>
      <w:r w:rsidR="00F70F10" w:rsidRPr="000D5EC1">
        <w:t>.</w:t>
      </w:r>
      <w:r>
        <w:t xml:space="preserve"> </w:t>
      </w:r>
    </w:p>
    <w:p w:rsidR="00F70F10" w:rsidRPr="000D5EC1" w:rsidRDefault="00F70F10" w:rsidP="00F70F10">
      <w:pPr>
        <w:pStyle w:val="base-text-paragraph"/>
        <w:numPr>
          <w:ilvl w:val="1"/>
          <w:numId w:val="24"/>
        </w:numPr>
      </w:pPr>
      <w:r w:rsidRPr="000D5EC1">
        <w:t>Trustees’ determinations will be made annually in writing and publicly</w:t>
      </w:r>
      <w:r>
        <w:t xml:space="preserve"> available</w:t>
      </w:r>
      <w:r w:rsidRPr="000D5EC1">
        <w:t xml:space="preserve">. </w:t>
      </w:r>
    </w:p>
    <w:p w:rsidR="00F70F10" w:rsidRPr="000D5EC1" w:rsidRDefault="00F70F10" w:rsidP="00F70F10">
      <w:pPr>
        <w:pStyle w:val="Heading2"/>
      </w:pPr>
      <w:r w:rsidRPr="000D5EC1">
        <w:t>Summary of new law</w:t>
      </w:r>
    </w:p>
    <w:p w:rsidR="00F70F10" w:rsidRPr="000D5EC1" w:rsidRDefault="00F70F10" w:rsidP="00F70F10">
      <w:pPr>
        <w:pStyle w:val="base-text-paragraph"/>
      </w:pPr>
      <w:r>
        <w:t>The amendments require each t</w:t>
      </w:r>
      <w:r w:rsidRPr="000D5EC1">
        <w:t xml:space="preserve">rustee </w:t>
      </w:r>
      <w:r>
        <w:t xml:space="preserve">of a regulated superannuation fund to </w:t>
      </w:r>
      <w:r w:rsidRPr="000D5EC1">
        <w:t>make an annual determination</w:t>
      </w:r>
      <w:r>
        <w:t>,</w:t>
      </w:r>
      <w:r w:rsidRPr="000D5EC1">
        <w:t xml:space="preserve"> in writing</w:t>
      </w:r>
      <w:r>
        <w:t>,</w:t>
      </w:r>
      <w:r w:rsidRPr="000D5EC1">
        <w:t xml:space="preserve"> as to whether the financial interests of the members</w:t>
      </w:r>
      <w:r>
        <w:t xml:space="preserve"> in the MySuper product</w:t>
      </w:r>
      <w:r w:rsidRPr="000D5EC1">
        <w:t xml:space="preserve"> are being promoted by the trustee</w:t>
      </w:r>
      <w:r>
        <w:t>, having regard to a range of factors</w:t>
      </w:r>
      <w:r w:rsidRPr="000D5EC1">
        <w:t>.</w:t>
      </w:r>
    </w:p>
    <w:p w:rsidR="00F70F10" w:rsidRDefault="00F70F10" w:rsidP="00F70F10">
      <w:pPr>
        <w:pStyle w:val="base-text-paragraph"/>
      </w:pPr>
      <w:r w:rsidRPr="000D5EC1">
        <w:t>The determination follow</w:t>
      </w:r>
      <w:r>
        <w:t>s</w:t>
      </w:r>
      <w:r w:rsidRPr="000D5EC1">
        <w:t xml:space="preserve"> a two-step process. </w:t>
      </w:r>
    </w:p>
    <w:p w:rsidR="00F70F10" w:rsidRPr="000D5EC1" w:rsidRDefault="00F70F10" w:rsidP="00F70F10">
      <w:pPr>
        <w:pStyle w:val="base-text-paragraph"/>
      </w:pPr>
      <w:r>
        <w:t>The first step is</w:t>
      </w:r>
      <w:r w:rsidRPr="000D5EC1">
        <w:t xml:space="preserve"> </w:t>
      </w:r>
      <w:r>
        <w:t xml:space="preserve">for </w:t>
      </w:r>
      <w:r w:rsidRPr="000D5EC1">
        <w:t xml:space="preserve">the trustee </w:t>
      </w:r>
      <w:r>
        <w:t>to make an assessment of its MySuper</w:t>
      </w:r>
      <w:r w:rsidRPr="000D5EC1">
        <w:t xml:space="preserve"> product </w:t>
      </w:r>
      <w:r>
        <w:t>taking into consideration a range of matters, including any matter prescribed in the regulations.</w:t>
      </w:r>
    </w:p>
    <w:p w:rsidR="00F70F10" w:rsidRPr="000D5EC1" w:rsidRDefault="00F70F10" w:rsidP="00F70F10">
      <w:pPr>
        <w:pStyle w:val="base-text-paragraph"/>
      </w:pPr>
      <w:r w:rsidRPr="000D5EC1">
        <w:lastRenderedPageBreak/>
        <w:t xml:space="preserve">The second step is for the trustee to </w:t>
      </w:r>
      <w:r w:rsidR="002D0EC5">
        <w:t>compare their</w:t>
      </w:r>
      <w:r>
        <w:t xml:space="preserve"> MySuper product </w:t>
      </w:r>
      <w:r w:rsidRPr="000D5EC1">
        <w:t xml:space="preserve">against other MySuper products using </w:t>
      </w:r>
      <w:r w:rsidR="002D0EC5">
        <w:t xml:space="preserve">specified </w:t>
      </w:r>
      <w:r w:rsidRPr="000D5EC1">
        <w:t>comparable metrics</w:t>
      </w:r>
      <w:r>
        <w:t>.</w:t>
      </w:r>
      <w:r w:rsidRPr="000D5EC1">
        <w:t xml:space="preserve"> </w:t>
      </w:r>
    </w:p>
    <w:p w:rsidR="00F70F10" w:rsidRPr="000D5EC1" w:rsidRDefault="00F70F10" w:rsidP="00F70F10">
      <w:pPr>
        <w:pStyle w:val="Heading2"/>
        <w:spacing w:before="240"/>
      </w:pPr>
      <w:r w:rsidRPr="000D5EC1">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F70F10" w:rsidRPr="000D5EC1" w:rsidTr="00F70F10">
        <w:trPr>
          <w:tblHeader/>
        </w:trPr>
        <w:tc>
          <w:tcPr>
            <w:tcW w:w="3275" w:type="dxa"/>
          </w:tcPr>
          <w:p w:rsidR="00F70F10" w:rsidRPr="000D5EC1" w:rsidRDefault="00F70F10" w:rsidP="00F70F10">
            <w:pPr>
              <w:pStyle w:val="tableheaderwithintable"/>
              <w:rPr>
                <w:lang w:val="en-US" w:eastAsia="en-US"/>
              </w:rPr>
            </w:pPr>
            <w:r w:rsidRPr="000D5EC1">
              <w:rPr>
                <w:lang w:val="en-US" w:eastAsia="en-US"/>
              </w:rPr>
              <w:t>New law</w:t>
            </w:r>
          </w:p>
        </w:tc>
        <w:tc>
          <w:tcPr>
            <w:tcW w:w="3276" w:type="dxa"/>
          </w:tcPr>
          <w:p w:rsidR="00F70F10" w:rsidRPr="000D5EC1" w:rsidRDefault="00F70F10" w:rsidP="00F70F10">
            <w:pPr>
              <w:pStyle w:val="tableheaderwithintable"/>
              <w:rPr>
                <w:lang w:val="en-US" w:eastAsia="en-US"/>
              </w:rPr>
            </w:pPr>
            <w:r w:rsidRPr="000D5EC1">
              <w:rPr>
                <w:lang w:val="en-US" w:eastAsia="en-US"/>
              </w:rPr>
              <w:t>Current law</w:t>
            </w:r>
          </w:p>
        </w:tc>
      </w:tr>
      <w:tr w:rsidR="00F70F10" w:rsidRPr="000D5EC1" w:rsidTr="00F70F10">
        <w:tc>
          <w:tcPr>
            <w:tcW w:w="3275" w:type="dxa"/>
          </w:tcPr>
          <w:p w:rsidR="00F70F10" w:rsidRPr="0002141B" w:rsidRDefault="00F70F10" w:rsidP="00F70F10">
            <w:pPr>
              <w:pStyle w:val="tabletext"/>
              <w:rPr>
                <w:lang w:val="en-US"/>
              </w:rPr>
            </w:pPr>
            <w:r>
              <w:rPr>
                <w:lang w:eastAsia="en-US"/>
              </w:rPr>
              <w:t>Each trustee of a regulated superannuation fund that includes a MySuper product must make an annual determination on whether the financial interest of the beneficiaries of the fund who hold the MySuper product are being promoted by the trustee.</w:t>
            </w:r>
          </w:p>
        </w:tc>
        <w:tc>
          <w:tcPr>
            <w:tcW w:w="3276" w:type="dxa"/>
          </w:tcPr>
          <w:p w:rsidR="00F70F10" w:rsidRPr="000D5EC1" w:rsidRDefault="00F70F10" w:rsidP="00F70F10">
            <w:pPr>
              <w:pStyle w:val="tabletext"/>
              <w:rPr>
                <w:lang w:eastAsia="en-US"/>
              </w:rPr>
            </w:pPr>
            <w:r w:rsidRPr="000D5EC1">
              <w:rPr>
                <w:lang w:eastAsia="en-US"/>
              </w:rPr>
              <w:t>Each trustee of a regulated superannuation fund that includes a MySuper product must</w:t>
            </w:r>
            <w:r w:rsidRPr="00B657E5">
              <w:rPr>
                <w:lang w:eastAsia="en-US"/>
              </w:rPr>
              <w:t xml:space="preserve"> make an annual determination</w:t>
            </w:r>
            <w:r>
              <w:rPr>
                <w:lang w:eastAsia="en-US"/>
              </w:rPr>
              <w:t xml:space="preserve"> on whether the beneficiaries of the fund who hold the MySuper product are disadvantaged,</w:t>
            </w:r>
            <w:r w:rsidRPr="000D5EC1">
              <w:rPr>
                <w:lang w:eastAsia="en-US"/>
              </w:rPr>
              <w:t xml:space="preserve"> because the financial interests of the beneficiaries of the fund who hold the MySuper product are affected</w:t>
            </w:r>
            <w:r w:rsidR="002E25C7">
              <w:rPr>
                <w:lang w:eastAsia="en-US"/>
              </w:rPr>
              <w:t xml:space="preserve"> because of</w:t>
            </w:r>
            <w:r w:rsidRPr="000D5EC1">
              <w:rPr>
                <w:lang w:eastAsia="en-US"/>
              </w:rPr>
              <w:t>:</w:t>
            </w:r>
          </w:p>
          <w:p w:rsidR="00F70F10" w:rsidRPr="00B219AC" w:rsidRDefault="00F70F10" w:rsidP="00F70F10">
            <w:pPr>
              <w:pStyle w:val="tabledotpoint"/>
              <w:rPr>
                <w:lang w:eastAsia="en-US"/>
              </w:rPr>
            </w:pPr>
            <w:r w:rsidRPr="00B219AC">
              <w:rPr>
                <w:lang w:eastAsia="en-US"/>
              </w:rPr>
              <w:t>the insufficient number of beneficiaries of the fund holding the MySuper product;</w:t>
            </w:r>
          </w:p>
          <w:p w:rsidR="00F70F10" w:rsidRPr="00B219AC" w:rsidRDefault="00F70F10" w:rsidP="00F70F10">
            <w:pPr>
              <w:pStyle w:val="tabledotpoint"/>
              <w:rPr>
                <w:lang w:eastAsia="en-US"/>
              </w:rPr>
            </w:pPr>
            <w:r>
              <w:rPr>
                <w:lang w:eastAsia="en-US"/>
              </w:rPr>
              <w:t xml:space="preserve"> </w:t>
            </w:r>
            <w:r w:rsidRPr="00B219AC">
              <w:rPr>
                <w:lang w:eastAsia="en-US"/>
              </w:rPr>
              <w:t>the insufficient number of beneficiaries of the fund;</w:t>
            </w:r>
          </w:p>
          <w:p w:rsidR="00F70F10" w:rsidRDefault="00F70F10" w:rsidP="00F70F10">
            <w:pPr>
              <w:pStyle w:val="tabledotpoint"/>
              <w:rPr>
                <w:lang w:eastAsia="en-US"/>
              </w:rPr>
            </w:pPr>
            <w:r w:rsidRPr="00B219AC">
              <w:rPr>
                <w:lang w:eastAsia="en-US"/>
              </w:rPr>
              <w:t>the insufficient pool of assets, where the fund’s assets that are attributed to the MySuper product are, or are to be, pooled with other assets of the fund or assets of another entity or other entiti</w:t>
            </w:r>
            <w:r>
              <w:rPr>
                <w:lang w:eastAsia="en-US"/>
              </w:rPr>
              <w:t>es; or</w:t>
            </w:r>
          </w:p>
          <w:p w:rsidR="00F70F10" w:rsidRPr="000D5EC1" w:rsidRDefault="00F70F10" w:rsidP="00F70F10">
            <w:pPr>
              <w:pStyle w:val="tabledotpoint"/>
              <w:rPr>
                <w:lang w:eastAsia="en-US"/>
              </w:rPr>
            </w:pPr>
            <w:r w:rsidRPr="00B219AC">
              <w:rPr>
                <w:lang w:eastAsia="en-US"/>
              </w:rPr>
              <w:t>the insufficient assets of the fund that are attributed to the MySuper product, where the as</w:t>
            </w:r>
            <w:r>
              <w:rPr>
                <w:lang w:eastAsia="en-US"/>
              </w:rPr>
              <w:t>sets are not pooled;</w:t>
            </w:r>
          </w:p>
          <w:p w:rsidR="00F70F10" w:rsidRPr="000D5EC1" w:rsidRDefault="00F70F10" w:rsidP="00F70F10">
            <w:pPr>
              <w:pStyle w:val="tabletext"/>
              <w:rPr>
                <w:lang w:val="en-US" w:eastAsia="en-US"/>
              </w:rPr>
            </w:pPr>
          </w:p>
        </w:tc>
      </w:tr>
      <w:tr w:rsidR="00F70F10" w:rsidRPr="000D5EC1" w:rsidTr="00F70F10">
        <w:tc>
          <w:tcPr>
            <w:tcW w:w="3275" w:type="dxa"/>
          </w:tcPr>
          <w:p w:rsidR="00F70F10" w:rsidRPr="000D5EC1" w:rsidRDefault="00F70F10" w:rsidP="00F70F10">
            <w:pPr>
              <w:pStyle w:val="tabletext"/>
              <w:rPr>
                <w:lang w:eastAsia="en-US"/>
              </w:rPr>
            </w:pPr>
            <w:r>
              <w:rPr>
                <w:lang w:eastAsia="en-US"/>
              </w:rPr>
              <w:t>The annual determination is made having regard to assessments of certain matters, and a comparison of the MySuper product with other MySuper products based on certain factors.</w:t>
            </w:r>
          </w:p>
        </w:tc>
        <w:tc>
          <w:tcPr>
            <w:tcW w:w="3276" w:type="dxa"/>
          </w:tcPr>
          <w:p w:rsidR="00F70F10" w:rsidRDefault="00F70F10" w:rsidP="00F70F10">
            <w:pPr>
              <w:pStyle w:val="tabletext"/>
              <w:rPr>
                <w:lang w:eastAsia="en-US"/>
              </w:rPr>
            </w:pPr>
            <w:r>
              <w:rPr>
                <w:lang w:eastAsia="en-US"/>
              </w:rPr>
              <w:t>The annual determination is made by comparing the beneficiaries of the fund who hold the MySuper product to the beneficiaries of other funds who hold a MySuper product within those other funds.</w:t>
            </w:r>
          </w:p>
        </w:tc>
      </w:tr>
      <w:tr w:rsidR="00F70F10" w:rsidRPr="000D5EC1" w:rsidTr="00F70F10">
        <w:tc>
          <w:tcPr>
            <w:tcW w:w="3275" w:type="dxa"/>
          </w:tcPr>
          <w:p w:rsidR="00F70F10" w:rsidRPr="00B219AC" w:rsidRDefault="00F70F10" w:rsidP="00F70F10">
            <w:pPr>
              <w:pStyle w:val="tabletext"/>
              <w:rPr>
                <w:lang w:eastAsia="en-US"/>
              </w:rPr>
            </w:pPr>
            <w:r>
              <w:rPr>
                <w:lang w:eastAsia="en-US"/>
              </w:rPr>
              <w:t>The</w:t>
            </w:r>
            <w:r w:rsidRPr="00B219AC">
              <w:rPr>
                <w:lang w:eastAsia="en-US"/>
              </w:rPr>
              <w:t xml:space="preserve"> assessments </w:t>
            </w:r>
            <w:r>
              <w:rPr>
                <w:lang w:eastAsia="en-US"/>
              </w:rPr>
              <w:t xml:space="preserve">are made </w:t>
            </w:r>
            <w:r w:rsidRPr="00B219AC">
              <w:rPr>
                <w:lang w:eastAsia="en-US"/>
              </w:rPr>
              <w:t xml:space="preserve">on the following matters: </w:t>
            </w:r>
          </w:p>
          <w:p w:rsidR="00F70F10" w:rsidRPr="00B219AC" w:rsidRDefault="00F70F10" w:rsidP="00F70F10">
            <w:pPr>
              <w:pStyle w:val="tabledotpoint"/>
              <w:rPr>
                <w:lang w:eastAsia="en-US"/>
              </w:rPr>
            </w:pPr>
            <w:r w:rsidRPr="00B219AC">
              <w:rPr>
                <w:lang w:eastAsia="en-US"/>
              </w:rPr>
              <w:t>whether the options, benefits and facilities offered under the MySuper product are appropriate to those beneficiaries;</w:t>
            </w:r>
          </w:p>
          <w:p w:rsidR="00F70F10" w:rsidRPr="00B219AC" w:rsidRDefault="00F70F10" w:rsidP="00F70F10">
            <w:pPr>
              <w:pStyle w:val="tabledotpoint"/>
              <w:rPr>
                <w:lang w:eastAsia="en-US"/>
              </w:rPr>
            </w:pPr>
            <w:r w:rsidRPr="00B219AC">
              <w:rPr>
                <w:lang w:eastAsia="en-US"/>
              </w:rPr>
              <w:t xml:space="preserve">whether the investment strategy for the MySuper product, </w:t>
            </w:r>
            <w:r w:rsidRPr="00B219AC">
              <w:rPr>
                <w:lang w:eastAsia="en-US"/>
              </w:rPr>
              <w:lastRenderedPageBreak/>
              <w:t>including the level of investment risk and the return target, is appropriate to those beneficiaries;</w:t>
            </w:r>
          </w:p>
          <w:p w:rsidR="00F70F10" w:rsidRPr="00B219AC" w:rsidRDefault="00F70F10" w:rsidP="00F70F10">
            <w:pPr>
              <w:pStyle w:val="tabledotpoint"/>
              <w:rPr>
                <w:lang w:eastAsia="en-US"/>
              </w:rPr>
            </w:pPr>
            <w:r w:rsidRPr="00B219AC">
              <w:rPr>
                <w:lang w:eastAsia="en-US"/>
              </w:rPr>
              <w:t>whether the insurance strategy for the MySuper product is appropriate to those beneficiaries;</w:t>
            </w:r>
          </w:p>
          <w:p w:rsidR="00F70F10" w:rsidRPr="00B219AC" w:rsidRDefault="00F70F10" w:rsidP="00F70F10">
            <w:pPr>
              <w:pStyle w:val="tabledotpoint"/>
              <w:rPr>
                <w:lang w:eastAsia="en-US"/>
              </w:rPr>
            </w:pPr>
            <w:r w:rsidRPr="00B219AC">
              <w:rPr>
                <w:lang w:eastAsia="en-US"/>
              </w:rPr>
              <w:t>whether any insurance fees charged in relation to the MySuper product inappropriately erode the retirement income of those beneficiaries;</w:t>
            </w:r>
          </w:p>
          <w:p w:rsidR="00F70F10" w:rsidRDefault="00F70F10" w:rsidP="00F70F10">
            <w:pPr>
              <w:pStyle w:val="tabledotpoint"/>
              <w:rPr>
                <w:lang w:eastAsia="en-US"/>
              </w:rPr>
            </w:pPr>
            <w:r w:rsidRPr="00B219AC">
              <w:rPr>
                <w:lang w:eastAsia="en-US"/>
              </w:rPr>
              <w:t>whether there are problems of scale in relation to the MySuper product</w:t>
            </w:r>
            <w:r w:rsidR="002E25C7">
              <w:rPr>
                <w:lang w:eastAsia="en-US"/>
              </w:rPr>
              <w:t xml:space="preserve"> because of</w:t>
            </w:r>
            <w:r>
              <w:rPr>
                <w:lang w:eastAsia="en-US"/>
              </w:rPr>
              <w:t>:</w:t>
            </w:r>
          </w:p>
          <w:p w:rsidR="00F70F10" w:rsidRPr="00B219AC" w:rsidRDefault="00F70F10" w:rsidP="00F70F10">
            <w:pPr>
              <w:pStyle w:val="tabledotpoint2"/>
              <w:rPr>
                <w:lang w:eastAsia="en-US"/>
              </w:rPr>
            </w:pPr>
            <w:r w:rsidRPr="00B219AC">
              <w:rPr>
                <w:lang w:eastAsia="en-US"/>
              </w:rPr>
              <w:t>the insufficient number of beneficiaries of the fund holding the MySuper product;</w:t>
            </w:r>
          </w:p>
          <w:p w:rsidR="00F70F10" w:rsidRPr="00B219AC" w:rsidRDefault="00F70F10" w:rsidP="00F70F10">
            <w:pPr>
              <w:pStyle w:val="tabledotpoint2"/>
              <w:rPr>
                <w:lang w:eastAsia="en-US"/>
              </w:rPr>
            </w:pPr>
            <w:r w:rsidRPr="00B219AC">
              <w:rPr>
                <w:lang w:eastAsia="en-US"/>
              </w:rPr>
              <w:t>the insufficient number of beneficiaries of the fund;</w:t>
            </w:r>
          </w:p>
          <w:p w:rsidR="00F70F10" w:rsidRPr="00B219AC" w:rsidRDefault="00F70F10" w:rsidP="00F70F10">
            <w:pPr>
              <w:pStyle w:val="tabledotpoint2"/>
              <w:rPr>
                <w:lang w:eastAsia="en-US"/>
              </w:rPr>
            </w:pPr>
            <w:r w:rsidRPr="00B219AC">
              <w:rPr>
                <w:lang w:eastAsia="en-US"/>
              </w:rPr>
              <w:t>the insufficient pool of assets, where the fund’s assets that are attributed to the MySuper product are, or are to be, pooled with other assets of the fund or assets of another entity or other entities; or</w:t>
            </w:r>
          </w:p>
          <w:p w:rsidR="00F70F10" w:rsidRDefault="00F70F10" w:rsidP="00F70F10">
            <w:pPr>
              <w:pStyle w:val="tabledotpoint2"/>
              <w:rPr>
                <w:lang w:eastAsia="en-US"/>
              </w:rPr>
            </w:pPr>
            <w:r w:rsidRPr="00B219AC">
              <w:rPr>
                <w:lang w:eastAsia="en-US"/>
              </w:rPr>
              <w:t>the insufficient assets of the fund that are attributed to the MySuper product, where the as</w:t>
            </w:r>
            <w:r>
              <w:rPr>
                <w:lang w:eastAsia="en-US"/>
              </w:rPr>
              <w:t xml:space="preserve">sets are not pooled; </w:t>
            </w:r>
            <w:r w:rsidRPr="00B219AC">
              <w:rPr>
                <w:lang w:eastAsia="en-US"/>
              </w:rPr>
              <w:t>and</w:t>
            </w:r>
          </w:p>
          <w:p w:rsidR="00F70F10" w:rsidRPr="000D5EC1" w:rsidRDefault="00F70F10" w:rsidP="002E25C7">
            <w:pPr>
              <w:pStyle w:val="tabledotpoint"/>
              <w:rPr>
                <w:lang w:eastAsia="en-US"/>
              </w:rPr>
            </w:pPr>
            <w:proofErr w:type="gramStart"/>
            <w:r w:rsidRPr="00B219AC">
              <w:rPr>
                <w:lang w:eastAsia="en-US"/>
              </w:rPr>
              <w:t>any</w:t>
            </w:r>
            <w:proofErr w:type="gramEnd"/>
            <w:r w:rsidRPr="00B219AC">
              <w:rPr>
                <w:lang w:eastAsia="en-US"/>
              </w:rPr>
              <w:t xml:space="preserve"> other relevant matters, including those prescribed in regulations.</w:t>
            </w:r>
          </w:p>
        </w:tc>
        <w:tc>
          <w:tcPr>
            <w:tcW w:w="3276" w:type="dxa"/>
          </w:tcPr>
          <w:p w:rsidR="00F70F10" w:rsidRDefault="00F70F10" w:rsidP="00F70F10">
            <w:pPr>
              <w:pStyle w:val="tabletext"/>
              <w:rPr>
                <w:lang w:eastAsia="en-US"/>
              </w:rPr>
            </w:pPr>
            <w:r>
              <w:rPr>
                <w:lang w:eastAsia="en-US"/>
              </w:rPr>
              <w:lastRenderedPageBreak/>
              <w:t>No equivalent.</w:t>
            </w:r>
          </w:p>
        </w:tc>
      </w:tr>
      <w:tr w:rsidR="00F70F10" w:rsidRPr="000D5EC1" w:rsidTr="00F70F10">
        <w:tc>
          <w:tcPr>
            <w:tcW w:w="3275" w:type="dxa"/>
          </w:tcPr>
          <w:p w:rsidR="00F70F10" w:rsidRPr="00B219AC" w:rsidRDefault="00F70F10" w:rsidP="00F70F10">
            <w:pPr>
              <w:pStyle w:val="tabletext"/>
              <w:rPr>
                <w:lang w:eastAsia="en-US"/>
              </w:rPr>
            </w:pPr>
            <w:r w:rsidRPr="00B219AC">
              <w:rPr>
                <w:lang w:eastAsia="en-US"/>
              </w:rPr>
              <w:lastRenderedPageBreak/>
              <w:t xml:space="preserve">The comparison of the MySuper product against other MySuper products </w:t>
            </w:r>
            <w:r>
              <w:rPr>
                <w:lang w:eastAsia="en-US"/>
              </w:rPr>
              <w:t>uses</w:t>
            </w:r>
            <w:r w:rsidRPr="00B219AC">
              <w:rPr>
                <w:lang w:eastAsia="en-US"/>
              </w:rPr>
              <w:t xml:space="preserve"> the following metrics:</w:t>
            </w:r>
          </w:p>
          <w:p w:rsidR="00F70F10" w:rsidRPr="00B219AC" w:rsidRDefault="00F70F10" w:rsidP="00F70F10">
            <w:pPr>
              <w:pStyle w:val="tabledotpoint"/>
              <w:rPr>
                <w:lang w:eastAsia="en-US"/>
              </w:rPr>
            </w:pPr>
            <w:r w:rsidRPr="00B219AC">
              <w:rPr>
                <w:lang w:eastAsia="en-US"/>
              </w:rPr>
              <w:t>the fees, costs and taxes that affect the return of the beneficiaries holding the MySuper products;</w:t>
            </w:r>
          </w:p>
          <w:p w:rsidR="00F70F10" w:rsidRPr="00B219AC" w:rsidRDefault="00F70F10" w:rsidP="00F70F10">
            <w:pPr>
              <w:pStyle w:val="tabledotpoint"/>
              <w:rPr>
                <w:lang w:eastAsia="en-US"/>
              </w:rPr>
            </w:pPr>
            <w:r w:rsidRPr="00B219AC">
              <w:rPr>
                <w:lang w:eastAsia="en-US"/>
              </w:rPr>
              <w:t>the return target for the MySuper products;</w:t>
            </w:r>
          </w:p>
          <w:p w:rsidR="00F70F10" w:rsidRPr="00B219AC" w:rsidRDefault="00F70F10" w:rsidP="00F70F10">
            <w:pPr>
              <w:pStyle w:val="tabledotpoint"/>
              <w:rPr>
                <w:lang w:eastAsia="en-US"/>
              </w:rPr>
            </w:pPr>
            <w:r w:rsidRPr="00B219AC">
              <w:rPr>
                <w:lang w:eastAsia="en-US"/>
              </w:rPr>
              <w:t>the return for the MySuper products;</w:t>
            </w:r>
          </w:p>
          <w:p w:rsidR="00F70F10" w:rsidRPr="00B219AC" w:rsidRDefault="00F70F10" w:rsidP="00F70F10">
            <w:pPr>
              <w:pStyle w:val="tabledotpoint"/>
              <w:rPr>
                <w:lang w:eastAsia="en-US"/>
              </w:rPr>
            </w:pPr>
            <w:r w:rsidRPr="00B219AC">
              <w:rPr>
                <w:lang w:eastAsia="en-US"/>
              </w:rPr>
              <w:t xml:space="preserve">the level of investment risk for the MySuper products; </w:t>
            </w:r>
            <w:r w:rsidR="002E25C7">
              <w:rPr>
                <w:lang w:eastAsia="en-US"/>
              </w:rPr>
              <w:t>and</w:t>
            </w:r>
          </w:p>
          <w:p w:rsidR="00F70F10" w:rsidRPr="000D5EC1" w:rsidRDefault="00F70F10" w:rsidP="00F70F10">
            <w:pPr>
              <w:pStyle w:val="tabledotpoint"/>
              <w:rPr>
                <w:lang w:eastAsia="en-US"/>
              </w:rPr>
            </w:pPr>
            <w:proofErr w:type="gramStart"/>
            <w:r w:rsidRPr="00B219AC">
              <w:rPr>
                <w:lang w:eastAsia="en-US"/>
              </w:rPr>
              <w:lastRenderedPageBreak/>
              <w:t>any</w:t>
            </w:r>
            <w:proofErr w:type="gramEnd"/>
            <w:r w:rsidRPr="00B219AC">
              <w:rPr>
                <w:lang w:eastAsia="en-US"/>
              </w:rPr>
              <w:t xml:space="preserve"> other matter prescribed in regulations</w:t>
            </w:r>
            <w:r>
              <w:rPr>
                <w:lang w:eastAsia="en-US"/>
              </w:rPr>
              <w:t>.</w:t>
            </w:r>
          </w:p>
        </w:tc>
        <w:tc>
          <w:tcPr>
            <w:tcW w:w="3276" w:type="dxa"/>
          </w:tcPr>
          <w:p w:rsidR="00F70F10" w:rsidRDefault="00F70F10" w:rsidP="00F70F10">
            <w:pPr>
              <w:pStyle w:val="tabletext"/>
              <w:rPr>
                <w:lang w:eastAsia="en-US"/>
              </w:rPr>
            </w:pPr>
            <w:r w:rsidRPr="00B219AC">
              <w:rPr>
                <w:lang w:eastAsia="en-US"/>
              </w:rPr>
              <w:lastRenderedPageBreak/>
              <w:t xml:space="preserve">The comparison of the MySuper product against other MySuper products </w:t>
            </w:r>
            <w:r>
              <w:rPr>
                <w:lang w:eastAsia="en-US"/>
              </w:rPr>
              <w:t>uses</w:t>
            </w:r>
            <w:r w:rsidRPr="00B219AC">
              <w:rPr>
                <w:lang w:eastAsia="en-US"/>
              </w:rPr>
              <w:t xml:space="preserve"> the following metrics:</w:t>
            </w:r>
          </w:p>
          <w:p w:rsidR="00F70F10" w:rsidRPr="004E424F" w:rsidRDefault="00F70F10" w:rsidP="00F70F10">
            <w:pPr>
              <w:pStyle w:val="tabledotpoint"/>
              <w:rPr>
                <w:lang w:eastAsia="en-US"/>
              </w:rPr>
            </w:pPr>
            <w:r>
              <w:rPr>
                <w:lang w:eastAsia="en-US"/>
              </w:rPr>
              <w:t>the</w:t>
            </w:r>
            <w:r w:rsidRPr="004E424F">
              <w:rPr>
                <w:lang w:eastAsia="en-US"/>
              </w:rPr>
              <w:t xml:space="preserve"> number of beneficiaries holding the MySuper product;</w:t>
            </w:r>
          </w:p>
          <w:p w:rsidR="00F70F10" w:rsidRPr="004E424F" w:rsidRDefault="00F70F10" w:rsidP="00F70F10">
            <w:pPr>
              <w:pStyle w:val="tabledotpoint"/>
              <w:rPr>
                <w:lang w:eastAsia="en-US"/>
              </w:rPr>
            </w:pPr>
            <w:r>
              <w:rPr>
                <w:lang w:eastAsia="en-US"/>
              </w:rPr>
              <w:t>the</w:t>
            </w:r>
            <w:r w:rsidRPr="004E424F">
              <w:rPr>
                <w:lang w:eastAsia="en-US"/>
              </w:rPr>
              <w:t xml:space="preserve"> number of beneficiaries of the fund;</w:t>
            </w:r>
          </w:p>
          <w:p w:rsidR="00F70F10" w:rsidRDefault="00F70F10" w:rsidP="00F70F10">
            <w:pPr>
              <w:pStyle w:val="tabledotpoint"/>
              <w:rPr>
                <w:lang w:eastAsia="en-US"/>
              </w:rPr>
            </w:pPr>
            <w:r>
              <w:rPr>
                <w:lang w:eastAsia="en-US"/>
              </w:rPr>
              <w:t>the</w:t>
            </w:r>
            <w:r w:rsidRPr="004E424F">
              <w:rPr>
                <w:lang w:eastAsia="en-US"/>
              </w:rPr>
              <w:t xml:space="preserve"> pool of assets, where the fund’s assets that are attributed to the MySuper product are, or are to be, pooled with other assets of the fund or assets of another entity or </w:t>
            </w:r>
            <w:r w:rsidRPr="004E424F">
              <w:rPr>
                <w:lang w:eastAsia="en-US"/>
              </w:rPr>
              <w:lastRenderedPageBreak/>
              <w:t>other entiti</w:t>
            </w:r>
            <w:r>
              <w:rPr>
                <w:lang w:eastAsia="en-US"/>
              </w:rPr>
              <w:t xml:space="preserve">es; </w:t>
            </w:r>
            <w:r w:rsidR="002E25C7">
              <w:rPr>
                <w:lang w:eastAsia="en-US"/>
              </w:rPr>
              <w:t>and</w:t>
            </w:r>
          </w:p>
          <w:p w:rsidR="00F70F10" w:rsidRDefault="00F70F10" w:rsidP="00F70F10">
            <w:pPr>
              <w:pStyle w:val="tabledotpoint"/>
              <w:rPr>
                <w:lang w:eastAsia="en-US"/>
              </w:rPr>
            </w:pPr>
            <w:proofErr w:type="gramStart"/>
            <w:r>
              <w:rPr>
                <w:lang w:eastAsia="en-US"/>
              </w:rPr>
              <w:t>the</w:t>
            </w:r>
            <w:proofErr w:type="gramEnd"/>
            <w:r w:rsidRPr="004E424F">
              <w:rPr>
                <w:lang w:eastAsia="en-US"/>
              </w:rPr>
              <w:t xml:space="preserve"> assets of the fund that are attributed to the MySuper product, where the assets are not pooled</w:t>
            </w:r>
            <w:r>
              <w:rPr>
                <w:lang w:eastAsia="en-US"/>
              </w:rPr>
              <w:t>.</w:t>
            </w:r>
          </w:p>
          <w:p w:rsidR="00F70F10" w:rsidRPr="000D5EC1" w:rsidRDefault="00F70F10" w:rsidP="00F70F10">
            <w:pPr>
              <w:pStyle w:val="tabletext"/>
              <w:rPr>
                <w:lang w:eastAsia="en-US"/>
              </w:rPr>
            </w:pPr>
          </w:p>
        </w:tc>
      </w:tr>
    </w:tbl>
    <w:p w:rsidR="00F70F10" w:rsidRPr="00E45D1B" w:rsidRDefault="00F70F10" w:rsidP="00F70F10">
      <w:pPr>
        <w:pStyle w:val="Heading2"/>
      </w:pPr>
      <w:r w:rsidRPr="00E45D1B">
        <w:lastRenderedPageBreak/>
        <w:t>Detailed explanation of new law</w:t>
      </w:r>
    </w:p>
    <w:p w:rsidR="00F70F10" w:rsidRDefault="00F70F10" w:rsidP="00F70F10">
      <w:pPr>
        <w:pStyle w:val="base-text-paragraph"/>
      </w:pPr>
      <w:r w:rsidRPr="00035804">
        <w:t>The amendments require each trustee of a regulated superannuation fund</w:t>
      </w:r>
      <w:r>
        <w:t xml:space="preserve"> </w:t>
      </w:r>
      <w:r w:rsidRPr="00035804">
        <w:t>to make an annual determination</w:t>
      </w:r>
      <w:r>
        <w:t>,</w:t>
      </w:r>
      <w:r w:rsidRPr="00035804">
        <w:t xml:space="preserve"> in writing</w:t>
      </w:r>
      <w:r>
        <w:t>,</w:t>
      </w:r>
      <w:r w:rsidRPr="00035804">
        <w:t xml:space="preserve"> as to whether the financial interests of the members in the MySuper product are being promoted by the trustee having regard to a range of factors</w:t>
      </w:r>
      <w:r w:rsidRPr="000D5EC1">
        <w:t>.</w:t>
      </w:r>
      <w:r>
        <w:t xml:space="preserve"> </w:t>
      </w:r>
      <w:r>
        <w:rPr>
          <w:rStyle w:val="Referencingstyle"/>
        </w:rPr>
        <w:t>[Schedule 1, item 2, paragraph 29VN(1)(b)]</w:t>
      </w:r>
    </w:p>
    <w:p w:rsidR="00F70F10" w:rsidRPr="00A927D0" w:rsidRDefault="00F70F10" w:rsidP="00F70F10">
      <w:pPr>
        <w:pStyle w:val="base-text-paragraph"/>
        <w:rPr>
          <w:rStyle w:val="Referencingstyle"/>
          <w:b w:val="0"/>
          <w:i w:val="0"/>
          <w:sz w:val="22"/>
        </w:rPr>
      </w:pPr>
      <w:r w:rsidRPr="00EB3DF9">
        <w:t xml:space="preserve">The determination follows a two-step process. </w:t>
      </w:r>
      <w:r>
        <w:rPr>
          <w:rStyle w:val="Referencingstyle"/>
        </w:rPr>
        <w:t>[Schedule 1, item 2, subparagraphs 29VN(1)(b</w:t>
      </w:r>
      <w:r w:rsidR="002E25C7">
        <w:rPr>
          <w:rStyle w:val="Referencingstyle"/>
        </w:rPr>
        <w:t>)</w:t>
      </w:r>
      <w:r>
        <w:rPr>
          <w:rStyle w:val="Referencingstyle"/>
        </w:rPr>
        <w:t>(</w:t>
      </w:r>
      <w:proofErr w:type="spellStart"/>
      <w:r>
        <w:rPr>
          <w:rStyle w:val="Referencingstyle"/>
        </w:rPr>
        <w:t>i</w:t>
      </w:r>
      <w:proofErr w:type="spellEnd"/>
      <w:r>
        <w:rPr>
          <w:rStyle w:val="Referencingstyle"/>
        </w:rPr>
        <w:t>) and (ii)]</w:t>
      </w:r>
    </w:p>
    <w:p w:rsidR="00F70F10" w:rsidRDefault="00F70F10" w:rsidP="00F70F10">
      <w:pPr>
        <w:pStyle w:val="Diagram"/>
      </w:pPr>
    </w:p>
    <w:p w:rsidR="009203A4" w:rsidRDefault="005B7CAE" w:rsidP="009203A4">
      <w:pPr>
        <w:pStyle w:val="base-text-paragraphnonumbers"/>
      </w:pPr>
      <w:r>
        <w:rPr>
          <w:noProof/>
        </w:rPr>
        <w:drawing>
          <wp:inline distT="0" distB="0" distL="0" distR="0" wp14:anchorId="4976FCA7" wp14:editId="513607A2">
            <wp:extent cx="4027298" cy="27432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29475" cy="2744683"/>
                    </a:xfrm>
                    <a:prstGeom prst="rect">
                      <a:avLst/>
                    </a:prstGeom>
                    <a:noFill/>
                  </pic:spPr>
                </pic:pic>
              </a:graphicData>
            </a:graphic>
          </wp:inline>
        </w:drawing>
      </w:r>
    </w:p>
    <w:p w:rsidR="00F70F10" w:rsidRPr="00EB3DF9" w:rsidRDefault="00F70F10" w:rsidP="00F70F10">
      <w:pPr>
        <w:pStyle w:val="base-text-paragraph"/>
      </w:pPr>
      <w:r w:rsidRPr="00EB3DF9">
        <w:t xml:space="preserve">The first step is for the trustee to make </w:t>
      </w:r>
      <w:r>
        <w:t>assessments on each of the following matters</w:t>
      </w:r>
      <w:r w:rsidRPr="00EB3DF9">
        <w:t xml:space="preserve">: </w:t>
      </w:r>
    </w:p>
    <w:p w:rsidR="00F70F10" w:rsidRPr="00EB3DF9" w:rsidRDefault="00F70F10" w:rsidP="00F70F10">
      <w:pPr>
        <w:pStyle w:val="dotpoint"/>
      </w:pPr>
      <w:r w:rsidRPr="00EB3DF9">
        <w:t>whether the options, benefits and facilities offered under the MySuper product are appropriate to those beneficiaries;</w:t>
      </w:r>
    </w:p>
    <w:p w:rsidR="00F70F10" w:rsidRPr="00EB3DF9" w:rsidRDefault="00F70F10" w:rsidP="00F70F10">
      <w:pPr>
        <w:pStyle w:val="dotpoint"/>
      </w:pPr>
      <w:r w:rsidRPr="00EB3DF9">
        <w:lastRenderedPageBreak/>
        <w:t>whether the investment strategy for the MySuper product, including the level of investment risk and the return target, is appropriate to those beneficiaries;</w:t>
      </w:r>
    </w:p>
    <w:p w:rsidR="00F70F10" w:rsidRPr="00EB3DF9" w:rsidRDefault="00F70F10" w:rsidP="00F70F10">
      <w:pPr>
        <w:pStyle w:val="dotpoint"/>
      </w:pPr>
      <w:r w:rsidRPr="00EB3DF9">
        <w:t>whether the insurance strategy for the MySuper product is appropriate to those beneficiaries;</w:t>
      </w:r>
    </w:p>
    <w:p w:rsidR="00F70F10" w:rsidRPr="00EB3DF9" w:rsidRDefault="00F70F10" w:rsidP="00F70F10">
      <w:pPr>
        <w:pStyle w:val="dotpoint"/>
      </w:pPr>
      <w:r w:rsidRPr="00EB3DF9">
        <w:t>whether any insurance fees charged in relation to the MySuper product inappropriately erode the retirement income of those beneficiaries;</w:t>
      </w:r>
    </w:p>
    <w:p w:rsidR="00F70F10" w:rsidRPr="00EB3DF9" w:rsidRDefault="00F70F10" w:rsidP="00F70F10">
      <w:pPr>
        <w:pStyle w:val="dotpoint"/>
      </w:pPr>
      <w:r w:rsidRPr="00EB3DF9">
        <w:t>whether there are problems of scale in relation to the MySuper product; and</w:t>
      </w:r>
    </w:p>
    <w:p w:rsidR="00F70F10" w:rsidRDefault="00F70F10" w:rsidP="00F70F10">
      <w:pPr>
        <w:pStyle w:val="dotpoint"/>
      </w:pPr>
      <w:proofErr w:type="gramStart"/>
      <w:r w:rsidRPr="00EB3DF9">
        <w:t>any</w:t>
      </w:r>
      <w:proofErr w:type="gramEnd"/>
      <w:r w:rsidRPr="00EB3DF9">
        <w:t xml:space="preserve"> other relevant matters, including those prescribed in the regulations.</w:t>
      </w:r>
    </w:p>
    <w:p w:rsidR="00F70F10" w:rsidRPr="006119C8" w:rsidRDefault="00F70F10" w:rsidP="00F70F10">
      <w:pPr>
        <w:pStyle w:val="base-text-paragraphnonumbers"/>
        <w:rPr>
          <w:b/>
          <w:i/>
          <w:sz w:val="18"/>
        </w:rPr>
      </w:pPr>
      <w:r>
        <w:rPr>
          <w:rStyle w:val="Referencingstyle"/>
        </w:rPr>
        <w:t xml:space="preserve">[Schedule 1, item 3, subsection </w:t>
      </w:r>
      <w:proofErr w:type="gramStart"/>
      <w:r>
        <w:rPr>
          <w:rStyle w:val="Referencingstyle"/>
        </w:rPr>
        <w:t>29VN(</w:t>
      </w:r>
      <w:proofErr w:type="gramEnd"/>
      <w:r>
        <w:rPr>
          <w:rStyle w:val="Referencingstyle"/>
        </w:rPr>
        <w:t>2)]</w:t>
      </w:r>
    </w:p>
    <w:p w:rsidR="00FA26F9" w:rsidRDefault="00FA26F9" w:rsidP="00F70F10">
      <w:pPr>
        <w:pStyle w:val="base-text-paragraph"/>
      </w:pPr>
      <w:r>
        <w:t>The assessment of</w:t>
      </w:r>
      <w:r w:rsidRPr="009537B5">
        <w:t xml:space="preserve"> whether the options, benefits and facilities offered under the MySuper product are appropriate to those beneficiaries</w:t>
      </w:r>
      <w:r>
        <w:t>, involves considering whether the trustee’s decision to include those features effectively promote</w:t>
      </w:r>
      <w:r w:rsidR="00DC2125">
        <w:t>s</w:t>
      </w:r>
      <w:r>
        <w:t xml:space="preserve"> the beneficiaries financial interests by improving overall outcomes for members.</w:t>
      </w:r>
    </w:p>
    <w:p w:rsidR="00F70F10" w:rsidRDefault="00F70F10" w:rsidP="00F70F10">
      <w:pPr>
        <w:pStyle w:val="base-text-paragraph"/>
      </w:pPr>
      <w:r w:rsidRPr="009537B5">
        <w:t xml:space="preserve">The </w:t>
      </w:r>
      <w:r>
        <w:t>assessment</w:t>
      </w:r>
      <w:r w:rsidRPr="009537B5">
        <w:t xml:space="preserve"> of whether the insurance strategy for the MySuper product is appropriate to those beneficiaries</w:t>
      </w:r>
      <w:r w:rsidRPr="009537B5" w:rsidDel="0056216F">
        <w:t xml:space="preserve"> </w:t>
      </w:r>
      <w:r w:rsidRPr="009537B5">
        <w:t xml:space="preserve">involves </w:t>
      </w:r>
      <w:r>
        <w:t>considering</w:t>
      </w:r>
      <w:r w:rsidRPr="009537B5">
        <w:t xml:space="preserve"> whether </w:t>
      </w:r>
      <w:r w:rsidRPr="009537B5">
        <w:rPr>
          <w:lang w:eastAsia="en-US"/>
        </w:rPr>
        <w:t>the</w:t>
      </w:r>
      <w:r w:rsidRPr="009537B5">
        <w:t xml:space="preserve"> cost of the insurance inappropriately erode</w:t>
      </w:r>
      <w:r w:rsidR="002E25C7">
        <w:t>s</w:t>
      </w:r>
      <w:r w:rsidRPr="009537B5">
        <w:t xml:space="preserve"> the retirement income of the beneficiaries.</w:t>
      </w:r>
    </w:p>
    <w:p w:rsidR="00F70F10" w:rsidRDefault="00F70F10" w:rsidP="00F70F10">
      <w:pPr>
        <w:pStyle w:val="base-text-paragraph"/>
      </w:pPr>
      <w:r>
        <w:t>The current scale test is incorporated into the assessment of whether there are problems of scale in relation to the MySuper product. That is, the assessment may indicate that there are problems of scale due to:</w:t>
      </w:r>
    </w:p>
    <w:p w:rsidR="00F70F10" w:rsidRDefault="00F70F10" w:rsidP="00F70F10">
      <w:pPr>
        <w:pStyle w:val="dotpoint"/>
      </w:pPr>
      <w:r>
        <w:t>the insufficient number of beneficiaries of the fund holding the MySuper product;</w:t>
      </w:r>
    </w:p>
    <w:p w:rsidR="00F70F10" w:rsidRDefault="00F70F10" w:rsidP="00F70F10">
      <w:pPr>
        <w:pStyle w:val="dotpoint"/>
      </w:pPr>
      <w:r>
        <w:t>the insufficient number of beneficiaries of the fund;</w:t>
      </w:r>
    </w:p>
    <w:p w:rsidR="00F70F10" w:rsidRDefault="00F70F10" w:rsidP="00F70F10">
      <w:pPr>
        <w:pStyle w:val="dotpoint"/>
      </w:pPr>
      <w:r>
        <w:t>the insufficient pool of assets, where the fund’s assets that are attributed to the MySuper product are, or are to be, pooled with other assets of the fund or assets of another entity or other entities; or</w:t>
      </w:r>
    </w:p>
    <w:p w:rsidR="00F70F10" w:rsidRDefault="00F70F10" w:rsidP="00F70F10">
      <w:pPr>
        <w:pStyle w:val="dotpoint"/>
      </w:pPr>
      <w:proofErr w:type="gramStart"/>
      <w:r>
        <w:t>the</w:t>
      </w:r>
      <w:proofErr w:type="gramEnd"/>
      <w:r>
        <w:t xml:space="preserve"> insufficient assets of the fund that are attributed to the MySuper product, where the assets are not pooled.</w:t>
      </w:r>
    </w:p>
    <w:p w:rsidR="00F70F10" w:rsidRPr="00830ABB" w:rsidRDefault="00F70F10" w:rsidP="00F70F10">
      <w:pPr>
        <w:pStyle w:val="base-text-paragraphnonumbers"/>
        <w:rPr>
          <w:rStyle w:val="Referencingstyle"/>
        </w:rPr>
      </w:pPr>
      <w:r>
        <w:rPr>
          <w:rStyle w:val="Referencingstyle"/>
        </w:rPr>
        <w:lastRenderedPageBreak/>
        <w:t>[Schedule 1, item 3, paragraph </w:t>
      </w:r>
      <w:proofErr w:type="gramStart"/>
      <w:r>
        <w:rPr>
          <w:rStyle w:val="Referencingstyle"/>
        </w:rPr>
        <w:t>29VN(</w:t>
      </w:r>
      <w:proofErr w:type="gramEnd"/>
      <w:r>
        <w:rPr>
          <w:rStyle w:val="Referencingstyle"/>
        </w:rPr>
        <w:t>2)(e)]</w:t>
      </w:r>
    </w:p>
    <w:p w:rsidR="00F70F10" w:rsidRPr="00EB3DF9" w:rsidRDefault="00F70F10" w:rsidP="00F70F10">
      <w:pPr>
        <w:pStyle w:val="base-text-paragraph"/>
      </w:pPr>
      <w:r w:rsidRPr="00EB3DF9">
        <w:t xml:space="preserve">The second step is for the trustee to make a comparison of </w:t>
      </w:r>
      <w:r>
        <w:t xml:space="preserve">the MySuper product </w:t>
      </w:r>
      <w:r w:rsidRPr="00EB3DF9">
        <w:t xml:space="preserve">against other MySuper products using </w:t>
      </w:r>
      <w:r>
        <w:t>the following</w:t>
      </w:r>
      <w:r w:rsidRPr="00EB3DF9">
        <w:t xml:space="preserve"> metrics:</w:t>
      </w:r>
    </w:p>
    <w:p w:rsidR="00F70F10" w:rsidRPr="00EB3DF9" w:rsidRDefault="00F70F10" w:rsidP="00F70F10">
      <w:pPr>
        <w:pStyle w:val="dotpoint"/>
      </w:pPr>
      <w:r>
        <w:rPr>
          <w:lang w:eastAsia="en-US"/>
        </w:rPr>
        <w:t xml:space="preserve">the </w:t>
      </w:r>
      <w:r w:rsidRPr="00EB3DF9">
        <w:rPr>
          <w:lang w:eastAsia="en-US"/>
        </w:rPr>
        <w:t>fees, costs and taxes</w:t>
      </w:r>
      <w:r>
        <w:rPr>
          <w:lang w:eastAsia="en-US"/>
        </w:rPr>
        <w:t xml:space="preserve"> that affect the return of the beneficiaries holding the MySuper products</w:t>
      </w:r>
      <w:r w:rsidRPr="00EB3DF9">
        <w:rPr>
          <w:lang w:eastAsia="en-US"/>
        </w:rPr>
        <w:t>;</w:t>
      </w:r>
    </w:p>
    <w:p w:rsidR="00F70F10" w:rsidRDefault="00F70F10" w:rsidP="00F70F10">
      <w:pPr>
        <w:pStyle w:val="dotpoint"/>
      </w:pPr>
      <w:r>
        <w:rPr>
          <w:lang w:eastAsia="en-US"/>
        </w:rPr>
        <w:t xml:space="preserve">the </w:t>
      </w:r>
      <w:r w:rsidRPr="00EB3DF9">
        <w:rPr>
          <w:lang w:eastAsia="en-US"/>
        </w:rPr>
        <w:t>return target</w:t>
      </w:r>
      <w:r>
        <w:rPr>
          <w:lang w:eastAsia="en-US"/>
        </w:rPr>
        <w:t xml:space="preserve"> for the MySuper products</w:t>
      </w:r>
      <w:r w:rsidRPr="00EB3DF9">
        <w:rPr>
          <w:lang w:eastAsia="en-US"/>
        </w:rPr>
        <w:t>;</w:t>
      </w:r>
    </w:p>
    <w:p w:rsidR="00F70F10" w:rsidRPr="00EB3DF9" w:rsidRDefault="00F70F10" w:rsidP="00F70F10">
      <w:pPr>
        <w:pStyle w:val="dotpoint"/>
      </w:pPr>
      <w:r>
        <w:rPr>
          <w:lang w:eastAsia="en-US"/>
        </w:rPr>
        <w:t>the return for the MySuper products;</w:t>
      </w:r>
    </w:p>
    <w:p w:rsidR="00F70F10" w:rsidRPr="00EB3DF9" w:rsidRDefault="00F70F10" w:rsidP="00F70F10">
      <w:pPr>
        <w:pStyle w:val="dotpoint"/>
      </w:pPr>
      <w:r>
        <w:rPr>
          <w:lang w:eastAsia="en-US"/>
        </w:rPr>
        <w:t xml:space="preserve">the level of </w:t>
      </w:r>
      <w:r w:rsidRPr="00EB3DF9">
        <w:rPr>
          <w:lang w:eastAsia="en-US"/>
        </w:rPr>
        <w:t>investment risk</w:t>
      </w:r>
      <w:r>
        <w:rPr>
          <w:lang w:eastAsia="en-US"/>
        </w:rPr>
        <w:t xml:space="preserve"> for the MySuper products</w:t>
      </w:r>
      <w:r w:rsidRPr="00EB3DF9">
        <w:rPr>
          <w:lang w:eastAsia="en-US"/>
        </w:rPr>
        <w:t xml:space="preserve">; </w:t>
      </w:r>
      <w:r w:rsidR="002E25C7">
        <w:rPr>
          <w:lang w:eastAsia="en-US"/>
        </w:rPr>
        <w:t>and</w:t>
      </w:r>
    </w:p>
    <w:p w:rsidR="00F70F10" w:rsidRPr="00EB3DF9" w:rsidRDefault="00F70F10" w:rsidP="00F70F10">
      <w:pPr>
        <w:pStyle w:val="dotpoint"/>
      </w:pPr>
      <w:proofErr w:type="gramStart"/>
      <w:r w:rsidRPr="00EB3DF9">
        <w:t>any</w:t>
      </w:r>
      <w:proofErr w:type="gramEnd"/>
      <w:r w:rsidRPr="00EB3DF9">
        <w:t xml:space="preserve"> </w:t>
      </w:r>
      <w:r>
        <w:t>other matter</w:t>
      </w:r>
      <w:r w:rsidRPr="00EB3DF9">
        <w:t xml:space="preserve"> prescribed in </w:t>
      </w:r>
      <w:r>
        <w:t>regulations</w:t>
      </w:r>
      <w:r w:rsidRPr="00EB3DF9">
        <w:t>.</w:t>
      </w:r>
    </w:p>
    <w:p w:rsidR="00F70F10" w:rsidRPr="00883481" w:rsidRDefault="00F70F10" w:rsidP="00F70F10">
      <w:pPr>
        <w:pStyle w:val="base-text-paragraphnonumbers"/>
        <w:rPr>
          <w:rStyle w:val="Referencingstyle"/>
        </w:rPr>
      </w:pPr>
      <w:r>
        <w:rPr>
          <w:rStyle w:val="Referencingstyle"/>
        </w:rPr>
        <w:t>[Schedule 1, item 3, subsection </w:t>
      </w:r>
      <w:proofErr w:type="gramStart"/>
      <w:r>
        <w:rPr>
          <w:rStyle w:val="Referencingstyle"/>
        </w:rPr>
        <w:t>29VN(</w:t>
      </w:r>
      <w:proofErr w:type="gramEnd"/>
      <w:r>
        <w:rPr>
          <w:rStyle w:val="Referencingstyle"/>
        </w:rPr>
        <w:t>3)]</w:t>
      </w:r>
    </w:p>
    <w:p w:rsidR="00F70F10" w:rsidRDefault="00F70F10" w:rsidP="00F70F10">
      <w:pPr>
        <w:pStyle w:val="base-text-paragraph"/>
      </w:pPr>
      <w:r>
        <w:t xml:space="preserve">In addition, regulations can prescribe standards and methodology to be applied or used by the trustees for either or both steps in the determination process. </w:t>
      </w:r>
      <w:r>
        <w:rPr>
          <w:rStyle w:val="Referencingstyle"/>
        </w:rPr>
        <w:t>[Schedule 1, item 3, subsection 29VN(4)]</w:t>
      </w:r>
    </w:p>
    <w:p w:rsidR="00F70F10" w:rsidRPr="000D5EC1" w:rsidRDefault="00F70F10" w:rsidP="00F70F10">
      <w:pPr>
        <w:pStyle w:val="Heading2"/>
      </w:pPr>
      <w:r w:rsidRPr="000D5EC1">
        <w:t>Consequential amendments</w:t>
      </w:r>
    </w:p>
    <w:p w:rsidR="00F70F10" w:rsidRPr="006316B6" w:rsidRDefault="00F70F10" w:rsidP="00DC2125">
      <w:pPr>
        <w:pStyle w:val="base-text-paragraph"/>
        <w:numPr>
          <w:ilvl w:val="1"/>
          <w:numId w:val="24"/>
        </w:numPr>
        <w:rPr>
          <w:rStyle w:val="Referencingstyle"/>
        </w:rPr>
      </w:pPr>
      <w:r>
        <w:t>To facilitate the replace</w:t>
      </w:r>
      <w:r w:rsidR="00FA26F9">
        <w:t>ment</w:t>
      </w:r>
      <w:r>
        <w:t xml:space="preserve"> of the scale test with the outcomes test, consequential amendments are include</w:t>
      </w:r>
      <w:r w:rsidR="00635D5B">
        <w:t>d</w:t>
      </w:r>
      <w:r>
        <w:t xml:space="preserve"> to restructure section 29VN. </w:t>
      </w:r>
      <w:r w:rsidRPr="006316B6">
        <w:rPr>
          <w:rStyle w:val="Referencingstyle"/>
        </w:rPr>
        <w:t>[Schedule 1, it</w:t>
      </w:r>
      <w:r>
        <w:rPr>
          <w:rStyle w:val="Referencingstyle"/>
        </w:rPr>
        <w:t>em 1, subsection 29VN(1)]</w:t>
      </w:r>
      <w:r w:rsidRPr="006316B6">
        <w:rPr>
          <w:rStyle w:val="Referencingstyle"/>
        </w:rPr>
        <w:t xml:space="preserve"> </w:t>
      </w:r>
    </w:p>
    <w:p w:rsidR="00F70F10" w:rsidRPr="000D5EC1" w:rsidRDefault="00F70F10" w:rsidP="00F70F10">
      <w:pPr>
        <w:pStyle w:val="Heading2"/>
      </w:pPr>
      <w:r w:rsidRPr="000D5EC1">
        <w:t>Application and transitional provisions</w:t>
      </w:r>
    </w:p>
    <w:p w:rsidR="00C850FF" w:rsidRDefault="00F70F10" w:rsidP="00DC2125">
      <w:pPr>
        <w:pStyle w:val="base-text-paragraph"/>
        <w:sectPr w:rsidR="00C850FF" w:rsidSect="00C850FF">
          <w:headerReference w:type="default" r:id="rId31"/>
          <w:type w:val="oddPage"/>
          <w:pgSz w:w="11906" w:h="16838" w:code="9"/>
          <w:pgMar w:top="2466" w:right="2098" w:bottom="2466" w:left="2098" w:header="1559" w:footer="1899" w:gutter="0"/>
          <w:cols w:space="708"/>
          <w:titlePg/>
          <w:docGrid w:linePitch="360"/>
        </w:sectPr>
      </w:pPr>
      <w:r>
        <w:t xml:space="preserve">The amendments will apply to </w:t>
      </w:r>
      <w:r w:rsidRPr="003023F3">
        <w:t>annual determination</w:t>
      </w:r>
      <w:r>
        <w:t>s</w:t>
      </w:r>
      <w:r w:rsidRPr="003023F3">
        <w:t xml:space="preserve"> </w:t>
      </w:r>
      <w:r>
        <w:t>required to be made by a trustee of a regulated superannuation fund</w:t>
      </w:r>
      <w:r w:rsidR="001F2A8E">
        <w:t xml:space="preserve"> </w:t>
      </w:r>
      <w:r w:rsidR="00E83604">
        <w:t>from</w:t>
      </w:r>
      <w:r>
        <w:t xml:space="preserve"> the day after the exposure draft Bill receives Royal Assent, in regards to whether the financial interests of the beneficiaries of the fund holding a MySuper product are promoted by the trustee.</w:t>
      </w:r>
    </w:p>
    <w:p w:rsidR="007C0947" w:rsidRPr="007E7EAD" w:rsidRDefault="007C0947" w:rsidP="007C0947">
      <w:pPr>
        <w:pStyle w:val="ChapterHeading"/>
        <w:numPr>
          <w:ilvl w:val="0"/>
          <w:numId w:val="21"/>
        </w:numPr>
        <w:tabs>
          <w:tab w:val="num" w:pos="360"/>
        </w:tabs>
        <w:ind w:left="0"/>
      </w:pPr>
      <w:r w:rsidRPr="000D5EC1">
        <w:lastRenderedPageBreak/>
        <w:br/>
      </w:r>
      <w:bookmarkStart w:id="133" w:name="_Toc483916249"/>
      <w:bookmarkStart w:id="134" w:name="_Toc488398288"/>
      <w:bookmarkStart w:id="135" w:name="_Toc488413409"/>
      <w:r w:rsidRPr="007E7EAD">
        <w:t>Authority to offer a MySuper product</w:t>
      </w:r>
      <w:bookmarkEnd w:id="133"/>
      <w:bookmarkEnd w:id="134"/>
      <w:bookmarkEnd w:id="135"/>
    </w:p>
    <w:p w:rsidR="007E7EAD" w:rsidRPr="000D5EC1" w:rsidRDefault="007E7EAD" w:rsidP="007E7EAD">
      <w:pPr>
        <w:pStyle w:val="Heading2"/>
      </w:pPr>
      <w:r w:rsidRPr="00F770A9">
        <w:t>Outline of chapter</w:t>
      </w:r>
    </w:p>
    <w:p w:rsidR="007E7EAD" w:rsidRPr="000D5EC1" w:rsidRDefault="007E7EAD" w:rsidP="007E7EAD">
      <w:pPr>
        <w:pStyle w:val="base-text-paragraph"/>
        <w:numPr>
          <w:ilvl w:val="1"/>
          <w:numId w:val="24"/>
        </w:numPr>
      </w:pPr>
      <w:r>
        <w:t>Schedule 2 to the exposure draft Bill amends</w:t>
      </w:r>
      <w:r w:rsidRPr="000D5EC1">
        <w:t xml:space="preserve"> the </w:t>
      </w:r>
      <w:r w:rsidRPr="00F770A9">
        <w:rPr>
          <w:i/>
        </w:rPr>
        <w:t>Superannuation Industry (Supervision) Act 1993</w:t>
      </w:r>
      <w:r w:rsidRPr="000D5EC1">
        <w:t xml:space="preserve"> to give the Australian Prudential Regulation Authority (APRA) </w:t>
      </w:r>
      <w:r w:rsidR="00953B87">
        <w:t>an enhanced</w:t>
      </w:r>
      <w:r>
        <w:t xml:space="preserve"> capacity</w:t>
      </w:r>
      <w:r w:rsidRPr="000D5EC1">
        <w:t xml:space="preserve"> to refuse </w:t>
      </w:r>
      <w:r>
        <w:t xml:space="preserve">an RSE </w:t>
      </w:r>
      <w:r w:rsidRPr="000D5EC1">
        <w:t xml:space="preserve">licensee </w:t>
      </w:r>
      <w:r>
        <w:t xml:space="preserve">a new </w:t>
      </w:r>
      <w:r w:rsidRPr="000D5EC1">
        <w:t>authority to offer a MySuper product</w:t>
      </w:r>
      <w:r>
        <w:t xml:space="preserve"> or to cancel an existing authority.</w:t>
      </w:r>
      <w:r w:rsidRPr="000D5EC1">
        <w:t xml:space="preserve"> </w:t>
      </w:r>
    </w:p>
    <w:p w:rsidR="007E7EAD" w:rsidRDefault="007E7EAD" w:rsidP="007E7EAD">
      <w:pPr>
        <w:pStyle w:val="base-text-paragraph"/>
        <w:numPr>
          <w:ilvl w:val="1"/>
          <w:numId w:val="24"/>
        </w:numPr>
      </w:pPr>
      <w:r>
        <w:t>This will</w:t>
      </w:r>
      <w:r w:rsidRPr="000D5EC1">
        <w:t xml:space="preserve"> improve the quality of MySuper products by allowing APRA to refuse</w:t>
      </w:r>
      <w:r>
        <w:t>,</w:t>
      </w:r>
      <w:r w:rsidRPr="000D5EC1">
        <w:t xml:space="preserve"> </w:t>
      </w:r>
      <w:r>
        <w:t xml:space="preserve">or cancel, an </w:t>
      </w:r>
      <w:r w:rsidRPr="000D5EC1">
        <w:t>authority to offer a MySuper product if APRA has a reason to believe the RSE licensee may fail to comply with its obligations</w:t>
      </w:r>
      <w:r>
        <w:t>.</w:t>
      </w:r>
    </w:p>
    <w:p w:rsidR="00953B87" w:rsidRPr="000D5EC1" w:rsidRDefault="00953B87" w:rsidP="007E7EAD">
      <w:pPr>
        <w:pStyle w:val="base-text-paragraph"/>
        <w:numPr>
          <w:ilvl w:val="1"/>
          <w:numId w:val="24"/>
        </w:numPr>
      </w:pPr>
      <w:r w:rsidRPr="000D5EC1">
        <w:t xml:space="preserve">All legislative references in this </w:t>
      </w:r>
      <w:r>
        <w:t>c</w:t>
      </w:r>
      <w:r w:rsidRPr="000D5EC1">
        <w:t xml:space="preserve">hapter are to the </w:t>
      </w:r>
      <w:r>
        <w:t>SIS Act</w:t>
      </w:r>
      <w:r w:rsidRPr="000D5EC1">
        <w:rPr>
          <w:i/>
        </w:rPr>
        <w:t xml:space="preserve"> </w:t>
      </w:r>
      <w:r w:rsidRPr="000D5EC1">
        <w:t>unless otherwise indicated</w:t>
      </w:r>
      <w:r>
        <w:t>.</w:t>
      </w:r>
    </w:p>
    <w:p w:rsidR="007E7EAD" w:rsidRPr="000D5EC1" w:rsidRDefault="007E7EAD" w:rsidP="007E7EAD">
      <w:pPr>
        <w:pStyle w:val="Heading2"/>
      </w:pPr>
      <w:r w:rsidRPr="000D5EC1">
        <w:t>Context of amendments</w:t>
      </w:r>
    </w:p>
    <w:p w:rsidR="002E25C7" w:rsidRDefault="007E7EAD" w:rsidP="007E7EAD">
      <w:pPr>
        <w:pStyle w:val="base-text-paragraph"/>
        <w:numPr>
          <w:ilvl w:val="1"/>
          <w:numId w:val="24"/>
        </w:numPr>
      </w:pPr>
      <w:r>
        <w:t>Currently</w:t>
      </w:r>
      <w:r w:rsidRPr="000D5EC1">
        <w:t>, APRA must authorise an RSE licensee to offer a MySuper product if it is satisfied (among other requirements) that</w:t>
      </w:r>
      <w:r w:rsidR="002E25C7">
        <w:t>:</w:t>
      </w:r>
    </w:p>
    <w:p w:rsidR="002E25C7" w:rsidRDefault="007E7EAD" w:rsidP="00A433BE">
      <w:pPr>
        <w:pStyle w:val="dotpoint"/>
      </w:pPr>
      <w:r w:rsidRPr="000D5EC1">
        <w:t>the RSE licensee ‘is likely to’ comply with the enhanced trustee obligations for MySuper products, ‘is likely to’ comply with the general fee rules and the fees rules in relation to MySuper products</w:t>
      </w:r>
      <w:r w:rsidR="002E25C7">
        <w:t>;</w:t>
      </w:r>
      <w:r w:rsidRPr="000D5EC1">
        <w:t xml:space="preserve"> and </w:t>
      </w:r>
    </w:p>
    <w:p w:rsidR="007E7EAD" w:rsidRPr="000D5EC1" w:rsidRDefault="007E7EAD" w:rsidP="00A433BE">
      <w:pPr>
        <w:pStyle w:val="dotpoint"/>
      </w:pPr>
      <w:proofErr w:type="gramStart"/>
      <w:r w:rsidRPr="000D5EC1">
        <w:t>the</w:t>
      </w:r>
      <w:proofErr w:type="gramEnd"/>
      <w:r w:rsidRPr="000D5EC1">
        <w:t xml:space="preserve"> RSE licensee ‘is not likely to’ contravene sections</w:t>
      </w:r>
      <w:r>
        <w:t> </w:t>
      </w:r>
      <w:r w:rsidRPr="000D5EC1">
        <w:t xml:space="preserve">29W, 29WA or 29WB. </w:t>
      </w:r>
    </w:p>
    <w:p w:rsidR="007E7EAD" w:rsidRPr="000D5EC1" w:rsidRDefault="007E7EAD" w:rsidP="007E7EAD">
      <w:pPr>
        <w:pStyle w:val="base-text-paragraph"/>
        <w:numPr>
          <w:ilvl w:val="1"/>
          <w:numId w:val="24"/>
        </w:numPr>
      </w:pPr>
      <w:r w:rsidRPr="000D5EC1">
        <w:t xml:space="preserve">The </w:t>
      </w:r>
      <w:r>
        <w:t>amendments</w:t>
      </w:r>
      <w:r w:rsidRPr="000D5EC1">
        <w:t xml:space="preserve"> will </w:t>
      </w:r>
      <w:r w:rsidR="00953B87">
        <w:t>enhance</w:t>
      </w:r>
      <w:r w:rsidRPr="000D5EC1">
        <w:t xml:space="preserve"> APRA’s supervision of </w:t>
      </w:r>
      <w:r>
        <w:t xml:space="preserve">the offering of MySuper products by </w:t>
      </w:r>
      <w:r w:rsidRPr="000D5EC1">
        <w:t xml:space="preserve">RSE licensees by giving </w:t>
      </w:r>
      <w:r>
        <w:t xml:space="preserve">APRA greater capacity </w:t>
      </w:r>
      <w:r w:rsidRPr="000D5EC1">
        <w:t xml:space="preserve">to refuse </w:t>
      </w:r>
      <w:r>
        <w:t>a new</w:t>
      </w:r>
      <w:r w:rsidRPr="000D5EC1">
        <w:t xml:space="preserve"> authority to offer a MySuper product or to cancel such an authority. This provides more scope for APRA to ensure that RSE licensees who are authorised to offer a MySuper product are in a position to provide products of sufficient quality</w:t>
      </w:r>
      <w:r>
        <w:t xml:space="preserve"> to promote the financial interests of members</w:t>
      </w:r>
      <w:r w:rsidRPr="000D5EC1">
        <w:t>.</w:t>
      </w:r>
    </w:p>
    <w:p w:rsidR="007E7EAD" w:rsidRPr="000D5EC1" w:rsidRDefault="007E7EAD" w:rsidP="007E7EAD">
      <w:pPr>
        <w:pStyle w:val="base-text-paragraph"/>
        <w:numPr>
          <w:ilvl w:val="1"/>
          <w:numId w:val="24"/>
        </w:numPr>
      </w:pPr>
      <w:r w:rsidRPr="000D5EC1">
        <w:t xml:space="preserve">The change from an assessment on the balance of probabilities to a test based on APRA’s reasonable belief aligns the MySuper </w:t>
      </w:r>
      <w:r w:rsidRPr="000D5EC1">
        <w:lastRenderedPageBreak/>
        <w:t xml:space="preserve">authorisation and cancellation process with the assessment made by APRA when making decisions in relation to </w:t>
      </w:r>
      <w:r w:rsidR="00953B87">
        <w:t>the granting</w:t>
      </w:r>
      <w:r w:rsidRPr="000D5EC1">
        <w:t xml:space="preserve"> and cancellation of RSE license</w:t>
      </w:r>
      <w:r>
        <w:t>e</w:t>
      </w:r>
      <w:r w:rsidRPr="000D5EC1">
        <w:t>s.</w:t>
      </w:r>
    </w:p>
    <w:p w:rsidR="007E7EAD" w:rsidRDefault="007E7EAD" w:rsidP="007E7EAD">
      <w:pPr>
        <w:pStyle w:val="base-text-paragraph"/>
        <w:numPr>
          <w:ilvl w:val="1"/>
          <w:numId w:val="24"/>
        </w:numPr>
      </w:pPr>
      <w:r w:rsidRPr="000D5EC1">
        <w:t xml:space="preserve">These amendments work together with the amendments in </w:t>
      </w:r>
      <w:r>
        <w:t xml:space="preserve">respect of the obligation on a trustee of a regulated superannuation fund </w:t>
      </w:r>
      <w:r w:rsidRPr="000D5EC1">
        <w:t xml:space="preserve">to </w:t>
      </w:r>
      <w:r>
        <w:t xml:space="preserve">make an annual determination on </w:t>
      </w:r>
      <w:r w:rsidRPr="000D5EC1">
        <w:t>whether the</w:t>
      </w:r>
      <w:r>
        <w:t xml:space="preserve"> financial interests of their beneficiaries who hold the MySuper product are being promoted by the trustee (see Chapter 1)</w:t>
      </w:r>
      <w:r w:rsidRPr="000D5EC1">
        <w:t>.</w:t>
      </w:r>
      <w:r w:rsidR="00953B87">
        <w:t xml:space="preserve"> </w:t>
      </w:r>
    </w:p>
    <w:p w:rsidR="00A77D49" w:rsidRPr="000D5EC1" w:rsidRDefault="00A77D49" w:rsidP="007E7EAD">
      <w:pPr>
        <w:pStyle w:val="base-text-paragraph"/>
        <w:numPr>
          <w:ilvl w:val="1"/>
          <w:numId w:val="24"/>
        </w:numPr>
      </w:pPr>
      <w:r>
        <w:t>If APRA is not satisfied that the trustee complied with their obligations when undertaking the annual determination, APRA will have a reason to believe that the trustee may fail to comply with its enhanced trustee obligations and may therefore cancel the trustee’s authorisation to offer a MySuper product.</w:t>
      </w:r>
    </w:p>
    <w:p w:rsidR="007E7EAD" w:rsidRPr="000D5EC1" w:rsidRDefault="007E7EAD" w:rsidP="007E7EAD">
      <w:pPr>
        <w:pStyle w:val="Heading2"/>
      </w:pPr>
      <w:r w:rsidRPr="000D5EC1">
        <w:t>Summary of new law</w:t>
      </w:r>
    </w:p>
    <w:p w:rsidR="007E7EAD" w:rsidRDefault="007E7EAD" w:rsidP="007E7EAD">
      <w:pPr>
        <w:pStyle w:val="base-text-paragraph"/>
        <w:numPr>
          <w:ilvl w:val="1"/>
          <w:numId w:val="27"/>
        </w:numPr>
      </w:pPr>
      <w:r>
        <w:t xml:space="preserve">The amendments will </w:t>
      </w:r>
      <w:r w:rsidR="00A77D49">
        <w:t>enhance</w:t>
      </w:r>
      <w:r>
        <w:t xml:space="preserve"> APRA</w:t>
      </w:r>
      <w:r w:rsidR="00A77D49">
        <w:t>’s capacity</w:t>
      </w:r>
      <w:r>
        <w:t xml:space="preserve"> to refuse authority to offer a MySuper product or to cancel an existing authority to offer a MySuper product, depending on whether it has reason to believe (or no reason to believe in the case of cancellation) that: </w:t>
      </w:r>
    </w:p>
    <w:p w:rsidR="007E7EAD" w:rsidRDefault="007E7EAD" w:rsidP="007E7EAD">
      <w:pPr>
        <w:pStyle w:val="dotpoint"/>
      </w:pPr>
      <w:r>
        <w:t>the</w:t>
      </w:r>
      <w:r w:rsidRPr="004B64BE">
        <w:t xml:space="preserve"> </w:t>
      </w:r>
      <w:r w:rsidRPr="000D5EC1">
        <w:t>RSE licensee</w:t>
      </w:r>
      <w:r>
        <w:t xml:space="preserve"> (or its directors) may fail to</w:t>
      </w:r>
      <w:r w:rsidRPr="000D5EC1">
        <w:t xml:space="preserve"> comply with its</w:t>
      </w:r>
      <w:r>
        <w:t xml:space="preserve"> enhanced trustee obligations; </w:t>
      </w:r>
    </w:p>
    <w:p w:rsidR="007E7EAD" w:rsidRDefault="007E7EAD" w:rsidP="007E7EAD">
      <w:pPr>
        <w:pStyle w:val="dotpoint"/>
      </w:pPr>
      <w:r>
        <w:t>the</w:t>
      </w:r>
      <w:r w:rsidRPr="004B64BE">
        <w:t xml:space="preserve"> </w:t>
      </w:r>
      <w:r w:rsidRPr="000D5EC1">
        <w:t>RSE licensee may fail to comply with th</w:t>
      </w:r>
      <w:r w:rsidRPr="004B64BE">
        <w:t>e general fees r</w:t>
      </w:r>
      <w:r w:rsidR="00A77D49">
        <w:t>u</w:t>
      </w:r>
      <w:r w:rsidRPr="004B64BE">
        <w:t>les and the fees rules in rel</w:t>
      </w:r>
      <w:r>
        <w:t>ation to MySuper products</w:t>
      </w:r>
      <w:r w:rsidR="002E25C7">
        <w:t>;</w:t>
      </w:r>
      <w:r>
        <w:t xml:space="preserve"> and</w:t>
      </w:r>
    </w:p>
    <w:p w:rsidR="007E7EAD" w:rsidRDefault="007E7EAD" w:rsidP="007E7EAD">
      <w:pPr>
        <w:pStyle w:val="dotpoint"/>
      </w:pPr>
      <w:proofErr w:type="gramStart"/>
      <w:r>
        <w:t>the</w:t>
      </w:r>
      <w:proofErr w:type="gramEnd"/>
      <w:r w:rsidRPr="004B64BE">
        <w:t xml:space="preserve"> </w:t>
      </w:r>
      <w:r w:rsidRPr="000D5EC1">
        <w:t>RSE licensee</w:t>
      </w:r>
      <w:r w:rsidRPr="004B64BE">
        <w:t xml:space="preserve"> may contravene section 29W, 29WA or 29WB</w:t>
      </w:r>
      <w:r>
        <w:t>.</w:t>
      </w:r>
    </w:p>
    <w:p w:rsidR="007E7EAD" w:rsidRPr="000D5EC1" w:rsidRDefault="007E7EAD" w:rsidP="007E7EAD">
      <w:pPr>
        <w:pStyle w:val="Heading2"/>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7E7EAD" w:rsidRPr="000D5EC1" w:rsidTr="00F70F10">
        <w:trPr>
          <w:tblHeader/>
        </w:trPr>
        <w:tc>
          <w:tcPr>
            <w:tcW w:w="3275" w:type="dxa"/>
          </w:tcPr>
          <w:p w:rsidR="007E7EAD" w:rsidRPr="000D5EC1" w:rsidRDefault="007E7EAD" w:rsidP="00F70F10">
            <w:pPr>
              <w:pStyle w:val="tableheaderwithintable"/>
              <w:rPr>
                <w:lang w:val="en-US" w:eastAsia="en-US"/>
              </w:rPr>
            </w:pPr>
            <w:r w:rsidRPr="000D5EC1">
              <w:rPr>
                <w:lang w:val="en-US" w:eastAsia="en-US"/>
              </w:rPr>
              <w:t>New law</w:t>
            </w:r>
          </w:p>
        </w:tc>
        <w:tc>
          <w:tcPr>
            <w:tcW w:w="3276" w:type="dxa"/>
          </w:tcPr>
          <w:p w:rsidR="007E7EAD" w:rsidRPr="000D5EC1" w:rsidRDefault="007E7EAD" w:rsidP="00F70F10">
            <w:pPr>
              <w:pStyle w:val="tableheaderwithintable"/>
              <w:rPr>
                <w:lang w:val="en-US" w:eastAsia="en-US"/>
              </w:rPr>
            </w:pPr>
            <w:r w:rsidRPr="000D5EC1">
              <w:rPr>
                <w:lang w:val="en-US" w:eastAsia="en-US"/>
              </w:rPr>
              <w:t>Current law</w:t>
            </w:r>
          </w:p>
        </w:tc>
      </w:tr>
      <w:tr w:rsidR="007E7EAD" w:rsidRPr="00F9742B" w:rsidTr="00F70F10">
        <w:trPr>
          <w:trHeight w:val="256"/>
        </w:trPr>
        <w:tc>
          <w:tcPr>
            <w:tcW w:w="3275" w:type="dxa"/>
          </w:tcPr>
          <w:p w:rsidR="007E7EAD" w:rsidRPr="00A433BE" w:rsidRDefault="007E7EAD" w:rsidP="00F70F10">
            <w:pPr>
              <w:pStyle w:val="tabletext"/>
              <w:rPr>
                <w:rFonts w:eastAsiaTheme="minorHAnsi"/>
                <w:bCs/>
                <w:lang w:val="en-US" w:eastAsia="en-US"/>
              </w:rPr>
            </w:pPr>
            <w:r w:rsidRPr="00695B89">
              <w:rPr>
                <w:lang w:val="en-US" w:eastAsia="en-US"/>
              </w:rPr>
              <w:t>Before agreeing to</w:t>
            </w:r>
            <w:r w:rsidRPr="00695B89">
              <w:rPr>
                <w:lang w:eastAsia="en-US"/>
              </w:rPr>
              <w:t xml:space="preserve"> authorise</w:t>
            </w:r>
            <w:r w:rsidRPr="00695B89">
              <w:rPr>
                <w:lang w:val="en-US" w:eastAsia="en-US"/>
              </w:rPr>
              <w:t xml:space="preserve"> an RSE licensee to offer a </w:t>
            </w:r>
            <w:proofErr w:type="spellStart"/>
            <w:r w:rsidRPr="00695B89">
              <w:rPr>
                <w:lang w:val="en-US" w:eastAsia="en-US"/>
              </w:rPr>
              <w:t>MySuper</w:t>
            </w:r>
            <w:proofErr w:type="spellEnd"/>
            <w:r w:rsidRPr="00695B89">
              <w:rPr>
                <w:lang w:val="en-US" w:eastAsia="en-US"/>
              </w:rPr>
              <w:t xml:space="preserve"> product, APRA </w:t>
            </w:r>
            <w:r w:rsidRPr="00A433BE">
              <w:rPr>
                <w:bCs/>
                <w:iCs/>
                <w:lang w:val="en-US" w:eastAsia="en-US"/>
              </w:rPr>
              <w:t xml:space="preserve">must have no reason to believe </w:t>
            </w:r>
            <w:r w:rsidRPr="00695B89">
              <w:rPr>
                <w:bCs/>
                <w:iCs/>
                <w:lang w:val="en-US" w:eastAsia="en-US"/>
              </w:rPr>
              <w:t>that</w:t>
            </w:r>
            <w:r w:rsidRPr="00A433BE">
              <w:rPr>
                <w:bCs/>
                <w:lang w:val="en-US" w:eastAsia="en-US"/>
              </w:rPr>
              <w:t>:</w:t>
            </w:r>
          </w:p>
          <w:p w:rsidR="007E7EAD" w:rsidRPr="00695B89" w:rsidRDefault="007E7EAD" w:rsidP="00F70F10">
            <w:pPr>
              <w:pStyle w:val="tabledotpoint"/>
              <w:numPr>
                <w:ilvl w:val="0"/>
                <w:numId w:val="36"/>
              </w:numPr>
              <w:rPr>
                <w:rFonts w:eastAsiaTheme="minorHAnsi"/>
                <w:lang w:val="en-US" w:eastAsia="en-US"/>
              </w:rPr>
            </w:pPr>
            <w:r w:rsidRPr="00695B89">
              <w:rPr>
                <w:bCs/>
                <w:iCs/>
                <w:lang w:val="en-US" w:eastAsia="en-US"/>
              </w:rPr>
              <w:t>the RSE licensee</w:t>
            </w:r>
            <w:r w:rsidRPr="00A433BE">
              <w:rPr>
                <w:bCs/>
                <w:iCs/>
                <w:lang w:val="en-US" w:eastAsia="en-US"/>
              </w:rPr>
              <w:t xml:space="preserve"> </w:t>
            </w:r>
            <w:r w:rsidRPr="00695B89">
              <w:rPr>
                <w:bCs/>
                <w:iCs/>
                <w:lang w:val="en-US" w:eastAsia="en-US"/>
              </w:rPr>
              <w:t xml:space="preserve">(or its directors) </w:t>
            </w:r>
            <w:r w:rsidRPr="00A433BE">
              <w:rPr>
                <w:bCs/>
                <w:iCs/>
                <w:lang w:val="en-US" w:eastAsia="en-US"/>
              </w:rPr>
              <w:t>may fail to comply</w:t>
            </w:r>
            <w:r w:rsidRPr="00695B89">
              <w:rPr>
                <w:lang w:val="en-US" w:eastAsia="en-US"/>
              </w:rPr>
              <w:t xml:space="preserve"> with the enhanced trustee obligations for </w:t>
            </w:r>
            <w:proofErr w:type="spellStart"/>
            <w:r w:rsidRPr="00695B89">
              <w:rPr>
                <w:lang w:val="en-US" w:eastAsia="en-US"/>
              </w:rPr>
              <w:t>MySuper</w:t>
            </w:r>
            <w:proofErr w:type="spellEnd"/>
            <w:r w:rsidRPr="00695B89">
              <w:rPr>
                <w:lang w:val="en-US" w:eastAsia="en-US"/>
              </w:rPr>
              <w:t xml:space="preserve"> products;</w:t>
            </w:r>
          </w:p>
          <w:p w:rsidR="007E7EAD" w:rsidRPr="00695B89" w:rsidRDefault="007E7EAD" w:rsidP="00F70F10">
            <w:pPr>
              <w:pStyle w:val="tabledotpoint"/>
              <w:numPr>
                <w:ilvl w:val="0"/>
                <w:numId w:val="36"/>
              </w:numPr>
              <w:rPr>
                <w:lang w:val="en-US" w:eastAsia="en-US"/>
              </w:rPr>
            </w:pPr>
            <w:r w:rsidRPr="00695B89">
              <w:rPr>
                <w:bCs/>
                <w:iCs/>
                <w:lang w:val="en-US" w:eastAsia="en-US"/>
              </w:rPr>
              <w:t xml:space="preserve">the RSE licensee may fail to </w:t>
            </w:r>
            <w:r w:rsidRPr="00A433BE">
              <w:rPr>
                <w:bCs/>
                <w:iCs/>
                <w:lang w:val="en-US" w:eastAsia="en-US"/>
              </w:rPr>
              <w:lastRenderedPageBreak/>
              <w:t>comply</w:t>
            </w:r>
            <w:r w:rsidRPr="00695B89">
              <w:rPr>
                <w:lang w:val="en-US" w:eastAsia="en-US"/>
              </w:rPr>
              <w:t xml:space="preserve"> with the general fees rules and the fees rules in relation to </w:t>
            </w:r>
            <w:proofErr w:type="spellStart"/>
            <w:r w:rsidRPr="00695B89">
              <w:rPr>
                <w:lang w:val="en-US" w:eastAsia="en-US"/>
              </w:rPr>
              <w:t>MySuper</w:t>
            </w:r>
            <w:proofErr w:type="spellEnd"/>
            <w:r w:rsidRPr="00695B89">
              <w:rPr>
                <w:lang w:val="en-US" w:eastAsia="en-US"/>
              </w:rPr>
              <w:t xml:space="preserve"> products; or</w:t>
            </w:r>
          </w:p>
          <w:p w:rsidR="007E7EAD" w:rsidRPr="00695B89" w:rsidRDefault="007E7EAD" w:rsidP="00ED09D8">
            <w:pPr>
              <w:pStyle w:val="tabledotpoint"/>
              <w:numPr>
                <w:ilvl w:val="0"/>
                <w:numId w:val="36"/>
              </w:numPr>
              <w:rPr>
                <w:lang w:val="en-US" w:eastAsia="en-US"/>
              </w:rPr>
            </w:pPr>
            <w:proofErr w:type="gramStart"/>
            <w:r w:rsidRPr="00695B89">
              <w:rPr>
                <w:bCs/>
                <w:iCs/>
                <w:lang w:val="en-US" w:eastAsia="en-US"/>
              </w:rPr>
              <w:t>the</w:t>
            </w:r>
            <w:proofErr w:type="gramEnd"/>
            <w:r w:rsidRPr="00695B89">
              <w:rPr>
                <w:bCs/>
                <w:iCs/>
                <w:lang w:val="en-US" w:eastAsia="en-US"/>
              </w:rPr>
              <w:t xml:space="preserve"> RSE licensee</w:t>
            </w:r>
            <w:r w:rsidRPr="00A433BE">
              <w:rPr>
                <w:bCs/>
                <w:iCs/>
                <w:lang w:val="en-US"/>
              </w:rPr>
              <w:t xml:space="preserve"> may contravene </w:t>
            </w:r>
            <w:r w:rsidRPr="00695B89">
              <w:rPr>
                <w:lang w:val="en-US"/>
              </w:rPr>
              <w:t>section 29W, 29WA or 29WB.</w:t>
            </w:r>
          </w:p>
        </w:tc>
        <w:tc>
          <w:tcPr>
            <w:tcW w:w="3276" w:type="dxa"/>
          </w:tcPr>
          <w:p w:rsidR="007E7EAD" w:rsidRPr="00A433BE" w:rsidRDefault="007E7EAD" w:rsidP="00F70F10">
            <w:pPr>
              <w:pStyle w:val="tabletext"/>
              <w:rPr>
                <w:bCs/>
                <w:lang w:val="en-US" w:eastAsia="en-US"/>
              </w:rPr>
            </w:pPr>
            <w:r w:rsidRPr="00695B89">
              <w:rPr>
                <w:lang w:val="en-US" w:eastAsia="en-US"/>
              </w:rPr>
              <w:lastRenderedPageBreak/>
              <w:t xml:space="preserve">Before agreeing to </w:t>
            </w:r>
            <w:proofErr w:type="spellStart"/>
            <w:r w:rsidRPr="00695B89">
              <w:rPr>
                <w:lang w:val="en-US" w:eastAsia="en-US"/>
              </w:rPr>
              <w:t>authorise</w:t>
            </w:r>
            <w:proofErr w:type="spellEnd"/>
            <w:r w:rsidRPr="00695B89">
              <w:rPr>
                <w:lang w:val="en-US" w:eastAsia="en-US"/>
              </w:rPr>
              <w:t xml:space="preserve"> an RSE licensee to offer a </w:t>
            </w:r>
            <w:proofErr w:type="spellStart"/>
            <w:r w:rsidRPr="00695B89">
              <w:rPr>
                <w:lang w:val="en-US" w:eastAsia="en-US"/>
              </w:rPr>
              <w:t>MySuper</w:t>
            </w:r>
            <w:proofErr w:type="spellEnd"/>
            <w:r w:rsidRPr="00695B89">
              <w:rPr>
                <w:lang w:val="en-US" w:eastAsia="en-US"/>
              </w:rPr>
              <w:t xml:space="preserve"> product, APRA </w:t>
            </w:r>
            <w:r w:rsidRPr="00A433BE">
              <w:rPr>
                <w:bCs/>
                <w:iCs/>
                <w:lang w:val="en-US" w:eastAsia="en-US"/>
              </w:rPr>
              <w:t>must be satisfied</w:t>
            </w:r>
            <w:r w:rsidRPr="00A433BE">
              <w:rPr>
                <w:bCs/>
                <w:lang w:val="en-US" w:eastAsia="en-US"/>
              </w:rPr>
              <w:t>:</w:t>
            </w:r>
          </w:p>
          <w:p w:rsidR="007E7EAD" w:rsidRPr="00695B89" w:rsidRDefault="007E7EAD" w:rsidP="00F70F10">
            <w:pPr>
              <w:pStyle w:val="tabledotpoint"/>
              <w:rPr>
                <w:rFonts w:eastAsiaTheme="minorHAnsi"/>
                <w:lang w:val="en-US" w:eastAsia="en-US"/>
              </w:rPr>
            </w:pPr>
            <w:r w:rsidRPr="00695B89">
              <w:rPr>
                <w:bCs/>
                <w:iCs/>
                <w:lang w:val="en-US" w:eastAsia="en-US"/>
              </w:rPr>
              <w:t>the RSE licensee</w:t>
            </w:r>
            <w:r w:rsidRPr="00A433BE">
              <w:rPr>
                <w:bCs/>
                <w:iCs/>
                <w:lang w:val="en-US" w:eastAsia="en-US"/>
              </w:rPr>
              <w:t xml:space="preserve"> </w:t>
            </w:r>
            <w:r w:rsidRPr="00695B89">
              <w:rPr>
                <w:bCs/>
                <w:iCs/>
                <w:lang w:val="en-US" w:eastAsia="en-US"/>
              </w:rPr>
              <w:t>(or its directors) is likely to comply</w:t>
            </w:r>
            <w:r w:rsidRPr="00A433BE">
              <w:rPr>
                <w:bCs/>
                <w:lang w:val="en-US" w:eastAsia="en-US"/>
              </w:rPr>
              <w:t xml:space="preserve"> </w:t>
            </w:r>
            <w:r w:rsidRPr="00695B89">
              <w:rPr>
                <w:lang w:val="en-US" w:eastAsia="en-US"/>
              </w:rPr>
              <w:t xml:space="preserve">with the enhanced trustee obligations for </w:t>
            </w:r>
            <w:proofErr w:type="spellStart"/>
            <w:r w:rsidRPr="00695B89">
              <w:rPr>
                <w:lang w:val="en-US" w:eastAsia="en-US"/>
              </w:rPr>
              <w:t>MySuper</w:t>
            </w:r>
            <w:proofErr w:type="spellEnd"/>
            <w:r w:rsidRPr="00695B89">
              <w:rPr>
                <w:lang w:val="en-US" w:eastAsia="en-US"/>
              </w:rPr>
              <w:t xml:space="preserve"> products;</w:t>
            </w:r>
          </w:p>
          <w:p w:rsidR="007E7EAD" w:rsidRPr="00695B89" w:rsidRDefault="007E7EAD" w:rsidP="00F70F10">
            <w:pPr>
              <w:pStyle w:val="tabledotpoint"/>
              <w:rPr>
                <w:rFonts w:eastAsiaTheme="minorHAnsi"/>
                <w:lang w:val="en-US" w:eastAsia="en-US"/>
              </w:rPr>
            </w:pPr>
            <w:r w:rsidRPr="00695B89">
              <w:rPr>
                <w:bCs/>
                <w:iCs/>
                <w:lang w:val="en-US" w:eastAsia="en-US"/>
              </w:rPr>
              <w:t>the RSE licensee is</w:t>
            </w:r>
            <w:r w:rsidRPr="00A433BE">
              <w:rPr>
                <w:bCs/>
                <w:iCs/>
                <w:lang w:val="en-US" w:eastAsia="en-US"/>
              </w:rPr>
              <w:t xml:space="preserve"> likely to comply</w:t>
            </w:r>
            <w:r w:rsidRPr="00695B89">
              <w:rPr>
                <w:lang w:val="en-US" w:eastAsia="en-US"/>
              </w:rPr>
              <w:t xml:space="preserve"> with the general fees rules </w:t>
            </w:r>
            <w:r w:rsidRPr="00695B89">
              <w:rPr>
                <w:lang w:val="en-US" w:eastAsia="en-US"/>
              </w:rPr>
              <w:lastRenderedPageBreak/>
              <w:t xml:space="preserve">and the fees rules in relation to </w:t>
            </w:r>
            <w:proofErr w:type="spellStart"/>
            <w:r w:rsidRPr="00695B89">
              <w:rPr>
                <w:lang w:val="en-US" w:eastAsia="en-US"/>
              </w:rPr>
              <w:t>MySuper</w:t>
            </w:r>
            <w:proofErr w:type="spellEnd"/>
            <w:r w:rsidRPr="00695B89">
              <w:rPr>
                <w:lang w:val="en-US" w:eastAsia="en-US"/>
              </w:rPr>
              <w:t xml:space="preserve"> products; or</w:t>
            </w:r>
          </w:p>
          <w:p w:rsidR="007E7EAD" w:rsidRPr="00695B89" w:rsidRDefault="007E7EAD" w:rsidP="00557858">
            <w:pPr>
              <w:pStyle w:val="tabledotpoint"/>
              <w:rPr>
                <w:rFonts w:eastAsiaTheme="minorHAnsi"/>
                <w:lang w:val="en-US" w:eastAsia="en-US"/>
              </w:rPr>
            </w:pPr>
            <w:proofErr w:type="gramStart"/>
            <w:r w:rsidRPr="00695B89">
              <w:rPr>
                <w:bCs/>
                <w:iCs/>
                <w:lang w:val="en-US" w:eastAsia="en-US"/>
              </w:rPr>
              <w:t>the</w:t>
            </w:r>
            <w:proofErr w:type="gramEnd"/>
            <w:r w:rsidRPr="00695B89">
              <w:rPr>
                <w:bCs/>
                <w:iCs/>
                <w:lang w:val="en-US" w:eastAsia="en-US"/>
              </w:rPr>
              <w:t xml:space="preserve"> RSE licensee</w:t>
            </w:r>
            <w:r w:rsidRPr="00A433BE">
              <w:rPr>
                <w:bCs/>
                <w:iCs/>
                <w:lang w:val="en-US"/>
              </w:rPr>
              <w:t xml:space="preserve"> </w:t>
            </w:r>
            <w:r w:rsidRPr="00695B89">
              <w:rPr>
                <w:bCs/>
                <w:iCs/>
                <w:lang w:val="en-US"/>
              </w:rPr>
              <w:t>is</w:t>
            </w:r>
            <w:r w:rsidRPr="00A433BE">
              <w:rPr>
                <w:bCs/>
                <w:iCs/>
                <w:lang w:val="en-US"/>
              </w:rPr>
              <w:t xml:space="preserve"> not likely to contravene</w:t>
            </w:r>
            <w:r w:rsidRPr="00695B89">
              <w:rPr>
                <w:lang w:val="en-US"/>
              </w:rPr>
              <w:t xml:space="preserve"> section 29W, 29WA or 29WB.</w:t>
            </w:r>
          </w:p>
        </w:tc>
      </w:tr>
      <w:tr w:rsidR="007E7EAD" w:rsidRPr="000D5EC1" w:rsidTr="00F70F10">
        <w:trPr>
          <w:trHeight w:val="256"/>
        </w:trPr>
        <w:tc>
          <w:tcPr>
            <w:tcW w:w="3275" w:type="dxa"/>
          </w:tcPr>
          <w:p w:rsidR="007E7EAD" w:rsidRPr="00695B89" w:rsidRDefault="007E7EAD" w:rsidP="00F70F10">
            <w:pPr>
              <w:pStyle w:val="tabletext"/>
              <w:rPr>
                <w:rFonts w:eastAsiaTheme="minorHAnsi"/>
                <w:lang w:val="en-US" w:eastAsia="en-US"/>
              </w:rPr>
            </w:pPr>
            <w:r w:rsidRPr="00695B89">
              <w:rPr>
                <w:lang w:val="en-US" w:eastAsia="en-US"/>
              </w:rPr>
              <w:lastRenderedPageBreak/>
              <w:t xml:space="preserve">Before cancelling </w:t>
            </w:r>
            <w:proofErr w:type="spellStart"/>
            <w:r w:rsidRPr="00695B89">
              <w:rPr>
                <w:lang w:val="en-US" w:eastAsia="en-US"/>
              </w:rPr>
              <w:t>authorisation</w:t>
            </w:r>
            <w:proofErr w:type="spellEnd"/>
            <w:r w:rsidRPr="00695B89">
              <w:rPr>
                <w:lang w:val="en-US" w:eastAsia="en-US"/>
              </w:rPr>
              <w:t xml:space="preserve"> of a </w:t>
            </w:r>
            <w:proofErr w:type="spellStart"/>
            <w:r w:rsidRPr="00695B89">
              <w:rPr>
                <w:lang w:val="en-US" w:eastAsia="en-US"/>
              </w:rPr>
              <w:t>MySuper</w:t>
            </w:r>
            <w:proofErr w:type="spellEnd"/>
            <w:r w:rsidRPr="00695B89">
              <w:rPr>
                <w:lang w:val="en-US" w:eastAsia="en-US"/>
              </w:rPr>
              <w:t xml:space="preserve"> product, APRA </w:t>
            </w:r>
            <w:r w:rsidRPr="00A433BE">
              <w:rPr>
                <w:bCs/>
                <w:iCs/>
                <w:lang w:val="en-US" w:eastAsia="en-US"/>
              </w:rPr>
              <w:t xml:space="preserve">must have a reason to believe </w:t>
            </w:r>
            <w:r w:rsidRPr="00695B89">
              <w:rPr>
                <w:bCs/>
                <w:iCs/>
                <w:lang w:val="en-US" w:eastAsia="en-US"/>
              </w:rPr>
              <w:t>that:</w:t>
            </w:r>
          </w:p>
          <w:p w:rsidR="007E7EAD" w:rsidRPr="00695B89" w:rsidRDefault="007E7EAD" w:rsidP="00F70F10">
            <w:pPr>
              <w:pStyle w:val="tabledotpoint"/>
              <w:rPr>
                <w:rFonts w:eastAsiaTheme="minorHAnsi"/>
                <w:lang w:val="en-US" w:eastAsia="en-US"/>
              </w:rPr>
            </w:pPr>
            <w:r w:rsidRPr="00695B89">
              <w:rPr>
                <w:bCs/>
                <w:iCs/>
                <w:lang w:val="en-US" w:eastAsia="en-US"/>
              </w:rPr>
              <w:t xml:space="preserve">the RSE licensee (or its directors) </w:t>
            </w:r>
            <w:r w:rsidRPr="00A433BE">
              <w:rPr>
                <w:bCs/>
                <w:iCs/>
                <w:lang w:val="en-US" w:eastAsia="en-US"/>
              </w:rPr>
              <w:t>may fail to comply</w:t>
            </w:r>
            <w:r w:rsidRPr="00695B89">
              <w:rPr>
                <w:lang w:val="en-US" w:eastAsia="en-US"/>
              </w:rPr>
              <w:t xml:space="preserve"> with the enhanced trustee obligations for </w:t>
            </w:r>
            <w:proofErr w:type="spellStart"/>
            <w:r w:rsidRPr="00695B89">
              <w:rPr>
                <w:lang w:val="en-US" w:eastAsia="en-US"/>
              </w:rPr>
              <w:t>MySuper</w:t>
            </w:r>
            <w:proofErr w:type="spellEnd"/>
            <w:r w:rsidRPr="00695B89">
              <w:rPr>
                <w:lang w:val="en-US" w:eastAsia="en-US"/>
              </w:rPr>
              <w:t xml:space="preserve"> products;</w:t>
            </w:r>
          </w:p>
          <w:p w:rsidR="007E7EAD" w:rsidRPr="00695B89" w:rsidRDefault="007E7EAD" w:rsidP="00F70F10">
            <w:pPr>
              <w:pStyle w:val="tabledotpoint"/>
              <w:rPr>
                <w:lang w:val="en-US" w:eastAsia="en-US"/>
              </w:rPr>
            </w:pPr>
            <w:r w:rsidRPr="00695B89">
              <w:rPr>
                <w:bCs/>
                <w:iCs/>
                <w:lang w:val="en-US" w:eastAsia="en-US"/>
              </w:rPr>
              <w:t>the RSE licensee may fail to comply</w:t>
            </w:r>
            <w:r w:rsidRPr="00695B89">
              <w:rPr>
                <w:lang w:val="en-US" w:eastAsia="en-US"/>
              </w:rPr>
              <w:t xml:space="preserve"> with the general fees rules and the fees rules in relation to </w:t>
            </w:r>
            <w:proofErr w:type="spellStart"/>
            <w:r w:rsidRPr="00695B89">
              <w:rPr>
                <w:lang w:val="en-US" w:eastAsia="en-US"/>
              </w:rPr>
              <w:t>MySuper</w:t>
            </w:r>
            <w:proofErr w:type="spellEnd"/>
            <w:r w:rsidRPr="00695B89">
              <w:rPr>
                <w:lang w:val="en-US" w:eastAsia="en-US"/>
              </w:rPr>
              <w:t xml:space="preserve"> products; or</w:t>
            </w:r>
          </w:p>
          <w:p w:rsidR="007E7EAD" w:rsidRPr="00695B89" w:rsidRDefault="007E7EAD" w:rsidP="00ED09D8">
            <w:pPr>
              <w:pStyle w:val="tabledotpoint"/>
              <w:rPr>
                <w:lang w:val="en-US" w:eastAsia="en-US"/>
              </w:rPr>
            </w:pPr>
            <w:proofErr w:type="gramStart"/>
            <w:r w:rsidRPr="00695B89">
              <w:rPr>
                <w:bCs/>
                <w:iCs/>
                <w:lang w:val="en-US" w:eastAsia="en-US"/>
              </w:rPr>
              <w:t>the</w:t>
            </w:r>
            <w:proofErr w:type="gramEnd"/>
            <w:r w:rsidRPr="00695B89">
              <w:rPr>
                <w:bCs/>
                <w:iCs/>
                <w:lang w:val="en-US" w:eastAsia="en-US"/>
              </w:rPr>
              <w:t xml:space="preserve"> RSE licensee</w:t>
            </w:r>
            <w:r w:rsidRPr="00A433BE">
              <w:rPr>
                <w:bCs/>
                <w:iCs/>
                <w:lang w:val="en-US"/>
              </w:rPr>
              <w:t xml:space="preserve"> may contravene</w:t>
            </w:r>
            <w:r w:rsidRPr="00695B89">
              <w:rPr>
                <w:bCs/>
                <w:iCs/>
                <w:lang w:val="en-US"/>
              </w:rPr>
              <w:t xml:space="preserve"> </w:t>
            </w:r>
            <w:r w:rsidRPr="00695B89">
              <w:rPr>
                <w:lang w:val="en-US"/>
              </w:rPr>
              <w:t>section 29W, 29WA or 29WB.</w:t>
            </w:r>
          </w:p>
        </w:tc>
        <w:tc>
          <w:tcPr>
            <w:tcW w:w="3276" w:type="dxa"/>
          </w:tcPr>
          <w:p w:rsidR="007E7EAD" w:rsidRPr="00695B89" w:rsidRDefault="007E7EAD" w:rsidP="00F70F10">
            <w:pPr>
              <w:pStyle w:val="tabletext"/>
              <w:rPr>
                <w:rFonts w:eastAsiaTheme="minorHAnsi"/>
                <w:lang w:val="en-US" w:eastAsia="en-US"/>
              </w:rPr>
            </w:pPr>
            <w:r w:rsidRPr="00695B89">
              <w:rPr>
                <w:lang w:val="en-US" w:eastAsia="en-US"/>
              </w:rPr>
              <w:t xml:space="preserve">Before cancelling </w:t>
            </w:r>
            <w:proofErr w:type="spellStart"/>
            <w:r w:rsidRPr="00695B89">
              <w:rPr>
                <w:lang w:val="en-US" w:eastAsia="en-US"/>
              </w:rPr>
              <w:t>authorisation</w:t>
            </w:r>
            <w:proofErr w:type="spellEnd"/>
            <w:r w:rsidRPr="00695B89">
              <w:rPr>
                <w:lang w:val="en-US" w:eastAsia="en-US"/>
              </w:rPr>
              <w:t xml:space="preserve"> of a </w:t>
            </w:r>
            <w:proofErr w:type="spellStart"/>
            <w:r w:rsidRPr="00695B89">
              <w:rPr>
                <w:lang w:val="en-US" w:eastAsia="en-US"/>
              </w:rPr>
              <w:t>MySuper</w:t>
            </w:r>
            <w:proofErr w:type="spellEnd"/>
            <w:r w:rsidRPr="00695B89">
              <w:rPr>
                <w:lang w:val="en-US" w:eastAsia="en-US"/>
              </w:rPr>
              <w:t xml:space="preserve"> product, APRA </w:t>
            </w:r>
            <w:r w:rsidRPr="00A433BE">
              <w:rPr>
                <w:bCs/>
                <w:iCs/>
                <w:lang w:val="en-US" w:eastAsia="en-US"/>
              </w:rPr>
              <w:t>must no longer be satisfied</w:t>
            </w:r>
            <w:r w:rsidRPr="00695B89">
              <w:rPr>
                <w:lang w:val="en-US" w:eastAsia="en-US"/>
              </w:rPr>
              <w:t>:</w:t>
            </w:r>
          </w:p>
          <w:p w:rsidR="007E7EAD" w:rsidRPr="00695B89" w:rsidRDefault="007E7EAD" w:rsidP="00F70F10">
            <w:pPr>
              <w:pStyle w:val="tabledotpoint"/>
              <w:numPr>
                <w:ilvl w:val="0"/>
                <w:numId w:val="36"/>
              </w:numPr>
              <w:rPr>
                <w:rFonts w:eastAsiaTheme="minorHAnsi"/>
                <w:lang w:val="en-US" w:eastAsia="en-US"/>
              </w:rPr>
            </w:pPr>
            <w:r w:rsidRPr="00695B89">
              <w:rPr>
                <w:bCs/>
                <w:iCs/>
                <w:lang w:val="en-US" w:eastAsia="en-US"/>
              </w:rPr>
              <w:t>the RSE licensee (or its directors)  is likely to comply</w:t>
            </w:r>
            <w:r w:rsidRPr="00A433BE">
              <w:rPr>
                <w:bCs/>
                <w:lang w:val="en-US" w:eastAsia="en-US"/>
              </w:rPr>
              <w:t xml:space="preserve"> </w:t>
            </w:r>
            <w:r w:rsidRPr="00695B89">
              <w:rPr>
                <w:lang w:val="en-US" w:eastAsia="en-US"/>
              </w:rPr>
              <w:t xml:space="preserve">with the enhanced trustee obligations for </w:t>
            </w:r>
            <w:proofErr w:type="spellStart"/>
            <w:r w:rsidRPr="00695B89">
              <w:rPr>
                <w:lang w:val="en-US" w:eastAsia="en-US"/>
              </w:rPr>
              <w:t>MySuper</w:t>
            </w:r>
            <w:proofErr w:type="spellEnd"/>
            <w:r w:rsidRPr="00695B89">
              <w:rPr>
                <w:lang w:val="en-US" w:eastAsia="en-US"/>
              </w:rPr>
              <w:t xml:space="preserve"> products;</w:t>
            </w:r>
          </w:p>
          <w:p w:rsidR="007E7EAD" w:rsidRPr="00695B89" w:rsidRDefault="007E7EAD" w:rsidP="00F70F10">
            <w:pPr>
              <w:pStyle w:val="tabledotpoint"/>
              <w:numPr>
                <w:ilvl w:val="0"/>
                <w:numId w:val="36"/>
              </w:numPr>
              <w:rPr>
                <w:lang w:val="en-US" w:eastAsia="en-US"/>
              </w:rPr>
            </w:pPr>
            <w:r w:rsidRPr="00695B89">
              <w:rPr>
                <w:bCs/>
                <w:iCs/>
                <w:lang w:val="en-US" w:eastAsia="en-US"/>
              </w:rPr>
              <w:t>the RSE licensee is</w:t>
            </w:r>
            <w:r w:rsidRPr="00A433BE">
              <w:rPr>
                <w:bCs/>
                <w:iCs/>
                <w:lang w:val="en-US" w:eastAsia="en-US"/>
              </w:rPr>
              <w:t xml:space="preserve"> likely to comply</w:t>
            </w:r>
            <w:r w:rsidRPr="00695B89">
              <w:rPr>
                <w:lang w:val="en-US" w:eastAsia="en-US"/>
              </w:rPr>
              <w:t xml:space="preserve"> with the general fees rules and the fees rules in relation to </w:t>
            </w:r>
            <w:proofErr w:type="spellStart"/>
            <w:r w:rsidRPr="00695B89">
              <w:rPr>
                <w:lang w:val="en-US" w:eastAsia="en-US"/>
              </w:rPr>
              <w:t>MySuper</w:t>
            </w:r>
            <w:proofErr w:type="spellEnd"/>
            <w:r w:rsidRPr="00695B89">
              <w:rPr>
                <w:lang w:val="en-US" w:eastAsia="en-US"/>
              </w:rPr>
              <w:t xml:space="preserve"> products; or</w:t>
            </w:r>
          </w:p>
          <w:p w:rsidR="007E7EAD" w:rsidRPr="00695B89" w:rsidRDefault="007E7EAD" w:rsidP="00ED09D8">
            <w:pPr>
              <w:pStyle w:val="tabledotpoint"/>
              <w:numPr>
                <w:ilvl w:val="0"/>
                <w:numId w:val="36"/>
              </w:numPr>
              <w:rPr>
                <w:lang w:val="en-US" w:eastAsia="en-US"/>
              </w:rPr>
            </w:pPr>
            <w:proofErr w:type="gramStart"/>
            <w:r w:rsidRPr="00695B89">
              <w:rPr>
                <w:bCs/>
                <w:iCs/>
                <w:lang w:val="en-US" w:eastAsia="en-US"/>
              </w:rPr>
              <w:t>the</w:t>
            </w:r>
            <w:proofErr w:type="gramEnd"/>
            <w:r w:rsidRPr="00695B89">
              <w:rPr>
                <w:bCs/>
                <w:iCs/>
                <w:lang w:val="en-US" w:eastAsia="en-US"/>
              </w:rPr>
              <w:t xml:space="preserve"> RSE licensee is</w:t>
            </w:r>
            <w:r w:rsidRPr="00A433BE">
              <w:rPr>
                <w:bCs/>
                <w:iCs/>
                <w:lang w:val="en-US" w:eastAsia="en-US"/>
              </w:rPr>
              <w:t xml:space="preserve"> </w:t>
            </w:r>
            <w:r w:rsidRPr="00A433BE">
              <w:rPr>
                <w:bCs/>
                <w:iCs/>
                <w:lang w:val="en-US"/>
              </w:rPr>
              <w:t>not likely to contravene</w:t>
            </w:r>
            <w:r w:rsidRPr="00695B89">
              <w:rPr>
                <w:lang w:val="en-US"/>
              </w:rPr>
              <w:t xml:space="preserve"> section 29W, 29WA or 29WB.</w:t>
            </w:r>
          </w:p>
        </w:tc>
      </w:tr>
    </w:tbl>
    <w:p w:rsidR="007E7EAD" w:rsidRPr="00F94035" w:rsidRDefault="007E7EAD" w:rsidP="007E7EAD">
      <w:pPr>
        <w:pStyle w:val="Heading2"/>
      </w:pPr>
      <w:r w:rsidRPr="000D5EC1">
        <w:t>Detailed explanation of new law</w:t>
      </w:r>
    </w:p>
    <w:p w:rsidR="007E7EAD" w:rsidRDefault="008E65BA" w:rsidP="007E7EAD">
      <w:pPr>
        <w:pStyle w:val="base-text-paragraph"/>
        <w:numPr>
          <w:ilvl w:val="1"/>
          <w:numId w:val="24"/>
        </w:numPr>
      </w:pPr>
      <w:r>
        <w:t>The exposure draft B</w:t>
      </w:r>
      <w:r w:rsidR="007E7EAD">
        <w:t>ill amends the conditions to be satisfied in order for APRA to authorise an RSE licensee to offer a MySuper product.</w:t>
      </w:r>
    </w:p>
    <w:p w:rsidR="007E7EAD" w:rsidRDefault="007E7EAD" w:rsidP="007E7EAD">
      <w:pPr>
        <w:pStyle w:val="base-text-paragraph"/>
        <w:numPr>
          <w:ilvl w:val="1"/>
          <w:numId w:val="24"/>
        </w:numPr>
      </w:pPr>
      <w:r>
        <w:t xml:space="preserve">Under the amendments, APRA </w:t>
      </w:r>
      <w:r w:rsidRPr="000D5EC1">
        <w:t>can only authorise the RSE licensee to off</w:t>
      </w:r>
      <w:r>
        <w:t>er a MySuper product if it has no reason</w:t>
      </w:r>
      <w:r w:rsidRPr="000D5EC1">
        <w:t xml:space="preserve"> to believe that</w:t>
      </w:r>
      <w:r>
        <w:t>:</w:t>
      </w:r>
    </w:p>
    <w:p w:rsidR="007E7EAD" w:rsidRDefault="007E7EAD" w:rsidP="007E7EAD">
      <w:pPr>
        <w:pStyle w:val="dotpoint"/>
      </w:pPr>
      <w:r>
        <w:t>the</w:t>
      </w:r>
      <w:r w:rsidRPr="004B64BE">
        <w:t xml:space="preserve"> </w:t>
      </w:r>
      <w:r w:rsidRPr="000D5EC1">
        <w:t>RSE licensee</w:t>
      </w:r>
      <w:r>
        <w:t xml:space="preserve"> (or its directors) or</w:t>
      </w:r>
      <w:r w:rsidR="00A77D49">
        <w:t>,</w:t>
      </w:r>
      <w:r>
        <w:t xml:space="preserve"> where the RSE licensee is made up of individual </w:t>
      </w:r>
      <w:r w:rsidR="00A77D49">
        <w:t>trustees, any of those trustees</w:t>
      </w:r>
      <w:r>
        <w:t xml:space="preserve"> may fail to</w:t>
      </w:r>
      <w:r w:rsidRPr="000D5EC1">
        <w:t xml:space="preserve"> comply with its</w:t>
      </w:r>
      <w:r>
        <w:t xml:space="preserve"> enhanced trustee obligations; </w:t>
      </w:r>
    </w:p>
    <w:p w:rsidR="007E7EAD" w:rsidRDefault="007E7EAD" w:rsidP="007E7EAD">
      <w:pPr>
        <w:pStyle w:val="dotpoint"/>
      </w:pPr>
      <w:r>
        <w:t>the</w:t>
      </w:r>
      <w:r w:rsidRPr="004B64BE">
        <w:t xml:space="preserve"> </w:t>
      </w:r>
      <w:r w:rsidRPr="000D5EC1">
        <w:t xml:space="preserve">RSE licensee </w:t>
      </w:r>
      <w:r w:rsidRPr="00166736">
        <w:t>or</w:t>
      </w:r>
      <w:r w:rsidR="00A77D49">
        <w:t>,</w:t>
      </w:r>
      <w:r w:rsidRPr="00166736">
        <w:t xml:space="preserve"> where the RSE licensee is made up of individual trustees, any of thos</w:t>
      </w:r>
      <w:r w:rsidR="00A77D49">
        <w:t>e trustees</w:t>
      </w:r>
      <w:r w:rsidRPr="00166736">
        <w:t xml:space="preserve"> </w:t>
      </w:r>
      <w:r w:rsidRPr="000D5EC1">
        <w:t>may fail to comply with th</w:t>
      </w:r>
      <w:r w:rsidR="00A77D49">
        <w:t>e general fees ru</w:t>
      </w:r>
      <w:r w:rsidRPr="004B64BE">
        <w:t>les and the fees rules in rel</w:t>
      </w:r>
      <w:r>
        <w:t>ation to MySuper products</w:t>
      </w:r>
      <w:r w:rsidR="00557858">
        <w:t>;</w:t>
      </w:r>
      <w:r>
        <w:t xml:space="preserve"> and</w:t>
      </w:r>
    </w:p>
    <w:p w:rsidR="007E7EAD" w:rsidRDefault="007E7EAD" w:rsidP="007E7EAD">
      <w:pPr>
        <w:pStyle w:val="dotpoint"/>
      </w:pPr>
      <w:proofErr w:type="gramStart"/>
      <w:r>
        <w:t>the</w:t>
      </w:r>
      <w:proofErr w:type="gramEnd"/>
      <w:r w:rsidRPr="004B64BE">
        <w:t xml:space="preserve"> </w:t>
      </w:r>
      <w:r w:rsidRPr="000D5EC1">
        <w:t>RSE licensee</w:t>
      </w:r>
      <w:r w:rsidRPr="004B64BE">
        <w:t xml:space="preserve"> </w:t>
      </w:r>
      <w:r w:rsidRPr="00166736">
        <w:t>or</w:t>
      </w:r>
      <w:r w:rsidR="00A77D49">
        <w:t>,</w:t>
      </w:r>
      <w:r w:rsidRPr="00166736">
        <w:t xml:space="preserve"> where the RSE licensee is made up of individual trustees, any of those trustees </w:t>
      </w:r>
      <w:r w:rsidRPr="004B64BE">
        <w:t>may contravene section 29W, 29WA or 29WB.</w:t>
      </w:r>
    </w:p>
    <w:p w:rsidR="007E7EAD" w:rsidRPr="00DB7794" w:rsidRDefault="007E7EAD" w:rsidP="007E7EAD">
      <w:pPr>
        <w:pStyle w:val="base-text-paragraphnonumbers"/>
        <w:rPr>
          <w:rStyle w:val="Referencingstyle"/>
        </w:rPr>
      </w:pPr>
      <w:r>
        <w:rPr>
          <w:rStyle w:val="Referencingstyle"/>
        </w:rPr>
        <w:t xml:space="preserve">[Schedule 2, item 1, paragraphs </w:t>
      </w:r>
      <w:proofErr w:type="gramStart"/>
      <w:r>
        <w:rPr>
          <w:rStyle w:val="Referencingstyle"/>
        </w:rPr>
        <w:t>29T(</w:t>
      </w:r>
      <w:proofErr w:type="gramEnd"/>
      <w:r>
        <w:rPr>
          <w:rStyle w:val="Referencingstyle"/>
        </w:rPr>
        <w:t>1)(h), (</w:t>
      </w:r>
      <w:proofErr w:type="spellStart"/>
      <w:r>
        <w:rPr>
          <w:rStyle w:val="Referencingstyle"/>
        </w:rPr>
        <w:t>i</w:t>
      </w:r>
      <w:proofErr w:type="spellEnd"/>
      <w:r>
        <w:rPr>
          <w:rStyle w:val="Referencingstyle"/>
        </w:rPr>
        <w:t>), (j) and (k)]</w:t>
      </w:r>
    </w:p>
    <w:p w:rsidR="007E7EAD" w:rsidRDefault="007E7EAD" w:rsidP="007E7EAD">
      <w:pPr>
        <w:pStyle w:val="base-text-paragraph"/>
        <w:numPr>
          <w:ilvl w:val="1"/>
          <w:numId w:val="24"/>
        </w:numPr>
      </w:pPr>
      <w:r>
        <w:lastRenderedPageBreak/>
        <w:t>Section 29W makes it an offence for a person that makes a representation to offer a MySuper product when the RSE licensee for the fund is not authorised to offer MySuper products.</w:t>
      </w:r>
    </w:p>
    <w:p w:rsidR="007E7EAD" w:rsidRDefault="007E7EAD" w:rsidP="007E7EAD">
      <w:pPr>
        <w:pStyle w:val="base-text-paragraph"/>
        <w:numPr>
          <w:ilvl w:val="1"/>
          <w:numId w:val="24"/>
        </w:numPr>
      </w:pPr>
      <w:r>
        <w:t>Sections 29WA and 29WB mak</w:t>
      </w:r>
      <w:r w:rsidR="00A77D49">
        <w:t>es it an offence for a trustee (</w:t>
      </w:r>
      <w:r>
        <w:t>or trustees</w:t>
      </w:r>
      <w:r w:rsidR="00A77D49">
        <w:t xml:space="preserve">) to </w:t>
      </w:r>
      <w:r>
        <w:t>not treat a contribution by a member as paid into a MySuper product of the fund</w:t>
      </w:r>
      <w:r w:rsidR="00A77D49">
        <w:t>,</w:t>
      </w:r>
      <w:r>
        <w:t xml:space="preserve"> if the member</w:t>
      </w:r>
      <w:r w:rsidRPr="006158AC">
        <w:t xml:space="preserve"> </w:t>
      </w:r>
      <w:r w:rsidR="00A77D49">
        <w:t>has not given the trustee</w:t>
      </w:r>
      <w:r>
        <w:t xml:space="preserve"> </w:t>
      </w:r>
      <w:r w:rsidR="00A77D49">
        <w:t>(</w:t>
      </w:r>
      <w:r>
        <w:t>or trustees</w:t>
      </w:r>
      <w:r w:rsidR="00A77D49">
        <w:t>)</w:t>
      </w:r>
      <w:r>
        <w:t xml:space="preserve"> a direction that the contribution is to be invested under a specified investment option for all or part of the contribution.</w:t>
      </w:r>
    </w:p>
    <w:p w:rsidR="007E7EAD" w:rsidRDefault="007E7EAD" w:rsidP="007E7EAD">
      <w:pPr>
        <w:pStyle w:val="base-text-paragraph"/>
        <w:numPr>
          <w:ilvl w:val="1"/>
          <w:numId w:val="24"/>
        </w:numPr>
      </w:pPr>
      <w:r>
        <w:t xml:space="preserve">That is, </w:t>
      </w:r>
      <w:r w:rsidRPr="000D5EC1">
        <w:t xml:space="preserve">APRA </w:t>
      </w:r>
      <w:r>
        <w:t>may</w:t>
      </w:r>
      <w:r w:rsidRPr="000D5EC1">
        <w:t xml:space="preserve"> refuse </w:t>
      </w:r>
      <w:r>
        <w:t>an</w:t>
      </w:r>
      <w:r w:rsidRPr="000D5EC1">
        <w:t xml:space="preserve"> authority to offer a MySuper product if APRA considers there are one or more reasons why an RSE </w:t>
      </w:r>
      <w:r w:rsidRPr="00713450">
        <w:t>licensee may fail to comply with its obligations, rather than having to assess, on a balance of probabilitie</w:t>
      </w:r>
      <w:r>
        <w:t xml:space="preserve">s, whether the RSE licensee is </w:t>
      </w:r>
      <w:r w:rsidRPr="00713450">
        <w:t>likely to comply with its obligations</w:t>
      </w:r>
      <w:r w:rsidRPr="000D5EC1">
        <w:t xml:space="preserve">. </w:t>
      </w:r>
    </w:p>
    <w:p w:rsidR="007E7EAD" w:rsidRDefault="007E7EAD" w:rsidP="007E7EAD">
      <w:pPr>
        <w:pStyle w:val="ExampleHeading"/>
        <w:numPr>
          <w:ilvl w:val="3"/>
          <w:numId w:val="24"/>
        </w:numPr>
      </w:pPr>
    </w:p>
    <w:p w:rsidR="00A77D49" w:rsidRDefault="00A77D49" w:rsidP="00A77D49">
      <w:pPr>
        <w:pStyle w:val="exampletext"/>
      </w:pPr>
      <w:r>
        <w:t xml:space="preserve">Inka Superannuation Trustee Pty Limited (Inka) is the RSE licensee of Lighthouse Super Fund and has authority to offer a MySuper product to the members of that fund. </w:t>
      </w:r>
    </w:p>
    <w:p w:rsidR="00A77D49" w:rsidRDefault="00A77D49" w:rsidP="00A77D49">
      <w:pPr>
        <w:pStyle w:val="exampletext"/>
      </w:pPr>
      <w:r>
        <w:t xml:space="preserve">APRA considers that the way the fees have been charged to different members in Lighthouse Super Fund does not comply with the fees rules in relation to MySuper products, because the exit fee has not been charged on a cost recovery basis. Inka has indicated to APRA that it will correct the problem with the fees rules but it is not taking steps to do that as quickly as agreed with APRA. </w:t>
      </w:r>
    </w:p>
    <w:p w:rsidR="00A77D49" w:rsidRDefault="00A77D49" w:rsidP="00A77D49">
      <w:pPr>
        <w:pStyle w:val="exampletext"/>
      </w:pPr>
      <w:r>
        <w:t xml:space="preserve">Inka has lodged an application for authorisation to offer a MySuper product for a large employer in relation to another fund for which it is the trustee, </w:t>
      </w:r>
      <w:proofErr w:type="spellStart"/>
      <w:r>
        <w:t>Callista</w:t>
      </w:r>
      <w:proofErr w:type="spellEnd"/>
      <w:r>
        <w:t xml:space="preserve"> Super Fund.</w:t>
      </w:r>
    </w:p>
    <w:p w:rsidR="00A77D49" w:rsidRDefault="00A77D49" w:rsidP="00A77D49">
      <w:pPr>
        <w:pStyle w:val="exampletext"/>
      </w:pPr>
      <w:r>
        <w:t xml:space="preserve">APRA’s belief, based on its experiences dealing with Inka in relation to Inka’s response in relation to Lighthouse Super Fund, is that the MySuper product in </w:t>
      </w:r>
      <w:proofErr w:type="spellStart"/>
      <w:r>
        <w:t>Callista</w:t>
      </w:r>
      <w:proofErr w:type="spellEnd"/>
      <w:r>
        <w:t xml:space="preserve"> Super Fund will not comply with the fees rules. </w:t>
      </w:r>
    </w:p>
    <w:p w:rsidR="007E7EAD" w:rsidRDefault="00A77D49" w:rsidP="00A77D49">
      <w:pPr>
        <w:pStyle w:val="exampletext"/>
      </w:pPr>
      <w:r>
        <w:t>On the basis of this belief, APRA may refuse to grant authority to Inka to offer the large employer a MySuper product</w:t>
      </w:r>
      <w:r w:rsidR="007E7EAD">
        <w:t xml:space="preserve">. </w:t>
      </w:r>
    </w:p>
    <w:p w:rsidR="007E7EAD" w:rsidRDefault="007E7EAD" w:rsidP="007E7EAD">
      <w:pPr>
        <w:pStyle w:val="base-text-paragraph"/>
        <w:numPr>
          <w:ilvl w:val="1"/>
          <w:numId w:val="24"/>
        </w:numPr>
      </w:pPr>
      <w:r>
        <w:t>The amendments to the situations in which APRA may cancel an RSE licensee’s authority offer a MySuper product will allow APRA to cancel existing authorisation if it has a reason to believe that:</w:t>
      </w:r>
    </w:p>
    <w:p w:rsidR="007E7EAD" w:rsidRDefault="007E7EAD" w:rsidP="007E7EAD">
      <w:pPr>
        <w:pStyle w:val="dotpoint"/>
      </w:pPr>
      <w:r>
        <w:t>the</w:t>
      </w:r>
      <w:r w:rsidRPr="004B64BE">
        <w:t xml:space="preserve"> </w:t>
      </w:r>
      <w:r w:rsidRPr="000D5EC1">
        <w:t>RSE licensee</w:t>
      </w:r>
      <w:r>
        <w:t xml:space="preserve"> (or its directors) or</w:t>
      </w:r>
      <w:r w:rsidR="005F57D9">
        <w:t>,</w:t>
      </w:r>
      <w:r>
        <w:t xml:space="preserve"> where the RSE licensee is made up of individual trustees, any of those trustees may fail to comply with its enhanced trustee obligations; </w:t>
      </w:r>
    </w:p>
    <w:p w:rsidR="007E7EAD" w:rsidRDefault="007E7EAD" w:rsidP="007E7EAD">
      <w:pPr>
        <w:pStyle w:val="dotpoint"/>
      </w:pPr>
      <w:r>
        <w:lastRenderedPageBreak/>
        <w:t>the</w:t>
      </w:r>
      <w:r w:rsidRPr="004B64BE">
        <w:t xml:space="preserve"> </w:t>
      </w:r>
      <w:r w:rsidRPr="000D5EC1">
        <w:t>RSE licensee</w:t>
      </w:r>
      <w:r w:rsidRPr="00166736">
        <w:t xml:space="preserve"> or</w:t>
      </w:r>
      <w:r w:rsidR="005F57D9">
        <w:t>,</w:t>
      </w:r>
      <w:r w:rsidRPr="00166736">
        <w:t xml:space="preserve"> where the RSE licensee is made up of individual trustees, any of those trustees </w:t>
      </w:r>
      <w:r>
        <w:t xml:space="preserve"> may fail to comply with the general fees roles and the fees rules in relation to MySuper products</w:t>
      </w:r>
      <w:r w:rsidR="00557858">
        <w:t>;</w:t>
      </w:r>
      <w:r>
        <w:t xml:space="preserve"> and</w:t>
      </w:r>
    </w:p>
    <w:p w:rsidR="007E7EAD" w:rsidRDefault="007E7EAD" w:rsidP="007E7EAD">
      <w:pPr>
        <w:pStyle w:val="dotpoint"/>
      </w:pPr>
      <w:proofErr w:type="gramStart"/>
      <w:r>
        <w:t>the</w:t>
      </w:r>
      <w:proofErr w:type="gramEnd"/>
      <w:r w:rsidRPr="004B64BE">
        <w:t xml:space="preserve"> </w:t>
      </w:r>
      <w:r w:rsidRPr="000D5EC1">
        <w:t>RSE licensee</w:t>
      </w:r>
      <w:r>
        <w:t xml:space="preserve"> </w:t>
      </w:r>
      <w:r w:rsidRPr="00166736">
        <w:t>or</w:t>
      </w:r>
      <w:r w:rsidR="005F57D9">
        <w:t>,</w:t>
      </w:r>
      <w:r w:rsidRPr="00166736">
        <w:t xml:space="preserve"> where the RSE licensee is made up of individual </w:t>
      </w:r>
      <w:r w:rsidR="005F57D9">
        <w:t>trustees, any of those trustees</w:t>
      </w:r>
      <w:r w:rsidRPr="00166736">
        <w:t xml:space="preserve"> </w:t>
      </w:r>
      <w:r>
        <w:t>may contravene section 29W, 29WA or 29WB.</w:t>
      </w:r>
    </w:p>
    <w:p w:rsidR="007E7EAD" w:rsidRPr="00DB7794" w:rsidRDefault="007E7EAD" w:rsidP="007E7EAD">
      <w:pPr>
        <w:pStyle w:val="base-text-paragraphnonumbers"/>
        <w:rPr>
          <w:rStyle w:val="Referencingstyle"/>
          <w:b w:val="0"/>
          <w:i w:val="0"/>
          <w:sz w:val="22"/>
        </w:rPr>
      </w:pPr>
      <w:r>
        <w:rPr>
          <w:rStyle w:val="Referencingstyle"/>
        </w:rPr>
        <w:t xml:space="preserve">[Schedule 2, item 2, paragraphs </w:t>
      </w:r>
      <w:proofErr w:type="gramStart"/>
      <w:r>
        <w:rPr>
          <w:rStyle w:val="Referencingstyle"/>
        </w:rPr>
        <w:t>29U(</w:t>
      </w:r>
      <w:proofErr w:type="gramEnd"/>
      <w:r>
        <w:rPr>
          <w:rStyle w:val="Referencingstyle"/>
        </w:rPr>
        <w:t>2)(c), (ca), (d) and (e)]</w:t>
      </w:r>
    </w:p>
    <w:p w:rsidR="007E7EAD" w:rsidRDefault="007E7EAD" w:rsidP="007E7EAD">
      <w:pPr>
        <w:pStyle w:val="base-text-paragraph"/>
        <w:numPr>
          <w:ilvl w:val="1"/>
          <w:numId w:val="24"/>
        </w:numPr>
      </w:pPr>
      <w:r>
        <w:t>That is,</w:t>
      </w:r>
      <w:r w:rsidRPr="000D5EC1">
        <w:t xml:space="preserve"> APRA </w:t>
      </w:r>
      <w:r>
        <w:t>may</w:t>
      </w:r>
      <w:r w:rsidRPr="000D5EC1">
        <w:t xml:space="preserve"> cancel the authority to offer a MySuper product if APRA considers there are one or more reasons why an RSE licensee may fail to comply with its obligations, rather than having to assess, on a balance of probabilitie</w:t>
      </w:r>
      <w:r>
        <w:t>s, whether the RSE licensee is no longer likely</w:t>
      </w:r>
      <w:r w:rsidRPr="000D5EC1">
        <w:t xml:space="preserve"> to comply with its obligations. </w:t>
      </w:r>
    </w:p>
    <w:p w:rsidR="007E7EAD" w:rsidRDefault="007E7EAD" w:rsidP="007E7EAD">
      <w:pPr>
        <w:pStyle w:val="base-text-paragraph"/>
        <w:numPr>
          <w:ilvl w:val="1"/>
          <w:numId w:val="24"/>
        </w:numPr>
      </w:pPr>
      <w:r>
        <w:t>These align with APRA’s assessment in making decisions in relation to authorisation and cancellation of RSE licenses under sections </w:t>
      </w:r>
      <w:r w:rsidRPr="000D5EC1">
        <w:t>29D and 29G</w:t>
      </w:r>
      <w:r>
        <w:t>.</w:t>
      </w:r>
    </w:p>
    <w:p w:rsidR="007E7EAD" w:rsidRDefault="007E7EAD" w:rsidP="007E7EAD">
      <w:pPr>
        <w:pStyle w:val="ExampleHeading"/>
        <w:numPr>
          <w:ilvl w:val="3"/>
          <w:numId w:val="69"/>
        </w:numPr>
        <w:tabs>
          <w:tab w:val="num" w:pos="360"/>
        </w:tabs>
        <w:ind w:left="0"/>
      </w:pPr>
      <w:r>
        <w:t xml:space="preserve"> </w:t>
      </w:r>
    </w:p>
    <w:p w:rsidR="007E7EAD" w:rsidRDefault="007E7EAD" w:rsidP="007E7EAD">
      <w:pPr>
        <w:pStyle w:val="exampletext"/>
      </w:pPr>
      <w:proofErr w:type="spellStart"/>
      <w:r>
        <w:t>Aztek</w:t>
      </w:r>
      <w:proofErr w:type="spellEnd"/>
      <w:r>
        <w:t xml:space="preserve"> Superannuation Trustee Pty Ltd (</w:t>
      </w:r>
      <w:proofErr w:type="spellStart"/>
      <w:r>
        <w:t>Aztek</w:t>
      </w:r>
      <w:proofErr w:type="spellEnd"/>
      <w:r>
        <w:t>) is the RSE licensee of Nightfall Super Fund and has authority to offer a MySuper product to the members of that fund.</w:t>
      </w:r>
    </w:p>
    <w:p w:rsidR="007E7EAD" w:rsidRDefault="007E7EAD" w:rsidP="007E7EAD">
      <w:pPr>
        <w:pStyle w:val="exampletext"/>
      </w:pPr>
      <w:r w:rsidRPr="00124036">
        <w:t xml:space="preserve">APRA becomes aware that </w:t>
      </w:r>
      <w:proofErr w:type="spellStart"/>
      <w:r>
        <w:t>Aztek</w:t>
      </w:r>
      <w:proofErr w:type="spellEnd"/>
      <w:r>
        <w:t xml:space="preserve"> </w:t>
      </w:r>
      <w:r w:rsidR="005F57D9">
        <w:t xml:space="preserve">is charging their MySuper members </w:t>
      </w:r>
      <w:r w:rsidR="008E65BA">
        <w:t>switching fee</w:t>
      </w:r>
      <w:r w:rsidR="00557858">
        <w:t>s</w:t>
      </w:r>
      <w:r w:rsidR="005F57D9">
        <w:t xml:space="preserve"> beyond what is required for the fund to recover the associated costs.</w:t>
      </w:r>
      <w:r w:rsidRPr="00124036">
        <w:t xml:space="preserve"> </w:t>
      </w:r>
    </w:p>
    <w:p w:rsidR="007E7EAD" w:rsidRDefault="007E7EAD" w:rsidP="007E7EAD">
      <w:pPr>
        <w:pStyle w:val="exampletext"/>
      </w:pPr>
      <w:r>
        <w:t>Thus,</w:t>
      </w:r>
      <w:r w:rsidRPr="00124036">
        <w:t xml:space="preserve"> APRA </w:t>
      </w:r>
      <w:r>
        <w:t xml:space="preserve">has </w:t>
      </w:r>
      <w:r w:rsidRPr="00124036">
        <w:t>reason to believe that the RSE licensee is failing to comply with</w:t>
      </w:r>
      <w:r>
        <w:t xml:space="preserve"> its obligations, under section </w:t>
      </w:r>
      <w:r w:rsidR="005F57D9">
        <w:t>29V,</w:t>
      </w:r>
      <w:r>
        <w:t xml:space="preserve"> to </w:t>
      </w:r>
      <w:r w:rsidR="005F57D9">
        <w:t xml:space="preserve">only charge </w:t>
      </w:r>
      <w:r w:rsidR="008E65BA">
        <w:t>switching</w:t>
      </w:r>
      <w:r w:rsidR="005F57D9">
        <w:t xml:space="preserve"> fees on a cost</w:t>
      </w:r>
      <w:r w:rsidR="005F57D9">
        <w:noBreakHyphen/>
        <w:t>recovery basis</w:t>
      </w:r>
      <w:r>
        <w:t>.</w:t>
      </w:r>
    </w:p>
    <w:p w:rsidR="007E7EAD" w:rsidRPr="00E45D1B" w:rsidRDefault="005F57D9" w:rsidP="007E7EAD">
      <w:pPr>
        <w:pStyle w:val="exampletext"/>
      </w:pPr>
      <w:r>
        <w:t xml:space="preserve">On the basis of this belief, APRA may cancel </w:t>
      </w:r>
      <w:proofErr w:type="spellStart"/>
      <w:r>
        <w:t>Aztek’s</w:t>
      </w:r>
      <w:proofErr w:type="spellEnd"/>
      <w:r>
        <w:t xml:space="preserve"> MySuper authority</w:t>
      </w:r>
      <w:r w:rsidR="007E7EAD" w:rsidRPr="00124036">
        <w:t xml:space="preserve">.  </w:t>
      </w:r>
    </w:p>
    <w:p w:rsidR="007E7EAD" w:rsidRPr="00E45D1B" w:rsidRDefault="007E7EAD" w:rsidP="007E7EAD">
      <w:pPr>
        <w:pStyle w:val="Heading2"/>
      </w:pPr>
      <w:r w:rsidRPr="00E45D1B">
        <w:t>Application and transitional provisions</w:t>
      </w:r>
    </w:p>
    <w:p w:rsidR="007E7EAD" w:rsidRPr="00184C52" w:rsidRDefault="007E7EAD" w:rsidP="007E7EAD">
      <w:pPr>
        <w:pStyle w:val="base-text-paragraph"/>
        <w:numPr>
          <w:ilvl w:val="1"/>
          <w:numId w:val="24"/>
        </w:numPr>
        <w:rPr>
          <w:rStyle w:val="Referencingstyle"/>
          <w:b w:val="0"/>
          <w:i w:val="0"/>
          <w:sz w:val="22"/>
        </w:rPr>
      </w:pPr>
      <w:r>
        <w:t xml:space="preserve">The amendments </w:t>
      </w:r>
      <w:r w:rsidRPr="00E45D1B">
        <w:t>apply to all app</w:t>
      </w:r>
      <w:r>
        <w:t xml:space="preserve">lications received by APRA </w:t>
      </w:r>
      <w:r w:rsidR="008E65BA">
        <w:t xml:space="preserve">on or after </w:t>
      </w:r>
      <w:r>
        <w:t>the</w:t>
      </w:r>
      <w:r w:rsidRPr="00184C52">
        <w:t xml:space="preserve"> day </w:t>
      </w:r>
      <w:r w:rsidR="008E65BA">
        <w:t xml:space="preserve">after </w:t>
      </w:r>
      <w:r w:rsidRPr="00184C52">
        <w:t>this exposure draft Bill receives Royal Assent</w:t>
      </w:r>
      <w:r w:rsidRPr="00E45D1B">
        <w:t xml:space="preserve">. </w:t>
      </w:r>
      <w:r w:rsidRPr="00E45D1B">
        <w:rPr>
          <w:rStyle w:val="Referencingstyle"/>
        </w:rPr>
        <w:t xml:space="preserve">[Schedule </w:t>
      </w:r>
      <w:r>
        <w:rPr>
          <w:rStyle w:val="Referencingstyle"/>
        </w:rPr>
        <w:t>2,</w:t>
      </w:r>
      <w:r w:rsidRPr="00E45D1B">
        <w:rPr>
          <w:rStyle w:val="Referencingstyle"/>
        </w:rPr>
        <w:t xml:space="preserve"> item </w:t>
      </w:r>
      <w:r>
        <w:rPr>
          <w:rStyle w:val="Referencingstyle"/>
        </w:rPr>
        <w:t>3</w:t>
      </w:r>
      <w:r w:rsidRPr="00E45D1B">
        <w:rPr>
          <w:rStyle w:val="Referencingstyle"/>
        </w:rPr>
        <w:t>]</w:t>
      </w:r>
    </w:p>
    <w:p w:rsidR="007C0947" w:rsidRPr="00E45D1B" w:rsidRDefault="007C0947" w:rsidP="007C0947">
      <w:pPr>
        <w:spacing w:before="0" w:after="0"/>
      </w:pPr>
    </w:p>
    <w:p w:rsidR="00C850FF" w:rsidRDefault="00C850FF" w:rsidP="007C0947">
      <w:pPr>
        <w:spacing w:before="0" w:after="0"/>
        <w:sectPr w:rsidR="00C850FF" w:rsidSect="009E6BFE">
          <w:headerReference w:type="even" r:id="rId32"/>
          <w:headerReference w:type="default" r:id="rId33"/>
          <w:footerReference w:type="even" r:id="rId34"/>
          <w:footerReference w:type="default" r:id="rId35"/>
          <w:footerReference w:type="first" r:id="rId36"/>
          <w:pgSz w:w="11906" w:h="16838" w:code="9"/>
          <w:pgMar w:top="2466" w:right="2098" w:bottom="2466" w:left="2098" w:header="1559" w:footer="1899" w:gutter="0"/>
          <w:cols w:space="708"/>
          <w:titlePg/>
          <w:docGrid w:linePitch="360"/>
        </w:sectPr>
      </w:pPr>
    </w:p>
    <w:p w:rsidR="007C0947" w:rsidRPr="000D5EC1" w:rsidRDefault="007C0947" w:rsidP="007C0947">
      <w:pPr>
        <w:spacing w:before="0" w:after="0"/>
        <w:rPr>
          <w:rFonts w:ascii="Helvetica" w:hAnsi="Helvetica"/>
          <w:b/>
          <w:i/>
          <w:sz w:val="38"/>
        </w:rPr>
      </w:pPr>
    </w:p>
    <w:p w:rsidR="007C0947" w:rsidRPr="00F43F10" w:rsidRDefault="0029531B" w:rsidP="007C0947">
      <w:pPr>
        <w:pStyle w:val="ChapterHeading"/>
        <w:numPr>
          <w:ilvl w:val="0"/>
          <w:numId w:val="21"/>
        </w:numPr>
        <w:tabs>
          <w:tab w:val="num" w:pos="360"/>
          <w:tab w:val="num" w:pos="2410"/>
        </w:tabs>
        <w:ind w:left="0"/>
      </w:pPr>
      <w:bookmarkStart w:id="136" w:name="_Toc483916251"/>
      <w:r>
        <w:br/>
      </w:r>
      <w:bookmarkStart w:id="137" w:name="_Toc488398290"/>
      <w:bookmarkStart w:id="138" w:name="_Toc488413410"/>
      <w:r w:rsidR="007C0947" w:rsidRPr="00F43F10">
        <w:t xml:space="preserve">Director </w:t>
      </w:r>
      <w:r w:rsidR="00C850FF">
        <w:t>p</w:t>
      </w:r>
      <w:r w:rsidR="007C0947" w:rsidRPr="00F43F10">
        <w:t>enalties</w:t>
      </w:r>
      <w:bookmarkEnd w:id="136"/>
      <w:bookmarkEnd w:id="137"/>
      <w:bookmarkEnd w:id="138"/>
    </w:p>
    <w:p w:rsidR="00F70F10" w:rsidRPr="000D5EC1" w:rsidRDefault="00F70F10" w:rsidP="00F70F10">
      <w:pPr>
        <w:pStyle w:val="Heading2"/>
      </w:pPr>
      <w:r w:rsidRPr="000D5EC1">
        <w:t>Outline of chapter</w:t>
      </w:r>
    </w:p>
    <w:p w:rsidR="00F70F10" w:rsidRDefault="00F70F10" w:rsidP="00F70F10">
      <w:pPr>
        <w:pStyle w:val="base-text-paragraph"/>
        <w:numPr>
          <w:ilvl w:val="1"/>
          <w:numId w:val="24"/>
        </w:numPr>
      </w:pPr>
      <w:r w:rsidRPr="000D5EC1">
        <w:t xml:space="preserve">Schedule </w:t>
      </w:r>
      <w:r w:rsidR="00906702">
        <w:t>3</w:t>
      </w:r>
      <w:r w:rsidR="00906702" w:rsidRPr="000D5EC1">
        <w:t xml:space="preserve"> </w:t>
      </w:r>
      <w:r w:rsidRPr="000D5EC1">
        <w:t xml:space="preserve">to the </w:t>
      </w:r>
      <w:r w:rsidR="0000003E">
        <w:t xml:space="preserve">exposure draft </w:t>
      </w:r>
      <w:r w:rsidRPr="000D5EC1">
        <w:t xml:space="preserve">Bill amends the </w:t>
      </w:r>
      <w:r w:rsidR="0000003E">
        <w:rPr>
          <w:i/>
        </w:rPr>
        <w:t xml:space="preserve">Superannuation Industry (Supervision) Act 1993 </w:t>
      </w:r>
      <w:r w:rsidR="0000003E">
        <w:t>(</w:t>
      </w:r>
      <w:r w:rsidRPr="000D5EC1">
        <w:t>SIS Act</w:t>
      </w:r>
      <w:r w:rsidR="0000003E">
        <w:t>)</w:t>
      </w:r>
      <w:r w:rsidRPr="000D5EC1">
        <w:t xml:space="preserve"> to impose civil and criminal penalties on directors of RSE licensees who fail to execute their responsibilities to act in the best interests of members, or who use their position to further their own interests to the detriment of members.</w:t>
      </w:r>
    </w:p>
    <w:p w:rsidR="00F70F10" w:rsidRDefault="00F70F10" w:rsidP="00F70F10">
      <w:pPr>
        <w:pStyle w:val="base-text-paragraph"/>
        <w:numPr>
          <w:ilvl w:val="1"/>
          <w:numId w:val="24"/>
        </w:numPr>
      </w:pPr>
      <w:r>
        <w:t xml:space="preserve">All legislative reference in this Chapter </w:t>
      </w:r>
      <w:proofErr w:type="gramStart"/>
      <w:r>
        <w:t>are</w:t>
      </w:r>
      <w:proofErr w:type="gramEnd"/>
      <w:r>
        <w:t xml:space="preserve"> to the SIS Act unless otherwise stated. </w:t>
      </w:r>
    </w:p>
    <w:p w:rsidR="00F70F10" w:rsidRPr="000D5EC1" w:rsidRDefault="00F70F10" w:rsidP="00F70F10">
      <w:pPr>
        <w:pStyle w:val="Heading2"/>
      </w:pPr>
      <w:r w:rsidRPr="000D5EC1">
        <w:t>Context of amendments</w:t>
      </w:r>
    </w:p>
    <w:p w:rsidR="00F70F10" w:rsidRPr="000D5EC1" w:rsidRDefault="00F70F10" w:rsidP="00F70F10">
      <w:pPr>
        <w:pStyle w:val="base-text-paragraph"/>
        <w:numPr>
          <w:ilvl w:val="1"/>
          <w:numId w:val="24"/>
        </w:numPr>
      </w:pPr>
      <w:r w:rsidRPr="000D5EC1">
        <w:t xml:space="preserve">Recommendation 13 of the Final Report of the </w:t>
      </w:r>
      <w:r>
        <w:t>Financial System Inquiry (</w:t>
      </w:r>
      <w:r w:rsidRPr="000D5EC1">
        <w:t>FSI</w:t>
      </w:r>
      <w:r>
        <w:t>)</w:t>
      </w:r>
      <w:r w:rsidRPr="000D5EC1">
        <w:t xml:space="preserve"> dated 7 December 2014 </w:t>
      </w:r>
      <w:r w:rsidR="00557858">
        <w:t xml:space="preserve">was to align </w:t>
      </w:r>
      <w:r w:rsidRPr="000D5EC1">
        <w:t>the penalty regime for directors of trustees set out in the SIS Act with th</w:t>
      </w:r>
      <w:r w:rsidR="002D4172">
        <w:t>e penalty regime</w:t>
      </w:r>
      <w:r w:rsidRPr="000D5EC1">
        <w:t xml:space="preserve"> applying t</w:t>
      </w:r>
      <w:r>
        <w:t>o directors of responsible entities</w:t>
      </w:r>
      <w:r w:rsidRPr="000D5EC1">
        <w:t xml:space="preserve"> of managed investment schemes.</w:t>
      </w:r>
      <w:r>
        <w:t xml:space="preserve"> </w:t>
      </w:r>
      <w:r w:rsidRPr="000D5EC1">
        <w:t>The Recommendation was adopted in the Government’s response to the Inquiry.</w:t>
      </w:r>
    </w:p>
    <w:p w:rsidR="00F70F10" w:rsidRPr="000D5EC1" w:rsidRDefault="00F70F10" w:rsidP="00F70F10">
      <w:pPr>
        <w:pStyle w:val="base-text-paragraph"/>
        <w:numPr>
          <w:ilvl w:val="1"/>
          <w:numId w:val="24"/>
        </w:numPr>
      </w:pPr>
      <w:r w:rsidRPr="000D5EC1">
        <w:t xml:space="preserve">The </w:t>
      </w:r>
      <w:r w:rsidRPr="00A25201">
        <w:rPr>
          <w:i/>
        </w:rPr>
        <w:t>Corporations Act 2001</w:t>
      </w:r>
      <w:r w:rsidRPr="000D5EC1">
        <w:t xml:space="preserve"> </w:t>
      </w:r>
      <w:r w:rsidR="002D4172">
        <w:t xml:space="preserve">(Corporations Act) </w:t>
      </w:r>
      <w:r w:rsidRPr="000D5EC1">
        <w:t>sets out the duties that an officer of a responsible entity has in relation to a registered scheme. A contravention of these duties is a civil penalty provision subject to civil and criminal consequences. In broad terms these duties are:</w:t>
      </w:r>
    </w:p>
    <w:p w:rsidR="00F70F10" w:rsidRPr="000D5EC1" w:rsidRDefault="002D4172" w:rsidP="00054D4E">
      <w:pPr>
        <w:pStyle w:val="dotpoint"/>
      </w:pPr>
      <w:r>
        <w:t>t</w:t>
      </w:r>
      <w:r w:rsidR="00F70F10" w:rsidRPr="000D5EC1">
        <w:t>o act honestly and exercise a reasonable degree of care and diligence;</w:t>
      </w:r>
    </w:p>
    <w:p w:rsidR="00F70F10" w:rsidRPr="000D5EC1" w:rsidRDefault="002D4172" w:rsidP="00054D4E">
      <w:pPr>
        <w:pStyle w:val="dotpoint"/>
      </w:pPr>
      <w:r>
        <w:t>t</w:t>
      </w:r>
      <w:r w:rsidR="00F70F10" w:rsidRPr="000D5EC1">
        <w:t>o act in the best interests of the scheme’s members;</w:t>
      </w:r>
    </w:p>
    <w:p w:rsidR="00F70F10" w:rsidRPr="000D5EC1" w:rsidRDefault="002D4172" w:rsidP="00054D4E">
      <w:pPr>
        <w:pStyle w:val="dotpoint"/>
      </w:pPr>
      <w:r>
        <w:t>t</w:t>
      </w:r>
      <w:r w:rsidR="00F70F10" w:rsidRPr="000D5EC1">
        <w:t>o prioritise the interests of the scheme’s members over the interests of the responsible entity;</w:t>
      </w:r>
    </w:p>
    <w:p w:rsidR="00F70F10" w:rsidRPr="000D5EC1" w:rsidRDefault="002D4172" w:rsidP="00054D4E">
      <w:pPr>
        <w:pStyle w:val="dotpoint"/>
      </w:pPr>
      <w:r>
        <w:t>n</w:t>
      </w:r>
      <w:r w:rsidR="00F70F10" w:rsidRPr="000D5EC1">
        <w:t>ot to make use of information acquired though being an officer to gain an improper advantage, or to cause detriment to the members of the scheme;</w:t>
      </w:r>
      <w:r w:rsidR="00F70F10">
        <w:t xml:space="preserve"> and</w:t>
      </w:r>
    </w:p>
    <w:p w:rsidR="00F70F10" w:rsidRPr="000D5EC1" w:rsidRDefault="002D4172" w:rsidP="00054D4E">
      <w:pPr>
        <w:pStyle w:val="dotpoint"/>
      </w:pPr>
      <w:proofErr w:type="gramStart"/>
      <w:r>
        <w:lastRenderedPageBreak/>
        <w:t>t</w:t>
      </w:r>
      <w:r w:rsidR="00F70F10" w:rsidRPr="000D5EC1">
        <w:t>o</w:t>
      </w:r>
      <w:proofErr w:type="gramEnd"/>
      <w:r w:rsidR="00F70F10" w:rsidRPr="000D5EC1">
        <w:t xml:space="preserve"> take reasonable steps to comply with the </w:t>
      </w:r>
      <w:r w:rsidR="00F70F10" w:rsidRPr="00A433BE">
        <w:t>Corporations Act</w:t>
      </w:r>
      <w:r w:rsidR="00F70F10" w:rsidRPr="000D5EC1">
        <w:t>, the conditions imposed by the responsible entity’s financial services licence, as well as the scheme’s constitution and compliance plan</w:t>
      </w:r>
      <w:r w:rsidR="00D650E7">
        <w:t>.</w:t>
      </w:r>
    </w:p>
    <w:p w:rsidR="00F70F10" w:rsidRDefault="00F70F10" w:rsidP="00F70F10">
      <w:pPr>
        <w:pStyle w:val="Heading4"/>
      </w:pPr>
      <w:r>
        <w:t>General obligation on directors</w:t>
      </w:r>
    </w:p>
    <w:p w:rsidR="00F70F10" w:rsidRDefault="00F70F10" w:rsidP="00F70F10">
      <w:pPr>
        <w:pStyle w:val="base-text-paragraph"/>
        <w:numPr>
          <w:ilvl w:val="1"/>
          <w:numId w:val="24"/>
        </w:numPr>
      </w:pPr>
      <w:r>
        <w:t xml:space="preserve">The SIS Act contains similar provisions related to the governing rules of superannuation entities, with section 52A setting out covenants that apply to each director of a corporate trustee of a superannuation entity. These obligations are incorporated into the governing rules of a superannuation entity by subsection </w:t>
      </w:r>
      <w:proofErr w:type="gramStart"/>
      <w:r>
        <w:t>52A(</w:t>
      </w:r>
      <w:proofErr w:type="gramEnd"/>
      <w:r>
        <w:t xml:space="preserve">2) to the extent they are not already included in those governing rules. </w:t>
      </w:r>
    </w:p>
    <w:p w:rsidR="00F70F10" w:rsidRDefault="00F70F10" w:rsidP="00F70F10">
      <w:pPr>
        <w:pStyle w:val="base-text-paragraph"/>
        <w:numPr>
          <w:ilvl w:val="1"/>
          <w:numId w:val="24"/>
        </w:numPr>
      </w:pPr>
      <w:r>
        <w:t xml:space="preserve">In broad terms these obligations require each director to act in the best interests of members, and to prioritise those members’ interests over those of any other person in the event of a conflict. </w:t>
      </w:r>
    </w:p>
    <w:p w:rsidR="00F70F10" w:rsidRDefault="00F70F10" w:rsidP="00F70F10">
      <w:pPr>
        <w:pStyle w:val="base-text-paragraph"/>
        <w:numPr>
          <w:ilvl w:val="1"/>
          <w:numId w:val="24"/>
        </w:numPr>
      </w:pPr>
      <w:r>
        <w:t xml:space="preserve">Under existing law, a contravention of the governing rules of a superannuation entity is not an offence, and does not affect the validity of a transaction. This means a contravention does not result in a civil or criminal penalty. However, a contravention can give rise to a claim for loss or damages by the affected member. </w:t>
      </w:r>
    </w:p>
    <w:p w:rsidR="00F70F10" w:rsidRDefault="00F70F10" w:rsidP="00F70F10">
      <w:pPr>
        <w:pStyle w:val="Heading4"/>
      </w:pPr>
      <w:r>
        <w:t xml:space="preserve">Additional directors obligations relating to MySuper products </w:t>
      </w:r>
    </w:p>
    <w:p w:rsidR="00F70F10" w:rsidRPr="00F4080B" w:rsidRDefault="00F70F10" w:rsidP="00F70F10">
      <w:pPr>
        <w:pStyle w:val="base-text-paragraph"/>
        <w:numPr>
          <w:ilvl w:val="1"/>
          <w:numId w:val="24"/>
        </w:numPr>
      </w:pPr>
      <w:r>
        <w:t xml:space="preserve">The SIS Act imposes </w:t>
      </w:r>
      <w:r w:rsidRPr="00F4080B">
        <w:t>additional obligations on the trustees of a regulated superannuation fund that includes a MySuper product</w:t>
      </w:r>
      <w:r>
        <w:t xml:space="preserve">. In contrast to the general obligations which are incorporated as covenants in the governing rules of the superannuation entity, these additional obligations apply directly to the trustee and its directors. </w:t>
      </w:r>
    </w:p>
    <w:p w:rsidR="00F70F10" w:rsidRPr="0053703E" w:rsidRDefault="00F70F10" w:rsidP="00F70F10">
      <w:pPr>
        <w:pStyle w:val="base-text-paragraph"/>
        <w:numPr>
          <w:ilvl w:val="1"/>
          <w:numId w:val="24"/>
        </w:numPr>
      </w:pPr>
      <w:r w:rsidRPr="0053703E">
        <w:t xml:space="preserve">These obligations were introduced to supplement the general obligations that apply to the directors of corporate trustees </w:t>
      </w:r>
      <w:r>
        <w:t>of regulated</w:t>
      </w:r>
      <w:r w:rsidRPr="0053703E">
        <w:t xml:space="preserve"> superannuation funds in recognition of the fact that the beneficiaries of a fund that hold a MySuper product are default members and generally do not make active decisions about their superannuation</w:t>
      </w:r>
      <w:r>
        <w:t>.</w:t>
      </w:r>
      <w:r w:rsidRPr="0053703E">
        <w:t xml:space="preserve"> In particular, the requirement that the trustee ‘promote the financial interests’ of beneficiaries was introduced to impose a higher degree of care than the general requirement to act in the ‘best interests’ of beneficiaries.</w:t>
      </w:r>
    </w:p>
    <w:p w:rsidR="00F70F10" w:rsidRDefault="00F70F10" w:rsidP="00F70F10">
      <w:pPr>
        <w:pStyle w:val="base-text-paragraph"/>
        <w:numPr>
          <w:ilvl w:val="1"/>
          <w:numId w:val="24"/>
        </w:numPr>
      </w:pPr>
      <w:r w:rsidRPr="0053703E">
        <w:t>In addition to the obligations placed on the trustee of the superannuation fund</w:t>
      </w:r>
      <w:r>
        <w:t>,</w:t>
      </w:r>
      <w:r w:rsidRPr="0053703E">
        <w:t xml:space="preserve"> each director of the corporate trustee of a regulated superannuation fund that includes a MySuper product </w:t>
      </w:r>
      <w:r>
        <w:t xml:space="preserve">is required to </w:t>
      </w:r>
      <w:r w:rsidRPr="0053703E">
        <w:t>exercise a reasonable degree of care and diligence in ensuring that the trustee carries out its additional MySuper obligations.</w:t>
      </w:r>
    </w:p>
    <w:p w:rsidR="00F70F10" w:rsidRDefault="00F70F10" w:rsidP="00F70F10">
      <w:pPr>
        <w:pStyle w:val="base-text-paragraph"/>
        <w:numPr>
          <w:ilvl w:val="1"/>
          <w:numId w:val="24"/>
        </w:numPr>
      </w:pPr>
      <w:r>
        <w:lastRenderedPageBreak/>
        <w:t xml:space="preserve">A contravention of the obligations in relation to MySuper products is not an offence, and does not </w:t>
      </w:r>
      <w:r w:rsidR="00EB3CCB">
        <w:t xml:space="preserve">result in </w:t>
      </w:r>
      <w:r>
        <w:t xml:space="preserve">the invalidity of a transaction. </w:t>
      </w:r>
      <w:r w:rsidRPr="00997E50">
        <w:t>A contravention of these obligations can give rise to a claim for compensation or damages by an affected member but cannot result in a civil or criminal penalty.</w:t>
      </w:r>
      <w:r>
        <w:t xml:space="preserve">  </w:t>
      </w:r>
    </w:p>
    <w:p w:rsidR="00F70F10" w:rsidRPr="000D5EC1" w:rsidRDefault="00F70F10" w:rsidP="00F70F10">
      <w:pPr>
        <w:pStyle w:val="Heading2"/>
      </w:pPr>
      <w:r w:rsidRPr="000D5EC1">
        <w:t>Summary of new law</w:t>
      </w:r>
    </w:p>
    <w:p w:rsidR="00F70F10" w:rsidRDefault="00F70F10" w:rsidP="00F70F10">
      <w:pPr>
        <w:pStyle w:val="base-text-paragraph"/>
        <w:numPr>
          <w:ilvl w:val="1"/>
          <w:numId w:val="24"/>
        </w:numPr>
        <w:tabs>
          <w:tab w:val="num" w:pos="1702"/>
        </w:tabs>
      </w:pPr>
      <w:r>
        <w:t>These amendments ensure that a</w:t>
      </w:r>
      <w:r w:rsidRPr="000D5EC1">
        <w:t xml:space="preserve"> director of a RSE licensee </w:t>
      </w:r>
      <w:r>
        <w:t xml:space="preserve">can be subject </w:t>
      </w:r>
      <w:r w:rsidR="009A28F6">
        <w:t xml:space="preserve">to </w:t>
      </w:r>
      <w:r>
        <w:t xml:space="preserve">civil </w:t>
      </w:r>
      <w:r w:rsidR="009A28F6">
        <w:t xml:space="preserve">penalties </w:t>
      </w:r>
      <w:r>
        <w:t xml:space="preserve">and if they breach </w:t>
      </w:r>
      <w:r w:rsidRPr="000D5EC1">
        <w:t>the general director covenants</w:t>
      </w:r>
      <w:r w:rsidR="005C5F73">
        <w:t>,</w:t>
      </w:r>
      <w:r w:rsidRPr="000D5EC1">
        <w:t xml:space="preserve"> or</w:t>
      </w:r>
      <w:r>
        <w:t xml:space="preserve"> the </w:t>
      </w:r>
      <w:r w:rsidRPr="000D5EC1">
        <w:t>enhanced MySuper director duties.</w:t>
      </w:r>
    </w:p>
    <w:p w:rsidR="00F70F10" w:rsidRDefault="00F70F10" w:rsidP="00F70F10">
      <w:pPr>
        <w:pStyle w:val="base-text-paragraph"/>
        <w:numPr>
          <w:ilvl w:val="1"/>
          <w:numId w:val="24"/>
        </w:numPr>
        <w:tabs>
          <w:tab w:val="num" w:pos="1702"/>
        </w:tabs>
      </w:pPr>
      <w:r>
        <w:t>The amendments achieve this by specifying that a contravention of those duties or covenants is a contravention of a civil penalty provision for the purposes of Part 21.</w:t>
      </w:r>
    </w:p>
    <w:p w:rsidR="002D4172" w:rsidRPr="000D5EC1" w:rsidRDefault="002D4172" w:rsidP="00A433BE">
      <w:pPr>
        <w:pStyle w:val="Heading2"/>
      </w:pPr>
      <w:r w:rsidRPr="002D4172">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F70F10" w:rsidRPr="000D5EC1" w:rsidTr="00F70F10">
        <w:trPr>
          <w:tblHeader/>
        </w:trPr>
        <w:tc>
          <w:tcPr>
            <w:tcW w:w="3275" w:type="dxa"/>
          </w:tcPr>
          <w:p w:rsidR="00F70F10" w:rsidRPr="000D5EC1" w:rsidRDefault="00F70F10" w:rsidP="00F70F10">
            <w:pPr>
              <w:pStyle w:val="tableheaderwithintable"/>
              <w:rPr>
                <w:lang w:val="en-US" w:eastAsia="en-US"/>
              </w:rPr>
            </w:pPr>
            <w:r w:rsidRPr="000D5EC1">
              <w:rPr>
                <w:lang w:val="en-US" w:eastAsia="en-US"/>
              </w:rPr>
              <w:t>New law</w:t>
            </w:r>
          </w:p>
        </w:tc>
        <w:tc>
          <w:tcPr>
            <w:tcW w:w="3276" w:type="dxa"/>
          </w:tcPr>
          <w:p w:rsidR="00F70F10" w:rsidRPr="00A25201" w:rsidRDefault="00F70F10" w:rsidP="00F70F10">
            <w:pPr>
              <w:pStyle w:val="tableheaderwithintable"/>
              <w:rPr>
                <w:b w:val="0"/>
                <w:lang w:val="en-US" w:eastAsia="en-US"/>
              </w:rPr>
            </w:pPr>
            <w:r w:rsidRPr="00A25201">
              <w:rPr>
                <w:b w:val="0"/>
                <w:lang w:val="en-US" w:eastAsia="en-US"/>
              </w:rPr>
              <w:t>Current law</w:t>
            </w:r>
          </w:p>
        </w:tc>
      </w:tr>
      <w:tr w:rsidR="00F70F10" w:rsidRPr="000D5EC1" w:rsidTr="00F70F10">
        <w:tc>
          <w:tcPr>
            <w:tcW w:w="3275" w:type="dxa"/>
          </w:tcPr>
          <w:p w:rsidR="00F70F10" w:rsidRPr="000D5EC1" w:rsidRDefault="00F70F10" w:rsidP="00F70F10">
            <w:pPr>
              <w:pStyle w:val="tabletext"/>
              <w:rPr>
                <w:lang w:val="en-US" w:eastAsia="en-US"/>
              </w:rPr>
            </w:pPr>
            <w:r w:rsidRPr="000D5EC1">
              <w:rPr>
                <w:lang w:val="en-US" w:eastAsia="en-US"/>
              </w:rPr>
              <w:t>A person must not contravene a covenant which is, or is taken to be, contained in the governing rules of a superannuation entity.</w:t>
            </w:r>
          </w:p>
          <w:p w:rsidR="00F70F10" w:rsidRDefault="00F70F10" w:rsidP="00F70F10">
            <w:pPr>
              <w:pStyle w:val="tabletext"/>
              <w:rPr>
                <w:lang w:val="en-US" w:eastAsia="en-US"/>
              </w:rPr>
            </w:pPr>
            <w:r w:rsidRPr="000D5EC1">
              <w:rPr>
                <w:lang w:val="en-US" w:eastAsia="en-US"/>
              </w:rPr>
              <w:t xml:space="preserve">A contravention is </w:t>
            </w:r>
            <w:r>
              <w:rPr>
                <w:lang w:val="en-US" w:eastAsia="en-US"/>
              </w:rPr>
              <w:t>a civil penalty provision which may give rise to</w:t>
            </w:r>
            <w:r w:rsidRPr="000D5EC1">
              <w:rPr>
                <w:lang w:val="en-US" w:eastAsia="en-US"/>
              </w:rPr>
              <w:t xml:space="preserve"> civil and criminal consequences (as set out in </w:t>
            </w:r>
            <w:r>
              <w:rPr>
                <w:lang w:val="en-US" w:eastAsia="en-US"/>
              </w:rPr>
              <w:t>P</w:t>
            </w:r>
            <w:r w:rsidRPr="000D5EC1">
              <w:rPr>
                <w:lang w:val="en-US" w:eastAsia="en-US"/>
              </w:rPr>
              <w:t>art 21).</w:t>
            </w:r>
          </w:p>
          <w:p w:rsidR="00F70F10" w:rsidRPr="000D5EC1" w:rsidRDefault="00F70F10" w:rsidP="00F70F10">
            <w:pPr>
              <w:pStyle w:val="tabletext"/>
              <w:rPr>
                <w:lang w:val="en-US" w:eastAsia="en-US"/>
              </w:rPr>
            </w:pPr>
            <w:r>
              <w:rPr>
                <w:lang w:val="en-US" w:eastAsia="en-US"/>
              </w:rPr>
              <w:t xml:space="preserve">A contravention does not result in the invalidity of a transaction. </w:t>
            </w:r>
          </w:p>
        </w:tc>
        <w:tc>
          <w:tcPr>
            <w:tcW w:w="3276" w:type="dxa"/>
          </w:tcPr>
          <w:p w:rsidR="00F70F10" w:rsidRPr="00A25201" w:rsidRDefault="00F70F10" w:rsidP="00F70F10">
            <w:pPr>
              <w:pStyle w:val="tabletext"/>
              <w:rPr>
                <w:lang w:val="en-US" w:eastAsia="en-US"/>
              </w:rPr>
            </w:pPr>
            <w:r w:rsidRPr="00A25201">
              <w:rPr>
                <w:lang w:val="en-US" w:eastAsia="en-US"/>
              </w:rPr>
              <w:t xml:space="preserve">A person must not contravene a covenant </w:t>
            </w:r>
            <w:r w:rsidR="002D4172">
              <w:rPr>
                <w:lang w:val="en-US" w:eastAsia="en-US"/>
              </w:rPr>
              <w:t>which is</w:t>
            </w:r>
            <w:r w:rsidRPr="00A25201">
              <w:rPr>
                <w:lang w:val="en-US" w:eastAsia="en-US"/>
              </w:rPr>
              <w:t xml:space="preserve">, or </w:t>
            </w:r>
            <w:r w:rsidR="002D4172">
              <w:rPr>
                <w:lang w:val="en-US" w:eastAsia="en-US"/>
              </w:rPr>
              <w:t xml:space="preserve">is </w:t>
            </w:r>
            <w:r w:rsidRPr="00A25201">
              <w:rPr>
                <w:lang w:val="en-US" w:eastAsia="en-US"/>
              </w:rPr>
              <w:t>taken to be</w:t>
            </w:r>
            <w:r w:rsidR="002D4172">
              <w:rPr>
                <w:lang w:val="en-US" w:eastAsia="en-US"/>
              </w:rPr>
              <w:t>,</w:t>
            </w:r>
            <w:r w:rsidRPr="00A25201">
              <w:rPr>
                <w:lang w:val="en-US" w:eastAsia="en-US"/>
              </w:rPr>
              <w:t xml:space="preserve"> contained in the governing rules of a superannuation entity</w:t>
            </w:r>
            <w:r w:rsidR="002D4172">
              <w:rPr>
                <w:lang w:val="en-US" w:eastAsia="en-US"/>
              </w:rPr>
              <w:t>.</w:t>
            </w:r>
          </w:p>
          <w:p w:rsidR="00F70F10" w:rsidRPr="00A25201" w:rsidRDefault="00F70F10" w:rsidP="00F70F10">
            <w:pPr>
              <w:pStyle w:val="tabletext"/>
              <w:rPr>
                <w:lang w:val="en-US" w:eastAsia="en-US"/>
              </w:rPr>
            </w:pPr>
            <w:r w:rsidRPr="00A25201">
              <w:rPr>
                <w:lang w:val="en-US" w:eastAsia="en-US"/>
              </w:rPr>
              <w:t>A contravention is not an offence and does not result in the invalidity of a transaction.</w:t>
            </w:r>
          </w:p>
        </w:tc>
      </w:tr>
      <w:tr w:rsidR="00F70F10" w:rsidRPr="000D5EC1" w:rsidTr="00F70F10">
        <w:tc>
          <w:tcPr>
            <w:tcW w:w="3275" w:type="dxa"/>
          </w:tcPr>
          <w:p w:rsidR="00F70F10" w:rsidRPr="000D5EC1" w:rsidRDefault="00F70F10" w:rsidP="00F70F10">
            <w:pPr>
              <w:pStyle w:val="tabletext"/>
              <w:rPr>
                <w:lang w:val="en-US" w:eastAsia="en-US"/>
              </w:rPr>
            </w:pPr>
            <w:r w:rsidRPr="000D5EC1">
              <w:rPr>
                <w:lang w:val="en-US" w:eastAsia="en-US"/>
              </w:rPr>
              <w:t xml:space="preserve">A person must not contravene the obligations that are to be contained in the governing rules of an RSE licensee that relate to </w:t>
            </w:r>
            <w:proofErr w:type="spellStart"/>
            <w:r w:rsidRPr="000D5EC1">
              <w:rPr>
                <w:lang w:val="en-US" w:eastAsia="en-US"/>
              </w:rPr>
              <w:t>MySuper</w:t>
            </w:r>
            <w:proofErr w:type="spellEnd"/>
            <w:r w:rsidRPr="000D5EC1">
              <w:rPr>
                <w:lang w:val="en-US" w:eastAsia="en-US"/>
              </w:rPr>
              <w:t xml:space="preserve"> products.</w:t>
            </w:r>
          </w:p>
          <w:p w:rsidR="00F70F10" w:rsidRDefault="00F70F10" w:rsidP="00F70F10">
            <w:pPr>
              <w:pStyle w:val="tabletext"/>
              <w:rPr>
                <w:lang w:val="en-US" w:eastAsia="en-US"/>
              </w:rPr>
            </w:pPr>
            <w:r w:rsidRPr="000D5EC1">
              <w:rPr>
                <w:lang w:val="en-US" w:eastAsia="en-US"/>
              </w:rPr>
              <w:t xml:space="preserve">A contravention is a civil penalty provision which </w:t>
            </w:r>
            <w:r>
              <w:rPr>
                <w:lang w:val="en-US" w:eastAsia="en-US"/>
              </w:rPr>
              <w:t>may give rise to</w:t>
            </w:r>
            <w:r w:rsidRPr="000D5EC1">
              <w:rPr>
                <w:lang w:val="en-US" w:eastAsia="en-US"/>
              </w:rPr>
              <w:t xml:space="preserve"> civil and criminal consequences (as set out in </w:t>
            </w:r>
            <w:r>
              <w:rPr>
                <w:lang w:val="en-US" w:eastAsia="en-US"/>
              </w:rPr>
              <w:t>P</w:t>
            </w:r>
            <w:r w:rsidRPr="000D5EC1">
              <w:rPr>
                <w:lang w:val="en-US" w:eastAsia="en-US"/>
              </w:rPr>
              <w:t>art 21).</w:t>
            </w:r>
          </w:p>
          <w:p w:rsidR="00F70F10" w:rsidRPr="000D5EC1" w:rsidRDefault="00F70F10" w:rsidP="00F70F10">
            <w:pPr>
              <w:pStyle w:val="tabletext"/>
              <w:rPr>
                <w:lang w:val="en-US" w:eastAsia="en-US"/>
              </w:rPr>
            </w:pPr>
            <w:r>
              <w:rPr>
                <w:lang w:val="en-US" w:eastAsia="en-US"/>
              </w:rPr>
              <w:t xml:space="preserve">A contravention does not result in the invalidity of a transaction. </w:t>
            </w:r>
          </w:p>
        </w:tc>
        <w:tc>
          <w:tcPr>
            <w:tcW w:w="3276" w:type="dxa"/>
          </w:tcPr>
          <w:p w:rsidR="00F70F10" w:rsidRPr="00A25201" w:rsidRDefault="00F70F10" w:rsidP="00F70F10">
            <w:pPr>
              <w:pStyle w:val="tabletext"/>
              <w:rPr>
                <w:lang w:val="en-US" w:eastAsia="en-US"/>
              </w:rPr>
            </w:pPr>
            <w:r w:rsidRPr="00A25201">
              <w:rPr>
                <w:lang w:val="en-US" w:eastAsia="en-US"/>
              </w:rPr>
              <w:t xml:space="preserve">A person must not contravene the obligations that are to be contained in the governing rules of an RSE </w:t>
            </w:r>
            <w:r w:rsidR="002D4172">
              <w:rPr>
                <w:lang w:val="en-US" w:eastAsia="en-US"/>
              </w:rPr>
              <w:t>l</w:t>
            </w:r>
            <w:r w:rsidRPr="00A25201">
              <w:rPr>
                <w:lang w:val="en-US" w:eastAsia="en-US"/>
              </w:rPr>
              <w:t xml:space="preserve">icensee that relate to </w:t>
            </w:r>
            <w:proofErr w:type="spellStart"/>
            <w:r w:rsidRPr="00A25201">
              <w:rPr>
                <w:lang w:val="en-US" w:eastAsia="en-US"/>
              </w:rPr>
              <w:t>MySuper</w:t>
            </w:r>
            <w:proofErr w:type="spellEnd"/>
            <w:r w:rsidRPr="00A25201">
              <w:rPr>
                <w:lang w:val="en-US" w:eastAsia="en-US"/>
              </w:rPr>
              <w:t xml:space="preserve"> products.</w:t>
            </w:r>
          </w:p>
          <w:p w:rsidR="00F70F10" w:rsidRPr="00A25201" w:rsidRDefault="00F70F10" w:rsidP="00F70F10">
            <w:pPr>
              <w:pStyle w:val="tabletext"/>
              <w:rPr>
                <w:lang w:val="en-US" w:eastAsia="en-US"/>
              </w:rPr>
            </w:pPr>
            <w:r w:rsidRPr="00A25201">
              <w:rPr>
                <w:lang w:val="en-US" w:eastAsia="en-US"/>
              </w:rPr>
              <w:t>A contravention of these obligations is not an offence and does not result in the invalidity of a transaction.</w:t>
            </w:r>
          </w:p>
        </w:tc>
      </w:tr>
    </w:tbl>
    <w:p w:rsidR="00F70F10" w:rsidRDefault="00F70F10" w:rsidP="00F70F10">
      <w:pPr>
        <w:pStyle w:val="Heading2"/>
      </w:pPr>
      <w:r w:rsidRPr="000D5EC1">
        <w:lastRenderedPageBreak/>
        <w:t>Detailed explanation of new law</w:t>
      </w:r>
    </w:p>
    <w:p w:rsidR="00F70F10" w:rsidRDefault="00F70F10" w:rsidP="00F70F10">
      <w:pPr>
        <w:pStyle w:val="base-text-paragraph"/>
        <w:numPr>
          <w:ilvl w:val="1"/>
          <w:numId w:val="24"/>
        </w:numPr>
      </w:pPr>
      <w:r>
        <w:t xml:space="preserve">The amendments in Schedule </w:t>
      </w:r>
      <w:r w:rsidR="00906702">
        <w:t xml:space="preserve">3 </w:t>
      </w:r>
      <w:r>
        <w:t xml:space="preserve">allow civil and criminal penalties to be imposed on directors of corporate trustees of superannuation funds who fail to execute their responsibilities to act in the interests of members, or who use their position to further their own interests to the detriment of members. </w:t>
      </w:r>
    </w:p>
    <w:p w:rsidR="00F70F10" w:rsidRDefault="00F70F10" w:rsidP="00F70F10">
      <w:pPr>
        <w:pStyle w:val="base-text-paragraph"/>
        <w:numPr>
          <w:ilvl w:val="1"/>
          <w:numId w:val="24"/>
        </w:numPr>
      </w:pPr>
      <w:r>
        <w:t>To achieve this outcome, the amendments introduce a specific obligation not to contravene the general covenants that apply to each director of a corporate trustee of a superannuation entity. The amendments also specify that the obligation not to contravene these covenants is a civil penalty provision.</w:t>
      </w:r>
      <w:r w:rsidR="002D4172">
        <w:t xml:space="preserve"> </w:t>
      </w:r>
      <w:r w:rsidRPr="000D5EC1">
        <w:rPr>
          <w:rStyle w:val="Referencingstyle"/>
        </w:rPr>
        <w:t>[</w:t>
      </w:r>
      <w:r w:rsidRPr="00511F9B">
        <w:rPr>
          <w:b/>
          <w:i/>
          <w:sz w:val="18"/>
          <w:szCs w:val="18"/>
        </w:rPr>
        <w:t xml:space="preserve">Schedule </w:t>
      </w:r>
      <w:r w:rsidR="00906702">
        <w:rPr>
          <w:b/>
          <w:i/>
          <w:sz w:val="18"/>
          <w:szCs w:val="18"/>
        </w:rPr>
        <w:t>3</w:t>
      </w:r>
      <w:r w:rsidRPr="00511F9B">
        <w:rPr>
          <w:b/>
          <w:i/>
          <w:sz w:val="18"/>
          <w:szCs w:val="18"/>
        </w:rPr>
        <w:t>, item</w:t>
      </w:r>
      <w:r>
        <w:rPr>
          <w:b/>
          <w:i/>
          <w:sz w:val="18"/>
          <w:szCs w:val="18"/>
        </w:rPr>
        <w:t>s</w:t>
      </w:r>
      <w:r w:rsidRPr="00511F9B">
        <w:rPr>
          <w:b/>
          <w:i/>
          <w:sz w:val="18"/>
          <w:szCs w:val="18"/>
        </w:rPr>
        <w:t xml:space="preserve"> 2</w:t>
      </w:r>
      <w:r>
        <w:rPr>
          <w:b/>
          <w:i/>
          <w:sz w:val="18"/>
          <w:szCs w:val="18"/>
        </w:rPr>
        <w:t xml:space="preserve"> and 3</w:t>
      </w:r>
      <w:r w:rsidRPr="00511F9B">
        <w:rPr>
          <w:b/>
          <w:i/>
          <w:sz w:val="18"/>
          <w:szCs w:val="18"/>
        </w:rPr>
        <w:t>, subsection</w:t>
      </w:r>
      <w:r>
        <w:rPr>
          <w:b/>
          <w:i/>
          <w:sz w:val="18"/>
          <w:szCs w:val="18"/>
        </w:rPr>
        <w:t>s</w:t>
      </w:r>
      <w:r w:rsidRPr="00511F9B">
        <w:rPr>
          <w:b/>
          <w:i/>
          <w:sz w:val="18"/>
          <w:szCs w:val="18"/>
        </w:rPr>
        <w:t> 55AA(1)</w:t>
      </w:r>
      <w:r>
        <w:rPr>
          <w:b/>
          <w:i/>
          <w:sz w:val="18"/>
          <w:szCs w:val="18"/>
        </w:rPr>
        <w:t xml:space="preserve"> and (2) and paragraph 193(a)</w:t>
      </w:r>
      <w:r w:rsidRPr="000D5EC1">
        <w:rPr>
          <w:rStyle w:val="Referencingstyle"/>
        </w:rPr>
        <w:t>]</w:t>
      </w:r>
    </w:p>
    <w:p w:rsidR="00F70F10" w:rsidRDefault="00F70F10" w:rsidP="00F70F10">
      <w:pPr>
        <w:pStyle w:val="base-text-paragraph"/>
        <w:numPr>
          <w:ilvl w:val="1"/>
          <w:numId w:val="24"/>
        </w:numPr>
      </w:pPr>
      <w:r>
        <w:t>These relevant obligations are those contained in subsection </w:t>
      </w:r>
      <w:proofErr w:type="gramStart"/>
      <w:r>
        <w:t>52A(</w:t>
      </w:r>
      <w:proofErr w:type="gramEnd"/>
      <w:r>
        <w:t xml:space="preserve">2) which require each director to act in the best interests of members, and to prioritise those members’ interests over those of any other person in the event of a conflict. </w:t>
      </w:r>
    </w:p>
    <w:p w:rsidR="00F70F10" w:rsidRPr="00511F9B" w:rsidRDefault="00F70F10" w:rsidP="00F70F10">
      <w:pPr>
        <w:pStyle w:val="base-text-paragraph"/>
        <w:numPr>
          <w:ilvl w:val="1"/>
          <w:numId w:val="24"/>
        </w:numPr>
        <w:rPr>
          <w:rStyle w:val="Referencingstyle"/>
          <w:b w:val="0"/>
          <w:i w:val="0"/>
          <w:sz w:val="22"/>
        </w:rPr>
      </w:pPr>
      <w:r>
        <w:t xml:space="preserve">The amendments also introduce a similar obligation not to contravene the </w:t>
      </w:r>
      <w:r w:rsidRPr="00511F9B">
        <w:rPr>
          <w:rStyle w:val="Referencingstyle"/>
          <w:b w:val="0"/>
          <w:i w:val="0"/>
          <w:sz w:val="22"/>
        </w:rPr>
        <w:t>additional director obligations in relation to MySuper products</w:t>
      </w:r>
      <w:r>
        <w:rPr>
          <w:rStyle w:val="Referencingstyle"/>
          <w:b w:val="0"/>
          <w:i w:val="0"/>
          <w:sz w:val="22"/>
        </w:rPr>
        <w:t xml:space="preserve">. The contravention of this obligation is also a </w:t>
      </w:r>
      <w:r w:rsidRPr="00511F9B">
        <w:rPr>
          <w:rStyle w:val="Referencingstyle"/>
          <w:b w:val="0"/>
          <w:i w:val="0"/>
          <w:sz w:val="22"/>
        </w:rPr>
        <w:t>civil penalty provision</w:t>
      </w:r>
      <w:r w:rsidR="002D4172">
        <w:rPr>
          <w:rStyle w:val="Referencingstyle"/>
          <w:b w:val="0"/>
          <w:i w:val="0"/>
          <w:sz w:val="22"/>
        </w:rPr>
        <w:t>.</w:t>
      </w:r>
      <w:r w:rsidRPr="00511F9B">
        <w:rPr>
          <w:rStyle w:val="Referencingstyle"/>
          <w:b w:val="0"/>
          <w:i w:val="0"/>
          <w:sz w:val="22"/>
        </w:rPr>
        <w:t xml:space="preserve"> </w:t>
      </w:r>
      <w:r>
        <w:rPr>
          <w:rStyle w:val="Referencingstyle"/>
        </w:rPr>
        <w:t xml:space="preserve">[Schedule </w:t>
      </w:r>
      <w:r w:rsidR="00906702">
        <w:rPr>
          <w:rStyle w:val="Referencingstyle"/>
        </w:rPr>
        <w:t>3</w:t>
      </w:r>
      <w:r>
        <w:rPr>
          <w:rStyle w:val="Referencingstyle"/>
        </w:rPr>
        <w:t>, items 1 and 3, subsection 29VPA(2) and</w:t>
      </w:r>
      <w:r>
        <w:rPr>
          <w:b/>
          <w:i/>
          <w:sz w:val="18"/>
          <w:szCs w:val="18"/>
        </w:rPr>
        <w:t xml:space="preserve"> paragraph 193(a)</w:t>
      </w:r>
      <w:r>
        <w:rPr>
          <w:rStyle w:val="Referencingstyle"/>
        </w:rPr>
        <w:t>]</w:t>
      </w:r>
      <w:r w:rsidRPr="00511F9B">
        <w:rPr>
          <w:rStyle w:val="Referencingstyle"/>
          <w:b w:val="0"/>
          <w:i w:val="0"/>
          <w:sz w:val="22"/>
        </w:rPr>
        <w:t xml:space="preserve">   </w:t>
      </w:r>
    </w:p>
    <w:p w:rsidR="00F70F10" w:rsidRDefault="00F70F10" w:rsidP="00F70F10">
      <w:pPr>
        <w:pStyle w:val="base-text-paragraph"/>
        <w:numPr>
          <w:ilvl w:val="1"/>
          <w:numId w:val="24"/>
        </w:numPr>
      </w:pPr>
      <w:r>
        <w:t xml:space="preserve">Listing these additional obligations as civil penalty provisions means that a failure to comply with them can result in civil or criminal penalties under Part 21. In this respect, </w:t>
      </w:r>
      <w:r w:rsidRPr="00807190">
        <w:t xml:space="preserve">it is not the </w:t>
      </w:r>
      <w:r>
        <w:t xml:space="preserve">initial </w:t>
      </w:r>
      <w:r w:rsidRPr="00807190">
        <w:t xml:space="preserve">breach of the covenant </w:t>
      </w:r>
      <w:r>
        <w:t xml:space="preserve">or obligation </w:t>
      </w:r>
      <w:r w:rsidRPr="00807190">
        <w:t xml:space="preserve">that gives rise to penalties </w:t>
      </w:r>
      <w:r w:rsidR="002D4172">
        <w:rPr>
          <w:rFonts w:ascii="Calibri" w:hAnsi="Calibri"/>
        </w:rPr>
        <w:t>—</w:t>
      </w:r>
      <w:r w:rsidRPr="00807190">
        <w:t>it is the breach of the separate obligation</w:t>
      </w:r>
      <w:r>
        <w:t>s</w:t>
      </w:r>
      <w:r w:rsidRPr="00807190">
        <w:t xml:space="preserve"> </w:t>
      </w:r>
      <w:r>
        <w:t>introduced by these amendments not to contravene the related covenants and obligations.</w:t>
      </w:r>
    </w:p>
    <w:p w:rsidR="00F70F10" w:rsidRDefault="00F70F10" w:rsidP="00F70F10">
      <w:pPr>
        <w:pStyle w:val="base-text-paragraph"/>
        <w:numPr>
          <w:ilvl w:val="1"/>
          <w:numId w:val="24"/>
        </w:numPr>
      </w:pPr>
      <w:r>
        <w:t xml:space="preserve">When a contravention of a civil penalty provision occurs APRA can apply to the Court for a civil penalty order. </w:t>
      </w:r>
    </w:p>
    <w:p w:rsidR="00F70F10" w:rsidRDefault="00F70F10" w:rsidP="00F70F10">
      <w:pPr>
        <w:pStyle w:val="base-text-paragraph"/>
        <w:numPr>
          <w:ilvl w:val="1"/>
          <w:numId w:val="24"/>
        </w:numPr>
      </w:pPr>
      <w:r>
        <w:t xml:space="preserve">If the Court finds that a person has contravened one of these civil penalty provisions, the Court must declare that they have contravened the provision, and for serious contraventions may fine the person up to 2,000 penalty units. </w:t>
      </w:r>
    </w:p>
    <w:p w:rsidR="00F70F10" w:rsidRDefault="00F70F10" w:rsidP="00F70F10">
      <w:pPr>
        <w:pStyle w:val="ExampleHeading"/>
        <w:numPr>
          <w:ilvl w:val="3"/>
          <w:numId w:val="24"/>
        </w:numPr>
        <w:tabs>
          <w:tab w:val="num" w:pos="360"/>
        </w:tabs>
        <w:ind w:left="0"/>
        <w:rPr>
          <w:rStyle w:val="Referencingstyle"/>
          <w:i w:val="0"/>
          <w:sz w:val="22"/>
        </w:rPr>
      </w:pPr>
    </w:p>
    <w:p w:rsidR="00F70F10" w:rsidRPr="00915423" w:rsidRDefault="00F70F10" w:rsidP="00F70F10">
      <w:pPr>
        <w:pStyle w:val="exampletext"/>
      </w:pPr>
      <w:r w:rsidRPr="00F65F90">
        <w:t>Semi, a long serving and dominant director on the trustee board of ‘Yellow Growth Super’, deliberately limited conversations about the future sustainability of the fund. It was found that Semi did this to maintain his role on the board instead of taking into consideration the long-term best interests of fund beneficiaries. Semi could be liable to pay a civil penalty of up to 2</w:t>
      </w:r>
      <w:r w:rsidR="002D4172">
        <w:t>,</w:t>
      </w:r>
      <w:r w:rsidRPr="00F65F90">
        <w:t>000 pena</w:t>
      </w:r>
      <w:r>
        <w:t>lty units for the contravention i</w:t>
      </w:r>
      <w:r w:rsidRPr="00F65F90">
        <w:t xml:space="preserve">f </w:t>
      </w:r>
      <w:r>
        <w:lastRenderedPageBreak/>
        <w:t xml:space="preserve">APRA </w:t>
      </w:r>
      <w:r w:rsidR="009A28F6">
        <w:t xml:space="preserve">successfully </w:t>
      </w:r>
      <w:r>
        <w:t xml:space="preserve">applies to the </w:t>
      </w:r>
      <w:r w:rsidRPr="00F65F90">
        <w:t xml:space="preserve">court </w:t>
      </w:r>
      <w:r w:rsidR="009A28F6">
        <w:t>for</w:t>
      </w:r>
      <w:r w:rsidR="009A28F6" w:rsidRPr="00F65F90">
        <w:t xml:space="preserve"> </w:t>
      </w:r>
      <w:r w:rsidRPr="00F65F90">
        <w:t>a civil penalty order in respect of Semi’s actions</w:t>
      </w:r>
      <w:r>
        <w:t>.</w:t>
      </w:r>
    </w:p>
    <w:p w:rsidR="00F70F10" w:rsidRDefault="00F70F10" w:rsidP="00F70F10">
      <w:pPr>
        <w:pStyle w:val="base-text-paragraph"/>
        <w:numPr>
          <w:ilvl w:val="1"/>
          <w:numId w:val="24"/>
        </w:numPr>
        <w:rPr>
          <w:rStyle w:val="Referencingstyle"/>
          <w:b w:val="0"/>
          <w:i w:val="0"/>
          <w:sz w:val="22"/>
        </w:rPr>
      </w:pPr>
      <w:r>
        <w:t>In addition, serious breaches of the director’s duties (such as those involving intentional or fraudulent contraventions) may constitute a criminal offence punishable by up to 5 years imprisonment.</w:t>
      </w:r>
    </w:p>
    <w:p w:rsidR="00F70F10" w:rsidRPr="003623F3" w:rsidRDefault="00F70F10" w:rsidP="00F70F10">
      <w:pPr>
        <w:pStyle w:val="base-text-paragraph"/>
        <w:numPr>
          <w:ilvl w:val="1"/>
          <w:numId w:val="24"/>
        </w:numPr>
        <w:rPr>
          <w:rStyle w:val="Referencingstyle"/>
          <w:b w:val="0"/>
          <w:i w:val="0"/>
          <w:sz w:val="22"/>
        </w:rPr>
      </w:pPr>
      <w:r>
        <w:rPr>
          <w:rStyle w:val="Referencingstyle"/>
          <w:b w:val="0"/>
          <w:i w:val="0"/>
          <w:sz w:val="22"/>
        </w:rPr>
        <w:t xml:space="preserve">The consequences for failing to comply with the new obligation not to contravene the general directors duties apply in addition </w:t>
      </w:r>
      <w:r w:rsidR="009A28F6">
        <w:rPr>
          <w:rStyle w:val="Referencingstyle"/>
          <w:b w:val="0"/>
          <w:i w:val="0"/>
          <w:sz w:val="22"/>
        </w:rPr>
        <w:t xml:space="preserve">to </w:t>
      </w:r>
      <w:r>
        <w:rPr>
          <w:rStyle w:val="Referencingstyle"/>
          <w:b w:val="0"/>
          <w:i w:val="0"/>
          <w:sz w:val="22"/>
        </w:rPr>
        <w:t xml:space="preserve">any consequences that may already apply for contravening the actual duties under section 55 (which is about giving rise to a </w:t>
      </w:r>
      <w:r>
        <w:t>claim for loss or damages).</w:t>
      </w:r>
      <w:r>
        <w:rPr>
          <w:rStyle w:val="Referencingstyle"/>
          <w:b w:val="0"/>
          <w:i w:val="0"/>
          <w:sz w:val="22"/>
        </w:rPr>
        <w:t xml:space="preserve"> </w:t>
      </w:r>
      <w:r w:rsidRPr="000D5EC1">
        <w:rPr>
          <w:rStyle w:val="Referencingstyle"/>
        </w:rPr>
        <w:t>[</w:t>
      </w:r>
      <w:r w:rsidRPr="000D5EC1">
        <w:rPr>
          <w:b/>
          <w:i/>
          <w:sz w:val="18"/>
          <w:szCs w:val="18"/>
        </w:rPr>
        <w:t xml:space="preserve">Schedule </w:t>
      </w:r>
      <w:r w:rsidR="00DE49BE">
        <w:rPr>
          <w:b/>
          <w:i/>
          <w:sz w:val="18"/>
          <w:szCs w:val="18"/>
        </w:rPr>
        <w:t>3</w:t>
      </w:r>
      <w:r>
        <w:rPr>
          <w:b/>
          <w:i/>
          <w:sz w:val="18"/>
          <w:szCs w:val="18"/>
        </w:rPr>
        <w:t>, item 2, subsection 55AA(4)]</w:t>
      </w:r>
      <w:r w:rsidRPr="003623F3">
        <w:rPr>
          <w:rStyle w:val="Referencingstyle"/>
          <w:b w:val="0"/>
          <w:i w:val="0"/>
          <w:sz w:val="22"/>
        </w:rPr>
        <w:t xml:space="preserve"> </w:t>
      </w:r>
    </w:p>
    <w:p w:rsidR="00F70F10" w:rsidRPr="009E6BFE" w:rsidRDefault="00F70F10" w:rsidP="00F70F10">
      <w:pPr>
        <w:pStyle w:val="base-text-paragraph"/>
        <w:numPr>
          <w:ilvl w:val="1"/>
          <w:numId w:val="24"/>
        </w:numPr>
      </w:pPr>
      <w:r>
        <w:rPr>
          <w:rStyle w:val="Referencingstyle"/>
          <w:b w:val="0"/>
          <w:i w:val="0"/>
          <w:sz w:val="22"/>
        </w:rPr>
        <w:t>Consistent with other obligations under the SIS Act, a contravention of these additional obligations do not result in the invalidity of a transaction.</w:t>
      </w:r>
      <w:r w:rsidRPr="003C5E51">
        <w:rPr>
          <w:rStyle w:val="Referencingstyle"/>
        </w:rPr>
        <w:t xml:space="preserve"> </w:t>
      </w:r>
      <w:r w:rsidRPr="000D5EC1">
        <w:rPr>
          <w:rStyle w:val="Referencingstyle"/>
        </w:rPr>
        <w:t>[</w:t>
      </w:r>
      <w:r w:rsidRPr="000D5EC1">
        <w:rPr>
          <w:b/>
          <w:i/>
          <w:sz w:val="18"/>
          <w:szCs w:val="18"/>
        </w:rPr>
        <w:t xml:space="preserve">Schedule </w:t>
      </w:r>
      <w:r w:rsidR="00DE49BE">
        <w:rPr>
          <w:b/>
          <w:i/>
          <w:sz w:val="18"/>
          <w:szCs w:val="18"/>
        </w:rPr>
        <w:t>3</w:t>
      </w:r>
      <w:r>
        <w:rPr>
          <w:b/>
          <w:i/>
          <w:sz w:val="18"/>
          <w:szCs w:val="18"/>
        </w:rPr>
        <w:t xml:space="preserve">, items 1 and 2, subsections 29VPA(2) and 55AA(3)] </w:t>
      </w:r>
    </w:p>
    <w:p w:rsidR="00F70F10" w:rsidRPr="000D5EC1" w:rsidRDefault="00F70F10" w:rsidP="00F70F10">
      <w:pPr>
        <w:pStyle w:val="Heading2"/>
      </w:pPr>
      <w:r w:rsidRPr="000D5EC1">
        <w:t>Application and transitional provisions</w:t>
      </w:r>
    </w:p>
    <w:p w:rsidR="007C0947" w:rsidRDefault="00F70F10" w:rsidP="00F70F10">
      <w:pPr>
        <w:spacing w:before="0" w:after="0"/>
      </w:pPr>
      <w:r w:rsidRPr="00E45D1B">
        <w:t>The amendment appl</w:t>
      </w:r>
      <w:r w:rsidR="002D4172">
        <w:t>ies</w:t>
      </w:r>
      <w:r w:rsidRPr="00E45D1B">
        <w:t xml:space="preserve"> in relation to contraventions occurring on or after commencement of this Schedule. </w:t>
      </w:r>
      <w:r>
        <w:rPr>
          <w:rStyle w:val="Referencingstyle"/>
        </w:rPr>
        <w:t xml:space="preserve">[Schedule </w:t>
      </w:r>
      <w:r w:rsidR="00DE49BE">
        <w:rPr>
          <w:rStyle w:val="Referencingstyle"/>
        </w:rPr>
        <w:t>3</w:t>
      </w:r>
      <w:r>
        <w:rPr>
          <w:rStyle w:val="Referencingstyle"/>
        </w:rPr>
        <w:t>, item 4]</w:t>
      </w:r>
      <w:r w:rsidR="007C0947" w:rsidRPr="00E45D1B">
        <w:t xml:space="preserve"> </w:t>
      </w:r>
    </w:p>
    <w:p w:rsidR="00C850FF" w:rsidRDefault="00C850FF" w:rsidP="00F70F10">
      <w:pPr>
        <w:spacing w:before="0" w:after="0"/>
        <w:sectPr w:rsidR="00C850FF" w:rsidSect="00C850FF">
          <w:headerReference w:type="default" r:id="rId37"/>
          <w:type w:val="oddPage"/>
          <w:pgSz w:w="11906" w:h="16838" w:code="9"/>
          <w:pgMar w:top="2466" w:right="2098" w:bottom="2466" w:left="2098" w:header="1559" w:footer="1899" w:gutter="0"/>
          <w:cols w:space="708"/>
          <w:titlePg/>
          <w:docGrid w:linePitch="360"/>
        </w:sectPr>
      </w:pPr>
    </w:p>
    <w:p w:rsidR="007C0947" w:rsidRPr="00C36418" w:rsidRDefault="007C0947" w:rsidP="007C0947">
      <w:pPr>
        <w:pStyle w:val="ChapterHeading"/>
        <w:numPr>
          <w:ilvl w:val="0"/>
          <w:numId w:val="21"/>
        </w:numPr>
        <w:tabs>
          <w:tab w:val="num" w:pos="360"/>
        </w:tabs>
        <w:ind w:left="0"/>
      </w:pPr>
      <w:r w:rsidRPr="000D5EC1">
        <w:lastRenderedPageBreak/>
        <w:br/>
      </w:r>
      <w:bookmarkStart w:id="139" w:name="_Toc483916252"/>
      <w:bookmarkStart w:id="140" w:name="_Toc488398291"/>
      <w:bookmarkStart w:id="141" w:name="_Toc488413411"/>
      <w:r w:rsidRPr="00F43F10">
        <w:t>Approval to own or control an RSE licensee</w:t>
      </w:r>
      <w:bookmarkEnd w:id="139"/>
      <w:bookmarkEnd w:id="140"/>
      <w:bookmarkEnd w:id="141"/>
    </w:p>
    <w:p w:rsidR="007C0947" w:rsidRPr="000D5EC1" w:rsidRDefault="007C0947" w:rsidP="007C0947">
      <w:pPr>
        <w:pStyle w:val="Heading2"/>
      </w:pPr>
      <w:r w:rsidRPr="000D5EC1">
        <w:t>Outline of chapter</w:t>
      </w:r>
    </w:p>
    <w:p w:rsidR="007C0947" w:rsidRPr="000D5EC1" w:rsidRDefault="007C0947" w:rsidP="007C0947">
      <w:pPr>
        <w:pStyle w:val="base-text-paragraph"/>
        <w:numPr>
          <w:ilvl w:val="1"/>
          <w:numId w:val="24"/>
        </w:numPr>
      </w:pPr>
      <w:r w:rsidRPr="000D5EC1">
        <w:t xml:space="preserve">Schedule </w:t>
      </w:r>
      <w:r w:rsidR="00480B40">
        <w:t>4</w:t>
      </w:r>
      <w:r w:rsidRPr="000D5EC1">
        <w:t xml:space="preserve"> to the </w:t>
      </w:r>
      <w:r w:rsidR="00F9021B">
        <w:t xml:space="preserve">exposure draft </w:t>
      </w:r>
      <w:r w:rsidRPr="000D5EC1">
        <w:t xml:space="preserve">Bill amends the </w:t>
      </w:r>
      <w:r w:rsidR="00082D21">
        <w:rPr>
          <w:i/>
        </w:rPr>
        <w:t xml:space="preserve">Superannuation Industry (Supervision) Act 1993 </w:t>
      </w:r>
      <w:r w:rsidR="00082D21">
        <w:t>(</w:t>
      </w:r>
      <w:r w:rsidRPr="000D5EC1">
        <w:t>SIS Act</w:t>
      </w:r>
      <w:r w:rsidR="00082D21">
        <w:t>)</w:t>
      </w:r>
      <w:r w:rsidRPr="000D5EC1">
        <w:t xml:space="preserve"> to strengthen APRA’s supervision and enforcement powers when a change of ownership or control of a RSE licensee takes place. The amendments will reduce the potential for fraud against members of </w:t>
      </w:r>
      <w:r w:rsidR="00F9021B">
        <w:t>registrable superannuation entities</w:t>
      </w:r>
      <w:r w:rsidR="00F9021B" w:rsidRPr="000D5EC1">
        <w:t xml:space="preserve"> </w:t>
      </w:r>
      <w:r w:rsidR="00584BAA">
        <w:t xml:space="preserve">(RSEs) </w:t>
      </w:r>
      <w:r w:rsidRPr="000D5EC1">
        <w:t xml:space="preserve">by requiring persons to obtain approval from APRA to own or hold a controlling stake in an RSE licensee.  </w:t>
      </w:r>
    </w:p>
    <w:p w:rsidR="007C0947" w:rsidRPr="000D5EC1" w:rsidRDefault="007C0947" w:rsidP="007C0947">
      <w:pPr>
        <w:pStyle w:val="base-text-paragraph"/>
        <w:numPr>
          <w:ilvl w:val="1"/>
          <w:numId w:val="24"/>
        </w:numPr>
      </w:pPr>
      <w:r w:rsidRPr="000D5EC1">
        <w:t xml:space="preserve">The amendments provide APRA with </w:t>
      </w:r>
      <w:r w:rsidR="00A35EE7">
        <w:t xml:space="preserve">the </w:t>
      </w:r>
      <w:r w:rsidRPr="000D5EC1">
        <w:t>power to:</w:t>
      </w:r>
    </w:p>
    <w:p w:rsidR="007C0947" w:rsidRPr="000D5EC1" w:rsidRDefault="007C0947" w:rsidP="00F9021B">
      <w:pPr>
        <w:pStyle w:val="dotpoint"/>
      </w:pPr>
      <w:r w:rsidRPr="000D5EC1">
        <w:t>refuse authority for a change in ownership where it has concerns about the new owner;</w:t>
      </w:r>
    </w:p>
    <w:p w:rsidR="007C0947" w:rsidRPr="000D5EC1" w:rsidRDefault="007C0947" w:rsidP="00F9021B">
      <w:pPr>
        <w:pStyle w:val="dotpoint"/>
      </w:pPr>
      <w:r w:rsidRPr="000D5EC1">
        <w:t xml:space="preserve">give a direction to a person to relinquish control of a </w:t>
      </w:r>
      <w:r w:rsidR="00AF74C1">
        <w:t>RSE licensee,</w:t>
      </w:r>
      <w:r w:rsidRPr="000D5EC1">
        <w:t xml:space="preserve"> whether control is held via the amount of shares held, or exists in practice; </w:t>
      </w:r>
      <w:r w:rsidR="00AF74C1">
        <w:t>and</w:t>
      </w:r>
    </w:p>
    <w:p w:rsidR="007C0947" w:rsidRDefault="007C0947" w:rsidP="00F9021B">
      <w:pPr>
        <w:pStyle w:val="dotpoint"/>
      </w:pPr>
      <w:proofErr w:type="gramStart"/>
      <w:r w:rsidRPr="000D5EC1">
        <w:t>remove</w:t>
      </w:r>
      <w:proofErr w:type="gramEnd"/>
      <w:r w:rsidRPr="000D5EC1">
        <w:t xml:space="preserve"> or suspend an RSE license</w:t>
      </w:r>
      <w:r w:rsidRPr="00E45D1B">
        <w:t>e</w:t>
      </w:r>
      <w:r w:rsidRPr="000D5EC1">
        <w:t xml:space="preserve"> where it is subject to the control of its owner.</w:t>
      </w:r>
    </w:p>
    <w:p w:rsidR="00E076ED" w:rsidRDefault="00E076ED" w:rsidP="00E076ED">
      <w:pPr>
        <w:pStyle w:val="base-text-paragraph"/>
      </w:pPr>
      <w:r w:rsidRPr="000D5EC1">
        <w:t xml:space="preserve">All legislative references in this </w:t>
      </w:r>
      <w:r>
        <w:t>c</w:t>
      </w:r>
      <w:r w:rsidRPr="000D5EC1">
        <w:t xml:space="preserve">hapter are to </w:t>
      </w:r>
      <w:r>
        <w:t>the SIS Act</w:t>
      </w:r>
      <w:r w:rsidRPr="000D5EC1">
        <w:rPr>
          <w:i/>
        </w:rPr>
        <w:t xml:space="preserve"> </w:t>
      </w:r>
      <w:r w:rsidRPr="000D5EC1">
        <w:t>unless otherwise indicated</w:t>
      </w:r>
      <w:r>
        <w:t>.</w:t>
      </w:r>
    </w:p>
    <w:p w:rsidR="007C0947" w:rsidRPr="000D5EC1" w:rsidRDefault="007C0947" w:rsidP="007C0947">
      <w:pPr>
        <w:pStyle w:val="Heading2"/>
      </w:pPr>
      <w:r w:rsidRPr="000D5EC1">
        <w:t>Context of amendments</w:t>
      </w:r>
    </w:p>
    <w:p w:rsidR="007C0947" w:rsidRDefault="007C0947" w:rsidP="00E076ED">
      <w:pPr>
        <w:pStyle w:val="base-text-paragraph"/>
        <w:numPr>
          <w:ilvl w:val="1"/>
          <w:numId w:val="24"/>
        </w:numPr>
      </w:pPr>
      <w:r w:rsidRPr="000D5EC1">
        <w:t xml:space="preserve">In 2009, </w:t>
      </w:r>
      <w:r w:rsidR="00584BAA">
        <w:t>approximately</w:t>
      </w:r>
      <w:r w:rsidRPr="000D5EC1">
        <w:t xml:space="preserve"> $176 million of member's superannuation benefits was lost following the collapse of Trio Capital. In response the Australian Parliament launched a Parliamentary Joint Committee (Committee) Inquiry into the collapse of Trio Capital. </w:t>
      </w:r>
      <w:r w:rsidR="00F9021B">
        <w:t>In t</w:t>
      </w:r>
      <w:r w:rsidRPr="000D5EC1">
        <w:t>he Committee</w:t>
      </w:r>
      <w:r w:rsidR="00F9021B">
        <w:t>’s report (released in May 2012), it</w:t>
      </w:r>
      <w:r w:rsidRPr="000D5EC1">
        <w:t xml:space="preserve"> recommended that APRA conduct an internal assessment of the adequacy and timeliness of its checks to monitor the ownership and control of a RSE licensee.</w:t>
      </w:r>
    </w:p>
    <w:p w:rsidR="00F9021B" w:rsidRDefault="007C0947" w:rsidP="00C26165">
      <w:pPr>
        <w:pStyle w:val="base-text-paragraph"/>
        <w:numPr>
          <w:ilvl w:val="1"/>
          <w:numId w:val="24"/>
        </w:numPr>
      </w:pPr>
      <w:r w:rsidRPr="000D5EC1">
        <w:t>APRA</w:t>
      </w:r>
      <w:r w:rsidR="004875C9">
        <w:t>,</w:t>
      </w:r>
      <w:r w:rsidRPr="00E45D1B">
        <w:t xml:space="preserve"> following its </w:t>
      </w:r>
      <w:r w:rsidRPr="000D5EC1">
        <w:t>internal assessment</w:t>
      </w:r>
      <w:r w:rsidR="004875C9">
        <w:t>,</w:t>
      </w:r>
      <w:r w:rsidRPr="000D5EC1">
        <w:t xml:space="preserve"> </w:t>
      </w:r>
      <w:r w:rsidRPr="00E45D1B">
        <w:t xml:space="preserve">concluded </w:t>
      </w:r>
      <w:r w:rsidRPr="000D5EC1">
        <w:t xml:space="preserve">that more powers to monitor the ownership and control of a RSE licensee </w:t>
      </w:r>
      <w:r w:rsidRPr="00E45D1B">
        <w:t xml:space="preserve">were </w:t>
      </w:r>
      <w:r w:rsidRPr="00E45D1B">
        <w:lastRenderedPageBreak/>
        <w:t>need</w:t>
      </w:r>
      <w:r w:rsidR="004875C9">
        <w:t>ed</w:t>
      </w:r>
      <w:r w:rsidR="00DE54F7">
        <w:t xml:space="preserve"> </w:t>
      </w:r>
      <w:r w:rsidR="00DE54F7" w:rsidRPr="00EE7989">
        <w:t xml:space="preserve">to ensure that RSE licensees are </w:t>
      </w:r>
      <w:r w:rsidR="00DE54F7">
        <w:t xml:space="preserve">best placed to </w:t>
      </w:r>
      <w:r w:rsidR="00DE54F7" w:rsidRPr="000D5EC1">
        <w:t>carry</w:t>
      </w:r>
      <w:r w:rsidR="00DE54F7" w:rsidRPr="00EE7989">
        <w:t xml:space="preserve"> out their duties free of any influence that may not be in the best interests of the members of their fund</w:t>
      </w:r>
      <w:r w:rsidR="00E8520D">
        <w:t xml:space="preserve">. </w:t>
      </w:r>
    </w:p>
    <w:p w:rsidR="00207F87" w:rsidRDefault="00207F87" w:rsidP="00207F87">
      <w:pPr>
        <w:pStyle w:val="base-text-paragraph"/>
        <w:numPr>
          <w:ilvl w:val="1"/>
          <w:numId w:val="24"/>
        </w:numPr>
      </w:pPr>
      <w:r>
        <w:t xml:space="preserve">Trustees of superannuation funds are required to obtain a </w:t>
      </w:r>
      <w:r w:rsidR="002347FC">
        <w:t>licenc</w:t>
      </w:r>
      <w:r>
        <w:t xml:space="preserve">e before they can operate as a trustee of a </w:t>
      </w:r>
      <w:r w:rsidR="00584BAA">
        <w:t xml:space="preserve">registered </w:t>
      </w:r>
      <w:r>
        <w:t>super</w:t>
      </w:r>
      <w:r w:rsidR="00584BAA">
        <w:t>annuation</w:t>
      </w:r>
      <w:r>
        <w:t xml:space="preserve"> fund. </w:t>
      </w:r>
    </w:p>
    <w:p w:rsidR="00F74954" w:rsidRDefault="00F74954" w:rsidP="00D473B6">
      <w:pPr>
        <w:pStyle w:val="base-text-paragraph"/>
        <w:numPr>
          <w:ilvl w:val="1"/>
          <w:numId w:val="24"/>
        </w:numPr>
      </w:pPr>
      <w:r>
        <w:t>Currently,</w:t>
      </w:r>
      <w:r w:rsidRPr="00EE7989">
        <w:t xml:space="preserve"> when a person applies for an RSE licence, APRA is able to consider whether that person is suitable </w:t>
      </w:r>
      <w:r>
        <w:t>and would comply with RSE licensee law</w:t>
      </w:r>
      <w:r w:rsidRPr="000D5EC1">
        <w:t xml:space="preserve"> </w:t>
      </w:r>
      <w:r w:rsidRPr="00EE7989">
        <w:t xml:space="preserve">through the application process.  </w:t>
      </w:r>
    </w:p>
    <w:p w:rsidR="00F74954" w:rsidRDefault="00F74954" w:rsidP="00F74954">
      <w:pPr>
        <w:pStyle w:val="base-text-paragraph"/>
        <w:numPr>
          <w:ilvl w:val="1"/>
          <w:numId w:val="24"/>
        </w:numPr>
      </w:pPr>
      <w:r>
        <w:t xml:space="preserve">That is, </w:t>
      </w:r>
      <w:r w:rsidR="00FA7E81">
        <w:t>in order to</w:t>
      </w:r>
      <w:r>
        <w:t xml:space="preserve"> </w:t>
      </w:r>
      <w:r w:rsidR="00D709AC">
        <w:t>obtain an RSE licenc</w:t>
      </w:r>
      <w:r>
        <w:t xml:space="preserve">e, the trustee or director must comply with certain conditions, including meeting minimum standards of fitness and propriety and maintaining risk management strategies and plans governing each fund under their control.  </w:t>
      </w:r>
    </w:p>
    <w:p w:rsidR="00F74954" w:rsidRDefault="00F74954" w:rsidP="00F74954">
      <w:pPr>
        <w:pStyle w:val="base-text-paragraph"/>
        <w:numPr>
          <w:ilvl w:val="1"/>
          <w:numId w:val="24"/>
        </w:numPr>
      </w:pPr>
      <w:r>
        <w:t xml:space="preserve"> APRA has the power </w:t>
      </w:r>
      <w:r w:rsidR="00584BAA">
        <w:t xml:space="preserve">to </w:t>
      </w:r>
      <w:r>
        <w:t xml:space="preserve">impose additional conditions upon those licences, vary or revoke the conditions or cancel </w:t>
      </w:r>
      <w:r w:rsidR="00CC788F">
        <w:t>the licences</w:t>
      </w:r>
      <w:r>
        <w:t>.</w:t>
      </w:r>
      <w:r w:rsidRPr="000D5EC1">
        <w:t xml:space="preserve"> </w:t>
      </w:r>
      <w:r>
        <w:t xml:space="preserve">RSE licences may be granted to constitutional corporations, other bodies corporate and groups of individual trustees. </w:t>
      </w:r>
    </w:p>
    <w:p w:rsidR="00C26165" w:rsidRDefault="00C26165" w:rsidP="00207F87">
      <w:pPr>
        <w:pStyle w:val="base-text-paragraph"/>
        <w:numPr>
          <w:ilvl w:val="1"/>
          <w:numId w:val="24"/>
        </w:numPr>
      </w:pPr>
      <w:r>
        <w:t>W</w:t>
      </w:r>
      <w:r w:rsidRPr="000D5EC1">
        <w:t>h</w:t>
      </w:r>
      <w:r>
        <w:t xml:space="preserve">ile APRA assesses the suitability of persons to hold an RSE licence when an application is made, </w:t>
      </w:r>
      <w:r w:rsidR="00BD441B">
        <w:t>it is</w:t>
      </w:r>
      <w:r w:rsidRPr="000D5EC1">
        <w:t xml:space="preserve"> currently unable to consider the suitability of </w:t>
      </w:r>
      <w:r>
        <w:t>trustees or directors who may</w:t>
      </w:r>
      <w:r w:rsidRPr="000D5EC1">
        <w:t xml:space="preserve"> subsequently obtain ownership or control (including</w:t>
      </w:r>
      <w:r w:rsidR="00584BAA">
        <w:t xml:space="preserve"> practical control) of the RSE l</w:t>
      </w:r>
      <w:r w:rsidRPr="000D5EC1">
        <w:t>icensee.</w:t>
      </w:r>
      <w:r>
        <w:t xml:space="preserve"> This hinders </w:t>
      </w:r>
      <w:r w:rsidR="00BD441B">
        <w:t>APRA’s</w:t>
      </w:r>
      <w:r>
        <w:t xml:space="preserve"> ability to monitor whether RSE licensees continue to carry out their duties free of any influence that may not be in the best interests of </w:t>
      </w:r>
      <w:r w:rsidR="00584BAA">
        <w:t>beneficiaries</w:t>
      </w:r>
      <w:r>
        <w:t>.</w:t>
      </w:r>
    </w:p>
    <w:p w:rsidR="00F74954" w:rsidRDefault="00FA7E81" w:rsidP="00C26165">
      <w:pPr>
        <w:pStyle w:val="base-text-paragraph"/>
        <w:numPr>
          <w:ilvl w:val="1"/>
          <w:numId w:val="24"/>
        </w:numPr>
      </w:pPr>
      <w:r>
        <w:t xml:space="preserve">This means, </w:t>
      </w:r>
      <w:r w:rsidR="00F74954">
        <w:t xml:space="preserve">after an RSE licence has been granted, </w:t>
      </w:r>
      <w:r w:rsidR="00F74954" w:rsidRPr="00EE7989">
        <w:t xml:space="preserve">APRA </w:t>
      </w:r>
      <w:r w:rsidR="00F74954">
        <w:t>has no ability</w:t>
      </w:r>
      <w:r w:rsidR="00F74954" w:rsidRPr="00EE7989">
        <w:t xml:space="preserve"> to </w:t>
      </w:r>
      <w:r w:rsidR="00F74954">
        <w:t>prevent</w:t>
      </w:r>
      <w:r w:rsidR="00F74954" w:rsidRPr="00EE7989">
        <w:t xml:space="preserve"> the </w:t>
      </w:r>
      <w:r w:rsidR="00F74954">
        <w:t>sale</w:t>
      </w:r>
      <w:r w:rsidR="00F74954" w:rsidRPr="00EE7989">
        <w:t xml:space="preserve"> of </w:t>
      </w:r>
      <w:r w:rsidR="00F74954">
        <w:t>an RSE licensee to a party which may affect</w:t>
      </w:r>
      <w:r w:rsidR="00F74954" w:rsidRPr="00EE7989">
        <w:t xml:space="preserve"> the </w:t>
      </w:r>
      <w:r w:rsidR="00F74954">
        <w:t>licensee’s ability to comply with its obligations</w:t>
      </w:r>
      <w:r w:rsidR="00F74954" w:rsidRPr="00EE7989">
        <w:t>.</w:t>
      </w:r>
    </w:p>
    <w:p w:rsidR="00927226" w:rsidRPr="000D5EC1" w:rsidRDefault="00F74954" w:rsidP="00C26165">
      <w:pPr>
        <w:pStyle w:val="base-text-paragraph"/>
        <w:numPr>
          <w:ilvl w:val="1"/>
          <w:numId w:val="24"/>
        </w:numPr>
      </w:pPr>
      <w:r>
        <w:t xml:space="preserve">The change would make the superannuation industry broadly consistent with the change of ownership requirements </w:t>
      </w:r>
      <w:r w:rsidR="00584BAA">
        <w:t>for</w:t>
      </w:r>
      <w:r>
        <w:t xml:space="preserve"> other industries regulated by APRA.</w:t>
      </w:r>
    </w:p>
    <w:p w:rsidR="007C0947" w:rsidRPr="000D5EC1" w:rsidRDefault="007C0947" w:rsidP="007C0947">
      <w:pPr>
        <w:pStyle w:val="Heading2"/>
      </w:pPr>
      <w:r w:rsidRPr="000D5EC1">
        <w:t>Summary of new law</w:t>
      </w:r>
    </w:p>
    <w:p w:rsidR="007C0947" w:rsidRPr="003023F3" w:rsidRDefault="007C0947" w:rsidP="007C0947">
      <w:pPr>
        <w:pStyle w:val="Heading4"/>
        <w:spacing w:before="100" w:after="100"/>
        <w:ind w:left="0"/>
      </w:pPr>
      <w:r w:rsidRPr="00BC6100">
        <w:t xml:space="preserve">APRA Approval </w:t>
      </w:r>
    </w:p>
    <w:p w:rsidR="007C0947" w:rsidRPr="000D5EC1" w:rsidRDefault="007C0947" w:rsidP="00082D21">
      <w:pPr>
        <w:pStyle w:val="base-text-paragraph"/>
        <w:numPr>
          <w:ilvl w:val="1"/>
          <w:numId w:val="34"/>
        </w:numPr>
      </w:pPr>
      <w:r w:rsidRPr="000D5EC1">
        <w:t xml:space="preserve">A person will be required to apply to APRA for approval to hold a controlling stake in a RSE licensee </w:t>
      </w:r>
      <w:r w:rsidR="0059123C">
        <w:t>prior to them obtaining</w:t>
      </w:r>
      <w:r w:rsidRPr="000D5EC1">
        <w:t xml:space="preserve"> ownership of a</w:t>
      </w:r>
      <w:r w:rsidR="00082D21">
        <w:t>n</w:t>
      </w:r>
      <w:r w:rsidRPr="000D5EC1">
        <w:t xml:space="preserve"> RSE licensee.  The approval process (</w:t>
      </w:r>
      <w:r w:rsidR="00FA7E81">
        <w:t>see</w:t>
      </w:r>
      <w:r w:rsidRPr="000D5EC1">
        <w:t xml:space="preserve"> </w:t>
      </w:r>
      <w:r w:rsidRPr="00D65C69">
        <w:t xml:space="preserve">Diagram </w:t>
      </w:r>
      <w:r w:rsidR="00480B40">
        <w:t>5</w:t>
      </w:r>
      <w:r w:rsidRPr="00D65C69">
        <w:t>.1</w:t>
      </w:r>
      <w:r w:rsidRPr="000D5EC1">
        <w:t>, below) is similar to the process required to be undertaken when a person seeks a new RSE licen</w:t>
      </w:r>
      <w:r w:rsidR="00FA7E81">
        <w:t>c</w:t>
      </w:r>
      <w:r w:rsidRPr="000D5EC1">
        <w:t xml:space="preserve">e. </w:t>
      </w:r>
    </w:p>
    <w:p w:rsidR="007C0947" w:rsidRPr="000D5EC1" w:rsidRDefault="007C0947" w:rsidP="007C0947">
      <w:pPr>
        <w:pStyle w:val="base-text-paragraph"/>
        <w:numPr>
          <w:ilvl w:val="1"/>
          <w:numId w:val="33"/>
        </w:numPr>
      </w:pPr>
      <w:r w:rsidRPr="000D5EC1">
        <w:lastRenderedPageBreak/>
        <w:t xml:space="preserve">Consistent </w:t>
      </w:r>
      <w:r w:rsidR="0059123C">
        <w:t xml:space="preserve">with </w:t>
      </w:r>
      <w:r w:rsidRPr="000D5EC1">
        <w:t xml:space="preserve">the </w:t>
      </w:r>
      <w:r w:rsidRPr="00E45D1B">
        <w:rPr>
          <w:i/>
        </w:rPr>
        <w:t>Financial Sector Sharehold</w:t>
      </w:r>
      <w:r w:rsidRPr="000D5EC1">
        <w:rPr>
          <w:i/>
        </w:rPr>
        <w:t>ing</w:t>
      </w:r>
      <w:r w:rsidRPr="00E45D1B">
        <w:rPr>
          <w:i/>
        </w:rPr>
        <w:t xml:space="preserve"> Act</w:t>
      </w:r>
      <w:r w:rsidRPr="000D5EC1">
        <w:t xml:space="preserve"> </w:t>
      </w:r>
      <w:r w:rsidRPr="00E45D1B">
        <w:rPr>
          <w:i/>
        </w:rPr>
        <w:t>1998</w:t>
      </w:r>
      <w:r w:rsidRPr="000D5EC1">
        <w:t xml:space="preserve"> (FSSA) a controlling stake is a stake of more than 15</w:t>
      </w:r>
      <w:r w:rsidR="00713D96">
        <w:t xml:space="preserve"> per cent</w:t>
      </w:r>
      <w:r w:rsidRPr="000D5EC1">
        <w:t xml:space="preserve"> of the RSE </w:t>
      </w:r>
      <w:r w:rsidR="00FA7E81">
        <w:t>l</w:t>
      </w:r>
      <w:r w:rsidRPr="000D5EC1">
        <w:t>icensee.</w:t>
      </w:r>
    </w:p>
    <w:p w:rsidR="007C0947" w:rsidRPr="000D5EC1" w:rsidRDefault="007C0947" w:rsidP="00584BAA">
      <w:pPr>
        <w:pStyle w:val="base-text-paragraph"/>
      </w:pPr>
      <w:r w:rsidRPr="000D5EC1">
        <w:t>A person’s stake in an RSE licensee is</w:t>
      </w:r>
      <w:r w:rsidR="004875C9">
        <w:t xml:space="preserve"> a</w:t>
      </w:r>
      <w:r w:rsidRPr="000D5EC1">
        <w:t xml:space="preserve"> person’s shareholding (including the shareholdings of their associates) and votes associated with that the shareholding.</w:t>
      </w:r>
    </w:p>
    <w:p w:rsidR="007C0947" w:rsidRPr="000D5EC1" w:rsidRDefault="007C0947" w:rsidP="007C0947">
      <w:pPr>
        <w:pStyle w:val="Diagram"/>
      </w:pPr>
      <w:r w:rsidRPr="000D5EC1">
        <w:t xml:space="preserve">– </w:t>
      </w:r>
      <w:r w:rsidRPr="000D5EC1">
        <w:rPr>
          <w:i/>
        </w:rPr>
        <w:t>Application Process</w:t>
      </w:r>
    </w:p>
    <w:p w:rsidR="007C0947" w:rsidRPr="000D5EC1" w:rsidRDefault="007C0947" w:rsidP="007C0947">
      <w:pPr>
        <w:pStyle w:val="base-text-paragraph"/>
        <w:numPr>
          <w:ilvl w:val="0"/>
          <w:numId w:val="0"/>
        </w:numPr>
        <w:ind w:left="720"/>
      </w:pPr>
      <w:r w:rsidRPr="00BC6100">
        <w:rPr>
          <w:noProof/>
        </w:rPr>
        <w:drawing>
          <wp:inline distT="0" distB="0" distL="0" distR="0" wp14:anchorId="4D5EEE38" wp14:editId="4D5EEE39">
            <wp:extent cx="4708036" cy="6096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711796" cy="6100868"/>
                    </a:xfrm>
                    <a:prstGeom prst="rect">
                      <a:avLst/>
                    </a:prstGeom>
                    <a:noFill/>
                    <a:ln>
                      <a:noFill/>
                    </a:ln>
                  </pic:spPr>
                </pic:pic>
              </a:graphicData>
            </a:graphic>
          </wp:inline>
        </w:drawing>
      </w:r>
    </w:p>
    <w:p w:rsidR="007C0947" w:rsidRPr="000D5EC1" w:rsidRDefault="007C0947" w:rsidP="007C0947">
      <w:pPr>
        <w:pStyle w:val="base-text-paragraph"/>
        <w:numPr>
          <w:ilvl w:val="1"/>
          <w:numId w:val="35"/>
        </w:numPr>
      </w:pPr>
      <w:r w:rsidRPr="000D5EC1">
        <w:lastRenderedPageBreak/>
        <w:t>A decision by APRA to refuse an application for a change in ownership or control (including practical control) is merits reviewable in the Administrative Appeals Tribunal (AAT).</w:t>
      </w:r>
    </w:p>
    <w:p w:rsidR="007C0947" w:rsidRPr="000D5EC1" w:rsidRDefault="007C0947" w:rsidP="007C0947">
      <w:pPr>
        <w:pStyle w:val="base-text-paragraph"/>
        <w:numPr>
          <w:ilvl w:val="1"/>
          <w:numId w:val="35"/>
        </w:numPr>
      </w:pPr>
      <w:r w:rsidRPr="000D5EC1">
        <w:t xml:space="preserve">The </w:t>
      </w:r>
      <w:r w:rsidR="0059123C">
        <w:t>holding of</w:t>
      </w:r>
      <w:r w:rsidRPr="000D5EC1">
        <w:t xml:space="preserve"> a controlling stake in an RSE licensee</w:t>
      </w:r>
      <w:r w:rsidR="0059123C">
        <w:t xml:space="preserve"> without </w:t>
      </w:r>
      <w:r w:rsidR="000A66E6">
        <w:t xml:space="preserve">approval </w:t>
      </w:r>
      <w:r w:rsidR="000A66E6" w:rsidRPr="000D5EC1">
        <w:t>is</w:t>
      </w:r>
      <w:r w:rsidRPr="000D5EC1">
        <w:t xml:space="preserve"> a strict liability offence, which incurs a penalty of 400 penalty units per day.</w:t>
      </w:r>
    </w:p>
    <w:p w:rsidR="007C0947" w:rsidRPr="00BC6100" w:rsidRDefault="007C0947" w:rsidP="007C0947">
      <w:pPr>
        <w:pStyle w:val="Heading4"/>
        <w:spacing w:before="100" w:after="100"/>
        <w:ind w:left="0"/>
      </w:pPr>
      <w:r w:rsidRPr="00BC6100">
        <w:t>Direction to relinquish control</w:t>
      </w:r>
    </w:p>
    <w:p w:rsidR="007C0947" w:rsidRPr="000D5EC1" w:rsidRDefault="007C0947" w:rsidP="007C0947">
      <w:pPr>
        <w:pStyle w:val="base-text-paragraph"/>
        <w:numPr>
          <w:ilvl w:val="1"/>
          <w:numId w:val="35"/>
        </w:numPr>
      </w:pPr>
      <w:r w:rsidRPr="000D5EC1">
        <w:t>In the event that there has been, is, or is likely to be, interference with the ability of the RSE licensee to satisfy its obligations in respect of the fund, due to a change in ownership or control, APRA has the power to issue a direction to a person who is in control of the RSE licensee to relinquish that control.</w:t>
      </w:r>
    </w:p>
    <w:p w:rsidR="007C0947" w:rsidRPr="000D5EC1" w:rsidRDefault="007C0947" w:rsidP="007C0947">
      <w:pPr>
        <w:pStyle w:val="base-text-paragraph"/>
        <w:numPr>
          <w:ilvl w:val="1"/>
          <w:numId w:val="35"/>
        </w:numPr>
      </w:pPr>
      <w:r w:rsidRPr="000D5EC1">
        <w:t>The direction to relinquish control can occur when the person has a controlling stake, or where the person has practical control. Practical control occurs where the directors of the RSE licensee are accustomed or under an obligation, whether formal or informal, to act in accordance with the person</w:t>
      </w:r>
      <w:r w:rsidR="0059123C">
        <w:t>’</w:t>
      </w:r>
      <w:r w:rsidRPr="000D5EC1">
        <w:t xml:space="preserve">s directions, instructions or wishes, or the person is in a position to exercise control over the RSE licensee. </w:t>
      </w:r>
    </w:p>
    <w:p w:rsidR="007C0947" w:rsidRPr="000D5EC1" w:rsidRDefault="007C0947" w:rsidP="007C0947">
      <w:pPr>
        <w:pStyle w:val="base-text-paragraph"/>
        <w:numPr>
          <w:ilvl w:val="1"/>
          <w:numId w:val="35"/>
        </w:numPr>
      </w:pPr>
      <w:r w:rsidRPr="000D5EC1">
        <w:t xml:space="preserve">Practical control can </w:t>
      </w:r>
      <w:r w:rsidR="000A56C4" w:rsidRPr="000A56C4">
        <w:t xml:space="preserve">only </w:t>
      </w:r>
      <w:r w:rsidRPr="000D5EC1">
        <w:t xml:space="preserve">occur </w:t>
      </w:r>
      <w:r w:rsidR="000A56C4" w:rsidRPr="000A56C4">
        <w:t>where</w:t>
      </w:r>
      <w:r w:rsidRPr="000D5EC1">
        <w:t xml:space="preserve"> the person does not hold a stake of more than 15</w:t>
      </w:r>
      <w:r w:rsidR="00713D96">
        <w:t xml:space="preserve"> per cent</w:t>
      </w:r>
      <w:r w:rsidRPr="000D5EC1">
        <w:t xml:space="preserve"> of the RSE licensee. As such, APRA may give a direction to </w:t>
      </w:r>
      <w:r w:rsidR="000A56C4" w:rsidRPr="000A56C4">
        <w:t xml:space="preserve">relinquish control to </w:t>
      </w:r>
      <w:r w:rsidRPr="000D5EC1">
        <w:t xml:space="preserve">a person that </w:t>
      </w:r>
      <w:r w:rsidR="000A56C4" w:rsidRPr="000A56C4">
        <w:t>was</w:t>
      </w:r>
      <w:r w:rsidRPr="000D5EC1">
        <w:t xml:space="preserve"> not </w:t>
      </w:r>
      <w:r w:rsidR="000A56C4" w:rsidRPr="000A56C4">
        <w:t>required</w:t>
      </w:r>
      <w:r w:rsidRPr="000D5EC1">
        <w:t xml:space="preserve"> to obtain approval to hold their stake in the RSE licensee.</w:t>
      </w:r>
    </w:p>
    <w:p w:rsidR="007C0947" w:rsidRPr="000D5EC1" w:rsidRDefault="007C0947" w:rsidP="007C0947">
      <w:pPr>
        <w:pStyle w:val="base-text-paragraph"/>
        <w:numPr>
          <w:ilvl w:val="1"/>
          <w:numId w:val="35"/>
        </w:numPr>
      </w:pPr>
      <w:r w:rsidRPr="000D5EC1">
        <w:t xml:space="preserve">APRA's decision to issue a direction is merits reviewable in the AAT. </w:t>
      </w:r>
    </w:p>
    <w:p w:rsidR="007C0947" w:rsidRPr="000D5EC1" w:rsidRDefault="007C0947" w:rsidP="007C0947">
      <w:pPr>
        <w:pStyle w:val="base-text-paragraph"/>
        <w:numPr>
          <w:ilvl w:val="1"/>
          <w:numId w:val="35"/>
        </w:numPr>
      </w:pPr>
      <w:r w:rsidRPr="000D5EC1">
        <w:t>A reckless or intentional failure to comply with the direction is an offence subject to 400 penalty units per day.</w:t>
      </w:r>
    </w:p>
    <w:p w:rsidR="007C0947" w:rsidRPr="00BC6100" w:rsidRDefault="002872F7" w:rsidP="007C0947">
      <w:pPr>
        <w:pStyle w:val="Heading4"/>
        <w:spacing w:before="100" w:after="100"/>
        <w:ind w:left="0"/>
      </w:pPr>
      <w:r>
        <w:t xml:space="preserve"> </w:t>
      </w:r>
      <w:r w:rsidR="002471C8">
        <w:t>S</w:t>
      </w:r>
      <w:r w:rsidR="007C0947" w:rsidRPr="00BC6100">
        <w:t xml:space="preserve">uspension </w:t>
      </w:r>
      <w:r w:rsidR="002471C8">
        <w:t xml:space="preserve">or removal </w:t>
      </w:r>
      <w:r w:rsidR="007C0947" w:rsidRPr="00BC6100">
        <w:t xml:space="preserve">of </w:t>
      </w:r>
      <w:r w:rsidR="002471C8">
        <w:t>trustee of superannuation entity</w:t>
      </w:r>
    </w:p>
    <w:p w:rsidR="007C0947" w:rsidRPr="000D5EC1" w:rsidRDefault="0059123C" w:rsidP="007C0947">
      <w:pPr>
        <w:pStyle w:val="base-text-paragraph"/>
        <w:numPr>
          <w:ilvl w:val="1"/>
          <w:numId w:val="35"/>
        </w:numPr>
      </w:pPr>
      <w:r w:rsidRPr="000A56C4">
        <w:t xml:space="preserve">APRA's current power to suspend </w:t>
      </w:r>
      <w:r>
        <w:t xml:space="preserve">or remove </w:t>
      </w:r>
      <w:r w:rsidRPr="000A56C4">
        <w:t>an RSE licensee is expanded to allow it to exercise that power if it has reason to believe that a person that owns or controls an RSE licensee is</w:t>
      </w:r>
      <w:r>
        <w:t xml:space="preserve"> exercising</w:t>
      </w:r>
      <w:r w:rsidRPr="000A56C4">
        <w:t>, has been</w:t>
      </w:r>
      <w:r>
        <w:t xml:space="preserve"> exercising,</w:t>
      </w:r>
      <w:r w:rsidRPr="000A56C4">
        <w:t xml:space="preserve"> or is likely to exercise</w:t>
      </w:r>
      <w:r>
        <w:t>,</w:t>
      </w:r>
      <w:r w:rsidRPr="000A56C4">
        <w:t xml:space="preserve"> that control in a way that means the RSE licensee is unable to satisfy one or more of the </w:t>
      </w:r>
      <w:r>
        <w:t xml:space="preserve">trustee’s </w:t>
      </w:r>
      <w:r w:rsidRPr="000A56C4">
        <w:t xml:space="preserve">obligations </w:t>
      </w:r>
      <w:r>
        <w:t xml:space="preserve">contained </w:t>
      </w:r>
      <w:r w:rsidRPr="000A56C4">
        <w:t>in the covenants</w:t>
      </w:r>
      <w:r>
        <w:t xml:space="preserve"> inserted by the SIS Act, </w:t>
      </w:r>
      <w:r w:rsidRPr="000A56C4">
        <w:t xml:space="preserve">or </w:t>
      </w:r>
      <w:r>
        <w:t xml:space="preserve">the </w:t>
      </w:r>
      <w:r w:rsidRPr="000A56C4">
        <w:t>additional obligations</w:t>
      </w:r>
      <w:r>
        <w:t xml:space="preserve"> for RSE licensees</w:t>
      </w:r>
      <w:r w:rsidRPr="000A56C4">
        <w:t xml:space="preserve"> that relate to MySuper products</w:t>
      </w:r>
      <w:r w:rsidR="007C0947" w:rsidRPr="000D5EC1">
        <w:t xml:space="preserve">.  </w:t>
      </w:r>
    </w:p>
    <w:p w:rsidR="007C0947" w:rsidRPr="003023F3" w:rsidRDefault="007C0947" w:rsidP="007C0947">
      <w:pPr>
        <w:pStyle w:val="Heading2"/>
      </w:pPr>
      <w:r w:rsidRPr="00BC6100">
        <w:lastRenderedPageBreak/>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7C0947" w:rsidRPr="000D5EC1" w:rsidTr="009E6BFE">
        <w:tc>
          <w:tcPr>
            <w:tcW w:w="3275" w:type="dxa"/>
          </w:tcPr>
          <w:p w:rsidR="007C0947" w:rsidRPr="000D5EC1" w:rsidRDefault="007C0947" w:rsidP="009E6BFE">
            <w:pPr>
              <w:pStyle w:val="tableheaderwithintable"/>
              <w:rPr>
                <w:lang w:val="en-US" w:eastAsia="en-US"/>
              </w:rPr>
            </w:pPr>
            <w:r w:rsidRPr="000D5EC1">
              <w:rPr>
                <w:lang w:val="en-US" w:eastAsia="en-US"/>
              </w:rPr>
              <w:t>New law</w:t>
            </w:r>
          </w:p>
        </w:tc>
        <w:tc>
          <w:tcPr>
            <w:tcW w:w="3276" w:type="dxa"/>
          </w:tcPr>
          <w:p w:rsidR="007C0947" w:rsidRPr="000D5EC1" w:rsidRDefault="007C0947" w:rsidP="009E6BFE">
            <w:pPr>
              <w:pStyle w:val="tableheaderwithintable"/>
              <w:rPr>
                <w:lang w:val="en-US" w:eastAsia="en-US"/>
              </w:rPr>
            </w:pPr>
            <w:r w:rsidRPr="000D5EC1">
              <w:rPr>
                <w:lang w:val="en-US" w:eastAsia="en-US"/>
              </w:rPr>
              <w:t>Current law</w:t>
            </w:r>
          </w:p>
        </w:tc>
      </w:tr>
      <w:tr w:rsidR="00767967" w:rsidRPr="000D5EC1" w:rsidTr="009E6BFE">
        <w:tc>
          <w:tcPr>
            <w:tcW w:w="3275" w:type="dxa"/>
          </w:tcPr>
          <w:p w:rsidR="00767967" w:rsidRDefault="0059123C" w:rsidP="009E6BFE">
            <w:pPr>
              <w:pStyle w:val="tabletext"/>
              <w:rPr>
                <w:lang w:val="en-US" w:eastAsia="en-US"/>
              </w:rPr>
            </w:pPr>
            <w:r w:rsidRPr="000D5EC1">
              <w:rPr>
                <w:lang w:val="en-US" w:eastAsia="en-US"/>
              </w:rPr>
              <w:t xml:space="preserve">A person </w:t>
            </w:r>
            <w:r>
              <w:rPr>
                <w:lang w:val="en-US" w:eastAsia="en-US"/>
              </w:rPr>
              <w:t>must</w:t>
            </w:r>
            <w:r w:rsidRPr="000D5EC1">
              <w:rPr>
                <w:lang w:val="en-US" w:eastAsia="en-US"/>
              </w:rPr>
              <w:t xml:space="preserve"> seek APRA</w:t>
            </w:r>
            <w:r>
              <w:rPr>
                <w:lang w:val="en-US" w:eastAsia="en-US"/>
              </w:rPr>
              <w:t>’</w:t>
            </w:r>
            <w:r w:rsidRPr="000D5EC1">
              <w:rPr>
                <w:lang w:val="en-US" w:eastAsia="en-US"/>
              </w:rPr>
              <w:t xml:space="preserve">s approval </w:t>
            </w:r>
            <w:r>
              <w:rPr>
                <w:lang w:val="en-US" w:eastAsia="en-US"/>
              </w:rPr>
              <w:t xml:space="preserve">if they seek </w:t>
            </w:r>
            <w:r w:rsidRPr="000D5EC1">
              <w:rPr>
                <w:lang w:val="en-US" w:eastAsia="en-US"/>
              </w:rPr>
              <w:t>to own or hold a controlling stake in a RSE licensee</w:t>
            </w:r>
            <w:r>
              <w:rPr>
                <w:lang w:val="en-US" w:eastAsia="en-US"/>
              </w:rPr>
              <w:t>.</w:t>
            </w:r>
          </w:p>
        </w:tc>
        <w:tc>
          <w:tcPr>
            <w:tcW w:w="3276" w:type="dxa"/>
          </w:tcPr>
          <w:p w:rsidR="00767967" w:rsidRDefault="00767967" w:rsidP="00E85E5D">
            <w:pPr>
              <w:pStyle w:val="tabletext"/>
              <w:rPr>
                <w:lang w:val="en-US" w:eastAsia="en-US"/>
              </w:rPr>
            </w:pPr>
            <w:r>
              <w:rPr>
                <w:lang w:val="en-US" w:eastAsia="en-US"/>
              </w:rPr>
              <w:t>No equivalent</w:t>
            </w:r>
            <w:r w:rsidR="006A6125">
              <w:rPr>
                <w:lang w:val="en-US" w:eastAsia="en-US"/>
              </w:rPr>
              <w:t>.</w:t>
            </w:r>
          </w:p>
        </w:tc>
      </w:tr>
      <w:tr w:rsidR="00CC788F" w:rsidRPr="000D5EC1" w:rsidTr="0078178D">
        <w:tc>
          <w:tcPr>
            <w:tcW w:w="3275" w:type="dxa"/>
          </w:tcPr>
          <w:p w:rsidR="00CC788F" w:rsidRPr="00D473B6" w:rsidRDefault="00CC788F" w:rsidP="00D473B6">
            <w:pPr>
              <w:pStyle w:val="tabletext"/>
              <w:rPr>
                <w:lang w:val="en-US" w:eastAsia="en-US"/>
              </w:rPr>
            </w:pPr>
            <w:r w:rsidRPr="00D473B6">
              <w:rPr>
                <w:lang w:val="en-US" w:eastAsia="en-US"/>
              </w:rPr>
              <w:t xml:space="preserve">An RSE licensee must notify APRA of any change in </w:t>
            </w:r>
            <w:r w:rsidR="006A6125">
              <w:rPr>
                <w:lang w:val="en-US" w:eastAsia="en-US"/>
              </w:rPr>
              <w:t xml:space="preserve">the </w:t>
            </w:r>
            <w:r w:rsidRPr="00D473B6">
              <w:rPr>
                <w:lang w:val="en-US" w:eastAsia="en-US"/>
              </w:rPr>
              <w:t xml:space="preserve">composition or control of </w:t>
            </w:r>
            <w:r>
              <w:rPr>
                <w:lang w:val="en-US" w:eastAsia="en-US"/>
              </w:rPr>
              <w:t>the</w:t>
            </w:r>
            <w:r w:rsidRPr="00D473B6">
              <w:rPr>
                <w:lang w:val="en-US" w:eastAsia="en-US"/>
              </w:rPr>
              <w:t xml:space="preserve"> RSE licensee within 14 days after the change takes place</w:t>
            </w:r>
            <w:r w:rsidR="006A6125">
              <w:rPr>
                <w:lang w:val="en-US" w:eastAsia="en-US"/>
              </w:rPr>
              <w:t>.</w:t>
            </w:r>
          </w:p>
        </w:tc>
        <w:tc>
          <w:tcPr>
            <w:tcW w:w="3276" w:type="dxa"/>
          </w:tcPr>
          <w:p w:rsidR="00CC788F" w:rsidRPr="000D5EC1" w:rsidRDefault="00CC788F" w:rsidP="00D473B6">
            <w:pPr>
              <w:pStyle w:val="tabletext"/>
              <w:rPr>
                <w:lang w:val="en-US" w:eastAsia="en-US"/>
              </w:rPr>
            </w:pPr>
            <w:r w:rsidRPr="00D473B6">
              <w:rPr>
                <w:lang w:val="en-US" w:eastAsia="en-US"/>
              </w:rPr>
              <w:t xml:space="preserve">An RSE licensee must notify APRA of any change in </w:t>
            </w:r>
            <w:r w:rsidR="006A6125">
              <w:rPr>
                <w:lang w:val="en-US" w:eastAsia="en-US"/>
              </w:rPr>
              <w:t xml:space="preserve">the </w:t>
            </w:r>
            <w:r w:rsidRPr="00D473B6">
              <w:rPr>
                <w:lang w:val="en-US" w:eastAsia="en-US"/>
              </w:rPr>
              <w:t xml:space="preserve">composition of </w:t>
            </w:r>
            <w:r>
              <w:rPr>
                <w:lang w:val="en-US" w:eastAsia="en-US"/>
              </w:rPr>
              <w:t>the</w:t>
            </w:r>
            <w:r w:rsidRPr="00D473B6">
              <w:rPr>
                <w:lang w:val="en-US" w:eastAsia="en-US"/>
              </w:rPr>
              <w:t xml:space="preserve"> RSE licensee within 14 days after the change takes place.</w:t>
            </w:r>
          </w:p>
        </w:tc>
      </w:tr>
      <w:tr w:rsidR="007C0947" w:rsidRPr="000D5EC1" w:rsidTr="009E6BFE">
        <w:tc>
          <w:tcPr>
            <w:tcW w:w="3275" w:type="dxa"/>
          </w:tcPr>
          <w:p w:rsidR="007C0947" w:rsidRPr="000D5EC1" w:rsidRDefault="007C0947" w:rsidP="00460F8C">
            <w:pPr>
              <w:pStyle w:val="tabletext"/>
              <w:rPr>
                <w:lang w:val="en-US" w:eastAsia="en-US"/>
              </w:rPr>
            </w:pPr>
            <w:r w:rsidRPr="000D5EC1">
              <w:rPr>
                <w:lang w:val="en-US" w:eastAsia="en-US"/>
              </w:rPr>
              <w:t>APRA can direct a person</w:t>
            </w:r>
            <w:r w:rsidR="009D0CCA">
              <w:rPr>
                <w:lang w:val="en-US" w:eastAsia="en-US"/>
              </w:rPr>
              <w:t xml:space="preserve"> </w:t>
            </w:r>
            <w:r w:rsidR="00D473B6">
              <w:rPr>
                <w:lang w:val="en-US" w:eastAsia="en-US"/>
              </w:rPr>
              <w:t xml:space="preserve">holding a controlling stake (or has </w:t>
            </w:r>
            <w:r w:rsidR="00460F8C">
              <w:rPr>
                <w:lang w:val="en-US" w:eastAsia="en-US"/>
              </w:rPr>
              <w:t>practical control</w:t>
            </w:r>
            <w:r w:rsidR="00D473B6">
              <w:rPr>
                <w:lang w:val="en-US" w:eastAsia="en-US"/>
              </w:rPr>
              <w:t>)</w:t>
            </w:r>
            <w:r w:rsidR="00927226">
              <w:rPr>
                <w:lang w:val="en-US" w:eastAsia="en-US"/>
              </w:rPr>
              <w:t xml:space="preserve"> of a</w:t>
            </w:r>
            <w:r w:rsidR="00D473B6">
              <w:rPr>
                <w:lang w:val="en-US" w:eastAsia="en-US"/>
              </w:rPr>
              <w:t>n</w:t>
            </w:r>
            <w:r w:rsidR="009D0CCA">
              <w:rPr>
                <w:lang w:val="en-US" w:eastAsia="en-US"/>
              </w:rPr>
              <w:t xml:space="preserve"> RSE</w:t>
            </w:r>
            <w:r w:rsidRPr="000D5EC1">
              <w:rPr>
                <w:lang w:val="en-US" w:eastAsia="en-US"/>
              </w:rPr>
              <w:t xml:space="preserve"> </w:t>
            </w:r>
            <w:r w:rsidR="00D473B6">
              <w:rPr>
                <w:lang w:val="en-US" w:eastAsia="en-US"/>
              </w:rPr>
              <w:t>licensee</w:t>
            </w:r>
            <w:r w:rsidRPr="000D5EC1">
              <w:rPr>
                <w:lang w:val="en-US" w:eastAsia="en-US"/>
              </w:rPr>
              <w:t xml:space="preserve"> to relinquish </w:t>
            </w:r>
            <w:r w:rsidR="009D0CCA">
              <w:rPr>
                <w:lang w:val="en-US" w:eastAsia="en-US"/>
              </w:rPr>
              <w:t>that control</w:t>
            </w:r>
            <w:r w:rsidRPr="000D5EC1">
              <w:rPr>
                <w:lang w:val="en-US" w:eastAsia="en-US"/>
              </w:rPr>
              <w:t>, if there has been, is, or is likely to be, interference with the ability of the RSE licensee to satisfy its obligations,</w:t>
            </w:r>
            <w:r w:rsidRPr="000D5EC1" w:rsidDel="00460F8C">
              <w:rPr>
                <w:lang w:val="en-US" w:eastAsia="en-US"/>
              </w:rPr>
              <w:t xml:space="preserve"> due to a change control </w:t>
            </w:r>
            <w:r w:rsidR="00767967">
              <w:rPr>
                <w:lang w:val="en-US" w:eastAsia="en-US"/>
              </w:rPr>
              <w:t>o</w:t>
            </w:r>
            <w:r w:rsidR="00082D21">
              <w:rPr>
                <w:lang w:val="en-US" w:eastAsia="en-US"/>
              </w:rPr>
              <w:t>r</w:t>
            </w:r>
            <w:r w:rsidRPr="000D5EC1" w:rsidDel="00460F8C">
              <w:rPr>
                <w:lang w:val="en-US" w:eastAsia="en-US"/>
              </w:rPr>
              <w:t xml:space="preserve"> practical control</w:t>
            </w:r>
            <w:r w:rsidRPr="000D5EC1">
              <w:rPr>
                <w:lang w:val="en-US" w:eastAsia="en-US"/>
              </w:rPr>
              <w:t>.</w:t>
            </w:r>
          </w:p>
        </w:tc>
        <w:tc>
          <w:tcPr>
            <w:tcW w:w="3276" w:type="dxa"/>
          </w:tcPr>
          <w:p w:rsidR="007C0947" w:rsidRPr="000D5EC1" w:rsidRDefault="00767967" w:rsidP="009E6BFE">
            <w:pPr>
              <w:pStyle w:val="tabletext"/>
              <w:rPr>
                <w:lang w:val="en-US" w:eastAsia="en-US"/>
              </w:rPr>
            </w:pPr>
            <w:r>
              <w:rPr>
                <w:lang w:val="en-US" w:eastAsia="en-US"/>
              </w:rPr>
              <w:t>No equivalent.</w:t>
            </w:r>
          </w:p>
        </w:tc>
      </w:tr>
      <w:tr w:rsidR="007C0947" w:rsidRPr="000D5EC1" w:rsidTr="009E6BFE">
        <w:tc>
          <w:tcPr>
            <w:tcW w:w="3275" w:type="dxa"/>
          </w:tcPr>
          <w:p w:rsidR="006A6125" w:rsidRDefault="007C0947" w:rsidP="00D473B6">
            <w:pPr>
              <w:pStyle w:val="tabletext"/>
              <w:rPr>
                <w:lang w:val="en-US" w:eastAsia="en-US"/>
              </w:rPr>
            </w:pPr>
            <w:r w:rsidRPr="000D5EC1">
              <w:rPr>
                <w:lang w:val="en-US" w:eastAsia="en-US"/>
              </w:rPr>
              <w:t xml:space="preserve">APRA can suspend </w:t>
            </w:r>
            <w:r w:rsidR="002471C8">
              <w:rPr>
                <w:lang w:val="en-US" w:eastAsia="en-US"/>
              </w:rPr>
              <w:t>or remove</w:t>
            </w:r>
            <w:r w:rsidRPr="000D5EC1">
              <w:rPr>
                <w:lang w:val="en-US" w:eastAsia="en-US"/>
              </w:rPr>
              <w:t xml:space="preserve"> a</w:t>
            </w:r>
            <w:r w:rsidR="00927226">
              <w:rPr>
                <w:lang w:val="en-US" w:eastAsia="en-US"/>
              </w:rPr>
              <w:t xml:space="preserve">n RSE licensee </w:t>
            </w:r>
            <w:r w:rsidR="001C398E">
              <w:rPr>
                <w:lang w:val="en-US" w:eastAsia="en-US"/>
              </w:rPr>
              <w:t>if it</w:t>
            </w:r>
            <w:r w:rsidRPr="000D5EC1">
              <w:rPr>
                <w:lang w:val="en-US" w:eastAsia="en-US"/>
              </w:rPr>
              <w:t xml:space="preserve"> is </w:t>
            </w:r>
            <w:r w:rsidR="006A6125">
              <w:rPr>
                <w:lang w:val="en-US" w:eastAsia="en-US"/>
              </w:rPr>
              <w:t>has reason to believe</w:t>
            </w:r>
            <w:r w:rsidR="006A6125" w:rsidRPr="000D5EC1">
              <w:rPr>
                <w:lang w:val="en-US" w:eastAsia="en-US"/>
              </w:rPr>
              <w:t xml:space="preserve"> </w:t>
            </w:r>
            <w:r w:rsidRPr="000D5EC1">
              <w:rPr>
                <w:lang w:val="en-US" w:eastAsia="en-US"/>
              </w:rPr>
              <w:t>that</w:t>
            </w:r>
            <w:r w:rsidR="006A6125">
              <w:rPr>
                <w:lang w:val="en-US" w:eastAsia="en-US"/>
              </w:rPr>
              <w:t>:</w:t>
            </w:r>
          </w:p>
          <w:p w:rsidR="00D473B6" w:rsidRDefault="007C0947" w:rsidP="00584BAA">
            <w:pPr>
              <w:pStyle w:val="tabledotpoint"/>
              <w:rPr>
                <w:lang w:val="en-US" w:eastAsia="en-US"/>
              </w:rPr>
            </w:pPr>
            <w:r w:rsidRPr="000D5EC1">
              <w:rPr>
                <w:lang w:val="en-US" w:eastAsia="en-US"/>
              </w:rPr>
              <w:t xml:space="preserve">the person </w:t>
            </w:r>
            <w:r w:rsidR="00D473B6">
              <w:rPr>
                <w:lang w:val="en-US" w:eastAsia="en-US"/>
              </w:rPr>
              <w:t>holding a controlling stake (or has practical control) of</w:t>
            </w:r>
            <w:r w:rsidRPr="000D5EC1">
              <w:rPr>
                <w:lang w:val="en-US" w:eastAsia="en-US"/>
              </w:rPr>
              <w:t xml:space="preserve"> the RSE licensee is</w:t>
            </w:r>
            <w:r w:rsidR="00D473B6">
              <w:rPr>
                <w:lang w:val="en-US" w:eastAsia="en-US"/>
              </w:rPr>
              <w:t xml:space="preserve"> or is likely to</w:t>
            </w:r>
            <w:r w:rsidRPr="000D5EC1">
              <w:rPr>
                <w:lang w:val="en-US" w:eastAsia="en-US"/>
              </w:rPr>
              <w:t xml:space="preserve"> hinder the ability for the RSE licensee to comply </w:t>
            </w:r>
            <w:r w:rsidR="006A6125">
              <w:rPr>
                <w:lang w:val="en-US" w:eastAsia="en-US"/>
              </w:rPr>
              <w:t>with one or more of the covenants</w:t>
            </w:r>
            <w:r w:rsidR="00D473B6">
              <w:rPr>
                <w:lang w:val="en-US" w:eastAsia="en-US"/>
              </w:rPr>
              <w:t>;</w:t>
            </w:r>
          </w:p>
          <w:p w:rsidR="007C0947" w:rsidRPr="000D5EC1" w:rsidRDefault="00D473B6" w:rsidP="00584BAA">
            <w:pPr>
              <w:pStyle w:val="tabledotpoint"/>
              <w:rPr>
                <w:lang w:val="en-US" w:eastAsia="en-US"/>
              </w:rPr>
            </w:pPr>
            <w:proofErr w:type="gramStart"/>
            <w:r>
              <w:rPr>
                <w:lang w:val="en-US" w:eastAsia="en-US"/>
              </w:rPr>
              <w:t>the</w:t>
            </w:r>
            <w:proofErr w:type="gramEnd"/>
            <w:r>
              <w:rPr>
                <w:lang w:val="en-US" w:eastAsia="en-US"/>
              </w:rPr>
              <w:t xml:space="preserve"> person holding a controlling stake in the RSE licensee does not have approval to hold the controlling stake. </w:t>
            </w:r>
          </w:p>
        </w:tc>
        <w:tc>
          <w:tcPr>
            <w:tcW w:w="3276" w:type="dxa"/>
          </w:tcPr>
          <w:p w:rsidR="007C0947" w:rsidRPr="000D5EC1" w:rsidRDefault="006A6125" w:rsidP="00927226">
            <w:pPr>
              <w:pStyle w:val="tabletext"/>
              <w:rPr>
                <w:lang w:val="en-US" w:eastAsia="en-US"/>
              </w:rPr>
            </w:pPr>
            <w:r>
              <w:rPr>
                <w:lang w:val="en-US" w:eastAsia="en-US"/>
              </w:rPr>
              <w:t>No equivalent.</w:t>
            </w:r>
          </w:p>
        </w:tc>
      </w:tr>
    </w:tbl>
    <w:p w:rsidR="007C0947" w:rsidRDefault="007C0947" w:rsidP="007C0947">
      <w:pPr>
        <w:pStyle w:val="Heading2"/>
      </w:pPr>
      <w:r w:rsidRPr="000D5EC1">
        <w:t>Detailed explanation of new law</w:t>
      </w:r>
    </w:p>
    <w:p w:rsidR="0033015E" w:rsidRDefault="0033015E" w:rsidP="001C398E">
      <w:pPr>
        <w:pStyle w:val="base-text-paragraph"/>
        <w:numPr>
          <w:ilvl w:val="1"/>
          <w:numId w:val="24"/>
        </w:numPr>
      </w:pPr>
      <w:r>
        <w:t>The amendments</w:t>
      </w:r>
      <w:r w:rsidRPr="000D5EC1">
        <w:t xml:space="preserve"> strengthen APRA’s supervision and enforcement powers when a change of ownership or control of a RSE licensee takes place. </w:t>
      </w:r>
    </w:p>
    <w:p w:rsidR="00AA2A10" w:rsidRDefault="00AA2A10" w:rsidP="00AA2A10">
      <w:pPr>
        <w:pStyle w:val="Heading3"/>
      </w:pPr>
      <w:r>
        <w:t>Obligation to apply for APRA approval</w:t>
      </w:r>
    </w:p>
    <w:p w:rsidR="006D42F9" w:rsidRDefault="006D42F9" w:rsidP="001C398E">
      <w:pPr>
        <w:pStyle w:val="base-text-paragraph"/>
        <w:numPr>
          <w:ilvl w:val="1"/>
          <w:numId w:val="24"/>
        </w:numPr>
      </w:pPr>
      <w:r>
        <w:t xml:space="preserve">The amendments insert Division 8 into Part 2A to </w:t>
      </w:r>
      <w:r w:rsidR="002B5A46">
        <w:t>require</w:t>
      </w:r>
      <w:r>
        <w:t xml:space="preserve"> </w:t>
      </w:r>
      <w:r w:rsidR="002B5A46">
        <w:t xml:space="preserve">approval to hold a controlling stake in an RSE licensee. The provisions will apply to RSE licensees that are body corporates. </w:t>
      </w:r>
      <w:r w:rsidR="002B5A46">
        <w:rPr>
          <w:rStyle w:val="Referencingstyle"/>
        </w:rPr>
        <w:t>[Schedule </w:t>
      </w:r>
      <w:r w:rsidR="00480B40">
        <w:rPr>
          <w:rStyle w:val="Referencingstyle"/>
        </w:rPr>
        <w:t>4</w:t>
      </w:r>
      <w:r w:rsidR="002B5A46">
        <w:rPr>
          <w:rStyle w:val="Referencingstyle"/>
        </w:rPr>
        <w:t>, item </w:t>
      </w:r>
      <w:r w:rsidR="000A66E6">
        <w:rPr>
          <w:rStyle w:val="Referencingstyle"/>
        </w:rPr>
        <w:t>8</w:t>
      </w:r>
      <w:r w:rsidR="002B5A46">
        <w:rPr>
          <w:rStyle w:val="Referencingstyle"/>
        </w:rPr>
        <w:t>, section 29H]</w:t>
      </w:r>
      <w:r w:rsidR="002B5A46">
        <w:t xml:space="preserve"> </w:t>
      </w:r>
      <w:r>
        <w:t xml:space="preserve"> </w:t>
      </w:r>
    </w:p>
    <w:p w:rsidR="0033015E" w:rsidRPr="008E1C42" w:rsidRDefault="0059123C" w:rsidP="001C398E">
      <w:pPr>
        <w:pStyle w:val="base-text-paragraph"/>
        <w:numPr>
          <w:ilvl w:val="1"/>
          <w:numId w:val="24"/>
        </w:numPr>
        <w:rPr>
          <w:rStyle w:val="Referencingstyle"/>
          <w:b w:val="0"/>
          <w:i w:val="0"/>
          <w:sz w:val="22"/>
        </w:rPr>
      </w:pPr>
      <w:r>
        <w:lastRenderedPageBreak/>
        <w:t xml:space="preserve">If a person is seeking to hold a stake </w:t>
      </w:r>
      <w:r w:rsidR="008E1C42">
        <w:t>of more than 15 per cent in the RSE licensee, the</w:t>
      </w:r>
      <w:r w:rsidR="0033015E">
        <w:t xml:space="preserve"> person must apply to APRA for approval to hold</w:t>
      </w:r>
      <w:r w:rsidR="00C25552">
        <w:t xml:space="preserve"> a controlling stake in an RSE licensee</w:t>
      </w:r>
      <w:r w:rsidR="0033015E">
        <w:t xml:space="preserve">. </w:t>
      </w:r>
      <w:r w:rsidR="0033015E">
        <w:rPr>
          <w:rStyle w:val="Referencingstyle"/>
        </w:rPr>
        <w:t>[Schedule </w:t>
      </w:r>
      <w:r w:rsidR="00480B40">
        <w:rPr>
          <w:rStyle w:val="Referencingstyle"/>
        </w:rPr>
        <w:t>4</w:t>
      </w:r>
      <w:r w:rsidR="0033015E">
        <w:rPr>
          <w:rStyle w:val="Referencingstyle"/>
        </w:rPr>
        <w:t xml:space="preserve">, </w:t>
      </w:r>
      <w:r w:rsidR="008E1C42">
        <w:rPr>
          <w:rStyle w:val="Referencingstyle"/>
        </w:rPr>
        <w:t xml:space="preserve">items </w:t>
      </w:r>
      <w:r w:rsidR="000A66E6">
        <w:rPr>
          <w:rStyle w:val="Referencingstyle"/>
        </w:rPr>
        <w:t>1</w:t>
      </w:r>
      <w:r w:rsidR="008E1C42">
        <w:rPr>
          <w:rStyle w:val="Referencingstyle"/>
        </w:rPr>
        <w:t xml:space="preserve"> and </w:t>
      </w:r>
      <w:r w:rsidR="000A66E6">
        <w:rPr>
          <w:rStyle w:val="Referencingstyle"/>
        </w:rPr>
        <w:t>8</w:t>
      </w:r>
      <w:r w:rsidR="008E1C42">
        <w:rPr>
          <w:rStyle w:val="Referencingstyle"/>
        </w:rPr>
        <w:t xml:space="preserve">, definition of ‘controlling stake’ </w:t>
      </w:r>
      <w:r w:rsidR="00082D21">
        <w:rPr>
          <w:rStyle w:val="Referencingstyle"/>
        </w:rPr>
        <w:t xml:space="preserve">in subsection 10(1) </w:t>
      </w:r>
      <w:r w:rsidR="008E1C42">
        <w:rPr>
          <w:rStyle w:val="Referencingstyle"/>
        </w:rPr>
        <w:t>and subsection 29HA]</w:t>
      </w:r>
    </w:p>
    <w:p w:rsidR="00A80624" w:rsidRPr="000D5EC1" w:rsidRDefault="003D55C6" w:rsidP="00A80624">
      <w:pPr>
        <w:pStyle w:val="base-text-paragraph"/>
        <w:numPr>
          <w:ilvl w:val="1"/>
          <w:numId w:val="24"/>
        </w:numPr>
      </w:pPr>
      <w:r>
        <w:t>This is consistent</w:t>
      </w:r>
      <w:r w:rsidR="00A80624" w:rsidRPr="000D5EC1">
        <w:t xml:space="preserve"> with the concept of </w:t>
      </w:r>
      <w:r w:rsidR="00A80624" w:rsidRPr="003D55C6">
        <w:rPr>
          <w:i/>
        </w:rPr>
        <w:t>controlling stake</w:t>
      </w:r>
      <w:r w:rsidR="00A80624" w:rsidRPr="000D5EC1">
        <w:t xml:space="preserve"> in the </w:t>
      </w:r>
      <w:r>
        <w:t>FSSA.</w:t>
      </w:r>
    </w:p>
    <w:p w:rsidR="003D55C6" w:rsidRDefault="00A80624" w:rsidP="00A80624">
      <w:pPr>
        <w:pStyle w:val="base-text-paragraph"/>
        <w:numPr>
          <w:ilvl w:val="1"/>
          <w:numId w:val="24"/>
        </w:numPr>
      </w:pPr>
      <w:r w:rsidRPr="000D5EC1">
        <w:t>A stake in an RSE licensee is</w:t>
      </w:r>
      <w:r>
        <w:t xml:space="preserve"> a</w:t>
      </w:r>
      <w:r w:rsidRPr="000D5EC1">
        <w:t xml:space="preserve"> person’s shareholding (including the shareholdings of their associates) and votes associated with that the shareholding</w:t>
      </w:r>
      <w:r w:rsidR="003D55C6">
        <w:t>.</w:t>
      </w:r>
    </w:p>
    <w:p w:rsidR="008E1C42" w:rsidRPr="0012439E" w:rsidRDefault="008E1C42" w:rsidP="001C398E">
      <w:pPr>
        <w:pStyle w:val="base-text-paragraph"/>
        <w:numPr>
          <w:ilvl w:val="1"/>
          <w:numId w:val="24"/>
        </w:numPr>
        <w:rPr>
          <w:rStyle w:val="Referencingstyle"/>
          <w:b w:val="0"/>
          <w:i w:val="0"/>
          <w:sz w:val="22"/>
        </w:rPr>
      </w:pPr>
      <w:r>
        <w:rPr>
          <w:rStyle w:val="Referencingstyle"/>
          <w:b w:val="0"/>
          <w:i w:val="0"/>
          <w:sz w:val="22"/>
        </w:rPr>
        <w:t xml:space="preserve">The application must be in approved form and contain the information required by the form. </w:t>
      </w:r>
      <w:r>
        <w:rPr>
          <w:rStyle w:val="Referencingstyle"/>
        </w:rPr>
        <w:t>[Schedule </w:t>
      </w:r>
      <w:r w:rsidR="00480B40">
        <w:rPr>
          <w:rStyle w:val="Referencingstyle"/>
        </w:rPr>
        <w:t>4</w:t>
      </w:r>
      <w:r>
        <w:rPr>
          <w:rStyle w:val="Referencingstyle"/>
        </w:rPr>
        <w:t>, item </w:t>
      </w:r>
      <w:r w:rsidR="000A66E6">
        <w:rPr>
          <w:rStyle w:val="Referencingstyle"/>
        </w:rPr>
        <w:t>8</w:t>
      </w:r>
      <w:r>
        <w:rPr>
          <w:rStyle w:val="Referencingstyle"/>
        </w:rPr>
        <w:t>, subsection 29HA(2)]</w:t>
      </w:r>
    </w:p>
    <w:p w:rsidR="0012439E" w:rsidRPr="008E1C42" w:rsidRDefault="0012439E" w:rsidP="001C398E">
      <w:pPr>
        <w:pStyle w:val="base-text-paragraph"/>
        <w:numPr>
          <w:ilvl w:val="1"/>
          <w:numId w:val="24"/>
        </w:numPr>
        <w:rPr>
          <w:rStyle w:val="Referencingstyle"/>
          <w:b w:val="0"/>
          <w:i w:val="0"/>
          <w:sz w:val="22"/>
        </w:rPr>
      </w:pPr>
      <w:r>
        <w:t>APRA will issue an approved form for this purpose.</w:t>
      </w:r>
    </w:p>
    <w:p w:rsidR="008E1C42" w:rsidRPr="002A5DDF" w:rsidRDefault="008E1C42" w:rsidP="001C398E">
      <w:pPr>
        <w:pStyle w:val="base-text-paragraph"/>
        <w:numPr>
          <w:ilvl w:val="1"/>
          <w:numId w:val="24"/>
        </w:numPr>
        <w:rPr>
          <w:rStyle w:val="Referencingstyle"/>
          <w:b w:val="0"/>
          <w:i w:val="0"/>
          <w:sz w:val="22"/>
        </w:rPr>
      </w:pPr>
      <w:r>
        <w:rPr>
          <w:rStyle w:val="Referencingstyle"/>
          <w:b w:val="0"/>
          <w:i w:val="0"/>
          <w:sz w:val="22"/>
        </w:rPr>
        <w:t xml:space="preserve">If after the application is made, but before APRA decides the application, the information on the form ceases to be correct, the person must give APRA the correct information, in writing, as </w:t>
      </w:r>
      <w:r w:rsidR="002A5DDF">
        <w:rPr>
          <w:rStyle w:val="Referencingstyle"/>
          <w:b w:val="0"/>
          <w:i w:val="0"/>
          <w:sz w:val="22"/>
        </w:rPr>
        <w:t xml:space="preserve">soon as practicable after the information ceases to be correct. Otherwise, the application is taken to not be in compliance with its requirements. </w:t>
      </w:r>
      <w:r w:rsidR="002A5DDF">
        <w:rPr>
          <w:rStyle w:val="Referencingstyle"/>
        </w:rPr>
        <w:t>[Schedule </w:t>
      </w:r>
      <w:r w:rsidR="00480B40">
        <w:rPr>
          <w:rStyle w:val="Referencingstyle"/>
        </w:rPr>
        <w:t>4</w:t>
      </w:r>
      <w:r w:rsidR="002A5DDF">
        <w:rPr>
          <w:rStyle w:val="Referencingstyle"/>
        </w:rPr>
        <w:t>, item </w:t>
      </w:r>
      <w:r w:rsidR="000A66E6">
        <w:rPr>
          <w:rStyle w:val="Referencingstyle"/>
        </w:rPr>
        <w:t>8</w:t>
      </w:r>
      <w:r w:rsidR="002A5DDF">
        <w:rPr>
          <w:rStyle w:val="Referencingstyle"/>
        </w:rPr>
        <w:t>, subsections 29HA(3) and (4)]</w:t>
      </w:r>
    </w:p>
    <w:p w:rsidR="00DF28F2" w:rsidRPr="00EC195A" w:rsidRDefault="00DF28F2" w:rsidP="00DF28F2">
      <w:pPr>
        <w:pStyle w:val="base-text-paragraph"/>
        <w:numPr>
          <w:ilvl w:val="1"/>
          <w:numId w:val="24"/>
        </w:numPr>
        <w:rPr>
          <w:rStyle w:val="Referencingstyle"/>
          <w:b w:val="0"/>
          <w:i w:val="0"/>
          <w:sz w:val="22"/>
        </w:rPr>
      </w:pPr>
      <w:r>
        <w:rPr>
          <w:rStyle w:val="Referencingstyle"/>
          <w:b w:val="0"/>
          <w:i w:val="0"/>
          <w:sz w:val="22"/>
        </w:rPr>
        <w:t xml:space="preserve">APRA may request specific information relating to the application by giving a notice to the applicant. </w:t>
      </w:r>
      <w:r>
        <w:rPr>
          <w:rStyle w:val="Referencingstyle"/>
        </w:rPr>
        <w:t xml:space="preserve">[Schedule </w:t>
      </w:r>
      <w:r w:rsidR="00480B40">
        <w:rPr>
          <w:rStyle w:val="Referencingstyle"/>
        </w:rPr>
        <w:t>4</w:t>
      </w:r>
      <w:r>
        <w:rPr>
          <w:rStyle w:val="Referencingstyle"/>
          <w:i w:val="0"/>
        </w:rPr>
        <w:t xml:space="preserve">, </w:t>
      </w:r>
      <w:r>
        <w:rPr>
          <w:rStyle w:val="Referencingstyle"/>
        </w:rPr>
        <w:t>item </w:t>
      </w:r>
      <w:r w:rsidR="000A66E6">
        <w:rPr>
          <w:rStyle w:val="Referencingstyle"/>
        </w:rPr>
        <w:t>8</w:t>
      </w:r>
      <w:r>
        <w:rPr>
          <w:rStyle w:val="Referencingstyle"/>
        </w:rPr>
        <w:t>, section 29HB]</w:t>
      </w:r>
    </w:p>
    <w:p w:rsidR="001A4483" w:rsidRPr="001A4483" w:rsidRDefault="001A4483" w:rsidP="001A4483">
      <w:pPr>
        <w:pStyle w:val="Heading3"/>
        <w:rPr>
          <w:rStyle w:val="Referencingstyle"/>
          <w:i w:val="0"/>
          <w:sz w:val="22"/>
        </w:rPr>
      </w:pPr>
      <w:r>
        <w:rPr>
          <w:rStyle w:val="Referencingstyle"/>
          <w:b/>
          <w:i w:val="0"/>
          <w:sz w:val="22"/>
        </w:rPr>
        <w:t>Time to decide the application</w:t>
      </w:r>
    </w:p>
    <w:p w:rsidR="001A4483" w:rsidRPr="00F44478" w:rsidRDefault="001A4483" w:rsidP="001A4483">
      <w:pPr>
        <w:pStyle w:val="base-text-paragraph"/>
        <w:numPr>
          <w:ilvl w:val="1"/>
          <w:numId w:val="24"/>
        </w:numPr>
        <w:rPr>
          <w:rStyle w:val="Referencingstyle"/>
          <w:b w:val="0"/>
          <w:i w:val="0"/>
          <w:sz w:val="22"/>
        </w:rPr>
      </w:pPr>
      <w:r>
        <w:rPr>
          <w:rStyle w:val="Referencingstyle"/>
          <w:b w:val="0"/>
          <w:i w:val="0"/>
          <w:sz w:val="22"/>
        </w:rPr>
        <w:t xml:space="preserve">APRA must make a decision on the application within 90 days of receiving the application or of receiving all the information requested by APRA where </w:t>
      </w:r>
      <w:r w:rsidR="0012439E">
        <w:rPr>
          <w:rStyle w:val="Referencingstyle"/>
          <w:b w:val="0"/>
          <w:i w:val="0"/>
          <w:sz w:val="22"/>
        </w:rPr>
        <w:t xml:space="preserve">APRA </w:t>
      </w:r>
      <w:r>
        <w:rPr>
          <w:rStyle w:val="Referencingstyle"/>
          <w:b w:val="0"/>
          <w:i w:val="0"/>
          <w:sz w:val="22"/>
        </w:rPr>
        <w:t xml:space="preserve">requested further information from the applicant. </w:t>
      </w:r>
      <w:r>
        <w:rPr>
          <w:rStyle w:val="Referencingstyle"/>
        </w:rPr>
        <w:t>[Schedule </w:t>
      </w:r>
      <w:r w:rsidR="00480B40">
        <w:rPr>
          <w:rStyle w:val="Referencingstyle"/>
        </w:rPr>
        <w:t>4</w:t>
      </w:r>
      <w:r>
        <w:rPr>
          <w:rStyle w:val="Referencingstyle"/>
        </w:rPr>
        <w:t>, item </w:t>
      </w:r>
      <w:r w:rsidR="000A66E6">
        <w:rPr>
          <w:rStyle w:val="Referencingstyle"/>
        </w:rPr>
        <w:t>8</w:t>
      </w:r>
      <w:r>
        <w:rPr>
          <w:rStyle w:val="Referencingstyle"/>
        </w:rPr>
        <w:t>, subsection 29HC(1)]</w:t>
      </w:r>
    </w:p>
    <w:p w:rsidR="001A4483" w:rsidRPr="00D36F6B" w:rsidRDefault="001A4483" w:rsidP="001A4483">
      <w:pPr>
        <w:pStyle w:val="base-text-paragraph"/>
        <w:numPr>
          <w:ilvl w:val="1"/>
          <w:numId w:val="24"/>
        </w:numPr>
        <w:rPr>
          <w:rStyle w:val="Referencingstyle"/>
          <w:b w:val="0"/>
          <w:i w:val="0"/>
          <w:sz w:val="22"/>
        </w:rPr>
      </w:pPr>
      <w:r>
        <w:rPr>
          <w:rStyle w:val="Referencingstyle"/>
          <w:b w:val="0"/>
          <w:i w:val="0"/>
          <w:sz w:val="22"/>
        </w:rPr>
        <w:t xml:space="preserve">However, APRA may extend the period by a further 30 days, as long as APRA informs the applicant in writing within 90 days of receiving the application, in </w:t>
      </w:r>
      <w:r w:rsidR="0012439E">
        <w:rPr>
          <w:rStyle w:val="Referencingstyle"/>
          <w:b w:val="0"/>
          <w:i w:val="0"/>
          <w:sz w:val="22"/>
        </w:rPr>
        <w:t>this</w:t>
      </w:r>
      <w:r>
        <w:rPr>
          <w:rStyle w:val="Referencingstyle"/>
          <w:b w:val="0"/>
          <w:i w:val="0"/>
          <w:sz w:val="22"/>
        </w:rPr>
        <w:t xml:space="preserve"> case APRA must decide the application within the extended period </w:t>
      </w:r>
      <w:r>
        <w:rPr>
          <w:rStyle w:val="Referencingstyle"/>
        </w:rPr>
        <w:t>[Schedule </w:t>
      </w:r>
      <w:r w:rsidR="00480B40">
        <w:rPr>
          <w:rStyle w:val="Referencingstyle"/>
        </w:rPr>
        <w:t>4</w:t>
      </w:r>
      <w:r>
        <w:rPr>
          <w:rStyle w:val="Referencingstyle"/>
        </w:rPr>
        <w:t>, item </w:t>
      </w:r>
      <w:r w:rsidR="000A66E6">
        <w:rPr>
          <w:rStyle w:val="Referencingstyle"/>
        </w:rPr>
        <w:t>8</w:t>
      </w:r>
      <w:r>
        <w:rPr>
          <w:rStyle w:val="Referencingstyle"/>
        </w:rPr>
        <w:t>, subsections 29HC(2) and (3)]</w:t>
      </w:r>
    </w:p>
    <w:p w:rsidR="00AA2A10" w:rsidRPr="002A5DDF" w:rsidRDefault="001A4483" w:rsidP="00AA2A10">
      <w:pPr>
        <w:pStyle w:val="Heading3"/>
        <w:rPr>
          <w:rStyle w:val="Referencingstyle"/>
          <w:b/>
          <w:i w:val="0"/>
          <w:sz w:val="22"/>
        </w:rPr>
      </w:pPr>
      <w:r>
        <w:rPr>
          <w:rStyle w:val="Referencingstyle"/>
          <w:b/>
          <w:i w:val="0"/>
          <w:sz w:val="22"/>
        </w:rPr>
        <w:t>A</w:t>
      </w:r>
      <w:r w:rsidR="00AA2A10">
        <w:rPr>
          <w:rStyle w:val="Referencingstyle"/>
          <w:b/>
          <w:i w:val="0"/>
          <w:sz w:val="22"/>
        </w:rPr>
        <w:t>pproval of an application</w:t>
      </w:r>
    </w:p>
    <w:p w:rsidR="00F44478" w:rsidRDefault="00F44478" w:rsidP="00F44478">
      <w:pPr>
        <w:pStyle w:val="base-text-paragraph"/>
        <w:numPr>
          <w:ilvl w:val="1"/>
          <w:numId w:val="24"/>
        </w:numPr>
        <w:rPr>
          <w:rStyle w:val="Referencingstyle"/>
          <w:b w:val="0"/>
          <w:i w:val="0"/>
          <w:sz w:val="22"/>
        </w:rPr>
      </w:pPr>
      <w:r>
        <w:rPr>
          <w:rStyle w:val="Referencingstyle"/>
          <w:b w:val="0"/>
          <w:i w:val="0"/>
          <w:sz w:val="22"/>
        </w:rPr>
        <w:t>APRA must approve the application if and only if:</w:t>
      </w:r>
    </w:p>
    <w:p w:rsidR="00D36F6B" w:rsidRDefault="00F44478" w:rsidP="00F44478">
      <w:pPr>
        <w:pStyle w:val="dotpoint"/>
        <w:rPr>
          <w:rStyle w:val="Referencingstyle"/>
          <w:b w:val="0"/>
          <w:i w:val="0"/>
          <w:sz w:val="22"/>
        </w:rPr>
      </w:pPr>
      <w:r>
        <w:rPr>
          <w:rStyle w:val="Referencingstyle"/>
          <w:b w:val="0"/>
          <w:i w:val="0"/>
          <w:sz w:val="22"/>
        </w:rPr>
        <w:t xml:space="preserve">the application </w:t>
      </w:r>
      <w:r w:rsidR="00D36F6B">
        <w:rPr>
          <w:rStyle w:val="Referencingstyle"/>
          <w:b w:val="0"/>
          <w:i w:val="0"/>
          <w:sz w:val="22"/>
        </w:rPr>
        <w:t>is in the form required</w:t>
      </w:r>
      <w:r w:rsidR="001706D7">
        <w:rPr>
          <w:rStyle w:val="Referencingstyle"/>
          <w:b w:val="0"/>
          <w:i w:val="0"/>
          <w:sz w:val="22"/>
        </w:rPr>
        <w:t xml:space="preserve"> and with the correct information</w:t>
      </w:r>
      <w:r w:rsidR="00D36F6B">
        <w:rPr>
          <w:rStyle w:val="Referencingstyle"/>
          <w:b w:val="0"/>
          <w:i w:val="0"/>
          <w:sz w:val="22"/>
        </w:rPr>
        <w:t>;</w:t>
      </w:r>
    </w:p>
    <w:p w:rsidR="00DF28F2" w:rsidRDefault="00DF28F2" w:rsidP="00F44478">
      <w:pPr>
        <w:pStyle w:val="dotpoint"/>
        <w:rPr>
          <w:rStyle w:val="Referencingstyle"/>
          <w:b w:val="0"/>
          <w:i w:val="0"/>
          <w:sz w:val="22"/>
        </w:rPr>
      </w:pPr>
      <w:r>
        <w:rPr>
          <w:rStyle w:val="Referencingstyle"/>
          <w:b w:val="0"/>
          <w:i w:val="0"/>
          <w:sz w:val="22"/>
        </w:rPr>
        <w:lastRenderedPageBreak/>
        <w:t>the applicant has provided all the information requested or the request has been disposed; and</w:t>
      </w:r>
    </w:p>
    <w:p w:rsidR="00DF28F2" w:rsidRDefault="00DF28F2" w:rsidP="00F44478">
      <w:pPr>
        <w:pStyle w:val="dotpoint"/>
        <w:rPr>
          <w:rStyle w:val="Referencingstyle"/>
          <w:b w:val="0"/>
          <w:i w:val="0"/>
          <w:sz w:val="22"/>
        </w:rPr>
      </w:pPr>
      <w:r>
        <w:rPr>
          <w:rStyle w:val="Referencingstyle"/>
          <w:b w:val="0"/>
          <w:i w:val="0"/>
          <w:sz w:val="22"/>
        </w:rPr>
        <w:t>APRA</w:t>
      </w:r>
      <w:r w:rsidR="00D62F1F">
        <w:rPr>
          <w:rStyle w:val="Referencingstyle"/>
          <w:b w:val="0"/>
          <w:i w:val="0"/>
          <w:sz w:val="22"/>
        </w:rPr>
        <w:t xml:space="preserve"> has no reason to believe that the RSE licensee may be unable to satisfy one or more the trustee’s obligations contained in a covenant set out in section 52 to 53, or prescribed under section 54A, or referred to in section 29VN or 29VO, because of:</w:t>
      </w:r>
    </w:p>
    <w:p w:rsidR="00D62F1F" w:rsidRDefault="00D62F1F" w:rsidP="00D62F1F">
      <w:pPr>
        <w:pStyle w:val="dotpoint2"/>
        <w:rPr>
          <w:rStyle w:val="Referencingstyle"/>
          <w:b w:val="0"/>
          <w:i w:val="0"/>
          <w:sz w:val="22"/>
        </w:rPr>
      </w:pPr>
      <w:r>
        <w:rPr>
          <w:rStyle w:val="Referencingstyle"/>
          <w:b w:val="0"/>
          <w:i w:val="0"/>
          <w:sz w:val="22"/>
        </w:rPr>
        <w:t>the applicant’s controlling stake in the RSE licensee; or</w:t>
      </w:r>
    </w:p>
    <w:p w:rsidR="00D62F1F" w:rsidRDefault="00D62F1F" w:rsidP="00D62F1F">
      <w:pPr>
        <w:pStyle w:val="dotpoint2"/>
        <w:rPr>
          <w:rStyle w:val="Referencingstyle"/>
          <w:b w:val="0"/>
          <w:i w:val="0"/>
          <w:sz w:val="22"/>
        </w:rPr>
      </w:pPr>
      <w:proofErr w:type="gramStart"/>
      <w:r>
        <w:rPr>
          <w:rStyle w:val="Referencingstyle"/>
          <w:b w:val="0"/>
          <w:i w:val="0"/>
          <w:sz w:val="22"/>
        </w:rPr>
        <w:t>the</w:t>
      </w:r>
      <w:proofErr w:type="gramEnd"/>
      <w:r>
        <w:rPr>
          <w:rStyle w:val="Referencingstyle"/>
          <w:b w:val="0"/>
          <w:i w:val="0"/>
          <w:sz w:val="22"/>
        </w:rPr>
        <w:t xml:space="preserve"> way in which that controlling stake is likely to be used.</w:t>
      </w:r>
    </w:p>
    <w:p w:rsidR="00D62F1F" w:rsidRPr="00D62F1F" w:rsidRDefault="00D62F1F" w:rsidP="00D62F1F">
      <w:pPr>
        <w:pStyle w:val="base-text-paragraphnonumbers"/>
        <w:rPr>
          <w:rStyle w:val="Referencingstyle"/>
        </w:rPr>
      </w:pPr>
      <w:r>
        <w:rPr>
          <w:rStyle w:val="Referencingstyle"/>
        </w:rPr>
        <w:t>[Schedule </w:t>
      </w:r>
      <w:r w:rsidR="00480B40">
        <w:rPr>
          <w:rStyle w:val="Referencingstyle"/>
        </w:rPr>
        <w:t>4</w:t>
      </w:r>
      <w:r>
        <w:rPr>
          <w:rStyle w:val="Referencingstyle"/>
        </w:rPr>
        <w:t>, item </w:t>
      </w:r>
      <w:r w:rsidR="000A66E6">
        <w:rPr>
          <w:rStyle w:val="Referencingstyle"/>
        </w:rPr>
        <w:t>8</w:t>
      </w:r>
      <w:r>
        <w:rPr>
          <w:rStyle w:val="Referencingstyle"/>
        </w:rPr>
        <w:t>, section 29HD]</w:t>
      </w:r>
    </w:p>
    <w:p w:rsidR="005C5F73" w:rsidRDefault="005C5F73" w:rsidP="005C5F73">
      <w:pPr>
        <w:pStyle w:val="ExampleHeading"/>
        <w:rPr>
          <w:rStyle w:val="Referencingstyle"/>
        </w:rPr>
      </w:pPr>
    </w:p>
    <w:p w:rsidR="005C5F73" w:rsidRDefault="005C5F73" w:rsidP="005C5F73">
      <w:pPr>
        <w:pStyle w:val="exampletext"/>
      </w:pPr>
      <w:r>
        <w:t xml:space="preserve">Ms </w:t>
      </w:r>
      <w:proofErr w:type="spellStart"/>
      <w:r>
        <w:t>Hetty</w:t>
      </w:r>
      <w:proofErr w:type="spellEnd"/>
      <w:r>
        <w:t xml:space="preserve"> is seeking to make an offer to SA Adventure Pty Ltd to acquire 100 per cent of the shares in Harpoon Pty Ltd (an RSE licensee). Prior to making the offer Ms </w:t>
      </w:r>
      <w:proofErr w:type="spellStart"/>
      <w:r>
        <w:t>Hetty</w:t>
      </w:r>
      <w:proofErr w:type="spellEnd"/>
      <w:r>
        <w:t xml:space="preserve"> seeks approval from APRA. During the approval process APRA forms the view that due to previous and ongoing connections with individuals who have previously come to APRA’s attention for questionable tax practices, Ms </w:t>
      </w:r>
      <w:proofErr w:type="spellStart"/>
      <w:r>
        <w:t>Hetty</w:t>
      </w:r>
      <w:proofErr w:type="spellEnd"/>
      <w:r>
        <w:t xml:space="preserve"> raises significant prudential concerns. </w:t>
      </w:r>
    </w:p>
    <w:p w:rsidR="005C5F73" w:rsidRDefault="005C5F73" w:rsidP="005C5F73">
      <w:pPr>
        <w:pStyle w:val="exampletext"/>
      </w:pPr>
      <w:r>
        <w:t xml:space="preserve">After seeking further information from Ms </w:t>
      </w:r>
      <w:proofErr w:type="spellStart"/>
      <w:r>
        <w:t>Hetty</w:t>
      </w:r>
      <w:proofErr w:type="spellEnd"/>
      <w:r>
        <w:t xml:space="preserve">, APRA’s original concerns remained. APRA subsequently rejected that application for approval. </w:t>
      </w:r>
    </w:p>
    <w:p w:rsidR="005C5F73" w:rsidRDefault="005C5F73" w:rsidP="005C5F73">
      <w:pPr>
        <w:pStyle w:val="ExampleHeading"/>
      </w:pPr>
    </w:p>
    <w:p w:rsidR="005C5F73" w:rsidRDefault="005C5F73" w:rsidP="005C5F73">
      <w:pPr>
        <w:pStyle w:val="exampletext"/>
      </w:pPr>
      <w:r>
        <w:t xml:space="preserve">SA Adventure Pty Ltd seeks APRA’s approval for its planned purchase of 100 per cent of Harpoon RSE licensee Pty Ltd (Harpoon) from HLMW RSE licensee for $3 million. Harpoon holds an RSE licence and has approximately $1.5 billion under trusteeship across a number of funds. </w:t>
      </w:r>
    </w:p>
    <w:p w:rsidR="005C5F73" w:rsidRDefault="005C5F73" w:rsidP="005C5F73">
      <w:pPr>
        <w:pStyle w:val="exampletext"/>
      </w:pPr>
      <w:r>
        <w:t xml:space="preserve">In considering approval APRA forms the view that SA Adventure Pty Ltd raises significant prudential concerns, particularly around its financial capacity. SA Adventure Pty Ltd was listed on the ASX with a share price but had only recently become active as a financial services company. APRA also recognises potential issues around the past dealings of </w:t>
      </w:r>
      <w:r w:rsidRPr="00217DE1">
        <w:t xml:space="preserve">SA Adventure Pty </w:t>
      </w:r>
      <w:proofErr w:type="spellStart"/>
      <w:r w:rsidRPr="00217DE1">
        <w:t>Ltd</w:t>
      </w:r>
      <w:r>
        <w:t>’s</w:t>
      </w:r>
      <w:proofErr w:type="spellEnd"/>
      <w:r>
        <w:t xml:space="preserve"> managing director.</w:t>
      </w:r>
    </w:p>
    <w:p w:rsidR="005C5F73" w:rsidRPr="00BC41AC" w:rsidRDefault="005C5F73" w:rsidP="005C5F73">
      <w:pPr>
        <w:pStyle w:val="exampletext"/>
      </w:pPr>
      <w:r>
        <w:t>APRA subsequently notifies SA Adventure Pty Ltd that they do not approve its purchase Harpoon RSE licensee Pty Ltd.</w:t>
      </w:r>
    </w:p>
    <w:p w:rsidR="00D62F1F" w:rsidRPr="00623519" w:rsidRDefault="00D62F1F" w:rsidP="00D62F1F">
      <w:pPr>
        <w:pStyle w:val="base-text-paragraph"/>
        <w:numPr>
          <w:ilvl w:val="1"/>
          <w:numId w:val="24"/>
        </w:numPr>
      </w:pPr>
      <w:r w:rsidRPr="00623519">
        <w:lastRenderedPageBreak/>
        <w:t xml:space="preserve">Sections 52 to 52C provide the covenants to be included in the governing rules of a registrable superannuation entity </w:t>
      </w:r>
      <w:r w:rsidR="00623519" w:rsidRPr="00623519">
        <w:t>or</w:t>
      </w:r>
      <w:r w:rsidRPr="00623519">
        <w:t xml:space="preserve"> </w:t>
      </w:r>
      <w:r w:rsidR="00623519" w:rsidRPr="00623519">
        <w:t>self-managed</w:t>
      </w:r>
      <w:r w:rsidRPr="00623519">
        <w:t xml:space="preserve"> superannuati</w:t>
      </w:r>
      <w:r w:rsidR="00623519" w:rsidRPr="00623519">
        <w:t xml:space="preserve">on fund, if such covenants are not included in </w:t>
      </w:r>
      <w:r w:rsidR="00191785">
        <w:t>the</w:t>
      </w:r>
      <w:r w:rsidR="00623519" w:rsidRPr="00623519">
        <w:t xml:space="preserve"> governing rules</w:t>
      </w:r>
      <w:r w:rsidR="00191785">
        <w:t xml:space="preserve"> of the entity</w:t>
      </w:r>
      <w:r w:rsidR="00623519" w:rsidRPr="00623519">
        <w:t xml:space="preserve">. Some of these covenants relate to the directors of the registrable superannuation entity or self-managed superannuation fund. </w:t>
      </w:r>
    </w:p>
    <w:p w:rsidR="00623519" w:rsidRPr="00C13921" w:rsidRDefault="00623519" w:rsidP="00D62F1F">
      <w:pPr>
        <w:pStyle w:val="base-text-paragraph"/>
        <w:numPr>
          <w:ilvl w:val="1"/>
          <w:numId w:val="24"/>
        </w:numPr>
      </w:pPr>
      <w:r w:rsidRPr="00C13921">
        <w:t xml:space="preserve">The covenants include </w:t>
      </w:r>
      <w:r w:rsidR="00191785">
        <w:t>obliging</w:t>
      </w:r>
      <w:r w:rsidRPr="00C13921">
        <w:t xml:space="preserve"> trustees </w:t>
      </w:r>
      <w:r w:rsidR="00191785">
        <w:t>to</w:t>
      </w:r>
      <w:r w:rsidRPr="00C13921">
        <w:t xml:space="preserve"> act honestly, in the best interests of their beneficiaries and keep the money and assets of the entity separate from any other money and assets.</w:t>
      </w:r>
    </w:p>
    <w:p w:rsidR="00D62F1F" w:rsidRDefault="00C13921" w:rsidP="00D62F1F">
      <w:pPr>
        <w:pStyle w:val="base-text-paragraph"/>
        <w:numPr>
          <w:ilvl w:val="1"/>
          <w:numId w:val="24"/>
        </w:numPr>
      </w:pPr>
      <w:r>
        <w:t xml:space="preserve">Similarly, section 53 implies a covenant into the governing rules of an approved deposit fund to require </w:t>
      </w:r>
      <w:r w:rsidRPr="00C13921">
        <w:t>a trustee</w:t>
      </w:r>
      <w:r w:rsidR="005C02B3" w:rsidRPr="00C13921">
        <w:t xml:space="preserve"> </w:t>
      </w:r>
      <w:r>
        <w:t>to</w:t>
      </w:r>
      <w:r w:rsidR="005C02B3" w:rsidRPr="00C13921">
        <w:t xml:space="preserve"> </w:t>
      </w:r>
      <w:r w:rsidRPr="00C13921">
        <w:t>re</w:t>
      </w:r>
      <w:r w:rsidR="005C02B3" w:rsidRPr="00C13921">
        <w:t>pay an amount to a beneficiary</w:t>
      </w:r>
      <w:r w:rsidRPr="00C13921">
        <w:t>, if a beneficiary request</w:t>
      </w:r>
      <w:r>
        <w:t>s</w:t>
      </w:r>
      <w:r w:rsidRPr="00C13921">
        <w:t xml:space="preserve"> the repayment and compliance with the request would not be inconsistent with the operating standards for the approved deposit fund.</w:t>
      </w:r>
      <w:r w:rsidR="005C02B3" w:rsidRPr="00C13921">
        <w:t xml:space="preserve"> </w:t>
      </w:r>
    </w:p>
    <w:p w:rsidR="00C13921" w:rsidRPr="00C13921" w:rsidRDefault="00C13921" w:rsidP="00D62F1F">
      <w:pPr>
        <w:pStyle w:val="base-text-paragraph"/>
        <w:numPr>
          <w:ilvl w:val="1"/>
          <w:numId w:val="24"/>
        </w:numPr>
      </w:pPr>
      <w:r>
        <w:t xml:space="preserve">Section 54A allows regulations to prescribe other </w:t>
      </w:r>
      <w:r w:rsidR="0078178D">
        <w:t>covenants</w:t>
      </w:r>
      <w:r>
        <w:t>.</w:t>
      </w:r>
    </w:p>
    <w:p w:rsidR="00D62F1F" w:rsidRPr="0078178D" w:rsidRDefault="0078178D" w:rsidP="00D62F1F">
      <w:pPr>
        <w:pStyle w:val="base-text-paragraph"/>
        <w:numPr>
          <w:ilvl w:val="1"/>
          <w:numId w:val="24"/>
        </w:numPr>
      </w:pPr>
      <w:r w:rsidRPr="0078178D">
        <w:t xml:space="preserve">Section 29VN contains </w:t>
      </w:r>
      <w:r w:rsidR="00D62F1F" w:rsidRPr="0078178D">
        <w:t xml:space="preserve">additional obligations imposed on trustees </w:t>
      </w:r>
      <w:r w:rsidRPr="0078178D">
        <w:t xml:space="preserve">of a regulated superannuation fund </w:t>
      </w:r>
      <w:r w:rsidR="00D62F1F" w:rsidRPr="0078178D">
        <w:t>i</w:t>
      </w:r>
      <w:r w:rsidRPr="0078178D">
        <w:t>n relation to MySuper product.</w:t>
      </w:r>
      <w:r w:rsidR="00D62F1F" w:rsidRPr="0078178D">
        <w:t xml:space="preserve"> </w:t>
      </w:r>
      <w:r w:rsidRPr="0078178D">
        <w:t>These</w:t>
      </w:r>
      <w:r w:rsidR="00D62F1F" w:rsidRPr="0078178D">
        <w:t xml:space="preserve"> include </w:t>
      </w:r>
      <w:r w:rsidR="00191785">
        <w:t xml:space="preserve">obligation to promote the financial interests of beneficiaries in the fund and </w:t>
      </w:r>
      <w:r w:rsidR="00D62F1F" w:rsidRPr="0078178D">
        <w:t>having up to date investment strategies for each product.</w:t>
      </w:r>
    </w:p>
    <w:p w:rsidR="0078178D" w:rsidRDefault="0078178D" w:rsidP="00D62F1F">
      <w:pPr>
        <w:pStyle w:val="base-text-paragraph"/>
        <w:numPr>
          <w:ilvl w:val="1"/>
          <w:numId w:val="24"/>
        </w:numPr>
      </w:pPr>
      <w:r w:rsidRPr="0078178D">
        <w:t>Section 29VO contains additional obligations imposed on directors of corporate trustees to exercise reasonable care and diligence for the purposes of ensuring the corporate trustee carrying out its obligations under section 29VN.</w:t>
      </w:r>
    </w:p>
    <w:p w:rsidR="001A4483" w:rsidRPr="005F1DC0" w:rsidRDefault="001A4483" w:rsidP="001A4483">
      <w:pPr>
        <w:pStyle w:val="base-text-paragraph"/>
        <w:numPr>
          <w:ilvl w:val="1"/>
          <w:numId w:val="24"/>
        </w:numPr>
        <w:rPr>
          <w:rStyle w:val="Referencingstyle"/>
          <w:b w:val="0"/>
          <w:i w:val="0"/>
          <w:sz w:val="22"/>
        </w:rPr>
      </w:pPr>
      <w:r>
        <w:rPr>
          <w:rStyle w:val="Referencingstyle"/>
          <w:b w:val="0"/>
          <w:i w:val="0"/>
          <w:sz w:val="22"/>
        </w:rPr>
        <w:t xml:space="preserve">If APRA approves the applicant to hold a controlling stake in an RSE licensee, APRA must notify the applicant in writing. </w:t>
      </w:r>
      <w:r>
        <w:rPr>
          <w:rStyle w:val="Referencingstyle"/>
        </w:rPr>
        <w:t>[Schedule </w:t>
      </w:r>
      <w:r w:rsidR="00480B40">
        <w:rPr>
          <w:rStyle w:val="Referencingstyle"/>
        </w:rPr>
        <w:t>4</w:t>
      </w:r>
      <w:r>
        <w:rPr>
          <w:rStyle w:val="Referencingstyle"/>
        </w:rPr>
        <w:t>, item 10, section 29HE]</w:t>
      </w:r>
    </w:p>
    <w:p w:rsidR="00AA2A10" w:rsidRPr="00F44478" w:rsidRDefault="001A4483" w:rsidP="00AA2A10">
      <w:pPr>
        <w:pStyle w:val="Heading3"/>
        <w:rPr>
          <w:rStyle w:val="Referencingstyle"/>
          <w:b/>
          <w:i w:val="0"/>
          <w:sz w:val="22"/>
        </w:rPr>
      </w:pPr>
      <w:r>
        <w:rPr>
          <w:rStyle w:val="Referencingstyle"/>
          <w:b/>
          <w:i w:val="0"/>
          <w:sz w:val="22"/>
        </w:rPr>
        <w:t>R</w:t>
      </w:r>
      <w:r w:rsidR="00AA2A10">
        <w:rPr>
          <w:rStyle w:val="Referencingstyle"/>
          <w:b/>
          <w:i w:val="0"/>
          <w:sz w:val="22"/>
        </w:rPr>
        <w:t>efusal of an application</w:t>
      </w:r>
    </w:p>
    <w:p w:rsidR="001A4483" w:rsidRPr="001A4483" w:rsidRDefault="001A4483" w:rsidP="001A4483">
      <w:pPr>
        <w:pStyle w:val="base-text-paragraph"/>
        <w:numPr>
          <w:ilvl w:val="1"/>
          <w:numId w:val="27"/>
        </w:numPr>
        <w:rPr>
          <w:rStyle w:val="Referencingstyle"/>
          <w:b w:val="0"/>
          <w:i w:val="0"/>
          <w:sz w:val="22"/>
        </w:rPr>
      </w:pPr>
      <w:r w:rsidRPr="001A4483">
        <w:rPr>
          <w:rStyle w:val="Referencingstyle"/>
          <w:b w:val="0"/>
          <w:i w:val="0"/>
          <w:sz w:val="22"/>
        </w:rPr>
        <w:t>If APRA refuses the application, APRA must take all reasonable steps to ensure that the applicant is given a notice informing it of the decision and setting the reasons for the refusal.</w:t>
      </w:r>
      <w:r>
        <w:rPr>
          <w:rStyle w:val="Referencingstyle"/>
        </w:rPr>
        <w:t xml:space="preserve"> [Schedule </w:t>
      </w:r>
      <w:r w:rsidR="00480B40">
        <w:rPr>
          <w:rStyle w:val="Referencingstyle"/>
        </w:rPr>
        <w:t>4</w:t>
      </w:r>
      <w:r>
        <w:rPr>
          <w:rStyle w:val="Referencingstyle"/>
        </w:rPr>
        <w:t>, item </w:t>
      </w:r>
      <w:r w:rsidR="000A66E6">
        <w:rPr>
          <w:rStyle w:val="Referencingstyle"/>
        </w:rPr>
        <w:t>8</w:t>
      </w:r>
      <w:r>
        <w:rPr>
          <w:rStyle w:val="Referencingstyle"/>
        </w:rPr>
        <w:t>, section 29HF]</w:t>
      </w:r>
    </w:p>
    <w:p w:rsidR="001408FA" w:rsidRDefault="001408FA" w:rsidP="001A4483">
      <w:pPr>
        <w:pStyle w:val="base-text-paragraph"/>
        <w:numPr>
          <w:ilvl w:val="1"/>
          <w:numId w:val="24"/>
        </w:numPr>
        <w:rPr>
          <w:rStyle w:val="Referencingstyle"/>
          <w:b w:val="0"/>
          <w:i w:val="0"/>
          <w:sz w:val="22"/>
        </w:rPr>
      </w:pPr>
      <w:r>
        <w:rPr>
          <w:rStyle w:val="Referencingstyle"/>
          <w:b w:val="0"/>
          <w:i w:val="0"/>
          <w:sz w:val="22"/>
        </w:rPr>
        <w:t xml:space="preserve">The decision to refuse to give approval is reviewable by the Administrative Appeals Tribunal (AAT). </w:t>
      </w:r>
      <w:r>
        <w:rPr>
          <w:rStyle w:val="Referencingstyle"/>
        </w:rPr>
        <w:t>[Schedule </w:t>
      </w:r>
      <w:r w:rsidR="00480B40">
        <w:rPr>
          <w:rStyle w:val="Referencingstyle"/>
        </w:rPr>
        <w:t>4</w:t>
      </w:r>
      <w:r>
        <w:rPr>
          <w:rStyle w:val="Referencingstyle"/>
        </w:rPr>
        <w:t>, item </w:t>
      </w:r>
      <w:r w:rsidR="000A66E6">
        <w:rPr>
          <w:rStyle w:val="Referencingstyle"/>
        </w:rPr>
        <w:t>2</w:t>
      </w:r>
      <w:r>
        <w:rPr>
          <w:rStyle w:val="Referencingstyle"/>
        </w:rPr>
        <w:t>, paragraph (</w:t>
      </w:r>
      <w:proofErr w:type="spellStart"/>
      <w:r>
        <w:rPr>
          <w:rStyle w:val="Referencingstyle"/>
        </w:rPr>
        <w:t>dla</w:t>
      </w:r>
      <w:proofErr w:type="spellEnd"/>
      <w:r>
        <w:rPr>
          <w:rStyle w:val="Referencingstyle"/>
        </w:rPr>
        <w:t xml:space="preserve">) </w:t>
      </w:r>
      <w:r w:rsidR="00082D21">
        <w:rPr>
          <w:rStyle w:val="Referencingstyle"/>
        </w:rPr>
        <w:t xml:space="preserve">of </w:t>
      </w:r>
      <w:r>
        <w:rPr>
          <w:rStyle w:val="Referencingstyle"/>
        </w:rPr>
        <w:t>definition of ‘reviewable decision’</w:t>
      </w:r>
      <w:r w:rsidR="00082D21">
        <w:rPr>
          <w:rStyle w:val="Referencingstyle"/>
        </w:rPr>
        <w:t xml:space="preserve"> in subsection 10(1)</w:t>
      </w:r>
      <w:r>
        <w:rPr>
          <w:rStyle w:val="Referencingstyle"/>
        </w:rPr>
        <w:t>]</w:t>
      </w:r>
    </w:p>
    <w:p w:rsidR="00F44478" w:rsidRPr="005F1DC0" w:rsidRDefault="00F44478" w:rsidP="001A4483">
      <w:pPr>
        <w:pStyle w:val="base-text-paragraph"/>
        <w:numPr>
          <w:ilvl w:val="1"/>
          <w:numId w:val="24"/>
        </w:numPr>
        <w:rPr>
          <w:rStyle w:val="Referencingstyle"/>
          <w:b w:val="0"/>
          <w:i w:val="0"/>
          <w:sz w:val="22"/>
        </w:rPr>
      </w:pPr>
      <w:r w:rsidRPr="00F44478">
        <w:rPr>
          <w:rStyle w:val="Referencingstyle"/>
          <w:b w:val="0"/>
          <w:i w:val="0"/>
          <w:sz w:val="22"/>
        </w:rPr>
        <w:t xml:space="preserve">Where APRA does not decide on the application within 90 </w:t>
      </w:r>
      <w:r>
        <w:rPr>
          <w:rStyle w:val="Referencingstyle"/>
          <w:b w:val="0"/>
          <w:i w:val="0"/>
          <w:sz w:val="22"/>
        </w:rPr>
        <w:t>days (</w:t>
      </w:r>
      <w:r w:rsidRPr="00F44478">
        <w:rPr>
          <w:rStyle w:val="Referencingstyle"/>
          <w:b w:val="0"/>
          <w:i w:val="0"/>
          <w:sz w:val="22"/>
        </w:rPr>
        <w:t xml:space="preserve">or 120 days </w:t>
      </w:r>
      <w:r>
        <w:rPr>
          <w:rStyle w:val="Referencingstyle"/>
          <w:b w:val="0"/>
          <w:i w:val="0"/>
          <w:sz w:val="22"/>
        </w:rPr>
        <w:t>for extensions) of receiving the application</w:t>
      </w:r>
      <w:r w:rsidRPr="00F44478">
        <w:rPr>
          <w:rStyle w:val="Referencingstyle"/>
          <w:b w:val="0"/>
          <w:i w:val="0"/>
          <w:sz w:val="22"/>
        </w:rPr>
        <w:t xml:space="preserve">, the application is taken to be refused. </w:t>
      </w:r>
      <w:r w:rsidRPr="00F44478">
        <w:rPr>
          <w:rStyle w:val="Referencingstyle"/>
        </w:rPr>
        <w:t>[Schedule </w:t>
      </w:r>
      <w:r w:rsidR="00480B40">
        <w:rPr>
          <w:rStyle w:val="Referencingstyle"/>
        </w:rPr>
        <w:t>4</w:t>
      </w:r>
      <w:r w:rsidRPr="00F44478">
        <w:rPr>
          <w:rStyle w:val="Referencingstyle"/>
        </w:rPr>
        <w:t>, item </w:t>
      </w:r>
      <w:r w:rsidR="000A66E6">
        <w:rPr>
          <w:rStyle w:val="Referencingstyle"/>
        </w:rPr>
        <w:t>8</w:t>
      </w:r>
      <w:r w:rsidRPr="00F44478">
        <w:rPr>
          <w:rStyle w:val="Referencingstyle"/>
        </w:rPr>
        <w:t>, subsection 29HC(4)]</w:t>
      </w:r>
    </w:p>
    <w:p w:rsidR="001A4483" w:rsidRDefault="001A4483" w:rsidP="001A4483">
      <w:pPr>
        <w:pStyle w:val="Heading3"/>
        <w:rPr>
          <w:rStyle w:val="Referencingstyle"/>
          <w:b/>
          <w:i w:val="0"/>
          <w:sz w:val="22"/>
        </w:rPr>
      </w:pPr>
      <w:r>
        <w:rPr>
          <w:rStyle w:val="Referencingstyle"/>
          <w:b/>
          <w:i w:val="0"/>
          <w:sz w:val="22"/>
        </w:rPr>
        <w:lastRenderedPageBreak/>
        <w:t>Offence to hold a controlling stake</w:t>
      </w:r>
      <w:r w:rsidR="00C25552">
        <w:rPr>
          <w:rStyle w:val="Referencingstyle"/>
          <w:b/>
          <w:i w:val="0"/>
          <w:sz w:val="22"/>
        </w:rPr>
        <w:t xml:space="preserve"> without approval</w:t>
      </w:r>
    </w:p>
    <w:p w:rsidR="005F1DC0" w:rsidRPr="005F1DC0" w:rsidRDefault="005F1DC0" w:rsidP="001C398E">
      <w:pPr>
        <w:pStyle w:val="base-text-paragraph"/>
        <w:numPr>
          <w:ilvl w:val="1"/>
          <w:numId w:val="24"/>
        </w:numPr>
        <w:rPr>
          <w:rStyle w:val="Referencingstyle"/>
          <w:b w:val="0"/>
          <w:i w:val="0"/>
          <w:sz w:val="22"/>
        </w:rPr>
      </w:pPr>
      <w:r>
        <w:rPr>
          <w:rStyle w:val="Referencingstyle"/>
          <w:b w:val="0"/>
          <w:i w:val="0"/>
          <w:sz w:val="22"/>
        </w:rPr>
        <w:t>Where a person holds</w:t>
      </w:r>
      <w:r w:rsidR="00C25552" w:rsidRPr="005F1DC0">
        <w:rPr>
          <w:rStyle w:val="Referencingstyle"/>
          <w:b w:val="0"/>
          <w:i w:val="0"/>
          <w:sz w:val="22"/>
        </w:rPr>
        <w:t xml:space="preserve"> a controlling stake in an RSE licensee without approval</w:t>
      </w:r>
      <w:r>
        <w:rPr>
          <w:rStyle w:val="Referencingstyle"/>
          <w:b w:val="0"/>
          <w:i w:val="0"/>
          <w:sz w:val="22"/>
        </w:rPr>
        <w:t xml:space="preserve">, the person is committing </w:t>
      </w:r>
      <w:r w:rsidR="00C25552">
        <w:rPr>
          <w:rStyle w:val="Referencingstyle"/>
          <w:b w:val="0"/>
          <w:i w:val="0"/>
          <w:sz w:val="22"/>
        </w:rPr>
        <w:t>a strict liability offence with a penalty of 400 penalty units for each day in which the controlling stake is held without approval</w:t>
      </w:r>
      <w:r>
        <w:rPr>
          <w:rStyle w:val="Referencingstyle"/>
          <w:b w:val="0"/>
          <w:i w:val="0"/>
          <w:sz w:val="22"/>
        </w:rPr>
        <w:t>.</w:t>
      </w:r>
      <w:r w:rsidR="00C25552">
        <w:rPr>
          <w:rStyle w:val="Referencingstyle"/>
          <w:b w:val="0"/>
          <w:i w:val="0"/>
          <w:sz w:val="22"/>
        </w:rPr>
        <w:t xml:space="preserve"> </w:t>
      </w:r>
      <w:r w:rsidR="00C25552">
        <w:rPr>
          <w:rStyle w:val="Referencingstyle"/>
        </w:rPr>
        <w:t>[Schedule</w:t>
      </w:r>
      <w:r>
        <w:rPr>
          <w:rStyle w:val="Referencingstyle"/>
        </w:rPr>
        <w:t> </w:t>
      </w:r>
      <w:r w:rsidR="00480B40">
        <w:rPr>
          <w:rStyle w:val="Referencingstyle"/>
        </w:rPr>
        <w:t>4</w:t>
      </w:r>
      <w:r w:rsidR="00C25552">
        <w:rPr>
          <w:rStyle w:val="Referencingstyle"/>
        </w:rPr>
        <w:t xml:space="preserve">, item </w:t>
      </w:r>
      <w:r w:rsidR="000A66E6">
        <w:rPr>
          <w:rStyle w:val="Referencingstyle"/>
        </w:rPr>
        <w:t>9</w:t>
      </w:r>
      <w:r w:rsidR="00C25552">
        <w:rPr>
          <w:rStyle w:val="Referencingstyle"/>
        </w:rPr>
        <w:t>, section 29JCB</w:t>
      </w:r>
      <w:r w:rsidR="00C25552" w:rsidRPr="005F1DC0">
        <w:rPr>
          <w:rStyle w:val="Referencingstyle"/>
        </w:rPr>
        <w:t>]</w:t>
      </w:r>
    </w:p>
    <w:p w:rsidR="001C398E" w:rsidRDefault="005F1DC0" w:rsidP="001C398E">
      <w:pPr>
        <w:pStyle w:val="base-text-paragraph"/>
        <w:numPr>
          <w:ilvl w:val="1"/>
          <w:numId w:val="24"/>
        </w:numPr>
        <w:rPr>
          <w:rStyle w:val="Referencingstyle"/>
          <w:b w:val="0"/>
          <w:i w:val="0"/>
          <w:sz w:val="22"/>
        </w:rPr>
      </w:pPr>
      <w:r>
        <w:rPr>
          <w:rStyle w:val="Referencingstyle"/>
          <w:b w:val="0"/>
          <w:i w:val="0"/>
          <w:sz w:val="22"/>
        </w:rPr>
        <w:t>The offence is subject to an infringement notice</w:t>
      </w:r>
      <w:r w:rsidR="00AA2A10">
        <w:rPr>
          <w:rStyle w:val="Referencingstyle"/>
          <w:b w:val="0"/>
          <w:i w:val="0"/>
          <w:sz w:val="22"/>
        </w:rPr>
        <w:t xml:space="preserve">. </w:t>
      </w:r>
      <w:r w:rsidR="00AA2A10">
        <w:rPr>
          <w:rStyle w:val="Referencingstyle"/>
        </w:rPr>
        <w:t>[Schedule </w:t>
      </w:r>
      <w:r w:rsidR="00480B40">
        <w:rPr>
          <w:rStyle w:val="Referencingstyle"/>
        </w:rPr>
        <w:t>4</w:t>
      </w:r>
      <w:r w:rsidR="00AA2A10">
        <w:rPr>
          <w:rStyle w:val="Referencingstyle"/>
        </w:rPr>
        <w:t>, item </w:t>
      </w:r>
      <w:r w:rsidR="000A66E6">
        <w:rPr>
          <w:rStyle w:val="Referencingstyle"/>
        </w:rPr>
        <w:t>12</w:t>
      </w:r>
      <w:r w:rsidR="00AA2A10">
        <w:rPr>
          <w:rStyle w:val="Referencingstyle"/>
        </w:rPr>
        <w:t>, paragraph 223A(1)(aa)]</w:t>
      </w:r>
      <w:r w:rsidR="001C398E">
        <w:rPr>
          <w:rStyle w:val="Referencingstyle"/>
          <w:b w:val="0"/>
          <w:i w:val="0"/>
          <w:sz w:val="22"/>
        </w:rPr>
        <w:t xml:space="preserve">  </w:t>
      </w:r>
    </w:p>
    <w:p w:rsidR="00AA2A10" w:rsidRDefault="0012439E" w:rsidP="001C398E">
      <w:pPr>
        <w:pStyle w:val="base-text-paragraph"/>
        <w:numPr>
          <w:ilvl w:val="1"/>
          <w:numId w:val="24"/>
        </w:numPr>
        <w:rPr>
          <w:rStyle w:val="Referencingstyle"/>
          <w:b w:val="0"/>
          <w:i w:val="0"/>
          <w:sz w:val="22"/>
        </w:rPr>
      </w:pPr>
      <w:r>
        <w:rPr>
          <w:rStyle w:val="Referencingstyle"/>
          <w:b w:val="0"/>
          <w:i w:val="0"/>
          <w:sz w:val="22"/>
        </w:rPr>
        <w:t>This is to address the situation where the person holding a controlling stake in an RSE licensee has not been aware of the requirement to obtain approval but is otherwise considered to be satisfying their fiduciary obligations</w:t>
      </w:r>
      <w:r w:rsidR="00AA2A10">
        <w:rPr>
          <w:rStyle w:val="Referencingstyle"/>
          <w:b w:val="0"/>
          <w:i w:val="0"/>
          <w:sz w:val="22"/>
        </w:rPr>
        <w:t>.</w:t>
      </w:r>
    </w:p>
    <w:p w:rsidR="00D36F6B" w:rsidRPr="005F1DC0" w:rsidRDefault="00D36F6B" w:rsidP="00D36F6B">
      <w:pPr>
        <w:pStyle w:val="Heading3"/>
        <w:rPr>
          <w:rStyle w:val="Referencingstyle"/>
          <w:b/>
          <w:i w:val="0"/>
          <w:sz w:val="22"/>
        </w:rPr>
      </w:pPr>
      <w:r>
        <w:rPr>
          <w:rStyle w:val="Referencingstyle"/>
          <w:b/>
          <w:i w:val="0"/>
          <w:sz w:val="22"/>
        </w:rPr>
        <w:t>Direction to relinquish control</w:t>
      </w:r>
    </w:p>
    <w:p w:rsidR="001706D7" w:rsidRDefault="001706D7" w:rsidP="001706D7">
      <w:pPr>
        <w:pStyle w:val="base-text-paragraph"/>
      </w:pPr>
      <w:r>
        <w:t>APRA may direct a person to relinquish control of an RSE licensee if</w:t>
      </w:r>
      <w:r w:rsidRPr="001706D7">
        <w:t xml:space="preserve"> </w:t>
      </w:r>
      <w:r>
        <w:t>APRA has reason to believe that:</w:t>
      </w:r>
    </w:p>
    <w:p w:rsidR="001706D7" w:rsidRDefault="001706D7" w:rsidP="001706D7">
      <w:pPr>
        <w:pStyle w:val="dotpoint"/>
      </w:pPr>
      <w:r>
        <w:t>the person has a controlling stake in or have practical control of the RSE licensee; and</w:t>
      </w:r>
    </w:p>
    <w:p w:rsidR="001706D7" w:rsidRDefault="001706D7" w:rsidP="001706D7">
      <w:pPr>
        <w:pStyle w:val="dotpoint"/>
        <w:rPr>
          <w:rStyle w:val="Referencingstyle"/>
          <w:b w:val="0"/>
          <w:i w:val="0"/>
          <w:sz w:val="22"/>
        </w:rPr>
      </w:pPr>
      <w:r>
        <w:rPr>
          <w:rStyle w:val="Referencingstyle"/>
          <w:b w:val="0"/>
          <w:i w:val="0"/>
          <w:sz w:val="22"/>
        </w:rPr>
        <w:t xml:space="preserve">APRA has reason to believe that the RSE licensee </w:t>
      </w:r>
      <w:r w:rsidR="006457A4">
        <w:rPr>
          <w:rStyle w:val="Referencingstyle"/>
          <w:b w:val="0"/>
          <w:i w:val="0"/>
          <w:sz w:val="22"/>
        </w:rPr>
        <w:t>has been, is or is likely to be</w:t>
      </w:r>
      <w:r>
        <w:rPr>
          <w:rStyle w:val="Referencingstyle"/>
          <w:b w:val="0"/>
          <w:i w:val="0"/>
          <w:sz w:val="22"/>
        </w:rPr>
        <w:t xml:space="preserve"> unable to satisfy one or more the trustee’s obligations contained in a co</w:t>
      </w:r>
      <w:r w:rsidR="006B01EB">
        <w:rPr>
          <w:rStyle w:val="Referencingstyle"/>
          <w:b w:val="0"/>
          <w:i w:val="0"/>
          <w:sz w:val="22"/>
        </w:rPr>
        <w:t>venant set out in section 52 to </w:t>
      </w:r>
      <w:r>
        <w:rPr>
          <w:rStyle w:val="Referencingstyle"/>
          <w:b w:val="0"/>
          <w:i w:val="0"/>
          <w:sz w:val="22"/>
        </w:rPr>
        <w:t>53, or prescribed under section 54A, or referred to in section 29VN or 29VO, because of:</w:t>
      </w:r>
    </w:p>
    <w:p w:rsidR="001706D7" w:rsidRDefault="001706D7" w:rsidP="001706D7">
      <w:pPr>
        <w:pStyle w:val="dotpoint2"/>
        <w:rPr>
          <w:rStyle w:val="Referencingstyle"/>
          <w:b w:val="0"/>
          <w:i w:val="0"/>
          <w:sz w:val="22"/>
        </w:rPr>
      </w:pPr>
      <w:r>
        <w:rPr>
          <w:rStyle w:val="Referencingstyle"/>
          <w:b w:val="0"/>
          <w:i w:val="0"/>
          <w:sz w:val="22"/>
        </w:rPr>
        <w:t xml:space="preserve">the </w:t>
      </w:r>
      <w:r w:rsidR="006457A4">
        <w:rPr>
          <w:rStyle w:val="Referencingstyle"/>
          <w:b w:val="0"/>
          <w:i w:val="0"/>
          <w:sz w:val="22"/>
        </w:rPr>
        <w:t>person’s</w:t>
      </w:r>
      <w:r>
        <w:rPr>
          <w:rStyle w:val="Referencingstyle"/>
          <w:b w:val="0"/>
          <w:i w:val="0"/>
          <w:sz w:val="22"/>
        </w:rPr>
        <w:t xml:space="preserve"> controlling stake in </w:t>
      </w:r>
      <w:r w:rsidR="006457A4">
        <w:rPr>
          <w:rStyle w:val="Referencingstyle"/>
          <w:b w:val="0"/>
          <w:i w:val="0"/>
          <w:sz w:val="22"/>
        </w:rPr>
        <w:t xml:space="preserve">or practical control of </w:t>
      </w:r>
      <w:r>
        <w:rPr>
          <w:rStyle w:val="Referencingstyle"/>
          <w:b w:val="0"/>
          <w:i w:val="0"/>
          <w:sz w:val="22"/>
        </w:rPr>
        <w:t>the RSE licensee; or</w:t>
      </w:r>
    </w:p>
    <w:p w:rsidR="006457A4" w:rsidRDefault="006457A4" w:rsidP="001706D7">
      <w:pPr>
        <w:pStyle w:val="dotpoint2"/>
        <w:rPr>
          <w:rStyle w:val="Referencingstyle"/>
          <w:b w:val="0"/>
          <w:i w:val="0"/>
          <w:sz w:val="22"/>
        </w:rPr>
      </w:pPr>
      <w:proofErr w:type="gramStart"/>
      <w:r>
        <w:rPr>
          <w:rStyle w:val="Referencingstyle"/>
          <w:b w:val="0"/>
          <w:i w:val="0"/>
          <w:sz w:val="22"/>
        </w:rPr>
        <w:t>the</w:t>
      </w:r>
      <w:proofErr w:type="gramEnd"/>
      <w:r>
        <w:rPr>
          <w:rStyle w:val="Referencingstyle"/>
          <w:b w:val="0"/>
          <w:i w:val="0"/>
          <w:sz w:val="22"/>
        </w:rPr>
        <w:t xml:space="preserve"> way in which that </w:t>
      </w:r>
      <w:r w:rsidR="00237CA4">
        <w:rPr>
          <w:rStyle w:val="Referencingstyle"/>
          <w:b w:val="0"/>
          <w:i w:val="0"/>
          <w:sz w:val="22"/>
        </w:rPr>
        <w:t>control</w:t>
      </w:r>
      <w:r>
        <w:rPr>
          <w:rStyle w:val="Referencingstyle"/>
          <w:b w:val="0"/>
          <w:i w:val="0"/>
          <w:sz w:val="22"/>
        </w:rPr>
        <w:t xml:space="preserve"> is likely to be exercised.</w:t>
      </w:r>
    </w:p>
    <w:p w:rsidR="006457A4" w:rsidRPr="006457A4" w:rsidRDefault="006457A4" w:rsidP="006457A4">
      <w:pPr>
        <w:pStyle w:val="base-text-paragraphnonumbers"/>
        <w:rPr>
          <w:rStyle w:val="Referencingstyle"/>
        </w:rPr>
      </w:pPr>
      <w:r>
        <w:rPr>
          <w:rStyle w:val="Referencingstyle"/>
        </w:rPr>
        <w:t>[Schedule </w:t>
      </w:r>
      <w:r w:rsidR="00480B40">
        <w:rPr>
          <w:rStyle w:val="Referencingstyle"/>
        </w:rPr>
        <w:t>4</w:t>
      </w:r>
      <w:r>
        <w:rPr>
          <w:rStyle w:val="Referencingstyle"/>
        </w:rPr>
        <w:t>, item </w:t>
      </w:r>
      <w:r w:rsidR="000A66E6">
        <w:rPr>
          <w:rStyle w:val="Referencingstyle"/>
        </w:rPr>
        <w:t>10</w:t>
      </w:r>
      <w:r>
        <w:rPr>
          <w:rStyle w:val="Referencingstyle"/>
        </w:rPr>
        <w:t xml:space="preserve">, subsection </w:t>
      </w:r>
      <w:proofErr w:type="gramStart"/>
      <w:r w:rsidR="000A66E6">
        <w:rPr>
          <w:rStyle w:val="Referencingstyle"/>
        </w:rPr>
        <w:t>131EB</w:t>
      </w:r>
      <w:r>
        <w:rPr>
          <w:rStyle w:val="Referencingstyle"/>
        </w:rPr>
        <w:t>(</w:t>
      </w:r>
      <w:proofErr w:type="gramEnd"/>
      <w:r>
        <w:rPr>
          <w:rStyle w:val="Referencingstyle"/>
        </w:rPr>
        <w:t>1)]</w:t>
      </w:r>
    </w:p>
    <w:p w:rsidR="006B01EB" w:rsidRDefault="00440A81" w:rsidP="006B01EB">
      <w:pPr>
        <w:pStyle w:val="base-text-paragraph"/>
        <w:rPr>
          <w:rStyle w:val="Referencingstyle"/>
          <w:b w:val="0"/>
          <w:i w:val="0"/>
          <w:sz w:val="22"/>
        </w:rPr>
      </w:pPr>
      <w:r>
        <w:rPr>
          <w:rStyle w:val="Referencingstyle"/>
          <w:b w:val="0"/>
          <w:i w:val="0"/>
          <w:sz w:val="22"/>
        </w:rPr>
        <w:t>These requirements are similar to the conditions for APRA to approve an application for controlling stake in the RSE licensee. The likelihood of interference with the RSE licensee’s ability to fulfil its obligations, due to the person controlling the RSE licensee, is the key consideration in APRA’s assessment of either approval of an application or the issue of a direction to relinquish control</w:t>
      </w:r>
      <w:r w:rsidR="003D2BB6">
        <w:rPr>
          <w:rStyle w:val="Referencingstyle"/>
          <w:b w:val="0"/>
          <w:i w:val="0"/>
          <w:sz w:val="22"/>
        </w:rPr>
        <w:t>.</w:t>
      </w:r>
    </w:p>
    <w:p w:rsidR="00FE00D2" w:rsidRDefault="004F58EB" w:rsidP="006B01EB">
      <w:pPr>
        <w:pStyle w:val="base-text-paragraph"/>
        <w:rPr>
          <w:rStyle w:val="Referencingstyle"/>
          <w:b w:val="0"/>
          <w:i w:val="0"/>
          <w:sz w:val="22"/>
        </w:rPr>
      </w:pPr>
      <w:r>
        <w:rPr>
          <w:rStyle w:val="Referencingstyle"/>
          <w:b w:val="0"/>
          <w:i w:val="0"/>
          <w:sz w:val="22"/>
        </w:rPr>
        <w:t xml:space="preserve">The main difference between the conditions for an approval of </w:t>
      </w:r>
      <w:r w:rsidR="00237CA4">
        <w:rPr>
          <w:rStyle w:val="Referencingstyle"/>
          <w:b w:val="0"/>
          <w:i w:val="0"/>
          <w:sz w:val="22"/>
        </w:rPr>
        <w:t xml:space="preserve">an </w:t>
      </w:r>
      <w:r>
        <w:rPr>
          <w:rStyle w:val="Referencingstyle"/>
          <w:b w:val="0"/>
          <w:i w:val="0"/>
          <w:sz w:val="22"/>
        </w:rPr>
        <w:t xml:space="preserve">application and the giving of a direction is that a direction can be given to a person’s practical control over an RSE licensee who does not have a controlling stake in the RSE licensee. </w:t>
      </w:r>
    </w:p>
    <w:p w:rsidR="004F58EB" w:rsidRDefault="004F58EB" w:rsidP="006B01EB">
      <w:pPr>
        <w:pStyle w:val="base-text-paragraph"/>
        <w:rPr>
          <w:rStyle w:val="Referencingstyle"/>
          <w:b w:val="0"/>
          <w:i w:val="0"/>
          <w:sz w:val="22"/>
        </w:rPr>
      </w:pPr>
      <w:r>
        <w:rPr>
          <w:rStyle w:val="Referencingstyle"/>
          <w:b w:val="0"/>
          <w:i w:val="0"/>
          <w:sz w:val="22"/>
        </w:rPr>
        <w:lastRenderedPageBreak/>
        <w:t xml:space="preserve">A person has </w:t>
      </w:r>
      <w:r w:rsidRPr="004F58EB">
        <w:rPr>
          <w:rStyle w:val="Referencingstyle"/>
          <w:sz w:val="22"/>
        </w:rPr>
        <w:t>practical control</w:t>
      </w:r>
      <w:r>
        <w:rPr>
          <w:rStyle w:val="Referencingstyle"/>
          <w:b w:val="0"/>
          <w:i w:val="0"/>
          <w:sz w:val="22"/>
        </w:rPr>
        <w:t xml:space="preserve"> over an RSE licensee if the person does not hold a controlling stake in the RSE licensee and:</w:t>
      </w:r>
    </w:p>
    <w:p w:rsidR="004F58EB" w:rsidRDefault="004F58EB" w:rsidP="004F58EB">
      <w:pPr>
        <w:pStyle w:val="dotpoint"/>
        <w:rPr>
          <w:rStyle w:val="Referencingstyle"/>
          <w:b w:val="0"/>
          <w:i w:val="0"/>
          <w:sz w:val="22"/>
        </w:rPr>
      </w:pPr>
      <w:r>
        <w:rPr>
          <w:rStyle w:val="Referencingstyle"/>
          <w:b w:val="0"/>
          <w:i w:val="0"/>
          <w:sz w:val="22"/>
        </w:rPr>
        <w:t>the directors of the RSE licensee are accustomed or under an obligation (formal or informal) to act in accordance with the directions, instructions or wishes of the person; or</w:t>
      </w:r>
    </w:p>
    <w:p w:rsidR="004F58EB" w:rsidRDefault="00440A81" w:rsidP="004F58EB">
      <w:pPr>
        <w:pStyle w:val="dotpoint"/>
        <w:rPr>
          <w:rStyle w:val="Referencingstyle"/>
          <w:b w:val="0"/>
          <w:i w:val="0"/>
          <w:sz w:val="22"/>
        </w:rPr>
      </w:pPr>
      <w:proofErr w:type="gramStart"/>
      <w:r>
        <w:rPr>
          <w:rStyle w:val="Referencingstyle"/>
          <w:b w:val="0"/>
          <w:i w:val="0"/>
          <w:sz w:val="22"/>
        </w:rPr>
        <w:t>the</w:t>
      </w:r>
      <w:proofErr w:type="gramEnd"/>
      <w:r>
        <w:rPr>
          <w:rStyle w:val="Referencingstyle"/>
          <w:b w:val="0"/>
          <w:i w:val="0"/>
          <w:sz w:val="22"/>
        </w:rPr>
        <w:t xml:space="preserve"> person, alone or together with </w:t>
      </w:r>
      <w:r w:rsidR="00C86EDA">
        <w:rPr>
          <w:rStyle w:val="Referencingstyle"/>
          <w:b w:val="0"/>
          <w:i w:val="0"/>
          <w:sz w:val="22"/>
        </w:rPr>
        <w:t>their</w:t>
      </w:r>
      <w:r>
        <w:rPr>
          <w:rStyle w:val="Referencingstyle"/>
          <w:b w:val="0"/>
          <w:i w:val="0"/>
          <w:sz w:val="22"/>
        </w:rPr>
        <w:t xml:space="preserve"> associates, is in a position to exercise control over the RSE licensee</w:t>
      </w:r>
      <w:r w:rsidR="004F58EB">
        <w:rPr>
          <w:rStyle w:val="Referencingstyle"/>
          <w:b w:val="0"/>
          <w:i w:val="0"/>
          <w:sz w:val="22"/>
        </w:rPr>
        <w:t>.</w:t>
      </w:r>
    </w:p>
    <w:p w:rsidR="004F58EB" w:rsidRPr="004F58EB" w:rsidRDefault="004F58EB" w:rsidP="004F58EB">
      <w:pPr>
        <w:pStyle w:val="base-text-paragraphnonumbers"/>
        <w:rPr>
          <w:rStyle w:val="Referencingstyle"/>
        </w:rPr>
      </w:pPr>
      <w:r>
        <w:rPr>
          <w:rStyle w:val="Referencingstyle"/>
        </w:rPr>
        <w:t>[Schedule </w:t>
      </w:r>
      <w:r w:rsidR="00480B40">
        <w:rPr>
          <w:rStyle w:val="Referencingstyle"/>
        </w:rPr>
        <w:t>4</w:t>
      </w:r>
      <w:r>
        <w:rPr>
          <w:rStyle w:val="Referencingstyle"/>
        </w:rPr>
        <w:t xml:space="preserve">, items </w:t>
      </w:r>
      <w:r w:rsidR="000A66E6">
        <w:rPr>
          <w:rStyle w:val="Referencingstyle"/>
        </w:rPr>
        <w:t>1</w:t>
      </w:r>
      <w:r>
        <w:rPr>
          <w:rStyle w:val="Referencingstyle"/>
        </w:rPr>
        <w:t xml:space="preserve"> and </w:t>
      </w:r>
      <w:r w:rsidR="000A66E6">
        <w:rPr>
          <w:rStyle w:val="Referencingstyle"/>
        </w:rPr>
        <w:t>10</w:t>
      </w:r>
      <w:r>
        <w:rPr>
          <w:rStyle w:val="Referencingstyle"/>
        </w:rPr>
        <w:t xml:space="preserve">, definition of ‘practical control’ </w:t>
      </w:r>
      <w:r w:rsidR="00082D21">
        <w:rPr>
          <w:rStyle w:val="Referencingstyle"/>
        </w:rPr>
        <w:t xml:space="preserve">in subsection 10(1) </w:t>
      </w:r>
      <w:r>
        <w:rPr>
          <w:rStyle w:val="Referencingstyle"/>
        </w:rPr>
        <w:t>and section </w:t>
      </w:r>
      <w:r w:rsidR="000A66E6">
        <w:rPr>
          <w:rStyle w:val="Referencingstyle"/>
        </w:rPr>
        <w:t>131EC</w:t>
      </w:r>
      <w:r>
        <w:rPr>
          <w:rStyle w:val="Referencingstyle"/>
        </w:rPr>
        <w:t>]</w:t>
      </w:r>
    </w:p>
    <w:p w:rsidR="00411438" w:rsidRDefault="00440A81" w:rsidP="006B01EB">
      <w:pPr>
        <w:pStyle w:val="base-text-paragraph"/>
        <w:rPr>
          <w:rStyle w:val="Referencingstyle"/>
          <w:b w:val="0"/>
          <w:i w:val="0"/>
          <w:sz w:val="22"/>
        </w:rPr>
      </w:pPr>
      <w:r>
        <w:rPr>
          <w:rStyle w:val="Referencingstyle"/>
          <w:b w:val="0"/>
          <w:i w:val="0"/>
          <w:sz w:val="22"/>
        </w:rPr>
        <w:t xml:space="preserve">Practical control occurs irrespective of whether the person’s directions, instructions or wishes or their position to exercise the control originate from the person alone, or together with </w:t>
      </w:r>
      <w:r w:rsidR="00C86EDA">
        <w:rPr>
          <w:rStyle w:val="Referencingstyle"/>
          <w:b w:val="0"/>
          <w:i w:val="0"/>
          <w:sz w:val="22"/>
        </w:rPr>
        <w:t>their</w:t>
      </w:r>
      <w:r>
        <w:rPr>
          <w:rStyle w:val="Referencingstyle"/>
          <w:b w:val="0"/>
          <w:i w:val="0"/>
          <w:sz w:val="22"/>
        </w:rPr>
        <w:t xml:space="preserve"> associates</w:t>
      </w:r>
      <w:r w:rsidR="00411438">
        <w:rPr>
          <w:rStyle w:val="Referencingstyle"/>
          <w:b w:val="0"/>
          <w:i w:val="0"/>
          <w:sz w:val="22"/>
        </w:rPr>
        <w:t xml:space="preserve">. </w:t>
      </w:r>
      <w:r w:rsidR="00411438">
        <w:rPr>
          <w:rStyle w:val="Referencingstyle"/>
        </w:rPr>
        <w:t>[Schedule </w:t>
      </w:r>
      <w:r w:rsidR="00480B40">
        <w:rPr>
          <w:rStyle w:val="Referencingstyle"/>
        </w:rPr>
        <w:t>4</w:t>
      </w:r>
      <w:r w:rsidR="00411438">
        <w:rPr>
          <w:rStyle w:val="Referencingstyle"/>
        </w:rPr>
        <w:t xml:space="preserve">, items </w:t>
      </w:r>
      <w:r w:rsidR="000A66E6">
        <w:rPr>
          <w:rStyle w:val="Referencingstyle"/>
        </w:rPr>
        <w:t>1</w:t>
      </w:r>
      <w:r w:rsidR="00411438">
        <w:rPr>
          <w:rStyle w:val="Referencingstyle"/>
        </w:rPr>
        <w:t xml:space="preserve"> and </w:t>
      </w:r>
      <w:r w:rsidR="000A66E6">
        <w:rPr>
          <w:rStyle w:val="Referencingstyle"/>
        </w:rPr>
        <w:t>10</w:t>
      </w:r>
      <w:r w:rsidR="00411438">
        <w:rPr>
          <w:rStyle w:val="Referencingstyle"/>
        </w:rPr>
        <w:t>, definition of ‘practical control’</w:t>
      </w:r>
      <w:r w:rsidR="00082D21">
        <w:rPr>
          <w:rStyle w:val="Referencingstyle"/>
        </w:rPr>
        <w:t xml:space="preserve"> in</w:t>
      </w:r>
      <w:r w:rsidR="00411438">
        <w:rPr>
          <w:rStyle w:val="Referencingstyle"/>
        </w:rPr>
        <w:t xml:space="preserve"> </w:t>
      </w:r>
      <w:r w:rsidR="00082D21">
        <w:rPr>
          <w:rStyle w:val="Referencingstyle"/>
        </w:rPr>
        <w:t xml:space="preserve">subsection 10(1) </w:t>
      </w:r>
      <w:r w:rsidR="00411438">
        <w:rPr>
          <w:rStyle w:val="Referencingstyle"/>
        </w:rPr>
        <w:t>and section </w:t>
      </w:r>
      <w:r w:rsidR="000A66E6">
        <w:rPr>
          <w:rStyle w:val="Referencingstyle"/>
        </w:rPr>
        <w:t>131EC</w:t>
      </w:r>
      <w:r w:rsidR="00411438">
        <w:rPr>
          <w:rStyle w:val="Referencingstyle"/>
        </w:rPr>
        <w:t>]</w:t>
      </w:r>
    </w:p>
    <w:p w:rsidR="00FE00D2" w:rsidRDefault="00FE00D2" w:rsidP="006B01EB">
      <w:pPr>
        <w:pStyle w:val="base-text-paragraph"/>
        <w:rPr>
          <w:rStyle w:val="Referencingstyle"/>
          <w:b w:val="0"/>
          <w:i w:val="0"/>
          <w:sz w:val="22"/>
        </w:rPr>
      </w:pPr>
      <w:r>
        <w:rPr>
          <w:rStyle w:val="Referencingstyle"/>
          <w:b w:val="0"/>
          <w:i w:val="0"/>
          <w:sz w:val="22"/>
        </w:rPr>
        <w:t>APRA may also give a person a direction to relinquish control of an RSE licensee if it has reason to believe that the person has a controlling stake in the RSE licensee and:</w:t>
      </w:r>
    </w:p>
    <w:p w:rsidR="00FE00D2" w:rsidRDefault="00FE00D2" w:rsidP="00FE00D2">
      <w:pPr>
        <w:pStyle w:val="dotpoint"/>
        <w:rPr>
          <w:rStyle w:val="Referencingstyle"/>
          <w:b w:val="0"/>
          <w:i w:val="0"/>
          <w:sz w:val="22"/>
        </w:rPr>
      </w:pPr>
      <w:r>
        <w:rPr>
          <w:rStyle w:val="Referencingstyle"/>
          <w:b w:val="0"/>
          <w:i w:val="0"/>
          <w:sz w:val="22"/>
        </w:rPr>
        <w:t>the person does not have approval from APRA to hold a controlling stake; or</w:t>
      </w:r>
    </w:p>
    <w:p w:rsidR="00FE00D2" w:rsidRDefault="00FE00D2" w:rsidP="00FE00D2">
      <w:pPr>
        <w:pStyle w:val="dotpoint"/>
        <w:rPr>
          <w:rStyle w:val="Referencingstyle"/>
          <w:b w:val="0"/>
          <w:i w:val="0"/>
          <w:sz w:val="22"/>
        </w:rPr>
      </w:pPr>
      <w:proofErr w:type="gramStart"/>
      <w:r>
        <w:rPr>
          <w:rStyle w:val="Referencingstyle"/>
          <w:b w:val="0"/>
          <w:i w:val="0"/>
          <w:sz w:val="22"/>
        </w:rPr>
        <w:t>the</w:t>
      </w:r>
      <w:proofErr w:type="gramEnd"/>
      <w:r>
        <w:rPr>
          <w:rStyle w:val="Referencingstyle"/>
          <w:b w:val="0"/>
          <w:i w:val="0"/>
          <w:sz w:val="22"/>
        </w:rPr>
        <w:t xml:space="preserve"> person has approval from APRA to hold a controlling stake, but the information given in the application was false or misleading</w:t>
      </w:r>
      <w:r w:rsidR="00066107">
        <w:rPr>
          <w:rStyle w:val="Referencingstyle"/>
          <w:b w:val="0"/>
          <w:i w:val="0"/>
          <w:sz w:val="22"/>
        </w:rPr>
        <w:t xml:space="preserve"> in a material particular</w:t>
      </w:r>
      <w:r>
        <w:rPr>
          <w:rStyle w:val="Referencingstyle"/>
          <w:b w:val="0"/>
          <w:i w:val="0"/>
          <w:sz w:val="22"/>
        </w:rPr>
        <w:t xml:space="preserve">. </w:t>
      </w:r>
    </w:p>
    <w:p w:rsidR="00FE00D2" w:rsidRPr="00EC195A" w:rsidRDefault="00FE00D2" w:rsidP="00FE00D2">
      <w:pPr>
        <w:pStyle w:val="base-text-paragraphnonumbers"/>
        <w:rPr>
          <w:rStyle w:val="Referencingstyle"/>
          <w:b w:val="0"/>
          <w:i w:val="0"/>
          <w:sz w:val="22"/>
        </w:rPr>
      </w:pPr>
      <w:r>
        <w:rPr>
          <w:rStyle w:val="Referencingstyle"/>
        </w:rPr>
        <w:t>[</w:t>
      </w:r>
      <w:r w:rsidRPr="00EC195A">
        <w:rPr>
          <w:rStyle w:val="Referencingstyle"/>
        </w:rPr>
        <w:t>Schedule </w:t>
      </w:r>
      <w:r w:rsidR="00480B40">
        <w:rPr>
          <w:rStyle w:val="Referencingstyle"/>
        </w:rPr>
        <w:t>4</w:t>
      </w:r>
      <w:r w:rsidRPr="00EC195A">
        <w:rPr>
          <w:rStyle w:val="Referencingstyle"/>
        </w:rPr>
        <w:t>, item </w:t>
      </w:r>
      <w:r w:rsidR="000A66E6">
        <w:rPr>
          <w:rStyle w:val="Referencingstyle"/>
        </w:rPr>
        <w:t xml:space="preserve">10, subsections </w:t>
      </w:r>
      <w:proofErr w:type="gramStart"/>
      <w:r w:rsidR="000A66E6">
        <w:rPr>
          <w:rStyle w:val="Referencingstyle"/>
        </w:rPr>
        <w:t>131EB</w:t>
      </w:r>
      <w:r w:rsidRPr="00EC195A">
        <w:rPr>
          <w:rStyle w:val="Referencingstyle"/>
        </w:rPr>
        <w:t>(</w:t>
      </w:r>
      <w:proofErr w:type="gramEnd"/>
      <w:r w:rsidRPr="00EC195A">
        <w:rPr>
          <w:rStyle w:val="Referencingstyle"/>
        </w:rPr>
        <w:t>2) and (3)]</w:t>
      </w:r>
    </w:p>
    <w:p w:rsidR="001C398E" w:rsidRPr="00493C72" w:rsidRDefault="00411438" w:rsidP="003D2BB6">
      <w:pPr>
        <w:pStyle w:val="base-text-paragraph"/>
        <w:rPr>
          <w:rStyle w:val="Referencingstyle"/>
          <w:b w:val="0"/>
          <w:i w:val="0"/>
          <w:sz w:val="22"/>
        </w:rPr>
      </w:pPr>
      <w:r w:rsidRPr="00EC195A">
        <w:rPr>
          <w:rStyle w:val="Referencingstyle"/>
          <w:b w:val="0"/>
          <w:i w:val="0"/>
          <w:sz w:val="22"/>
        </w:rPr>
        <w:t xml:space="preserve">To avoid doubt, a direction to relinquish control can be given to a person who holds a controlling stake in an RSE licensee even if APRA has </w:t>
      </w:r>
      <w:r w:rsidR="00EC195A">
        <w:rPr>
          <w:rStyle w:val="Referencingstyle"/>
          <w:b w:val="0"/>
          <w:i w:val="0"/>
          <w:sz w:val="22"/>
        </w:rPr>
        <w:t xml:space="preserve">given </w:t>
      </w:r>
      <w:r w:rsidRPr="00EC195A">
        <w:rPr>
          <w:rStyle w:val="Referencingstyle"/>
          <w:b w:val="0"/>
          <w:i w:val="0"/>
          <w:sz w:val="22"/>
        </w:rPr>
        <w:t xml:space="preserve">approval to the person to hold </w:t>
      </w:r>
      <w:r w:rsidR="00EC195A" w:rsidRPr="00EC195A">
        <w:rPr>
          <w:rStyle w:val="Referencingstyle"/>
          <w:b w:val="0"/>
          <w:i w:val="0"/>
          <w:sz w:val="22"/>
        </w:rPr>
        <w:t>a</w:t>
      </w:r>
      <w:r w:rsidRPr="00EC195A">
        <w:rPr>
          <w:rStyle w:val="Referencingstyle"/>
          <w:b w:val="0"/>
          <w:i w:val="0"/>
          <w:sz w:val="22"/>
        </w:rPr>
        <w:t xml:space="preserve"> controlling stake.</w:t>
      </w:r>
      <w:r w:rsidR="00EC195A" w:rsidRPr="00EC195A">
        <w:rPr>
          <w:rStyle w:val="Referencingstyle"/>
          <w:b w:val="0"/>
          <w:i w:val="0"/>
          <w:sz w:val="22"/>
        </w:rPr>
        <w:t xml:space="preserve"> </w:t>
      </w:r>
      <w:r w:rsidR="00EC195A" w:rsidRPr="00EC195A">
        <w:rPr>
          <w:rStyle w:val="Referencingstyle"/>
        </w:rPr>
        <w:t>[Schedule </w:t>
      </w:r>
      <w:r w:rsidR="00480B40">
        <w:rPr>
          <w:rStyle w:val="Referencingstyle"/>
        </w:rPr>
        <w:t>4</w:t>
      </w:r>
      <w:r w:rsidR="00EC195A" w:rsidRPr="00EC195A">
        <w:rPr>
          <w:rStyle w:val="Referencingstyle"/>
        </w:rPr>
        <w:t>, item </w:t>
      </w:r>
      <w:r w:rsidR="000A66E6">
        <w:rPr>
          <w:rStyle w:val="Referencingstyle"/>
        </w:rPr>
        <w:t>10, subsection 131EB</w:t>
      </w:r>
      <w:r w:rsidR="00EC195A" w:rsidRPr="00EC195A">
        <w:rPr>
          <w:rStyle w:val="Referencingstyle"/>
        </w:rPr>
        <w:t>(4)]</w:t>
      </w:r>
    </w:p>
    <w:p w:rsidR="00493C72" w:rsidRDefault="00493C72" w:rsidP="00493C72">
      <w:pPr>
        <w:pStyle w:val="Heading4"/>
        <w:rPr>
          <w:rStyle w:val="Referencingstyle"/>
          <w:b/>
          <w:i/>
          <w:sz w:val="22"/>
        </w:rPr>
      </w:pPr>
      <w:r>
        <w:rPr>
          <w:rStyle w:val="Referencingstyle"/>
          <w:b/>
          <w:i/>
          <w:sz w:val="22"/>
        </w:rPr>
        <w:t>Giving and revoking a direction</w:t>
      </w:r>
    </w:p>
    <w:p w:rsidR="00EC195A" w:rsidRPr="00EC195A" w:rsidRDefault="00EC195A" w:rsidP="003D2BB6">
      <w:pPr>
        <w:pStyle w:val="base-text-paragraph"/>
        <w:rPr>
          <w:rStyle w:val="Referencingstyle"/>
          <w:b w:val="0"/>
          <w:i w:val="0"/>
          <w:sz w:val="22"/>
        </w:rPr>
      </w:pPr>
      <w:r>
        <w:rPr>
          <w:rStyle w:val="Referencingstyle"/>
          <w:b w:val="0"/>
          <w:i w:val="0"/>
          <w:sz w:val="22"/>
        </w:rPr>
        <w:t>The direction must be in writing</w:t>
      </w:r>
      <w:r w:rsidR="00493C72">
        <w:rPr>
          <w:rStyle w:val="Referencingstyle"/>
          <w:b w:val="0"/>
          <w:i w:val="0"/>
          <w:sz w:val="22"/>
        </w:rPr>
        <w:t>,</w:t>
      </w:r>
      <w:r>
        <w:rPr>
          <w:rStyle w:val="Referencingstyle"/>
          <w:b w:val="0"/>
          <w:i w:val="0"/>
          <w:sz w:val="22"/>
        </w:rPr>
        <w:t xml:space="preserve"> and </w:t>
      </w:r>
      <w:r w:rsidR="00493C72">
        <w:rPr>
          <w:rStyle w:val="Referencingstyle"/>
          <w:b w:val="0"/>
          <w:i w:val="0"/>
          <w:sz w:val="22"/>
        </w:rPr>
        <w:t xml:space="preserve">APRA must give the person subject to the direction </w:t>
      </w:r>
      <w:r>
        <w:rPr>
          <w:rStyle w:val="Referencingstyle"/>
          <w:b w:val="0"/>
          <w:i w:val="0"/>
          <w:sz w:val="22"/>
        </w:rPr>
        <w:t xml:space="preserve">a copy of the direction </w:t>
      </w:r>
      <w:r w:rsidR="00493C72">
        <w:rPr>
          <w:rStyle w:val="Referencingstyle"/>
          <w:b w:val="0"/>
          <w:i w:val="0"/>
          <w:sz w:val="22"/>
        </w:rPr>
        <w:t>and</w:t>
      </w:r>
      <w:r>
        <w:rPr>
          <w:rStyle w:val="Referencingstyle"/>
          <w:b w:val="0"/>
          <w:i w:val="0"/>
          <w:sz w:val="22"/>
        </w:rPr>
        <w:t xml:space="preserve"> a statement of APRA’s reasons.</w:t>
      </w:r>
      <w:r>
        <w:rPr>
          <w:rStyle w:val="Referencingstyle"/>
        </w:rPr>
        <w:t xml:space="preserve"> [Schedule </w:t>
      </w:r>
      <w:r w:rsidR="00480B40">
        <w:rPr>
          <w:rStyle w:val="Referencingstyle"/>
        </w:rPr>
        <w:t>4</w:t>
      </w:r>
      <w:r>
        <w:rPr>
          <w:rStyle w:val="Referencingstyle"/>
        </w:rPr>
        <w:t>, item </w:t>
      </w:r>
      <w:r w:rsidR="000A66E6">
        <w:rPr>
          <w:rStyle w:val="Referencingstyle"/>
        </w:rPr>
        <w:t>10, subsections 131EB</w:t>
      </w:r>
      <w:r>
        <w:rPr>
          <w:rStyle w:val="Referencingstyle"/>
        </w:rPr>
        <w:t>(5) and (6)]</w:t>
      </w:r>
    </w:p>
    <w:p w:rsidR="00EC195A" w:rsidRPr="00CE1C9C" w:rsidRDefault="00EC195A" w:rsidP="003D2BB6">
      <w:pPr>
        <w:pStyle w:val="base-text-paragraph"/>
        <w:rPr>
          <w:rStyle w:val="Referencingstyle"/>
          <w:b w:val="0"/>
          <w:i w:val="0"/>
          <w:sz w:val="22"/>
        </w:rPr>
      </w:pPr>
      <w:r>
        <w:rPr>
          <w:rStyle w:val="Referencingstyle"/>
          <w:b w:val="0"/>
          <w:i w:val="0"/>
          <w:sz w:val="22"/>
        </w:rPr>
        <w:t>APRA may revoke a direction to relinquish control of an RSE licensee in writing and a copy of the revocation must be given to the person subject to the direction.</w:t>
      </w:r>
      <w:r>
        <w:rPr>
          <w:rStyle w:val="Referencingstyle"/>
        </w:rPr>
        <w:t xml:space="preserve"> [Schedule </w:t>
      </w:r>
      <w:r w:rsidR="00480B40">
        <w:rPr>
          <w:rStyle w:val="Referencingstyle"/>
        </w:rPr>
        <w:t>4</w:t>
      </w:r>
      <w:r>
        <w:rPr>
          <w:rStyle w:val="Referencingstyle"/>
        </w:rPr>
        <w:t>, item </w:t>
      </w:r>
      <w:r w:rsidR="000A66E6">
        <w:rPr>
          <w:rStyle w:val="Referencingstyle"/>
        </w:rPr>
        <w:t>10</w:t>
      </w:r>
      <w:r>
        <w:rPr>
          <w:rStyle w:val="Referencingstyle"/>
        </w:rPr>
        <w:t>, subsections 1</w:t>
      </w:r>
      <w:r w:rsidR="000A66E6">
        <w:rPr>
          <w:rStyle w:val="Referencingstyle"/>
        </w:rPr>
        <w:t>31EB</w:t>
      </w:r>
      <w:r>
        <w:rPr>
          <w:rStyle w:val="Referencingstyle"/>
        </w:rPr>
        <w:t>(7) and (8)]</w:t>
      </w:r>
    </w:p>
    <w:p w:rsidR="00CE1C9C" w:rsidRDefault="00CE1C9C" w:rsidP="00CE1C9C">
      <w:pPr>
        <w:pStyle w:val="Heading4"/>
        <w:rPr>
          <w:rStyle w:val="Referencingstyle"/>
          <w:b/>
          <w:i/>
          <w:sz w:val="22"/>
        </w:rPr>
      </w:pPr>
      <w:r>
        <w:rPr>
          <w:rStyle w:val="Referencingstyle"/>
          <w:b/>
          <w:i/>
          <w:sz w:val="22"/>
        </w:rPr>
        <w:lastRenderedPageBreak/>
        <w:t>Consequences of a direction to relinquish control</w:t>
      </w:r>
    </w:p>
    <w:p w:rsidR="00CE1C9C" w:rsidRDefault="00CE1C9C" w:rsidP="003D2BB6">
      <w:pPr>
        <w:pStyle w:val="base-text-paragraph"/>
        <w:rPr>
          <w:rStyle w:val="Referencingstyle"/>
          <w:b w:val="0"/>
          <w:i w:val="0"/>
          <w:sz w:val="22"/>
        </w:rPr>
      </w:pPr>
      <w:r>
        <w:rPr>
          <w:rStyle w:val="Referencingstyle"/>
          <w:b w:val="0"/>
          <w:i w:val="0"/>
          <w:sz w:val="22"/>
        </w:rPr>
        <w:t>Upon receiving a direction to relinquish control, the person must take necessary steps to ensure that:</w:t>
      </w:r>
    </w:p>
    <w:p w:rsidR="00CE1C9C" w:rsidRDefault="00CE1C9C" w:rsidP="00CE1C9C">
      <w:pPr>
        <w:pStyle w:val="dotpoint"/>
        <w:rPr>
          <w:rStyle w:val="Referencingstyle"/>
          <w:b w:val="0"/>
          <w:i w:val="0"/>
          <w:sz w:val="22"/>
        </w:rPr>
      </w:pPr>
      <w:r>
        <w:rPr>
          <w:rStyle w:val="Referencingstyle"/>
          <w:b w:val="0"/>
          <w:i w:val="0"/>
          <w:sz w:val="22"/>
        </w:rPr>
        <w:t>the directors of the RSE licensee are not accustomed or under an obligation (formal or informal) to act in accordance with the directions, instructions or wishes of the person (either alone or together with associates);</w:t>
      </w:r>
    </w:p>
    <w:p w:rsidR="00CE1C9C" w:rsidRDefault="00CE1C9C" w:rsidP="00CE1C9C">
      <w:pPr>
        <w:pStyle w:val="dotpoint"/>
        <w:rPr>
          <w:rStyle w:val="Referencingstyle"/>
          <w:b w:val="0"/>
          <w:i w:val="0"/>
          <w:sz w:val="22"/>
        </w:rPr>
      </w:pPr>
      <w:r>
        <w:rPr>
          <w:rStyle w:val="Referencingstyle"/>
          <w:b w:val="0"/>
          <w:i w:val="0"/>
          <w:sz w:val="22"/>
        </w:rPr>
        <w:t>the person (either alone or together with associates) is not in a position to exercise control over the RSE licensee; and</w:t>
      </w:r>
    </w:p>
    <w:p w:rsidR="00CE1C9C" w:rsidRDefault="00CE1C9C" w:rsidP="00CE1C9C">
      <w:pPr>
        <w:pStyle w:val="dotpoint"/>
        <w:rPr>
          <w:rStyle w:val="Referencingstyle"/>
          <w:b w:val="0"/>
          <w:i w:val="0"/>
          <w:sz w:val="22"/>
        </w:rPr>
      </w:pPr>
      <w:proofErr w:type="gramStart"/>
      <w:r>
        <w:rPr>
          <w:rStyle w:val="Referencingstyle"/>
          <w:b w:val="0"/>
          <w:i w:val="0"/>
          <w:sz w:val="22"/>
        </w:rPr>
        <w:t>the</w:t>
      </w:r>
      <w:proofErr w:type="gramEnd"/>
      <w:r>
        <w:rPr>
          <w:rStyle w:val="Referencingstyle"/>
          <w:b w:val="0"/>
          <w:i w:val="0"/>
          <w:sz w:val="22"/>
        </w:rPr>
        <w:t xml:space="preserve"> person does not hold a controlling stake in the RSE licensee.</w:t>
      </w:r>
    </w:p>
    <w:p w:rsidR="00CE1C9C" w:rsidRPr="00EC195A" w:rsidRDefault="00CC2FB7" w:rsidP="00CE1C9C">
      <w:pPr>
        <w:pStyle w:val="base-text-paragraphnonumbers"/>
        <w:rPr>
          <w:rStyle w:val="Referencingstyle"/>
          <w:b w:val="0"/>
          <w:i w:val="0"/>
          <w:sz w:val="22"/>
        </w:rPr>
      </w:pPr>
      <w:r>
        <w:rPr>
          <w:rStyle w:val="Referencingstyle"/>
        </w:rPr>
        <w:t>[Schedule </w:t>
      </w:r>
      <w:r w:rsidR="00480B40">
        <w:rPr>
          <w:rStyle w:val="Referencingstyle"/>
        </w:rPr>
        <w:t>4</w:t>
      </w:r>
      <w:r>
        <w:rPr>
          <w:rStyle w:val="Referencingstyle"/>
        </w:rPr>
        <w:t xml:space="preserve">, item </w:t>
      </w:r>
      <w:r w:rsidR="000A66E6">
        <w:rPr>
          <w:rStyle w:val="Referencingstyle"/>
        </w:rPr>
        <w:t>10</w:t>
      </w:r>
      <w:r>
        <w:rPr>
          <w:rStyle w:val="Referencingstyle"/>
        </w:rPr>
        <w:t xml:space="preserve">, subsection </w:t>
      </w:r>
      <w:proofErr w:type="gramStart"/>
      <w:r>
        <w:rPr>
          <w:rStyle w:val="Referencingstyle"/>
        </w:rPr>
        <w:t>131</w:t>
      </w:r>
      <w:r w:rsidR="000A66E6">
        <w:rPr>
          <w:rStyle w:val="Referencingstyle"/>
        </w:rPr>
        <w:t>ED</w:t>
      </w:r>
      <w:r>
        <w:rPr>
          <w:rStyle w:val="Referencingstyle"/>
        </w:rPr>
        <w:t>(</w:t>
      </w:r>
      <w:proofErr w:type="gramEnd"/>
      <w:r>
        <w:rPr>
          <w:rStyle w:val="Referencingstyle"/>
        </w:rPr>
        <w:t>1)]</w:t>
      </w:r>
    </w:p>
    <w:p w:rsidR="00CC2FB7" w:rsidRDefault="00CC2FB7">
      <w:pPr>
        <w:pStyle w:val="base-text-paragraph"/>
        <w:rPr>
          <w:rStyle w:val="Referencingstyle"/>
          <w:b w:val="0"/>
          <w:i w:val="0"/>
          <w:sz w:val="22"/>
        </w:rPr>
      </w:pPr>
      <w:r w:rsidRPr="00CC2FB7">
        <w:rPr>
          <w:rStyle w:val="Referencingstyle"/>
          <w:b w:val="0"/>
          <w:i w:val="0"/>
          <w:sz w:val="22"/>
        </w:rPr>
        <w:t>That is, a person receiving the direction must take necessary steps so that the person does not hold a controlling stake or have practical control of the RSE licensee going forth.</w:t>
      </w:r>
    </w:p>
    <w:p w:rsidR="00CC2FB7" w:rsidRPr="00CC2FB7" w:rsidRDefault="00CC2FB7">
      <w:pPr>
        <w:pStyle w:val="base-text-paragraph"/>
        <w:rPr>
          <w:rStyle w:val="Referencingstyle"/>
          <w:b w:val="0"/>
          <w:i w:val="0"/>
          <w:sz w:val="22"/>
        </w:rPr>
      </w:pPr>
      <w:r>
        <w:rPr>
          <w:rStyle w:val="Referencingstyle"/>
          <w:b w:val="0"/>
          <w:i w:val="0"/>
          <w:sz w:val="22"/>
        </w:rPr>
        <w:t xml:space="preserve">The person must take those steps within 90 days of being given a copy of the direction or before the end of the longer period where APRA has given written notice allowing a longer period to comply with the direction. </w:t>
      </w:r>
      <w:r>
        <w:rPr>
          <w:rStyle w:val="Referencingstyle"/>
        </w:rPr>
        <w:t>[Schedule </w:t>
      </w:r>
      <w:r w:rsidR="00480B40">
        <w:rPr>
          <w:rStyle w:val="Referencingstyle"/>
        </w:rPr>
        <w:t>4</w:t>
      </w:r>
      <w:r>
        <w:rPr>
          <w:rStyle w:val="Referencingstyle"/>
        </w:rPr>
        <w:t>, item </w:t>
      </w:r>
      <w:r w:rsidR="000A66E6">
        <w:rPr>
          <w:rStyle w:val="Referencingstyle"/>
        </w:rPr>
        <w:t>10, subsection 131ED</w:t>
      </w:r>
      <w:r>
        <w:rPr>
          <w:rStyle w:val="Referencingstyle"/>
        </w:rPr>
        <w:t>(2)]</w:t>
      </w:r>
    </w:p>
    <w:p w:rsidR="00CC2FB7" w:rsidRPr="00467073" w:rsidRDefault="00CC2FB7" w:rsidP="00CC2FB7">
      <w:pPr>
        <w:pStyle w:val="base-text-paragraph"/>
        <w:rPr>
          <w:rStyle w:val="Referencingstyle"/>
          <w:b w:val="0"/>
          <w:i w:val="0"/>
          <w:sz w:val="22"/>
        </w:rPr>
      </w:pPr>
      <w:r w:rsidRPr="00CC2FB7">
        <w:t xml:space="preserve">Intentionally or recklessly contravening the direction </w:t>
      </w:r>
      <w:r>
        <w:t>is</w:t>
      </w:r>
      <w:r w:rsidRPr="00CC2FB7">
        <w:t xml:space="preserve"> an </w:t>
      </w:r>
      <w:r w:rsidRPr="001408FA">
        <w:t>offence and result</w:t>
      </w:r>
      <w:r w:rsidR="001408FA" w:rsidRPr="001408FA">
        <w:t>s</w:t>
      </w:r>
      <w:r w:rsidRPr="001408FA">
        <w:t xml:space="preserve"> in the person being liable for 400 penalty units</w:t>
      </w:r>
      <w:r w:rsidR="001408FA" w:rsidRPr="001408FA">
        <w:t>.</w:t>
      </w:r>
      <w:r w:rsidRPr="001408FA">
        <w:t xml:space="preserve"> </w:t>
      </w:r>
      <w:r w:rsidRPr="001408FA">
        <w:rPr>
          <w:rStyle w:val="Referencingstyle"/>
        </w:rPr>
        <w:t xml:space="preserve">[Schedule </w:t>
      </w:r>
      <w:r w:rsidR="00480B40">
        <w:rPr>
          <w:rStyle w:val="Referencingstyle"/>
        </w:rPr>
        <w:t>4</w:t>
      </w:r>
      <w:r w:rsidR="001408FA" w:rsidRPr="001408FA">
        <w:rPr>
          <w:rStyle w:val="Referencingstyle"/>
        </w:rPr>
        <w:t>, item </w:t>
      </w:r>
      <w:r w:rsidR="000A66E6">
        <w:rPr>
          <w:rStyle w:val="Referencingstyle"/>
        </w:rPr>
        <w:t>10</w:t>
      </w:r>
      <w:r w:rsidRPr="001408FA">
        <w:rPr>
          <w:rStyle w:val="Referencingstyle"/>
        </w:rPr>
        <w:t xml:space="preserve">, </w:t>
      </w:r>
      <w:r w:rsidR="001408FA" w:rsidRPr="001408FA">
        <w:rPr>
          <w:rStyle w:val="Referencingstyle"/>
        </w:rPr>
        <w:t>sub</w:t>
      </w:r>
      <w:r w:rsidR="000A66E6">
        <w:rPr>
          <w:rStyle w:val="Referencingstyle"/>
        </w:rPr>
        <w:t>section 131ED</w:t>
      </w:r>
      <w:r w:rsidR="001408FA" w:rsidRPr="001408FA">
        <w:rPr>
          <w:rStyle w:val="Referencingstyle"/>
        </w:rPr>
        <w:t>(3)</w:t>
      </w:r>
      <w:r w:rsidRPr="001408FA">
        <w:rPr>
          <w:rStyle w:val="Referencingstyle"/>
        </w:rPr>
        <w:t>]</w:t>
      </w:r>
    </w:p>
    <w:p w:rsidR="00467073" w:rsidRPr="001408FA" w:rsidRDefault="00467073" w:rsidP="00467073">
      <w:pPr>
        <w:pStyle w:val="Heading5"/>
      </w:pPr>
      <w:r>
        <w:t>AAT merit review</w:t>
      </w:r>
    </w:p>
    <w:p w:rsidR="001408FA" w:rsidRPr="0001496E" w:rsidRDefault="001408FA" w:rsidP="001408FA">
      <w:pPr>
        <w:pStyle w:val="base-text-paragraph"/>
        <w:rPr>
          <w:rStyle w:val="Referencingstyle"/>
          <w:b w:val="0"/>
          <w:i w:val="0"/>
          <w:sz w:val="22"/>
        </w:rPr>
      </w:pPr>
      <w:r w:rsidRPr="001408FA">
        <w:rPr>
          <w:rStyle w:val="Referencingstyle"/>
          <w:b w:val="0"/>
          <w:i w:val="0"/>
          <w:sz w:val="22"/>
        </w:rPr>
        <w:t xml:space="preserve">The decision to </w:t>
      </w:r>
      <w:r>
        <w:rPr>
          <w:rStyle w:val="Referencingstyle"/>
          <w:b w:val="0"/>
          <w:i w:val="0"/>
          <w:sz w:val="22"/>
        </w:rPr>
        <w:t>give a person the direction</w:t>
      </w:r>
      <w:r w:rsidRPr="001408FA">
        <w:rPr>
          <w:rStyle w:val="Referencingstyle"/>
          <w:b w:val="0"/>
          <w:i w:val="0"/>
          <w:sz w:val="22"/>
        </w:rPr>
        <w:t xml:space="preserve"> is reviewable</w:t>
      </w:r>
      <w:r w:rsidR="007318CE" w:rsidRPr="001408FA">
        <w:rPr>
          <w:rStyle w:val="Referencingstyle"/>
          <w:b w:val="0"/>
          <w:i w:val="0"/>
          <w:sz w:val="22"/>
        </w:rPr>
        <w:t xml:space="preserve"> by the Administrative Appeals Tribunal (AAT). </w:t>
      </w:r>
      <w:r w:rsidRPr="001408FA">
        <w:rPr>
          <w:rStyle w:val="Referencingstyle"/>
        </w:rPr>
        <w:t>[Schedule </w:t>
      </w:r>
      <w:r w:rsidR="00480B40">
        <w:rPr>
          <w:rStyle w:val="Referencingstyle"/>
        </w:rPr>
        <w:t>4</w:t>
      </w:r>
      <w:r w:rsidRPr="001408FA">
        <w:rPr>
          <w:rStyle w:val="Referencingstyle"/>
        </w:rPr>
        <w:t>, item </w:t>
      </w:r>
      <w:r w:rsidR="000A66E6">
        <w:rPr>
          <w:rStyle w:val="Referencingstyle"/>
        </w:rPr>
        <w:t>3</w:t>
      </w:r>
      <w:r w:rsidRPr="001408FA">
        <w:rPr>
          <w:rStyle w:val="Referencingstyle"/>
        </w:rPr>
        <w:t>, paragraph(</w:t>
      </w:r>
      <w:proofErr w:type="spellStart"/>
      <w:r w:rsidR="0034434E">
        <w:rPr>
          <w:rStyle w:val="Referencingstyle"/>
        </w:rPr>
        <w:t>ta</w:t>
      </w:r>
      <w:r w:rsidR="000A66E6">
        <w:rPr>
          <w:rStyle w:val="Referencingstyle"/>
        </w:rPr>
        <w:t>ac</w:t>
      </w:r>
      <w:proofErr w:type="spellEnd"/>
      <w:r w:rsidRPr="001408FA">
        <w:rPr>
          <w:rStyle w:val="Referencingstyle"/>
        </w:rPr>
        <w:t xml:space="preserve">) </w:t>
      </w:r>
      <w:r w:rsidR="00082D21">
        <w:rPr>
          <w:rStyle w:val="Referencingstyle"/>
        </w:rPr>
        <w:t xml:space="preserve">of </w:t>
      </w:r>
      <w:r w:rsidRPr="001408FA">
        <w:rPr>
          <w:rStyle w:val="Referencingstyle"/>
        </w:rPr>
        <w:t>definition of ‘reviewable decision’</w:t>
      </w:r>
      <w:r w:rsidR="00082D21">
        <w:rPr>
          <w:rStyle w:val="Referencingstyle"/>
        </w:rPr>
        <w:t xml:space="preserve"> in subsection 10(1)</w:t>
      </w:r>
      <w:r w:rsidRPr="001408FA">
        <w:rPr>
          <w:rStyle w:val="Referencingstyle"/>
        </w:rPr>
        <w:t>]</w:t>
      </w:r>
    </w:p>
    <w:p w:rsidR="0001496E" w:rsidRPr="001408FA" w:rsidRDefault="0001496E" w:rsidP="0001496E">
      <w:pPr>
        <w:pStyle w:val="Heading5"/>
      </w:pPr>
      <w:r>
        <w:t>Interim orders</w:t>
      </w:r>
    </w:p>
    <w:p w:rsidR="001408FA" w:rsidRDefault="007318CE" w:rsidP="006F2832">
      <w:pPr>
        <w:pStyle w:val="base-text-paragraph"/>
        <w:numPr>
          <w:ilvl w:val="1"/>
          <w:numId w:val="24"/>
        </w:numPr>
      </w:pPr>
      <w:r>
        <w:t xml:space="preserve">Where the </w:t>
      </w:r>
      <w:r w:rsidR="0034434E" w:rsidRPr="0034434E">
        <w:t xml:space="preserve">AAT </w:t>
      </w:r>
      <w:r w:rsidR="0034434E">
        <w:t xml:space="preserve">has made an order to stay (or otherwise affect the operation or implementation of the decision to give the direction or part of the direction) </w:t>
      </w:r>
      <w:r w:rsidRPr="0034434E">
        <w:t>the direction</w:t>
      </w:r>
      <w:r>
        <w:t xml:space="preserve">, APRA may apply to the Federal Court </w:t>
      </w:r>
      <w:r w:rsidR="0034434E">
        <w:t>of Australia</w:t>
      </w:r>
      <w:r w:rsidRPr="0034434E">
        <w:t xml:space="preserve"> </w:t>
      </w:r>
      <w:r>
        <w:t xml:space="preserve">to seek orders that the person not exercise control until the AAT completes its review of the direction </w:t>
      </w:r>
      <w:r w:rsidRPr="0034434E">
        <w:rPr>
          <w:rStyle w:val="Referencingstyle"/>
        </w:rPr>
        <w:t>[</w:t>
      </w:r>
      <w:r>
        <w:rPr>
          <w:rStyle w:val="Referencingstyle"/>
        </w:rPr>
        <w:t xml:space="preserve">Schedule </w:t>
      </w:r>
      <w:r w:rsidR="00480B40">
        <w:rPr>
          <w:rStyle w:val="Referencingstyle"/>
        </w:rPr>
        <w:t>4</w:t>
      </w:r>
      <w:r>
        <w:rPr>
          <w:rStyle w:val="Referencingstyle"/>
        </w:rPr>
        <w:t xml:space="preserve">, item </w:t>
      </w:r>
      <w:r w:rsidR="000A66E6">
        <w:rPr>
          <w:rStyle w:val="Referencingstyle"/>
        </w:rPr>
        <w:t>10</w:t>
      </w:r>
      <w:r w:rsidRPr="0034434E">
        <w:rPr>
          <w:rStyle w:val="Referencingstyle"/>
        </w:rPr>
        <w:t>,</w:t>
      </w:r>
      <w:r w:rsidR="0034434E">
        <w:rPr>
          <w:rStyle w:val="Referencingstyle"/>
        </w:rPr>
        <w:t xml:space="preserve"> subsection </w:t>
      </w:r>
      <w:proofErr w:type="gramStart"/>
      <w:r w:rsidR="000A66E6">
        <w:rPr>
          <w:rStyle w:val="Referencingstyle"/>
        </w:rPr>
        <w:t>131EE</w:t>
      </w:r>
      <w:r w:rsidR="0034434E">
        <w:rPr>
          <w:rStyle w:val="Referencingstyle"/>
        </w:rPr>
        <w:t>(</w:t>
      </w:r>
      <w:proofErr w:type="gramEnd"/>
      <w:r w:rsidR="0034434E">
        <w:rPr>
          <w:rStyle w:val="Referencingstyle"/>
        </w:rPr>
        <w:t>1)</w:t>
      </w:r>
      <w:r w:rsidRPr="0034434E">
        <w:rPr>
          <w:rStyle w:val="Referencingstyle"/>
        </w:rPr>
        <w:t>]</w:t>
      </w:r>
      <w:r w:rsidRPr="0034434E">
        <w:t xml:space="preserve">. </w:t>
      </w:r>
    </w:p>
    <w:p w:rsidR="0034434E" w:rsidRPr="0001496E" w:rsidRDefault="0034434E" w:rsidP="006F2832">
      <w:pPr>
        <w:pStyle w:val="base-text-paragraph"/>
        <w:numPr>
          <w:ilvl w:val="1"/>
          <w:numId w:val="24"/>
        </w:numPr>
        <w:rPr>
          <w:rStyle w:val="Referencingstyle"/>
          <w:b w:val="0"/>
          <w:i w:val="0"/>
          <w:sz w:val="22"/>
        </w:rPr>
      </w:pPr>
      <w:r>
        <w:t xml:space="preserve">The Federal Court has the discretion to make such orders, if the court considers that it is appropriate to ensure the person does not exercise </w:t>
      </w:r>
      <w:r>
        <w:lastRenderedPageBreak/>
        <w:t xml:space="preserve">control over the RSE licensee in a way that results in the RSE licensee being unable to satisfy its obligations as trustee of the fund, during the period that the AAT </w:t>
      </w:r>
      <w:r w:rsidR="0001496E">
        <w:t>order</w:t>
      </w:r>
      <w:r w:rsidR="00237CA4">
        <w:t>s</w:t>
      </w:r>
      <w:r w:rsidR="0001496E">
        <w:t xml:space="preserve"> to stay the direction. </w:t>
      </w:r>
      <w:r w:rsidR="0001496E">
        <w:rPr>
          <w:rStyle w:val="Referencingstyle"/>
        </w:rPr>
        <w:t>[Schedule </w:t>
      </w:r>
      <w:r w:rsidR="00480B40">
        <w:rPr>
          <w:rStyle w:val="Referencingstyle"/>
        </w:rPr>
        <w:t>4</w:t>
      </w:r>
      <w:r w:rsidR="0001496E">
        <w:rPr>
          <w:rStyle w:val="Referencingstyle"/>
        </w:rPr>
        <w:t>, item </w:t>
      </w:r>
      <w:r w:rsidR="000A66E6">
        <w:rPr>
          <w:rStyle w:val="Referencingstyle"/>
        </w:rPr>
        <w:t>10, subsection 131EE</w:t>
      </w:r>
      <w:r w:rsidR="0001496E">
        <w:rPr>
          <w:rStyle w:val="Referencingstyle"/>
        </w:rPr>
        <w:t>(2)]</w:t>
      </w:r>
    </w:p>
    <w:p w:rsidR="0001496E" w:rsidRPr="006110BA" w:rsidRDefault="0001496E" w:rsidP="006F2832">
      <w:pPr>
        <w:pStyle w:val="base-text-paragraph"/>
        <w:numPr>
          <w:ilvl w:val="1"/>
          <w:numId w:val="24"/>
        </w:numPr>
        <w:rPr>
          <w:rStyle w:val="Referencingstyle"/>
          <w:b w:val="0"/>
          <w:i w:val="0"/>
          <w:sz w:val="22"/>
        </w:rPr>
      </w:pPr>
      <w:r>
        <w:t>If</w:t>
      </w:r>
      <w:r w:rsidR="007318CE">
        <w:t xml:space="preserve"> APRA </w:t>
      </w:r>
      <w:r>
        <w:t>has reason to believe that the person given the direction may, during the period to comply with direction, exercise control over the RSE licensee in a way that results in the RSE licensee being unable to satisfy its obligations as trustee of the fund, the</w:t>
      </w:r>
      <w:r w:rsidR="006110BA">
        <w:t>n</w:t>
      </w:r>
      <w:r>
        <w:t xml:space="preserve"> APRA may apply to the Federal Court to seek orders to deal with the conduct of</w:t>
      </w:r>
      <w:r w:rsidR="006110BA">
        <w:t xml:space="preserve"> the person</w:t>
      </w:r>
      <w:r>
        <w:t xml:space="preserve">. </w:t>
      </w:r>
      <w:r w:rsidR="006110BA">
        <w:rPr>
          <w:rStyle w:val="Referencingstyle"/>
        </w:rPr>
        <w:t>[Schedule </w:t>
      </w:r>
      <w:r w:rsidR="00480B40">
        <w:rPr>
          <w:rStyle w:val="Referencingstyle"/>
        </w:rPr>
        <w:t>4</w:t>
      </w:r>
      <w:r w:rsidR="006110BA">
        <w:rPr>
          <w:rStyle w:val="Referencingstyle"/>
        </w:rPr>
        <w:t>, item </w:t>
      </w:r>
      <w:r w:rsidR="000A66E6">
        <w:rPr>
          <w:rStyle w:val="Referencingstyle"/>
        </w:rPr>
        <w:t>10, subsection 131EE</w:t>
      </w:r>
      <w:r w:rsidR="006110BA">
        <w:rPr>
          <w:rStyle w:val="Referencingstyle"/>
        </w:rPr>
        <w:t>(3)]</w:t>
      </w:r>
    </w:p>
    <w:p w:rsidR="006110BA" w:rsidRDefault="006110BA" w:rsidP="006F2832">
      <w:pPr>
        <w:pStyle w:val="base-text-paragraph"/>
        <w:numPr>
          <w:ilvl w:val="1"/>
          <w:numId w:val="24"/>
        </w:numPr>
      </w:pPr>
      <w:r>
        <w:t xml:space="preserve">The Federal Court has the discretion to make such orders, if the court considers that it is appropriate to ensure the person does not exercise control over the RSE licensee in a way that results in the RSE licensee being unable to satisfy its obligations as trustee of the fund, during the period to comply with direction. </w:t>
      </w:r>
      <w:r>
        <w:rPr>
          <w:rStyle w:val="Referencingstyle"/>
        </w:rPr>
        <w:t>[Schedule </w:t>
      </w:r>
      <w:r w:rsidR="00480B40">
        <w:rPr>
          <w:rStyle w:val="Referencingstyle"/>
        </w:rPr>
        <w:t>4</w:t>
      </w:r>
      <w:r>
        <w:rPr>
          <w:rStyle w:val="Referencingstyle"/>
        </w:rPr>
        <w:t>, item </w:t>
      </w:r>
      <w:r w:rsidR="000A66E6">
        <w:rPr>
          <w:rStyle w:val="Referencingstyle"/>
        </w:rPr>
        <w:t>10</w:t>
      </w:r>
      <w:r>
        <w:rPr>
          <w:rStyle w:val="Referencingstyle"/>
        </w:rPr>
        <w:t>, subsection 131</w:t>
      </w:r>
      <w:r w:rsidR="000A66E6">
        <w:rPr>
          <w:rStyle w:val="Referencingstyle"/>
        </w:rPr>
        <w:t>EE</w:t>
      </w:r>
      <w:r>
        <w:rPr>
          <w:rStyle w:val="Referencingstyle"/>
        </w:rPr>
        <w:t>(4)]</w:t>
      </w:r>
    </w:p>
    <w:p w:rsidR="0001496E" w:rsidRPr="006110BA" w:rsidRDefault="0001496E" w:rsidP="0001496E">
      <w:pPr>
        <w:pStyle w:val="Heading5"/>
      </w:pPr>
      <w:r w:rsidRPr="006110BA">
        <w:t>Remedial orders</w:t>
      </w:r>
    </w:p>
    <w:p w:rsidR="00F62F4D" w:rsidRPr="006110BA" w:rsidRDefault="006110BA" w:rsidP="006F2832">
      <w:pPr>
        <w:pStyle w:val="base-text-paragraph"/>
        <w:numPr>
          <w:ilvl w:val="1"/>
          <w:numId w:val="24"/>
        </w:numPr>
        <w:rPr>
          <w:rStyle w:val="Referencingstyle"/>
          <w:b w:val="0"/>
          <w:i w:val="0"/>
          <w:sz w:val="22"/>
        </w:rPr>
      </w:pPr>
      <w:r w:rsidRPr="006110BA">
        <w:t xml:space="preserve">If the direction is in force, </w:t>
      </w:r>
      <w:r w:rsidR="007318CE" w:rsidRPr="006110BA">
        <w:t xml:space="preserve">APRA may apply to the Federal Court </w:t>
      </w:r>
      <w:r>
        <w:t>to seek</w:t>
      </w:r>
      <w:r w:rsidRPr="006110BA">
        <w:t xml:space="preserve"> an </w:t>
      </w:r>
      <w:r w:rsidR="007318CE" w:rsidRPr="006110BA">
        <w:t>order</w:t>
      </w:r>
      <w:r w:rsidRPr="006110BA">
        <w:t xml:space="preserve"> to enforce the direction. </w:t>
      </w:r>
      <w:r w:rsidRPr="006110BA">
        <w:rPr>
          <w:rStyle w:val="Referencingstyle"/>
        </w:rPr>
        <w:t>[Schedule </w:t>
      </w:r>
      <w:r w:rsidR="00480B40">
        <w:rPr>
          <w:rStyle w:val="Referencingstyle"/>
        </w:rPr>
        <w:t>4</w:t>
      </w:r>
      <w:r w:rsidRPr="006110BA">
        <w:rPr>
          <w:rStyle w:val="Referencingstyle"/>
        </w:rPr>
        <w:t>, item </w:t>
      </w:r>
      <w:r w:rsidR="000A66E6">
        <w:rPr>
          <w:rStyle w:val="Referencingstyle"/>
        </w:rPr>
        <w:t>10, subsection 131EF</w:t>
      </w:r>
      <w:r w:rsidRPr="006110BA">
        <w:rPr>
          <w:rStyle w:val="Referencingstyle"/>
        </w:rPr>
        <w:t>(1)]</w:t>
      </w:r>
    </w:p>
    <w:p w:rsidR="002B79A9" w:rsidRDefault="006110BA" w:rsidP="006F2832">
      <w:pPr>
        <w:pStyle w:val="base-text-paragraph"/>
        <w:numPr>
          <w:ilvl w:val="1"/>
          <w:numId w:val="24"/>
        </w:numPr>
      </w:pPr>
      <w:r>
        <w:t xml:space="preserve">The Federal Court has the discretion to make such orders, if the court considers that it is appropriate to ensure </w:t>
      </w:r>
      <w:r w:rsidR="002B79A9">
        <w:t>that:</w:t>
      </w:r>
    </w:p>
    <w:p w:rsidR="002B79A9" w:rsidRDefault="002B79A9" w:rsidP="002B79A9">
      <w:pPr>
        <w:pStyle w:val="dotpoint"/>
      </w:pPr>
      <w:r>
        <w:t>the directors of the RSE licensee are not accustomed or under an obligation (formal or informal) to act in accordance with the directions, instructions or wishes of the person (either alone or together with associates);</w:t>
      </w:r>
    </w:p>
    <w:p w:rsidR="002B79A9" w:rsidRDefault="002B79A9" w:rsidP="002B79A9">
      <w:pPr>
        <w:pStyle w:val="dotpoint"/>
      </w:pPr>
      <w:r>
        <w:t>the person (either alone or together with associates) is not in a position to exercise control over the RSE licensee; and</w:t>
      </w:r>
    </w:p>
    <w:p w:rsidR="002B79A9" w:rsidRDefault="002B79A9" w:rsidP="002B79A9">
      <w:pPr>
        <w:pStyle w:val="dotpoint"/>
      </w:pPr>
      <w:proofErr w:type="gramStart"/>
      <w:r>
        <w:t>the</w:t>
      </w:r>
      <w:proofErr w:type="gramEnd"/>
      <w:r>
        <w:t xml:space="preserve"> person does not hold a controlling stake in the RSE licensee.</w:t>
      </w:r>
    </w:p>
    <w:p w:rsidR="002B79A9" w:rsidRPr="002B79A9" w:rsidRDefault="002B79A9" w:rsidP="002B79A9">
      <w:pPr>
        <w:pStyle w:val="base-text-paragraphnonumbers"/>
        <w:rPr>
          <w:rStyle w:val="Referencingstyle"/>
        </w:rPr>
      </w:pPr>
      <w:r>
        <w:rPr>
          <w:rStyle w:val="Referencingstyle"/>
        </w:rPr>
        <w:t>[Schedule </w:t>
      </w:r>
      <w:r w:rsidR="00480B40">
        <w:rPr>
          <w:rStyle w:val="Referencingstyle"/>
        </w:rPr>
        <w:t>4</w:t>
      </w:r>
      <w:r>
        <w:rPr>
          <w:rStyle w:val="Referencingstyle"/>
        </w:rPr>
        <w:t>, item </w:t>
      </w:r>
      <w:r w:rsidR="000A66E6">
        <w:rPr>
          <w:rStyle w:val="Referencingstyle"/>
        </w:rPr>
        <w:t>10</w:t>
      </w:r>
      <w:r>
        <w:rPr>
          <w:rStyle w:val="Referencingstyle"/>
        </w:rPr>
        <w:t>, subsection </w:t>
      </w:r>
      <w:proofErr w:type="gramStart"/>
      <w:r>
        <w:rPr>
          <w:rStyle w:val="Referencingstyle"/>
        </w:rPr>
        <w:t>131</w:t>
      </w:r>
      <w:r w:rsidR="000A66E6">
        <w:rPr>
          <w:rStyle w:val="Referencingstyle"/>
        </w:rPr>
        <w:t>EF</w:t>
      </w:r>
      <w:r>
        <w:rPr>
          <w:rStyle w:val="Referencingstyle"/>
        </w:rPr>
        <w:t>(</w:t>
      </w:r>
      <w:proofErr w:type="gramEnd"/>
      <w:r>
        <w:rPr>
          <w:rStyle w:val="Referencingstyle"/>
        </w:rPr>
        <w:t>2)]</w:t>
      </w:r>
    </w:p>
    <w:p w:rsidR="006110BA" w:rsidRDefault="002B79A9" w:rsidP="006F2832">
      <w:pPr>
        <w:pStyle w:val="base-text-paragraph"/>
        <w:numPr>
          <w:ilvl w:val="1"/>
          <w:numId w:val="24"/>
        </w:numPr>
        <w:rPr>
          <w:rStyle w:val="Referencingstyle"/>
          <w:b w:val="0"/>
          <w:i w:val="0"/>
          <w:sz w:val="22"/>
        </w:rPr>
      </w:pPr>
      <w:r>
        <w:t xml:space="preserve">That is, the Federal Court can make an order to ensure that </w:t>
      </w:r>
      <w:r w:rsidR="006110BA">
        <w:t xml:space="preserve">the person </w:t>
      </w:r>
      <w:r w:rsidRPr="00CC2FB7">
        <w:rPr>
          <w:rStyle w:val="Referencingstyle"/>
          <w:b w:val="0"/>
          <w:i w:val="0"/>
          <w:sz w:val="22"/>
        </w:rPr>
        <w:t>does not hold a controlling stake or have practical control of the RSE licensee going forth</w:t>
      </w:r>
      <w:r>
        <w:rPr>
          <w:rStyle w:val="Referencingstyle"/>
          <w:b w:val="0"/>
          <w:i w:val="0"/>
          <w:sz w:val="22"/>
        </w:rPr>
        <w:t>.</w:t>
      </w:r>
      <w:r>
        <w:t xml:space="preserve"> </w:t>
      </w:r>
    </w:p>
    <w:p w:rsidR="006110BA" w:rsidRDefault="002B79A9" w:rsidP="006F2832">
      <w:pPr>
        <w:pStyle w:val="base-text-paragraph"/>
        <w:numPr>
          <w:ilvl w:val="1"/>
          <w:numId w:val="24"/>
        </w:numPr>
        <w:rPr>
          <w:rStyle w:val="Referencingstyle"/>
          <w:b w:val="0"/>
          <w:i w:val="0"/>
          <w:sz w:val="22"/>
        </w:rPr>
      </w:pPr>
      <w:r>
        <w:rPr>
          <w:rStyle w:val="Referencingstyle"/>
          <w:b w:val="0"/>
          <w:i w:val="0"/>
          <w:sz w:val="22"/>
        </w:rPr>
        <w:t xml:space="preserve">However, the Federal Court may only make </w:t>
      </w:r>
      <w:r w:rsidR="00066107">
        <w:rPr>
          <w:rStyle w:val="Referencingstyle"/>
          <w:b w:val="0"/>
          <w:i w:val="0"/>
          <w:sz w:val="22"/>
        </w:rPr>
        <w:t>such</w:t>
      </w:r>
      <w:r>
        <w:rPr>
          <w:rStyle w:val="Referencingstyle"/>
          <w:b w:val="0"/>
          <w:i w:val="0"/>
          <w:sz w:val="22"/>
        </w:rPr>
        <w:t xml:space="preserve"> orders if it is satisfied that:</w:t>
      </w:r>
    </w:p>
    <w:p w:rsidR="002B79A9" w:rsidRDefault="002B79A9" w:rsidP="002B79A9">
      <w:pPr>
        <w:pStyle w:val="dotpoint"/>
      </w:pPr>
      <w:r>
        <w:lastRenderedPageBreak/>
        <w:t>the person holdi</w:t>
      </w:r>
      <w:r w:rsidR="00066107">
        <w:t>ng a controlling stake in or having</w:t>
      </w:r>
      <w:r>
        <w:t xml:space="preserve"> practical control of the RSE licensee</w:t>
      </w:r>
      <w:r w:rsidR="00066107">
        <w:t xml:space="preserve"> has been, is or is likely to exercise control over the RSE licensee in a way that results in the RSE licensee being unable to satisfy its obligations as trustee of the fund; </w:t>
      </w:r>
    </w:p>
    <w:p w:rsidR="00066107" w:rsidRDefault="00066107" w:rsidP="002B79A9">
      <w:pPr>
        <w:pStyle w:val="dotpoint"/>
      </w:pPr>
      <w:r>
        <w:t>the person holding a controlling stake in the RSE licensee does not have approval to do so; or</w:t>
      </w:r>
    </w:p>
    <w:p w:rsidR="00066107" w:rsidRDefault="00066107" w:rsidP="002B79A9">
      <w:pPr>
        <w:pStyle w:val="dotpoint"/>
        <w:rPr>
          <w:rStyle w:val="Referencingstyle"/>
          <w:b w:val="0"/>
          <w:i w:val="0"/>
          <w:sz w:val="22"/>
        </w:rPr>
      </w:pPr>
      <w:proofErr w:type="gramStart"/>
      <w:r>
        <w:t>the</w:t>
      </w:r>
      <w:proofErr w:type="gramEnd"/>
      <w:r>
        <w:t xml:space="preserve"> person holding a controlling stake in the RSE licensee </w:t>
      </w:r>
      <w:r>
        <w:rPr>
          <w:rStyle w:val="Referencingstyle"/>
          <w:b w:val="0"/>
          <w:i w:val="0"/>
          <w:sz w:val="22"/>
        </w:rPr>
        <w:t>has approval from APRA, but the information given in the application was false or misleading in a material particular.</w:t>
      </w:r>
    </w:p>
    <w:p w:rsidR="00066107" w:rsidRDefault="00066107" w:rsidP="00066107">
      <w:pPr>
        <w:pStyle w:val="base-text-paragraphnonumbers"/>
        <w:rPr>
          <w:rStyle w:val="Referencingstyle"/>
        </w:rPr>
      </w:pPr>
      <w:r>
        <w:rPr>
          <w:rStyle w:val="Referencingstyle"/>
        </w:rPr>
        <w:t>[Schedule </w:t>
      </w:r>
      <w:r w:rsidR="00480B40">
        <w:rPr>
          <w:rStyle w:val="Referencingstyle"/>
        </w:rPr>
        <w:t>4</w:t>
      </w:r>
      <w:r>
        <w:rPr>
          <w:rStyle w:val="Referencingstyle"/>
        </w:rPr>
        <w:t>, item </w:t>
      </w:r>
      <w:r w:rsidR="000A66E6">
        <w:rPr>
          <w:rStyle w:val="Referencingstyle"/>
        </w:rPr>
        <w:t>10</w:t>
      </w:r>
      <w:r>
        <w:rPr>
          <w:rStyle w:val="Referencingstyle"/>
        </w:rPr>
        <w:t>, subsection </w:t>
      </w:r>
      <w:proofErr w:type="gramStart"/>
      <w:r>
        <w:rPr>
          <w:rStyle w:val="Referencingstyle"/>
        </w:rPr>
        <w:t>131</w:t>
      </w:r>
      <w:r w:rsidR="000A66E6">
        <w:rPr>
          <w:rStyle w:val="Referencingstyle"/>
        </w:rPr>
        <w:t>EF</w:t>
      </w:r>
      <w:r>
        <w:rPr>
          <w:rStyle w:val="Referencingstyle"/>
        </w:rPr>
        <w:t>(</w:t>
      </w:r>
      <w:proofErr w:type="gramEnd"/>
      <w:r>
        <w:rPr>
          <w:rStyle w:val="Referencingstyle"/>
        </w:rPr>
        <w:t>3)]</w:t>
      </w:r>
    </w:p>
    <w:p w:rsidR="00066107" w:rsidRDefault="00066107" w:rsidP="00066107">
      <w:pPr>
        <w:pStyle w:val="base-text-paragraph"/>
      </w:pPr>
      <w:r>
        <w:t xml:space="preserve">These </w:t>
      </w:r>
      <w:r w:rsidR="00E750C2">
        <w:t>are</w:t>
      </w:r>
      <w:r>
        <w:t xml:space="preserve"> the same grounds </w:t>
      </w:r>
      <w:r w:rsidR="00E750C2">
        <w:t>on</w:t>
      </w:r>
      <w:r>
        <w:t xml:space="preserve"> which APRA can give a</w:t>
      </w:r>
      <w:r w:rsidR="00E750C2">
        <w:t xml:space="preserve"> person to a</w:t>
      </w:r>
      <w:r>
        <w:t xml:space="preserve"> direction to relinquish </w:t>
      </w:r>
      <w:r w:rsidR="00E750C2">
        <w:t>control.</w:t>
      </w:r>
    </w:p>
    <w:p w:rsidR="00E750C2" w:rsidRDefault="00E750C2" w:rsidP="00066107">
      <w:pPr>
        <w:pStyle w:val="base-text-paragraph"/>
      </w:pPr>
      <w:r>
        <w:t>The types of orders the Federal Court may make include:</w:t>
      </w:r>
    </w:p>
    <w:p w:rsidR="00E750C2" w:rsidRDefault="00E750C2" w:rsidP="00E750C2">
      <w:pPr>
        <w:pStyle w:val="dotpoint"/>
      </w:pPr>
      <w:r>
        <w:t>directing the disposal or shares;</w:t>
      </w:r>
    </w:p>
    <w:p w:rsidR="00E750C2" w:rsidRDefault="00E750C2" w:rsidP="00E750C2">
      <w:pPr>
        <w:pStyle w:val="dotpoint"/>
      </w:pPr>
      <w:r>
        <w:t>restraining the exercise of any rights attached to the shares;</w:t>
      </w:r>
    </w:p>
    <w:p w:rsidR="00E750C2" w:rsidRDefault="00E750C2" w:rsidP="00E750C2">
      <w:pPr>
        <w:pStyle w:val="dotpoint"/>
      </w:pPr>
      <w:r>
        <w:t>prohibiting or deferring the payment of any amount due to a person in respect of shares held by the person;</w:t>
      </w:r>
      <w:r w:rsidR="00440A81">
        <w:t xml:space="preserve"> and</w:t>
      </w:r>
    </w:p>
    <w:p w:rsidR="00E750C2" w:rsidRDefault="00E750C2" w:rsidP="00E750C2">
      <w:pPr>
        <w:pStyle w:val="dotpoint"/>
      </w:pPr>
      <w:proofErr w:type="gramStart"/>
      <w:r>
        <w:t>disregarding</w:t>
      </w:r>
      <w:proofErr w:type="gramEnd"/>
      <w:r>
        <w:t xml:space="preserve"> any exercise of rights attached to shares.</w:t>
      </w:r>
    </w:p>
    <w:p w:rsidR="00E750C2" w:rsidRPr="00D1282E" w:rsidRDefault="00E750C2" w:rsidP="00E750C2">
      <w:pPr>
        <w:pStyle w:val="base-text-paragraphnonumbers"/>
      </w:pPr>
      <w:r>
        <w:rPr>
          <w:rStyle w:val="Referencingstyle"/>
        </w:rPr>
        <w:t>[</w:t>
      </w:r>
      <w:r w:rsidRPr="00D1282E">
        <w:rPr>
          <w:rStyle w:val="Referencingstyle"/>
        </w:rPr>
        <w:t>Schedule </w:t>
      </w:r>
      <w:r w:rsidR="00480B40">
        <w:rPr>
          <w:rStyle w:val="Referencingstyle"/>
        </w:rPr>
        <w:t>4</w:t>
      </w:r>
      <w:r w:rsidRPr="00D1282E">
        <w:rPr>
          <w:rStyle w:val="Referencingstyle"/>
        </w:rPr>
        <w:t>, item </w:t>
      </w:r>
      <w:r w:rsidR="000A66E6">
        <w:rPr>
          <w:rStyle w:val="Referencingstyle"/>
        </w:rPr>
        <w:t>10</w:t>
      </w:r>
      <w:r w:rsidRPr="00D1282E">
        <w:rPr>
          <w:rStyle w:val="Referencingstyle"/>
        </w:rPr>
        <w:t>, subsection </w:t>
      </w:r>
      <w:proofErr w:type="gramStart"/>
      <w:r w:rsidRPr="00D1282E">
        <w:rPr>
          <w:rStyle w:val="Referencingstyle"/>
        </w:rPr>
        <w:t>131</w:t>
      </w:r>
      <w:r w:rsidR="000A66E6">
        <w:rPr>
          <w:rStyle w:val="Referencingstyle"/>
        </w:rPr>
        <w:t>EF</w:t>
      </w:r>
      <w:r w:rsidRPr="00D1282E">
        <w:rPr>
          <w:rStyle w:val="Referencingstyle"/>
        </w:rPr>
        <w:t>(</w:t>
      </w:r>
      <w:proofErr w:type="gramEnd"/>
      <w:r w:rsidRPr="00D1282E">
        <w:rPr>
          <w:rStyle w:val="Referencingstyle"/>
        </w:rPr>
        <w:t>4)]</w:t>
      </w:r>
    </w:p>
    <w:p w:rsidR="00E750C2" w:rsidRPr="00D1282E" w:rsidRDefault="00E750C2" w:rsidP="001D53B1">
      <w:pPr>
        <w:pStyle w:val="base-text-paragraph"/>
        <w:numPr>
          <w:ilvl w:val="1"/>
          <w:numId w:val="24"/>
        </w:numPr>
      </w:pPr>
      <w:r w:rsidRPr="00D1282E">
        <w:t xml:space="preserve">The Federal Court has the discretion to make other orders in addition to the ones listed above. </w:t>
      </w:r>
      <w:r w:rsidRPr="00D1282E">
        <w:rPr>
          <w:rStyle w:val="Referencingstyle"/>
        </w:rPr>
        <w:t>[Schedule </w:t>
      </w:r>
      <w:r w:rsidR="00480B40">
        <w:rPr>
          <w:rStyle w:val="Referencingstyle"/>
        </w:rPr>
        <w:t>4</w:t>
      </w:r>
      <w:r w:rsidRPr="00D1282E">
        <w:rPr>
          <w:rStyle w:val="Referencingstyle"/>
        </w:rPr>
        <w:t>, item </w:t>
      </w:r>
      <w:r w:rsidR="000A66E6">
        <w:rPr>
          <w:rStyle w:val="Referencingstyle"/>
        </w:rPr>
        <w:t>10</w:t>
      </w:r>
      <w:r w:rsidRPr="00D1282E">
        <w:rPr>
          <w:rStyle w:val="Referencingstyle"/>
        </w:rPr>
        <w:t>, subsection 131</w:t>
      </w:r>
      <w:r w:rsidR="000A66E6">
        <w:rPr>
          <w:rStyle w:val="Referencingstyle"/>
        </w:rPr>
        <w:t>EF</w:t>
      </w:r>
      <w:r w:rsidRPr="00D1282E">
        <w:rPr>
          <w:rStyle w:val="Referencingstyle"/>
        </w:rPr>
        <w:t>(5)]</w:t>
      </w:r>
    </w:p>
    <w:p w:rsidR="00E750C2" w:rsidRPr="00D1282E" w:rsidRDefault="00E750C2" w:rsidP="001D53B1">
      <w:pPr>
        <w:pStyle w:val="base-text-paragraph"/>
        <w:numPr>
          <w:ilvl w:val="1"/>
          <w:numId w:val="24"/>
        </w:numPr>
      </w:pPr>
      <w:r w:rsidRPr="00D1282E">
        <w:t xml:space="preserve">The </w:t>
      </w:r>
      <w:r w:rsidR="00D1282E">
        <w:t>Federal Court</w:t>
      </w:r>
      <w:r w:rsidRPr="00D1282E">
        <w:t xml:space="preserve"> also has the power to:</w:t>
      </w:r>
    </w:p>
    <w:p w:rsidR="00E750C2" w:rsidRPr="00D1282E" w:rsidRDefault="00D1282E" w:rsidP="00E750C2">
      <w:pPr>
        <w:pStyle w:val="dotpoint"/>
      </w:pPr>
      <w:r w:rsidRPr="00D1282E">
        <w:t xml:space="preserve">make an order </w:t>
      </w:r>
      <w:r w:rsidR="00E750C2" w:rsidRPr="00D1282E">
        <w:t>to direct any person to do or refrain from doing a specific act</w:t>
      </w:r>
      <w:r w:rsidRPr="00D1282E">
        <w:t xml:space="preserve"> for the purpose of securing compliance with any order the court has made;</w:t>
      </w:r>
      <w:r w:rsidR="00E750C2" w:rsidRPr="00D1282E">
        <w:t xml:space="preserve"> and </w:t>
      </w:r>
    </w:p>
    <w:p w:rsidR="00D1282E" w:rsidRPr="00D1282E" w:rsidRDefault="00D1282E" w:rsidP="00E750C2">
      <w:pPr>
        <w:pStyle w:val="dotpoint"/>
      </w:pPr>
      <w:proofErr w:type="gramStart"/>
      <w:r w:rsidRPr="00D1282E">
        <w:t>make</w:t>
      </w:r>
      <w:proofErr w:type="gramEnd"/>
      <w:r w:rsidRPr="00D1282E">
        <w:t xml:space="preserve"> an order containing ancillary or consequential provisions that the court thinks just.</w:t>
      </w:r>
    </w:p>
    <w:p w:rsidR="00D1282E" w:rsidRPr="00D1282E" w:rsidRDefault="00D1282E" w:rsidP="00D1282E">
      <w:pPr>
        <w:pStyle w:val="base-text-paragraphnonumbers"/>
        <w:rPr>
          <w:rStyle w:val="Referencingstyle"/>
        </w:rPr>
      </w:pPr>
      <w:r w:rsidRPr="00D1282E">
        <w:rPr>
          <w:rStyle w:val="Referencingstyle"/>
        </w:rPr>
        <w:t>[Schedule </w:t>
      </w:r>
      <w:r w:rsidR="00480B40">
        <w:rPr>
          <w:rStyle w:val="Referencingstyle"/>
        </w:rPr>
        <w:t>4</w:t>
      </w:r>
      <w:r w:rsidRPr="00D1282E">
        <w:rPr>
          <w:rStyle w:val="Referencingstyle"/>
        </w:rPr>
        <w:t>, item </w:t>
      </w:r>
      <w:r w:rsidR="000A66E6">
        <w:rPr>
          <w:rStyle w:val="Referencingstyle"/>
        </w:rPr>
        <w:t>10</w:t>
      </w:r>
      <w:r w:rsidRPr="00D1282E">
        <w:rPr>
          <w:rStyle w:val="Referencingstyle"/>
        </w:rPr>
        <w:t>, subsection </w:t>
      </w:r>
      <w:proofErr w:type="gramStart"/>
      <w:r w:rsidRPr="00D1282E">
        <w:rPr>
          <w:rStyle w:val="Referencingstyle"/>
        </w:rPr>
        <w:t>131</w:t>
      </w:r>
      <w:r w:rsidR="000A66E6">
        <w:rPr>
          <w:rStyle w:val="Referencingstyle"/>
        </w:rPr>
        <w:t>EF</w:t>
      </w:r>
      <w:r w:rsidRPr="00D1282E">
        <w:rPr>
          <w:rStyle w:val="Referencingstyle"/>
        </w:rPr>
        <w:t>(</w:t>
      </w:r>
      <w:proofErr w:type="gramEnd"/>
      <w:r w:rsidRPr="00D1282E">
        <w:rPr>
          <w:rStyle w:val="Referencingstyle"/>
        </w:rPr>
        <w:t>6)]</w:t>
      </w:r>
    </w:p>
    <w:p w:rsidR="00DB1024" w:rsidRPr="00DB1024" w:rsidRDefault="00D1282E" w:rsidP="001D53B1">
      <w:pPr>
        <w:pStyle w:val="base-text-paragraph"/>
        <w:numPr>
          <w:ilvl w:val="1"/>
          <w:numId w:val="24"/>
        </w:numPr>
        <w:rPr>
          <w:rStyle w:val="Referencingstyle"/>
          <w:b w:val="0"/>
          <w:i w:val="0"/>
          <w:sz w:val="22"/>
        </w:rPr>
      </w:pPr>
      <w:r w:rsidRPr="00DB1024">
        <w:t xml:space="preserve">Before making </w:t>
      </w:r>
      <w:r w:rsidR="00273CD2" w:rsidRPr="00DB1024">
        <w:t>an</w:t>
      </w:r>
      <w:r w:rsidRPr="00DB1024">
        <w:t xml:space="preserve"> order, t</w:t>
      </w:r>
      <w:r w:rsidR="00273CD2" w:rsidRPr="00DB1024">
        <w:t>he Federal Court may direct that the notice of APRA’s app</w:t>
      </w:r>
      <w:r w:rsidR="00DB1024" w:rsidRPr="00DB1024">
        <w:t xml:space="preserve">lication for the order be </w:t>
      </w:r>
      <w:r w:rsidR="00273CD2" w:rsidRPr="00DB1024">
        <w:t>given to any person that the court thinks fit or be published in any manner that the court thinks fit.</w:t>
      </w:r>
      <w:r w:rsidR="00DB1024" w:rsidRPr="00DB1024">
        <w:t xml:space="preserve"> The </w:t>
      </w:r>
      <w:r w:rsidR="00DB1024" w:rsidRPr="00DB1024">
        <w:lastRenderedPageBreak/>
        <w:t xml:space="preserve">court may also direct both actions to be taken. </w:t>
      </w:r>
      <w:r w:rsidR="00DB1024" w:rsidRPr="00DB1024">
        <w:rPr>
          <w:rStyle w:val="Referencingstyle"/>
        </w:rPr>
        <w:t>[Schedule </w:t>
      </w:r>
      <w:r w:rsidR="00480B40">
        <w:rPr>
          <w:rStyle w:val="Referencingstyle"/>
        </w:rPr>
        <w:t>4</w:t>
      </w:r>
      <w:r w:rsidR="00DB1024" w:rsidRPr="00DB1024">
        <w:rPr>
          <w:rStyle w:val="Referencingstyle"/>
        </w:rPr>
        <w:t>, item </w:t>
      </w:r>
      <w:r w:rsidR="000A66E6">
        <w:rPr>
          <w:rStyle w:val="Referencingstyle"/>
        </w:rPr>
        <w:t>10, subsection 131EF</w:t>
      </w:r>
      <w:r w:rsidR="00DB1024" w:rsidRPr="00DB1024">
        <w:rPr>
          <w:rStyle w:val="Referencingstyle"/>
        </w:rPr>
        <w:t>(7)]</w:t>
      </w:r>
    </w:p>
    <w:p w:rsidR="00D1282E" w:rsidRPr="002471C8" w:rsidRDefault="00DB1024" w:rsidP="001D53B1">
      <w:pPr>
        <w:pStyle w:val="base-text-paragraph"/>
        <w:numPr>
          <w:ilvl w:val="1"/>
          <w:numId w:val="24"/>
        </w:numPr>
        <w:rPr>
          <w:rStyle w:val="Referencingstyle"/>
          <w:b w:val="0"/>
          <w:i w:val="0"/>
          <w:sz w:val="22"/>
        </w:rPr>
      </w:pPr>
      <w:r w:rsidRPr="00DB1024">
        <w:t>The</w:t>
      </w:r>
      <w:r>
        <w:t xml:space="preserve"> Federal Court may rescind, vary or discharge the order made or suspend the operation of the order. </w:t>
      </w:r>
      <w:r>
        <w:rPr>
          <w:rStyle w:val="Referencingstyle"/>
        </w:rPr>
        <w:t>[Schedule </w:t>
      </w:r>
      <w:r w:rsidR="00480B40">
        <w:rPr>
          <w:rStyle w:val="Referencingstyle"/>
        </w:rPr>
        <w:t>4</w:t>
      </w:r>
      <w:r>
        <w:rPr>
          <w:rStyle w:val="Referencingstyle"/>
        </w:rPr>
        <w:t>, item </w:t>
      </w:r>
      <w:r w:rsidR="000A66E6">
        <w:rPr>
          <w:rStyle w:val="Referencingstyle"/>
        </w:rPr>
        <w:t>10</w:t>
      </w:r>
      <w:r>
        <w:rPr>
          <w:rStyle w:val="Referencingstyle"/>
        </w:rPr>
        <w:t>, subsection 131</w:t>
      </w:r>
      <w:r w:rsidR="000A66E6">
        <w:rPr>
          <w:rStyle w:val="Referencingstyle"/>
        </w:rPr>
        <w:t>EF</w:t>
      </w:r>
      <w:r>
        <w:rPr>
          <w:rStyle w:val="Referencingstyle"/>
        </w:rPr>
        <w:t>(8)]</w:t>
      </w:r>
    </w:p>
    <w:p w:rsidR="002471C8" w:rsidRPr="00DB1024" w:rsidRDefault="002471C8" w:rsidP="002471C8">
      <w:pPr>
        <w:pStyle w:val="Heading3"/>
      </w:pPr>
      <w:r>
        <w:t>Suspension or removal of trustee of superannuation entity</w:t>
      </w:r>
    </w:p>
    <w:p w:rsidR="002471C8" w:rsidRPr="00C32E71" w:rsidRDefault="002471C8" w:rsidP="001D53B1">
      <w:pPr>
        <w:pStyle w:val="base-text-paragraph"/>
        <w:numPr>
          <w:ilvl w:val="1"/>
          <w:numId w:val="24"/>
        </w:numPr>
      </w:pPr>
      <w:r w:rsidRPr="00C32E71">
        <w:t xml:space="preserve">APRA may suspend or remove a trustee of a superannuation entity on largely the same grounds as those </w:t>
      </w:r>
      <w:r w:rsidR="00440A81">
        <w:t xml:space="preserve">required </w:t>
      </w:r>
      <w:r w:rsidRPr="00C32E71">
        <w:t>for APRA to give a direction to a person to relinquish control.</w:t>
      </w:r>
    </w:p>
    <w:p w:rsidR="00C32E71" w:rsidRDefault="002471C8" w:rsidP="00C32E71">
      <w:pPr>
        <w:pStyle w:val="base-text-paragraph"/>
      </w:pPr>
      <w:r w:rsidRPr="00C32E71">
        <w:t xml:space="preserve">That is, APRA may suspend or remove the RSE licensee if </w:t>
      </w:r>
      <w:r w:rsidR="00C32E71">
        <w:t>it has reason to believe that:</w:t>
      </w:r>
    </w:p>
    <w:p w:rsidR="00C32E71" w:rsidRDefault="00C32E71" w:rsidP="00C32E71">
      <w:pPr>
        <w:pStyle w:val="dotpoint"/>
      </w:pPr>
      <w:r>
        <w:t>the person has a controlling stake in or ha</w:t>
      </w:r>
      <w:r w:rsidR="0057427D">
        <w:t>s</w:t>
      </w:r>
      <w:r>
        <w:t xml:space="preserve"> practical control of the RSE licensee; and</w:t>
      </w:r>
    </w:p>
    <w:p w:rsidR="00C32E71" w:rsidRDefault="00C32E71" w:rsidP="00C32E71">
      <w:pPr>
        <w:pStyle w:val="dotpoint"/>
        <w:rPr>
          <w:rStyle w:val="Referencingstyle"/>
          <w:b w:val="0"/>
          <w:i w:val="0"/>
          <w:sz w:val="22"/>
        </w:rPr>
      </w:pPr>
      <w:r>
        <w:rPr>
          <w:rStyle w:val="Referencingstyle"/>
          <w:b w:val="0"/>
          <w:i w:val="0"/>
          <w:sz w:val="22"/>
        </w:rPr>
        <w:t>APRA has reason to believe that the RSE licensee has been, is or is likely to be unable to satisfy one or more the trustee’s obligations contained in a covenant set out in section 52 to 53, or prescribed under section 54A, or referred to in section 29VN or 29VO, because of:</w:t>
      </w:r>
    </w:p>
    <w:p w:rsidR="00C32E71" w:rsidRDefault="00C32E71" w:rsidP="00C32E71">
      <w:pPr>
        <w:pStyle w:val="dotpoint2"/>
        <w:rPr>
          <w:rStyle w:val="Referencingstyle"/>
          <w:b w:val="0"/>
          <w:i w:val="0"/>
          <w:sz w:val="22"/>
        </w:rPr>
      </w:pPr>
      <w:r>
        <w:rPr>
          <w:rStyle w:val="Referencingstyle"/>
          <w:b w:val="0"/>
          <w:i w:val="0"/>
          <w:sz w:val="22"/>
        </w:rPr>
        <w:t>the person’s controlling stake in or practical control of the RSE licensee; or</w:t>
      </w:r>
    </w:p>
    <w:p w:rsidR="00C32E71" w:rsidRDefault="00C32E71" w:rsidP="00C32E71">
      <w:pPr>
        <w:pStyle w:val="dotpoint2"/>
        <w:rPr>
          <w:rStyle w:val="Referencingstyle"/>
          <w:b w:val="0"/>
          <w:i w:val="0"/>
          <w:sz w:val="22"/>
        </w:rPr>
      </w:pPr>
      <w:proofErr w:type="gramStart"/>
      <w:r>
        <w:rPr>
          <w:rStyle w:val="Referencingstyle"/>
          <w:b w:val="0"/>
          <w:i w:val="0"/>
          <w:sz w:val="22"/>
        </w:rPr>
        <w:t>the</w:t>
      </w:r>
      <w:proofErr w:type="gramEnd"/>
      <w:r>
        <w:rPr>
          <w:rStyle w:val="Referencingstyle"/>
          <w:b w:val="0"/>
          <w:i w:val="0"/>
          <w:sz w:val="22"/>
        </w:rPr>
        <w:t xml:space="preserve"> way in which that control</w:t>
      </w:r>
      <w:r w:rsidR="0057427D">
        <w:rPr>
          <w:rStyle w:val="Referencingstyle"/>
          <w:b w:val="0"/>
          <w:i w:val="0"/>
          <w:sz w:val="22"/>
        </w:rPr>
        <w:t xml:space="preserve"> </w:t>
      </w:r>
      <w:r>
        <w:rPr>
          <w:rStyle w:val="Referencingstyle"/>
          <w:b w:val="0"/>
          <w:i w:val="0"/>
          <w:sz w:val="22"/>
        </w:rPr>
        <w:t>is likely to be exercised.</w:t>
      </w:r>
    </w:p>
    <w:p w:rsidR="00C32E71" w:rsidRPr="00C32E71" w:rsidRDefault="00C32E71" w:rsidP="00C32E71">
      <w:pPr>
        <w:pStyle w:val="base-text-paragraphnonumbers"/>
      </w:pPr>
      <w:r>
        <w:rPr>
          <w:rStyle w:val="Referencingstyle"/>
        </w:rPr>
        <w:t>[Schedule </w:t>
      </w:r>
      <w:r w:rsidR="00480B40">
        <w:rPr>
          <w:rStyle w:val="Referencingstyle"/>
        </w:rPr>
        <w:t>4</w:t>
      </w:r>
      <w:r>
        <w:rPr>
          <w:rStyle w:val="Referencingstyle"/>
        </w:rPr>
        <w:t>, item </w:t>
      </w:r>
      <w:r w:rsidR="000A66E6">
        <w:rPr>
          <w:rStyle w:val="Referencingstyle"/>
        </w:rPr>
        <w:t>11</w:t>
      </w:r>
      <w:r>
        <w:rPr>
          <w:rStyle w:val="Referencingstyle"/>
        </w:rPr>
        <w:t>, paragraph 133(1</w:t>
      </w:r>
      <w:proofErr w:type="gramStart"/>
      <w:r>
        <w:rPr>
          <w:rStyle w:val="Referencingstyle"/>
        </w:rPr>
        <w:t>)(</w:t>
      </w:r>
      <w:proofErr w:type="gramEnd"/>
      <w:r>
        <w:rPr>
          <w:rStyle w:val="Referencingstyle"/>
        </w:rPr>
        <w:t>f)]</w:t>
      </w:r>
    </w:p>
    <w:p w:rsidR="00C32E71" w:rsidRPr="00C32E71" w:rsidRDefault="00C32E71" w:rsidP="00C32E71">
      <w:pPr>
        <w:pStyle w:val="base-text-paragraph"/>
        <w:numPr>
          <w:ilvl w:val="1"/>
          <w:numId w:val="24"/>
        </w:numPr>
      </w:pPr>
      <w:r w:rsidRPr="00C32E71">
        <w:t>APRA may also suspend or remove the RSE licensee if</w:t>
      </w:r>
      <w:r w:rsidRPr="00C32E71">
        <w:rPr>
          <w:rStyle w:val="Referencingstyle"/>
          <w:b w:val="0"/>
          <w:i w:val="0"/>
          <w:sz w:val="22"/>
        </w:rPr>
        <w:t xml:space="preserve"> it has reason to believe that the person has a controlling stake in the RSE licensee and</w:t>
      </w:r>
      <w:r>
        <w:rPr>
          <w:rStyle w:val="Referencingstyle"/>
          <w:b w:val="0"/>
          <w:i w:val="0"/>
          <w:sz w:val="22"/>
        </w:rPr>
        <w:t xml:space="preserve"> </w:t>
      </w:r>
      <w:r w:rsidRPr="00C32E71">
        <w:rPr>
          <w:rStyle w:val="Referencingstyle"/>
          <w:b w:val="0"/>
          <w:i w:val="0"/>
          <w:sz w:val="22"/>
        </w:rPr>
        <w:t>the person does not have approval from APRA to hold a controlling stake</w:t>
      </w:r>
      <w:r>
        <w:rPr>
          <w:rStyle w:val="Referencingstyle"/>
          <w:b w:val="0"/>
          <w:i w:val="0"/>
          <w:sz w:val="22"/>
        </w:rPr>
        <w:t xml:space="preserve">. </w:t>
      </w:r>
      <w:r>
        <w:rPr>
          <w:rStyle w:val="Referencingstyle"/>
        </w:rPr>
        <w:t>[Schedule </w:t>
      </w:r>
      <w:r w:rsidR="00480B40">
        <w:rPr>
          <w:rStyle w:val="Referencingstyle"/>
        </w:rPr>
        <w:t>4</w:t>
      </w:r>
      <w:r>
        <w:rPr>
          <w:rStyle w:val="Referencingstyle"/>
        </w:rPr>
        <w:t>, item 1</w:t>
      </w:r>
      <w:r w:rsidR="001E18C5">
        <w:rPr>
          <w:rStyle w:val="Referencingstyle"/>
        </w:rPr>
        <w:t>1</w:t>
      </w:r>
      <w:r>
        <w:rPr>
          <w:rStyle w:val="Referencingstyle"/>
        </w:rPr>
        <w:t>, paragraph 133(1)(g)]</w:t>
      </w:r>
    </w:p>
    <w:p w:rsidR="00E74EDC" w:rsidRPr="00C32E71" w:rsidRDefault="00E74EDC" w:rsidP="001D53B1">
      <w:pPr>
        <w:pStyle w:val="base-text-paragraph"/>
        <w:numPr>
          <w:ilvl w:val="1"/>
          <w:numId w:val="24"/>
        </w:numPr>
        <w:rPr>
          <w:rStyle w:val="Referencingstyle"/>
          <w:b w:val="0"/>
          <w:i w:val="0"/>
          <w:sz w:val="22"/>
        </w:rPr>
      </w:pPr>
      <w:r w:rsidRPr="00C32E71">
        <w:rPr>
          <w:rStyle w:val="Referencingstyle"/>
          <w:b w:val="0"/>
          <w:i w:val="0"/>
          <w:sz w:val="22"/>
        </w:rPr>
        <w:t xml:space="preserve">This is in addition to existing powers to suspend or remove </w:t>
      </w:r>
      <w:r w:rsidR="00C32E71">
        <w:rPr>
          <w:rStyle w:val="Referencingstyle"/>
          <w:b w:val="0"/>
          <w:i w:val="0"/>
          <w:sz w:val="22"/>
        </w:rPr>
        <w:t xml:space="preserve">an RSE licensee </w:t>
      </w:r>
      <w:r w:rsidR="00A80624">
        <w:rPr>
          <w:rStyle w:val="Referencingstyle"/>
          <w:b w:val="0"/>
          <w:i w:val="0"/>
          <w:sz w:val="22"/>
        </w:rPr>
        <w:t>under section 133</w:t>
      </w:r>
      <w:r w:rsidRPr="00C32E71">
        <w:rPr>
          <w:rStyle w:val="Referencingstyle"/>
          <w:b w:val="0"/>
          <w:i w:val="0"/>
          <w:sz w:val="22"/>
        </w:rPr>
        <w:t>.</w:t>
      </w:r>
    </w:p>
    <w:p w:rsidR="007C0947" w:rsidRPr="00E45D1B" w:rsidRDefault="007C0947" w:rsidP="007C0947">
      <w:pPr>
        <w:pStyle w:val="Heading2"/>
      </w:pPr>
      <w:r w:rsidRPr="00E45D1B">
        <w:t>Consequential amendments</w:t>
      </w:r>
    </w:p>
    <w:p w:rsidR="006D42F9" w:rsidRPr="006D42F9" w:rsidRDefault="006D30EB" w:rsidP="007C0947">
      <w:pPr>
        <w:pStyle w:val="base-text-paragraph"/>
        <w:numPr>
          <w:ilvl w:val="1"/>
          <w:numId w:val="22"/>
        </w:numPr>
        <w:rPr>
          <w:rStyle w:val="Referencingstyle"/>
          <w:b w:val="0"/>
          <w:i w:val="0"/>
          <w:sz w:val="22"/>
        </w:rPr>
      </w:pPr>
      <w:r>
        <w:t xml:space="preserve">The current condition imposed on the </w:t>
      </w:r>
      <w:r w:rsidR="006D42F9">
        <w:t xml:space="preserve">RSE licensee to notify APRA of any change in the composition of the RSE licensee is broadened to capture the concept of control. </w:t>
      </w:r>
      <w:r w:rsidR="006D42F9">
        <w:rPr>
          <w:rStyle w:val="Referencingstyle"/>
        </w:rPr>
        <w:t>[Schedule </w:t>
      </w:r>
      <w:r w:rsidR="00480B40">
        <w:rPr>
          <w:rStyle w:val="Referencingstyle"/>
        </w:rPr>
        <w:t>4</w:t>
      </w:r>
      <w:r w:rsidR="006D42F9">
        <w:rPr>
          <w:rStyle w:val="Referencingstyle"/>
        </w:rPr>
        <w:t xml:space="preserve">, items </w:t>
      </w:r>
      <w:r w:rsidR="000A66E6">
        <w:rPr>
          <w:rStyle w:val="Referencingstyle"/>
        </w:rPr>
        <w:t>5</w:t>
      </w:r>
      <w:r w:rsidR="006D42F9">
        <w:rPr>
          <w:rStyle w:val="Referencingstyle"/>
        </w:rPr>
        <w:t xml:space="preserve"> and </w:t>
      </w:r>
      <w:r w:rsidR="000A66E6">
        <w:rPr>
          <w:rStyle w:val="Referencingstyle"/>
        </w:rPr>
        <w:t>6</w:t>
      </w:r>
      <w:r w:rsidR="006D42F9">
        <w:rPr>
          <w:rStyle w:val="Referencingstyle"/>
        </w:rPr>
        <w:t>, paragraph 29E(1)(f) and subsection 29E(2)]</w:t>
      </w:r>
    </w:p>
    <w:p w:rsidR="006D42F9" w:rsidRDefault="007C0947" w:rsidP="006D42F9">
      <w:pPr>
        <w:pStyle w:val="base-text-paragraph"/>
        <w:numPr>
          <w:ilvl w:val="1"/>
          <w:numId w:val="22"/>
        </w:numPr>
      </w:pPr>
      <w:r w:rsidRPr="00E45D1B">
        <w:lastRenderedPageBreak/>
        <w:t xml:space="preserve">  </w:t>
      </w:r>
      <w:r w:rsidR="006D42F9">
        <w:t xml:space="preserve">That is, for the purposes of the obligation to notify APRA, any change to the composition of the RSE licensee includes when a person’s stake in the RSE licensee changes. </w:t>
      </w:r>
      <w:r w:rsidR="006D42F9">
        <w:rPr>
          <w:rStyle w:val="Referencingstyle"/>
        </w:rPr>
        <w:t>[Schedule </w:t>
      </w:r>
      <w:r w:rsidR="00480B40">
        <w:rPr>
          <w:rStyle w:val="Referencingstyle"/>
        </w:rPr>
        <w:t>4</w:t>
      </w:r>
      <w:r w:rsidR="006D42F9">
        <w:rPr>
          <w:rStyle w:val="Referencingstyle"/>
        </w:rPr>
        <w:t>, item </w:t>
      </w:r>
      <w:r w:rsidR="000A66E6">
        <w:rPr>
          <w:rStyle w:val="Referencingstyle"/>
        </w:rPr>
        <w:t>7</w:t>
      </w:r>
      <w:r w:rsidR="006D42F9">
        <w:rPr>
          <w:rStyle w:val="Referencingstyle"/>
        </w:rPr>
        <w:t>, paragraph 29E(2)(a)]</w:t>
      </w:r>
    </w:p>
    <w:p w:rsidR="006D42F9" w:rsidRPr="006D30EB" w:rsidRDefault="006D42F9" w:rsidP="006D42F9">
      <w:pPr>
        <w:pStyle w:val="base-text-paragraph"/>
        <w:numPr>
          <w:ilvl w:val="1"/>
          <w:numId w:val="22"/>
        </w:numPr>
        <w:rPr>
          <w:rStyle w:val="Referencingstyle"/>
          <w:b w:val="0"/>
          <w:i w:val="0"/>
          <w:sz w:val="22"/>
        </w:rPr>
      </w:pPr>
      <w:r>
        <w:t xml:space="preserve">A definition of </w:t>
      </w:r>
      <w:r>
        <w:rPr>
          <w:b/>
          <w:i/>
        </w:rPr>
        <w:t>stake</w:t>
      </w:r>
      <w:r>
        <w:t xml:space="preserve"> is inserted to ensure consistency in the meaning with the concept in the FSSA. </w:t>
      </w:r>
      <w:r>
        <w:rPr>
          <w:rStyle w:val="Referencingstyle"/>
        </w:rPr>
        <w:t>[Schedule </w:t>
      </w:r>
      <w:r w:rsidR="00480B40">
        <w:rPr>
          <w:rStyle w:val="Referencingstyle"/>
        </w:rPr>
        <w:t>4</w:t>
      </w:r>
      <w:r>
        <w:rPr>
          <w:rStyle w:val="Referencingstyle"/>
        </w:rPr>
        <w:t xml:space="preserve">, item </w:t>
      </w:r>
      <w:r w:rsidR="000940BF">
        <w:rPr>
          <w:rStyle w:val="Referencingstyle"/>
        </w:rPr>
        <w:t>4</w:t>
      </w:r>
      <w:r>
        <w:rPr>
          <w:rStyle w:val="Referencingstyle"/>
        </w:rPr>
        <w:t>, definition of ‘stake’</w:t>
      </w:r>
      <w:r w:rsidR="00082D21">
        <w:rPr>
          <w:rStyle w:val="Referencingstyle"/>
        </w:rPr>
        <w:t xml:space="preserve"> in</w:t>
      </w:r>
      <w:r w:rsidR="00082D21" w:rsidRPr="00082D21">
        <w:rPr>
          <w:rStyle w:val="Referencingstyle"/>
        </w:rPr>
        <w:t xml:space="preserve"> </w:t>
      </w:r>
      <w:r w:rsidR="00082D21">
        <w:rPr>
          <w:rStyle w:val="Referencingstyle"/>
        </w:rPr>
        <w:t>subsection 10(1)</w:t>
      </w:r>
      <w:r>
        <w:rPr>
          <w:rStyle w:val="Referencingstyle"/>
        </w:rPr>
        <w:t>]</w:t>
      </w:r>
    </w:p>
    <w:p w:rsidR="007C0947" w:rsidRDefault="007C0947" w:rsidP="007C0947">
      <w:pPr>
        <w:pStyle w:val="Heading2"/>
      </w:pPr>
      <w:r w:rsidRPr="000D5EC1">
        <w:t>Application and transitional provisions</w:t>
      </w:r>
    </w:p>
    <w:p w:rsidR="002B5A46" w:rsidRDefault="002B5A46" w:rsidP="00C32E71">
      <w:pPr>
        <w:pStyle w:val="base-text-paragraph"/>
        <w:rPr>
          <w:rStyle w:val="Referencingstyle"/>
          <w:b w:val="0"/>
          <w:i w:val="0"/>
          <w:sz w:val="22"/>
        </w:rPr>
      </w:pPr>
      <w:r>
        <w:rPr>
          <w:rStyle w:val="Referencingstyle"/>
          <w:b w:val="0"/>
          <w:i w:val="0"/>
          <w:sz w:val="22"/>
        </w:rPr>
        <w:t xml:space="preserve">Schedule </w:t>
      </w:r>
      <w:r w:rsidR="00742024">
        <w:rPr>
          <w:rStyle w:val="Referencingstyle"/>
          <w:b w:val="0"/>
          <w:i w:val="0"/>
          <w:sz w:val="22"/>
        </w:rPr>
        <w:t>4</w:t>
      </w:r>
      <w:r>
        <w:rPr>
          <w:rStyle w:val="Referencingstyle"/>
          <w:b w:val="0"/>
          <w:i w:val="0"/>
          <w:sz w:val="22"/>
        </w:rPr>
        <w:t xml:space="preserve"> commences on the day after the exposure draft Bill receives </w:t>
      </w:r>
      <w:r w:rsidR="009361CC">
        <w:rPr>
          <w:rStyle w:val="Referencingstyle"/>
          <w:b w:val="0"/>
          <w:i w:val="0"/>
          <w:sz w:val="22"/>
        </w:rPr>
        <w:t xml:space="preserve">the </w:t>
      </w:r>
      <w:r>
        <w:rPr>
          <w:rStyle w:val="Referencingstyle"/>
          <w:b w:val="0"/>
          <w:i w:val="0"/>
          <w:sz w:val="22"/>
        </w:rPr>
        <w:t xml:space="preserve">Royal Assent. </w:t>
      </w:r>
    </w:p>
    <w:p w:rsidR="00251814" w:rsidRDefault="00251814" w:rsidP="00C32E71">
      <w:pPr>
        <w:pStyle w:val="base-text-paragraph"/>
        <w:rPr>
          <w:rStyle w:val="Referencingstyle"/>
          <w:b w:val="0"/>
          <w:i w:val="0"/>
          <w:sz w:val="22"/>
        </w:rPr>
      </w:pPr>
      <w:r>
        <w:rPr>
          <w:rStyle w:val="Referencingstyle"/>
          <w:b w:val="0"/>
          <w:i w:val="0"/>
          <w:sz w:val="22"/>
        </w:rPr>
        <w:t>The amendments apply to a person holding a controlling stake from commencement day.</w:t>
      </w:r>
      <w:r w:rsidR="009361CC">
        <w:rPr>
          <w:rStyle w:val="Referencingstyle"/>
          <w:b w:val="0"/>
          <w:i w:val="0"/>
          <w:sz w:val="22"/>
        </w:rPr>
        <w:t xml:space="preserve"> </w:t>
      </w:r>
      <w:r w:rsidR="009361CC" w:rsidRPr="009361CC">
        <w:rPr>
          <w:rStyle w:val="Referencingstyle"/>
        </w:rPr>
        <w:t xml:space="preserve">[Schedule </w:t>
      </w:r>
      <w:r w:rsidR="00480B40">
        <w:rPr>
          <w:rStyle w:val="Referencingstyle"/>
        </w:rPr>
        <w:t>4</w:t>
      </w:r>
      <w:r w:rsidR="009361CC" w:rsidRPr="009361CC">
        <w:rPr>
          <w:rStyle w:val="Referencingstyle"/>
        </w:rPr>
        <w:t>, item 13]</w:t>
      </w:r>
    </w:p>
    <w:p w:rsidR="00251814" w:rsidRPr="00251814" w:rsidRDefault="00251814" w:rsidP="00C32E71">
      <w:pPr>
        <w:pStyle w:val="base-text-paragraph"/>
        <w:rPr>
          <w:rStyle w:val="Referencingstyle"/>
          <w:b w:val="0"/>
          <w:i w:val="0"/>
          <w:sz w:val="22"/>
        </w:rPr>
      </w:pPr>
      <w:r>
        <w:rPr>
          <w:rStyle w:val="Referencingstyle"/>
          <w:b w:val="0"/>
          <w:i w:val="0"/>
          <w:sz w:val="22"/>
        </w:rPr>
        <w:t xml:space="preserve">However, if a person holds a controlling stake in an RSE licensee before that day and continues to hold a controlling stake on or after that day, the person is deemed to have approval from APRA to hold a controlling stake in the RSE licensee. This approval is deemed for the period from the commencement day until when the person no longer holds a controlling stake. </w:t>
      </w:r>
      <w:r>
        <w:rPr>
          <w:rStyle w:val="Referencingstyle"/>
        </w:rPr>
        <w:t>[Schedule </w:t>
      </w:r>
      <w:r w:rsidR="00480B40">
        <w:rPr>
          <w:rStyle w:val="Referencingstyle"/>
        </w:rPr>
        <w:t>4</w:t>
      </w:r>
      <w:r>
        <w:rPr>
          <w:rStyle w:val="Referencingstyle"/>
        </w:rPr>
        <w:t xml:space="preserve">, item </w:t>
      </w:r>
      <w:r w:rsidR="000940BF">
        <w:rPr>
          <w:rStyle w:val="Referencingstyle"/>
        </w:rPr>
        <w:t>14</w:t>
      </w:r>
      <w:r>
        <w:rPr>
          <w:rStyle w:val="Referencingstyle"/>
        </w:rPr>
        <w:t>]</w:t>
      </w:r>
    </w:p>
    <w:p w:rsidR="00251814" w:rsidRDefault="00DE5344" w:rsidP="00C32E71">
      <w:pPr>
        <w:pStyle w:val="base-text-paragraph"/>
        <w:rPr>
          <w:rStyle w:val="Referencingstyle"/>
          <w:b w:val="0"/>
          <w:i w:val="0"/>
          <w:sz w:val="22"/>
        </w:rPr>
      </w:pPr>
      <w:r>
        <w:rPr>
          <w:rStyle w:val="Referencingstyle"/>
          <w:b w:val="0"/>
          <w:i w:val="0"/>
          <w:sz w:val="22"/>
        </w:rPr>
        <w:t>This is to ensure that the need to seek APRA approval to hold a controlling stake in an RSE licensee will only apply to persons who do not have an existing controlling stake in an RSE licensee</w:t>
      </w:r>
      <w:r w:rsidR="00440A81">
        <w:rPr>
          <w:rStyle w:val="Referencingstyle"/>
          <w:b w:val="0"/>
          <w:i w:val="0"/>
          <w:sz w:val="22"/>
        </w:rPr>
        <w:t xml:space="preserve"> </w:t>
      </w:r>
      <w:r w:rsidR="000A66E6">
        <w:rPr>
          <w:rStyle w:val="Referencingstyle"/>
          <w:b w:val="0"/>
          <w:i w:val="0"/>
          <w:sz w:val="22"/>
        </w:rPr>
        <w:t>at the date of commencement</w:t>
      </w:r>
      <w:r>
        <w:rPr>
          <w:rStyle w:val="Referencingstyle"/>
          <w:b w:val="0"/>
          <w:i w:val="0"/>
          <w:sz w:val="22"/>
        </w:rPr>
        <w:t>.</w:t>
      </w:r>
    </w:p>
    <w:p w:rsidR="00DE5344" w:rsidRDefault="00DE5344" w:rsidP="00C32E71">
      <w:pPr>
        <w:pStyle w:val="base-text-paragraph"/>
        <w:rPr>
          <w:rStyle w:val="Referencingstyle"/>
          <w:b w:val="0"/>
          <w:i w:val="0"/>
          <w:sz w:val="22"/>
        </w:rPr>
      </w:pPr>
      <w:r>
        <w:rPr>
          <w:rStyle w:val="Referencingstyle"/>
          <w:b w:val="0"/>
          <w:i w:val="0"/>
          <w:sz w:val="22"/>
        </w:rPr>
        <w:t>The offence for holding a controlling stake in an RSE licensee without approval applies only to a person that begins to hold a controlling stak</w:t>
      </w:r>
      <w:r w:rsidR="000940BF">
        <w:rPr>
          <w:rStyle w:val="Referencingstyle"/>
          <w:b w:val="0"/>
          <w:i w:val="0"/>
          <w:sz w:val="22"/>
        </w:rPr>
        <w:t>e on or after the day that is three</w:t>
      </w:r>
      <w:r>
        <w:rPr>
          <w:rStyle w:val="Referencingstyle"/>
          <w:b w:val="0"/>
          <w:i w:val="0"/>
          <w:sz w:val="22"/>
        </w:rPr>
        <w:t xml:space="preserve"> months after the commencement day. </w:t>
      </w:r>
      <w:r>
        <w:rPr>
          <w:rStyle w:val="Referencingstyle"/>
        </w:rPr>
        <w:t>[Schedule </w:t>
      </w:r>
      <w:r w:rsidR="00480B40">
        <w:rPr>
          <w:rStyle w:val="Referencingstyle"/>
        </w:rPr>
        <w:t>4</w:t>
      </w:r>
      <w:r>
        <w:rPr>
          <w:rStyle w:val="Referencingstyle"/>
        </w:rPr>
        <w:t>, item </w:t>
      </w:r>
      <w:r w:rsidR="000940BF">
        <w:rPr>
          <w:rStyle w:val="Referencingstyle"/>
        </w:rPr>
        <w:t>15</w:t>
      </w:r>
      <w:r>
        <w:rPr>
          <w:rStyle w:val="Referencingstyle"/>
        </w:rPr>
        <w:t>]</w:t>
      </w:r>
    </w:p>
    <w:p w:rsidR="00C850FF" w:rsidRDefault="00C850FF" w:rsidP="007C0947">
      <w:pPr>
        <w:spacing w:before="0" w:after="0"/>
        <w:rPr>
          <w:rFonts w:ascii="Helvetica" w:hAnsi="Helvetica"/>
          <w:b/>
          <w:i/>
          <w:sz w:val="38"/>
        </w:rPr>
        <w:sectPr w:rsidR="00C850FF" w:rsidSect="00C850FF">
          <w:headerReference w:type="default" r:id="rId39"/>
          <w:type w:val="oddPage"/>
          <w:pgSz w:w="11906" w:h="16838" w:code="9"/>
          <w:pgMar w:top="2466" w:right="2098" w:bottom="2466" w:left="2098" w:header="1559" w:footer="1899" w:gutter="0"/>
          <w:cols w:space="708"/>
          <w:titlePg/>
          <w:docGrid w:linePitch="360"/>
        </w:sectPr>
      </w:pPr>
    </w:p>
    <w:p w:rsidR="007C0947" w:rsidRPr="000D5EC1" w:rsidRDefault="007C0947" w:rsidP="007C0947">
      <w:pPr>
        <w:spacing w:before="0" w:after="0"/>
        <w:rPr>
          <w:rFonts w:ascii="Helvetica" w:hAnsi="Helvetica"/>
          <w:b/>
          <w:i/>
          <w:sz w:val="38"/>
        </w:rPr>
      </w:pPr>
    </w:p>
    <w:p w:rsidR="007C0947" w:rsidRPr="00A405FD" w:rsidRDefault="007C0947" w:rsidP="007C0947">
      <w:pPr>
        <w:pStyle w:val="ChapterHeading"/>
        <w:numPr>
          <w:ilvl w:val="0"/>
          <w:numId w:val="21"/>
        </w:numPr>
        <w:tabs>
          <w:tab w:val="num" w:pos="360"/>
        </w:tabs>
        <w:ind w:left="0"/>
      </w:pPr>
      <w:r w:rsidRPr="000D5EC1">
        <w:br/>
      </w:r>
      <w:bookmarkStart w:id="142" w:name="_Toc483916253"/>
      <w:bookmarkStart w:id="143" w:name="_Toc488398292"/>
      <w:bookmarkStart w:id="144" w:name="_Toc488413412"/>
      <w:r w:rsidRPr="00A405FD">
        <w:t xml:space="preserve">APRA </w:t>
      </w:r>
      <w:r w:rsidR="0024538F">
        <w:t>d</w:t>
      </w:r>
      <w:r w:rsidRPr="00A405FD">
        <w:t xml:space="preserve">irections </w:t>
      </w:r>
      <w:r w:rsidR="0024538F">
        <w:t>p</w:t>
      </w:r>
      <w:r w:rsidRPr="00A405FD">
        <w:t>ower</w:t>
      </w:r>
      <w:bookmarkEnd w:id="142"/>
      <w:bookmarkEnd w:id="143"/>
      <w:bookmarkEnd w:id="144"/>
    </w:p>
    <w:p w:rsidR="00F70F10" w:rsidRPr="000D5EC1" w:rsidRDefault="00F70F10" w:rsidP="00F70F10">
      <w:pPr>
        <w:pStyle w:val="Heading2"/>
      </w:pPr>
      <w:r w:rsidRPr="00B70CD9">
        <w:t>Outline of chapter</w:t>
      </w:r>
    </w:p>
    <w:p w:rsidR="00F70F10" w:rsidRDefault="00742024" w:rsidP="00F70F10">
      <w:pPr>
        <w:pStyle w:val="base-text-paragraph"/>
        <w:numPr>
          <w:ilvl w:val="1"/>
          <w:numId w:val="24"/>
        </w:numPr>
      </w:pPr>
      <w:r>
        <w:t>Schedule 5</w:t>
      </w:r>
      <w:r w:rsidR="00F70F10" w:rsidRPr="000D5EC1">
        <w:t xml:space="preserve"> to the </w:t>
      </w:r>
      <w:r w:rsidR="00A405FD">
        <w:t xml:space="preserve">exposure draft </w:t>
      </w:r>
      <w:r w:rsidR="00F70F10" w:rsidRPr="000D5EC1">
        <w:t xml:space="preserve">Bill amends the </w:t>
      </w:r>
      <w:r w:rsidR="00A405FD">
        <w:rPr>
          <w:i/>
        </w:rPr>
        <w:t xml:space="preserve">Superannuation Industry (Supervision) Act 1993 </w:t>
      </w:r>
      <w:r w:rsidR="00A405FD">
        <w:t>(</w:t>
      </w:r>
      <w:r w:rsidR="00F70F10" w:rsidRPr="000D5EC1">
        <w:t>SIS Act</w:t>
      </w:r>
      <w:r w:rsidR="00A405FD">
        <w:t>)</w:t>
      </w:r>
      <w:r w:rsidR="00F70F10" w:rsidRPr="004B1D89">
        <w:rPr>
          <w:i/>
        </w:rPr>
        <w:t xml:space="preserve"> </w:t>
      </w:r>
      <w:r w:rsidR="00F70F10" w:rsidRPr="000D5EC1">
        <w:t>to strengthen APRA’s supervision and enforcement powers to issue a direction to a</w:t>
      </w:r>
      <w:r w:rsidR="00A12012">
        <w:t>n</w:t>
      </w:r>
      <w:r w:rsidR="00F70F10" w:rsidRPr="000D5EC1">
        <w:t xml:space="preserve"> RSE licensee where APRA has prudential concerns.</w:t>
      </w:r>
      <w:r w:rsidR="00F70F10">
        <w:t xml:space="preserve"> These changes align the directions powers in the SIS Act with similar reforms being made across the banking and insurance laws.</w:t>
      </w:r>
    </w:p>
    <w:p w:rsidR="00F70F10" w:rsidRDefault="00F70F10" w:rsidP="00F70F10">
      <w:pPr>
        <w:pStyle w:val="base-text-paragraph"/>
        <w:numPr>
          <w:ilvl w:val="1"/>
          <w:numId w:val="24"/>
        </w:numPr>
      </w:pPr>
      <w:r>
        <w:t>These</w:t>
      </w:r>
      <w:r w:rsidRPr="000D5EC1">
        <w:t xml:space="preserve"> amendment</w:t>
      </w:r>
      <w:r>
        <w:t>s</w:t>
      </w:r>
      <w:r w:rsidRPr="000D5EC1">
        <w:t xml:space="preserve"> enable APRA to intervene </w:t>
      </w:r>
      <w:r>
        <w:t xml:space="preserve">at an </w:t>
      </w:r>
      <w:r w:rsidRPr="000D5EC1">
        <w:t xml:space="preserve">early </w:t>
      </w:r>
      <w:r>
        <w:t xml:space="preserve">stage </w:t>
      </w:r>
      <w:r w:rsidRPr="000D5EC1">
        <w:t xml:space="preserve">to </w:t>
      </w:r>
      <w:r>
        <w:t xml:space="preserve">address prudential concerns in a manner that ensures </w:t>
      </w:r>
      <w:r w:rsidRPr="000D5EC1">
        <w:t xml:space="preserve">the </w:t>
      </w:r>
      <w:r>
        <w:t xml:space="preserve">required actions are in the </w:t>
      </w:r>
      <w:r w:rsidRPr="000D5EC1">
        <w:t xml:space="preserve">best interests of members. Early intervention may be necessary due to the serious consequences </w:t>
      </w:r>
      <w:r w:rsidR="00DD2765">
        <w:t xml:space="preserve">for fund beneficiaries </w:t>
      </w:r>
      <w:r w:rsidRPr="000D5EC1">
        <w:t>which can flow from actions and matters that give rise to prudential risk.</w:t>
      </w:r>
    </w:p>
    <w:p w:rsidR="00F70F10" w:rsidRDefault="00DD2765" w:rsidP="00A76CD8">
      <w:pPr>
        <w:pStyle w:val="base-text-paragraph"/>
        <w:numPr>
          <w:ilvl w:val="1"/>
          <w:numId w:val="24"/>
        </w:numPr>
      </w:pPr>
      <w:r>
        <w:t>Flexible directions powers allow APRA to respond appropriately in a variety of circumstances, not all of which can be foreseen.</w:t>
      </w:r>
    </w:p>
    <w:p w:rsidR="00DD6F88" w:rsidRPr="000D5EC1" w:rsidRDefault="00DD6F88" w:rsidP="00DD6F88">
      <w:pPr>
        <w:pStyle w:val="base-text-paragraph"/>
        <w:numPr>
          <w:ilvl w:val="1"/>
          <w:numId w:val="24"/>
        </w:numPr>
      </w:pPr>
      <w:r>
        <w:t xml:space="preserve">All legislative references in this </w:t>
      </w:r>
      <w:r w:rsidR="00A405FD">
        <w:t>c</w:t>
      </w:r>
      <w:r>
        <w:t xml:space="preserve">hapter are to the </w:t>
      </w:r>
      <w:r w:rsidR="00A76CD8">
        <w:t>SIS Act</w:t>
      </w:r>
      <w:r>
        <w:t xml:space="preserve"> unless otherwise stated.</w:t>
      </w:r>
    </w:p>
    <w:p w:rsidR="00F70F10" w:rsidRPr="000D5EC1" w:rsidRDefault="00F70F10" w:rsidP="00F70F10">
      <w:pPr>
        <w:pStyle w:val="Heading2"/>
      </w:pPr>
      <w:r w:rsidRPr="000D5EC1">
        <w:t>Context of amendments</w:t>
      </w:r>
    </w:p>
    <w:p w:rsidR="00F70F10" w:rsidRPr="000D5EC1" w:rsidRDefault="00F70F10" w:rsidP="00F70F10">
      <w:pPr>
        <w:pStyle w:val="base-text-paragraph"/>
        <w:numPr>
          <w:ilvl w:val="0"/>
          <w:numId w:val="0"/>
        </w:numPr>
        <w:rPr>
          <w:b/>
          <w:i/>
        </w:rPr>
      </w:pPr>
      <w:r w:rsidRPr="000D5EC1">
        <w:rPr>
          <w:b/>
          <w:i/>
        </w:rPr>
        <w:t xml:space="preserve">APRA’s </w:t>
      </w:r>
      <w:r>
        <w:rPr>
          <w:b/>
          <w:i/>
        </w:rPr>
        <w:t>e</w:t>
      </w:r>
      <w:r w:rsidRPr="000D5EC1">
        <w:rPr>
          <w:b/>
          <w:i/>
        </w:rPr>
        <w:t xml:space="preserve">xisting </w:t>
      </w:r>
      <w:r>
        <w:rPr>
          <w:b/>
          <w:i/>
        </w:rPr>
        <w:t>d</w:t>
      </w:r>
      <w:r w:rsidRPr="000D5EC1">
        <w:rPr>
          <w:b/>
          <w:i/>
        </w:rPr>
        <w:t xml:space="preserve">irections </w:t>
      </w:r>
      <w:r>
        <w:rPr>
          <w:b/>
          <w:i/>
        </w:rPr>
        <w:t>p</w:t>
      </w:r>
      <w:r w:rsidRPr="000D5EC1">
        <w:rPr>
          <w:b/>
          <w:i/>
        </w:rPr>
        <w:t xml:space="preserve">owers </w:t>
      </w:r>
    </w:p>
    <w:p w:rsidR="00F70F10" w:rsidRPr="000D5EC1" w:rsidRDefault="00F70F10" w:rsidP="00F70F10">
      <w:pPr>
        <w:pStyle w:val="base-text-paragraph"/>
        <w:numPr>
          <w:ilvl w:val="1"/>
          <w:numId w:val="24"/>
        </w:numPr>
      </w:pPr>
      <w:r w:rsidRPr="000D5EC1">
        <w:t xml:space="preserve"> APRA currently has </w:t>
      </w:r>
      <w:r>
        <w:t xml:space="preserve">broad general powers of direction </w:t>
      </w:r>
      <w:r w:rsidRPr="000D5EC1">
        <w:t xml:space="preserve">under the Acts it administers in the banking and insurance industries. However, the directions powers available to APRA in </w:t>
      </w:r>
      <w:r w:rsidR="00DD2765">
        <w:t xml:space="preserve">respect of </w:t>
      </w:r>
      <w:r w:rsidRPr="000D5EC1">
        <w:t>the superannuation industry are much narrower. In this regard, APRA can only issue directions to an RSE licensee for it to:</w:t>
      </w:r>
    </w:p>
    <w:p w:rsidR="00F70F10" w:rsidRPr="000D5EC1" w:rsidRDefault="00F70F10" w:rsidP="00F70F10">
      <w:pPr>
        <w:pStyle w:val="dotpoint"/>
        <w:tabs>
          <w:tab w:val="clear" w:pos="2268"/>
          <w:tab w:val="num" w:pos="1702"/>
        </w:tabs>
        <w:ind w:left="1702"/>
      </w:pPr>
      <w:r w:rsidRPr="000D5EC1">
        <w:t xml:space="preserve">comply with a condition of </w:t>
      </w:r>
      <w:r>
        <w:t xml:space="preserve">an </w:t>
      </w:r>
      <w:r w:rsidRPr="000D5EC1">
        <w:t xml:space="preserve">RSE licence; </w:t>
      </w:r>
    </w:p>
    <w:p w:rsidR="00F70F10" w:rsidRPr="000D5EC1" w:rsidRDefault="00F70F10" w:rsidP="00F70F10">
      <w:pPr>
        <w:pStyle w:val="dotpoint2"/>
      </w:pPr>
      <w:r w:rsidRPr="000D5EC1">
        <w:t xml:space="preserve">including a direction to comply with a particular provision of the SIS Act, </w:t>
      </w:r>
      <w:r w:rsidR="00D25721" w:rsidRPr="00A433BE">
        <w:rPr>
          <w:i/>
        </w:rPr>
        <w:t xml:space="preserve">Superannuation Industry </w:t>
      </w:r>
      <w:r w:rsidR="00D25721" w:rsidRPr="00A433BE">
        <w:rPr>
          <w:i/>
        </w:rPr>
        <w:lastRenderedPageBreak/>
        <w:t>(Supervision) Regulations 1994</w:t>
      </w:r>
      <w:r w:rsidR="00D25721">
        <w:t xml:space="preserve"> (</w:t>
      </w:r>
      <w:r w:rsidRPr="000D5EC1">
        <w:t>SIS regulations</w:t>
      </w:r>
      <w:r w:rsidR="00D25721">
        <w:t>)</w:t>
      </w:r>
      <w:r w:rsidRPr="000D5EC1">
        <w:t xml:space="preserve"> or prudential standards</w:t>
      </w:r>
      <w:r>
        <w:t>;</w:t>
      </w:r>
    </w:p>
    <w:p w:rsidR="00F70F10" w:rsidRPr="000D5EC1" w:rsidRDefault="00F70F10" w:rsidP="00F70F10">
      <w:pPr>
        <w:pStyle w:val="dotpoint"/>
        <w:tabs>
          <w:tab w:val="clear" w:pos="2268"/>
          <w:tab w:val="num" w:pos="1702"/>
        </w:tabs>
        <w:ind w:left="1702"/>
      </w:pPr>
      <w:r w:rsidRPr="000D5EC1">
        <w:t xml:space="preserve">not accept contributions from employer sponsors where there has been a contravention of the equal representation rules; </w:t>
      </w:r>
    </w:p>
    <w:p w:rsidR="00F70F10" w:rsidRPr="000D5EC1" w:rsidRDefault="00F70F10" w:rsidP="00F70F10">
      <w:pPr>
        <w:pStyle w:val="dotpoint"/>
        <w:tabs>
          <w:tab w:val="clear" w:pos="2268"/>
          <w:tab w:val="num" w:pos="1702"/>
        </w:tabs>
        <w:ind w:left="1702"/>
      </w:pPr>
      <w:r w:rsidRPr="000D5EC1">
        <w:t xml:space="preserve">remove an auditor or approved actuary; </w:t>
      </w:r>
      <w:r>
        <w:t>or</w:t>
      </w:r>
    </w:p>
    <w:p w:rsidR="00F70F10" w:rsidRPr="000D5EC1" w:rsidRDefault="00F70F10" w:rsidP="00F70F10">
      <w:pPr>
        <w:pStyle w:val="dotpoint"/>
        <w:tabs>
          <w:tab w:val="clear" w:pos="2268"/>
          <w:tab w:val="num" w:pos="1702"/>
        </w:tabs>
        <w:ind w:left="1702"/>
      </w:pPr>
      <w:proofErr w:type="gramStart"/>
      <w:r w:rsidRPr="000D5EC1">
        <w:t>not</w:t>
      </w:r>
      <w:proofErr w:type="gramEnd"/>
      <w:r w:rsidRPr="000D5EC1">
        <w:t xml:space="preserve"> acquire or dispose assets</w:t>
      </w:r>
      <w:r>
        <w:t>.</w:t>
      </w:r>
      <w:r w:rsidRPr="000D5EC1">
        <w:t xml:space="preserve"> </w:t>
      </w:r>
    </w:p>
    <w:p w:rsidR="00F70F10" w:rsidRPr="000D5EC1" w:rsidRDefault="00F70F10" w:rsidP="00F70F10">
      <w:pPr>
        <w:pStyle w:val="base-text-paragraph"/>
        <w:numPr>
          <w:ilvl w:val="1"/>
          <w:numId w:val="24"/>
        </w:numPr>
      </w:pPr>
      <w:r w:rsidRPr="000D5EC1">
        <w:t>APRA also has power to remove a</w:t>
      </w:r>
      <w:r>
        <w:t>n</w:t>
      </w:r>
      <w:r w:rsidRPr="000D5EC1">
        <w:t xml:space="preserve"> RSE licensee and appoint an acting RSE licensee in certain circumstances and can give a direction to the acting RSE licensee.</w:t>
      </w:r>
    </w:p>
    <w:p w:rsidR="00F70F10" w:rsidRPr="000D5EC1" w:rsidRDefault="00F70F10" w:rsidP="00F70F10">
      <w:pPr>
        <w:pStyle w:val="base-text-paragraph"/>
        <w:numPr>
          <w:ilvl w:val="1"/>
          <w:numId w:val="24"/>
        </w:numPr>
      </w:pPr>
      <w:r w:rsidRPr="000D5EC1">
        <w:t xml:space="preserve">Given the limited scope </w:t>
      </w:r>
      <w:r w:rsidR="00DD2765">
        <w:t xml:space="preserve">of </w:t>
      </w:r>
      <w:r w:rsidRPr="000D5EC1">
        <w:t>APRA</w:t>
      </w:r>
      <w:r w:rsidR="00DD2765">
        <w:t xml:space="preserve">’s capacity to </w:t>
      </w:r>
      <w:r w:rsidRPr="000D5EC1">
        <w:t>direct RSE</w:t>
      </w:r>
      <w:r w:rsidR="00DD2765">
        <w:t> </w:t>
      </w:r>
      <w:r w:rsidRPr="000D5EC1">
        <w:t>licensee</w:t>
      </w:r>
      <w:r w:rsidR="00DD2765">
        <w:t>s</w:t>
      </w:r>
      <w:r w:rsidRPr="000D5EC1">
        <w:t xml:space="preserve">, APRA may not have power to resolve or address a prudential concern before it </w:t>
      </w:r>
      <w:r w:rsidR="00DD2765">
        <w:t xml:space="preserve">results in </w:t>
      </w:r>
      <w:r w:rsidRPr="000D5EC1">
        <w:t>significant</w:t>
      </w:r>
      <w:r w:rsidR="00DD2765">
        <w:t xml:space="preserve"> detriment to fund beneficiaries</w:t>
      </w:r>
      <w:r w:rsidRPr="000D5EC1">
        <w:t xml:space="preserve">. </w:t>
      </w:r>
    </w:p>
    <w:p w:rsidR="00F70F10" w:rsidRPr="000D5EC1" w:rsidRDefault="00A12012" w:rsidP="00F70F10">
      <w:pPr>
        <w:pStyle w:val="base-text-paragraph"/>
        <w:numPr>
          <w:ilvl w:val="1"/>
          <w:numId w:val="24"/>
        </w:numPr>
      </w:pPr>
      <w:r>
        <w:t>The</w:t>
      </w:r>
      <w:r w:rsidR="00F70F10" w:rsidRPr="000D5EC1">
        <w:t xml:space="preserve"> Final Report of the </w:t>
      </w:r>
      <w:r>
        <w:t>Financial System Inquiry (</w:t>
      </w:r>
      <w:r w:rsidR="00F70F10" w:rsidRPr="000D5EC1">
        <w:t>FSI</w:t>
      </w:r>
      <w:r>
        <w:t>)</w:t>
      </w:r>
      <w:r w:rsidR="00F70F10" w:rsidRPr="000D5EC1">
        <w:t xml:space="preserve"> c</w:t>
      </w:r>
      <w:r w:rsidR="00F70F10">
        <w:t xml:space="preserve">ontained a recommendation that </w:t>
      </w:r>
      <w:r w:rsidR="00F70F10" w:rsidRPr="000D5EC1">
        <w:t xml:space="preserve">existing processes for strengthening crisis management powers be completed.  The existing processes included strengthening APRA’s </w:t>
      </w:r>
      <w:r w:rsidR="00F70F10">
        <w:t xml:space="preserve">directions powers </w:t>
      </w:r>
      <w:r w:rsidR="00F70F10" w:rsidRPr="000D5EC1">
        <w:t xml:space="preserve">across the industries that it regulates, including superannuation. </w:t>
      </w:r>
    </w:p>
    <w:p w:rsidR="00DD2765" w:rsidRDefault="00DD2765" w:rsidP="00DD2765">
      <w:pPr>
        <w:pStyle w:val="base-text-paragraph"/>
        <w:numPr>
          <w:ilvl w:val="1"/>
          <w:numId w:val="24"/>
        </w:numPr>
      </w:pPr>
      <w:r w:rsidRPr="00DD2765">
        <w:t xml:space="preserve">The amendments in </w:t>
      </w:r>
      <w:r w:rsidR="00742024">
        <w:t>Schedule 5</w:t>
      </w:r>
      <w:r w:rsidRPr="00DD2765">
        <w:t xml:space="preserve"> align APRA's directions powers in relation to the superannuation industry with its broader directions powers in the banking and insurance industries</w:t>
      </w:r>
      <w:r>
        <w:t>.</w:t>
      </w:r>
    </w:p>
    <w:p w:rsidR="00F70F10" w:rsidRPr="000D5EC1" w:rsidRDefault="00F70F10" w:rsidP="00F70F10">
      <w:pPr>
        <w:pStyle w:val="base-text-paragraph"/>
        <w:numPr>
          <w:ilvl w:val="1"/>
          <w:numId w:val="24"/>
        </w:numPr>
      </w:pPr>
      <w:r w:rsidRPr="000D5EC1">
        <w:t>Providing APRA with</w:t>
      </w:r>
      <w:r>
        <w:t xml:space="preserve"> </w:t>
      </w:r>
      <w:r w:rsidRPr="000D5EC1">
        <w:t>powers similar to oth</w:t>
      </w:r>
      <w:r>
        <w:t>er financial service industries</w:t>
      </w:r>
      <w:r w:rsidRPr="000D5EC1">
        <w:t xml:space="preserve"> </w:t>
      </w:r>
      <w:r>
        <w:t xml:space="preserve">strengthens APRA’s </w:t>
      </w:r>
      <w:r w:rsidRPr="000D5EC1">
        <w:t xml:space="preserve">ability to quickly intervene </w:t>
      </w:r>
      <w:r>
        <w:t xml:space="preserve">in prudential matters to </w:t>
      </w:r>
      <w:r w:rsidRPr="000D5EC1">
        <w:t xml:space="preserve">ensure that actions which protect the interests of </w:t>
      </w:r>
      <w:r w:rsidR="00DD2765">
        <w:t xml:space="preserve">beneficiaries </w:t>
      </w:r>
      <w:r w:rsidRPr="000D5EC1">
        <w:t xml:space="preserve">in circumstances of prudential concern can be taken. </w:t>
      </w:r>
    </w:p>
    <w:p w:rsidR="00F70F10" w:rsidRPr="000D5EC1" w:rsidRDefault="00F70F10" w:rsidP="00F70F10">
      <w:pPr>
        <w:pStyle w:val="Heading2"/>
      </w:pPr>
      <w:r w:rsidRPr="000D5EC1">
        <w:t>Summary of new law</w:t>
      </w:r>
    </w:p>
    <w:p w:rsidR="00F70F10" w:rsidRPr="000D5EC1" w:rsidRDefault="00F70F10" w:rsidP="00F70F10">
      <w:pPr>
        <w:pStyle w:val="base-text-paragraph"/>
        <w:numPr>
          <w:ilvl w:val="1"/>
          <w:numId w:val="24"/>
        </w:numPr>
      </w:pPr>
      <w:r w:rsidRPr="000D5EC1">
        <w:t>The amendments provide</w:t>
      </w:r>
      <w:r w:rsidRPr="006A4B91">
        <w:t xml:space="preserve"> </w:t>
      </w:r>
      <w:r w:rsidRPr="000D5EC1">
        <w:t>APRA the power to give a direction</w:t>
      </w:r>
      <w:r w:rsidRPr="00876CCC">
        <w:t xml:space="preserve"> </w:t>
      </w:r>
      <w:r w:rsidRPr="000D5EC1">
        <w:t>to:</w:t>
      </w:r>
    </w:p>
    <w:p w:rsidR="00F70F10" w:rsidRDefault="00F70F10" w:rsidP="00F70F10">
      <w:pPr>
        <w:pStyle w:val="dotpoint"/>
        <w:tabs>
          <w:tab w:val="clear" w:pos="2268"/>
          <w:tab w:val="num" w:pos="1702"/>
        </w:tabs>
        <w:ind w:left="1702"/>
      </w:pPr>
      <w:r w:rsidRPr="000D5EC1">
        <w:t xml:space="preserve">an RSE licensee where it has concerns about one of the RSE licensee’s </w:t>
      </w:r>
      <w:r>
        <w:t xml:space="preserve">connected entities </w:t>
      </w:r>
      <w:r w:rsidRPr="000D5EC1">
        <w:t>which raise prudential concerns; and</w:t>
      </w:r>
      <w:r>
        <w:t>/or</w:t>
      </w:r>
    </w:p>
    <w:p w:rsidR="00F70F10" w:rsidRPr="000D5EC1" w:rsidRDefault="00F70F10" w:rsidP="00F70F10">
      <w:pPr>
        <w:pStyle w:val="dotpoint"/>
        <w:tabs>
          <w:tab w:val="clear" w:pos="2268"/>
          <w:tab w:val="num" w:pos="1702"/>
        </w:tabs>
        <w:ind w:left="1702"/>
      </w:pPr>
      <w:proofErr w:type="gramStart"/>
      <w:r>
        <w:t>a</w:t>
      </w:r>
      <w:proofErr w:type="gramEnd"/>
      <w:r>
        <w:t xml:space="preserve"> connected entity of the RSE licensee directly.</w:t>
      </w:r>
    </w:p>
    <w:p w:rsidR="00F70F10" w:rsidRPr="000D5EC1" w:rsidRDefault="00F70F10" w:rsidP="00F70F10">
      <w:pPr>
        <w:pStyle w:val="base-text-paragraph"/>
        <w:numPr>
          <w:ilvl w:val="1"/>
          <w:numId w:val="24"/>
        </w:numPr>
      </w:pPr>
      <w:r w:rsidRPr="000D5EC1">
        <w:lastRenderedPageBreak/>
        <w:t xml:space="preserve">APRA </w:t>
      </w:r>
      <w:r>
        <w:t>may</w:t>
      </w:r>
      <w:r w:rsidRPr="000D5EC1">
        <w:t xml:space="preserve"> also issue a direction to an acting RSE licensee in circumstances in which that direction can be made. </w:t>
      </w:r>
    </w:p>
    <w:p w:rsidR="00F70F10" w:rsidRDefault="00F70F10" w:rsidP="00F70F10">
      <w:pPr>
        <w:pStyle w:val="base-text-paragraph"/>
        <w:numPr>
          <w:ilvl w:val="1"/>
          <w:numId w:val="24"/>
        </w:numPr>
      </w:pPr>
      <w:r w:rsidRPr="000D5EC1">
        <w:t>An RSE licensee will commit an offence if it contravenes a direction from APRA. The offence is a strict liability offence subject to a penalty of 100 units</w:t>
      </w:r>
      <w:r>
        <w:t>,</w:t>
      </w:r>
      <w:r w:rsidRPr="000D5EC1">
        <w:t xml:space="preserve"> consistent with the current penalty for breach of a direction by an </w:t>
      </w:r>
      <w:r w:rsidR="00DD2765">
        <w:t>a</w:t>
      </w:r>
      <w:r w:rsidR="00DD2765" w:rsidRPr="000D5EC1">
        <w:t xml:space="preserve">cting </w:t>
      </w:r>
      <w:r w:rsidR="00DD2765">
        <w:t>t</w:t>
      </w:r>
      <w:r w:rsidR="00DD2765" w:rsidRPr="000D5EC1">
        <w:t>rustee</w:t>
      </w:r>
      <w:r w:rsidRPr="000D5EC1">
        <w:t>.</w:t>
      </w:r>
    </w:p>
    <w:p w:rsidR="002D4172" w:rsidRPr="000D5EC1" w:rsidRDefault="002D4172" w:rsidP="00A433BE">
      <w:pPr>
        <w:pStyle w:val="Heading2"/>
      </w:pPr>
      <w:r w:rsidRPr="002D4172">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F70F10" w:rsidRPr="000D5EC1" w:rsidTr="00F70F10">
        <w:trPr>
          <w:tblHeader/>
        </w:trPr>
        <w:tc>
          <w:tcPr>
            <w:tcW w:w="3275" w:type="dxa"/>
          </w:tcPr>
          <w:p w:rsidR="00F70F10" w:rsidRPr="000D5EC1" w:rsidRDefault="00F70F10" w:rsidP="00F70F10">
            <w:pPr>
              <w:pStyle w:val="tableheaderwithintable"/>
              <w:rPr>
                <w:lang w:val="en-US" w:eastAsia="en-US"/>
              </w:rPr>
            </w:pPr>
            <w:r w:rsidRPr="000D5EC1">
              <w:rPr>
                <w:lang w:val="en-US" w:eastAsia="en-US"/>
              </w:rPr>
              <w:t>New law</w:t>
            </w:r>
          </w:p>
        </w:tc>
        <w:tc>
          <w:tcPr>
            <w:tcW w:w="3276" w:type="dxa"/>
          </w:tcPr>
          <w:p w:rsidR="00F70F10" w:rsidRPr="000D5EC1" w:rsidRDefault="00F70F10" w:rsidP="00F70F10">
            <w:pPr>
              <w:pStyle w:val="tableheaderwithintable"/>
              <w:rPr>
                <w:lang w:val="en-US" w:eastAsia="en-US"/>
              </w:rPr>
            </w:pPr>
            <w:r w:rsidRPr="000D5EC1">
              <w:rPr>
                <w:lang w:val="en-US" w:eastAsia="en-US"/>
              </w:rPr>
              <w:t>Current law</w:t>
            </w:r>
          </w:p>
        </w:tc>
      </w:tr>
      <w:tr w:rsidR="00F70F10" w:rsidRPr="000D5EC1" w:rsidTr="00F70F10">
        <w:tc>
          <w:tcPr>
            <w:tcW w:w="3275" w:type="dxa"/>
          </w:tcPr>
          <w:p w:rsidR="00F70F10" w:rsidRDefault="00F70F10" w:rsidP="00F70F10">
            <w:pPr>
              <w:pStyle w:val="tabletext"/>
              <w:spacing w:before="0" w:after="0"/>
              <w:rPr>
                <w:lang w:val="en-US" w:eastAsia="en-US"/>
              </w:rPr>
            </w:pPr>
            <w:r>
              <w:rPr>
                <w:lang w:val="en-US" w:eastAsia="en-US"/>
              </w:rPr>
              <w:t>APRA may give a direction to an RSE licensee to:</w:t>
            </w:r>
          </w:p>
          <w:p w:rsidR="00F70F10" w:rsidRDefault="00F70F10" w:rsidP="00F70F10">
            <w:pPr>
              <w:pStyle w:val="Bullet"/>
              <w:spacing w:before="0" w:after="0"/>
              <w:rPr>
                <w:sz w:val="20"/>
                <w:lang w:val="en-US" w:eastAsia="en-US"/>
              </w:rPr>
            </w:pPr>
            <w:r w:rsidRPr="00C07341">
              <w:rPr>
                <w:sz w:val="20"/>
                <w:lang w:val="en-US" w:eastAsia="en-US"/>
              </w:rPr>
              <w:t>comply wit</w:t>
            </w:r>
            <w:r>
              <w:rPr>
                <w:sz w:val="20"/>
                <w:lang w:val="en-US" w:eastAsia="en-US"/>
              </w:rPr>
              <w:t>h a condition of an RSE license;</w:t>
            </w:r>
          </w:p>
          <w:p w:rsidR="00F70F10" w:rsidRDefault="00F70F10" w:rsidP="00F70F10">
            <w:pPr>
              <w:pStyle w:val="Bullet"/>
              <w:spacing w:before="0" w:after="0"/>
              <w:rPr>
                <w:sz w:val="20"/>
                <w:lang w:val="en-US" w:eastAsia="en-US"/>
              </w:rPr>
            </w:pPr>
            <w:r w:rsidRPr="00C07341">
              <w:rPr>
                <w:sz w:val="20"/>
                <w:lang w:val="en-US" w:eastAsia="en-US"/>
              </w:rPr>
              <w:t>n</w:t>
            </w:r>
            <w:r>
              <w:rPr>
                <w:sz w:val="20"/>
                <w:lang w:val="en-US" w:eastAsia="en-US"/>
              </w:rPr>
              <w:t>ot accept certain contributions;</w:t>
            </w:r>
          </w:p>
          <w:p w:rsidR="00F70F10" w:rsidRDefault="00F70F10" w:rsidP="00F70F10">
            <w:pPr>
              <w:pStyle w:val="Bullet"/>
              <w:spacing w:before="0" w:after="0"/>
              <w:rPr>
                <w:sz w:val="20"/>
                <w:lang w:val="en-US" w:eastAsia="en-US"/>
              </w:rPr>
            </w:pPr>
            <w:r>
              <w:rPr>
                <w:sz w:val="20"/>
                <w:lang w:val="en-US" w:eastAsia="en-US"/>
              </w:rPr>
              <w:t xml:space="preserve">remove an auditor </w:t>
            </w:r>
            <w:r w:rsidR="00A12012">
              <w:rPr>
                <w:sz w:val="20"/>
                <w:lang w:val="en-US" w:eastAsia="en-US"/>
              </w:rPr>
              <w:t xml:space="preserve">or </w:t>
            </w:r>
            <w:r>
              <w:rPr>
                <w:sz w:val="20"/>
                <w:lang w:val="en-US" w:eastAsia="en-US"/>
              </w:rPr>
              <w:t>an actuary;</w:t>
            </w:r>
            <w:r w:rsidRPr="00C07341">
              <w:rPr>
                <w:sz w:val="20"/>
                <w:lang w:val="en-US" w:eastAsia="en-US"/>
              </w:rPr>
              <w:t xml:space="preserve"> </w:t>
            </w:r>
            <w:r w:rsidR="00A12012">
              <w:rPr>
                <w:sz w:val="20"/>
                <w:lang w:val="en-US" w:eastAsia="en-US"/>
              </w:rPr>
              <w:t>or</w:t>
            </w:r>
          </w:p>
          <w:p w:rsidR="00F70F10" w:rsidRPr="00C07341" w:rsidRDefault="00F70F10" w:rsidP="00F70F10">
            <w:pPr>
              <w:pStyle w:val="Bullet"/>
              <w:spacing w:before="0" w:after="0"/>
              <w:rPr>
                <w:sz w:val="20"/>
                <w:lang w:val="en-US" w:eastAsia="en-US"/>
              </w:rPr>
            </w:pPr>
            <w:r w:rsidRPr="00C07341">
              <w:rPr>
                <w:sz w:val="20"/>
                <w:lang w:val="en-US" w:eastAsia="en-US"/>
              </w:rPr>
              <w:t>not acquire or dispose of assets</w:t>
            </w:r>
            <w:r w:rsidR="002D4172">
              <w:rPr>
                <w:sz w:val="20"/>
                <w:lang w:val="en-US" w:eastAsia="en-US"/>
              </w:rPr>
              <w:t>;</w:t>
            </w:r>
          </w:p>
          <w:p w:rsidR="00F70F10" w:rsidRDefault="00F70F10" w:rsidP="00F70F10">
            <w:pPr>
              <w:pStyle w:val="tabletext"/>
              <w:spacing w:before="0" w:after="0"/>
              <w:rPr>
                <w:lang w:val="en-US" w:eastAsia="en-US"/>
              </w:rPr>
            </w:pPr>
          </w:p>
          <w:p w:rsidR="00F70F10" w:rsidRPr="005C4705" w:rsidRDefault="005C25C1" w:rsidP="00F70F10">
            <w:pPr>
              <w:pStyle w:val="Bullet"/>
              <w:spacing w:before="0" w:after="0"/>
              <w:rPr>
                <w:sz w:val="20"/>
                <w:lang w:val="en-US" w:eastAsia="en-US"/>
              </w:rPr>
            </w:pPr>
            <w:r>
              <w:rPr>
                <w:sz w:val="20"/>
                <w:lang w:val="en-US" w:eastAsia="en-US"/>
              </w:rPr>
              <w:t xml:space="preserve">address </w:t>
            </w:r>
            <w:r w:rsidR="00F70F10" w:rsidRPr="005C4705">
              <w:rPr>
                <w:sz w:val="20"/>
                <w:lang w:val="en-US" w:eastAsia="en-US"/>
              </w:rPr>
              <w:t>contraventions of prudential obligations</w:t>
            </w:r>
            <w:r w:rsidR="00F70F10">
              <w:rPr>
                <w:sz w:val="20"/>
                <w:lang w:val="en-US" w:eastAsia="en-US"/>
              </w:rPr>
              <w:t>;</w:t>
            </w:r>
          </w:p>
          <w:p w:rsidR="00F70F10" w:rsidRPr="005C4705" w:rsidRDefault="00F70F10" w:rsidP="00F70F10">
            <w:pPr>
              <w:pStyle w:val="Bullet"/>
              <w:spacing w:before="0" w:after="0"/>
              <w:rPr>
                <w:sz w:val="20"/>
                <w:lang w:val="en-US" w:eastAsia="en-US"/>
              </w:rPr>
            </w:pPr>
            <w:r w:rsidRPr="005C4705">
              <w:rPr>
                <w:sz w:val="20"/>
                <w:lang w:val="en-US" w:eastAsia="en-US"/>
              </w:rPr>
              <w:t>protect the interests of beneficiaries</w:t>
            </w:r>
            <w:r>
              <w:rPr>
                <w:sz w:val="20"/>
                <w:lang w:val="en-US" w:eastAsia="en-US"/>
              </w:rPr>
              <w:t>; or</w:t>
            </w:r>
          </w:p>
          <w:p w:rsidR="00F70F10" w:rsidRPr="000D5EC1" w:rsidRDefault="00F70F10" w:rsidP="00F70F10">
            <w:pPr>
              <w:pStyle w:val="Bullet"/>
              <w:spacing w:before="0" w:after="0"/>
              <w:rPr>
                <w:lang w:val="en-US" w:eastAsia="en-US"/>
              </w:rPr>
            </w:pPr>
            <w:proofErr w:type="gramStart"/>
            <w:r w:rsidRPr="005C4705">
              <w:rPr>
                <w:sz w:val="20"/>
                <w:lang w:val="en-US" w:eastAsia="en-US"/>
              </w:rPr>
              <w:t>address</w:t>
            </w:r>
            <w:proofErr w:type="gramEnd"/>
            <w:r w:rsidRPr="005C4705">
              <w:rPr>
                <w:sz w:val="20"/>
                <w:lang w:val="en-US" w:eastAsia="en-US"/>
              </w:rPr>
              <w:t xml:space="preserve"> </w:t>
            </w:r>
            <w:r>
              <w:rPr>
                <w:sz w:val="20"/>
                <w:lang w:val="en-US" w:eastAsia="en-US"/>
              </w:rPr>
              <w:t xml:space="preserve">certain </w:t>
            </w:r>
            <w:r w:rsidRPr="005C4705">
              <w:rPr>
                <w:sz w:val="20"/>
                <w:lang w:val="en-US" w:eastAsia="en-US"/>
              </w:rPr>
              <w:t>financial risks</w:t>
            </w:r>
            <w:r>
              <w:rPr>
                <w:sz w:val="20"/>
                <w:lang w:val="en-US" w:eastAsia="en-US"/>
              </w:rPr>
              <w:t>.</w:t>
            </w:r>
          </w:p>
        </w:tc>
        <w:tc>
          <w:tcPr>
            <w:tcW w:w="3276" w:type="dxa"/>
          </w:tcPr>
          <w:p w:rsidR="00F70F10" w:rsidRDefault="00F70F10" w:rsidP="00F70F10">
            <w:pPr>
              <w:pStyle w:val="tabletext"/>
              <w:spacing w:before="0" w:after="0"/>
              <w:rPr>
                <w:lang w:val="en-US" w:eastAsia="en-US"/>
              </w:rPr>
            </w:pPr>
            <w:r>
              <w:rPr>
                <w:lang w:val="en-US" w:eastAsia="en-US"/>
              </w:rPr>
              <w:t>APRA may give a direction to an RSE licensee to:</w:t>
            </w:r>
          </w:p>
          <w:p w:rsidR="00F70F10" w:rsidRDefault="00F70F10" w:rsidP="00F70F10">
            <w:pPr>
              <w:pStyle w:val="Bullet"/>
              <w:spacing w:before="0" w:after="0"/>
              <w:rPr>
                <w:sz w:val="20"/>
                <w:lang w:val="en-US" w:eastAsia="en-US"/>
              </w:rPr>
            </w:pPr>
            <w:r w:rsidRPr="00C07341">
              <w:rPr>
                <w:sz w:val="20"/>
                <w:lang w:val="en-US" w:eastAsia="en-US"/>
              </w:rPr>
              <w:t>comply wit</w:t>
            </w:r>
            <w:r>
              <w:rPr>
                <w:sz w:val="20"/>
                <w:lang w:val="en-US" w:eastAsia="en-US"/>
              </w:rPr>
              <w:t>h a condition of an RSE license;</w:t>
            </w:r>
          </w:p>
          <w:p w:rsidR="00F70F10" w:rsidRDefault="00F70F10" w:rsidP="00F70F10">
            <w:pPr>
              <w:pStyle w:val="Bullet"/>
              <w:spacing w:before="0" w:after="0"/>
              <w:rPr>
                <w:sz w:val="20"/>
                <w:lang w:val="en-US" w:eastAsia="en-US"/>
              </w:rPr>
            </w:pPr>
            <w:r w:rsidRPr="00C07341">
              <w:rPr>
                <w:sz w:val="20"/>
                <w:lang w:val="en-US" w:eastAsia="en-US"/>
              </w:rPr>
              <w:t>n</w:t>
            </w:r>
            <w:r>
              <w:rPr>
                <w:sz w:val="20"/>
                <w:lang w:val="en-US" w:eastAsia="en-US"/>
              </w:rPr>
              <w:t>ot accept certain contributions;</w:t>
            </w:r>
          </w:p>
          <w:p w:rsidR="00F70F10" w:rsidRDefault="00F70F10" w:rsidP="00F70F10">
            <w:pPr>
              <w:pStyle w:val="Bullet"/>
              <w:spacing w:before="0" w:after="0"/>
              <w:rPr>
                <w:sz w:val="20"/>
                <w:lang w:val="en-US" w:eastAsia="en-US"/>
              </w:rPr>
            </w:pPr>
            <w:r>
              <w:rPr>
                <w:sz w:val="20"/>
                <w:lang w:val="en-US" w:eastAsia="en-US"/>
              </w:rPr>
              <w:t xml:space="preserve">remove an auditor </w:t>
            </w:r>
            <w:r w:rsidR="00A12012">
              <w:rPr>
                <w:sz w:val="20"/>
                <w:lang w:val="en-US" w:eastAsia="en-US"/>
              </w:rPr>
              <w:t xml:space="preserve">or </w:t>
            </w:r>
            <w:r>
              <w:rPr>
                <w:sz w:val="20"/>
                <w:lang w:val="en-US" w:eastAsia="en-US"/>
              </w:rPr>
              <w:t>an actuary;</w:t>
            </w:r>
            <w:r w:rsidRPr="00C07341">
              <w:rPr>
                <w:sz w:val="20"/>
                <w:lang w:val="en-US" w:eastAsia="en-US"/>
              </w:rPr>
              <w:t xml:space="preserve"> </w:t>
            </w:r>
            <w:r w:rsidR="00A12012">
              <w:rPr>
                <w:sz w:val="20"/>
                <w:lang w:val="en-US" w:eastAsia="en-US"/>
              </w:rPr>
              <w:t>or</w:t>
            </w:r>
          </w:p>
          <w:p w:rsidR="00F70F10" w:rsidRPr="00C07341" w:rsidRDefault="00F70F10" w:rsidP="00F70F10">
            <w:pPr>
              <w:pStyle w:val="Bullet"/>
              <w:spacing w:before="0" w:after="0"/>
              <w:rPr>
                <w:sz w:val="20"/>
                <w:lang w:val="en-US" w:eastAsia="en-US"/>
              </w:rPr>
            </w:pPr>
            <w:proofErr w:type="gramStart"/>
            <w:r w:rsidRPr="00C07341">
              <w:rPr>
                <w:sz w:val="20"/>
                <w:lang w:val="en-US" w:eastAsia="en-US"/>
              </w:rPr>
              <w:t>not</w:t>
            </w:r>
            <w:proofErr w:type="gramEnd"/>
            <w:r w:rsidRPr="00C07341">
              <w:rPr>
                <w:sz w:val="20"/>
                <w:lang w:val="en-US" w:eastAsia="en-US"/>
              </w:rPr>
              <w:t xml:space="preserve"> acquire or dispose of assets. </w:t>
            </w:r>
          </w:p>
          <w:p w:rsidR="00F70F10" w:rsidRPr="000D5EC1" w:rsidRDefault="00F70F10" w:rsidP="00F70F10">
            <w:pPr>
              <w:pStyle w:val="tabletext"/>
              <w:rPr>
                <w:lang w:val="en-US" w:eastAsia="en-US"/>
              </w:rPr>
            </w:pPr>
            <w:r w:rsidRPr="000D5EC1">
              <w:rPr>
                <w:lang w:val="en-US" w:eastAsia="en-US"/>
              </w:rPr>
              <w:t xml:space="preserve"> </w:t>
            </w:r>
          </w:p>
        </w:tc>
      </w:tr>
      <w:tr w:rsidR="00F70F10" w:rsidRPr="000D5EC1" w:rsidTr="00F70F10">
        <w:trPr>
          <w:trHeight w:val="256"/>
        </w:trPr>
        <w:tc>
          <w:tcPr>
            <w:tcW w:w="3275" w:type="dxa"/>
            <w:tcBorders>
              <w:top w:val="single" w:sz="4" w:space="0" w:color="auto"/>
              <w:left w:val="single" w:sz="4" w:space="0" w:color="auto"/>
              <w:bottom w:val="single" w:sz="4" w:space="0" w:color="auto"/>
              <w:right w:val="single" w:sz="4" w:space="0" w:color="auto"/>
            </w:tcBorders>
          </w:tcPr>
          <w:p w:rsidR="003F6B39" w:rsidRPr="003F6B39" w:rsidRDefault="003F6B39" w:rsidP="003F6B39">
            <w:pPr>
              <w:spacing w:before="0" w:after="0"/>
              <w:rPr>
                <w:sz w:val="20"/>
                <w:lang w:val="en-US" w:eastAsia="en-US"/>
              </w:rPr>
            </w:pPr>
            <w:r w:rsidRPr="003F6B39">
              <w:rPr>
                <w:sz w:val="20"/>
                <w:lang w:val="en-US" w:eastAsia="en-US"/>
              </w:rPr>
              <w:t>APRA</w:t>
            </w:r>
            <w:r w:rsidR="005C25C1" w:rsidRPr="003F6B39">
              <w:rPr>
                <w:sz w:val="20"/>
                <w:lang w:val="en-US" w:eastAsia="en-US"/>
              </w:rPr>
              <w:t xml:space="preserve"> may give directions to an RSE licensee to cause a connected entity to</w:t>
            </w:r>
            <w:r w:rsidRPr="003F6B39">
              <w:rPr>
                <w:sz w:val="20"/>
                <w:lang w:val="en-US" w:eastAsia="en-US"/>
              </w:rPr>
              <w:t>:</w:t>
            </w:r>
          </w:p>
          <w:p w:rsidR="003F6B39" w:rsidRPr="003F6B39" w:rsidRDefault="003F6B39" w:rsidP="00392472">
            <w:pPr>
              <w:pStyle w:val="Bullet"/>
              <w:spacing w:before="0" w:after="0"/>
              <w:rPr>
                <w:sz w:val="20"/>
                <w:lang w:val="en-US" w:eastAsia="en-US"/>
              </w:rPr>
            </w:pPr>
            <w:r w:rsidRPr="003F6B39">
              <w:rPr>
                <w:sz w:val="20"/>
                <w:lang w:val="en-US" w:eastAsia="en-US"/>
              </w:rPr>
              <w:t>address contraventions of  prudential obligations;</w:t>
            </w:r>
          </w:p>
          <w:p w:rsidR="003F6B39" w:rsidRPr="003F6B39" w:rsidRDefault="003F6B39" w:rsidP="00392472">
            <w:pPr>
              <w:pStyle w:val="Bullet"/>
              <w:spacing w:before="0" w:after="0"/>
              <w:rPr>
                <w:sz w:val="20"/>
                <w:lang w:val="en-US" w:eastAsia="en-US"/>
              </w:rPr>
            </w:pPr>
            <w:r w:rsidRPr="003F6B39">
              <w:rPr>
                <w:sz w:val="20"/>
                <w:lang w:val="en-US" w:eastAsia="en-US"/>
              </w:rPr>
              <w:t>protect</w:t>
            </w:r>
            <w:r w:rsidR="005C25C1" w:rsidRPr="003F6B39">
              <w:rPr>
                <w:sz w:val="20"/>
                <w:lang w:val="en-US" w:eastAsia="en-US"/>
              </w:rPr>
              <w:t xml:space="preserve"> the </w:t>
            </w:r>
            <w:r w:rsidRPr="003F6B39">
              <w:rPr>
                <w:sz w:val="20"/>
                <w:lang w:val="en-US" w:eastAsia="en-US"/>
              </w:rPr>
              <w:t>interests of beneficiaries; or</w:t>
            </w:r>
          </w:p>
          <w:p w:rsidR="003F6B39" w:rsidRPr="003F6B39" w:rsidRDefault="003F6B39" w:rsidP="00392472">
            <w:pPr>
              <w:pStyle w:val="Bullet"/>
              <w:spacing w:before="0" w:after="0"/>
              <w:rPr>
                <w:lang w:val="en-US" w:eastAsia="en-US"/>
              </w:rPr>
            </w:pPr>
            <w:proofErr w:type="gramStart"/>
            <w:r w:rsidRPr="003F6B39">
              <w:rPr>
                <w:sz w:val="20"/>
                <w:lang w:val="en-US" w:eastAsia="en-US"/>
              </w:rPr>
              <w:t>address</w:t>
            </w:r>
            <w:proofErr w:type="gramEnd"/>
            <w:r w:rsidRPr="003F6B39">
              <w:rPr>
                <w:sz w:val="20"/>
                <w:lang w:val="en-US" w:eastAsia="en-US"/>
              </w:rPr>
              <w:t xml:space="preserve"> certain financial risks.</w:t>
            </w:r>
          </w:p>
          <w:p w:rsidR="003F6B39" w:rsidRDefault="003F6B39" w:rsidP="00392472">
            <w:pPr>
              <w:pStyle w:val="Bullet"/>
              <w:numPr>
                <w:ilvl w:val="0"/>
                <w:numId w:val="0"/>
              </w:numPr>
              <w:spacing w:before="0" w:after="0"/>
              <w:rPr>
                <w:sz w:val="20"/>
                <w:lang w:val="en-US" w:eastAsia="en-US"/>
              </w:rPr>
            </w:pPr>
          </w:p>
          <w:p w:rsidR="00F70F10" w:rsidRPr="000D5EC1" w:rsidRDefault="003F6B39" w:rsidP="00392472">
            <w:pPr>
              <w:pStyle w:val="Bullet"/>
              <w:numPr>
                <w:ilvl w:val="0"/>
                <w:numId w:val="0"/>
              </w:numPr>
              <w:spacing w:before="0" w:after="0"/>
              <w:rPr>
                <w:lang w:val="en-US" w:eastAsia="en-US"/>
              </w:rPr>
            </w:pPr>
            <w:r>
              <w:rPr>
                <w:sz w:val="20"/>
                <w:lang w:val="en-US" w:eastAsia="en-US"/>
              </w:rPr>
              <w:t xml:space="preserve">Where APRA can give one of these directions in respect of a </w:t>
            </w:r>
            <w:r w:rsidR="005C25C1">
              <w:rPr>
                <w:sz w:val="20"/>
                <w:lang w:val="en-US" w:eastAsia="en-US"/>
              </w:rPr>
              <w:t xml:space="preserve">connected </w:t>
            </w:r>
            <w:r>
              <w:rPr>
                <w:sz w:val="20"/>
                <w:lang w:val="en-US" w:eastAsia="en-US"/>
              </w:rPr>
              <w:t xml:space="preserve">entity to an RSE licensee, it may also give a direction to the connected entity. </w:t>
            </w:r>
          </w:p>
        </w:tc>
        <w:tc>
          <w:tcPr>
            <w:tcW w:w="3276" w:type="dxa"/>
            <w:tcBorders>
              <w:top w:val="single" w:sz="4" w:space="0" w:color="auto"/>
              <w:left w:val="single" w:sz="4" w:space="0" w:color="auto"/>
              <w:bottom w:val="single" w:sz="4" w:space="0" w:color="auto"/>
              <w:right w:val="single" w:sz="4" w:space="0" w:color="auto"/>
            </w:tcBorders>
          </w:tcPr>
          <w:p w:rsidR="00F70F10" w:rsidRPr="000D5EC1" w:rsidRDefault="00F70F10" w:rsidP="00F70F10">
            <w:pPr>
              <w:pStyle w:val="tabletext"/>
              <w:rPr>
                <w:lang w:val="en-US" w:eastAsia="en-US"/>
              </w:rPr>
            </w:pPr>
            <w:r>
              <w:rPr>
                <w:lang w:val="en-US" w:eastAsia="en-US"/>
              </w:rPr>
              <w:t>No equivalent</w:t>
            </w:r>
            <w:r w:rsidR="00A76CD8">
              <w:rPr>
                <w:lang w:val="en-US" w:eastAsia="en-US"/>
              </w:rPr>
              <w:t>.</w:t>
            </w:r>
            <w:r>
              <w:rPr>
                <w:lang w:val="en-US" w:eastAsia="en-US"/>
              </w:rPr>
              <w:t xml:space="preserve"> </w:t>
            </w:r>
          </w:p>
        </w:tc>
      </w:tr>
    </w:tbl>
    <w:p w:rsidR="00F70F10" w:rsidRPr="000D5EC1" w:rsidRDefault="00F70F10" w:rsidP="00F70F10">
      <w:pPr>
        <w:pStyle w:val="Heading2"/>
      </w:pPr>
      <w:r w:rsidRPr="000D5EC1">
        <w:t>Detailed explanation of new law</w:t>
      </w:r>
    </w:p>
    <w:p w:rsidR="00F70F10" w:rsidRDefault="00742024" w:rsidP="00F70F10">
      <w:pPr>
        <w:pStyle w:val="base-text-paragraph"/>
        <w:numPr>
          <w:ilvl w:val="1"/>
          <w:numId w:val="24"/>
        </w:numPr>
      </w:pPr>
      <w:r>
        <w:t>Schedule 5</w:t>
      </w:r>
      <w:r w:rsidR="00F70F10">
        <w:t xml:space="preserve"> to the </w:t>
      </w:r>
      <w:r w:rsidR="00A12012">
        <w:t xml:space="preserve">exposure draft </w:t>
      </w:r>
      <w:r w:rsidR="00F70F10">
        <w:t>Bill inserts Part 16A into the SIS Act to provide APRA with powers to issue directions.</w:t>
      </w:r>
    </w:p>
    <w:p w:rsidR="00F70F10" w:rsidRDefault="00F70F10" w:rsidP="00F70F10">
      <w:pPr>
        <w:pStyle w:val="base-text-paragraph"/>
        <w:numPr>
          <w:ilvl w:val="1"/>
          <w:numId w:val="24"/>
        </w:numPr>
      </w:pPr>
      <w:r>
        <w:lastRenderedPageBreak/>
        <w:t>The directions available to APRA are contained in Division 1. APRA may give a direction to an RSE licensee where:</w:t>
      </w:r>
    </w:p>
    <w:p w:rsidR="00F70F10" w:rsidRDefault="00F70F10" w:rsidP="00F70F10">
      <w:pPr>
        <w:pStyle w:val="dotpoint"/>
      </w:pPr>
      <w:r>
        <w:t xml:space="preserve">APRA has a reason to believe that the </w:t>
      </w:r>
      <w:r w:rsidR="0081105D">
        <w:t xml:space="preserve">RSE </w:t>
      </w:r>
      <w:r>
        <w:t xml:space="preserve">licensee either has, or is reasonably likely to, contravene </w:t>
      </w:r>
      <w:r w:rsidR="0081105D">
        <w:t xml:space="preserve">its </w:t>
      </w:r>
      <w:r>
        <w:t>prudential obligations; or</w:t>
      </w:r>
    </w:p>
    <w:p w:rsidR="002D4172" w:rsidRDefault="00F70F10" w:rsidP="00F70F10">
      <w:pPr>
        <w:pStyle w:val="dotpoint"/>
      </w:pPr>
      <w:proofErr w:type="gramStart"/>
      <w:r>
        <w:t>certain</w:t>
      </w:r>
      <w:proofErr w:type="gramEnd"/>
      <w:r>
        <w:t xml:space="preserve"> financial risks are present, or there are risks to the interests of the beneficiaries of a superannuation entity or the financial system more generally. </w:t>
      </w:r>
    </w:p>
    <w:p w:rsidR="00F70F10" w:rsidRPr="00C877AA" w:rsidRDefault="00F70F10" w:rsidP="00A433BE">
      <w:pPr>
        <w:pStyle w:val="base-text-paragraphnonumbers"/>
        <w:rPr>
          <w:rStyle w:val="Referencingstyle"/>
          <w:b w:val="0"/>
          <w:i w:val="0"/>
          <w:sz w:val="22"/>
        </w:rPr>
      </w:pPr>
      <w:r>
        <w:rPr>
          <w:rStyle w:val="Referencingstyle"/>
        </w:rPr>
        <w:t>[</w:t>
      </w:r>
      <w:r w:rsidR="00742024">
        <w:rPr>
          <w:rStyle w:val="Referencingstyle"/>
        </w:rPr>
        <w:t>Schedule 5</w:t>
      </w:r>
      <w:r>
        <w:rPr>
          <w:rStyle w:val="Referencingstyle"/>
        </w:rPr>
        <w:t xml:space="preserve">, item </w:t>
      </w:r>
      <w:r w:rsidR="008972FC">
        <w:rPr>
          <w:rStyle w:val="Referencingstyle"/>
        </w:rPr>
        <w:t>10</w:t>
      </w:r>
      <w:r>
        <w:rPr>
          <w:rStyle w:val="Referencingstyle"/>
        </w:rPr>
        <w:t xml:space="preserve">, </w:t>
      </w:r>
      <w:r w:rsidR="008972FC">
        <w:rPr>
          <w:rStyle w:val="Referencingstyle"/>
        </w:rPr>
        <w:t>subsection </w:t>
      </w:r>
      <w:proofErr w:type="gramStart"/>
      <w:r w:rsidR="008972FC">
        <w:rPr>
          <w:rStyle w:val="Referencingstyle"/>
        </w:rPr>
        <w:t>131D</w:t>
      </w:r>
      <w:r>
        <w:rPr>
          <w:rStyle w:val="Referencingstyle"/>
        </w:rPr>
        <w:t>(</w:t>
      </w:r>
      <w:proofErr w:type="gramEnd"/>
      <w:r>
        <w:rPr>
          <w:rStyle w:val="Referencingstyle"/>
        </w:rPr>
        <w:t>1)]</w:t>
      </w:r>
    </w:p>
    <w:p w:rsidR="00F70F10" w:rsidRPr="005D7A62" w:rsidRDefault="00F70F10" w:rsidP="00F70F10">
      <w:pPr>
        <w:pStyle w:val="base-text-paragraph"/>
        <w:numPr>
          <w:ilvl w:val="1"/>
          <w:numId w:val="24"/>
        </w:numPr>
        <w:rPr>
          <w:rStyle w:val="Referencingstyle"/>
          <w:b w:val="0"/>
          <w:i w:val="0"/>
          <w:sz w:val="22"/>
        </w:rPr>
      </w:pPr>
      <w:r>
        <w:rPr>
          <w:rStyle w:val="Referencingstyle"/>
          <w:b w:val="0"/>
          <w:i w:val="0"/>
          <w:sz w:val="22"/>
        </w:rPr>
        <w:t>Issuing directions in these circumstances allows APRA to require that actions be taken to address or avoid a contravention, or to mitigate risks.</w:t>
      </w:r>
    </w:p>
    <w:p w:rsidR="00F70F10" w:rsidRPr="00E34371" w:rsidRDefault="00F70F10" w:rsidP="00F70F10">
      <w:pPr>
        <w:pStyle w:val="base-text-paragraph"/>
        <w:numPr>
          <w:ilvl w:val="1"/>
          <w:numId w:val="24"/>
        </w:numPr>
        <w:rPr>
          <w:rStyle w:val="Referencingstyle"/>
          <w:b w:val="0"/>
          <w:i w:val="0"/>
          <w:sz w:val="22"/>
        </w:rPr>
      </w:pPr>
      <w:r>
        <w:t xml:space="preserve">Directions may also be issued to an RSE licensee where the conduct of a connected entity of the RSE licensee is of the kind that described above. Where APRA is able to give a direction to an RSE licensee because of the conduct of one of its connected entities, as it relates to a prudential matter, APRA may also give a direction to the connected entity of the licensee. </w:t>
      </w:r>
      <w:r>
        <w:rPr>
          <w:rStyle w:val="Referencingstyle"/>
        </w:rPr>
        <w:t>[</w:t>
      </w:r>
      <w:r w:rsidR="00742024">
        <w:rPr>
          <w:rStyle w:val="Referencingstyle"/>
        </w:rPr>
        <w:t>Schedule 5</w:t>
      </w:r>
      <w:r>
        <w:rPr>
          <w:rStyle w:val="Referencingstyle"/>
        </w:rPr>
        <w:t xml:space="preserve">, item </w:t>
      </w:r>
      <w:r w:rsidR="008972FC">
        <w:rPr>
          <w:rStyle w:val="Referencingstyle"/>
        </w:rPr>
        <w:t>10</w:t>
      </w:r>
      <w:r>
        <w:rPr>
          <w:rStyle w:val="Referencingstyle"/>
        </w:rPr>
        <w:t xml:space="preserve">, subsections </w:t>
      </w:r>
      <w:r w:rsidR="008972FC">
        <w:rPr>
          <w:rStyle w:val="Referencingstyle"/>
        </w:rPr>
        <w:t>131DA</w:t>
      </w:r>
      <w:r>
        <w:rPr>
          <w:rStyle w:val="Referencingstyle"/>
        </w:rPr>
        <w:t xml:space="preserve">(1) </w:t>
      </w:r>
      <w:r w:rsidR="00010346">
        <w:rPr>
          <w:rStyle w:val="Referencingstyle"/>
        </w:rPr>
        <w:t>and </w:t>
      </w:r>
      <w:r>
        <w:rPr>
          <w:rStyle w:val="Referencingstyle"/>
        </w:rPr>
        <w:t>(2)]</w:t>
      </w:r>
    </w:p>
    <w:p w:rsidR="00F70F10" w:rsidRDefault="00F70F10" w:rsidP="00F70F10">
      <w:pPr>
        <w:pStyle w:val="base-text-paragraph"/>
        <w:numPr>
          <w:ilvl w:val="1"/>
          <w:numId w:val="24"/>
        </w:numPr>
      </w:pPr>
      <w:r>
        <w:t xml:space="preserve">Extending the directions powers to these circumstances recognises that in some situations, it is the conduct of an entity that undertakes particular functions </w:t>
      </w:r>
      <w:r w:rsidR="006A4F5F">
        <w:t xml:space="preserve">of </w:t>
      </w:r>
      <w:r>
        <w:t>an RSE licensee that can result in particular contraventions or risks.</w:t>
      </w:r>
    </w:p>
    <w:p w:rsidR="00F70F10" w:rsidRDefault="00F70F10" w:rsidP="00F70F10">
      <w:pPr>
        <w:pStyle w:val="base-text-paragraph"/>
        <w:numPr>
          <w:ilvl w:val="1"/>
          <w:numId w:val="24"/>
        </w:numPr>
      </w:pPr>
      <w:r>
        <w:t>The circumstances in which directions can be issued and the types of directions that can be issued are explained below.</w:t>
      </w:r>
    </w:p>
    <w:p w:rsidR="00F70F10" w:rsidRDefault="00F70F10" w:rsidP="00F70F10">
      <w:pPr>
        <w:pStyle w:val="base-text-paragraph"/>
        <w:numPr>
          <w:ilvl w:val="1"/>
          <w:numId w:val="24"/>
        </w:numPr>
      </w:pPr>
      <w:r>
        <w:t xml:space="preserve">A decision of APRA to give or vary a direction under Division 1 of Part 16A is a reviewable decision for the purposes of SIS Act. </w:t>
      </w:r>
      <w:r w:rsidR="002D4172">
        <w:rPr>
          <w:rStyle w:val="Referencingstyle"/>
        </w:rPr>
        <w:t>[</w:t>
      </w:r>
      <w:r w:rsidR="00742024">
        <w:rPr>
          <w:rStyle w:val="Referencingstyle"/>
        </w:rPr>
        <w:t>Schedule 5</w:t>
      </w:r>
      <w:r>
        <w:rPr>
          <w:rStyle w:val="Referencingstyle"/>
        </w:rPr>
        <w:t xml:space="preserve">, item </w:t>
      </w:r>
      <w:r w:rsidR="008972FC">
        <w:rPr>
          <w:rStyle w:val="Referencingstyle"/>
        </w:rPr>
        <w:t>3</w:t>
      </w:r>
      <w:r>
        <w:rPr>
          <w:rStyle w:val="Referencingstyle"/>
        </w:rPr>
        <w:t>, subsection 10(1), paragraphs (</w:t>
      </w:r>
      <w:proofErr w:type="spellStart"/>
      <w:r>
        <w:rPr>
          <w:rStyle w:val="Referencingstyle"/>
        </w:rPr>
        <w:t>taaa</w:t>
      </w:r>
      <w:proofErr w:type="spellEnd"/>
      <w:r>
        <w:rPr>
          <w:rStyle w:val="Referencingstyle"/>
        </w:rPr>
        <w:t>) and (</w:t>
      </w:r>
      <w:proofErr w:type="spellStart"/>
      <w:r>
        <w:rPr>
          <w:rStyle w:val="Referencingstyle"/>
        </w:rPr>
        <w:t>taab</w:t>
      </w:r>
      <w:proofErr w:type="spellEnd"/>
      <w:r>
        <w:rPr>
          <w:rStyle w:val="Referencingstyle"/>
        </w:rPr>
        <w:t xml:space="preserve">) in the definition of </w:t>
      </w:r>
      <w:r w:rsidR="002D4172">
        <w:rPr>
          <w:rStyle w:val="Referencingstyle"/>
        </w:rPr>
        <w:t>‘</w:t>
      </w:r>
      <w:r>
        <w:rPr>
          <w:rStyle w:val="Referencingstyle"/>
        </w:rPr>
        <w:t>reviewable decision</w:t>
      </w:r>
      <w:r w:rsidR="002D4172">
        <w:rPr>
          <w:rStyle w:val="Referencingstyle"/>
        </w:rPr>
        <w:t>’</w:t>
      </w:r>
      <w:r>
        <w:rPr>
          <w:rStyle w:val="Referencingstyle"/>
        </w:rPr>
        <w:t>]</w:t>
      </w:r>
    </w:p>
    <w:p w:rsidR="00F70F10" w:rsidRDefault="00F70F10" w:rsidP="00F70F10">
      <w:pPr>
        <w:pStyle w:val="base-text-paragraph"/>
        <w:numPr>
          <w:ilvl w:val="1"/>
          <w:numId w:val="24"/>
        </w:numPr>
      </w:pPr>
      <w:r>
        <w:t>As such, the standard processes for internal and external review in the Administrative Appeal Tribunal that are prescribed under section 344 apply in respect of a decision by APRA to issue a direction.</w:t>
      </w:r>
    </w:p>
    <w:p w:rsidR="00F70F10" w:rsidRDefault="00F70F10" w:rsidP="00F70F10">
      <w:pPr>
        <w:pStyle w:val="Heading3"/>
      </w:pPr>
      <w:r>
        <w:lastRenderedPageBreak/>
        <w:t>Directions to RSE licensee about the conduct of the licensee</w:t>
      </w:r>
    </w:p>
    <w:p w:rsidR="00F70F10" w:rsidRDefault="00F70F10" w:rsidP="00F70F10">
      <w:pPr>
        <w:pStyle w:val="Heading4"/>
      </w:pPr>
      <w:r>
        <w:t>Directions for contraventions of regulatory or prudential obligations</w:t>
      </w:r>
    </w:p>
    <w:p w:rsidR="00F70F10" w:rsidRDefault="00F70F10" w:rsidP="00F70F10">
      <w:pPr>
        <w:pStyle w:val="base-text-paragraph"/>
        <w:numPr>
          <w:ilvl w:val="1"/>
          <w:numId w:val="24"/>
        </w:numPr>
      </w:pPr>
      <w:r>
        <w:t>RSE licensee</w:t>
      </w:r>
      <w:r w:rsidR="006A4F5F">
        <w:t>s</w:t>
      </w:r>
      <w:r>
        <w:t xml:space="preserve"> have obligations to comply with a number of provisions contained in the SIS Act, the SIS Regulations, the prudential standards (which are a standard determined by APRA under subsection </w:t>
      </w:r>
      <w:proofErr w:type="gramStart"/>
      <w:r>
        <w:t>34C(</w:t>
      </w:r>
      <w:proofErr w:type="gramEnd"/>
      <w:r>
        <w:t xml:space="preserve">1)), </w:t>
      </w:r>
      <w:r w:rsidR="006A4F5F">
        <w:t xml:space="preserve">and </w:t>
      </w:r>
      <w:r>
        <w:t xml:space="preserve">the </w:t>
      </w:r>
      <w:r w:rsidRPr="00023394">
        <w:rPr>
          <w:i/>
        </w:rPr>
        <w:t>Financial Sector (Collection of Data) Act 2001</w:t>
      </w:r>
      <w:r>
        <w:rPr>
          <w:i/>
        </w:rPr>
        <w:t xml:space="preserve"> </w:t>
      </w:r>
      <w:r>
        <w:t xml:space="preserve">(FSCODA). </w:t>
      </w:r>
      <w:r w:rsidR="006A4F5F">
        <w:t>RSE licensees</w:t>
      </w:r>
      <w:r>
        <w:t xml:space="preserve"> are also obliged to comply with certain conditions and directions under the SIS Act and the FSCODA. </w:t>
      </w:r>
    </w:p>
    <w:p w:rsidR="00F70F10" w:rsidRPr="00BA3FBD" w:rsidRDefault="00F70F10" w:rsidP="00F70F10">
      <w:pPr>
        <w:pStyle w:val="base-text-paragraph"/>
        <w:numPr>
          <w:ilvl w:val="1"/>
          <w:numId w:val="24"/>
        </w:numPr>
        <w:rPr>
          <w:rStyle w:val="Referencingstyle"/>
          <w:b w:val="0"/>
          <w:i w:val="0"/>
          <w:sz w:val="22"/>
        </w:rPr>
      </w:pPr>
      <w:r>
        <w:t xml:space="preserve">APRA may issue a direction to an RSE licensee if it has reason to believe that the licensee has contravened one of these provisions, conditions or directions.  </w:t>
      </w:r>
      <w:r>
        <w:rPr>
          <w:rStyle w:val="Referencingstyle"/>
        </w:rPr>
        <w:t>[</w:t>
      </w:r>
      <w:r w:rsidR="00742024">
        <w:rPr>
          <w:rStyle w:val="Referencingstyle"/>
        </w:rPr>
        <w:t>Schedule 5</w:t>
      </w:r>
      <w:r>
        <w:rPr>
          <w:rStyle w:val="Referencingstyle"/>
        </w:rPr>
        <w:t xml:space="preserve">, item </w:t>
      </w:r>
      <w:r w:rsidR="008972FC">
        <w:rPr>
          <w:rStyle w:val="Referencingstyle"/>
        </w:rPr>
        <w:t>10</w:t>
      </w:r>
      <w:r>
        <w:rPr>
          <w:rStyle w:val="Referencingstyle"/>
        </w:rPr>
        <w:t xml:space="preserve">, paragraphs </w:t>
      </w:r>
      <w:r w:rsidR="00346774">
        <w:rPr>
          <w:rStyle w:val="Referencingstyle"/>
        </w:rPr>
        <w:t>131D</w:t>
      </w:r>
      <w:r>
        <w:rPr>
          <w:rStyle w:val="Referencingstyle"/>
        </w:rPr>
        <w:t>(1(a) and (c)]</w:t>
      </w:r>
    </w:p>
    <w:p w:rsidR="00F70F10" w:rsidRPr="00354ECA" w:rsidRDefault="00F70F10" w:rsidP="00F70F10">
      <w:pPr>
        <w:pStyle w:val="base-text-paragraph"/>
        <w:numPr>
          <w:ilvl w:val="1"/>
          <w:numId w:val="24"/>
        </w:numPr>
        <w:rPr>
          <w:rStyle w:val="Referencingstyle"/>
          <w:b w:val="0"/>
          <w:i w:val="0"/>
          <w:sz w:val="22"/>
        </w:rPr>
      </w:pPr>
      <w:r>
        <w:t xml:space="preserve">Whether or not an RSE licensee has contravened a provision, condition or direction is a matter of fact. However, the requirement that APRA has ‘reason to believe’ (in this, and other conditions for giving directions) means that all of the formal proceedings that must be undertaken to establish that a contravention has actually occurred do not need to be resolved. This approach ensures that APRA is able to take early action to remedy </w:t>
      </w:r>
      <w:r w:rsidR="006A4F5F">
        <w:t xml:space="preserve">or mitigate the impact of </w:t>
      </w:r>
      <w:r>
        <w:t xml:space="preserve">a contravention. </w:t>
      </w:r>
    </w:p>
    <w:p w:rsidR="00F70F10" w:rsidRPr="00882B52" w:rsidRDefault="00F70F10" w:rsidP="00F70F10">
      <w:pPr>
        <w:pStyle w:val="base-text-paragraph"/>
        <w:numPr>
          <w:ilvl w:val="1"/>
          <w:numId w:val="24"/>
        </w:numPr>
        <w:rPr>
          <w:rStyle w:val="Referencingstyle"/>
          <w:b w:val="0"/>
          <w:i w:val="0"/>
          <w:sz w:val="22"/>
        </w:rPr>
      </w:pPr>
      <w:r>
        <w:t>APRA may also issue a direction to a</w:t>
      </w:r>
      <w:r w:rsidR="006A4F5F">
        <w:t>n RSE</w:t>
      </w:r>
      <w:r>
        <w:t xml:space="preserve"> licensee if it has reason to believe that the licensee is likely to contravene a provision of the SIS Act, the SIS Regulations, the prudential standards or the FSCODA. However, directions can only be issued in these circumstances where the direction is reasonably necessary to deal with one or more prudential matters in relation to the RSE licensee. </w:t>
      </w:r>
      <w:r>
        <w:rPr>
          <w:rStyle w:val="Referencingstyle"/>
        </w:rPr>
        <w:t>[</w:t>
      </w:r>
      <w:r w:rsidR="00742024">
        <w:rPr>
          <w:rStyle w:val="Referencingstyle"/>
        </w:rPr>
        <w:t>Schedule 5</w:t>
      </w:r>
      <w:r>
        <w:rPr>
          <w:rStyle w:val="Referencingstyle"/>
        </w:rPr>
        <w:t xml:space="preserve">, item </w:t>
      </w:r>
      <w:r w:rsidR="008972FC">
        <w:rPr>
          <w:rStyle w:val="Referencingstyle"/>
        </w:rPr>
        <w:t>10</w:t>
      </w:r>
      <w:r>
        <w:rPr>
          <w:rStyle w:val="Referencingstyle"/>
        </w:rPr>
        <w:t xml:space="preserve">, </w:t>
      </w:r>
      <w:r w:rsidR="008972FC">
        <w:rPr>
          <w:rStyle w:val="Referencingstyle"/>
        </w:rPr>
        <w:t>paragraph </w:t>
      </w:r>
      <w:r w:rsidR="00346774">
        <w:rPr>
          <w:rStyle w:val="Referencingstyle"/>
        </w:rPr>
        <w:t>131D</w:t>
      </w:r>
      <w:r>
        <w:rPr>
          <w:rStyle w:val="Referencingstyle"/>
        </w:rPr>
        <w:t>(1</w:t>
      </w:r>
      <w:r w:rsidR="008972FC">
        <w:rPr>
          <w:rStyle w:val="Referencingstyle"/>
        </w:rPr>
        <w:t>)</w:t>
      </w:r>
      <w:r>
        <w:rPr>
          <w:rStyle w:val="Referencingstyle"/>
        </w:rPr>
        <w:t>(b)]</w:t>
      </w:r>
    </w:p>
    <w:p w:rsidR="00F70F10" w:rsidRDefault="00F70F10" w:rsidP="00F70F10">
      <w:pPr>
        <w:pStyle w:val="base-text-paragraph"/>
        <w:numPr>
          <w:ilvl w:val="1"/>
          <w:numId w:val="24"/>
        </w:numPr>
      </w:pPr>
      <w:r>
        <w:t>The additional condition in respect of likely contraventions strengthens APRA</w:t>
      </w:r>
      <w:r w:rsidR="009321FA">
        <w:t>’s</w:t>
      </w:r>
      <w:r>
        <w:t xml:space="preserve"> ability to intervene to prevent a contravention from occurring. The addition</w:t>
      </w:r>
      <w:r w:rsidR="009321FA">
        <w:t>al</w:t>
      </w:r>
      <w:r>
        <w:t xml:space="preserve"> requirement around prudential matters limits the scope of the ground for giving directions. Prudential matters are defined by subsection </w:t>
      </w:r>
      <w:proofErr w:type="gramStart"/>
      <w:r>
        <w:t>34C(</w:t>
      </w:r>
      <w:proofErr w:type="gramEnd"/>
      <w:r>
        <w:t xml:space="preserve">4) and relate to matters such as the conduct of an RSE licensee or a connected entity required to protect the interests of beneficiaries, </w:t>
      </w:r>
      <w:r w:rsidR="009321FA">
        <w:t xml:space="preserve">or </w:t>
      </w:r>
      <w:r>
        <w:t>ensure the financial stability of the superannuation entity.</w:t>
      </w:r>
    </w:p>
    <w:p w:rsidR="00F70F10" w:rsidRDefault="00F70F10" w:rsidP="00F70F10">
      <w:pPr>
        <w:pStyle w:val="Heading4"/>
      </w:pPr>
      <w:r>
        <w:t>Directions to protect the interests of beneficiaries</w:t>
      </w:r>
    </w:p>
    <w:p w:rsidR="00F70F10" w:rsidRPr="00882B52" w:rsidRDefault="00F70F10" w:rsidP="00F70F10">
      <w:pPr>
        <w:pStyle w:val="base-text-paragraph"/>
        <w:numPr>
          <w:ilvl w:val="1"/>
          <w:numId w:val="24"/>
        </w:numPr>
        <w:rPr>
          <w:rStyle w:val="Referencingstyle"/>
          <w:b w:val="0"/>
          <w:i w:val="0"/>
          <w:sz w:val="22"/>
        </w:rPr>
      </w:pPr>
      <w:r>
        <w:t>APRA may issue directions to an RSE licensee if it has reason to believe that the direction is necessary in the interests of beneficiaries of a</w:t>
      </w:r>
      <w:r w:rsidR="009321FA">
        <w:t xml:space="preserve">n RSE </w:t>
      </w:r>
      <w:r>
        <w:t xml:space="preserve">of the licensee, or where the failure to issue a direction would materially prejudice the interests or reasonable expectations of those beneficiaries. </w:t>
      </w:r>
      <w:r>
        <w:rPr>
          <w:rStyle w:val="Referencingstyle"/>
        </w:rPr>
        <w:t>[</w:t>
      </w:r>
      <w:r w:rsidR="00742024">
        <w:rPr>
          <w:rStyle w:val="Referencingstyle"/>
        </w:rPr>
        <w:t>Schedule 5</w:t>
      </w:r>
      <w:r>
        <w:rPr>
          <w:rStyle w:val="Referencingstyle"/>
        </w:rPr>
        <w:t>, item </w:t>
      </w:r>
      <w:r w:rsidR="00715FD0">
        <w:rPr>
          <w:rStyle w:val="Referencingstyle"/>
        </w:rPr>
        <w:t>10</w:t>
      </w:r>
      <w:r>
        <w:rPr>
          <w:rStyle w:val="Referencingstyle"/>
        </w:rPr>
        <w:t>, paragraphs </w:t>
      </w:r>
      <w:r w:rsidR="00346774">
        <w:rPr>
          <w:rStyle w:val="Referencingstyle"/>
        </w:rPr>
        <w:t>131D</w:t>
      </w:r>
      <w:r>
        <w:rPr>
          <w:rStyle w:val="Referencingstyle"/>
        </w:rPr>
        <w:t>(1</w:t>
      </w:r>
      <w:r w:rsidR="00715FD0">
        <w:rPr>
          <w:rStyle w:val="Referencingstyle"/>
        </w:rPr>
        <w:t>)</w:t>
      </w:r>
      <w:r>
        <w:rPr>
          <w:rStyle w:val="Referencingstyle"/>
        </w:rPr>
        <w:t>(d) and (</w:t>
      </w:r>
      <w:proofErr w:type="spellStart"/>
      <w:r>
        <w:rPr>
          <w:rStyle w:val="Referencingstyle"/>
        </w:rPr>
        <w:t>i</w:t>
      </w:r>
      <w:proofErr w:type="spellEnd"/>
      <w:r>
        <w:rPr>
          <w:rStyle w:val="Referencingstyle"/>
        </w:rPr>
        <w:t>)]</w:t>
      </w:r>
    </w:p>
    <w:p w:rsidR="00F70F10" w:rsidRDefault="00F70F10" w:rsidP="00F70F10">
      <w:pPr>
        <w:pStyle w:val="base-text-paragraph"/>
        <w:numPr>
          <w:ilvl w:val="1"/>
          <w:numId w:val="24"/>
        </w:numPr>
      </w:pPr>
      <w:r>
        <w:lastRenderedPageBreak/>
        <w:t>Giving directions in these circumstances requires APRA to form a view about the interests and expectations of beneficiaries, and why the relevant direction is necessary to protect those interests or expectations.</w:t>
      </w:r>
    </w:p>
    <w:p w:rsidR="00F70F10" w:rsidRDefault="00F70F10" w:rsidP="00F70F10">
      <w:pPr>
        <w:pStyle w:val="Heading4"/>
      </w:pPr>
      <w:r>
        <w:t>Directions to address certain financial risks</w:t>
      </w:r>
    </w:p>
    <w:p w:rsidR="00F70F10" w:rsidRDefault="00F70F10" w:rsidP="00F70F10">
      <w:pPr>
        <w:pStyle w:val="base-text-paragraph"/>
        <w:numPr>
          <w:ilvl w:val="1"/>
          <w:numId w:val="24"/>
        </w:numPr>
      </w:pPr>
      <w:r>
        <w:t>APRA may issue directions to an RSE licensee if it has reason to believe that one of the following applies, or is likely to apply:</w:t>
      </w:r>
    </w:p>
    <w:p w:rsidR="00F70F10" w:rsidRDefault="00F70F10" w:rsidP="00F70F10">
      <w:pPr>
        <w:pStyle w:val="dotpoint"/>
      </w:pPr>
      <w:r>
        <w:t>the licensee is unable to meet its liabilities;</w:t>
      </w:r>
    </w:p>
    <w:p w:rsidR="00F70F10" w:rsidRDefault="00F70F10" w:rsidP="00F70F10">
      <w:pPr>
        <w:pStyle w:val="dotpoint"/>
      </w:pPr>
      <w:r>
        <w:t>there is a material risk to the security of the assets of the licensee; or</w:t>
      </w:r>
    </w:p>
    <w:p w:rsidR="00F70F10" w:rsidRDefault="00F70F10" w:rsidP="00F70F10">
      <w:pPr>
        <w:pStyle w:val="dotpoint"/>
      </w:pPr>
      <w:proofErr w:type="gramStart"/>
      <w:r>
        <w:t>there</w:t>
      </w:r>
      <w:proofErr w:type="gramEnd"/>
      <w:r>
        <w:t xml:space="preserve"> has been a material deterioration in the financial condition of the licensee or the registerable superannuation entity of which it is a trustee.</w:t>
      </w:r>
    </w:p>
    <w:p w:rsidR="00F70F10" w:rsidRPr="00517BFB" w:rsidRDefault="00F70F10" w:rsidP="00F70F10">
      <w:pPr>
        <w:pStyle w:val="base-text-paragraphnonumbers"/>
        <w:rPr>
          <w:rStyle w:val="Referencingstyle"/>
        </w:rPr>
      </w:pPr>
      <w:r w:rsidRPr="00517BFB">
        <w:rPr>
          <w:rStyle w:val="Referencingstyle"/>
        </w:rPr>
        <w:t>[</w:t>
      </w:r>
      <w:r w:rsidR="00742024">
        <w:rPr>
          <w:rStyle w:val="Referencingstyle"/>
        </w:rPr>
        <w:t>Schedule 5</w:t>
      </w:r>
      <w:r w:rsidRPr="00517BFB">
        <w:rPr>
          <w:rStyle w:val="Referencingstyle"/>
        </w:rPr>
        <w:t xml:space="preserve">, item </w:t>
      </w:r>
      <w:r w:rsidR="00444D94">
        <w:rPr>
          <w:rStyle w:val="Referencingstyle"/>
        </w:rPr>
        <w:t>10</w:t>
      </w:r>
      <w:r w:rsidRPr="00517BFB">
        <w:rPr>
          <w:rStyle w:val="Referencingstyle"/>
        </w:rPr>
        <w:t xml:space="preserve">, paragraphs </w:t>
      </w:r>
      <w:proofErr w:type="gramStart"/>
      <w:r w:rsidRPr="00517BFB">
        <w:rPr>
          <w:rStyle w:val="Referencingstyle"/>
        </w:rPr>
        <w:t>131L(</w:t>
      </w:r>
      <w:proofErr w:type="gramEnd"/>
      <w:r w:rsidRPr="00517BFB">
        <w:rPr>
          <w:rStyle w:val="Referencingstyle"/>
        </w:rPr>
        <w:t>1)(e) to (g)]</w:t>
      </w:r>
    </w:p>
    <w:p w:rsidR="00F70F10" w:rsidRPr="00EA324E" w:rsidRDefault="00F70F10" w:rsidP="00F70F10">
      <w:pPr>
        <w:pStyle w:val="base-text-paragraph"/>
        <w:numPr>
          <w:ilvl w:val="1"/>
          <w:numId w:val="24"/>
        </w:numPr>
        <w:rPr>
          <w:rStyle w:val="Referencingstyle"/>
          <w:b w:val="0"/>
          <w:i w:val="0"/>
          <w:sz w:val="22"/>
        </w:rPr>
      </w:pPr>
      <w:r>
        <w:t xml:space="preserve">APRA may also issue directions if it has reason to believe that an RSE </w:t>
      </w:r>
      <w:r w:rsidR="00A12012">
        <w:t xml:space="preserve">licensee </w:t>
      </w:r>
      <w:r>
        <w:t xml:space="preserve">is conducting its affairs, or the affairs of the registerable superannuation entity </w:t>
      </w:r>
      <w:r w:rsidR="00A12012">
        <w:t xml:space="preserve">(RSE) </w:t>
      </w:r>
      <w:r>
        <w:t xml:space="preserve">of which it is a trustee, in an improper or financially unsound way, or in a way that may cause or promote instability in the Australian financial system. </w:t>
      </w:r>
      <w:r w:rsidRPr="00EA324E">
        <w:rPr>
          <w:rStyle w:val="Referencingstyle"/>
        </w:rPr>
        <w:t>[</w:t>
      </w:r>
      <w:r w:rsidR="00742024">
        <w:rPr>
          <w:rStyle w:val="Referencingstyle"/>
        </w:rPr>
        <w:t>Schedule 5</w:t>
      </w:r>
      <w:r w:rsidRPr="00EA324E">
        <w:rPr>
          <w:rStyle w:val="Referencingstyle"/>
        </w:rPr>
        <w:t xml:space="preserve">, item </w:t>
      </w:r>
      <w:r w:rsidR="00444D94">
        <w:rPr>
          <w:rStyle w:val="Referencingstyle"/>
        </w:rPr>
        <w:t>10</w:t>
      </w:r>
      <w:r w:rsidR="002D4172">
        <w:rPr>
          <w:rStyle w:val="Referencingstyle"/>
        </w:rPr>
        <w:t>, paragraphs </w:t>
      </w:r>
      <w:r w:rsidR="00346774" w:rsidRPr="00EA324E">
        <w:rPr>
          <w:rStyle w:val="Referencingstyle"/>
        </w:rPr>
        <w:t>131</w:t>
      </w:r>
      <w:r w:rsidR="00346774">
        <w:rPr>
          <w:rStyle w:val="Referencingstyle"/>
        </w:rPr>
        <w:t>D</w:t>
      </w:r>
      <w:r w:rsidRPr="00EA324E">
        <w:rPr>
          <w:rStyle w:val="Referencingstyle"/>
        </w:rPr>
        <w:t>(1)(</w:t>
      </w:r>
      <w:r>
        <w:rPr>
          <w:rStyle w:val="Referencingstyle"/>
        </w:rPr>
        <w:t>h</w:t>
      </w:r>
      <w:r w:rsidRPr="00EA324E">
        <w:rPr>
          <w:rStyle w:val="Referencingstyle"/>
        </w:rPr>
        <w:t xml:space="preserve">) </w:t>
      </w:r>
      <w:r>
        <w:rPr>
          <w:rStyle w:val="Referencingstyle"/>
        </w:rPr>
        <w:t>and</w:t>
      </w:r>
      <w:r w:rsidRPr="00EA324E">
        <w:rPr>
          <w:rStyle w:val="Referencingstyle"/>
        </w:rPr>
        <w:t xml:space="preserve"> (</w:t>
      </w:r>
      <w:r>
        <w:rPr>
          <w:rStyle w:val="Referencingstyle"/>
        </w:rPr>
        <w:t>j</w:t>
      </w:r>
      <w:r w:rsidRPr="00EA324E">
        <w:rPr>
          <w:rStyle w:val="Referencingstyle"/>
        </w:rPr>
        <w:t>)]</w:t>
      </w:r>
    </w:p>
    <w:p w:rsidR="00F70F10" w:rsidRDefault="00F70F10" w:rsidP="00F70F10">
      <w:pPr>
        <w:pStyle w:val="base-text-paragraph"/>
        <w:numPr>
          <w:ilvl w:val="1"/>
          <w:numId w:val="24"/>
        </w:numPr>
      </w:pPr>
      <w:r>
        <w:t xml:space="preserve">Directions in the above circumstances ensure that APRA can require action to prevent a further deterioration in the financial position of the trustee (or the </w:t>
      </w:r>
      <w:r w:rsidR="009321FA">
        <w:t>RSE</w:t>
      </w:r>
      <w:r>
        <w:t xml:space="preserve">), or to minimise the impact on the beneficiaries of the </w:t>
      </w:r>
      <w:r w:rsidR="009321FA">
        <w:t>RSE</w:t>
      </w:r>
      <w:r>
        <w:t>.</w:t>
      </w:r>
    </w:p>
    <w:p w:rsidR="00F70F10" w:rsidRDefault="00F70F10" w:rsidP="00F70F10">
      <w:pPr>
        <w:pStyle w:val="base-text-paragraph"/>
        <w:numPr>
          <w:ilvl w:val="1"/>
          <w:numId w:val="24"/>
        </w:numPr>
      </w:pPr>
      <w:r>
        <w:t>In addition, the direction about conduct that may adversely affect the stability of the Australian financial system allows APRA to take into account the broader implications of the conduct of an RSE licensee, and require that appropriate action be taken to prevent or reduce the adverse consequences of such actions.</w:t>
      </w:r>
    </w:p>
    <w:p w:rsidR="00F70F10" w:rsidRPr="00C41411" w:rsidRDefault="00F70F10" w:rsidP="00F70F10">
      <w:pPr>
        <w:pStyle w:val="base-text-paragraph"/>
        <w:numPr>
          <w:ilvl w:val="1"/>
          <w:numId w:val="24"/>
        </w:numPr>
        <w:rPr>
          <w:rStyle w:val="Referencingstyle"/>
          <w:b w:val="0"/>
          <w:i w:val="0"/>
          <w:sz w:val="22"/>
        </w:rPr>
      </w:pPr>
      <w:r>
        <w:t>In assessing whether an RSE licensee is unable to meet its liabilities, or whether there is a material risk to the security of its assets, it does not matter whether the liability or assets relates to the licensee’s position as a trustee of a</w:t>
      </w:r>
      <w:r w:rsidR="009321FA">
        <w:t xml:space="preserve">n RSE </w:t>
      </w:r>
      <w:r>
        <w:t xml:space="preserve">or not. </w:t>
      </w:r>
      <w:r w:rsidRPr="009958A3">
        <w:rPr>
          <w:rStyle w:val="Referencingstyle"/>
        </w:rPr>
        <w:t>[</w:t>
      </w:r>
      <w:r w:rsidR="00742024">
        <w:rPr>
          <w:rStyle w:val="Referencingstyle"/>
        </w:rPr>
        <w:t>Schedule 5</w:t>
      </w:r>
      <w:r w:rsidRPr="009958A3">
        <w:rPr>
          <w:rStyle w:val="Referencingstyle"/>
        </w:rPr>
        <w:t xml:space="preserve">, item </w:t>
      </w:r>
      <w:r w:rsidR="00444D94">
        <w:rPr>
          <w:rStyle w:val="Referencingstyle"/>
        </w:rPr>
        <w:t>10</w:t>
      </w:r>
      <w:r w:rsidRPr="009958A3">
        <w:rPr>
          <w:rStyle w:val="Referencingstyle"/>
        </w:rPr>
        <w:t xml:space="preserve">, </w:t>
      </w:r>
      <w:r w:rsidR="00444D94" w:rsidRPr="009958A3">
        <w:rPr>
          <w:rStyle w:val="Referencingstyle"/>
        </w:rPr>
        <w:t>paragraphs</w:t>
      </w:r>
      <w:r w:rsidR="00444D94">
        <w:rPr>
          <w:rStyle w:val="Referencingstyle"/>
        </w:rPr>
        <w:t> </w:t>
      </w:r>
      <w:r w:rsidR="00346774" w:rsidRPr="009958A3">
        <w:rPr>
          <w:rStyle w:val="Referencingstyle"/>
        </w:rPr>
        <w:t>131</w:t>
      </w:r>
      <w:r w:rsidR="00346774">
        <w:rPr>
          <w:rStyle w:val="Referencingstyle"/>
        </w:rPr>
        <w:t>D</w:t>
      </w:r>
      <w:r w:rsidRPr="009958A3">
        <w:rPr>
          <w:rStyle w:val="Referencingstyle"/>
        </w:rPr>
        <w:t xml:space="preserve">(1)(e) </w:t>
      </w:r>
      <w:r>
        <w:rPr>
          <w:rStyle w:val="Referencingstyle"/>
        </w:rPr>
        <w:t>and</w:t>
      </w:r>
      <w:r w:rsidRPr="009958A3">
        <w:rPr>
          <w:rStyle w:val="Referencingstyle"/>
        </w:rPr>
        <w:t xml:space="preserve"> (</w:t>
      </w:r>
      <w:r>
        <w:rPr>
          <w:rStyle w:val="Referencingstyle"/>
        </w:rPr>
        <w:t>f</w:t>
      </w:r>
      <w:r w:rsidRPr="009958A3">
        <w:rPr>
          <w:rStyle w:val="Referencingstyle"/>
        </w:rPr>
        <w:t>)]</w:t>
      </w:r>
    </w:p>
    <w:p w:rsidR="00F70F10" w:rsidRDefault="00F70F10" w:rsidP="00F70F10">
      <w:pPr>
        <w:pStyle w:val="base-text-paragraph"/>
        <w:numPr>
          <w:ilvl w:val="1"/>
          <w:numId w:val="24"/>
        </w:numPr>
        <w:rPr>
          <w:rStyle w:val="Referencingstyle"/>
          <w:b w:val="0"/>
          <w:i w:val="0"/>
          <w:sz w:val="22"/>
        </w:rPr>
      </w:pPr>
      <w:r w:rsidRPr="009F7D12">
        <w:rPr>
          <w:rStyle w:val="Referencingstyle"/>
          <w:b w:val="0"/>
          <w:i w:val="0"/>
          <w:sz w:val="22"/>
        </w:rPr>
        <w:t>This scope is appropriate because the general financial position of an RSE licensee is relevant to its ability to comply with its specific duties as the trustee of a</w:t>
      </w:r>
      <w:r w:rsidR="009321FA">
        <w:rPr>
          <w:rStyle w:val="Referencingstyle"/>
          <w:b w:val="0"/>
          <w:i w:val="0"/>
          <w:sz w:val="22"/>
        </w:rPr>
        <w:t>n RSE</w:t>
      </w:r>
      <w:r w:rsidRPr="009F7D12">
        <w:rPr>
          <w:rStyle w:val="Referencingstyle"/>
          <w:b w:val="0"/>
          <w:i w:val="0"/>
          <w:sz w:val="22"/>
        </w:rPr>
        <w:t>.</w:t>
      </w:r>
    </w:p>
    <w:p w:rsidR="00F70F10" w:rsidRDefault="00F70F10" w:rsidP="00F70F10">
      <w:pPr>
        <w:pStyle w:val="Heading4"/>
        <w:rPr>
          <w:rStyle w:val="Referencingstyle"/>
          <w:b/>
          <w:i/>
          <w:sz w:val="22"/>
        </w:rPr>
      </w:pPr>
      <w:r>
        <w:rPr>
          <w:rStyle w:val="Referencingstyle"/>
          <w:b/>
          <w:i/>
          <w:sz w:val="22"/>
        </w:rPr>
        <w:lastRenderedPageBreak/>
        <w:t>Types of directions that may be given</w:t>
      </w:r>
    </w:p>
    <w:p w:rsidR="00F70F10" w:rsidRDefault="00F70F10" w:rsidP="00F70F10">
      <w:pPr>
        <w:pStyle w:val="base-text-paragraph"/>
        <w:numPr>
          <w:ilvl w:val="1"/>
          <w:numId w:val="24"/>
        </w:numPr>
      </w:pPr>
      <w:r>
        <w:t xml:space="preserve">Where one of the above conditions about the conduct of an RSE licensee is satisfied, APRA may give one or more of the directions outlined below. </w:t>
      </w:r>
    </w:p>
    <w:p w:rsidR="00F70F10" w:rsidRDefault="00F70F10" w:rsidP="00F70F10">
      <w:pPr>
        <w:pStyle w:val="base-text-paragraph"/>
        <w:numPr>
          <w:ilvl w:val="1"/>
          <w:numId w:val="24"/>
        </w:numPr>
      </w:pPr>
      <w:r>
        <w:t>While the type of direction that APRA issues will depend on the facts and circumstances of a particular case, some of these directions are directly relevant to the ground on which directions can be issued.</w:t>
      </w:r>
    </w:p>
    <w:p w:rsidR="00F70F10" w:rsidRPr="008E5C6A" w:rsidRDefault="00F70F10" w:rsidP="00F70F10">
      <w:pPr>
        <w:pStyle w:val="base-text-paragraph"/>
        <w:numPr>
          <w:ilvl w:val="1"/>
          <w:numId w:val="24"/>
        </w:numPr>
        <w:rPr>
          <w:rStyle w:val="Referencingstyle"/>
          <w:b w:val="0"/>
          <w:i w:val="0"/>
          <w:sz w:val="22"/>
        </w:rPr>
      </w:pPr>
      <w:r>
        <w:t xml:space="preserve">APRA may give a direction to an RSE licensee that covers only some of the matters to which a direction relates, deals only with particular classes of matters, or requires different actions to be taken in respect different classes of matters. </w:t>
      </w:r>
      <w:r w:rsidRPr="009E5107">
        <w:rPr>
          <w:rStyle w:val="Referencingstyle"/>
        </w:rPr>
        <w:t>[</w:t>
      </w:r>
      <w:r w:rsidR="00742024">
        <w:rPr>
          <w:rStyle w:val="Referencingstyle"/>
        </w:rPr>
        <w:t>Schedule 5</w:t>
      </w:r>
      <w:r w:rsidRPr="009E5107">
        <w:rPr>
          <w:rStyle w:val="Referencingstyle"/>
        </w:rPr>
        <w:t>, item</w:t>
      </w:r>
      <w:r>
        <w:rPr>
          <w:rStyle w:val="Referencingstyle"/>
        </w:rPr>
        <w:t> </w:t>
      </w:r>
      <w:r w:rsidR="00444D94">
        <w:rPr>
          <w:rStyle w:val="Referencingstyle"/>
        </w:rPr>
        <w:t>10</w:t>
      </w:r>
      <w:r w:rsidRPr="009E5107">
        <w:rPr>
          <w:rStyle w:val="Referencingstyle"/>
        </w:rPr>
        <w:t xml:space="preserve">, </w:t>
      </w:r>
      <w:r>
        <w:rPr>
          <w:rStyle w:val="Referencingstyle"/>
        </w:rPr>
        <w:t xml:space="preserve">subsection </w:t>
      </w:r>
      <w:r w:rsidR="00346774" w:rsidRPr="009E5107">
        <w:rPr>
          <w:rStyle w:val="Referencingstyle"/>
        </w:rPr>
        <w:t>131</w:t>
      </w:r>
      <w:r w:rsidR="00346774">
        <w:rPr>
          <w:rStyle w:val="Referencingstyle"/>
        </w:rPr>
        <w:t>D</w:t>
      </w:r>
      <w:r w:rsidRPr="009E5107">
        <w:rPr>
          <w:rStyle w:val="Referencingstyle"/>
        </w:rPr>
        <w:t>(</w:t>
      </w:r>
      <w:r>
        <w:rPr>
          <w:rStyle w:val="Referencingstyle"/>
        </w:rPr>
        <w:t>4</w:t>
      </w:r>
      <w:r w:rsidRPr="009E5107">
        <w:rPr>
          <w:rStyle w:val="Referencingstyle"/>
        </w:rPr>
        <w:t>)]</w:t>
      </w:r>
    </w:p>
    <w:p w:rsidR="00F70F10" w:rsidRDefault="00F70F10" w:rsidP="00F70F10">
      <w:pPr>
        <w:pStyle w:val="base-text-paragraph"/>
        <w:numPr>
          <w:ilvl w:val="1"/>
          <w:numId w:val="24"/>
        </w:numPr>
      </w:pPr>
      <w:r>
        <w:t xml:space="preserve">Directions may also contain particulars about the timing for complying with the direction. </w:t>
      </w:r>
      <w:r w:rsidRPr="009E5107">
        <w:rPr>
          <w:rStyle w:val="Referencingstyle"/>
        </w:rPr>
        <w:t>[</w:t>
      </w:r>
      <w:r w:rsidR="00742024">
        <w:rPr>
          <w:rStyle w:val="Referencingstyle"/>
        </w:rPr>
        <w:t>Schedule 5</w:t>
      </w:r>
      <w:r w:rsidRPr="009E5107">
        <w:rPr>
          <w:rStyle w:val="Referencingstyle"/>
        </w:rPr>
        <w:t>, item</w:t>
      </w:r>
      <w:r>
        <w:rPr>
          <w:rStyle w:val="Referencingstyle"/>
        </w:rPr>
        <w:t> </w:t>
      </w:r>
      <w:r w:rsidR="00444D94">
        <w:rPr>
          <w:rStyle w:val="Referencingstyle"/>
        </w:rPr>
        <w:t>10</w:t>
      </w:r>
      <w:r w:rsidRPr="009E5107">
        <w:rPr>
          <w:rStyle w:val="Referencingstyle"/>
        </w:rPr>
        <w:t xml:space="preserve">, </w:t>
      </w:r>
      <w:r>
        <w:rPr>
          <w:rStyle w:val="Referencingstyle"/>
        </w:rPr>
        <w:t xml:space="preserve">subsection </w:t>
      </w:r>
      <w:r w:rsidR="00346774" w:rsidRPr="009E5107">
        <w:rPr>
          <w:rStyle w:val="Referencingstyle"/>
        </w:rPr>
        <w:t>131</w:t>
      </w:r>
      <w:r w:rsidR="00346774">
        <w:rPr>
          <w:rStyle w:val="Referencingstyle"/>
        </w:rPr>
        <w:t>D</w:t>
      </w:r>
      <w:r w:rsidRPr="009E5107">
        <w:rPr>
          <w:rStyle w:val="Referencingstyle"/>
        </w:rPr>
        <w:t>(</w:t>
      </w:r>
      <w:r>
        <w:rPr>
          <w:rStyle w:val="Referencingstyle"/>
        </w:rPr>
        <w:t>5</w:t>
      </w:r>
      <w:r w:rsidRPr="009E5107">
        <w:rPr>
          <w:rStyle w:val="Referencingstyle"/>
        </w:rPr>
        <w:t>)]</w:t>
      </w:r>
    </w:p>
    <w:p w:rsidR="00F70F10" w:rsidRDefault="00F70F10" w:rsidP="00F70F10">
      <w:pPr>
        <w:pStyle w:val="Heading5"/>
      </w:pPr>
      <w:r>
        <w:t>Directions to comply with regulatory or prudential obligations</w:t>
      </w:r>
    </w:p>
    <w:p w:rsidR="00F70F10" w:rsidRPr="001D386E" w:rsidRDefault="00F70F10" w:rsidP="00F70F10">
      <w:pPr>
        <w:pStyle w:val="base-text-paragraph"/>
        <w:numPr>
          <w:ilvl w:val="1"/>
          <w:numId w:val="24"/>
        </w:numPr>
        <w:rPr>
          <w:rStyle w:val="Referencingstyle"/>
          <w:b w:val="0"/>
          <w:i w:val="0"/>
          <w:sz w:val="22"/>
        </w:rPr>
      </w:pPr>
      <w:r>
        <w:t xml:space="preserve"> APRA may give a direction to an RSE licensee to comply with the whole or part of one of the regulatory or prudential obligations in relation to which a contravention is a ground for giving a direction. </w:t>
      </w:r>
      <w:r w:rsidRPr="009958A3">
        <w:rPr>
          <w:rStyle w:val="Referencingstyle"/>
        </w:rPr>
        <w:t>[</w:t>
      </w:r>
      <w:r w:rsidR="00742024">
        <w:rPr>
          <w:rStyle w:val="Referencingstyle"/>
        </w:rPr>
        <w:t>Schedule 5</w:t>
      </w:r>
      <w:r w:rsidRPr="009958A3">
        <w:rPr>
          <w:rStyle w:val="Referencingstyle"/>
        </w:rPr>
        <w:t xml:space="preserve">, item </w:t>
      </w:r>
      <w:r w:rsidR="00444D94">
        <w:rPr>
          <w:rStyle w:val="Referencingstyle"/>
        </w:rPr>
        <w:t>10</w:t>
      </w:r>
      <w:r w:rsidRPr="009958A3">
        <w:rPr>
          <w:rStyle w:val="Referencingstyle"/>
        </w:rPr>
        <w:t xml:space="preserve">, paragraphs </w:t>
      </w:r>
      <w:r w:rsidR="00346774" w:rsidRPr="009958A3">
        <w:rPr>
          <w:rStyle w:val="Referencingstyle"/>
        </w:rPr>
        <w:t>131</w:t>
      </w:r>
      <w:r w:rsidR="00346774">
        <w:rPr>
          <w:rStyle w:val="Referencingstyle"/>
        </w:rPr>
        <w:t>D</w:t>
      </w:r>
      <w:r w:rsidRPr="009958A3">
        <w:rPr>
          <w:rStyle w:val="Referencingstyle"/>
        </w:rPr>
        <w:t>(</w:t>
      </w:r>
      <w:r>
        <w:rPr>
          <w:rStyle w:val="Referencingstyle"/>
        </w:rPr>
        <w:t>2</w:t>
      </w:r>
      <w:r w:rsidRPr="009958A3">
        <w:rPr>
          <w:rStyle w:val="Referencingstyle"/>
        </w:rPr>
        <w:t>)(</w:t>
      </w:r>
      <w:r>
        <w:rPr>
          <w:rStyle w:val="Referencingstyle"/>
        </w:rPr>
        <w:t>a</w:t>
      </w:r>
      <w:r w:rsidRPr="009958A3">
        <w:rPr>
          <w:rStyle w:val="Referencingstyle"/>
        </w:rPr>
        <w:t xml:space="preserve">) </w:t>
      </w:r>
      <w:r>
        <w:rPr>
          <w:rStyle w:val="Referencingstyle"/>
        </w:rPr>
        <w:t>and</w:t>
      </w:r>
      <w:r w:rsidRPr="009958A3">
        <w:rPr>
          <w:rStyle w:val="Referencingstyle"/>
        </w:rPr>
        <w:t xml:space="preserve"> (</w:t>
      </w:r>
      <w:r>
        <w:rPr>
          <w:rStyle w:val="Referencingstyle"/>
        </w:rPr>
        <w:t>b</w:t>
      </w:r>
      <w:r w:rsidRPr="009958A3">
        <w:rPr>
          <w:rStyle w:val="Referencingstyle"/>
        </w:rPr>
        <w:t>)]</w:t>
      </w:r>
    </w:p>
    <w:p w:rsidR="00F70F10" w:rsidRDefault="00F70F10" w:rsidP="00F70F10">
      <w:pPr>
        <w:pStyle w:val="base-text-paragraph"/>
        <w:numPr>
          <w:ilvl w:val="1"/>
          <w:numId w:val="24"/>
        </w:numPr>
      </w:pPr>
      <w:r>
        <w:t xml:space="preserve">As noted above, these regulatory and prudential obligations relate to provisions of the SIS Act, SIS Regulations, prudential standards and FSCODA, as well as certain conditions and directions under the SIS Act and FSCODA. </w:t>
      </w:r>
    </w:p>
    <w:p w:rsidR="00F70F10" w:rsidRDefault="00F70F10" w:rsidP="00F70F10">
      <w:pPr>
        <w:pStyle w:val="base-text-paragraph"/>
        <w:numPr>
          <w:ilvl w:val="1"/>
          <w:numId w:val="24"/>
        </w:numPr>
      </w:pPr>
      <w:r>
        <w:t xml:space="preserve">A direction to comply with one of the obligations would generally be relevant where the basis for issuing a direction </w:t>
      </w:r>
      <w:r w:rsidR="009321FA">
        <w:t xml:space="preserve">was </w:t>
      </w:r>
      <w:r>
        <w:t>related to the contravention of one of these obligations.</w:t>
      </w:r>
    </w:p>
    <w:p w:rsidR="00F70F10" w:rsidRDefault="00F70F10" w:rsidP="00F70F10">
      <w:pPr>
        <w:pStyle w:val="Heading5"/>
      </w:pPr>
      <w:r>
        <w:t>Directions about responsible officers</w:t>
      </w:r>
    </w:p>
    <w:p w:rsidR="00F70F10" w:rsidRPr="00065BA5" w:rsidRDefault="00F70F10" w:rsidP="00F70F10">
      <w:pPr>
        <w:pStyle w:val="base-text-paragraph"/>
        <w:numPr>
          <w:ilvl w:val="1"/>
          <w:numId w:val="24"/>
        </w:numPr>
        <w:rPr>
          <w:rStyle w:val="Referencingstyle"/>
          <w:b w:val="0"/>
          <w:i w:val="0"/>
          <w:sz w:val="22"/>
        </w:rPr>
      </w:pPr>
      <w:r>
        <w:t>APRA may give a direction to an RSE licensee that is a body corporate to remove a responsible officer from office, to ensure that a responsible officer does not take part in the management or conduct of the business of the RSE licensee or the business of a</w:t>
      </w:r>
      <w:r w:rsidR="009321FA">
        <w:t>n RSE</w:t>
      </w:r>
      <w:r>
        <w:t xml:space="preserve">, or to appoint a person as a responsible officer on certain terms. </w:t>
      </w:r>
      <w:r w:rsidRPr="009958A3">
        <w:rPr>
          <w:rStyle w:val="Referencingstyle"/>
        </w:rPr>
        <w:t>[</w:t>
      </w:r>
      <w:r w:rsidR="00742024">
        <w:rPr>
          <w:rStyle w:val="Referencingstyle"/>
        </w:rPr>
        <w:t>Schedule 5</w:t>
      </w:r>
      <w:r w:rsidRPr="009958A3">
        <w:rPr>
          <w:rStyle w:val="Referencingstyle"/>
        </w:rPr>
        <w:t xml:space="preserve">, item </w:t>
      </w:r>
      <w:r w:rsidR="00444D94">
        <w:rPr>
          <w:rStyle w:val="Referencingstyle"/>
        </w:rPr>
        <w:t>10</w:t>
      </w:r>
      <w:r w:rsidRPr="009958A3">
        <w:rPr>
          <w:rStyle w:val="Referencingstyle"/>
        </w:rPr>
        <w:t xml:space="preserve">, paragraph </w:t>
      </w:r>
      <w:r w:rsidR="00346774" w:rsidRPr="009958A3">
        <w:rPr>
          <w:rStyle w:val="Referencingstyle"/>
        </w:rPr>
        <w:t>131</w:t>
      </w:r>
      <w:r w:rsidR="00346774">
        <w:rPr>
          <w:rStyle w:val="Referencingstyle"/>
        </w:rPr>
        <w:t>D</w:t>
      </w:r>
      <w:r w:rsidRPr="009958A3">
        <w:rPr>
          <w:rStyle w:val="Referencingstyle"/>
        </w:rPr>
        <w:t>(</w:t>
      </w:r>
      <w:r>
        <w:rPr>
          <w:rStyle w:val="Referencingstyle"/>
        </w:rPr>
        <w:t>2</w:t>
      </w:r>
      <w:r w:rsidRPr="009958A3">
        <w:rPr>
          <w:rStyle w:val="Referencingstyle"/>
        </w:rPr>
        <w:t>)(</w:t>
      </w:r>
      <w:r>
        <w:rPr>
          <w:rStyle w:val="Referencingstyle"/>
        </w:rPr>
        <w:t>c</w:t>
      </w:r>
      <w:r w:rsidRPr="009958A3">
        <w:rPr>
          <w:rStyle w:val="Referencingstyle"/>
        </w:rPr>
        <w:t>)]</w:t>
      </w:r>
    </w:p>
    <w:p w:rsidR="00F70F10" w:rsidRDefault="00F70F10" w:rsidP="00F70F10">
      <w:pPr>
        <w:pStyle w:val="base-text-paragraph"/>
        <w:numPr>
          <w:ilvl w:val="1"/>
          <w:numId w:val="24"/>
        </w:numPr>
      </w:pPr>
      <w:r>
        <w:t xml:space="preserve">Directions of this kind will generally be relevant where the conduct of a particular responsible officer of an RSE licensee has formed the basis of one or more of the grounds on which directions can be issued. </w:t>
      </w:r>
    </w:p>
    <w:p w:rsidR="00F70F10" w:rsidRDefault="00F70F10" w:rsidP="00F70F10">
      <w:pPr>
        <w:pStyle w:val="base-text-paragraph"/>
        <w:numPr>
          <w:ilvl w:val="1"/>
          <w:numId w:val="24"/>
        </w:numPr>
      </w:pPr>
      <w:r>
        <w:lastRenderedPageBreak/>
        <w:t xml:space="preserve">The term </w:t>
      </w:r>
      <w:r w:rsidRPr="00A433BE">
        <w:rPr>
          <w:i/>
        </w:rPr>
        <w:t>responsible officer</w:t>
      </w:r>
      <w:r>
        <w:t xml:space="preserve"> is defined by subsection 10(1), and relates to a director, secretary or executive officer of a body corporate. Restricting such directions to RSE licensees that are body corporates reflects that body corporates are the only entities that have responsible officers.</w:t>
      </w:r>
    </w:p>
    <w:p w:rsidR="00F70F10" w:rsidRDefault="00F70F10" w:rsidP="00F70F10">
      <w:pPr>
        <w:pStyle w:val="Heading5"/>
      </w:pPr>
      <w:r>
        <w:t>Directions about audits or actuarial investigations</w:t>
      </w:r>
    </w:p>
    <w:p w:rsidR="00F70F10" w:rsidRPr="003F02FE" w:rsidRDefault="00F70F10" w:rsidP="00F70F10">
      <w:pPr>
        <w:pStyle w:val="base-text-paragraph"/>
        <w:numPr>
          <w:ilvl w:val="1"/>
          <w:numId w:val="24"/>
        </w:numPr>
        <w:rPr>
          <w:rStyle w:val="Referencingstyle"/>
          <w:b w:val="0"/>
          <w:i w:val="0"/>
          <w:sz w:val="22"/>
        </w:rPr>
      </w:pPr>
      <w:r>
        <w:t>APRA may give a direction to an RSE licensee to order the audit of the affairs of the licensee or a</w:t>
      </w:r>
      <w:r w:rsidR="009321FA">
        <w:t>n RSE</w:t>
      </w:r>
      <w:r>
        <w:t>. Such audits are to be made at the expense of the RSE licensee and be undertaken by an auditor that is chose</w:t>
      </w:r>
      <w:r w:rsidR="009321FA">
        <w:t>n</w:t>
      </w:r>
      <w:r>
        <w:t xml:space="preserve"> by APRA. APRA may also remove an auditor from office and appoint another auditor to hold office on particular terms. </w:t>
      </w:r>
      <w:r w:rsidRPr="009958A3">
        <w:rPr>
          <w:rStyle w:val="Referencingstyle"/>
        </w:rPr>
        <w:t>[</w:t>
      </w:r>
      <w:r w:rsidR="00742024">
        <w:rPr>
          <w:rStyle w:val="Referencingstyle"/>
        </w:rPr>
        <w:t>Schedule 5</w:t>
      </w:r>
      <w:r w:rsidRPr="009958A3">
        <w:rPr>
          <w:rStyle w:val="Referencingstyle"/>
        </w:rPr>
        <w:t xml:space="preserve">, </w:t>
      </w:r>
      <w:r w:rsidR="00444D94" w:rsidRPr="009958A3">
        <w:rPr>
          <w:rStyle w:val="Referencingstyle"/>
        </w:rPr>
        <w:t>item</w:t>
      </w:r>
      <w:r w:rsidR="00444D94">
        <w:rPr>
          <w:rStyle w:val="Referencingstyle"/>
        </w:rPr>
        <w:t> 10</w:t>
      </w:r>
      <w:r w:rsidRPr="009958A3">
        <w:rPr>
          <w:rStyle w:val="Referencingstyle"/>
        </w:rPr>
        <w:t>, paragraph</w:t>
      </w:r>
      <w:r>
        <w:rPr>
          <w:rStyle w:val="Referencingstyle"/>
        </w:rPr>
        <w:t>s</w:t>
      </w:r>
      <w:r w:rsidRPr="009958A3">
        <w:rPr>
          <w:rStyle w:val="Referencingstyle"/>
        </w:rPr>
        <w:t xml:space="preserve"> </w:t>
      </w:r>
      <w:r w:rsidR="00346774" w:rsidRPr="009958A3">
        <w:rPr>
          <w:rStyle w:val="Referencingstyle"/>
        </w:rPr>
        <w:t>131</w:t>
      </w:r>
      <w:r w:rsidR="00346774">
        <w:rPr>
          <w:rStyle w:val="Referencingstyle"/>
        </w:rPr>
        <w:t>D</w:t>
      </w:r>
      <w:r w:rsidRPr="009958A3">
        <w:rPr>
          <w:rStyle w:val="Referencingstyle"/>
        </w:rPr>
        <w:t>(</w:t>
      </w:r>
      <w:r>
        <w:rPr>
          <w:rStyle w:val="Referencingstyle"/>
        </w:rPr>
        <w:t>2</w:t>
      </w:r>
      <w:r w:rsidRPr="009958A3">
        <w:rPr>
          <w:rStyle w:val="Referencingstyle"/>
        </w:rPr>
        <w:t>)(</w:t>
      </w:r>
      <w:r>
        <w:rPr>
          <w:rStyle w:val="Referencingstyle"/>
        </w:rPr>
        <w:t>d</w:t>
      </w:r>
      <w:r w:rsidRPr="009958A3">
        <w:rPr>
          <w:rStyle w:val="Referencingstyle"/>
        </w:rPr>
        <w:t>)</w:t>
      </w:r>
      <w:r>
        <w:rPr>
          <w:rStyle w:val="Referencingstyle"/>
        </w:rPr>
        <w:t xml:space="preserve"> and (e)</w:t>
      </w:r>
      <w:r w:rsidRPr="009958A3">
        <w:rPr>
          <w:rStyle w:val="Referencingstyle"/>
        </w:rPr>
        <w:t>]</w:t>
      </w:r>
    </w:p>
    <w:p w:rsidR="00F70F10" w:rsidRPr="003F02FE" w:rsidRDefault="00F70F10" w:rsidP="00F70F10">
      <w:pPr>
        <w:pStyle w:val="base-text-paragraph"/>
        <w:numPr>
          <w:ilvl w:val="1"/>
          <w:numId w:val="24"/>
        </w:numPr>
        <w:rPr>
          <w:rStyle w:val="Referencingstyle"/>
          <w:b w:val="0"/>
          <w:i w:val="0"/>
          <w:sz w:val="22"/>
        </w:rPr>
      </w:pPr>
      <w:r>
        <w:t xml:space="preserve"> APRA may also give a direction to an RSE licensee to order an actuarial investigation of the affairs of a </w:t>
      </w:r>
      <w:r w:rsidR="009321FA">
        <w:t>RSE</w:t>
      </w:r>
      <w:r>
        <w:t xml:space="preserve">. Such investigations are to be made at the expense of the RSE licensee and be undertaken by an </w:t>
      </w:r>
      <w:r w:rsidR="009321FA">
        <w:t xml:space="preserve">actuary </w:t>
      </w:r>
      <w:r>
        <w:t>that is chose</w:t>
      </w:r>
      <w:r w:rsidR="009321FA">
        <w:t>n</w:t>
      </w:r>
      <w:r>
        <w:t xml:space="preserve"> by APRA. APRA may also remove an actuary from office and appoint another actuary to hold office on particular terms. </w:t>
      </w:r>
      <w:r w:rsidRPr="009958A3">
        <w:rPr>
          <w:rStyle w:val="Referencingstyle"/>
        </w:rPr>
        <w:t>[</w:t>
      </w:r>
      <w:r w:rsidR="00742024">
        <w:rPr>
          <w:rStyle w:val="Referencingstyle"/>
        </w:rPr>
        <w:t>Schedule 5</w:t>
      </w:r>
      <w:r w:rsidRPr="009958A3">
        <w:rPr>
          <w:rStyle w:val="Referencingstyle"/>
        </w:rPr>
        <w:t xml:space="preserve">, item </w:t>
      </w:r>
      <w:r w:rsidR="008433D2">
        <w:rPr>
          <w:rStyle w:val="Referencingstyle"/>
        </w:rPr>
        <w:t>10</w:t>
      </w:r>
      <w:r w:rsidRPr="009958A3">
        <w:rPr>
          <w:rStyle w:val="Referencingstyle"/>
        </w:rPr>
        <w:t>, paragraph</w:t>
      </w:r>
      <w:r>
        <w:rPr>
          <w:rStyle w:val="Referencingstyle"/>
        </w:rPr>
        <w:t>s</w:t>
      </w:r>
      <w:r w:rsidRPr="009958A3">
        <w:rPr>
          <w:rStyle w:val="Referencingstyle"/>
        </w:rPr>
        <w:t xml:space="preserve"> </w:t>
      </w:r>
      <w:r w:rsidR="00346774" w:rsidRPr="009958A3">
        <w:rPr>
          <w:rStyle w:val="Referencingstyle"/>
        </w:rPr>
        <w:t>131</w:t>
      </w:r>
      <w:r w:rsidR="00346774">
        <w:rPr>
          <w:rStyle w:val="Referencingstyle"/>
        </w:rPr>
        <w:t>D</w:t>
      </w:r>
      <w:r w:rsidRPr="009958A3">
        <w:rPr>
          <w:rStyle w:val="Referencingstyle"/>
        </w:rPr>
        <w:t>(</w:t>
      </w:r>
      <w:r>
        <w:rPr>
          <w:rStyle w:val="Referencingstyle"/>
        </w:rPr>
        <w:t>2</w:t>
      </w:r>
      <w:r w:rsidRPr="009958A3">
        <w:rPr>
          <w:rStyle w:val="Referencingstyle"/>
        </w:rPr>
        <w:t>)(</w:t>
      </w:r>
      <w:r>
        <w:rPr>
          <w:rStyle w:val="Referencingstyle"/>
        </w:rPr>
        <w:t>f</w:t>
      </w:r>
      <w:r w:rsidRPr="009958A3">
        <w:rPr>
          <w:rStyle w:val="Referencingstyle"/>
        </w:rPr>
        <w:t>)</w:t>
      </w:r>
      <w:r>
        <w:rPr>
          <w:rStyle w:val="Referencingstyle"/>
        </w:rPr>
        <w:t xml:space="preserve"> and (g)</w:t>
      </w:r>
      <w:r w:rsidRPr="009958A3">
        <w:rPr>
          <w:rStyle w:val="Referencingstyle"/>
        </w:rPr>
        <w:t>]</w:t>
      </w:r>
    </w:p>
    <w:p w:rsidR="00F70F10" w:rsidRPr="00EF7C31" w:rsidRDefault="00F70F10" w:rsidP="00F70F10">
      <w:pPr>
        <w:pStyle w:val="base-text-paragraph"/>
        <w:numPr>
          <w:ilvl w:val="1"/>
          <w:numId w:val="24"/>
        </w:numPr>
        <w:rPr>
          <w:rStyle w:val="Referencingstyle"/>
          <w:b w:val="0"/>
          <w:i w:val="0"/>
          <w:sz w:val="22"/>
        </w:rPr>
      </w:pPr>
      <w:r>
        <w:rPr>
          <w:rStyle w:val="Referencingstyle"/>
          <w:b w:val="0"/>
          <w:i w:val="0"/>
          <w:sz w:val="22"/>
        </w:rPr>
        <w:t>These types of directions are most relevant where APRA requires additional information about the affairs of an RSE licensee or a</w:t>
      </w:r>
      <w:r w:rsidR="009321FA">
        <w:rPr>
          <w:rStyle w:val="Referencingstyle"/>
          <w:b w:val="0"/>
          <w:i w:val="0"/>
          <w:sz w:val="22"/>
        </w:rPr>
        <w:t>n RSE</w:t>
      </w:r>
      <w:r>
        <w:rPr>
          <w:rStyle w:val="Referencingstyle"/>
          <w:b w:val="0"/>
          <w:i w:val="0"/>
          <w:sz w:val="22"/>
        </w:rPr>
        <w:t xml:space="preserve">, or has reason to believe that audit or actuarial information provided by an RSE licensee does not reflect the true position of the licensee or </w:t>
      </w:r>
      <w:r w:rsidR="00A12012">
        <w:rPr>
          <w:rStyle w:val="Referencingstyle"/>
          <w:b w:val="0"/>
          <w:i w:val="0"/>
          <w:sz w:val="22"/>
        </w:rPr>
        <w:t>RSE</w:t>
      </w:r>
      <w:r>
        <w:rPr>
          <w:rStyle w:val="Referencingstyle"/>
          <w:b w:val="0"/>
          <w:i w:val="0"/>
          <w:sz w:val="22"/>
        </w:rPr>
        <w:t>.</w:t>
      </w:r>
    </w:p>
    <w:p w:rsidR="00F70F10" w:rsidRDefault="00F70F10" w:rsidP="00F70F10">
      <w:pPr>
        <w:pStyle w:val="base-text-paragraph"/>
        <w:numPr>
          <w:ilvl w:val="1"/>
          <w:numId w:val="24"/>
        </w:numPr>
      </w:pPr>
      <w:r>
        <w:t xml:space="preserve">Removing an existing auditor or actuary, as well as replacing them with another auditor or actuary, enables APRA to ensure that the financial position of a licensee or </w:t>
      </w:r>
      <w:r w:rsidR="009321FA">
        <w:t xml:space="preserve">RSE </w:t>
      </w:r>
      <w:r>
        <w:t>is accurately reported in the future.</w:t>
      </w:r>
    </w:p>
    <w:p w:rsidR="00F70F10" w:rsidRDefault="00F70F10" w:rsidP="00F70F10">
      <w:pPr>
        <w:pStyle w:val="Heading5"/>
      </w:pPr>
      <w:r>
        <w:t>Directions about certain actions</w:t>
      </w:r>
    </w:p>
    <w:p w:rsidR="00F70F10" w:rsidRDefault="00F70F10" w:rsidP="00F70F10">
      <w:pPr>
        <w:pStyle w:val="base-text-paragraph"/>
        <w:numPr>
          <w:ilvl w:val="1"/>
          <w:numId w:val="24"/>
        </w:numPr>
      </w:pPr>
      <w:r>
        <w:t xml:space="preserve">APRA may give a direction to an RSE licensee to </w:t>
      </w:r>
      <w:r w:rsidRPr="005F43C4">
        <w:rPr>
          <w:u w:val="single"/>
        </w:rPr>
        <w:t>not</w:t>
      </w:r>
      <w:r>
        <w:t xml:space="preserve"> </w:t>
      </w:r>
      <w:r w:rsidRPr="005F43C4">
        <w:t>do</w:t>
      </w:r>
      <w:r>
        <w:t xml:space="preserve"> any of the following:</w:t>
      </w:r>
    </w:p>
    <w:p w:rsidR="00F70F10" w:rsidRDefault="00F70F10" w:rsidP="00F70F10">
      <w:pPr>
        <w:pStyle w:val="dotpoint"/>
      </w:pPr>
      <w:r>
        <w:t>accept contributions to a</w:t>
      </w:r>
      <w:r w:rsidR="009321FA">
        <w:t>n RSE</w:t>
      </w:r>
      <w:r>
        <w:t>:</w:t>
      </w:r>
    </w:p>
    <w:p w:rsidR="00F70F10" w:rsidRDefault="00F70F10" w:rsidP="00F70F10">
      <w:pPr>
        <w:pStyle w:val="dotpoint"/>
      </w:pPr>
      <w:r>
        <w:t>borrow any amount;</w:t>
      </w:r>
    </w:p>
    <w:p w:rsidR="00F70F10" w:rsidRDefault="00F70F10" w:rsidP="00F70F10">
      <w:pPr>
        <w:pStyle w:val="dotpoint"/>
      </w:pPr>
      <w:r>
        <w:t>pay or transfer any amount or asset (or create an obligation to do so);</w:t>
      </w:r>
    </w:p>
    <w:p w:rsidR="00F70F10" w:rsidRDefault="00F70F10" w:rsidP="00F70F10">
      <w:pPr>
        <w:pStyle w:val="dotpoint"/>
      </w:pPr>
      <w:r>
        <w:t xml:space="preserve">undertake a financial obligation; or </w:t>
      </w:r>
    </w:p>
    <w:p w:rsidR="00F70F10" w:rsidRDefault="00F70F10" w:rsidP="00F70F10">
      <w:pPr>
        <w:pStyle w:val="dotpoint"/>
      </w:pPr>
      <w:proofErr w:type="gramStart"/>
      <w:r>
        <w:t>discharge</w:t>
      </w:r>
      <w:proofErr w:type="gramEnd"/>
      <w:r>
        <w:t xml:space="preserve"> a liability of the licensee or a</w:t>
      </w:r>
      <w:r w:rsidR="00A12012">
        <w:t>n</w:t>
      </w:r>
      <w:r>
        <w:t xml:space="preserve"> </w:t>
      </w:r>
      <w:r w:rsidR="00A12012">
        <w:t>RSE</w:t>
      </w:r>
      <w:r>
        <w:t>.</w:t>
      </w:r>
    </w:p>
    <w:p w:rsidR="00F70F10" w:rsidRDefault="00F70F10" w:rsidP="00F70F10">
      <w:pPr>
        <w:pStyle w:val="base-text-paragraphnonumbers"/>
      </w:pPr>
      <w:r w:rsidRPr="009958A3">
        <w:rPr>
          <w:rStyle w:val="Referencingstyle"/>
        </w:rPr>
        <w:lastRenderedPageBreak/>
        <w:t>[</w:t>
      </w:r>
      <w:r w:rsidR="00742024">
        <w:rPr>
          <w:rStyle w:val="Referencingstyle"/>
        </w:rPr>
        <w:t>Schedule 5</w:t>
      </w:r>
      <w:r w:rsidRPr="009958A3">
        <w:rPr>
          <w:rStyle w:val="Referencingstyle"/>
        </w:rPr>
        <w:t xml:space="preserve">, item </w:t>
      </w:r>
      <w:r w:rsidR="00346774">
        <w:rPr>
          <w:rStyle w:val="Referencingstyle"/>
        </w:rPr>
        <w:t>10</w:t>
      </w:r>
      <w:r w:rsidRPr="009958A3">
        <w:rPr>
          <w:rStyle w:val="Referencingstyle"/>
        </w:rPr>
        <w:t>, paragraph</w:t>
      </w:r>
      <w:r>
        <w:rPr>
          <w:rStyle w:val="Referencingstyle"/>
        </w:rPr>
        <w:t>s</w:t>
      </w:r>
      <w:r w:rsidRPr="009958A3">
        <w:rPr>
          <w:rStyle w:val="Referencingstyle"/>
        </w:rPr>
        <w:t xml:space="preserve"> </w:t>
      </w:r>
      <w:proofErr w:type="gramStart"/>
      <w:r w:rsidRPr="009958A3">
        <w:rPr>
          <w:rStyle w:val="Referencingstyle"/>
        </w:rPr>
        <w:t>131</w:t>
      </w:r>
      <w:r w:rsidR="00346774">
        <w:rPr>
          <w:rStyle w:val="Referencingstyle"/>
        </w:rPr>
        <w:t>D</w:t>
      </w:r>
      <w:r w:rsidRPr="009958A3">
        <w:rPr>
          <w:rStyle w:val="Referencingstyle"/>
        </w:rPr>
        <w:t>(</w:t>
      </w:r>
      <w:proofErr w:type="gramEnd"/>
      <w:r>
        <w:rPr>
          <w:rStyle w:val="Referencingstyle"/>
        </w:rPr>
        <w:t>2</w:t>
      </w:r>
      <w:r w:rsidRPr="009958A3">
        <w:rPr>
          <w:rStyle w:val="Referencingstyle"/>
        </w:rPr>
        <w:t>)(</w:t>
      </w:r>
      <w:r>
        <w:rPr>
          <w:rStyle w:val="Referencingstyle"/>
        </w:rPr>
        <w:t>h</w:t>
      </w:r>
      <w:r w:rsidRPr="009958A3">
        <w:rPr>
          <w:rStyle w:val="Referencingstyle"/>
        </w:rPr>
        <w:t>)</w:t>
      </w:r>
      <w:r>
        <w:rPr>
          <w:rStyle w:val="Referencingstyle"/>
        </w:rPr>
        <w:t xml:space="preserve"> to (l)</w:t>
      </w:r>
      <w:r w:rsidRPr="009958A3">
        <w:rPr>
          <w:rStyle w:val="Referencingstyle"/>
        </w:rPr>
        <w:t>]</w:t>
      </w:r>
    </w:p>
    <w:p w:rsidR="00F70F10" w:rsidRDefault="00F70F10" w:rsidP="00F70F10">
      <w:pPr>
        <w:pStyle w:val="base-text-paragraph"/>
        <w:numPr>
          <w:ilvl w:val="1"/>
          <w:numId w:val="24"/>
        </w:numPr>
      </w:pPr>
      <w:r>
        <w:t xml:space="preserve">Directions of this kind are most relevant where there are substantial issues in respect of the financial position of an RSE licensee or the </w:t>
      </w:r>
      <w:r w:rsidR="009321FA">
        <w:t>RSE</w:t>
      </w:r>
      <w:r>
        <w:t>.</w:t>
      </w:r>
    </w:p>
    <w:p w:rsidR="00F70F10" w:rsidRDefault="00F70F10" w:rsidP="00F70F10">
      <w:pPr>
        <w:pStyle w:val="base-text-paragraph"/>
        <w:numPr>
          <w:ilvl w:val="1"/>
          <w:numId w:val="24"/>
        </w:numPr>
      </w:pPr>
      <w:r>
        <w:t>Preventing contributions being made to a</w:t>
      </w:r>
      <w:r w:rsidR="009321FA">
        <w:t>n</w:t>
      </w:r>
      <w:r>
        <w:t xml:space="preserve"> </w:t>
      </w:r>
      <w:r w:rsidR="009321FA">
        <w:t>RSE</w:t>
      </w:r>
      <w:r>
        <w:t xml:space="preserve"> ensures that members are not put at further risk by contributing amounts to the entity. </w:t>
      </w:r>
    </w:p>
    <w:p w:rsidR="00F70F10" w:rsidRDefault="00F70F10" w:rsidP="00F70F10">
      <w:pPr>
        <w:pStyle w:val="base-text-paragraph"/>
        <w:numPr>
          <w:ilvl w:val="1"/>
          <w:numId w:val="24"/>
        </w:numPr>
      </w:pPr>
      <w:r>
        <w:t xml:space="preserve">Enabling APRA to direct an RSE </w:t>
      </w:r>
      <w:r w:rsidR="00734BBC">
        <w:t xml:space="preserve">licensee </w:t>
      </w:r>
      <w:r>
        <w:t xml:space="preserve">to suspend further actions that it would ordinarily take in respect of its assets or liabilities would generally only be done where there is a substantial risk that continued actions would be to the </w:t>
      </w:r>
      <w:r w:rsidR="00734BBC">
        <w:t xml:space="preserve">detriment </w:t>
      </w:r>
      <w:r>
        <w:t xml:space="preserve">of the beneficiaries of the </w:t>
      </w:r>
      <w:r w:rsidR="00734BBC">
        <w:t>RSE</w:t>
      </w:r>
      <w:r>
        <w:t>, or would substantially increase the financial risks that were relevant to the direction.</w:t>
      </w:r>
    </w:p>
    <w:p w:rsidR="00F70F10" w:rsidRPr="0061745C" w:rsidRDefault="00F70F10" w:rsidP="00F70F10">
      <w:pPr>
        <w:pStyle w:val="base-text-paragraph"/>
        <w:numPr>
          <w:ilvl w:val="1"/>
          <w:numId w:val="24"/>
        </w:numPr>
        <w:rPr>
          <w:rStyle w:val="Referencingstyle"/>
          <w:b w:val="0"/>
          <w:i w:val="0"/>
          <w:sz w:val="22"/>
        </w:rPr>
      </w:pPr>
      <w:r>
        <w:t xml:space="preserve">However, a direction </w:t>
      </w:r>
      <w:r w:rsidR="00734BBC">
        <w:t xml:space="preserve">to </w:t>
      </w:r>
      <w:r>
        <w:t xml:space="preserve">not pay or transfer an amount or an asset does not apply to payments or transfer of money pursuant to an order of the court or a process of execution. </w:t>
      </w:r>
      <w:r w:rsidRPr="009E5107">
        <w:rPr>
          <w:rStyle w:val="Referencingstyle"/>
        </w:rPr>
        <w:t>[</w:t>
      </w:r>
      <w:r w:rsidR="00742024">
        <w:rPr>
          <w:rStyle w:val="Referencingstyle"/>
        </w:rPr>
        <w:t>Schedule 5</w:t>
      </w:r>
      <w:r w:rsidRPr="009E5107">
        <w:rPr>
          <w:rStyle w:val="Referencingstyle"/>
        </w:rPr>
        <w:t>, item</w:t>
      </w:r>
      <w:r>
        <w:rPr>
          <w:rStyle w:val="Referencingstyle"/>
        </w:rPr>
        <w:t> </w:t>
      </w:r>
      <w:r w:rsidR="00346774">
        <w:rPr>
          <w:rStyle w:val="Referencingstyle"/>
        </w:rPr>
        <w:t>10</w:t>
      </w:r>
      <w:r w:rsidRPr="009E5107">
        <w:rPr>
          <w:rStyle w:val="Referencingstyle"/>
        </w:rPr>
        <w:t xml:space="preserve">, </w:t>
      </w:r>
      <w:r>
        <w:rPr>
          <w:rStyle w:val="Referencingstyle"/>
        </w:rPr>
        <w:t xml:space="preserve">subsection </w:t>
      </w:r>
      <w:r w:rsidR="00346774" w:rsidRPr="009E5107">
        <w:rPr>
          <w:rStyle w:val="Referencingstyle"/>
        </w:rPr>
        <w:t>131</w:t>
      </w:r>
      <w:r w:rsidR="00346774">
        <w:rPr>
          <w:rStyle w:val="Referencingstyle"/>
        </w:rPr>
        <w:t>D</w:t>
      </w:r>
      <w:r w:rsidRPr="009E5107">
        <w:rPr>
          <w:rStyle w:val="Referencingstyle"/>
        </w:rPr>
        <w:t>(</w:t>
      </w:r>
      <w:r>
        <w:rPr>
          <w:rStyle w:val="Referencingstyle"/>
        </w:rPr>
        <w:t>3)</w:t>
      </w:r>
      <w:r w:rsidRPr="009E5107">
        <w:rPr>
          <w:rStyle w:val="Referencingstyle"/>
        </w:rPr>
        <w:t>]</w:t>
      </w:r>
    </w:p>
    <w:p w:rsidR="00F70F10" w:rsidRDefault="00F70F10" w:rsidP="00F70F10">
      <w:pPr>
        <w:pStyle w:val="base-text-paragraph"/>
        <w:numPr>
          <w:ilvl w:val="1"/>
          <w:numId w:val="24"/>
        </w:numPr>
      </w:pPr>
      <w:r>
        <w:t>This limitation ensures that court orders and processes of execution take priority over any directions that APRA gives to an RSE licensee.</w:t>
      </w:r>
    </w:p>
    <w:p w:rsidR="00F70F10" w:rsidRPr="009E5107" w:rsidRDefault="00F70F10" w:rsidP="00F70F10">
      <w:pPr>
        <w:pStyle w:val="base-text-paragraph"/>
        <w:numPr>
          <w:ilvl w:val="1"/>
          <w:numId w:val="24"/>
        </w:numPr>
      </w:pPr>
      <w:r w:rsidRPr="009E5107">
        <w:t xml:space="preserve">APRA may also direct an RSE licensee to do, or refrain from doing, anything else in relation to its affairs, or the affairs of the </w:t>
      </w:r>
      <w:r w:rsidR="00734BBC">
        <w:t xml:space="preserve">RSE </w:t>
      </w:r>
      <w:r w:rsidRPr="009E5107">
        <w:t xml:space="preserve">of which it is a licensee. </w:t>
      </w:r>
      <w:r w:rsidRPr="009E5107">
        <w:rPr>
          <w:rStyle w:val="Referencingstyle"/>
        </w:rPr>
        <w:t>[</w:t>
      </w:r>
      <w:r w:rsidR="00742024">
        <w:rPr>
          <w:rStyle w:val="Referencingstyle"/>
        </w:rPr>
        <w:t>Schedule 5</w:t>
      </w:r>
      <w:r w:rsidRPr="009E5107">
        <w:rPr>
          <w:rStyle w:val="Referencingstyle"/>
        </w:rPr>
        <w:t>, item</w:t>
      </w:r>
      <w:r>
        <w:rPr>
          <w:rStyle w:val="Referencingstyle"/>
        </w:rPr>
        <w:t> </w:t>
      </w:r>
      <w:r w:rsidR="008433D2">
        <w:rPr>
          <w:rStyle w:val="Referencingstyle"/>
        </w:rPr>
        <w:t>10</w:t>
      </w:r>
      <w:r w:rsidRPr="009E5107">
        <w:rPr>
          <w:rStyle w:val="Referencingstyle"/>
        </w:rPr>
        <w:t xml:space="preserve">, paragraph </w:t>
      </w:r>
      <w:r w:rsidR="00346774" w:rsidRPr="009E5107">
        <w:rPr>
          <w:rStyle w:val="Referencingstyle"/>
        </w:rPr>
        <w:t>131</w:t>
      </w:r>
      <w:r w:rsidR="00346774">
        <w:rPr>
          <w:rStyle w:val="Referencingstyle"/>
        </w:rPr>
        <w:t>D</w:t>
      </w:r>
      <w:r w:rsidRPr="009E5107">
        <w:rPr>
          <w:rStyle w:val="Referencingstyle"/>
        </w:rPr>
        <w:t>(2)(</w:t>
      </w:r>
      <w:r w:rsidR="00346774">
        <w:rPr>
          <w:rStyle w:val="Referencingstyle"/>
        </w:rPr>
        <w:t>n</w:t>
      </w:r>
      <w:r w:rsidRPr="009E5107">
        <w:rPr>
          <w:rStyle w:val="Referencingstyle"/>
        </w:rPr>
        <w:t>)]</w:t>
      </w:r>
    </w:p>
    <w:p w:rsidR="00F70F10" w:rsidRDefault="00F70F10" w:rsidP="00F70F10">
      <w:pPr>
        <w:pStyle w:val="base-text-paragraph"/>
        <w:numPr>
          <w:ilvl w:val="1"/>
          <w:numId w:val="24"/>
        </w:numPr>
      </w:pPr>
      <w:r>
        <w:t xml:space="preserve">Enabling APRA to issue directions about the affairs of a licensee or </w:t>
      </w:r>
      <w:r w:rsidR="00734BBC">
        <w:t xml:space="preserve">RSE </w:t>
      </w:r>
      <w:r>
        <w:t>ensures sufficient flexibility for APRA to make the directions that are necessary to prevent or mitigate the risks associated with the various grounds on which directions can be made.</w:t>
      </w:r>
    </w:p>
    <w:p w:rsidR="00F70F10" w:rsidRDefault="00F70F10" w:rsidP="00F70F10">
      <w:pPr>
        <w:pStyle w:val="Heading5"/>
      </w:pPr>
      <w:r>
        <w:t>Directions about the RSE licensee</w:t>
      </w:r>
    </w:p>
    <w:p w:rsidR="00F70F10" w:rsidRPr="0061745C" w:rsidRDefault="00F70F10" w:rsidP="00F70F10">
      <w:pPr>
        <w:pStyle w:val="base-text-paragraph"/>
        <w:numPr>
          <w:ilvl w:val="1"/>
          <w:numId w:val="24"/>
        </w:numPr>
        <w:rPr>
          <w:rStyle w:val="Referencingstyle"/>
          <w:b w:val="0"/>
          <w:i w:val="0"/>
          <w:sz w:val="22"/>
        </w:rPr>
      </w:pPr>
      <w:r>
        <w:t xml:space="preserve">APRA may give directions to an RSE licensee to make changes to its system, business practices or operations. </w:t>
      </w:r>
      <w:r w:rsidRPr="009E5107">
        <w:rPr>
          <w:rStyle w:val="Referencingstyle"/>
        </w:rPr>
        <w:t>[</w:t>
      </w:r>
      <w:r w:rsidR="00742024">
        <w:rPr>
          <w:rStyle w:val="Referencingstyle"/>
        </w:rPr>
        <w:t>Schedule 5</w:t>
      </w:r>
      <w:r w:rsidRPr="009E5107">
        <w:rPr>
          <w:rStyle w:val="Referencingstyle"/>
        </w:rPr>
        <w:t>, item</w:t>
      </w:r>
      <w:r>
        <w:rPr>
          <w:rStyle w:val="Referencingstyle"/>
        </w:rPr>
        <w:t> </w:t>
      </w:r>
      <w:r w:rsidR="00346774">
        <w:rPr>
          <w:rStyle w:val="Referencingstyle"/>
        </w:rPr>
        <w:t>10</w:t>
      </w:r>
      <w:r w:rsidRPr="009E5107">
        <w:rPr>
          <w:rStyle w:val="Referencingstyle"/>
        </w:rPr>
        <w:t>, paragraph</w:t>
      </w:r>
      <w:r>
        <w:rPr>
          <w:rStyle w:val="Referencingstyle"/>
        </w:rPr>
        <w:t> </w:t>
      </w:r>
      <w:r w:rsidR="00346774" w:rsidRPr="009E5107">
        <w:rPr>
          <w:rStyle w:val="Referencingstyle"/>
        </w:rPr>
        <w:t>131</w:t>
      </w:r>
      <w:r w:rsidR="00346774">
        <w:rPr>
          <w:rStyle w:val="Referencingstyle"/>
        </w:rPr>
        <w:t>D</w:t>
      </w:r>
      <w:r w:rsidRPr="009E5107">
        <w:rPr>
          <w:rStyle w:val="Referencingstyle"/>
        </w:rPr>
        <w:t>(2)(</w:t>
      </w:r>
      <w:r>
        <w:rPr>
          <w:rStyle w:val="Referencingstyle"/>
        </w:rPr>
        <w:t>m</w:t>
      </w:r>
      <w:r w:rsidRPr="009E5107">
        <w:rPr>
          <w:rStyle w:val="Referencingstyle"/>
        </w:rPr>
        <w:t>)]</w:t>
      </w:r>
    </w:p>
    <w:p w:rsidR="00F70F10" w:rsidRDefault="00F70F10" w:rsidP="00F70F10">
      <w:pPr>
        <w:pStyle w:val="base-text-paragraph"/>
        <w:numPr>
          <w:ilvl w:val="1"/>
          <w:numId w:val="24"/>
        </w:numPr>
      </w:pPr>
      <w:r>
        <w:t xml:space="preserve">These directions cover </w:t>
      </w:r>
      <w:r w:rsidR="00734BBC">
        <w:t xml:space="preserve">organisational </w:t>
      </w:r>
      <w:r>
        <w:t>matters that are relevant to an RSE licensee’s internal business structures. Enabling APRA to make directions of this kind enables actions to be undertaken to address broader issues that may arise as a result of the way an RSE licensee conducts its business.</w:t>
      </w:r>
    </w:p>
    <w:p w:rsidR="00F70F10" w:rsidRDefault="00F70F10" w:rsidP="00F70F10">
      <w:pPr>
        <w:pStyle w:val="Heading3"/>
      </w:pPr>
      <w:r>
        <w:lastRenderedPageBreak/>
        <w:t>Directions to RSE licensee about the conduct of a connected entity</w:t>
      </w:r>
    </w:p>
    <w:p w:rsidR="00F70F10" w:rsidRDefault="00F70F10" w:rsidP="00F70F10">
      <w:pPr>
        <w:pStyle w:val="base-text-paragraph"/>
        <w:numPr>
          <w:ilvl w:val="1"/>
          <w:numId w:val="24"/>
        </w:numPr>
      </w:pPr>
      <w:r>
        <w:t xml:space="preserve">In certain circumstances, the conduct of a connected entity of an RSE will give rise to the same sorts of contraventions and risks that are outlined above. </w:t>
      </w:r>
    </w:p>
    <w:p w:rsidR="00F70F10" w:rsidRDefault="00F70F10" w:rsidP="00F70F10">
      <w:pPr>
        <w:pStyle w:val="base-text-paragraph"/>
        <w:numPr>
          <w:ilvl w:val="1"/>
          <w:numId w:val="24"/>
        </w:numPr>
      </w:pPr>
      <w:r>
        <w:t>Where this is the case, the general requirements for issuing a direction on the basis of actions or risks that result from the conduct of the RSE licensee may not be able to be satisfied, because the conduct of a connected entity that is relevant.</w:t>
      </w:r>
    </w:p>
    <w:p w:rsidR="00F70F10" w:rsidRDefault="00B238EF" w:rsidP="00F70F10">
      <w:pPr>
        <w:pStyle w:val="base-text-paragraph"/>
        <w:numPr>
          <w:ilvl w:val="1"/>
          <w:numId w:val="24"/>
        </w:numPr>
      </w:pPr>
      <w:r>
        <w:t>A</w:t>
      </w:r>
      <w:r w:rsidR="00F70F10">
        <w:t xml:space="preserve"> </w:t>
      </w:r>
      <w:r w:rsidR="00F70F10" w:rsidRPr="00A433BE">
        <w:rPr>
          <w:i/>
        </w:rPr>
        <w:t>connected entity</w:t>
      </w:r>
      <w:r w:rsidR="00F70F10">
        <w:t xml:space="preserve"> is defined </w:t>
      </w:r>
      <w:r>
        <w:t xml:space="preserve">in </w:t>
      </w:r>
      <w:r w:rsidR="00F70F10">
        <w:t>subsection 10(1) as being the subsidiary of an RSE licensee that is a body corporate, or another entity of the kind prescribed by regulation. Currently, no regulations have been prescribed meaning that connected entities are the subsidiaries of body corporates.</w:t>
      </w:r>
    </w:p>
    <w:p w:rsidR="00F70F10" w:rsidRDefault="00F70F10" w:rsidP="00F70F10">
      <w:pPr>
        <w:pStyle w:val="base-text-paragraph"/>
        <w:numPr>
          <w:ilvl w:val="1"/>
          <w:numId w:val="24"/>
        </w:numPr>
      </w:pPr>
      <w:r>
        <w:t xml:space="preserve">These amendments ensure that APRA is also able to give a direction to an RSE licensee in respect of the conduct of one of its connected entities. </w:t>
      </w:r>
    </w:p>
    <w:p w:rsidR="00F70F10" w:rsidRDefault="00F70F10" w:rsidP="00F70F10">
      <w:pPr>
        <w:pStyle w:val="base-text-paragraph"/>
        <w:numPr>
          <w:ilvl w:val="1"/>
          <w:numId w:val="24"/>
        </w:numPr>
      </w:pPr>
      <w:r>
        <w:t>The grounds on which such directions may be given are based on the ground on which directions about the conduct of an RSE licensee can be given.</w:t>
      </w:r>
    </w:p>
    <w:p w:rsidR="00F70F10" w:rsidRDefault="00F70F10" w:rsidP="00F70F10">
      <w:pPr>
        <w:pStyle w:val="base-text-paragraph"/>
        <w:numPr>
          <w:ilvl w:val="1"/>
          <w:numId w:val="24"/>
        </w:numPr>
      </w:pPr>
      <w:r>
        <w:t>APRA may give a direction where it has reason to believe that:</w:t>
      </w:r>
    </w:p>
    <w:p w:rsidR="00F70F10" w:rsidRDefault="00F70F10" w:rsidP="00F70F10">
      <w:pPr>
        <w:pStyle w:val="dotpoint"/>
      </w:pPr>
      <w:r>
        <w:t>a connected entity has contravened, or is likely to contravene, a provision of the SIS Act, the SIS Regulations, the prudential standards, or the FSCODA;</w:t>
      </w:r>
    </w:p>
    <w:p w:rsidR="00F70F10" w:rsidRDefault="00F70F10" w:rsidP="00F70F10">
      <w:pPr>
        <w:pStyle w:val="dotpoint"/>
      </w:pPr>
      <w:r>
        <w:t>the direction relates to the connected entity and is necessary to protect the interests of beneficiaries;</w:t>
      </w:r>
    </w:p>
    <w:p w:rsidR="00F70F10" w:rsidRDefault="00F70F10" w:rsidP="00F70F10">
      <w:pPr>
        <w:pStyle w:val="dotpoint"/>
      </w:pPr>
      <w:r>
        <w:t>the direction is required to prevent the interests of beneficiaries from being materially prejudiced;</w:t>
      </w:r>
    </w:p>
    <w:p w:rsidR="00F70F10" w:rsidRDefault="00F70F10" w:rsidP="00F70F10">
      <w:pPr>
        <w:pStyle w:val="dotpoint"/>
      </w:pPr>
      <w:r>
        <w:t xml:space="preserve">the connected entity is unable to meet its liabilities; </w:t>
      </w:r>
    </w:p>
    <w:p w:rsidR="00F70F10" w:rsidRDefault="00F70F10" w:rsidP="00F70F10">
      <w:pPr>
        <w:pStyle w:val="dotpoint"/>
      </w:pPr>
      <w:r>
        <w:t xml:space="preserve">there is a material risk to the security of the assets of the connected entity; </w:t>
      </w:r>
    </w:p>
    <w:p w:rsidR="00F70F10" w:rsidRDefault="00F70F10" w:rsidP="00F70F10">
      <w:pPr>
        <w:pStyle w:val="dotpoint"/>
      </w:pPr>
      <w:r>
        <w:t>there has been a material deterioration in the financial condition of the connected entity</w:t>
      </w:r>
      <w:r w:rsidR="002C7FB8">
        <w:t xml:space="preserve">; </w:t>
      </w:r>
      <w:r w:rsidR="00B238EF">
        <w:t xml:space="preserve">or </w:t>
      </w:r>
    </w:p>
    <w:p w:rsidR="00F70F10" w:rsidRDefault="00F70F10" w:rsidP="00F70F10">
      <w:pPr>
        <w:pStyle w:val="dotpoint"/>
      </w:pPr>
      <w:proofErr w:type="gramStart"/>
      <w:r>
        <w:lastRenderedPageBreak/>
        <w:t>the</w:t>
      </w:r>
      <w:proofErr w:type="gramEnd"/>
      <w:r>
        <w:t xml:space="preserve"> connected entity is conducting its affairs in an improper or financially unsound way or in a way that negatively affects the stability of Australia’s financial system.</w:t>
      </w:r>
    </w:p>
    <w:p w:rsidR="00F70F10" w:rsidRDefault="00F70F10" w:rsidP="00F70F10">
      <w:pPr>
        <w:pStyle w:val="base-text-paragraphnonumbers"/>
        <w:rPr>
          <w:rStyle w:val="Referencingstyle"/>
        </w:rPr>
      </w:pPr>
      <w:r w:rsidRPr="009E5107">
        <w:rPr>
          <w:rStyle w:val="Referencingstyle"/>
        </w:rPr>
        <w:t>[</w:t>
      </w:r>
      <w:r w:rsidR="00742024">
        <w:rPr>
          <w:rStyle w:val="Referencingstyle"/>
        </w:rPr>
        <w:t>Schedule 5</w:t>
      </w:r>
      <w:r w:rsidRPr="009E5107">
        <w:rPr>
          <w:rStyle w:val="Referencingstyle"/>
        </w:rPr>
        <w:t>, item</w:t>
      </w:r>
      <w:r>
        <w:rPr>
          <w:rStyle w:val="Referencingstyle"/>
        </w:rPr>
        <w:t> </w:t>
      </w:r>
      <w:r w:rsidR="00346774">
        <w:rPr>
          <w:rStyle w:val="Referencingstyle"/>
        </w:rPr>
        <w:t>10</w:t>
      </w:r>
      <w:r w:rsidRPr="009E5107">
        <w:rPr>
          <w:rStyle w:val="Referencingstyle"/>
        </w:rPr>
        <w:t>, paragraph</w:t>
      </w:r>
      <w:r>
        <w:rPr>
          <w:rStyle w:val="Referencingstyle"/>
        </w:rPr>
        <w:t>s </w:t>
      </w:r>
      <w:proofErr w:type="gramStart"/>
      <w:r w:rsidR="00346774" w:rsidRPr="009E5107">
        <w:rPr>
          <w:rStyle w:val="Referencingstyle"/>
        </w:rPr>
        <w:t>131</w:t>
      </w:r>
      <w:r w:rsidR="00346774">
        <w:rPr>
          <w:rStyle w:val="Referencingstyle"/>
        </w:rPr>
        <w:t>DA</w:t>
      </w:r>
      <w:r w:rsidRPr="009E5107">
        <w:rPr>
          <w:rStyle w:val="Referencingstyle"/>
        </w:rPr>
        <w:t>(</w:t>
      </w:r>
      <w:proofErr w:type="gramEnd"/>
      <w:r>
        <w:rPr>
          <w:rStyle w:val="Referencingstyle"/>
        </w:rPr>
        <w:t>1</w:t>
      </w:r>
      <w:r w:rsidRPr="009E5107">
        <w:rPr>
          <w:rStyle w:val="Referencingstyle"/>
        </w:rPr>
        <w:t>)(</w:t>
      </w:r>
      <w:r>
        <w:rPr>
          <w:rStyle w:val="Referencingstyle"/>
        </w:rPr>
        <w:t>a</w:t>
      </w:r>
      <w:r w:rsidRPr="009E5107">
        <w:rPr>
          <w:rStyle w:val="Referencingstyle"/>
        </w:rPr>
        <w:t>)</w:t>
      </w:r>
      <w:r>
        <w:rPr>
          <w:rStyle w:val="Referencingstyle"/>
        </w:rPr>
        <w:t xml:space="preserve"> to (h) and (j)</w:t>
      </w:r>
      <w:r w:rsidRPr="009E5107">
        <w:rPr>
          <w:rStyle w:val="Referencingstyle"/>
        </w:rPr>
        <w:t>]</w:t>
      </w:r>
    </w:p>
    <w:p w:rsidR="00F70F10" w:rsidRDefault="00F70F10" w:rsidP="00F70F10">
      <w:pPr>
        <w:pStyle w:val="base-text-paragraph"/>
        <w:numPr>
          <w:ilvl w:val="1"/>
          <w:numId w:val="24"/>
        </w:numPr>
      </w:pPr>
      <w:r>
        <w:t xml:space="preserve">Each of these grounds for issuing a direction in respect of a connected entity </w:t>
      </w:r>
      <w:proofErr w:type="gramStart"/>
      <w:r>
        <w:t>are</w:t>
      </w:r>
      <w:proofErr w:type="gramEnd"/>
      <w:r>
        <w:t xml:space="preserve"> based on the grounds that apply in respect of the conduct of an RSE licensee. The matters set out above in respect of the equivalent grounds are also relevant for connected entities.</w:t>
      </w:r>
    </w:p>
    <w:p w:rsidR="00F70F10" w:rsidRPr="00644887" w:rsidRDefault="00F70F10" w:rsidP="00F70F10">
      <w:pPr>
        <w:pStyle w:val="base-text-paragraph"/>
        <w:numPr>
          <w:ilvl w:val="1"/>
          <w:numId w:val="24"/>
        </w:numPr>
        <w:rPr>
          <w:rStyle w:val="Referencingstyle"/>
          <w:b w:val="0"/>
          <w:i w:val="0"/>
          <w:sz w:val="22"/>
        </w:rPr>
      </w:pPr>
      <w:r>
        <w:t xml:space="preserve">However, unless the grounds </w:t>
      </w:r>
      <w:r w:rsidR="000010B0">
        <w:t>relate to contraventions of particular provisions or to the interests of beneficiaries</w:t>
      </w:r>
      <w:r>
        <w:t xml:space="preserve">, APRA can only give a direction in respect of the conduct of a connected entity if </w:t>
      </w:r>
      <w:r w:rsidR="00D876FB">
        <w:t xml:space="preserve">APRA considers that the direction </w:t>
      </w:r>
      <w:r>
        <w:t xml:space="preserve">reasonably necessary to </w:t>
      </w:r>
      <w:r w:rsidR="00D876FB">
        <w:t>ensure that the RSE licensees duties as trustee of an RSE are properly performed</w:t>
      </w:r>
      <w:r>
        <w:t xml:space="preserve">. </w:t>
      </w:r>
      <w:r w:rsidRPr="009E5107">
        <w:rPr>
          <w:rStyle w:val="Referencingstyle"/>
        </w:rPr>
        <w:t>[</w:t>
      </w:r>
      <w:r w:rsidR="00742024">
        <w:rPr>
          <w:rStyle w:val="Referencingstyle"/>
        </w:rPr>
        <w:t>Schedule 5</w:t>
      </w:r>
      <w:r w:rsidRPr="009E5107">
        <w:rPr>
          <w:rStyle w:val="Referencingstyle"/>
        </w:rPr>
        <w:t>, item</w:t>
      </w:r>
      <w:r>
        <w:rPr>
          <w:rStyle w:val="Referencingstyle"/>
        </w:rPr>
        <w:t> </w:t>
      </w:r>
      <w:r w:rsidR="008433D2">
        <w:rPr>
          <w:rStyle w:val="Referencingstyle"/>
        </w:rPr>
        <w:t>10</w:t>
      </w:r>
      <w:r w:rsidRPr="009E5107">
        <w:rPr>
          <w:rStyle w:val="Referencingstyle"/>
        </w:rPr>
        <w:t xml:space="preserve">, </w:t>
      </w:r>
      <w:r>
        <w:rPr>
          <w:rStyle w:val="Referencingstyle"/>
        </w:rPr>
        <w:t>subsection </w:t>
      </w:r>
      <w:r w:rsidR="00346774" w:rsidRPr="009E5107">
        <w:rPr>
          <w:rStyle w:val="Referencingstyle"/>
        </w:rPr>
        <w:t>131</w:t>
      </w:r>
      <w:r w:rsidR="00346774">
        <w:rPr>
          <w:rStyle w:val="Referencingstyle"/>
        </w:rPr>
        <w:t>DA</w:t>
      </w:r>
      <w:r w:rsidRPr="009E5107">
        <w:rPr>
          <w:rStyle w:val="Referencingstyle"/>
        </w:rPr>
        <w:t>(2)</w:t>
      </w:r>
      <w:r>
        <w:rPr>
          <w:rStyle w:val="Referencingstyle"/>
        </w:rPr>
        <w:t>]</w:t>
      </w:r>
    </w:p>
    <w:p w:rsidR="00D876FB" w:rsidRDefault="00F70F10" w:rsidP="00F70F10">
      <w:pPr>
        <w:pStyle w:val="base-text-paragraph"/>
        <w:numPr>
          <w:ilvl w:val="1"/>
          <w:numId w:val="24"/>
        </w:numPr>
      </w:pPr>
      <w:r>
        <w:t xml:space="preserve">This additional requirement about </w:t>
      </w:r>
      <w:r w:rsidR="00D876FB">
        <w:t xml:space="preserve">the performance of the RSE licensee’s duties </w:t>
      </w:r>
      <w:r>
        <w:t>ensures that there is a</w:t>
      </w:r>
      <w:r w:rsidR="00D876FB">
        <w:t xml:space="preserve"> </w:t>
      </w:r>
      <w:r>
        <w:t xml:space="preserve">nexus between the </w:t>
      </w:r>
      <w:r w:rsidR="00D876FB">
        <w:t xml:space="preserve">functions of the RSE licensee that are regulated and the activities of, or conduct undertaken, by the </w:t>
      </w:r>
      <w:r>
        <w:t>connected entity</w:t>
      </w:r>
      <w:r w:rsidR="00D876FB">
        <w:t>. This means that there will not be grounds for issuing a direction in respect of the conduct of a connected entity where that conduct relates to something that has no impact on an RSE licensee or its ability to perform its functions.</w:t>
      </w:r>
    </w:p>
    <w:p w:rsidR="00F70F10" w:rsidRDefault="00D876FB" w:rsidP="00F70F10">
      <w:pPr>
        <w:pStyle w:val="base-text-paragraph"/>
        <w:numPr>
          <w:ilvl w:val="1"/>
          <w:numId w:val="24"/>
        </w:numPr>
      </w:pPr>
      <w:r>
        <w:t xml:space="preserve">The additional requirement is not explicitly applied to the grounds about contravening </w:t>
      </w:r>
      <w:r w:rsidR="00F3786A">
        <w:t>certain provisions</w:t>
      </w:r>
      <w:r>
        <w:t xml:space="preserve"> or protecting the interests of beneficiaries because those grounds already relate to matters that are</w:t>
      </w:r>
      <w:r w:rsidR="00423FE1">
        <w:t xml:space="preserve"> directly </w:t>
      </w:r>
      <w:r>
        <w:t xml:space="preserve">relevant to the RSE licensee’s </w:t>
      </w:r>
      <w:r w:rsidR="00D942CA">
        <w:t>duties</w:t>
      </w:r>
      <w:r w:rsidR="00423FE1">
        <w:t xml:space="preserve"> </w:t>
      </w:r>
      <w:r>
        <w:t>or obliga</w:t>
      </w:r>
      <w:r w:rsidR="00423FE1">
        <w:t>tions that are separately imposed on the connected entity</w:t>
      </w:r>
      <w:r>
        <w:t>.</w:t>
      </w:r>
    </w:p>
    <w:p w:rsidR="00F70F10" w:rsidRPr="00816C69" w:rsidRDefault="00F70F10" w:rsidP="00F70F10">
      <w:pPr>
        <w:pStyle w:val="base-text-paragraph"/>
        <w:numPr>
          <w:ilvl w:val="1"/>
          <w:numId w:val="24"/>
        </w:numPr>
        <w:rPr>
          <w:rStyle w:val="Referencingstyle"/>
          <w:b w:val="0"/>
          <w:i w:val="0"/>
          <w:sz w:val="22"/>
        </w:rPr>
      </w:pPr>
      <w:r>
        <w:t>In addition to the above grounds for giving a direction, APRA may also give a direction if it has reason to believe that a connected entity of an RSE licensee is conducting its affairs in a way that may cause the connected entity to be unable to continue to supply products or services to the licensee or a</w:t>
      </w:r>
      <w:r w:rsidR="009F5050">
        <w:t xml:space="preserve">n RSE </w:t>
      </w:r>
      <w:r>
        <w:t xml:space="preserve">of the licensee. </w:t>
      </w:r>
      <w:r w:rsidRPr="000B4405">
        <w:rPr>
          <w:rStyle w:val="Referencingstyle"/>
        </w:rPr>
        <w:t>[</w:t>
      </w:r>
      <w:r w:rsidR="00742024">
        <w:rPr>
          <w:rStyle w:val="Referencingstyle"/>
        </w:rPr>
        <w:t>Schedule 5</w:t>
      </w:r>
      <w:r w:rsidRPr="000B4405">
        <w:rPr>
          <w:rStyle w:val="Referencingstyle"/>
        </w:rPr>
        <w:t xml:space="preserve">, item </w:t>
      </w:r>
      <w:r w:rsidR="00346774">
        <w:rPr>
          <w:rStyle w:val="Referencingstyle"/>
        </w:rPr>
        <w:t>10</w:t>
      </w:r>
      <w:r w:rsidRPr="000B4405">
        <w:rPr>
          <w:rStyle w:val="Referencingstyle"/>
        </w:rPr>
        <w:t xml:space="preserve">, </w:t>
      </w:r>
      <w:r w:rsidR="009F5050" w:rsidRPr="000B4405">
        <w:rPr>
          <w:rStyle w:val="Referencingstyle"/>
        </w:rPr>
        <w:t>paragraphs</w:t>
      </w:r>
      <w:r w:rsidR="009F5050">
        <w:rPr>
          <w:rStyle w:val="Referencingstyle"/>
        </w:rPr>
        <w:t> </w:t>
      </w:r>
      <w:r w:rsidR="00346774" w:rsidRPr="000B4405">
        <w:rPr>
          <w:rStyle w:val="Referencingstyle"/>
        </w:rPr>
        <w:t>131</w:t>
      </w:r>
      <w:r w:rsidR="00346774">
        <w:rPr>
          <w:rStyle w:val="Referencingstyle"/>
        </w:rPr>
        <w:t>D</w:t>
      </w:r>
      <w:r w:rsidR="00346774" w:rsidRPr="000B4405">
        <w:rPr>
          <w:rStyle w:val="Referencingstyle"/>
        </w:rPr>
        <w:t>A</w:t>
      </w:r>
      <w:r w:rsidRPr="000B4405">
        <w:rPr>
          <w:rStyle w:val="Referencingstyle"/>
        </w:rPr>
        <w:t>(</w:t>
      </w:r>
      <w:r w:rsidR="00A12012">
        <w:rPr>
          <w:rStyle w:val="Referencingstyle"/>
        </w:rPr>
        <w:t>1</w:t>
      </w:r>
      <w:r w:rsidRPr="000B4405">
        <w:rPr>
          <w:rStyle w:val="Referencingstyle"/>
        </w:rPr>
        <w:t>)(</w:t>
      </w:r>
      <w:proofErr w:type="spellStart"/>
      <w:r>
        <w:rPr>
          <w:rStyle w:val="Referencingstyle"/>
        </w:rPr>
        <w:t>i</w:t>
      </w:r>
      <w:proofErr w:type="spellEnd"/>
      <w:r w:rsidRPr="000B4405">
        <w:rPr>
          <w:rStyle w:val="Referencingstyle"/>
        </w:rPr>
        <w:t>)]</w:t>
      </w:r>
    </w:p>
    <w:p w:rsidR="00F70F10" w:rsidRDefault="00F70F10" w:rsidP="00F70F10">
      <w:pPr>
        <w:pStyle w:val="base-text-paragraph"/>
        <w:numPr>
          <w:ilvl w:val="1"/>
          <w:numId w:val="24"/>
        </w:numPr>
      </w:pPr>
      <w:r>
        <w:t>This additional ground recognises that in certain circumstances, a connected entity provides products and services that are integral to an RSE licensee complying with its own obligations.</w:t>
      </w:r>
    </w:p>
    <w:p w:rsidR="00F70F10" w:rsidRDefault="00F70F10" w:rsidP="00F70F10">
      <w:pPr>
        <w:pStyle w:val="Heading4"/>
        <w:rPr>
          <w:rStyle w:val="Referencingstyle"/>
          <w:b/>
          <w:i/>
          <w:sz w:val="22"/>
        </w:rPr>
      </w:pPr>
      <w:r>
        <w:rPr>
          <w:rStyle w:val="Referencingstyle"/>
          <w:b/>
          <w:i/>
          <w:sz w:val="22"/>
        </w:rPr>
        <w:t>Types of directions that may be given</w:t>
      </w:r>
    </w:p>
    <w:p w:rsidR="00F70F10" w:rsidRDefault="00F70F10" w:rsidP="00F70F10">
      <w:pPr>
        <w:pStyle w:val="base-text-paragraph"/>
        <w:numPr>
          <w:ilvl w:val="1"/>
          <w:numId w:val="24"/>
        </w:numPr>
      </w:pPr>
      <w:r>
        <w:t xml:space="preserve">Consistent with directions in relation to the conduct of RSE licensees, APRA may give one or more direction where the grounds for doing so are satisfied. </w:t>
      </w:r>
    </w:p>
    <w:p w:rsidR="00F70F10" w:rsidRDefault="00F70F10" w:rsidP="00F70F10">
      <w:pPr>
        <w:pStyle w:val="base-text-paragraph"/>
        <w:numPr>
          <w:ilvl w:val="1"/>
          <w:numId w:val="24"/>
        </w:numPr>
      </w:pPr>
      <w:r>
        <w:lastRenderedPageBreak/>
        <w:t xml:space="preserve">However, for directions about the conduct of a connected entity, APRA may give the direction to the RSE licensee to cause the connected entity to do or not do a particular thing. </w:t>
      </w:r>
      <w:r w:rsidRPr="000B4405">
        <w:rPr>
          <w:rStyle w:val="Referencingstyle"/>
        </w:rPr>
        <w:t>[</w:t>
      </w:r>
      <w:r w:rsidR="00742024">
        <w:rPr>
          <w:rStyle w:val="Referencingstyle"/>
        </w:rPr>
        <w:t>Schedule 5</w:t>
      </w:r>
      <w:r w:rsidRPr="000B4405">
        <w:rPr>
          <w:rStyle w:val="Referencingstyle"/>
        </w:rPr>
        <w:t xml:space="preserve">, item </w:t>
      </w:r>
      <w:r w:rsidR="00346774">
        <w:rPr>
          <w:rStyle w:val="Referencingstyle"/>
        </w:rPr>
        <w:t>10</w:t>
      </w:r>
      <w:r w:rsidRPr="000B4405">
        <w:rPr>
          <w:rStyle w:val="Referencingstyle"/>
        </w:rPr>
        <w:t xml:space="preserve">, </w:t>
      </w:r>
      <w:r>
        <w:rPr>
          <w:rStyle w:val="Referencingstyle"/>
        </w:rPr>
        <w:t>subsection </w:t>
      </w:r>
      <w:r w:rsidR="00346774" w:rsidRPr="000B4405">
        <w:rPr>
          <w:rStyle w:val="Referencingstyle"/>
        </w:rPr>
        <w:t>131</w:t>
      </w:r>
      <w:r w:rsidR="00346774">
        <w:rPr>
          <w:rStyle w:val="Referencingstyle"/>
        </w:rPr>
        <w:t>D</w:t>
      </w:r>
      <w:r w:rsidR="00346774" w:rsidRPr="000B4405">
        <w:rPr>
          <w:rStyle w:val="Referencingstyle"/>
        </w:rPr>
        <w:t>A</w:t>
      </w:r>
      <w:r w:rsidRPr="000B4405">
        <w:rPr>
          <w:rStyle w:val="Referencingstyle"/>
        </w:rPr>
        <w:t>(</w:t>
      </w:r>
      <w:r>
        <w:rPr>
          <w:rStyle w:val="Referencingstyle"/>
        </w:rPr>
        <w:t>1</w:t>
      </w:r>
      <w:r w:rsidRPr="000B4405">
        <w:rPr>
          <w:rStyle w:val="Referencingstyle"/>
        </w:rPr>
        <w:t>)]</w:t>
      </w:r>
    </w:p>
    <w:p w:rsidR="00F70F10" w:rsidRDefault="00F70F10" w:rsidP="00F70F10">
      <w:pPr>
        <w:pStyle w:val="base-text-paragraph"/>
        <w:numPr>
          <w:ilvl w:val="1"/>
          <w:numId w:val="24"/>
        </w:numPr>
      </w:pPr>
      <w:r>
        <w:t xml:space="preserve">In certain circumstances, it may be more efficient for APRA give a direction directly to the connected entity. However, APRA may do so only </w:t>
      </w:r>
      <w:r w:rsidR="00B238EF">
        <w:t xml:space="preserve">in </w:t>
      </w:r>
      <w:r>
        <w:t xml:space="preserve">circumstances where it is able to give a direction to the RSE licensee in respect of the conduct of a connected entity (including where it has already given such a direction). </w:t>
      </w:r>
      <w:r w:rsidRPr="000B4405">
        <w:rPr>
          <w:rStyle w:val="Referencingstyle"/>
        </w:rPr>
        <w:t>[</w:t>
      </w:r>
      <w:r w:rsidR="00742024">
        <w:rPr>
          <w:rStyle w:val="Referencingstyle"/>
        </w:rPr>
        <w:t>Schedule 5</w:t>
      </w:r>
      <w:r w:rsidRPr="000B4405">
        <w:rPr>
          <w:rStyle w:val="Referencingstyle"/>
        </w:rPr>
        <w:t xml:space="preserve">, item </w:t>
      </w:r>
      <w:r w:rsidR="00346774">
        <w:rPr>
          <w:rStyle w:val="Referencingstyle"/>
        </w:rPr>
        <w:t>10</w:t>
      </w:r>
      <w:r w:rsidRPr="000B4405">
        <w:rPr>
          <w:rStyle w:val="Referencingstyle"/>
        </w:rPr>
        <w:t xml:space="preserve">, </w:t>
      </w:r>
      <w:r>
        <w:rPr>
          <w:rStyle w:val="Referencingstyle"/>
        </w:rPr>
        <w:t>subsection </w:t>
      </w:r>
      <w:r w:rsidR="00346774" w:rsidRPr="000B4405">
        <w:rPr>
          <w:rStyle w:val="Referencingstyle"/>
        </w:rPr>
        <w:t>131</w:t>
      </w:r>
      <w:r w:rsidR="00346774">
        <w:rPr>
          <w:rStyle w:val="Referencingstyle"/>
        </w:rPr>
        <w:t>D</w:t>
      </w:r>
      <w:r w:rsidR="00346774" w:rsidRPr="000B4405">
        <w:rPr>
          <w:rStyle w:val="Referencingstyle"/>
        </w:rPr>
        <w:t>A</w:t>
      </w:r>
      <w:r w:rsidRPr="000B4405">
        <w:rPr>
          <w:rStyle w:val="Referencingstyle"/>
        </w:rPr>
        <w:t>(</w:t>
      </w:r>
      <w:r>
        <w:rPr>
          <w:rStyle w:val="Referencingstyle"/>
        </w:rPr>
        <w:t>3</w:t>
      </w:r>
      <w:r w:rsidRPr="000B4405">
        <w:rPr>
          <w:rStyle w:val="Referencingstyle"/>
        </w:rPr>
        <w:t>)]</w:t>
      </w:r>
    </w:p>
    <w:p w:rsidR="00F70F10" w:rsidRDefault="00F70F10" w:rsidP="00F70F10">
      <w:pPr>
        <w:pStyle w:val="base-text-paragraph"/>
        <w:numPr>
          <w:ilvl w:val="1"/>
          <w:numId w:val="24"/>
        </w:numPr>
      </w:pPr>
      <w:r>
        <w:t xml:space="preserve">Based on the current definition, all connected entities are the subsidiaries of an RSE licensee that is a body corporate. Given this parent-subsidiary relationship, an RSE licensee has the ability to direct its connected entities to take, or not take, the action specified in a direction. </w:t>
      </w:r>
    </w:p>
    <w:p w:rsidR="00F70F10" w:rsidRDefault="00F70F10" w:rsidP="00F70F10">
      <w:pPr>
        <w:pStyle w:val="base-text-paragraph"/>
        <w:numPr>
          <w:ilvl w:val="1"/>
          <w:numId w:val="24"/>
        </w:numPr>
      </w:pPr>
      <w:r>
        <w:t xml:space="preserve">To ensure that directions powers in respect of connected entities under Division 1 of Part 16A continues to operate appropriately, </w:t>
      </w:r>
      <w:r w:rsidR="00B238EF">
        <w:t>regulations may be made to prevent APRA from giv</w:t>
      </w:r>
      <w:r w:rsidR="00B8027D">
        <w:t>ing</w:t>
      </w:r>
      <w:r w:rsidR="00B238EF">
        <w:t xml:space="preserve"> directions to any </w:t>
      </w:r>
      <w:r>
        <w:t>prescribe</w:t>
      </w:r>
      <w:r w:rsidR="00B238EF">
        <w:t>d</w:t>
      </w:r>
      <w:r>
        <w:t xml:space="preserve"> connected entities. </w:t>
      </w:r>
      <w:r w:rsidRPr="000B4405">
        <w:rPr>
          <w:rStyle w:val="Referencingstyle"/>
        </w:rPr>
        <w:t>[</w:t>
      </w:r>
      <w:r w:rsidR="00742024">
        <w:rPr>
          <w:rStyle w:val="Referencingstyle"/>
        </w:rPr>
        <w:t>Schedule 5</w:t>
      </w:r>
      <w:r w:rsidRPr="000B4405">
        <w:rPr>
          <w:rStyle w:val="Referencingstyle"/>
        </w:rPr>
        <w:t xml:space="preserve">, item </w:t>
      </w:r>
      <w:r w:rsidR="00346774">
        <w:rPr>
          <w:rStyle w:val="Referencingstyle"/>
        </w:rPr>
        <w:t>10</w:t>
      </w:r>
      <w:r w:rsidRPr="000B4405">
        <w:rPr>
          <w:rStyle w:val="Referencingstyle"/>
        </w:rPr>
        <w:t xml:space="preserve">, </w:t>
      </w:r>
      <w:r>
        <w:rPr>
          <w:rStyle w:val="Referencingstyle"/>
        </w:rPr>
        <w:t>subsection </w:t>
      </w:r>
      <w:r w:rsidR="00346774" w:rsidRPr="000B4405">
        <w:rPr>
          <w:rStyle w:val="Referencingstyle"/>
        </w:rPr>
        <w:t>131</w:t>
      </w:r>
      <w:r w:rsidR="00346774">
        <w:rPr>
          <w:rStyle w:val="Referencingstyle"/>
        </w:rPr>
        <w:t>D</w:t>
      </w:r>
      <w:r w:rsidR="00346774" w:rsidRPr="000B4405">
        <w:rPr>
          <w:rStyle w:val="Referencingstyle"/>
        </w:rPr>
        <w:t>A</w:t>
      </w:r>
      <w:r w:rsidRPr="000B4405">
        <w:rPr>
          <w:rStyle w:val="Referencingstyle"/>
        </w:rPr>
        <w:t>(</w:t>
      </w:r>
      <w:r>
        <w:rPr>
          <w:rStyle w:val="Referencingstyle"/>
        </w:rPr>
        <w:t>4</w:t>
      </w:r>
      <w:r w:rsidRPr="000B4405">
        <w:rPr>
          <w:rStyle w:val="Referencingstyle"/>
        </w:rPr>
        <w:t>)]</w:t>
      </w:r>
    </w:p>
    <w:p w:rsidR="00F70F10" w:rsidRPr="00C62F33" w:rsidRDefault="00F70F10" w:rsidP="00F70F10">
      <w:pPr>
        <w:pStyle w:val="base-text-paragraph"/>
        <w:numPr>
          <w:ilvl w:val="1"/>
          <w:numId w:val="24"/>
        </w:numPr>
        <w:rPr>
          <w:rStyle w:val="Referencingstyle"/>
          <w:b w:val="0"/>
          <w:i w:val="0"/>
          <w:sz w:val="22"/>
        </w:rPr>
      </w:pPr>
      <w:r>
        <w:t xml:space="preserve">As with the directions for the conduct of RSE licensees, APRA may give a direction that covers only some of the matters to which a direction relates, deals only with particular classes of matters, or requires different actions to be taken in respect different classes of matters. </w:t>
      </w:r>
      <w:r w:rsidRPr="009E5107">
        <w:rPr>
          <w:rStyle w:val="Referencingstyle"/>
        </w:rPr>
        <w:t>[</w:t>
      </w:r>
      <w:r w:rsidR="00742024">
        <w:rPr>
          <w:rStyle w:val="Referencingstyle"/>
        </w:rPr>
        <w:t>Schedule 5</w:t>
      </w:r>
      <w:r w:rsidRPr="009E5107">
        <w:rPr>
          <w:rStyle w:val="Referencingstyle"/>
        </w:rPr>
        <w:t>, item</w:t>
      </w:r>
      <w:r>
        <w:rPr>
          <w:rStyle w:val="Referencingstyle"/>
        </w:rPr>
        <w:t> </w:t>
      </w:r>
      <w:r w:rsidR="00346774">
        <w:rPr>
          <w:rStyle w:val="Referencingstyle"/>
        </w:rPr>
        <w:t>10</w:t>
      </w:r>
      <w:r w:rsidRPr="009E5107">
        <w:rPr>
          <w:rStyle w:val="Referencingstyle"/>
        </w:rPr>
        <w:t xml:space="preserve">, </w:t>
      </w:r>
      <w:r>
        <w:rPr>
          <w:rStyle w:val="Referencingstyle"/>
        </w:rPr>
        <w:t xml:space="preserve">subsection </w:t>
      </w:r>
      <w:r w:rsidR="00346774" w:rsidRPr="009E5107">
        <w:rPr>
          <w:rStyle w:val="Referencingstyle"/>
        </w:rPr>
        <w:t>131</w:t>
      </w:r>
      <w:r w:rsidR="00346774">
        <w:rPr>
          <w:rStyle w:val="Referencingstyle"/>
        </w:rPr>
        <w:t>DA</w:t>
      </w:r>
      <w:r w:rsidRPr="009E5107">
        <w:rPr>
          <w:rStyle w:val="Referencingstyle"/>
        </w:rPr>
        <w:t>(</w:t>
      </w:r>
      <w:r>
        <w:rPr>
          <w:rStyle w:val="Referencingstyle"/>
        </w:rPr>
        <w:t>7</w:t>
      </w:r>
      <w:r w:rsidRPr="009E5107">
        <w:rPr>
          <w:rStyle w:val="Referencingstyle"/>
        </w:rPr>
        <w:t>)]</w:t>
      </w:r>
    </w:p>
    <w:p w:rsidR="00F70F10" w:rsidRDefault="00F70F10" w:rsidP="00F70F10">
      <w:pPr>
        <w:pStyle w:val="base-text-paragraph"/>
        <w:numPr>
          <w:ilvl w:val="1"/>
          <w:numId w:val="24"/>
        </w:numPr>
      </w:pPr>
      <w:r>
        <w:t xml:space="preserve">Directions may also contain particulars about the timing for complying with the direction. </w:t>
      </w:r>
      <w:r w:rsidRPr="009E5107">
        <w:rPr>
          <w:rStyle w:val="Referencingstyle"/>
        </w:rPr>
        <w:t>[</w:t>
      </w:r>
      <w:r w:rsidR="00742024">
        <w:rPr>
          <w:rStyle w:val="Referencingstyle"/>
        </w:rPr>
        <w:t>Schedule 5</w:t>
      </w:r>
      <w:r w:rsidRPr="009E5107">
        <w:rPr>
          <w:rStyle w:val="Referencingstyle"/>
        </w:rPr>
        <w:t>, item</w:t>
      </w:r>
      <w:r>
        <w:rPr>
          <w:rStyle w:val="Referencingstyle"/>
        </w:rPr>
        <w:t> </w:t>
      </w:r>
      <w:r w:rsidR="00346774">
        <w:rPr>
          <w:rStyle w:val="Referencingstyle"/>
        </w:rPr>
        <w:t>10</w:t>
      </w:r>
      <w:r w:rsidRPr="009E5107">
        <w:rPr>
          <w:rStyle w:val="Referencingstyle"/>
        </w:rPr>
        <w:t xml:space="preserve">, </w:t>
      </w:r>
      <w:r>
        <w:rPr>
          <w:rStyle w:val="Referencingstyle"/>
        </w:rPr>
        <w:t xml:space="preserve">subsection </w:t>
      </w:r>
      <w:r w:rsidR="00346774" w:rsidRPr="009E5107">
        <w:rPr>
          <w:rStyle w:val="Referencingstyle"/>
        </w:rPr>
        <w:t>131</w:t>
      </w:r>
      <w:r w:rsidR="00346774">
        <w:rPr>
          <w:rStyle w:val="Referencingstyle"/>
        </w:rPr>
        <w:t>DA</w:t>
      </w:r>
      <w:r w:rsidRPr="009E5107">
        <w:rPr>
          <w:rStyle w:val="Referencingstyle"/>
        </w:rPr>
        <w:t>(</w:t>
      </w:r>
      <w:r>
        <w:rPr>
          <w:rStyle w:val="Referencingstyle"/>
        </w:rPr>
        <w:t>8</w:t>
      </w:r>
      <w:r w:rsidRPr="009E5107">
        <w:rPr>
          <w:rStyle w:val="Referencingstyle"/>
        </w:rPr>
        <w:t>)]</w:t>
      </w:r>
    </w:p>
    <w:p w:rsidR="00F70F10" w:rsidRDefault="00F70F10" w:rsidP="00F70F10">
      <w:pPr>
        <w:pStyle w:val="base-text-paragraph"/>
        <w:numPr>
          <w:ilvl w:val="1"/>
          <w:numId w:val="24"/>
        </w:numPr>
      </w:pPr>
      <w:r>
        <w:t>As with the directions in respect of the conduct of an RSE licensee, APRA may give a direction in respect of a connected entity that requires the connected entity to:</w:t>
      </w:r>
    </w:p>
    <w:p w:rsidR="00F70F10" w:rsidRDefault="00F70F10" w:rsidP="00F70F10">
      <w:pPr>
        <w:pStyle w:val="dotpoint"/>
      </w:pPr>
      <w:r>
        <w:t>comply with certain regulatory or prudential obligations;</w:t>
      </w:r>
    </w:p>
    <w:p w:rsidR="00F70F10" w:rsidRDefault="00F70F10" w:rsidP="00F70F10">
      <w:pPr>
        <w:pStyle w:val="dotpoint"/>
      </w:pPr>
      <w:r>
        <w:t>remove or appoint responsible officers, or to prevent responsible officers from taking part in certain activities;</w:t>
      </w:r>
    </w:p>
    <w:p w:rsidR="00F70F10" w:rsidRDefault="00F70F10" w:rsidP="00F70F10">
      <w:pPr>
        <w:pStyle w:val="dotpoint"/>
      </w:pPr>
      <w:r>
        <w:t>order an audits or actuarial investigation;</w:t>
      </w:r>
    </w:p>
    <w:p w:rsidR="00F70F10" w:rsidRDefault="00F70F10" w:rsidP="00F70F10">
      <w:pPr>
        <w:pStyle w:val="dotpoint"/>
      </w:pPr>
      <w:r>
        <w:t xml:space="preserve">remove or appoint an auditor or actuary; </w:t>
      </w:r>
    </w:p>
    <w:p w:rsidR="00F70F10" w:rsidRDefault="00F70F10" w:rsidP="00F70F10">
      <w:pPr>
        <w:pStyle w:val="dotpoint"/>
      </w:pPr>
      <w:r w:rsidRPr="008228D7">
        <w:rPr>
          <w:u w:val="single"/>
        </w:rPr>
        <w:t>not</w:t>
      </w:r>
      <w:r>
        <w:t xml:space="preserve"> undertake particular actions, including:</w:t>
      </w:r>
    </w:p>
    <w:p w:rsidR="00F70F10" w:rsidRDefault="00F70F10" w:rsidP="00F70F10">
      <w:pPr>
        <w:pStyle w:val="dotpoint"/>
        <w:numPr>
          <w:ilvl w:val="1"/>
          <w:numId w:val="1"/>
        </w:numPr>
      </w:pPr>
      <w:r>
        <w:t>borrowing any amount;</w:t>
      </w:r>
    </w:p>
    <w:p w:rsidR="00F70F10" w:rsidRDefault="00F70F10" w:rsidP="00F70F10">
      <w:pPr>
        <w:pStyle w:val="dotpoint"/>
        <w:numPr>
          <w:ilvl w:val="1"/>
          <w:numId w:val="1"/>
        </w:numPr>
      </w:pPr>
      <w:r>
        <w:lastRenderedPageBreak/>
        <w:t>paying or transferring any amount or asset (or create an obligation to do so);</w:t>
      </w:r>
    </w:p>
    <w:p w:rsidR="00F70F10" w:rsidRDefault="00F70F10" w:rsidP="00F70F10">
      <w:pPr>
        <w:pStyle w:val="dotpoint"/>
        <w:numPr>
          <w:ilvl w:val="1"/>
          <w:numId w:val="1"/>
        </w:numPr>
      </w:pPr>
      <w:r>
        <w:t xml:space="preserve">undertaking a financial obligation; or </w:t>
      </w:r>
    </w:p>
    <w:p w:rsidR="00F70F10" w:rsidRDefault="00F70F10" w:rsidP="00F70F10">
      <w:pPr>
        <w:pStyle w:val="dotpoint"/>
        <w:numPr>
          <w:ilvl w:val="1"/>
          <w:numId w:val="1"/>
        </w:numPr>
      </w:pPr>
      <w:r>
        <w:t xml:space="preserve">discharging a liability of the connected or a registrable superannuation entity; </w:t>
      </w:r>
    </w:p>
    <w:p w:rsidR="00346774" w:rsidRDefault="00346774" w:rsidP="00346774">
      <w:pPr>
        <w:pStyle w:val="dotpoint"/>
      </w:pPr>
      <w:r>
        <w:t>take actions in respect of the connected entity’s systems, business or operations</w:t>
      </w:r>
      <w:r w:rsidR="00A12012">
        <w:t>; or</w:t>
      </w:r>
    </w:p>
    <w:p w:rsidR="00F70F10" w:rsidRDefault="00F70F10" w:rsidP="00F70F10">
      <w:pPr>
        <w:pStyle w:val="dotpoint"/>
      </w:pPr>
      <w:proofErr w:type="gramStart"/>
      <w:r>
        <w:t>do</w:t>
      </w:r>
      <w:proofErr w:type="gramEnd"/>
      <w:r>
        <w:t>, or refrain from doing, particular things in relation to the affairs of the connected entity or a</w:t>
      </w:r>
      <w:r w:rsidR="00DD6ED7">
        <w:t>n RSE</w:t>
      </w:r>
      <w:r w:rsidR="00A12012">
        <w:t>.</w:t>
      </w:r>
    </w:p>
    <w:p w:rsidR="00F70F10" w:rsidRDefault="00F70F10" w:rsidP="00F70F10">
      <w:pPr>
        <w:pStyle w:val="base-text-paragraph"/>
        <w:numPr>
          <w:ilvl w:val="0"/>
          <w:numId w:val="0"/>
        </w:numPr>
        <w:ind w:left="1134"/>
      </w:pPr>
      <w:r w:rsidRPr="009E5107">
        <w:rPr>
          <w:rStyle w:val="Referencingstyle"/>
        </w:rPr>
        <w:t>[</w:t>
      </w:r>
      <w:r w:rsidR="00742024">
        <w:rPr>
          <w:rStyle w:val="Referencingstyle"/>
        </w:rPr>
        <w:t>Schedule 5</w:t>
      </w:r>
      <w:r w:rsidRPr="009E5107">
        <w:rPr>
          <w:rStyle w:val="Referencingstyle"/>
        </w:rPr>
        <w:t>, item</w:t>
      </w:r>
      <w:r>
        <w:rPr>
          <w:rStyle w:val="Referencingstyle"/>
        </w:rPr>
        <w:t> </w:t>
      </w:r>
      <w:r w:rsidR="00346774">
        <w:rPr>
          <w:rStyle w:val="Referencingstyle"/>
        </w:rPr>
        <w:t>10</w:t>
      </w:r>
      <w:r w:rsidRPr="009E5107">
        <w:rPr>
          <w:rStyle w:val="Referencingstyle"/>
        </w:rPr>
        <w:t xml:space="preserve">, </w:t>
      </w:r>
      <w:r w:rsidR="00A12012">
        <w:rPr>
          <w:rStyle w:val="Referencingstyle"/>
        </w:rPr>
        <w:t xml:space="preserve">section </w:t>
      </w:r>
      <w:proofErr w:type="gramStart"/>
      <w:r w:rsidR="00346774" w:rsidRPr="009E5107">
        <w:rPr>
          <w:rStyle w:val="Referencingstyle"/>
        </w:rPr>
        <w:t>131</w:t>
      </w:r>
      <w:r w:rsidR="00346774">
        <w:rPr>
          <w:rStyle w:val="Referencingstyle"/>
        </w:rPr>
        <w:t>DA</w:t>
      </w:r>
      <w:r w:rsidRPr="009E5107">
        <w:rPr>
          <w:rStyle w:val="Referencingstyle"/>
        </w:rPr>
        <w:t>(</w:t>
      </w:r>
      <w:proofErr w:type="gramEnd"/>
      <w:r>
        <w:rPr>
          <w:rStyle w:val="Referencingstyle"/>
        </w:rPr>
        <w:t>5</w:t>
      </w:r>
      <w:r w:rsidRPr="009E5107">
        <w:rPr>
          <w:rStyle w:val="Referencingstyle"/>
        </w:rPr>
        <w:t>)</w:t>
      </w:r>
      <w:r w:rsidR="00A12012" w:rsidDel="00A12012">
        <w:rPr>
          <w:rStyle w:val="Referencingstyle"/>
        </w:rPr>
        <w:t xml:space="preserve"> </w:t>
      </w:r>
      <w:r w:rsidRPr="009E5107">
        <w:rPr>
          <w:rStyle w:val="Referencingstyle"/>
        </w:rPr>
        <w:t>]</w:t>
      </w:r>
    </w:p>
    <w:p w:rsidR="00F70F10" w:rsidRDefault="00F70F10" w:rsidP="00F70F10">
      <w:pPr>
        <w:pStyle w:val="base-text-paragraph"/>
        <w:numPr>
          <w:ilvl w:val="1"/>
          <w:numId w:val="24"/>
        </w:numPr>
      </w:pPr>
      <w:r>
        <w:t>As with the grounds on which these directions can be made, the particulars of each type of direction are based on the types of directions that can be issued to RSE licensees in respect of their conduct. The matters set out above in respect of the equivalent directions for RSE licensees are also relevant for connected entities.</w:t>
      </w:r>
    </w:p>
    <w:p w:rsidR="00F70F10" w:rsidRDefault="00F70F10" w:rsidP="00F70F10">
      <w:pPr>
        <w:pStyle w:val="Heading3"/>
      </w:pPr>
      <w:r>
        <w:t>Requirements for giving a direction</w:t>
      </w:r>
    </w:p>
    <w:p w:rsidR="00F70F10" w:rsidRPr="00935743" w:rsidRDefault="00F70F10" w:rsidP="00F70F10">
      <w:pPr>
        <w:pStyle w:val="base-text-paragraph"/>
        <w:numPr>
          <w:ilvl w:val="1"/>
          <w:numId w:val="24"/>
        </w:numPr>
        <w:rPr>
          <w:rStyle w:val="Referencingstyle"/>
          <w:b w:val="0"/>
          <w:i w:val="0"/>
          <w:sz w:val="22"/>
        </w:rPr>
      </w:pPr>
      <w:r>
        <w:t xml:space="preserve">To be a valid direction under Division 1 of Part 16A, the direction must be given by notice in writing. For directions about the conduct of an RSE licensee, the notice must be given to the licensee. For directions about the conduct of a connected entity, the direction must be given by notice to both the connected entity and the RSE licensee. </w:t>
      </w:r>
      <w:r w:rsidRPr="009E5107">
        <w:rPr>
          <w:rStyle w:val="Referencingstyle"/>
        </w:rPr>
        <w:t>[</w:t>
      </w:r>
      <w:r w:rsidR="00742024">
        <w:rPr>
          <w:rStyle w:val="Referencingstyle"/>
        </w:rPr>
        <w:t>Schedule 5</w:t>
      </w:r>
      <w:r w:rsidRPr="009E5107">
        <w:rPr>
          <w:rStyle w:val="Referencingstyle"/>
        </w:rPr>
        <w:t>, item</w:t>
      </w:r>
      <w:r>
        <w:rPr>
          <w:rStyle w:val="Referencingstyle"/>
        </w:rPr>
        <w:t> </w:t>
      </w:r>
      <w:r w:rsidR="00346774">
        <w:rPr>
          <w:rStyle w:val="Referencingstyle"/>
        </w:rPr>
        <w:t>10</w:t>
      </w:r>
      <w:r w:rsidRPr="009E5107">
        <w:rPr>
          <w:rStyle w:val="Referencingstyle"/>
        </w:rPr>
        <w:t xml:space="preserve">, </w:t>
      </w:r>
      <w:r>
        <w:rPr>
          <w:rStyle w:val="Referencingstyle"/>
        </w:rPr>
        <w:t>paragraph </w:t>
      </w:r>
      <w:r w:rsidR="00346774" w:rsidRPr="009E5107">
        <w:rPr>
          <w:rStyle w:val="Referencingstyle"/>
        </w:rPr>
        <w:t>131</w:t>
      </w:r>
      <w:r w:rsidR="00346774">
        <w:rPr>
          <w:rStyle w:val="Referencingstyle"/>
        </w:rPr>
        <w:t>DB</w:t>
      </w:r>
      <w:r w:rsidRPr="009E5107">
        <w:rPr>
          <w:rStyle w:val="Referencingstyle"/>
        </w:rPr>
        <w:t>(</w:t>
      </w:r>
      <w:r>
        <w:rPr>
          <w:rStyle w:val="Referencingstyle"/>
        </w:rPr>
        <w:t>1</w:t>
      </w:r>
      <w:r w:rsidRPr="009E5107">
        <w:rPr>
          <w:rStyle w:val="Referencingstyle"/>
        </w:rPr>
        <w:t>)</w:t>
      </w:r>
      <w:r>
        <w:rPr>
          <w:rStyle w:val="Referencingstyle"/>
        </w:rPr>
        <w:t>(a)</w:t>
      </w:r>
      <w:r w:rsidRPr="009E5107">
        <w:rPr>
          <w:rStyle w:val="Referencingstyle"/>
        </w:rPr>
        <w:t>]</w:t>
      </w:r>
    </w:p>
    <w:p w:rsidR="00F70F10" w:rsidRPr="00935743" w:rsidRDefault="00F70F10" w:rsidP="00F70F10">
      <w:pPr>
        <w:pStyle w:val="base-text-paragraph"/>
        <w:numPr>
          <w:ilvl w:val="1"/>
          <w:numId w:val="24"/>
        </w:numPr>
        <w:rPr>
          <w:rStyle w:val="Referencingstyle"/>
          <w:b w:val="0"/>
          <w:i w:val="0"/>
          <w:sz w:val="22"/>
        </w:rPr>
      </w:pPr>
      <w:r>
        <w:t xml:space="preserve">The notice must specify the ground on which the direction was given. </w:t>
      </w:r>
      <w:r w:rsidRPr="009E5107">
        <w:rPr>
          <w:rStyle w:val="Referencingstyle"/>
        </w:rPr>
        <w:t>[</w:t>
      </w:r>
      <w:r w:rsidR="00742024">
        <w:rPr>
          <w:rStyle w:val="Referencingstyle"/>
        </w:rPr>
        <w:t>Schedule 5</w:t>
      </w:r>
      <w:r w:rsidRPr="009E5107">
        <w:rPr>
          <w:rStyle w:val="Referencingstyle"/>
        </w:rPr>
        <w:t>, item</w:t>
      </w:r>
      <w:r>
        <w:rPr>
          <w:rStyle w:val="Referencingstyle"/>
        </w:rPr>
        <w:t> </w:t>
      </w:r>
      <w:r w:rsidR="00346774">
        <w:rPr>
          <w:rStyle w:val="Referencingstyle"/>
        </w:rPr>
        <w:t>10</w:t>
      </w:r>
      <w:r w:rsidRPr="009E5107">
        <w:rPr>
          <w:rStyle w:val="Referencingstyle"/>
        </w:rPr>
        <w:t xml:space="preserve">, </w:t>
      </w:r>
      <w:r>
        <w:rPr>
          <w:rStyle w:val="Referencingstyle"/>
        </w:rPr>
        <w:t>paragraph </w:t>
      </w:r>
      <w:r w:rsidR="00346774" w:rsidRPr="009E5107">
        <w:rPr>
          <w:rStyle w:val="Referencingstyle"/>
        </w:rPr>
        <w:t>131</w:t>
      </w:r>
      <w:r w:rsidR="00346774">
        <w:rPr>
          <w:rStyle w:val="Referencingstyle"/>
        </w:rPr>
        <w:t>DB</w:t>
      </w:r>
      <w:r w:rsidRPr="009E5107">
        <w:rPr>
          <w:rStyle w:val="Referencingstyle"/>
        </w:rPr>
        <w:t>(</w:t>
      </w:r>
      <w:r>
        <w:rPr>
          <w:rStyle w:val="Referencingstyle"/>
        </w:rPr>
        <w:t>1</w:t>
      </w:r>
      <w:r w:rsidRPr="009E5107">
        <w:rPr>
          <w:rStyle w:val="Referencingstyle"/>
        </w:rPr>
        <w:t>)</w:t>
      </w:r>
      <w:r>
        <w:rPr>
          <w:rStyle w:val="Referencingstyle"/>
        </w:rPr>
        <w:t>(b)</w:t>
      </w:r>
      <w:r w:rsidRPr="009E5107">
        <w:rPr>
          <w:rStyle w:val="Referencingstyle"/>
        </w:rPr>
        <w:t>]</w:t>
      </w:r>
    </w:p>
    <w:p w:rsidR="00F70F10" w:rsidRDefault="00F70F10" w:rsidP="00F70F10">
      <w:pPr>
        <w:pStyle w:val="base-text-paragraph"/>
        <w:numPr>
          <w:ilvl w:val="1"/>
          <w:numId w:val="24"/>
        </w:numPr>
      </w:pPr>
      <w:r>
        <w:t>These requirements ensure that RSE licensees and connected entities are provided with the information that is necessary for them to understand the basis on which a direction is given, and to comply with the direction that APRA has given.</w:t>
      </w:r>
    </w:p>
    <w:p w:rsidR="00F70F10" w:rsidRPr="00935743" w:rsidRDefault="005B3AFF" w:rsidP="00F70F10">
      <w:pPr>
        <w:pStyle w:val="base-text-paragraph"/>
        <w:numPr>
          <w:ilvl w:val="1"/>
          <w:numId w:val="24"/>
        </w:numPr>
        <w:rPr>
          <w:rStyle w:val="Referencingstyle"/>
          <w:b w:val="0"/>
          <w:i w:val="0"/>
          <w:sz w:val="22"/>
        </w:rPr>
      </w:pPr>
      <w:r>
        <w:t>A</w:t>
      </w:r>
      <w:r w:rsidR="00F70F10">
        <w:t xml:space="preserve"> direction given under Division 1 of Part 16A is not a legislative instrument. </w:t>
      </w:r>
      <w:r w:rsidR="00F70F10" w:rsidRPr="009E5107">
        <w:rPr>
          <w:rStyle w:val="Referencingstyle"/>
        </w:rPr>
        <w:t>[</w:t>
      </w:r>
      <w:r w:rsidR="00742024">
        <w:rPr>
          <w:rStyle w:val="Referencingstyle"/>
        </w:rPr>
        <w:t>Schedule 5</w:t>
      </w:r>
      <w:r w:rsidR="00F70F10" w:rsidRPr="009E5107">
        <w:rPr>
          <w:rStyle w:val="Referencingstyle"/>
        </w:rPr>
        <w:t>, item</w:t>
      </w:r>
      <w:r w:rsidR="00F70F10">
        <w:rPr>
          <w:rStyle w:val="Referencingstyle"/>
        </w:rPr>
        <w:t> </w:t>
      </w:r>
      <w:r w:rsidR="00346774">
        <w:rPr>
          <w:rStyle w:val="Referencingstyle"/>
        </w:rPr>
        <w:t>10</w:t>
      </w:r>
      <w:r w:rsidR="00F70F10" w:rsidRPr="009E5107">
        <w:rPr>
          <w:rStyle w:val="Referencingstyle"/>
        </w:rPr>
        <w:t xml:space="preserve">, </w:t>
      </w:r>
      <w:r w:rsidR="00F70F10">
        <w:rPr>
          <w:rStyle w:val="Referencingstyle"/>
        </w:rPr>
        <w:t>subsection </w:t>
      </w:r>
      <w:r w:rsidR="00346774" w:rsidRPr="009E5107">
        <w:rPr>
          <w:rStyle w:val="Referencingstyle"/>
        </w:rPr>
        <w:t>131</w:t>
      </w:r>
      <w:r w:rsidR="00346774">
        <w:rPr>
          <w:rStyle w:val="Referencingstyle"/>
        </w:rPr>
        <w:t>DB</w:t>
      </w:r>
      <w:r w:rsidR="00F70F10" w:rsidRPr="009E5107">
        <w:rPr>
          <w:rStyle w:val="Referencingstyle"/>
        </w:rPr>
        <w:t>(</w:t>
      </w:r>
      <w:r w:rsidR="00F70F10">
        <w:rPr>
          <w:rStyle w:val="Referencingstyle"/>
        </w:rPr>
        <w:t>2</w:t>
      </w:r>
      <w:r w:rsidR="00F70F10" w:rsidRPr="009E5107">
        <w:rPr>
          <w:rStyle w:val="Referencingstyle"/>
        </w:rPr>
        <w:t>)]</w:t>
      </w:r>
    </w:p>
    <w:p w:rsidR="00F25F35" w:rsidRDefault="005B3AFF" w:rsidP="00F25F35">
      <w:pPr>
        <w:pStyle w:val="base-text-paragraph"/>
        <w:numPr>
          <w:ilvl w:val="1"/>
          <w:numId w:val="24"/>
        </w:numPr>
      </w:pPr>
      <w:r>
        <w:t>D</w:t>
      </w:r>
      <w:r w:rsidR="00F25F35">
        <w:t xml:space="preserve">irections that are made by APRA </w:t>
      </w:r>
      <w:r>
        <w:t>are not</w:t>
      </w:r>
      <w:r w:rsidR="00F25F35">
        <w:t xml:space="preserve"> legislative instruments w</w:t>
      </w:r>
      <w:r>
        <w:t>ithin the meaning of subsection </w:t>
      </w:r>
      <w:r w:rsidR="00F25F35">
        <w:t xml:space="preserve">8(1) of the </w:t>
      </w:r>
      <w:r w:rsidR="00F25F35">
        <w:rPr>
          <w:i/>
        </w:rPr>
        <w:t>Legislation Act</w:t>
      </w:r>
      <w:r w:rsidR="004E1B22">
        <w:rPr>
          <w:i/>
        </w:rPr>
        <w:t> </w:t>
      </w:r>
      <w:r w:rsidR="00F25F35">
        <w:rPr>
          <w:i/>
        </w:rPr>
        <w:t xml:space="preserve">2003 </w:t>
      </w:r>
      <w:r w:rsidR="00F25F35">
        <w:t xml:space="preserve">as they merely apply provisions of the SIS Act to an RSE licensee or connected entity (rather than </w:t>
      </w:r>
      <w:r w:rsidR="00F25F35" w:rsidRPr="00935743">
        <w:t>determining the content of the law</w:t>
      </w:r>
      <w:r w:rsidR="00F25F35">
        <w:t>)</w:t>
      </w:r>
      <w:r>
        <w:t>. Subsection </w:t>
      </w:r>
      <w:proofErr w:type="gramStart"/>
      <w:r>
        <w:t>131DB(</w:t>
      </w:r>
      <w:proofErr w:type="gramEnd"/>
      <w:r>
        <w:t xml:space="preserve">2) does not alter the scope of this existing </w:t>
      </w:r>
      <w:r>
        <w:lastRenderedPageBreak/>
        <w:t xml:space="preserve">exclusion and therefore is not </w:t>
      </w:r>
      <w:r w:rsidR="004E1B22">
        <w:t xml:space="preserve">strictly </w:t>
      </w:r>
      <w:r>
        <w:t xml:space="preserve">necessary. However, it is being inserted to </w:t>
      </w:r>
      <w:r w:rsidR="008D4E03">
        <w:t xml:space="preserve">clarify </w:t>
      </w:r>
      <w:r>
        <w:t xml:space="preserve">this position </w:t>
      </w:r>
      <w:r w:rsidR="008D4E03">
        <w:t>for RSE licensees and connected entities</w:t>
      </w:r>
      <w:r w:rsidR="00F25F35">
        <w:t>.</w:t>
      </w:r>
    </w:p>
    <w:p w:rsidR="00F70F10" w:rsidRPr="00935743" w:rsidRDefault="00F70F10" w:rsidP="00F70F10">
      <w:pPr>
        <w:pStyle w:val="base-text-paragraph"/>
        <w:numPr>
          <w:ilvl w:val="1"/>
          <w:numId w:val="24"/>
        </w:numPr>
        <w:rPr>
          <w:rStyle w:val="Referencingstyle"/>
          <w:b w:val="0"/>
          <w:i w:val="0"/>
          <w:sz w:val="22"/>
        </w:rPr>
      </w:pPr>
      <w:r>
        <w:t xml:space="preserve">In deciding whether to give a direction to an RSE licensee or a connected entity, APRA may disregard any external support for the RSE licensee or the connected entity. </w:t>
      </w:r>
      <w:r w:rsidRPr="009E5107">
        <w:rPr>
          <w:rStyle w:val="Referencingstyle"/>
        </w:rPr>
        <w:t>[</w:t>
      </w:r>
      <w:r w:rsidR="00742024">
        <w:rPr>
          <w:rStyle w:val="Referencingstyle"/>
        </w:rPr>
        <w:t>Schedule 5</w:t>
      </w:r>
      <w:r w:rsidRPr="009E5107">
        <w:rPr>
          <w:rStyle w:val="Referencingstyle"/>
        </w:rPr>
        <w:t>, item</w:t>
      </w:r>
      <w:r>
        <w:rPr>
          <w:rStyle w:val="Referencingstyle"/>
        </w:rPr>
        <w:t> </w:t>
      </w:r>
      <w:r w:rsidR="00346774">
        <w:rPr>
          <w:rStyle w:val="Referencingstyle"/>
        </w:rPr>
        <w:t>10</w:t>
      </w:r>
      <w:r w:rsidRPr="009E5107">
        <w:rPr>
          <w:rStyle w:val="Referencingstyle"/>
        </w:rPr>
        <w:t xml:space="preserve">, </w:t>
      </w:r>
      <w:r>
        <w:rPr>
          <w:rStyle w:val="Referencingstyle"/>
        </w:rPr>
        <w:t>subsections </w:t>
      </w:r>
      <w:r w:rsidR="00346774" w:rsidRPr="009E5107">
        <w:rPr>
          <w:rStyle w:val="Referencingstyle"/>
        </w:rPr>
        <w:t>131</w:t>
      </w:r>
      <w:r w:rsidR="00346774">
        <w:rPr>
          <w:rStyle w:val="Referencingstyle"/>
        </w:rPr>
        <w:t>DB</w:t>
      </w:r>
      <w:r w:rsidRPr="009E5107">
        <w:rPr>
          <w:rStyle w:val="Referencingstyle"/>
        </w:rPr>
        <w:t>(</w:t>
      </w:r>
      <w:r>
        <w:rPr>
          <w:rStyle w:val="Referencingstyle"/>
        </w:rPr>
        <w:t>3</w:t>
      </w:r>
      <w:r w:rsidRPr="009E5107">
        <w:rPr>
          <w:rStyle w:val="Referencingstyle"/>
        </w:rPr>
        <w:t>)</w:t>
      </w:r>
      <w:r>
        <w:rPr>
          <w:rStyle w:val="Referencingstyle"/>
        </w:rPr>
        <w:t xml:space="preserve"> and (4)</w:t>
      </w:r>
      <w:r w:rsidRPr="009E5107">
        <w:rPr>
          <w:rStyle w:val="Referencingstyle"/>
        </w:rPr>
        <w:t>]</w:t>
      </w:r>
    </w:p>
    <w:p w:rsidR="00F70F10" w:rsidRDefault="00F70F10" w:rsidP="00F70F10">
      <w:pPr>
        <w:pStyle w:val="base-text-paragraph"/>
        <w:numPr>
          <w:ilvl w:val="1"/>
          <w:numId w:val="24"/>
        </w:numPr>
      </w:pPr>
      <w:r>
        <w:t xml:space="preserve">External </w:t>
      </w:r>
      <w:proofErr w:type="gramStart"/>
      <w:r>
        <w:t>support includes particular guarantees or assurances, and are</w:t>
      </w:r>
      <w:proofErr w:type="gramEnd"/>
      <w:r>
        <w:t xml:space="preserve"> required to support the stability of the superannuation system</w:t>
      </w:r>
      <w:r w:rsidR="00F25F35">
        <w:t>.</w:t>
      </w:r>
    </w:p>
    <w:p w:rsidR="00F70F10" w:rsidRPr="00935743" w:rsidRDefault="00F70F10" w:rsidP="00F70F10">
      <w:pPr>
        <w:pStyle w:val="base-text-paragraph"/>
        <w:numPr>
          <w:ilvl w:val="1"/>
          <w:numId w:val="24"/>
        </w:numPr>
        <w:rPr>
          <w:rStyle w:val="Referencingstyle"/>
          <w:b w:val="0"/>
          <w:i w:val="0"/>
          <w:sz w:val="22"/>
        </w:rPr>
      </w:pPr>
      <w:r>
        <w:t xml:space="preserve">Regulations may also specify that particular types of support are not external support for these purposes. </w:t>
      </w:r>
      <w:r w:rsidRPr="009E5107">
        <w:rPr>
          <w:rStyle w:val="Referencingstyle"/>
        </w:rPr>
        <w:t>[</w:t>
      </w:r>
      <w:r w:rsidR="00742024">
        <w:rPr>
          <w:rStyle w:val="Referencingstyle"/>
        </w:rPr>
        <w:t>Schedule 5</w:t>
      </w:r>
      <w:r w:rsidRPr="009E5107">
        <w:rPr>
          <w:rStyle w:val="Referencingstyle"/>
        </w:rPr>
        <w:t>, item</w:t>
      </w:r>
      <w:r>
        <w:rPr>
          <w:rStyle w:val="Referencingstyle"/>
        </w:rPr>
        <w:t> </w:t>
      </w:r>
      <w:r w:rsidR="00346774">
        <w:rPr>
          <w:rStyle w:val="Referencingstyle"/>
        </w:rPr>
        <w:t>10</w:t>
      </w:r>
      <w:r w:rsidRPr="009E5107">
        <w:rPr>
          <w:rStyle w:val="Referencingstyle"/>
        </w:rPr>
        <w:t xml:space="preserve">, </w:t>
      </w:r>
      <w:r>
        <w:rPr>
          <w:rStyle w:val="Referencingstyle"/>
        </w:rPr>
        <w:t>subsection </w:t>
      </w:r>
      <w:r w:rsidR="00346774" w:rsidRPr="009E5107">
        <w:rPr>
          <w:rStyle w:val="Referencingstyle"/>
        </w:rPr>
        <w:t>131</w:t>
      </w:r>
      <w:r w:rsidR="00346774">
        <w:rPr>
          <w:rStyle w:val="Referencingstyle"/>
        </w:rPr>
        <w:t>DB</w:t>
      </w:r>
      <w:r w:rsidRPr="009E5107">
        <w:rPr>
          <w:rStyle w:val="Referencingstyle"/>
        </w:rPr>
        <w:t>(</w:t>
      </w:r>
      <w:r>
        <w:rPr>
          <w:rStyle w:val="Referencingstyle"/>
        </w:rPr>
        <w:t>5</w:t>
      </w:r>
      <w:r w:rsidRPr="009E5107">
        <w:rPr>
          <w:rStyle w:val="Referencingstyle"/>
        </w:rPr>
        <w:t>)]</w:t>
      </w:r>
    </w:p>
    <w:p w:rsidR="00F70F10" w:rsidRDefault="00F70F10" w:rsidP="00F70F10">
      <w:pPr>
        <w:pStyle w:val="Heading3"/>
      </w:pPr>
      <w:r>
        <w:t>Varying or revoking directions</w:t>
      </w:r>
    </w:p>
    <w:p w:rsidR="00F70F10" w:rsidRPr="002B3B4B" w:rsidRDefault="00F70F10" w:rsidP="00F70F10">
      <w:pPr>
        <w:pStyle w:val="base-text-paragraph"/>
        <w:numPr>
          <w:ilvl w:val="1"/>
          <w:numId w:val="24"/>
        </w:numPr>
        <w:rPr>
          <w:rStyle w:val="Referencingstyle"/>
          <w:b w:val="0"/>
          <w:i w:val="0"/>
          <w:sz w:val="22"/>
        </w:rPr>
      </w:pPr>
      <w:r>
        <w:t xml:space="preserve">APRA may vary or revoke a direction under Division 1 of Part 16A where it considers that it is necessary or appropriate to do so. </w:t>
      </w:r>
      <w:r w:rsidRPr="009E5107">
        <w:rPr>
          <w:rStyle w:val="Referencingstyle"/>
        </w:rPr>
        <w:t>[</w:t>
      </w:r>
      <w:r w:rsidR="00742024">
        <w:rPr>
          <w:rStyle w:val="Referencingstyle"/>
        </w:rPr>
        <w:t>Schedule 5</w:t>
      </w:r>
      <w:r w:rsidRPr="009E5107">
        <w:rPr>
          <w:rStyle w:val="Referencingstyle"/>
        </w:rPr>
        <w:t>, item</w:t>
      </w:r>
      <w:r>
        <w:rPr>
          <w:rStyle w:val="Referencingstyle"/>
        </w:rPr>
        <w:t> </w:t>
      </w:r>
      <w:r w:rsidR="00346774">
        <w:rPr>
          <w:rStyle w:val="Referencingstyle"/>
        </w:rPr>
        <w:t>10</w:t>
      </w:r>
      <w:r w:rsidRPr="009E5107">
        <w:rPr>
          <w:rStyle w:val="Referencingstyle"/>
        </w:rPr>
        <w:t xml:space="preserve">, </w:t>
      </w:r>
      <w:r>
        <w:rPr>
          <w:rStyle w:val="Referencingstyle"/>
        </w:rPr>
        <w:t>subsections </w:t>
      </w:r>
      <w:r w:rsidR="00346774" w:rsidRPr="009E5107">
        <w:rPr>
          <w:rStyle w:val="Referencingstyle"/>
        </w:rPr>
        <w:t>131</w:t>
      </w:r>
      <w:r w:rsidR="00346774">
        <w:rPr>
          <w:rStyle w:val="Referencingstyle"/>
        </w:rPr>
        <w:t>DC</w:t>
      </w:r>
      <w:r w:rsidRPr="009E5107">
        <w:rPr>
          <w:rStyle w:val="Referencingstyle"/>
        </w:rPr>
        <w:t>(</w:t>
      </w:r>
      <w:r>
        <w:rPr>
          <w:rStyle w:val="Referencingstyle"/>
        </w:rPr>
        <w:t>1</w:t>
      </w:r>
      <w:r w:rsidRPr="009E5107">
        <w:rPr>
          <w:rStyle w:val="Referencingstyle"/>
        </w:rPr>
        <w:t>)</w:t>
      </w:r>
      <w:r>
        <w:rPr>
          <w:rStyle w:val="Referencingstyle"/>
        </w:rPr>
        <w:t xml:space="preserve"> and (3)</w:t>
      </w:r>
      <w:r w:rsidRPr="009E5107">
        <w:rPr>
          <w:rStyle w:val="Referencingstyle"/>
        </w:rPr>
        <w:t>]</w:t>
      </w:r>
    </w:p>
    <w:p w:rsidR="00F70F10" w:rsidRDefault="00F70F10" w:rsidP="00F70F10">
      <w:pPr>
        <w:pStyle w:val="base-text-paragraph"/>
        <w:numPr>
          <w:ilvl w:val="1"/>
          <w:numId w:val="24"/>
        </w:numPr>
      </w:pPr>
      <w:r>
        <w:t>Directions continue to have effect according to their terms up until the time that APRA revokes the direction.</w:t>
      </w:r>
      <w:r w:rsidRPr="002B3B4B">
        <w:rPr>
          <w:rStyle w:val="Referencingstyle"/>
        </w:rPr>
        <w:t xml:space="preserve"> </w:t>
      </w:r>
      <w:r w:rsidRPr="009E5107">
        <w:rPr>
          <w:rStyle w:val="Referencingstyle"/>
        </w:rPr>
        <w:t>[</w:t>
      </w:r>
      <w:r w:rsidR="00742024">
        <w:rPr>
          <w:rStyle w:val="Referencingstyle"/>
        </w:rPr>
        <w:t>Schedule 5</w:t>
      </w:r>
      <w:r w:rsidRPr="009E5107">
        <w:rPr>
          <w:rStyle w:val="Referencingstyle"/>
        </w:rPr>
        <w:t>, item</w:t>
      </w:r>
      <w:r>
        <w:rPr>
          <w:rStyle w:val="Referencingstyle"/>
        </w:rPr>
        <w:t> </w:t>
      </w:r>
      <w:r w:rsidR="00346774">
        <w:rPr>
          <w:rStyle w:val="Referencingstyle"/>
        </w:rPr>
        <w:t>10</w:t>
      </w:r>
      <w:r w:rsidRPr="009E5107">
        <w:rPr>
          <w:rStyle w:val="Referencingstyle"/>
        </w:rPr>
        <w:t xml:space="preserve">, </w:t>
      </w:r>
      <w:r>
        <w:rPr>
          <w:rStyle w:val="Referencingstyle"/>
        </w:rPr>
        <w:t>subsection </w:t>
      </w:r>
      <w:r w:rsidR="00346774" w:rsidRPr="009E5107">
        <w:rPr>
          <w:rStyle w:val="Referencingstyle"/>
        </w:rPr>
        <w:t>131</w:t>
      </w:r>
      <w:r w:rsidR="00346774">
        <w:rPr>
          <w:rStyle w:val="Referencingstyle"/>
        </w:rPr>
        <w:t>DC</w:t>
      </w:r>
      <w:r w:rsidRPr="009E5107">
        <w:rPr>
          <w:rStyle w:val="Referencingstyle"/>
        </w:rPr>
        <w:t>(</w:t>
      </w:r>
      <w:r>
        <w:rPr>
          <w:rStyle w:val="Referencingstyle"/>
        </w:rPr>
        <w:t>2</w:t>
      </w:r>
      <w:r w:rsidRPr="009E5107">
        <w:rPr>
          <w:rStyle w:val="Referencingstyle"/>
        </w:rPr>
        <w:t>)</w:t>
      </w:r>
      <w:r>
        <w:rPr>
          <w:rStyle w:val="Referencingstyle"/>
        </w:rPr>
        <w:t>]</w:t>
      </w:r>
    </w:p>
    <w:p w:rsidR="00F70F10" w:rsidRDefault="00F70F10" w:rsidP="00F70F10">
      <w:pPr>
        <w:pStyle w:val="base-text-paragraph"/>
        <w:numPr>
          <w:ilvl w:val="1"/>
          <w:numId w:val="24"/>
        </w:numPr>
      </w:pPr>
      <w:r>
        <w:t xml:space="preserve">Variations and revocations may be necessary where APRA’s view about particular contraventions or risks has changed, based on the available information or actions that an RSE licensee or connected entity has undertaken. For example, some directions to not do particular things may not be required </w:t>
      </w:r>
      <w:r w:rsidR="00264DC4">
        <w:t xml:space="preserve">if </w:t>
      </w:r>
      <w:r>
        <w:t xml:space="preserve">corrective action is taken by an RSE licensee or connected entity. </w:t>
      </w:r>
    </w:p>
    <w:p w:rsidR="00F70F10" w:rsidRDefault="00F70F10" w:rsidP="00F70F10">
      <w:pPr>
        <w:pStyle w:val="Heading3"/>
      </w:pPr>
      <w:r>
        <w:t>Consequences of failing to comply with a direction</w:t>
      </w:r>
    </w:p>
    <w:p w:rsidR="00F70F10" w:rsidRPr="0081584C" w:rsidRDefault="00F70F10" w:rsidP="00F70F10">
      <w:pPr>
        <w:pStyle w:val="base-text-paragraph"/>
        <w:numPr>
          <w:ilvl w:val="1"/>
          <w:numId w:val="24"/>
        </w:numPr>
        <w:rPr>
          <w:rStyle w:val="Referencingstyle"/>
          <w:b w:val="0"/>
          <w:i w:val="0"/>
          <w:sz w:val="22"/>
        </w:rPr>
      </w:pPr>
      <w:r>
        <w:t xml:space="preserve">A failure to comply with a direction given under Division 1 of Part 16A is an offence that results in a penalty of 100 penalty units. Offences of this kind are strict liabilities. </w:t>
      </w:r>
      <w:r w:rsidRPr="009E5107">
        <w:rPr>
          <w:rStyle w:val="Referencingstyle"/>
        </w:rPr>
        <w:t>[</w:t>
      </w:r>
      <w:r w:rsidR="00742024">
        <w:rPr>
          <w:rStyle w:val="Referencingstyle"/>
        </w:rPr>
        <w:t>Schedule 5</w:t>
      </w:r>
      <w:r w:rsidRPr="009E5107">
        <w:rPr>
          <w:rStyle w:val="Referencingstyle"/>
        </w:rPr>
        <w:t>, item</w:t>
      </w:r>
      <w:r>
        <w:rPr>
          <w:rStyle w:val="Referencingstyle"/>
        </w:rPr>
        <w:t> </w:t>
      </w:r>
      <w:r w:rsidR="00346774">
        <w:rPr>
          <w:rStyle w:val="Referencingstyle"/>
        </w:rPr>
        <w:t>10</w:t>
      </w:r>
      <w:r w:rsidRPr="009E5107">
        <w:rPr>
          <w:rStyle w:val="Referencingstyle"/>
        </w:rPr>
        <w:t xml:space="preserve">, </w:t>
      </w:r>
      <w:r>
        <w:rPr>
          <w:rStyle w:val="Referencingstyle"/>
        </w:rPr>
        <w:t>subsections </w:t>
      </w:r>
      <w:r w:rsidR="00346774" w:rsidRPr="009E5107">
        <w:rPr>
          <w:rStyle w:val="Referencingstyle"/>
        </w:rPr>
        <w:t>131</w:t>
      </w:r>
      <w:r w:rsidR="00346774">
        <w:rPr>
          <w:rStyle w:val="Referencingstyle"/>
        </w:rPr>
        <w:t>DD</w:t>
      </w:r>
      <w:r w:rsidRPr="009E5107">
        <w:rPr>
          <w:rStyle w:val="Referencingstyle"/>
        </w:rPr>
        <w:t>(</w:t>
      </w:r>
      <w:r>
        <w:rPr>
          <w:rStyle w:val="Referencingstyle"/>
        </w:rPr>
        <w:t>1</w:t>
      </w:r>
      <w:r w:rsidRPr="009E5107">
        <w:rPr>
          <w:rStyle w:val="Referencingstyle"/>
        </w:rPr>
        <w:t>)</w:t>
      </w:r>
      <w:r>
        <w:rPr>
          <w:rStyle w:val="Referencingstyle"/>
        </w:rPr>
        <w:t xml:space="preserve"> to (4) and (6)]</w:t>
      </w:r>
    </w:p>
    <w:p w:rsidR="00ED7312" w:rsidRDefault="00ED7312" w:rsidP="00F70F10">
      <w:pPr>
        <w:pStyle w:val="base-text-paragraph"/>
        <w:numPr>
          <w:ilvl w:val="1"/>
          <w:numId w:val="24"/>
        </w:numPr>
      </w:pPr>
      <w:r>
        <w:t xml:space="preserve">A person who commits an offence for not complying with a direction given under Division 1 does so from the day that the offence was committed until the circumstances that caused the offence no longer exist. </w:t>
      </w:r>
      <w:r w:rsidRPr="009E5107">
        <w:rPr>
          <w:rStyle w:val="Referencingstyle"/>
        </w:rPr>
        <w:t>[</w:t>
      </w:r>
      <w:r w:rsidR="00742024">
        <w:rPr>
          <w:rStyle w:val="Referencingstyle"/>
        </w:rPr>
        <w:t>Schedule 5</w:t>
      </w:r>
      <w:r w:rsidRPr="009E5107">
        <w:rPr>
          <w:rStyle w:val="Referencingstyle"/>
        </w:rPr>
        <w:t>, item</w:t>
      </w:r>
      <w:r>
        <w:rPr>
          <w:rStyle w:val="Referencingstyle"/>
        </w:rPr>
        <w:t> </w:t>
      </w:r>
      <w:r w:rsidR="00346774">
        <w:rPr>
          <w:rStyle w:val="Referencingstyle"/>
        </w:rPr>
        <w:t>10</w:t>
      </w:r>
      <w:r w:rsidRPr="009E5107">
        <w:rPr>
          <w:rStyle w:val="Referencingstyle"/>
        </w:rPr>
        <w:t xml:space="preserve">, </w:t>
      </w:r>
      <w:r>
        <w:rPr>
          <w:rStyle w:val="Referencingstyle"/>
        </w:rPr>
        <w:t>subsections </w:t>
      </w:r>
      <w:r w:rsidRPr="009E5107">
        <w:rPr>
          <w:rStyle w:val="Referencingstyle"/>
        </w:rPr>
        <w:t>131</w:t>
      </w:r>
      <w:r w:rsidR="00346774">
        <w:rPr>
          <w:rStyle w:val="Referencingstyle"/>
        </w:rPr>
        <w:t>DD</w:t>
      </w:r>
      <w:r w:rsidRPr="009E5107">
        <w:rPr>
          <w:rStyle w:val="Referencingstyle"/>
        </w:rPr>
        <w:t>(</w:t>
      </w:r>
      <w:r>
        <w:rPr>
          <w:rStyle w:val="Referencingstyle"/>
        </w:rPr>
        <w:t>5</w:t>
      </w:r>
      <w:r w:rsidRPr="009E5107">
        <w:rPr>
          <w:rStyle w:val="Referencingstyle"/>
        </w:rPr>
        <w:t>)</w:t>
      </w:r>
      <w:r>
        <w:rPr>
          <w:rStyle w:val="Referencingstyle"/>
        </w:rPr>
        <w:t>]</w:t>
      </w:r>
      <w:r>
        <w:t xml:space="preserve"> </w:t>
      </w:r>
    </w:p>
    <w:p w:rsidR="00F70F10" w:rsidRDefault="00F70F10" w:rsidP="00F70F10">
      <w:pPr>
        <w:pStyle w:val="base-text-paragraph"/>
        <w:numPr>
          <w:ilvl w:val="1"/>
          <w:numId w:val="24"/>
        </w:numPr>
      </w:pPr>
      <w:r>
        <w:t xml:space="preserve">The entity that commits an offence for a failure to comply with a direction will depend on the type of direction. </w:t>
      </w:r>
    </w:p>
    <w:p w:rsidR="00F70F10" w:rsidRPr="00564D02" w:rsidRDefault="00F70F10" w:rsidP="00F70F10">
      <w:pPr>
        <w:pStyle w:val="base-text-paragraph"/>
        <w:numPr>
          <w:ilvl w:val="1"/>
          <w:numId w:val="24"/>
        </w:numPr>
        <w:rPr>
          <w:rStyle w:val="Referencingstyle"/>
          <w:b w:val="0"/>
          <w:i w:val="0"/>
          <w:sz w:val="22"/>
        </w:rPr>
      </w:pPr>
      <w:r>
        <w:lastRenderedPageBreak/>
        <w:t xml:space="preserve">For directions given to RSE licensees, a person commits an offence if </w:t>
      </w:r>
      <w:r w:rsidR="00B238EF">
        <w:t>the</w:t>
      </w:r>
      <w:r w:rsidR="00B94B8B">
        <w:t>y are</w:t>
      </w:r>
      <w:r w:rsidR="00DF4DA7">
        <w:t xml:space="preserve"> </w:t>
      </w:r>
      <w:r>
        <w:t xml:space="preserve">the RSE licensee, or </w:t>
      </w:r>
      <w:r w:rsidR="00B238EF">
        <w:t xml:space="preserve">if </w:t>
      </w:r>
      <w:r w:rsidR="00DF4DA7">
        <w:t xml:space="preserve">they are </w:t>
      </w:r>
      <w:r>
        <w:t xml:space="preserve">a member of a group of individual trustees that is an RSE licensee, and the RSE licensee does or fails to do something that results in a contravention of the direction. </w:t>
      </w:r>
      <w:r w:rsidRPr="009E5107">
        <w:rPr>
          <w:rStyle w:val="Referencingstyle"/>
        </w:rPr>
        <w:t>[</w:t>
      </w:r>
      <w:r w:rsidR="00742024">
        <w:rPr>
          <w:rStyle w:val="Referencingstyle"/>
        </w:rPr>
        <w:t>Schedule 5</w:t>
      </w:r>
      <w:r w:rsidRPr="009E5107">
        <w:rPr>
          <w:rStyle w:val="Referencingstyle"/>
        </w:rPr>
        <w:t>, item</w:t>
      </w:r>
      <w:r>
        <w:rPr>
          <w:rStyle w:val="Referencingstyle"/>
        </w:rPr>
        <w:t> </w:t>
      </w:r>
      <w:r w:rsidR="00346774">
        <w:rPr>
          <w:rStyle w:val="Referencingstyle"/>
        </w:rPr>
        <w:t>10</w:t>
      </w:r>
      <w:r w:rsidRPr="009E5107">
        <w:rPr>
          <w:rStyle w:val="Referencingstyle"/>
        </w:rPr>
        <w:t xml:space="preserve">, </w:t>
      </w:r>
      <w:r>
        <w:rPr>
          <w:rStyle w:val="Referencingstyle"/>
        </w:rPr>
        <w:t>subsection </w:t>
      </w:r>
      <w:r w:rsidR="00346774" w:rsidRPr="009E5107">
        <w:rPr>
          <w:rStyle w:val="Referencingstyle"/>
        </w:rPr>
        <w:t>131</w:t>
      </w:r>
      <w:r w:rsidR="00346774">
        <w:rPr>
          <w:rStyle w:val="Referencingstyle"/>
        </w:rPr>
        <w:t>DD</w:t>
      </w:r>
      <w:r w:rsidRPr="009E5107">
        <w:rPr>
          <w:rStyle w:val="Referencingstyle"/>
        </w:rPr>
        <w:t>(</w:t>
      </w:r>
      <w:r>
        <w:rPr>
          <w:rStyle w:val="Referencingstyle"/>
        </w:rPr>
        <w:t>1</w:t>
      </w:r>
      <w:r w:rsidRPr="009E5107">
        <w:rPr>
          <w:rStyle w:val="Referencingstyle"/>
        </w:rPr>
        <w:t>)</w:t>
      </w:r>
      <w:r>
        <w:rPr>
          <w:rStyle w:val="Referencingstyle"/>
        </w:rPr>
        <w:t>]</w:t>
      </w:r>
    </w:p>
    <w:p w:rsidR="00F70F10" w:rsidRPr="00564D02" w:rsidRDefault="00F70F10" w:rsidP="00F70F10">
      <w:pPr>
        <w:pStyle w:val="base-text-paragraph"/>
        <w:numPr>
          <w:ilvl w:val="1"/>
          <w:numId w:val="24"/>
        </w:numPr>
        <w:rPr>
          <w:rStyle w:val="Referencingstyle"/>
          <w:b w:val="0"/>
          <w:i w:val="0"/>
          <w:sz w:val="22"/>
        </w:rPr>
      </w:pPr>
      <w:r>
        <w:t xml:space="preserve">A person also commits an offence if they are an officer of an RSE licensee who is responsible for ensuring the licensee complies with directions, and the person fails to take reasonable steps to ensure that the licensee complies with a direction. </w:t>
      </w:r>
      <w:r w:rsidRPr="009E5107">
        <w:rPr>
          <w:rStyle w:val="Referencingstyle"/>
        </w:rPr>
        <w:t>[</w:t>
      </w:r>
      <w:r w:rsidR="00742024">
        <w:rPr>
          <w:rStyle w:val="Referencingstyle"/>
        </w:rPr>
        <w:t>Schedule 5</w:t>
      </w:r>
      <w:r w:rsidRPr="009E5107">
        <w:rPr>
          <w:rStyle w:val="Referencingstyle"/>
        </w:rPr>
        <w:t>, item</w:t>
      </w:r>
      <w:r>
        <w:rPr>
          <w:rStyle w:val="Referencingstyle"/>
        </w:rPr>
        <w:t> </w:t>
      </w:r>
      <w:r w:rsidR="00346774">
        <w:rPr>
          <w:rStyle w:val="Referencingstyle"/>
        </w:rPr>
        <w:t>10</w:t>
      </w:r>
      <w:r w:rsidRPr="009E5107">
        <w:rPr>
          <w:rStyle w:val="Referencingstyle"/>
        </w:rPr>
        <w:t xml:space="preserve">, </w:t>
      </w:r>
      <w:r>
        <w:rPr>
          <w:rStyle w:val="Referencingstyle"/>
        </w:rPr>
        <w:t>subsection </w:t>
      </w:r>
      <w:r w:rsidR="00346774" w:rsidRPr="009E5107">
        <w:rPr>
          <w:rStyle w:val="Referencingstyle"/>
        </w:rPr>
        <w:t>131</w:t>
      </w:r>
      <w:r w:rsidR="00346774">
        <w:rPr>
          <w:rStyle w:val="Referencingstyle"/>
        </w:rPr>
        <w:t>DD</w:t>
      </w:r>
      <w:r w:rsidRPr="009E5107">
        <w:rPr>
          <w:rStyle w:val="Referencingstyle"/>
        </w:rPr>
        <w:t>(</w:t>
      </w:r>
      <w:r>
        <w:rPr>
          <w:rStyle w:val="Referencingstyle"/>
        </w:rPr>
        <w:t>2</w:t>
      </w:r>
      <w:r w:rsidRPr="009E5107">
        <w:rPr>
          <w:rStyle w:val="Referencingstyle"/>
        </w:rPr>
        <w:t>)</w:t>
      </w:r>
      <w:r>
        <w:rPr>
          <w:rStyle w:val="Referencingstyle"/>
        </w:rPr>
        <w:t>]</w:t>
      </w:r>
    </w:p>
    <w:p w:rsidR="00F70F10" w:rsidRPr="00564D02" w:rsidRDefault="00F70F10" w:rsidP="00F70F10">
      <w:pPr>
        <w:pStyle w:val="base-text-paragraph"/>
        <w:numPr>
          <w:ilvl w:val="1"/>
          <w:numId w:val="24"/>
        </w:numPr>
        <w:rPr>
          <w:rStyle w:val="Referencingstyle"/>
          <w:b w:val="0"/>
          <w:i w:val="0"/>
          <w:sz w:val="22"/>
        </w:rPr>
      </w:pPr>
      <w:r>
        <w:t xml:space="preserve">For directions given to a connected entity, the connected entity commits an offence if it fails to do something </w:t>
      </w:r>
      <w:proofErr w:type="gramStart"/>
      <w:r>
        <w:t>that results</w:t>
      </w:r>
      <w:proofErr w:type="gramEnd"/>
      <w:r>
        <w:t xml:space="preserve"> in a contravention of the direction.</w:t>
      </w:r>
      <w:r w:rsidRPr="00190A0C">
        <w:rPr>
          <w:rStyle w:val="Referencingstyle"/>
        </w:rPr>
        <w:t xml:space="preserve"> </w:t>
      </w:r>
      <w:r w:rsidRPr="009E5107">
        <w:rPr>
          <w:rStyle w:val="Referencingstyle"/>
        </w:rPr>
        <w:t>[</w:t>
      </w:r>
      <w:r w:rsidR="00742024">
        <w:rPr>
          <w:rStyle w:val="Referencingstyle"/>
        </w:rPr>
        <w:t>Schedule 5</w:t>
      </w:r>
      <w:r w:rsidRPr="009E5107">
        <w:rPr>
          <w:rStyle w:val="Referencingstyle"/>
        </w:rPr>
        <w:t>, item</w:t>
      </w:r>
      <w:r>
        <w:rPr>
          <w:rStyle w:val="Referencingstyle"/>
        </w:rPr>
        <w:t> </w:t>
      </w:r>
      <w:r w:rsidR="00346774">
        <w:rPr>
          <w:rStyle w:val="Referencingstyle"/>
        </w:rPr>
        <w:t>10</w:t>
      </w:r>
      <w:r w:rsidRPr="009E5107">
        <w:rPr>
          <w:rStyle w:val="Referencingstyle"/>
        </w:rPr>
        <w:t xml:space="preserve">, </w:t>
      </w:r>
      <w:r>
        <w:rPr>
          <w:rStyle w:val="Referencingstyle"/>
        </w:rPr>
        <w:t>subsection </w:t>
      </w:r>
      <w:r w:rsidR="00346774" w:rsidRPr="009E5107">
        <w:rPr>
          <w:rStyle w:val="Referencingstyle"/>
        </w:rPr>
        <w:t>131</w:t>
      </w:r>
      <w:r w:rsidR="00346774">
        <w:rPr>
          <w:rStyle w:val="Referencingstyle"/>
        </w:rPr>
        <w:t>DD</w:t>
      </w:r>
      <w:r w:rsidRPr="009E5107">
        <w:rPr>
          <w:rStyle w:val="Referencingstyle"/>
        </w:rPr>
        <w:t>(</w:t>
      </w:r>
      <w:r>
        <w:rPr>
          <w:rStyle w:val="Referencingstyle"/>
        </w:rPr>
        <w:t>3</w:t>
      </w:r>
      <w:r w:rsidRPr="009E5107">
        <w:rPr>
          <w:rStyle w:val="Referencingstyle"/>
        </w:rPr>
        <w:t>)</w:t>
      </w:r>
      <w:r>
        <w:rPr>
          <w:rStyle w:val="Referencingstyle"/>
        </w:rPr>
        <w:t>]</w:t>
      </w:r>
    </w:p>
    <w:p w:rsidR="00F70F10" w:rsidRPr="00A44CB9" w:rsidRDefault="00F70F10" w:rsidP="00F70F10">
      <w:pPr>
        <w:pStyle w:val="base-text-paragraph"/>
        <w:numPr>
          <w:ilvl w:val="1"/>
          <w:numId w:val="24"/>
        </w:numPr>
        <w:rPr>
          <w:rStyle w:val="Referencingstyle"/>
          <w:b w:val="0"/>
          <w:i w:val="0"/>
          <w:sz w:val="22"/>
        </w:rPr>
      </w:pPr>
      <w:r>
        <w:t xml:space="preserve">A person also commits an offence if they are an officer of a connected entity who is responsible for ensuring the entity complies with directions, and the person fails to take reasonable steps to ensure that the connected entity complies with a direction. </w:t>
      </w:r>
      <w:r w:rsidRPr="009E5107">
        <w:rPr>
          <w:rStyle w:val="Referencingstyle"/>
        </w:rPr>
        <w:t>[</w:t>
      </w:r>
      <w:r w:rsidR="00742024">
        <w:rPr>
          <w:rStyle w:val="Referencingstyle"/>
        </w:rPr>
        <w:t>Schedule 5</w:t>
      </w:r>
      <w:r w:rsidRPr="009E5107">
        <w:rPr>
          <w:rStyle w:val="Referencingstyle"/>
        </w:rPr>
        <w:t>, item</w:t>
      </w:r>
      <w:r>
        <w:rPr>
          <w:rStyle w:val="Referencingstyle"/>
        </w:rPr>
        <w:t> </w:t>
      </w:r>
      <w:r w:rsidR="00346774">
        <w:rPr>
          <w:rStyle w:val="Referencingstyle"/>
        </w:rPr>
        <w:t>10</w:t>
      </w:r>
      <w:r w:rsidRPr="009E5107">
        <w:rPr>
          <w:rStyle w:val="Referencingstyle"/>
        </w:rPr>
        <w:t xml:space="preserve">, </w:t>
      </w:r>
      <w:r>
        <w:rPr>
          <w:rStyle w:val="Referencingstyle"/>
        </w:rPr>
        <w:t>subsection </w:t>
      </w:r>
      <w:r w:rsidR="00346774" w:rsidRPr="009E5107">
        <w:rPr>
          <w:rStyle w:val="Referencingstyle"/>
        </w:rPr>
        <w:t>131</w:t>
      </w:r>
      <w:r w:rsidR="00346774">
        <w:rPr>
          <w:rStyle w:val="Referencingstyle"/>
        </w:rPr>
        <w:t>DD</w:t>
      </w:r>
      <w:r w:rsidRPr="009E5107">
        <w:rPr>
          <w:rStyle w:val="Referencingstyle"/>
        </w:rPr>
        <w:t>(</w:t>
      </w:r>
      <w:r>
        <w:rPr>
          <w:rStyle w:val="Referencingstyle"/>
        </w:rPr>
        <w:t>4</w:t>
      </w:r>
      <w:r w:rsidRPr="009E5107">
        <w:rPr>
          <w:rStyle w:val="Referencingstyle"/>
        </w:rPr>
        <w:t>)</w:t>
      </w:r>
      <w:r>
        <w:rPr>
          <w:rStyle w:val="Referencingstyle"/>
        </w:rPr>
        <w:t>]</w:t>
      </w:r>
    </w:p>
    <w:p w:rsidR="00F70F10" w:rsidRPr="00564D02" w:rsidRDefault="00F70F10" w:rsidP="00F70F10">
      <w:pPr>
        <w:pStyle w:val="base-text-paragraph"/>
        <w:numPr>
          <w:ilvl w:val="1"/>
          <w:numId w:val="24"/>
        </w:numPr>
        <w:rPr>
          <w:rStyle w:val="Referencingstyle"/>
          <w:b w:val="0"/>
          <w:i w:val="0"/>
          <w:sz w:val="22"/>
        </w:rPr>
      </w:pPr>
      <w:r>
        <w:t xml:space="preserve">For the purposes of working out whether a person is an officer of an RSE licensee or a connected entity, the definition of </w:t>
      </w:r>
      <w:r w:rsidRPr="00A433BE">
        <w:rPr>
          <w:i/>
        </w:rPr>
        <w:t>officer</w:t>
      </w:r>
      <w:r>
        <w:t xml:space="preserve"> in section 9 of the </w:t>
      </w:r>
      <w:r>
        <w:rPr>
          <w:i/>
        </w:rPr>
        <w:t>Corporations Act 2001</w:t>
      </w:r>
      <w:r>
        <w:t xml:space="preserve"> </w:t>
      </w:r>
      <w:r w:rsidR="00F63AC6">
        <w:t xml:space="preserve">(Corporations Act) </w:t>
      </w:r>
      <w:r>
        <w:t xml:space="preserve">applies. </w:t>
      </w:r>
      <w:r w:rsidRPr="009E5107">
        <w:rPr>
          <w:rStyle w:val="Referencingstyle"/>
        </w:rPr>
        <w:t>[</w:t>
      </w:r>
      <w:r w:rsidR="00742024">
        <w:rPr>
          <w:rStyle w:val="Referencingstyle"/>
        </w:rPr>
        <w:t>Schedule 5</w:t>
      </w:r>
      <w:r w:rsidRPr="009E5107">
        <w:rPr>
          <w:rStyle w:val="Referencingstyle"/>
        </w:rPr>
        <w:t>, item</w:t>
      </w:r>
      <w:r>
        <w:rPr>
          <w:rStyle w:val="Referencingstyle"/>
        </w:rPr>
        <w:t> </w:t>
      </w:r>
      <w:r w:rsidR="00346774">
        <w:rPr>
          <w:rStyle w:val="Referencingstyle"/>
        </w:rPr>
        <w:t>10</w:t>
      </w:r>
      <w:r w:rsidRPr="009E5107">
        <w:rPr>
          <w:rStyle w:val="Referencingstyle"/>
        </w:rPr>
        <w:t xml:space="preserve">, </w:t>
      </w:r>
      <w:r>
        <w:rPr>
          <w:rStyle w:val="Referencingstyle"/>
        </w:rPr>
        <w:t>subsection </w:t>
      </w:r>
      <w:r w:rsidR="00346774" w:rsidRPr="009E5107">
        <w:rPr>
          <w:rStyle w:val="Referencingstyle"/>
        </w:rPr>
        <w:t>131</w:t>
      </w:r>
      <w:r w:rsidR="00346774">
        <w:rPr>
          <w:rStyle w:val="Referencingstyle"/>
        </w:rPr>
        <w:t>DD</w:t>
      </w:r>
      <w:r w:rsidRPr="009E5107">
        <w:rPr>
          <w:rStyle w:val="Referencingstyle"/>
        </w:rPr>
        <w:t>(</w:t>
      </w:r>
      <w:r>
        <w:rPr>
          <w:rStyle w:val="Referencingstyle"/>
        </w:rPr>
        <w:t>7</w:t>
      </w:r>
      <w:r w:rsidRPr="009E5107">
        <w:rPr>
          <w:rStyle w:val="Referencingstyle"/>
        </w:rPr>
        <w:t>)</w:t>
      </w:r>
      <w:r>
        <w:rPr>
          <w:rStyle w:val="Referencingstyle"/>
        </w:rPr>
        <w:t>]</w:t>
      </w:r>
    </w:p>
    <w:p w:rsidR="00F70F10" w:rsidRDefault="00F70F10" w:rsidP="00F70F10">
      <w:pPr>
        <w:pStyle w:val="Heading3"/>
      </w:pPr>
      <w:r>
        <w:t>Provision relating to all directions under the SIS Act</w:t>
      </w:r>
    </w:p>
    <w:p w:rsidR="00F70F10" w:rsidRDefault="00F70F10" w:rsidP="00F70F10">
      <w:pPr>
        <w:pStyle w:val="base-text-paragraph"/>
        <w:numPr>
          <w:ilvl w:val="1"/>
          <w:numId w:val="24"/>
        </w:numPr>
      </w:pPr>
      <w:r>
        <w:t xml:space="preserve">In addition to the directions that may be issued under Division 1 of Part 16A, </w:t>
      </w:r>
      <w:r w:rsidR="00742024">
        <w:t>Schedule 5</w:t>
      </w:r>
      <w:r>
        <w:t xml:space="preserve"> introduces provisions that relate to all directions that may be issued under the SIS Act.</w:t>
      </w:r>
    </w:p>
    <w:p w:rsidR="00F70F10" w:rsidRDefault="00F70F10" w:rsidP="00F70F10">
      <w:pPr>
        <w:pStyle w:val="base-text-paragraph"/>
        <w:numPr>
          <w:ilvl w:val="1"/>
          <w:numId w:val="24"/>
        </w:numPr>
      </w:pPr>
      <w:r>
        <w:t xml:space="preserve">These rules insert Division </w:t>
      </w:r>
      <w:r w:rsidR="00935EDD">
        <w:t xml:space="preserve">3 </w:t>
      </w:r>
      <w:r>
        <w:t xml:space="preserve">into Part 16A to: </w:t>
      </w:r>
    </w:p>
    <w:p w:rsidR="00F70F10" w:rsidRDefault="00F70F10" w:rsidP="00F70F10">
      <w:pPr>
        <w:pStyle w:val="dotpoint"/>
      </w:pPr>
      <w:r>
        <w:t xml:space="preserve">ensure that APRA can give more than one direction; </w:t>
      </w:r>
    </w:p>
    <w:p w:rsidR="00F70F10" w:rsidRDefault="00F70F10" w:rsidP="00F70F10">
      <w:pPr>
        <w:pStyle w:val="dotpoint"/>
      </w:pPr>
      <w:r>
        <w:t xml:space="preserve">ensure that RSE licensees and connected entities can comply with directions; </w:t>
      </w:r>
    </w:p>
    <w:p w:rsidR="00F70F10" w:rsidRDefault="00F70F10" w:rsidP="00F70F10">
      <w:pPr>
        <w:pStyle w:val="dotpoint"/>
      </w:pPr>
      <w:r>
        <w:t xml:space="preserve">provide protections from liability for complying with directions; </w:t>
      </w:r>
    </w:p>
    <w:p w:rsidR="00F70F10" w:rsidRDefault="00F70F10" w:rsidP="00F70F10">
      <w:pPr>
        <w:pStyle w:val="dotpoint"/>
      </w:pPr>
      <w:r>
        <w:t>provide for information about directions to be provided to the Treasurer; and</w:t>
      </w:r>
    </w:p>
    <w:p w:rsidR="00F70F10" w:rsidRDefault="00F70F10" w:rsidP="00F70F10">
      <w:pPr>
        <w:pStyle w:val="dotpoint"/>
      </w:pPr>
      <w:proofErr w:type="gramStart"/>
      <w:r>
        <w:lastRenderedPageBreak/>
        <w:t>ensure</w:t>
      </w:r>
      <w:proofErr w:type="gramEnd"/>
      <w:r>
        <w:t xml:space="preserve"> that a person does not have to comply with a direction that would result in the acquisition of property, other than on just terms.</w:t>
      </w:r>
    </w:p>
    <w:p w:rsidR="00F70F10" w:rsidRDefault="00F70F10" w:rsidP="00F70F10">
      <w:pPr>
        <w:pStyle w:val="Heading4"/>
      </w:pPr>
      <w:r>
        <w:t>APRA may give more than one direction</w:t>
      </w:r>
    </w:p>
    <w:p w:rsidR="00F70F10" w:rsidRPr="00220D04" w:rsidRDefault="00F70F10" w:rsidP="00F70F10">
      <w:pPr>
        <w:pStyle w:val="base-text-paragraph"/>
        <w:numPr>
          <w:ilvl w:val="1"/>
          <w:numId w:val="24"/>
        </w:numPr>
        <w:rPr>
          <w:rStyle w:val="Referencingstyle"/>
          <w:b w:val="0"/>
          <w:i w:val="0"/>
          <w:sz w:val="22"/>
        </w:rPr>
      </w:pPr>
      <w:r>
        <w:t>These amendments clarify that APR</w:t>
      </w:r>
      <w:r w:rsidR="00DF4DA7">
        <w:t>A</w:t>
      </w:r>
      <w:r>
        <w:t xml:space="preserve">’s ability to give a direction is not affected by the fact </w:t>
      </w:r>
      <w:r w:rsidR="00DF4DA7">
        <w:t xml:space="preserve">it has </w:t>
      </w:r>
      <w:r>
        <w:t xml:space="preserve">given, or </w:t>
      </w:r>
      <w:r w:rsidR="00DF4DA7">
        <w:t xml:space="preserve">can </w:t>
      </w:r>
      <w:r>
        <w:t xml:space="preserve">give, another direction under any provision of the SIS Act. </w:t>
      </w:r>
      <w:r w:rsidRPr="009E5107">
        <w:rPr>
          <w:rStyle w:val="Referencingstyle"/>
        </w:rPr>
        <w:t>[</w:t>
      </w:r>
      <w:r w:rsidR="00742024">
        <w:rPr>
          <w:rStyle w:val="Referencingstyle"/>
        </w:rPr>
        <w:t>Schedule 5</w:t>
      </w:r>
      <w:r w:rsidRPr="009E5107">
        <w:rPr>
          <w:rStyle w:val="Referencingstyle"/>
        </w:rPr>
        <w:t>, item</w:t>
      </w:r>
      <w:r>
        <w:rPr>
          <w:rStyle w:val="Referencingstyle"/>
        </w:rPr>
        <w:t> </w:t>
      </w:r>
      <w:r w:rsidR="00935EDD">
        <w:rPr>
          <w:rStyle w:val="Referencingstyle"/>
        </w:rPr>
        <w:t>10</w:t>
      </w:r>
      <w:r w:rsidRPr="009E5107">
        <w:rPr>
          <w:rStyle w:val="Referencingstyle"/>
        </w:rPr>
        <w:t xml:space="preserve">, </w:t>
      </w:r>
      <w:r>
        <w:rPr>
          <w:rStyle w:val="Referencingstyle"/>
        </w:rPr>
        <w:t>subsection </w:t>
      </w:r>
      <w:r w:rsidR="00935EDD" w:rsidRPr="009E5107">
        <w:rPr>
          <w:rStyle w:val="Referencingstyle"/>
        </w:rPr>
        <w:t>131</w:t>
      </w:r>
      <w:r w:rsidR="00935EDD">
        <w:rPr>
          <w:rStyle w:val="Referencingstyle"/>
        </w:rPr>
        <w:t>F</w:t>
      </w:r>
      <w:r w:rsidRPr="009E5107">
        <w:rPr>
          <w:rStyle w:val="Referencingstyle"/>
        </w:rPr>
        <w:t>(</w:t>
      </w:r>
      <w:r>
        <w:rPr>
          <w:rStyle w:val="Referencingstyle"/>
        </w:rPr>
        <w:t>1</w:t>
      </w:r>
      <w:r w:rsidRPr="009E5107">
        <w:rPr>
          <w:rStyle w:val="Referencingstyle"/>
        </w:rPr>
        <w:t>)</w:t>
      </w:r>
      <w:r>
        <w:rPr>
          <w:rStyle w:val="Referencingstyle"/>
        </w:rPr>
        <w:t>]</w:t>
      </w:r>
    </w:p>
    <w:p w:rsidR="00F70F10" w:rsidRDefault="00F70F10" w:rsidP="00F70F10">
      <w:pPr>
        <w:pStyle w:val="base-text-paragraph"/>
        <w:numPr>
          <w:ilvl w:val="1"/>
          <w:numId w:val="24"/>
        </w:numPr>
      </w:pPr>
      <w:r>
        <w:t>This ensures that APRA is able to use a combination of directions, where it is appropriate to do so, and clarifies that an earlier direction does not prevent APRA from issuing another direction.</w:t>
      </w:r>
    </w:p>
    <w:p w:rsidR="00F70F10" w:rsidRPr="00220D04" w:rsidRDefault="00F70F10" w:rsidP="00F70F10">
      <w:pPr>
        <w:pStyle w:val="base-text-paragraph"/>
        <w:numPr>
          <w:ilvl w:val="1"/>
          <w:numId w:val="24"/>
        </w:numPr>
      </w:pPr>
      <w:r>
        <w:t>The amendments also clarif</w:t>
      </w:r>
      <w:r w:rsidR="00B94B8B">
        <w:t>y</w:t>
      </w:r>
      <w:r>
        <w:t xml:space="preserve"> that the types of directions that may be given under a particular provision do not affect the type of connection that can be given under a different provision of the Act. </w:t>
      </w:r>
      <w:r w:rsidRPr="009E5107">
        <w:rPr>
          <w:rStyle w:val="Referencingstyle"/>
        </w:rPr>
        <w:t>[</w:t>
      </w:r>
      <w:r w:rsidR="00742024">
        <w:rPr>
          <w:rStyle w:val="Referencingstyle"/>
        </w:rPr>
        <w:t>Schedule 5</w:t>
      </w:r>
      <w:r w:rsidRPr="009E5107">
        <w:rPr>
          <w:rStyle w:val="Referencingstyle"/>
        </w:rPr>
        <w:t>, item</w:t>
      </w:r>
      <w:r>
        <w:rPr>
          <w:rStyle w:val="Referencingstyle"/>
        </w:rPr>
        <w:t> </w:t>
      </w:r>
      <w:r w:rsidR="008433D2">
        <w:rPr>
          <w:rStyle w:val="Referencingstyle"/>
        </w:rPr>
        <w:t>10</w:t>
      </w:r>
      <w:r w:rsidRPr="009E5107">
        <w:rPr>
          <w:rStyle w:val="Referencingstyle"/>
        </w:rPr>
        <w:t xml:space="preserve">, </w:t>
      </w:r>
      <w:r>
        <w:rPr>
          <w:rStyle w:val="Referencingstyle"/>
        </w:rPr>
        <w:t>subsection </w:t>
      </w:r>
      <w:r w:rsidR="00935EDD" w:rsidRPr="009E5107">
        <w:rPr>
          <w:rStyle w:val="Referencingstyle"/>
        </w:rPr>
        <w:t>131</w:t>
      </w:r>
      <w:r w:rsidR="00935EDD">
        <w:rPr>
          <w:rStyle w:val="Referencingstyle"/>
        </w:rPr>
        <w:t>F</w:t>
      </w:r>
      <w:r w:rsidRPr="009E5107">
        <w:rPr>
          <w:rStyle w:val="Referencingstyle"/>
        </w:rPr>
        <w:t>(</w:t>
      </w:r>
      <w:r>
        <w:rPr>
          <w:rStyle w:val="Referencingstyle"/>
        </w:rPr>
        <w:t>2</w:t>
      </w:r>
      <w:r w:rsidRPr="009E5107">
        <w:rPr>
          <w:rStyle w:val="Referencingstyle"/>
        </w:rPr>
        <w:t>)</w:t>
      </w:r>
      <w:r>
        <w:rPr>
          <w:rStyle w:val="Referencingstyle"/>
        </w:rPr>
        <w:t>]</w:t>
      </w:r>
    </w:p>
    <w:p w:rsidR="00F70F10" w:rsidRDefault="00F70F10" w:rsidP="00F70F10">
      <w:pPr>
        <w:pStyle w:val="Heading4"/>
      </w:pPr>
      <w:r>
        <w:t>RSE licensees and connected entities can comply with directions</w:t>
      </w:r>
    </w:p>
    <w:p w:rsidR="00F70F10" w:rsidRPr="009D5EAC" w:rsidRDefault="00F70F10" w:rsidP="00F70F10">
      <w:pPr>
        <w:pStyle w:val="base-text-paragraph"/>
        <w:numPr>
          <w:ilvl w:val="1"/>
          <w:numId w:val="24"/>
        </w:numPr>
        <w:rPr>
          <w:rStyle w:val="Referencingstyle"/>
          <w:b w:val="0"/>
          <w:i w:val="0"/>
          <w:sz w:val="22"/>
        </w:rPr>
      </w:pPr>
      <w:r>
        <w:t xml:space="preserve">If an RSE licensee is required to comply with any direction issued under the SIS Act, the licensee has the power to </w:t>
      </w:r>
      <w:r w:rsidR="00B23136">
        <w:t xml:space="preserve">comply </w:t>
      </w:r>
      <w:r>
        <w:t xml:space="preserve">with the direction despite anything in its constitution or any contract or arrangement that it has with another entity. </w:t>
      </w:r>
      <w:r w:rsidRPr="009E5107">
        <w:rPr>
          <w:rStyle w:val="Referencingstyle"/>
        </w:rPr>
        <w:t>[</w:t>
      </w:r>
      <w:r w:rsidR="00742024">
        <w:rPr>
          <w:rStyle w:val="Referencingstyle"/>
        </w:rPr>
        <w:t>Schedule 5</w:t>
      </w:r>
      <w:r w:rsidRPr="009E5107">
        <w:rPr>
          <w:rStyle w:val="Referencingstyle"/>
        </w:rPr>
        <w:t>, item</w:t>
      </w:r>
      <w:r>
        <w:rPr>
          <w:rStyle w:val="Referencingstyle"/>
        </w:rPr>
        <w:t> </w:t>
      </w:r>
      <w:r w:rsidR="00935EDD">
        <w:rPr>
          <w:rStyle w:val="Referencingstyle"/>
        </w:rPr>
        <w:t>10</w:t>
      </w:r>
      <w:r w:rsidRPr="009E5107">
        <w:rPr>
          <w:rStyle w:val="Referencingstyle"/>
        </w:rPr>
        <w:t xml:space="preserve">, </w:t>
      </w:r>
      <w:r>
        <w:rPr>
          <w:rStyle w:val="Referencingstyle"/>
        </w:rPr>
        <w:t>subsection </w:t>
      </w:r>
      <w:r w:rsidR="00935EDD" w:rsidRPr="009E5107">
        <w:rPr>
          <w:rStyle w:val="Referencingstyle"/>
        </w:rPr>
        <w:t>131</w:t>
      </w:r>
      <w:r w:rsidR="00935EDD">
        <w:rPr>
          <w:rStyle w:val="Referencingstyle"/>
        </w:rPr>
        <w:t>FA</w:t>
      </w:r>
      <w:r w:rsidRPr="009E5107">
        <w:rPr>
          <w:rStyle w:val="Referencingstyle"/>
        </w:rPr>
        <w:t>(</w:t>
      </w:r>
      <w:r>
        <w:rPr>
          <w:rStyle w:val="Referencingstyle"/>
        </w:rPr>
        <w:t>1</w:t>
      </w:r>
      <w:r w:rsidRPr="009E5107">
        <w:rPr>
          <w:rStyle w:val="Referencingstyle"/>
        </w:rPr>
        <w:t>)</w:t>
      </w:r>
      <w:r>
        <w:rPr>
          <w:rStyle w:val="Referencingstyle"/>
        </w:rPr>
        <w:t>]</w:t>
      </w:r>
    </w:p>
    <w:p w:rsidR="00F70F10" w:rsidRPr="009D5EAC" w:rsidRDefault="00F70F10" w:rsidP="00F70F10">
      <w:pPr>
        <w:pStyle w:val="base-text-paragraph"/>
        <w:numPr>
          <w:ilvl w:val="1"/>
          <w:numId w:val="24"/>
        </w:numPr>
        <w:rPr>
          <w:rStyle w:val="Referencingstyle"/>
          <w:b w:val="0"/>
          <w:i w:val="0"/>
          <w:sz w:val="22"/>
        </w:rPr>
      </w:pPr>
      <w:r>
        <w:t xml:space="preserve">A connected entity </w:t>
      </w:r>
      <w:r w:rsidR="00B94B8B">
        <w:t>that</w:t>
      </w:r>
      <w:r>
        <w:t xml:space="preserve"> is required to comply with direction issued under the SIS Act has the power to comply with the direction despite anything in its constitution or any contract or arrangement that it has with another entity. </w:t>
      </w:r>
      <w:r w:rsidRPr="009E5107">
        <w:rPr>
          <w:rStyle w:val="Referencingstyle"/>
        </w:rPr>
        <w:t>[</w:t>
      </w:r>
      <w:r w:rsidR="00742024">
        <w:rPr>
          <w:rStyle w:val="Referencingstyle"/>
        </w:rPr>
        <w:t>Schedule 5</w:t>
      </w:r>
      <w:r w:rsidRPr="009E5107">
        <w:rPr>
          <w:rStyle w:val="Referencingstyle"/>
        </w:rPr>
        <w:t>, item</w:t>
      </w:r>
      <w:r>
        <w:rPr>
          <w:rStyle w:val="Referencingstyle"/>
        </w:rPr>
        <w:t> </w:t>
      </w:r>
      <w:r w:rsidR="00935EDD">
        <w:rPr>
          <w:rStyle w:val="Referencingstyle"/>
        </w:rPr>
        <w:t>10</w:t>
      </w:r>
      <w:r w:rsidRPr="009E5107">
        <w:rPr>
          <w:rStyle w:val="Referencingstyle"/>
        </w:rPr>
        <w:t xml:space="preserve">, </w:t>
      </w:r>
      <w:r>
        <w:rPr>
          <w:rStyle w:val="Referencingstyle"/>
        </w:rPr>
        <w:t>subsection </w:t>
      </w:r>
      <w:r w:rsidR="00935EDD" w:rsidRPr="009E5107">
        <w:rPr>
          <w:rStyle w:val="Referencingstyle"/>
        </w:rPr>
        <w:t>131</w:t>
      </w:r>
      <w:r w:rsidR="00935EDD">
        <w:rPr>
          <w:rStyle w:val="Referencingstyle"/>
        </w:rPr>
        <w:t>FA</w:t>
      </w:r>
      <w:r w:rsidRPr="009E5107">
        <w:rPr>
          <w:rStyle w:val="Referencingstyle"/>
        </w:rPr>
        <w:t>(</w:t>
      </w:r>
      <w:r>
        <w:rPr>
          <w:rStyle w:val="Referencingstyle"/>
        </w:rPr>
        <w:t>3</w:t>
      </w:r>
      <w:r w:rsidRPr="009E5107">
        <w:rPr>
          <w:rStyle w:val="Referencingstyle"/>
        </w:rPr>
        <w:t>)</w:t>
      </w:r>
      <w:r>
        <w:rPr>
          <w:rStyle w:val="Referencingstyle"/>
        </w:rPr>
        <w:t>]</w:t>
      </w:r>
    </w:p>
    <w:p w:rsidR="00F70F10" w:rsidRDefault="00F70F10" w:rsidP="00F70F10">
      <w:pPr>
        <w:pStyle w:val="base-text-paragraph"/>
        <w:numPr>
          <w:ilvl w:val="1"/>
          <w:numId w:val="24"/>
        </w:numPr>
      </w:pPr>
      <w:r>
        <w:t>RSE licensees also have the power to cause a connected entity to do, or not to do, something in accordance with a direction. Similarly, the connected entity has the power to do the thing, or not do the thing</w:t>
      </w:r>
      <w:r w:rsidR="00B94B8B">
        <w:t>,</w:t>
      </w:r>
      <w:r>
        <w:t xml:space="preserve"> that is required of it. These powers exist irrespective of anything in the connected entity’s constitution, or any contract or arrangement to which it is a party. </w:t>
      </w:r>
      <w:r w:rsidRPr="009E5107">
        <w:rPr>
          <w:rStyle w:val="Referencingstyle"/>
        </w:rPr>
        <w:t>[</w:t>
      </w:r>
      <w:r w:rsidR="00742024">
        <w:rPr>
          <w:rStyle w:val="Referencingstyle"/>
        </w:rPr>
        <w:t>Schedule 5</w:t>
      </w:r>
      <w:r w:rsidRPr="009E5107">
        <w:rPr>
          <w:rStyle w:val="Referencingstyle"/>
        </w:rPr>
        <w:t xml:space="preserve">, </w:t>
      </w:r>
      <w:r w:rsidR="00935EDD" w:rsidRPr="009E5107">
        <w:rPr>
          <w:rStyle w:val="Referencingstyle"/>
        </w:rPr>
        <w:t>item</w:t>
      </w:r>
      <w:r w:rsidR="008433D2">
        <w:rPr>
          <w:rStyle w:val="Referencingstyle"/>
        </w:rPr>
        <w:t xml:space="preserve"> </w:t>
      </w:r>
      <w:r w:rsidR="00935EDD">
        <w:rPr>
          <w:rStyle w:val="Referencingstyle"/>
        </w:rPr>
        <w:t>10</w:t>
      </w:r>
      <w:r w:rsidRPr="009E5107">
        <w:rPr>
          <w:rStyle w:val="Referencingstyle"/>
        </w:rPr>
        <w:t xml:space="preserve">, </w:t>
      </w:r>
      <w:r>
        <w:rPr>
          <w:rStyle w:val="Referencingstyle"/>
        </w:rPr>
        <w:t>subsection </w:t>
      </w:r>
      <w:r w:rsidR="00935EDD" w:rsidRPr="009E5107">
        <w:rPr>
          <w:rStyle w:val="Referencingstyle"/>
        </w:rPr>
        <w:t>131</w:t>
      </w:r>
      <w:r w:rsidR="00935EDD">
        <w:rPr>
          <w:rStyle w:val="Referencingstyle"/>
        </w:rPr>
        <w:t>FA</w:t>
      </w:r>
      <w:r w:rsidRPr="009E5107">
        <w:rPr>
          <w:rStyle w:val="Referencingstyle"/>
        </w:rPr>
        <w:t>(</w:t>
      </w:r>
      <w:r>
        <w:rPr>
          <w:rStyle w:val="Referencingstyle"/>
        </w:rPr>
        <w:t>2</w:t>
      </w:r>
      <w:r w:rsidRPr="009E5107">
        <w:rPr>
          <w:rStyle w:val="Referencingstyle"/>
        </w:rPr>
        <w:t>)</w:t>
      </w:r>
      <w:r>
        <w:rPr>
          <w:rStyle w:val="Referencingstyle"/>
        </w:rPr>
        <w:t>]</w:t>
      </w:r>
    </w:p>
    <w:p w:rsidR="00F70F10" w:rsidRDefault="00F70F10" w:rsidP="00F70F10">
      <w:pPr>
        <w:pStyle w:val="base-text-paragraph"/>
        <w:numPr>
          <w:ilvl w:val="1"/>
          <w:numId w:val="24"/>
        </w:numPr>
      </w:pPr>
      <w:r>
        <w:t>These amendments ensure that any obligation to comply with a direction takes priority over other requirements that an RSE licensee or connected entity would otherwise be subject to that would prevent them from complying with the direction.</w:t>
      </w:r>
    </w:p>
    <w:p w:rsidR="00F70F10" w:rsidRDefault="00F70F10" w:rsidP="00F70F10">
      <w:pPr>
        <w:pStyle w:val="Heading4"/>
      </w:pPr>
      <w:r>
        <w:lastRenderedPageBreak/>
        <w:t>Protection from liability</w:t>
      </w:r>
    </w:p>
    <w:p w:rsidR="00F70F10" w:rsidRDefault="00F70F10" w:rsidP="00F70F10">
      <w:pPr>
        <w:pStyle w:val="Heading5"/>
      </w:pPr>
      <w:r>
        <w:t>General protection from liability</w:t>
      </w:r>
    </w:p>
    <w:p w:rsidR="00F70F10" w:rsidRDefault="00F70F10" w:rsidP="00F70F10">
      <w:pPr>
        <w:pStyle w:val="base-text-paragraph"/>
        <w:numPr>
          <w:ilvl w:val="1"/>
          <w:numId w:val="24"/>
        </w:numPr>
      </w:pPr>
      <w:r>
        <w:t xml:space="preserve">The amendments also prevent a person from being subject to any liability that would otherwise arise from any act or omission that is performed in good faith and without negligence in complying with the performance of powers, functions or duties under the SIS Act. </w:t>
      </w:r>
      <w:r w:rsidRPr="009E5107">
        <w:rPr>
          <w:rStyle w:val="Referencingstyle"/>
        </w:rPr>
        <w:t>[</w:t>
      </w:r>
      <w:r w:rsidR="00742024">
        <w:rPr>
          <w:rStyle w:val="Referencingstyle"/>
        </w:rPr>
        <w:t>Schedule 5</w:t>
      </w:r>
      <w:r w:rsidRPr="009E5107">
        <w:rPr>
          <w:rStyle w:val="Referencingstyle"/>
        </w:rPr>
        <w:t>, item</w:t>
      </w:r>
      <w:r>
        <w:rPr>
          <w:rStyle w:val="Referencingstyle"/>
        </w:rPr>
        <w:t> </w:t>
      </w:r>
      <w:r w:rsidR="00935EDD">
        <w:rPr>
          <w:rStyle w:val="Referencingstyle"/>
        </w:rPr>
        <w:t>10</w:t>
      </w:r>
      <w:r w:rsidRPr="009E5107">
        <w:rPr>
          <w:rStyle w:val="Referencingstyle"/>
        </w:rPr>
        <w:t xml:space="preserve">, </w:t>
      </w:r>
      <w:r>
        <w:rPr>
          <w:rStyle w:val="Referencingstyle"/>
        </w:rPr>
        <w:t>subsection </w:t>
      </w:r>
      <w:r w:rsidR="00935EDD" w:rsidRPr="009E5107">
        <w:rPr>
          <w:rStyle w:val="Referencingstyle"/>
        </w:rPr>
        <w:t>131</w:t>
      </w:r>
      <w:r w:rsidR="00935EDD">
        <w:rPr>
          <w:rStyle w:val="Referencingstyle"/>
        </w:rPr>
        <w:t>FB</w:t>
      </w:r>
      <w:r w:rsidRPr="009E5107">
        <w:rPr>
          <w:rStyle w:val="Referencingstyle"/>
        </w:rPr>
        <w:t>(</w:t>
      </w:r>
      <w:r>
        <w:rPr>
          <w:rStyle w:val="Referencingstyle"/>
        </w:rPr>
        <w:t>1</w:t>
      </w:r>
      <w:r w:rsidRPr="009E5107">
        <w:rPr>
          <w:rStyle w:val="Referencingstyle"/>
        </w:rPr>
        <w:t>)</w:t>
      </w:r>
      <w:r>
        <w:rPr>
          <w:rStyle w:val="Referencingstyle"/>
        </w:rPr>
        <w:t>]</w:t>
      </w:r>
    </w:p>
    <w:p w:rsidR="00F70F10" w:rsidRPr="00480AE6" w:rsidRDefault="00F70F10" w:rsidP="00F70F10">
      <w:pPr>
        <w:pStyle w:val="base-text-paragraph"/>
        <w:numPr>
          <w:ilvl w:val="1"/>
          <w:numId w:val="24"/>
        </w:numPr>
        <w:rPr>
          <w:rStyle w:val="Referencingstyle"/>
          <w:b w:val="0"/>
          <w:i w:val="0"/>
          <w:sz w:val="22"/>
        </w:rPr>
      </w:pPr>
      <w:r>
        <w:t>This general protection from liability ensures that persons who genuinely comply with the provisions of the SIS Act are not subject to liability for having done so.</w:t>
      </w:r>
    </w:p>
    <w:p w:rsidR="00F70F10" w:rsidRDefault="00F70F10" w:rsidP="00F70F10">
      <w:pPr>
        <w:pStyle w:val="base-text-paragraph"/>
        <w:numPr>
          <w:ilvl w:val="1"/>
          <w:numId w:val="24"/>
        </w:numPr>
      </w:pPr>
      <w:r>
        <w:t xml:space="preserve">The general protection extends to the provision of any information by an auditor or actuary to APRA under section 130A </w:t>
      </w:r>
      <w:r w:rsidR="00B23136">
        <w:t>of the SIS Act</w:t>
      </w:r>
      <w:r>
        <w:t xml:space="preserve"> (which relates to circumstances in which an auditor or actuary considers that giving the information will assist APRA in performing its function under the SIS Act). </w:t>
      </w:r>
      <w:r w:rsidRPr="009E5107">
        <w:rPr>
          <w:rStyle w:val="Referencingstyle"/>
        </w:rPr>
        <w:t>[</w:t>
      </w:r>
      <w:r w:rsidR="00742024">
        <w:rPr>
          <w:rStyle w:val="Referencingstyle"/>
        </w:rPr>
        <w:t>Schedule 5</w:t>
      </w:r>
      <w:r w:rsidRPr="009E5107">
        <w:rPr>
          <w:rStyle w:val="Referencingstyle"/>
        </w:rPr>
        <w:t>, item</w:t>
      </w:r>
      <w:r>
        <w:rPr>
          <w:rStyle w:val="Referencingstyle"/>
        </w:rPr>
        <w:t> </w:t>
      </w:r>
      <w:r w:rsidR="00935EDD">
        <w:rPr>
          <w:rStyle w:val="Referencingstyle"/>
        </w:rPr>
        <w:t>10</w:t>
      </w:r>
      <w:r w:rsidRPr="009E5107">
        <w:rPr>
          <w:rStyle w:val="Referencingstyle"/>
        </w:rPr>
        <w:t xml:space="preserve">, </w:t>
      </w:r>
      <w:r>
        <w:rPr>
          <w:rStyle w:val="Referencingstyle"/>
        </w:rPr>
        <w:t>subsection </w:t>
      </w:r>
      <w:r w:rsidR="00935EDD" w:rsidRPr="009E5107">
        <w:rPr>
          <w:rStyle w:val="Referencingstyle"/>
        </w:rPr>
        <w:t>131</w:t>
      </w:r>
      <w:r w:rsidR="00935EDD">
        <w:rPr>
          <w:rStyle w:val="Referencingstyle"/>
        </w:rPr>
        <w:t>FB</w:t>
      </w:r>
      <w:r w:rsidRPr="009E5107">
        <w:rPr>
          <w:rStyle w:val="Referencingstyle"/>
        </w:rPr>
        <w:t>(</w:t>
      </w:r>
      <w:r>
        <w:rPr>
          <w:rStyle w:val="Referencingstyle"/>
        </w:rPr>
        <w:t>2</w:t>
      </w:r>
      <w:r w:rsidRPr="009E5107">
        <w:rPr>
          <w:rStyle w:val="Referencingstyle"/>
        </w:rPr>
        <w:t>)</w:t>
      </w:r>
      <w:r>
        <w:rPr>
          <w:rStyle w:val="Referencingstyle"/>
        </w:rPr>
        <w:t>]</w:t>
      </w:r>
    </w:p>
    <w:p w:rsidR="00F70F10" w:rsidRDefault="00F70F10" w:rsidP="00F70F10">
      <w:pPr>
        <w:pStyle w:val="base-text-paragraph"/>
        <w:numPr>
          <w:ilvl w:val="1"/>
          <w:numId w:val="24"/>
        </w:numPr>
      </w:pPr>
      <w:r>
        <w:t xml:space="preserve">However, this general protection does not apply persons referred to in section 58 of the </w:t>
      </w:r>
      <w:r>
        <w:rPr>
          <w:i/>
        </w:rPr>
        <w:t>Australian Prudential Regulation Authority Act 1998</w:t>
      </w:r>
      <w:r>
        <w:t xml:space="preserve"> </w:t>
      </w:r>
      <w:r w:rsidR="00B23136">
        <w:t xml:space="preserve">(APRA Act) </w:t>
      </w:r>
      <w:r>
        <w:t xml:space="preserve">or affect the operation of that section. </w:t>
      </w:r>
      <w:r w:rsidRPr="009E5107">
        <w:rPr>
          <w:rStyle w:val="Referencingstyle"/>
        </w:rPr>
        <w:t>[</w:t>
      </w:r>
      <w:r w:rsidR="00742024">
        <w:rPr>
          <w:rStyle w:val="Referencingstyle"/>
        </w:rPr>
        <w:t>Schedule 5</w:t>
      </w:r>
      <w:r w:rsidRPr="009E5107">
        <w:rPr>
          <w:rStyle w:val="Referencingstyle"/>
        </w:rPr>
        <w:t>, item</w:t>
      </w:r>
      <w:r>
        <w:rPr>
          <w:rStyle w:val="Referencingstyle"/>
        </w:rPr>
        <w:t> </w:t>
      </w:r>
      <w:r w:rsidR="00935EDD">
        <w:rPr>
          <w:rStyle w:val="Referencingstyle"/>
        </w:rPr>
        <w:t>10</w:t>
      </w:r>
      <w:r w:rsidRPr="009E5107">
        <w:rPr>
          <w:rStyle w:val="Referencingstyle"/>
        </w:rPr>
        <w:t xml:space="preserve">, </w:t>
      </w:r>
      <w:r>
        <w:rPr>
          <w:rStyle w:val="Referencingstyle"/>
        </w:rPr>
        <w:t>subsection </w:t>
      </w:r>
      <w:r w:rsidR="00935EDD" w:rsidRPr="009E5107">
        <w:rPr>
          <w:rStyle w:val="Referencingstyle"/>
        </w:rPr>
        <w:t>131</w:t>
      </w:r>
      <w:r w:rsidR="00935EDD">
        <w:rPr>
          <w:rStyle w:val="Referencingstyle"/>
        </w:rPr>
        <w:t>FB</w:t>
      </w:r>
      <w:r w:rsidRPr="009E5107">
        <w:rPr>
          <w:rStyle w:val="Referencingstyle"/>
        </w:rPr>
        <w:t>(</w:t>
      </w:r>
      <w:r>
        <w:rPr>
          <w:rStyle w:val="Referencingstyle"/>
        </w:rPr>
        <w:t>3</w:t>
      </w:r>
      <w:r w:rsidRPr="009E5107">
        <w:rPr>
          <w:rStyle w:val="Referencingstyle"/>
        </w:rPr>
        <w:t>)</w:t>
      </w:r>
      <w:r>
        <w:rPr>
          <w:rStyle w:val="Referencingstyle"/>
        </w:rPr>
        <w:t>]</w:t>
      </w:r>
    </w:p>
    <w:p w:rsidR="00F70F10" w:rsidRDefault="00F70F10" w:rsidP="00F70F10">
      <w:pPr>
        <w:pStyle w:val="base-text-paragraph"/>
        <w:numPr>
          <w:ilvl w:val="1"/>
          <w:numId w:val="24"/>
        </w:numPr>
      </w:pPr>
      <w:r>
        <w:t xml:space="preserve">Section 58 of the </w:t>
      </w:r>
      <w:r w:rsidR="00B23136">
        <w:t xml:space="preserve">APRA Act </w:t>
      </w:r>
      <w:r>
        <w:t>provides a protection from liability to APRA, its staff members and its agents. Limiting the general protection in the SIS Act to persons that are not covered by section 58 is appropriate because the protections in section 58 are specifically targeted towards APRA, its staff members and agents.</w:t>
      </w:r>
    </w:p>
    <w:p w:rsidR="00F70F10" w:rsidRDefault="00F70F10" w:rsidP="00F70F10">
      <w:pPr>
        <w:pStyle w:val="Heading5"/>
      </w:pPr>
      <w:r>
        <w:t>Protection from liability for complying with direction</w:t>
      </w:r>
    </w:p>
    <w:p w:rsidR="00F70F10" w:rsidRDefault="00F70F10" w:rsidP="00F70F10">
      <w:pPr>
        <w:pStyle w:val="base-text-paragraph"/>
        <w:numPr>
          <w:ilvl w:val="1"/>
          <w:numId w:val="24"/>
        </w:numPr>
      </w:pPr>
      <w:r>
        <w:t xml:space="preserve">In addition to the general protection with complying with the SIS Act, these amendments also prevent any action, suit or proceeding (whether criminal or civil) from being brought against a person who does something, or omits doing something, in compliance with a direction given by APRA to an RSE licensee or </w:t>
      </w:r>
      <w:r w:rsidR="00F63AC6">
        <w:t xml:space="preserve">a </w:t>
      </w:r>
      <w:r>
        <w:t xml:space="preserve">connected entity. </w:t>
      </w:r>
      <w:r w:rsidRPr="009E5107">
        <w:rPr>
          <w:rStyle w:val="Referencingstyle"/>
        </w:rPr>
        <w:t>[</w:t>
      </w:r>
      <w:r w:rsidR="00742024">
        <w:rPr>
          <w:rStyle w:val="Referencingstyle"/>
        </w:rPr>
        <w:t>Schedule 5</w:t>
      </w:r>
      <w:r w:rsidRPr="009E5107">
        <w:rPr>
          <w:rStyle w:val="Referencingstyle"/>
        </w:rPr>
        <w:t>, item</w:t>
      </w:r>
      <w:r>
        <w:rPr>
          <w:rStyle w:val="Referencingstyle"/>
        </w:rPr>
        <w:t> </w:t>
      </w:r>
      <w:r w:rsidR="00935EDD">
        <w:rPr>
          <w:rStyle w:val="Referencingstyle"/>
        </w:rPr>
        <w:t>10</w:t>
      </w:r>
      <w:r w:rsidRPr="009E5107">
        <w:rPr>
          <w:rStyle w:val="Referencingstyle"/>
        </w:rPr>
        <w:t xml:space="preserve">, </w:t>
      </w:r>
      <w:r>
        <w:rPr>
          <w:rStyle w:val="Referencingstyle"/>
        </w:rPr>
        <w:t>paragraphs </w:t>
      </w:r>
      <w:r w:rsidR="00935EDD" w:rsidRPr="009E5107">
        <w:rPr>
          <w:rStyle w:val="Referencingstyle"/>
        </w:rPr>
        <w:t>131</w:t>
      </w:r>
      <w:r w:rsidR="00935EDD">
        <w:rPr>
          <w:rStyle w:val="Referencingstyle"/>
        </w:rPr>
        <w:t>FC</w:t>
      </w:r>
      <w:r w:rsidRPr="009E5107">
        <w:rPr>
          <w:rStyle w:val="Referencingstyle"/>
        </w:rPr>
        <w:t>(</w:t>
      </w:r>
      <w:r>
        <w:rPr>
          <w:rStyle w:val="Referencingstyle"/>
        </w:rPr>
        <w:t>1</w:t>
      </w:r>
      <w:r w:rsidRPr="009E5107">
        <w:rPr>
          <w:rStyle w:val="Referencingstyle"/>
        </w:rPr>
        <w:t>)</w:t>
      </w:r>
      <w:r>
        <w:rPr>
          <w:rStyle w:val="Referencingstyle"/>
        </w:rPr>
        <w:t>(a)]</w:t>
      </w:r>
    </w:p>
    <w:p w:rsidR="00F70F10" w:rsidRDefault="00F70F10" w:rsidP="00F70F10">
      <w:pPr>
        <w:pStyle w:val="base-text-paragraph"/>
        <w:numPr>
          <w:ilvl w:val="1"/>
          <w:numId w:val="24"/>
        </w:numPr>
      </w:pPr>
      <w:r>
        <w:t xml:space="preserve">For this protection to apply, it must have been reasonable for the person to do the thing, or omit to do thing, and the person must be an officer, agent or employee of the RSE licensee or connected entity. </w:t>
      </w:r>
      <w:r w:rsidRPr="009E5107">
        <w:rPr>
          <w:rStyle w:val="Referencingstyle"/>
        </w:rPr>
        <w:t>[</w:t>
      </w:r>
      <w:r w:rsidR="00742024">
        <w:rPr>
          <w:rStyle w:val="Referencingstyle"/>
        </w:rPr>
        <w:t>Schedule 5</w:t>
      </w:r>
      <w:r w:rsidRPr="009E5107">
        <w:rPr>
          <w:rStyle w:val="Referencingstyle"/>
        </w:rPr>
        <w:t>, item</w:t>
      </w:r>
      <w:r>
        <w:rPr>
          <w:rStyle w:val="Referencingstyle"/>
        </w:rPr>
        <w:t> </w:t>
      </w:r>
      <w:r w:rsidR="00935EDD">
        <w:rPr>
          <w:rStyle w:val="Referencingstyle"/>
        </w:rPr>
        <w:t>10</w:t>
      </w:r>
      <w:r w:rsidRPr="009E5107">
        <w:rPr>
          <w:rStyle w:val="Referencingstyle"/>
        </w:rPr>
        <w:t xml:space="preserve"> </w:t>
      </w:r>
      <w:r>
        <w:rPr>
          <w:rStyle w:val="Referencingstyle"/>
        </w:rPr>
        <w:t>paragraphs </w:t>
      </w:r>
      <w:r w:rsidR="00935EDD" w:rsidRPr="009E5107">
        <w:rPr>
          <w:rStyle w:val="Referencingstyle"/>
        </w:rPr>
        <w:t>131</w:t>
      </w:r>
      <w:r w:rsidR="00935EDD">
        <w:rPr>
          <w:rStyle w:val="Referencingstyle"/>
        </w:rPr>
        <w:t>FC</w:t>
      </w:r>
      <w:r w:rsidRPr="009E5107">
        <w:rPr>
          <w:rStyle w:val="Referencingstyle"/>
        </w:rPr>
        <w:t>(</w:t>
      </w:r>
      <w:r>
        <w:rPr>
          <w:rStyle w:val="Referencingstyle"/>
        </w:rPr>
        <w:t>1</w:t>
      </w:r>
      <w:r w:rsidRPr="009E5107">
        <w:rPr>
          <w:rStyle w:val="Referencingstyle"/>
        </w:rPr>
        <w:t>)</w:t>
      </w:r>
      <w:r>
        <w:rPr>
          <w:rStyle w:val="Referencingstyle"/>
        </w:rPr>
        <w:t>(b) and (c)]</w:t>
      </w:r>
    </w:p>
    <w:p w:rsidR="00F70F10" w:rsidRDefault="00F70F10" w:rsidP="00F70F10">
      <w:pPr>
        <w:pStyle w:val="base-text-paragraph"/>
        <w:numPr>
          <w:ilvl w:val="1"/>
          <w:numId w:val="24"/>
        </w:numPr>
      </w:pPr>
      <w:r>
        <w:t xml:space="preserve">These protections are necessary to ensure that persons can take the action that is required to ensure compliance with a direction given under the SIS Act. The protections are particularly relevant given the </w:t>
      </w:r>
      <w:r>
        <w:lastRenderedPageBreak/>
        <w:t>penalties that apply for not complying with a direction, and the fact that RSE licensees and connected entities are empowered to comply despite provision in their constitution, or any other contract or arrangement, that would otherwise prevent them from complying.</w:t>
      </w:r>
    </w:p>
    <w:p w:rsidR="00F70F10" w:rsidRPr="004E1654" w:rsidRDefault="00F70F10" w:rsidP="00F70F10">
      <w:pPr>
        <w:pStyle w:val="base-text-paragraph"/>
        <w:numPr>
          <w:ilvl w:val="1"/>
          <w:numId w:val="24"/>
        </w:numPr>
        <w:rPr>
          <w:rStyle w:val="Referencingstyle"/>
          <w:b w:val="0"/>
          <w:i w:val="0"/>
          <w:sz w:val="22"/>
        </w:rPr>
      </w:pPr>
      <w:r>
        <w:t xml:space="preserve">For the purposes of this protection from liability, the term </w:t>
      </w:r>
      <w:r w:rsidRPr="00A433BE">
        <w:rPr>
          <w:i/>
        </w:rPr>
        <w:t>officer</w:t>
      </w:r>
      <w:r>
        <w:t xml:space="preserve"> has the meaning given by section 9 of the </w:t>
      </w:r>
      <w:r w:rsidRPr="00132E56">
        <w:t>Corporations Act</w:t>
      </w:r>
      <w:r>
        <w:t xml:space="preserve">, and the term </w:t>
      </w:r>
      <w:r w:rsidRPr="00132E56">
        <w:rPr>
          <w:i/>
        </w:rPr>
        <w:t>employee</w:t>
      </w:r>
      <w:r>
        <w:t xml:space="preserve"> means a person who is engaged to provide advice or services to the RSE licensee or connected entity. </w:t>
      </w:r>
      <w:r w:rsidRPr="009E5107">
        <w:rPr>
          <w:rStyle w:val="Referencingstyle"/>
        </w:rPr>
        <w:t>[</w:t>
      </w:r>
      <w:r w:rsidR="00742024">
        <w:rPr>
          <w:rStyle w:val="Referencingstyle"/>
        </w:rPr>
        <w:t>Schedule 5</w:t>
      </w:r>
      <w:r w:rsidRPr="009E5107">
        <w:rPr>
          <w:rStyle w:val="Referencingstyle"/>
        </w:rPr>
        <w:t>, item</w:t>
      </w:r>
      <w:r>
        <w:rPr>
          <w:rStyle w:val="Referencingstyle"/>
        </w:rPr>
        <w:t> </w:t>
      </w:r>
      <w:r w:rsidR="00935EDD">
        <w:rPr>
          <w:rStyle w:val="Referencingstyle"/>
        </w:rPr>
        <w:t>10</w:t>
      </w:r>
      <w:r w:rsidRPr="009E5107">
        <w:rPr>
          <w:rStyle w:val="Referencingstyle"/>
        </w:rPr>
        <w:t xml:space="preserve">, </w:t>
      </w:r>
      <w:r>
        <w:rPr>
          <w:rStyle w:val="Referencingstyle"/>
        </w:rPr>
        <w:t>subsection </w:t>
      </w:r>
      <w:r w:rsidR="00935EDD" w:rsidRPr="009E5107">
        <w:rPr>
          <w:rStyle w:val="Referencingstyle"/>
        </w:rPr>
        <w:t>131</w:t>
      </w:r>
      <w:r w:rsidR="00935EDD">
        <w:rPr>
          <w:rStyle w:val="Referencingstyle"/>
        </w:rPr>
        <w:t>FC</w:t>
      </w:r>
      <w:r w:rsidRPr="009E5107">
        <w:rPr>
          <w:rStyle w:val="Referencingstyle"/>
        </w:rPr>
        <w:t>(</w:t>
      </w:r>
      <w:r>
        <w:rPr>
          <w:rStyle w:val="Referencingstyle"/>
        </w:rPr>
        <w:t>2</w:t>
      </w:r>
      <w:r w:rsidRPr="009E5107">
        <w:rPr>
          <w:rStyle w:val="Referencingstyle"/>
        </w:rPr>
        <w:t>)</w:t>
      </w:r>
      <w:r>
        <w:rPr>
          <w:rStyle w:val="Referencingstyle"/>
        </w:rPr>
        <w:t>]</w:t>
      </w:r>
    </w:p>
    <w:p w:rsidR="00F70F10" w:rsidRDefault="00F70F10" w:rsidP="00F70F10">
      <w:pPr>
        <w:pStyle w:val="base-text-paragraph"/>
        <w:numPr>
          <w:ilvl w:val="1"/>
          <w:numId w:val="24"/>
        </w:numPr>
      </w:pPr>
      <w:r w:rsidRPr="004E1654">
        <w:t xml:space="preserve">This </w:t>
      </w:r>
      <w:r w:rsidR="00F63AC6">
        <w:t xml:space="preserve">meaning </w:t>
      </w:r>
      <w:r>
        <w:t>of employee is an expansive one, and enables the protection from liability to extend to persons who undertake a range of functions on behalf of a licensee or connected entity.</w:t>
      </w:r>
    </w:p>
    <w:p w:rsidR="00F70F10" w:rsidRDefault="00F70F10" w:rsidP="00F70F10">
      <w:pPr>
        <w:pStyle w:val="Heading5"/>
      </w:pPr>
      <w:r>
        <w:t>Protections do not limit each another</w:t>
      </w:r>
    </w:p>
    <w:p w:rsidR="00F70F10" w:rsidRPr="004E1654" w:rsidRDefault="00F70F10" w:rsidP="00F70F10">
      <w:pPr>
        <w:pStyle w:val="base-text-paragraph"/>
        <w:numPr>
          <w:ilvl w:val="1"/>
          <w:numId w:val="24"/>
        </w:numPr>
        <w:rPr>
          <w:rStyle w:val="Referencingstyle"/>
          <w:b w:val="0"/>
          <w:i w:val="0"/>
          <w:sz w:val="22"/>
        </w:rPr>
      </w:pPr>
      <w:r>
        <w:t xml:space="preserve">The amendments also clarify that the various protections offered by section 336B (protections for disclosure by </w:t>
      </w:r>
      <w:proofErr w:type="spellStart"/>
      <w:r>
        <w:t>whistleblowers</w:t>
      </w:r>
      <w:proofErr w:type="spellEnd"/>
      <w:r>
        <w:t xml:space="preserve">), </w:t>
      </w:r>
      <w:r w:rsidR="008433D2">
        <w:t>section </w:t>
      </w:r>
      <w:r>
        <w:t xml:space="preserve">131RA (the general protection for compliance with the SIS Act), section 131S (protection for complying with a direction) and section 58 of the </w:t>
      </w:r>
      <w:r w:rsidR="00B23136">
        <w:t xml:space="preserve">APRA Act </w:t>
      </w:r>
      <w:r>
        <w:t xml:space="preserve">(protection for APRA, APRA members or agent) do not limit each other. </w:t>
      </w:r>
      <w:r w:rsidRPr="009E5107">
        <w:rPr>
          <w:rStyle w:val="Referencingstyle"/>
        </w:rPr>
        <w:t>[</w:t>
      </w:r>
      <w:r w:rsidR="00742024">
        <w:rPr>
          <w:rStyle w:val="Referencingstyle"/>
        </w:rPr>
        <w:t>Schedule 5</w:t>
      </w:r>
      <w:r w:rsidRPr="009E5107">
        <w:rPr>
          <w:rStyle w:val="Referencingstyle"/>
        </w:rPr>
        <w:t>, item</w:t>
      </w:r>
      <w:r>
        <w:rPr>
          <w:rStyle w:val="Referencingstyle"/>
        </w:rPr>
        <w:t> </w:t>
      </w:r>
      <w:r w:rsidR="00935EDD">
        <w:rPr>
          <w:rStyle w:val="Referencingstyle"/>
        </w:rPr>
        <w:t>10</w:t>
      </w:r>
      <w:r w:rsidRPr="009E5107">
        <w:rPr>
          <w:rStyle w:val="Referencingstyle"/>
        </w:rPr>
        <w:t xml:space="preserve">, </w:t>
      </w:r>
      <w:r>
        <w:rPr>
          <w:rStyle w:val="Referencingstyle"/>
        </w:rPr>
        <w:t>section </w:t>
      </w:r>
      <w:r w:rsidR="00935EDD" w:rsidRPr="009E5107">
        <w:rPr>
          <w:rStyle w:val="Referencingstyle"/>
        </w:rPr>
        <w:t>131</w:t>
      </w:r>
      <w:r w:rsidR="00935EDD">
        <w:rPr>
          <w:rStyle w:val="Referencingstyle"/>
        </w:rPr>
        <w:t>FD</w:t>
      </w:r>
      <w:r>
        <w:rPr>
          <w:rStyle w:val="Referencingstyle"/>
        </w:rPr>
        <w:t>]</w:t>
      </w:r>
    </w:p>
    <w:p w:rsidR="00F70F10" w:rsidRPr="004E1654" w:rsidRDefault="00F70F10" w:rsidP="00F70F10">
      <w:pPr>
        <w:pStyle w:val="base-text-paragraph"/>
        <w:numPr>
          <w:ilvl w:val="1"/>
          <w:numId w:val="24"/>
        </w:numPr>
      </w:pPr>
      <w:r>
        <w:t>As a result, a person who is covered by more than one of the above protections can be protected by liability under more than one provision. Similarly, a failure to be protected by one of the provisions does not affect the protection that a person may receive under another provision.</w:t>
      </w:r>
    </w:p>
    <w:p w:rsidR="00F70F10" w:rsidRDefault="00F70F10" w:rsidP="00F70F10">
      <w:pPr>
        <w:pStyle w:val="Heading4"/>
      </w:pPr>
      <w:r>
        <w:t>Providing information to the Treasurer</w:t>
      </w:r>
    </w:p>
    <w:p w:rsidR="00F70F10" w:rsidRPr="004E1654" w:rsidRDefault="00F70F10" w:rsidP="00F70F10">
      <w:pPr>
        <w:pStyle w:val="base-text-paragraph"/>
        <w:numPr>
          <w:ilvl w:val="1"/>
          <w:numId w:val="24"/>
        </w:numPr>
        <w:rPr>
          <w:rStyle w:val="Referencingstyle"/>
          <w:b w:val="0"/>
          <w:i w:val="0"/>
          <w:sz w:val="22"/>
        </w:rPr>
      </w:pPr>
      <w:r>
        <w:t xml:space="preserve">APRA must comply with a request that is made by the Treasurer to provide information about any directions given under the SIS Act to a particular entity, or about any directions given over a specified period to an entity of a specified kind. </w:t>
      </w:r>
      <w:r w:rsidRPr="009E5107">
        <w:rPr>
          <w:rStyle w:val="Referencingstyle"/>
        </w:rPr>
        <w:t>[</w:t>
      </w:r>
      <w:r w:rsidR="00742024">
        <w:rPr>
          <w:rStyle w:val="Referencingstyle"/>
        </w:rPr>
        <w:t>Schedule 5</w:t>
      </w:r>
      <w:r w:rsidRPr="009E5107">
        <w:rPr>
          <w:rStyle w:val="Referencingstyle"/>
        </w:rPr>
        <w:t>, item</w:t>
      </w:r>
      <w:r>
        <w:rPr>
          <w:rStyle w:val="Referencingstyle"/>
        </w:rPr>
        <w:t> </w:t>
      </w:r>
      <w:r w:rsidR="00935EDD">
        <w:rPr>
          <w:rStyle w:val="Referencingstyle"/>
        </w:rPr>
        <w:t>10</w:t>
      </w:r>
      <w:r w:rsidRPr="009E5107">
        <w:rPr>
          <w:rStyle w:val="Referencingstyle"/>
        </w:rPr>
        <w:t xml:space="preserve">, </w:t>
      </w:r>
      <w:r>
        <w:rPr>
          <w:rStyle w:val="Referencingstyle"/>
        </w:rPr>
        <w:t>subsection </w:t>
      </w:r>
      <w:r w:rsidR="00935EDD" w:rsidRPr="009E5107">
        <w:rPr>
          <w:rStyle w:val="Referencingstyle"/>
        </w:rPr>
        <w:t>131</w:t>
      </w:r>
      <w:r w:rsidR="00935EDD">
        <w:rPr>
          <w:rStyle w:val="Referencingstyle"/>
        </w:rPr>
        <w:t>FE</w:t>
      </w:r>
      <w:r w:rsidRPr="009E5107">
        <w:rPr>
          <w:rStyle w:val="Referencingstyle"/>
        </w:rPr>
        <w:t>(</w:t>
      </w:r>
      <w:r>
        <w:rPr>
          <w:rStyle w:val="Referencingstyle"/>
        </w:rPr>
        <w:t>1</w:t>
      </w:r>
      <w:r w:rsidRPr="009E5107">
        <w:rPr>
          <w:rStyle w:val="Referencingstyle"/>
        </w:rPr>
        <w:t>)</w:t>
      </w:r>
      <w:r>
        <w:rPr>
          <w:rStyle w:val="Referencingstyle"/>
        </w:rPr>
        <w:t>]</w:t>
      </w:r>
    </w:p>
    <w:p w:rsidR="00F70F10" w:rsidRPr="00192CA6" w:rsidRDefault="00F70F10" w:rsidP="00F70F10">
      <w:pPr>
        <w:pStyle w:val="base-text-paragraph"/>
        <w:numPr>
          <w:ilvl w:val="1"/>
          <w:numId w:val="24"/>
        </w:numPr>
        <w:rPr>
          <w:rStyle w:val="Referencingstyle"/>
          <w:b w:val="0"/>
          <w:i w:val="0"/>
          <w:sz w:val="22"/>
        </w:rPr>
      </w:pPr>
      <w:r>
        <w:t xml:space="preserve">APRA may also provide the Treasurer with any information that it considers appropriate about directions that it has given, or revocations about any such directions. </w:t>
      </w:r>
      <w:r w:rsidRPr="009E5107">
        <w:rPr>
          <w:rStyle w:val="Referencingstyle"/>
        </w:rPr>
        <w:t>[</w:t>
      </w:r>
      <w:r w:rsidR="00742024">
        <w:rPr>
          <w:rStyle w:val="Referencingstyle"/>
        </w:rPr>
        <w:t>Schedule 5</w:t>
      </w:r>
      <w:r w:rsidRPr="009E5107">
        <w:rPr>
          <w:rStyle w:val="Referencingstyle"/>
        </w:rPr>
        <w:t>, item</w:t>
      </w:r>
      <w:r>
        <w:rPr>
          <w:rStyle w:val="Referencingstyle"/>
        </w:rPr>
        <w:t> </w:t>
      </w:r>
      <w:r w:rsidR="00935EDD">
        <w:rPr>
          <w:rStyle w:val="Referencingstyle"/>
        </w:rPr>
        <w:t>10</w:t>
      </w:r>
      <w:r w:rsidRPr="009E5107">
        <w:rPr>
          <w:rStyle w:val="Referencingstyle"/>
        </w:rPr>
        <w:t xml:space="preserve">, </w:t>
      </w:r>
      <w:r>
        <w:rPr>
          <w:rStyle w:val="Referencingstyle"/>
        </w:rPr>
        <w:t>subsection </w:t>
      </w:r>
      <w:r w:rsidR="00935EDD" w:rsidRPr="009E5107">
        <w:rPr>
          <w:rStyle w:val="Referencingstyle"/>
        </w:rPr>
        <w:t>131</w:t>
      </w:r>
      <w:r w:rsidR="00935EDD">
        <w:rPr>
          <w:rStyle w:val="Referencingstyle"/>
        </w:rPr>
        <w:t>FE</w:t>
      </w:r>
      <w:r w:rsidRPr="009E5107">
        <w:rPr>
          <w:rStyle w:val="Referencingstyle"/>
        </w:rPr>
        <w:t>(</w:t>
      </w:r>
      <w:r>
        <w:rPr>
          <w:rStyle w:val="Referencingstyle"/>
        </w:rPr>
        <w:t>2</w:t>
      </w:r>
      <w:r w:rsidRPr="009E5107">
        <w:rPr>
          <w:rStyle w:val="Referencingstyle"/>
        </w:rPr>
        <w:t>)</w:t>
      </w:r>
      <w:r>
        <w:rPr>
          <w:rStyle w:val="Referencingstyle"/>
        </w:rPr>
        <w:t>]</w:t>
      </w:r>
    </w:p>
    <w:p w:rsidR="00F70F10" w:rsidRPr="007233BB" w:rsidRDefault="00F70F10" w:rsidP="00F70F10">
      <w:pPr>
        <w:pStyle w:val="base-text-paragraph"/>
        <w:numPr>
          <w:ilvl w:val="1"/>
          <w:numId w:val="24"/>
        </w:numPr>
        <w:rPr>
          <w:rStyle w:val="Referencingstyle"/>
          <w:b w:val="0"/>
          <w:i w:val="0"/>
          <w:sz w:val="22"/>
        </w:rPr>
      </w:pPr>
      <w:r>
        <w:t>Where APRA has provided the Treasurer with information about a direction but later revokes that direction, it must notify the Treasurer of the revocation as soon as is practicable. However, a failure to notify the Treasurer of a revocation does not affect its validity.</w:t>
      </w:r>
      <w:r w:rsidRPr="009E5107">
        <w:rPr>
          <w:rStyle w:val="Referencingstyle"/>
        </w:rPr>
        <w:t xml:space="preserve"> [</w:t>
      </w:r>
      <w:r w:rsidR="00742024">
        <w:rPr>
          <w:rStyle w:val="Referencingstyle"/>
        </w:rPr>
        <w:t>Schedule 5</w:t>
      </w:r>
      <w:r w:rsidRPr="009E5107">
        <w:rPr>
          <w:rStyle w:val="Referencingstyle"/>
        </w:rPr>
        <w:t>, item</w:t>
      </w:r>
      <w:r>
        <w:rPr>
          <w:rStyle w:val="Referencingstyle"/>
        </w:rPr>
        <w:t> </w:t>
      </w:r>
      <w:r w:rsidR="00935EDD">
        <w:rPr>
          <w:rStyle w:val="Referencingstyle"/>
        </w:rPr>
        <w:t>10</w:t>
      </w:r>
      <w:r w:rsidRPr="009E5107">
        <w:rPr>
          <w:rStyle w:val="Referencingstyle"/>
        </w:rPr>
        <w:t xml:space="preserve">, </w:t>
      </w:r>
      <w:r>
        <w:rPr>
          <w:rStyle w:val="Referencingstyle"/>
        </w:rPr>
        <w:t>subsection </w:t>
      </w:r>
      <w:r w:rsidR="00935EDD" w:rsidRPr="009E5107">
        <w:rPr>
          <w:rStyle w:val="Referencingstyle"/>
        </w:rPr>
        <w:t>131</w:t>
      </w:r>
      <w:r w:rsidR="00935EDD">
        <w:rPr>
          <w:rStyle w:val="Referencingstyle"/>
        </w:rPr>
        <w:t>FE</w:t>
      </w:r>
      <w:r w:rsidRPr="009E5107">
        <w:rPr>
          <w:rStyle w:val="Referencingstyle"/>
        </w:rPr>
        <w:t>(</w:t>
      </w:r>
      <w:r>
        <w:rPr>
          <w:rStyle w:val="Referencingstyle"/>
        </w:rPr>
        <w:t>3</w:t>
      </w:r>
      <w:r w:rsidRPr="009E5107">
        <w:rPr>
          <w:rStyle w:val="Referencingstyle"/>
        </w:rPr>
        <w:t>)</w:t>
      </w:r>
      <w:r>
        <w:rPr>
          <w:rStyle w:val="Referencingstyle"/>
        </w:rPr>
        <w:t>]</w:t>
      </w:r>
    </w:p>
    <w:p w:rsidR="00F70F10" w:rsidRDefault="00F70F10" w:rsidP="00F70F10">
      <w:pPr>
        <w:pStyle w:val="base-text-paragraph"/>
        <w:numPr>
          <w:ilvl w:val="1"/>
          <w:numId w:val="24"/>
        </w:numPr>
      </w:pPr>
      <w:r>
        <w:lastRenderedPageBreak/>
        <w:t xml:space="preserve">Requiring APRA to make notifications about revocations ensures that the Treasurer is made aware that a direction is no longer in effect. </w:t>
      </w:r>
    </w:p>
    <w:p w:rsidR="00F70F10" w:rsidRDefault="00F70F10" w:rsidP="00F70F10">
      <w:pPr>
        <w:pStyle w:val="Heading4"/>
      </w:pPr>
      <w:r>
        <w:t>Acquisitions of property</w:t>
      </w:r>
    </w:p>
    <w:p w:rsidR="00F70F10" w:rsidRPr="007233BB" w:rsidRDefault="00F70F10" w:rsidP="00F70F10">
      <w:pPr>
        <w:pStyle w:val="base-text-paragraph"/>
        <w:numPr>
          <w:ilvl w:val="1"/>
          <w:numId w:val="24"/>
        </w:numPr>
        <w:rPr>
          <w:rStyle w:val="Referencingstyle"/>
          <w:b w:val="0"/>
          <w:i w:val="0"/>
          <w:sz w:val="22"/>
        </w:rPr>
      </w:pPr>
      <w:r>
        <w:t xml:space="preserve">Despite the general obligation to comply with a direction given under the SIS Act, a person is not required to comply with a direction in circumstances that would result in an acquisition of property otherwise than on just terms. </w:t>
      </w:r>
      <w:r w:rsidRPr="009E5107">
        <w:rPr>
          <w:rStyle w:val="Referencingstyle"/>
        </w:rPr>
        <w:t>[</w:t>
      </w:r>
      <w:r w:rsidR="00742024">
        <w:rPr>
          <w:rStyle w:val="Referencingstyle"/>
        </w:rPr>
        <w:t>Schedule 5</w:t>
      </w:r>
      <w:r w:rsidRPr="009E5107">
        <w:rPr>
          <w:rStyle w:val="Referencingstyle"/>
        </w:rPr>
        <w:t>, item</w:t>
      </w:r>
      <w:r>
        <w:rPr>
          <w:rStyle w:val="Referencingstyle"/>
        </w:rPr>
        <w:t> </w:t>
      </w:r>
      <w:r w:rsidR="006A069A">
        <w:rPr>
          <w:rStyle w:val="Referencingstyle"/>
        </w:rPr>
        <w:t>11</w:t>
      </w:r>
      <w:r w:rsidRPr="009E5107">
        <w:rPr>
          <w:rStyle w:val="Referencingstyle"/>
        </w:rPr>
        <w:t xml:space="preserve">, </w:t>
      </w:r>
      <w:r>
        <w:rPr>
          <w:rStyle w:val="Referencingstyle"/>
        </w:rPr>
        <w:t>subsection 349B</w:t>
      </w:r>
      <w:r w:rsidRPr="009E5107">
        <w:rPr>
          <w:rStyle w:val="Referencingstyle"/>
        </w:rPr>
        <w:t>(</w:t>
      </w:r>
      <w:r>
        <w:rPr>
          <w:rStyle w:val="Referencingstyle"/>
        </w:rPr>
        <w:t>6</w:t>
      </w:r>
      <w:r w:rsidR="00F63AC6">
        <w:rPr>
          <w:rStyle w:val="Referencingstyle"/>
        </w:rPr>
        <w:t>A</w:t>
      </w:r>
      <w:r w:rsidRPr="009E5107">
        <w:rPr>
          <w:rStyle w:val="Referencingstyle"/>
        </w:rPr>
        <w:t>)</w:t>
      </w:r>
      <w:r>
        <w:rPr>
          <w:rStyle w:val="Referencingstyle"/>
        </w:rPr>
        <w:t>]</w:t>
      </w:r>
    </w:p>
    <w:p w:rsidR="00F70F10" w:rsidRDefault="00F70F10" w:rsidP="00F70F10">
      <w:pPr>
        <w:pStyle w:val="base-text-paragraph"/>
        <w:numPr>
          <w:ilvl w:val="1"/>
          <w:numId w:val="24"/>
        </w:numPr>
      </w:pPr>
      <w:r>
        <w:t xml:space="preserve">This limitation supplements the general restriction contained in subsection </w:t>
      </w:r>
      <w:proofErr w:type="gramStart"/>
      <w:r>
        <w:t>349B(</w:t>
      </w:r>
      <w:proofErr w:type="gramEnd"/>
      <w:r>
        <w:t xml:space="preserve">1) about acquisitions of property and ensures that the rules about directions in the SIS Act do not purport to require a person to comply with a direction that would otherwise be inconsistent with paragraph 51(xxxi) of the Constitution. </w:t>
      </w:r>
    </w:p>
    <w:p w:rsidR="00F70F10" w:rsidRPr="007233BB" w:rsidRDefault="00F70F10" w:rsidP="00F70F10">
      <w:pPr>
        <w:pStyle w:val="base-text-paragraph"/>
        <w:numPr>
          <w:ilvl w:val="1"/>
          <w:numId w:val="24"/>
        </w:numPr>
      </w:pPr>
      <w:r>
        <w:t xml:space="preserve">The amendments also clarify that any provision that requires a person to comply with a direction that does not result in an acquisition of property continues to apply in relation to a direction given under the SIS Act. </w:t>
      </w:r>
      <w:r w:rsidRPr="009E5107">
        <w:rPr>
          <w:rStyle w:val="Referencingstyle"/>
        </w:rPr>
        <w:t>[</w:t>
      </w:r>
      <w:r w:rsidR="00742024">
        <w:rPr>
          <w:rStyle w:val="Referencingstyle"/>
        </w:rPr>
        <w:t>Schedule 5</w:t>
      </w:r>
      <w:r w:rsidRPr="009E5107">
        <w:rPr>
          <w:rStyle w:val="Referencingstyle"/>
        </w:rPr>
        <w:t>, item</w:t>
      </w:r>
      <w:r>
        <w:rPr>
          <w:rStyle w:val="Referencingstyle"/>
        </w:rPr>
        <w:t> </w:t>
      </w:r>
      <w:r w:rsidR="006A069A">
        <w:rPr>
          <w:rStyle w:val="Referencingstyle"/>
        </w:rPr>
        <w:t>12</w:t>
      </w:r>
      <w:r w:rsidRPr="009E5107">
        <w:rPr>
          <w:rStyle w:val="Referencingstyle"/>
        </w:rPr>
        <w:t xml:space="preserve">, </w:t>
      </w:r>
      <w:r>
        <w:rPr>
          <w:rStyle w:val="Referencingstyle"/>
        </w:rPr>
        <w:t>paragraph 349BN</w:t>
      </w:r>
      <w:r w:rsidRPr="009E5107">
        <w:rPr>
          <w:rStyle w:val="Referencingstyle"/>
        </w:rPr>
        <w:t>(</w:t>
      </w:r>
      <w:r>
        <w:rPr>
          <w:rStyle w:val="Referencingstyle"/>
        </w:rPr>
        <w:t>7</w:t>
      </w:r>
      <w:r w:rsidRPr="009E5107">
        <w:rPr>
          <w:rStyle w:val="Referencingstyle"/>
        </w:rPr>
        <w:t>)</w:t>
      </w:r>
      <w:r>
        <w:rPr>
          <w:rStyle w:val="Referencingstyle"/>
        </w:rPr>
        <w:t>(f)]</w:t>
      </w:r>
    </w:p>
    <w:p w:rsidR="00F70F10" w:rsidRDefault="00F70F10" w:rsidP="00F70F10">
      <w:pPr>
        <w:spacing w:before="0" w:after="0"/>
        <w:rPr>
          <w:rFonts w:ascii="Helvetica" w:hAnsi="Helvetica"/>
          <w:b/>
        </w:rPr>
      </w:pPr>
    </w:p>
    <w:p w:rsidR="00F70F10" w:rsidRDefault="00F70F10" w:rsidP="00F70F10">
      <w:pPr>
        <w:pStyle w:val="Heading3"/>
      </w:pPr>
      <w:r w:rsidRPr="000D5EC1">
        <w:t>Consequential amendments</w:t>
      </w:r>
    </w:p>
    <w:p w:rsidR="00F70F10" w:rsidRPr="00311C7A" w:rsidRDefault="00742024" w:rsidP="00F70F10">
      <w:pPr>
        <w:pStyle w:val="base-text-paragraph"/>
        <w:numPr>
          <w:ilvl w:val="1"/>
          <w:numId w:val="24"/>
        </w:numPr>
        <w:rPr>
          <w:rStyle w:val="Referencingstyle"/>
          <w:b w:val="0"/>
          <w:i w:val="0"/>
          <w:sz w:val="22"/>
        </w:rPr>
      </w:pPr>
      <w:r>
        <w:t>Schedule 5</w:t>
      </w:r>
      <w:r w:rsidR="00F70F10">
        <w:t xml:space="preserve"> makes consequential amendments to repeal the provision that permitted APRA to issue a direction to an RSE licensee to comply with the conditions of its licence, and the provisions that specified that non-compliance with such a direction was constituted an offence. </w:t>
      </w:r>
      <w:r w:rsidR="00F70F10" w:rsidRPr="009E5107">
        <w:rPr>
          <w:rStyle w:val="Referencingstyle"/>
        </w:rPr>
        <w:t>[</w:t>
      </w:r>
      <w:r>
        <w:rPr>
          <w:rStyle w:val="Referencingstyle"/>
        </w:rPr>
        <w:t>Schedule 5</w:t>
      </w:r>
      <w:r w:rsidR="00F70F10" w:rsidRPr="009E5107">
        <w:rPr>
          <w:rStyle w:val="Referencingstyle"/>
        </w:rPr>
        <w:t>, item</w:t>
      </w:r>
      <w:r w:rsidR="00F70F10">
        <w:rPr>
          <w:rStyle w:val="Referencingstyle"/>
        </w:rPr>
        <w:t>s </w:t>
      </w:r>
      <w:r w:rsidR="006A069A">
        <w:rPr>
          <w:rStyle w:val="Referencingstyle"/>
        </w:rPr>
        <w:t>6</w:t>
      </w:r>
      <w:r w:rsidR="00F70F10">
        <w:rPr>
          <w:rStyle w:val="Referencingstyle"/>
        </w:rPr>
        <w:t xml:space="preserve"> and </w:t>
      </w:r>
      <w:r w:rsidR="006A069A">
        <w:rPr>
          <w:rStyle w:val="Referencingstyle"/>
        </w:rPr>
        <w:t>8</w:t>
      </w:r>
      <w:r w:rsidR="00F70F10" w:rsidRPr="009E5107">
        <w:rPr>
          <w:rStyle w:val="Referencingstyle"/>
        </w:rPr>
        <w:t xml:space="preserve">, </w:t>
      </w:r>
      <w:r w:rsidR="00F70F10">
        <w:rPr>
          <w:rStyle w:val="Referencingstyle"/>
        </w:rPr>
        <w:t>sections 29EB and 29JB]</w:t>
      </w:r>
    </w:p>
    <w:p w:rsidR="00F70F10" w:rsidRDefault="00F70F10" w:rsidP="00F70F10">
      <w:pPr>
        <w:pStyle w:val="base-text-paragraph"/>
        <w:numPr>
          <w:ilvl w:val="1"/>
          <w:numId w:val="24"/>
        </w:numPr>
      </w:pPr>
      <w:r>
        <w:t>These specific provisions are no longer required as APRA can now issue such directions under Division 1 of Part 16A.</w:t>
      </w:r>
    </w:p>
    <w:p w:rsidR="00F70F10" w:rsidRPr="00B1734A" w:rsidRDefault="00742024" w:rsidP="00F70F10">
      <w:pPr>
        <w:pStyle w:val="base-text-paragraph"/>
        <w:numPr>
          <w:ilvl w:val="1"/>
          <w:numId w:val="24"/>
        </w:numPr>
        <w:rPr>
          <w:rStyle w:val="Referencingstyle"/>
          <w:b w:val="0"/>
          <w:i w:val="0"/>
          <w:sz w:val="22"/>
        </w:rPr>
      </w:pPr>
      <w:r>
        <w:t>Schedule 5</w:t>
      </w:r>
      <w:r w:rsidR="00F70F10">
        <w:t xml:space="preserve"> also makes consequential amendments to update references to the direction to comply with the conditions of an RSE license to reflect the relevant provisions in Division 1. </w:t>
      </w:r>
      <w:r w:rsidR="00F70F10" w:rsidRPr="009E5107">
        <w:rPr>
          <w:rStyle w:val="Referencingstyle"/>
        </w:rPr>
        <w:t>[</w:t>
      </w:r>
      <w:r>
        <w:rPr>
          <w:rStyle w:val="Referencingstyle"/>
        </w:rPr>
        <w:t>Schedule 5</w:t>
      </w:r>
      <w:r w:rsidR="00F70F10" w:rsidRPr="009E5107">
        <w:rPr>
          <w:rStyle w:val="Referencingstyle"/>
        </w:rPr>
        <w:t>, item</w:t>
      </w:r>
      <w:r w:rsidR="00F70F10">
        <w:rPr>
          <w:rStyle w:val="Referencingstyle"/>
        </w:rPr>
        <w:t>s </w:t>
      </w:r>
      <w:r w:rsidR="006A069A">
        <w:rPr>
          <w:rStyle w:val="Referencingstyle"/>
        </w:rPr>
        <w:t>4</w:t>
      </w:r>
      <w:r w:rsidR="00F70F10">
        <w:rPr>
          <w:rStyle w:val="Referencingstyle"/>
        </w:rPr>
        <w:t xml:space="preserve">, </w:t>
      </w:r>
      <w:r w:rsidR="006A069A">
        <w:rPr>
          <w:rStyle w:val="Referencingstyle"/>
        </w:rPr>
        <w:t>5</w:t>
      </w:r>
      <w:r w:rsidR="00F70F10">
        <w:rPr>
          <w:rStyle w:val="Referencingstyle"/>
        </w:rPr>
        <w:t xml:space="preserve">, </w:t>
      </w:r>
      <w:r w:rsidR="006A069A">
        <w:rPr>
          <w:rStyle w:val="Referencingstyle"/>
        </w:rPr>
        <w:t xml:space="preserve">7 </w:t>
      </w:r>
      <w:r w:rsidR="00F70F10">
        <w:rPr>
          <w:rStyle w:val="Referencingstyle"/>
        </w:rPr>
        <w:t xml:space="preserve">and </w:t>
      </w:r>
      <w:r w:rsidR="006A069A">
        <w:rPr>
          <w:rStyle w:val="Referencingstyle"/>
        </w:rPr>
        <w:t>9</w:t>
      </w:r>
      <w:r w:rsidR="00F70F10">
        <w:rPr>
          <w:rStyle w:val="Referencingstyle"/>
        </w:rPr>
        <w:t xml:space="preserve">, note 1 to </w:t>
      </w:r>
      <w:r w:rsidR="00F63AC6">
        <w:rPr>
          <w:rStyle w:val="Referencingstyle"/>
        </w:rPr>
        <w:t>sub</w:t>
      </w:r>
      <w:r w:rsidR="00F70F10">
        <w:rPr>
          <w:rStyle w:val="Referencingstyle"/>
        </w:rPr>
        <w:t>section 29E</w:t>
      </w:r>
      <w:r w:rsidR="00F63AC6">
        <w:rPr>
          <w:rStyle w:val="Referencingstyle"/>
        </w:rPr>
        <w:t>(1)</w:t>
      </w:r>
      <w:r w:rsidR="00F70F10">
        <w:rPr>
          <w:rStyle w:val="Referencingstyle"/>
        </w:rPr>
        <w:t xml:space="preserve">, note 1 to </w:t>
      </w:r>
      <w:r w:rsidR="00F63AC6">
        <w:rPr>
          <w:rStyle w:val="Referencingstyle"/>
        </w:rPr>
        <w:t>sub</w:t>
      </w:r>
      <w:r w:rsidR="00F70F10">
        <w:rPr>
          <w:rStyle w:val="Referencingstyle"/>
        </w:rPr>
        <w:t>section 29EA</w:t>
      </w:r>
      <w:r w:rsidR="00F63AC6">
        <w:rPr>
          <w:rStyle w:val="Referencingstyle"/>
        </w:rPr>
        <w:t>(2)</w:t>
      </w:r>
      <w:r w:rsidR="00B94B8B">
        <w:rPr>
          <w:rStyle w:val="Referencingstyle"/>
        </w:rPr>
        <w:t>, paragraphs </w:t>
      </w:r>
      <w:r w:rsidR="00F70F10">
        <w:rPr>
          <w:rStyle w:val="Referencingstyle"/>
        </w:rPr>
        <w:t>29G(2)(e) and (f), and note to subsection 29K(2)]</w:t>
      </w:r>
    </w:p>
    <w:p w:rsidR="00B1734A" w:rsidRDefault="00B1734A" w:rsidP="00B1734A">
      <w:pPr>
        <w:pStyle w:val="base-text-paragraph"/>
        <w:numPr>
          <w:ilvl w:val="1"/>
          <w:numId w:val="24"/>
        </w:numPr>
      </w:pPr>
      <w:r>
        <w:t xml:space="preserve">Amendments to the summary of provisions and the allocation of administrator for specific provisions are made to reflect the insertion of Part 16A </w:t>
      </w:r>
      <w:r w:rsidR="00A04B60">
        <w:t xml:space="preserve">(including those directions about relinquishing controlling stakes described in </w:t>
      </w:r>
      <w:r w:rsidR="00A04B60" w:rsidRPr="00D65C69">
        <w:t xml:space="preserve">Chapter </w:t>
      </w:r>
      <w:r w:rsidR="00D65C69" w:rsidRPr="00D65C69">
        <w:t>6</w:t>
      </w:r>
      <w:r w:rsidR="00A04B60">
        <w:t xml:space="preserve">) </w:t>
      </w:r>
      <w:r>
        <w:t xml:space="preserve">and that APRA has general administration of those provisions. </w:t>
      </w:r>
      <w:r>
        <w:rPr>
          <w:rStyle w:val="Referencingstyle"/>
        </w:rPr>
        <w:t>[</w:t>
      </w:r>
      <w:r w:rsidR="00742024">
        <w:rPr>
          <w:rStyle w:val="Referencingstyle"/>
        </w:rPr>
        <w:t>Schedule 5</w:t>
      </w:r>
      <w:r>
        <w:rPr>
          <w:rStyle w:val="Referencingstyle"/>
        </w:rPr>
        <w:t>, items 1 and 2, section 4 and subparagraph 6(1)(a)(vii)]</w:t>
      </w:r>
    </w:p>
    <w:p w:rsidR="00F70F10" w:rsidRDefault="00F70F10" w:rsidP="00F70F10">
      <w:pPr>
        <w:pStyle w:val="Heading2"/>
      </w:pPr>
      <w:r w:rsidRPr="00E45D1B">
        <w:lastRenderedPageBreak/>
        <w:t>Application and transitional provisions</w:t>
      </w:r>
    </w:p>
    <w:p w:rsidR="007C0947" w:rsidRPr="00E45D1B" w:rsidRDefault="00F70F10" w:rsidP="00F70F10">
      <w:pPr>
        <w:pStyle w:val="base-text-paragraph"/>
      </w:pPr>
      <w:r>
        <w:t xml:space="preserve">The amendments in </w:t>
      </w:r>
      <w:r w:rsidR="00742024">
        <w:t>Schedule 5</w:t>
      </w:r>
      <w:r>
        <w:t xml:space="preserve"> apply to events that occur on or after the commencement of the Schedule, being the day after the Schedule receives the Royal Assent. </w:t>
      </w:r>
      <w:r w:rsidRPr="009E5107">
        <w:rPr>
          <w:rStyle w:val="Referencingstyle"/>
        </w:rPr>
        <w:t>[</w:t>
      </w:r>
      <w:r w:rsidR="00742024">
        <w:rPr>
          <w:rStyle w:val="Referencingstyle"/>
        </w:rPr>
        <w:t>Schedule 5</w:t>
      </w:r>
      <w:r w:rsidRPr="009E5107">
        <w:rPr>
          <w:rStyle w:val="Referencingstyle"/>
        </w:rPr>
        <w:t>, item</w:t>
      </w:r>
      <w:r>
        <w:rPr>
          <w:rStyle w:val="Referencingstyle"/>
        </w:rPr>
        <w:t xml:space="preserve"> </w:t>
      </w:r>
      <w:r w:rsidR="006A069A">
        <w:rPr>
          <w:rStyle w:val="Referencingstyle"/>
        </w:rPr>
        <w:t>13</w:t>
      </w:r>
      <w:r>
        <w:rPr>
          <w:rStyle w:val="Referencingstyle"/>
        </w:rPr>
        <w:t>]</w:t>
      </w:r>
    </w:p>
    <w:p w:rsidR="007C0947" w:rsidRPr="00E45D1B" w:rsidRDefault="007C0947" w:rsidP="007C0947">
      <w:pPr>
        <w:pStyle w:val="base-text-paragraph"/>
        <w:numPr>
          <w:ilvl w:val="0"/>
          <w:numId w:val="0"/>
        </w:numPr>
        <w:ind w:left="1134"/>
        <w:rPr>
          <w:rStyle w:val="Referencingstyle"/>
          <w:rFonts w:ascii="Helvetica" w:hAnsi="Helvetica"/>
          <w:b w:val="0"/>
          <w:i w:val="0"/>
          <w:sz w:val="22"/>
        </w:rPr>
      </w:pPr>
    </w:p>
    <w:p w:rsidR="007C0947" w:rsidRPr="000D5EC1" w:rsidRDefault="007C0947" w:rsidP="007C0947"/>
    <w:p w:rsidR="00C850FF" w:rsidRDefault="00C850FF" w:rsidP="007C0947">
      <w:pPr>
        <w:spacing w:before="0" w:after="0"/>
        <w:sectPr w:rsidR="00C850FF" w:rsidSect="00C850FF">
          <w:headerReference w:type="default" r:id="rId40"/>
          <w:type w:val="oddPage"/>
          <w:pgSz w:w="11906" w:h="16838" w:code="9"/>
          <w:pgMar w:top="2466" w:right="2098" w:bottom="2466" w:left="2098" w:header="1559" w:footer="1899" w:gutter="0"/>
          <w:cols w:space="708"/>
          <w:titlePg/>
          <w:docGrid w:linePitch="360"/>
        </w:sectPr>
      </w:pPr>
    </w:p>
    <w:p w:rsidR="007C0947" w:rsidRPr="000D5EC1" w:rsidRDefault="007C0947" w:rsidP="007C0947">
      <w:pPr>
        <w:spacing w:before="0" w:after="0"/>
      </w:pPr>
    </w:p>
    <w:p w:rsidR="007C0947" w:rsidRPr="007E7EAD" w:rsidRDefault="007C0947" w:rsidP="007C0947">
      <w:pPr>
        <w:pStyle w:val="ChapterHeading"/>
        <w:numPr>
          <w:ilvl w:val="0"/>
          <w:numId w:val="25"/>
        </w:numPr>
      </w:pPr>
      <w:r w:rsidRPr="000D5EC1">
        <w:br/>
      </w:r>
      <w:bookmarkStart w:id="145" w:name="_Toc483916255"/>
      <w:bookmarkStart w:id="146" w:name="_Toc488398294"/>
      <w:bookmarkStart w:id="147" w:name="_Toc488413413"/>
      <w:r w:rsidRPr="007E7EAD">
        <w:t xml:space="preserve">Annual </w:t>
      </w:r>
      <w:r w:rsidR="0024538F">
        <w:t>m</w:t>
      </w:r>
      <w:r w:rsidRPr="007E7EAD">
        <w:t xml:space="preserve">embers’ </w:t>
      </w:r>
      <w:r w:rsidR="0024538F">
        <w:t>m</w:t>
      </w:r>
      <w:r w:rsidRPr="007E7EAD">
        <w:t>eeting</w:t>
      </w:r>
      <w:bookmarkEnd w:id="145"/>
      <w:bookmarkEnd w:id="146"/>
      <w:bookmarkEnd w:id="147"/>
    </w:p>
    <w:p w:rsidR="007E7EAD" w:rsidRPr="000D5EC1" w:rsidRDefault="007E7EAD" w:rsidP="007E7EAD">
      <w:pPr>
        <w:pStyle w:val="Heading2"/>
      </w:pPr>
      <w:r w:rsidRPr="000D5EC1">
        <w:t>Outline of chapter</w:t>
      </w:r>
    </w:p>
    <w:p w:rsidR="007E7EAD" w:rsidRDefault="007E7EAD" w:rsidP="007E7EAD">
      <w:pPr>
        <w:pStyle w:val="base-text-paragraph"/>
        <w:numPr>
          <w:ilvl w:val="1"/>
          <w:numId w:val="68"/>
        </w:numPr>
        <w:tabs>
          <w:tab w:val="clear" w:pos="1844"/>
          <w:tab w:val="num" w:pos="1985"/>
        </w:tabs>
        <w:ind w:left="1134"/>
      </w:pPr>
      <w:r w:rsidRPr="000D5EC1">
        <w:t xml:space="preserve">Schedule </w:t>
      </w:r>
      <w:r w:rsidR="00CD1F41">
        <w:t>6</w:t>
      </w:r>
      <w:r w:rsidR="00CD1F41" w:rsidRPr="000D5EC1">
        <w:t xml:space="preserve"> </w:t>
      </w:r>
      <w:r w:rsidR="009D7498">
        <w:t>to</w:t>
      </w:r>
      <w:r w:rsidRPr="000D5EC1">
        <w:t xml:space="preserve"> the </w:t>
      </w:r>
      <w:r>
        <w:t xml:space="preserve">exposure draft </w:t>
      </w:r>
      <w:r w:rsidRPr="000D5EC1">
        <w:t xml:space="preserve">Bill amends the </w:t>
      </w:r>
      <w:r w:rsidR="00692C3D">
        <w:rPr>
          <w:i/>
        </w:rPr>
        <w:t xml:space="preserve">Superannuation Industry (Supervision) Act 1993 </w:t>
      </w:r>
      <w:r w:rsidR="00692C3D">
        <w:t>(</w:t>
      </w:r>
      <w:r w:rsidRPr="000D5EC1">
        <w:t>SIS Act</w:t>
      </w:r>
      <w:r w:rsidR="00692C3D">
        <w:t>)</w:t>
      </w:r>
      <w:r w:rsidRPr="000D5EC1">
        <w:t xml:space="preserve"> to require RSE licensees to hold annual members</w:t>
      </w:r>
      <w:r>
        <w:t>’</w:t>
      </w:r>
      <w:r w:rsidRPr="000D5EC1">
        <w:t xml:space="preserve"> meetings</w:t>
      </w:r>
      <w:r>
        <w:t xml:space="preserve"> (AMMs)</w:t>
      </w:r>
      <w:r w:rsidRPr="000D5EC1">
        <w:t xml:space="preserve">, to </w:t>
      </w:r>
      <w:r>
        <w:t xml:space="preserve">discuss the key aspects of the fund and </w:t>
      </w:r>
      <w:r w:rsidRPr="000D5EC1">
        <w:t xml:space="preserve">provide members with a forum to ask questions about all areas of the </w:t>
      </w:r>
      <w:r>
        <w:t>fund’s</w:t>
      </w:r>
      <w:r w:rsidRPr="000D5EC1">
        <w:t xml:space="preserve"> performance and operations. </w:t>
      </w:r>
    </w:p>
    <w:p w:rsidR="009D7498" w:rsidRPr="000D5EC1" w:rsidRDefault="009D7498" w:rsidP="007E7EAD">
      <w:pPr>
        <w:pStyle w:val="base-text-paragraph"/>
        <w:numPr>
          <w:ilvl w:val="1"/>
          <w:numId w:val="68"/>
        </w:numPr>
        <w:tabs>
          <w:tab w:val="clear" w:pos="1844"/>
          <w:tab w:val="num" w:pos="1985"/>
        </w:tabs>
        <w:ind w:left="1134"/>
      </w:pPr>
      <w:r>
        <w:t>All legislative references in this chapter are to the SIS Act unless otherwise stated.</w:t>
      </w:r>
    </w:p>
    <w:p w:rsidR="007E7EAD" w:rsidRPr="000D5EC1" w:rsidRDefault="007E7EAD" w:rsidP="007E7EAD">
      <w:pPr>
        <w:pStyle w:val="Heading2"/>
      </w:pPr>
      <w:r w:rsidRPr="000D5EC1">
        <w:t>Context of amendments</w:t>
      </w:r>
    </w:p>
    <w:p w:rsidR="007E7EAD" w:rsidRPr="000D5EC1" w:rsidRDefault="007E7EAD" w:rsidP="007E7EAD">
      <w:pPr>
        <w:pStyle w:val="base-text-paragraph"/>
        <w:numPr>
          <w:ilvl w:val="1"/>
          <w:numId w:val="68"/>
        </w:numPr>
        <w:tabs>
          <w:tab w:val="clear" w:pos="1844"/>
          <w:tab w:val="num" w:pos="1985"/>
        </w:tabs>
        <w:ind w:left="1134"/>
      </w:pPr>
      <w:r w:rsidRPr="000D5EC1">
        <w:t xml:space="preserve">Many superannuation fund members seek to ask questions of their funds concerning their operation and performance. However, in most cases members have little or no ability to have their questions asked or answered. </w:t>
      </w:r>
    </w:p>
    <w:p w:rsidR="007E7EAD" w:rsidRPr="000D5EC1" w:rsidRDefault="007E7EAD" w:rsidP="007E7EAD">
      <w:pPr>
        <w:pStyle w:val="base-text-paragraph"/>
        <w:numPr>
          <w:ilvl w:val="1"/>
          <w:numId w:val="68"/>
        </w:numPr>
        <w:tabs>
          <w:tab w:val="clear" w:pos="1844"/>
          <w:tab w:val="num" w:pos="1985"/>
        </w:tabs>
        <w:ind w:left="1134"/>
      </w:pPr>
      <w:r w:rsidRPr="000D5EC1">
        <w:t xml:space="preserve">The 2010 Cooper </w:t>
      </w:r>
      <w:r>
        <w:t>R</w:t>
      </w:r>
      <w:r w:rsidRPr="000D5EC1">
        <w:t xml:space="preserve">eview recognised that given the special public purpose </w:t>
      </w:r>
      <w:r>
        <w:t>that</w:t>
      </w:r>
      <w:r w:rsidRPr="000D5EC1">
        <w:t xml:space="preserve"> superannuation plays</w:t>
      </w:r>
      <w:r>
        <w:t>,</w:t>
      </w:r>
      <w:r w:rsidRPr="000D5EC1">
        <w:t xml:space="preserve"> any effective trustee governance model would need to guarantee trustees are accountable to their members. </w:t>
      </w:r>
    </w:p>
    <w:p w:rsidR="007E7EAD" w:rsidRPr="000D5EC1" w:rsidRDefault="007E7EAD" w:rsidP="007E7EAD">
      <w:pPr>
        <w:pStyle w:val="Heading2"/>
      </w:pPr>
      <w:r w:rsidRPr="000D5EC1">
        <w:t>Summary of new law</w:t>
      </w:r>
    </w:p>
    <w:p w:rsidR="007E7EAD" w:rsidRDefault="007E7EAD" w:rsidP="007E7EAD">
      <w:pPr>
        <w:pStyle w:val="base-text-paragraph"/>
        <w:numPr>
          <w:ilvl w:val="1"/>
          <w:numId w:val="68"/>
        </w:numPr>
        <w:tabs>
          <w:tab w:val="clear" w:pos="1844"/>
          <w:tab w:val="num" w:pos="1985"/>
        </w:tabs>
        <w:ind w:left="1134"/>
      </w:pPr>
      <w:r>
        <w:t>The amendments require the RSE licensee of a registrable superannuation entity to hold an AMM for which a notice of the AMM is to be given 21 days prior to the meeting. The annual report is to be included in the notice.</w:t>
      </w:r>
    </w:p>
    <w:p w:rsidR="007E7EAD" w:rsidRPr="000D5EC1" w:rsidRDefault="007E7EAD" w:rsidP="007E7EAD">
      <w:pPr>
        <w:pStyle w:val="base-text-paragraph"/>
        <w:numPr>
          <w:ilvl w:val="1"/>
          <w:numId w:val="68"/>
        </w:numPr>
        <w:tabs>
          <w:tab w:val="clear" w:pos="1844"/>
          <w:tab w:val="num" w:pos="1985"/>
        </w:tabs>
        <w:ind w:left="1134"/>
      </w:pPr>
      <w:r w:rsidRPr="000D5EC1">
        <w:t>To ensure that members have useful information on fund performance and fund operations</w:t>
      </w:r>
      <w:r>
        <w:t>,</w:t>
      </w:r>
      <w:r w:rsidRPr="000D5EC1">
        <w:t xml:space="preserve"> regulations </w:t>
      </w:r>
      <w:r>
        <w:t>may</w:t>
      </w:r>
      <w:r w:rsidRPr="000D5EC1">
        <w:t xml:space="preserve"> require </w:t>
      </w:r>
      <w:r>
        <w:t>other information to be included in the notice</w:t>
      </w:r>
      <w:r w:rsidRPr="000D5EC1">
        <w:t xml:space="preserve">. </w:t>
      </w:r>
    </w:p>
    <w:p w:rsidR="007E7EAD" w:rsidRDefault="007E7EAD" w:rsidP="007E7EAD">
      <w:pPr>
        <w:pStyle w:val="base-text-paragraph"/>
        <w:numPr>
          <w:ilvl w:val="1"/>
          <w:numId w:val="68"/>
        </w:numPr>
        <w:tabs>
          <w:tab w:val="clear" w:pos="1844"/>
          <w:tab w:val="num" w:pos="1985"/>
        </w:tabs>
        <w:ind w:left="1134"/>
      </w:pPr>
      <w:r>
        <w:t xml:space="preserve">A responsible officer of an RSE licensee, an individual trustee (if the RSE licensee is a group of individual trustees), relevant auditors </w:t>
      </w:r>
      <w:r>
        <w:lastRenderedPageBreak/>
        <w:t>and actuary must attend the AMM. The notice of the meeting is to be given to them and the members of the registrable superannuation entity.</w:t>
      </w:r>
    </w:p>
    <w:p w:rsidR="007E7EAD" w:rsidRPr="000D5EC1" w:rsidRDefault="007E7EAD" w:rsidP="007E7EAD">
      <w:pPr>
        <w:pStyle w:val="base-text-paragraph"/>
        <w:numPr>
          <w:ilvl w:val="1"/>
          <w:numId w:val="68"/>
        </w:numPr>
        <w:tabs>
          <w:tab w:val="clear" w:pos="1844"/>
          <w:tab w:val="num" w:pos="1985"/>
        </w:tabs>
        <w:ind w:left="1134"/>
      </w:pPr>
      <w:r>
        <w:t>At the AMM, the members must be given reasonable opportunity to ask questions about the registrable superannuation entity, the RSE licensee (and its responsible officers) or each individual trustee, the audit or the actuarial investigation of the entity, and any other information included with the notice of the meeting.</w:t>
      </w:r>
    </w:p>
    <w:p w:rsidR="007E7EAD" w:rsidRPr="000D5EC1" w:rsidRDefault="007E7EAD" w:rsidP="007E7EAD">
      <w:pPr>
        <w:pStyle w:val="base-text-paragraph"/>
        <w:numPr>
          <w:ilvl w:val="1"/>
          <w:numId w:val="68"/>
        </w:numPr>
        <w:tabs>
          <w:tab w:val="clear" w:pos="1844"/>
          <w:tab w:val="num" w:pos="1985"/>
        </w:tabs>
        <w:ind w:left="1134"/>
      </w:pPr>
      <w:r w:rsidRPr="000D5EC1">
        <w:t>To minimise compliance costs</w:t>
      </w:r>
      <w:r>
        <w:t>,</w:t>
      </w:r>
      <w:r w:rsidRPr="000D5EC1">
        <w:t xml:space="preserve"> superannuation funds can hold the AMM by electronic means. </w:t>
      </w:r>
    </w:p>
    <w:p w:rsidR="007E7EAD" w:rsidRPr="000D5EC1" w:rsidRDefault="007E7EAD" w:rsidP="007E7EAD">
      <w:pPr>
        <w:pStyle w:val="Heading2with18pointafter"/>
      </w:pPr>
      <w:r w:rsidRPr="000D5EC1">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7E7EAD" w:rsidRPr="000D5EC1" w:rsidTr="00F70F10">
        <w:tc>
          <w:tcPr>
            <w:tcW w:w="3275" w:type="dxa"/>
          </w:tcPr>
          <w:p w:rsidR="007E7EAD" w:rsidRPr="000D5EC1" w:rsidRDefault="007E7EAD" w:rsidP="00F70F10">
            <w:pPr>
              <w:pStyle w:val="tableheaderwithintable"/>
              <w:rPr>
                <w:lang w:val="en-US" w:eastAsia="en-US"/>
              </w:rPr>
            </w:pPr>
            <w:r w:rsidRPr="000D5EC1">
              <w:rPr>
                <w:lang w:val="en-US" w:eastAsia="en-US"/>
              </w:rPr>
              <w:t>New law</w:t>
            </w:r>
          </w:p>
        </w:tc>
        <w:tc>
          <w:tcPr>
            <w:tcW w:w="3276" w:type="dxa"/>
          </w:tcPr>
          <w:p w:rsidR="007E7EAD" w:rsidRPr="000D5EC1" w:rsidRDefault="007E7EAD" w:rsidP="00F70F10">
            <w:pPr>
              <w:pStyle w:val="tableheaderwithintable"/>
              <w:rPr>
                <w:lang w:val="en-US" w:eastAsia="en-US"/>
              </w:rPr>
            </w:pPr>
            <w:r w:rsidRPr="000D5EC1">
              <w:rPr>
                <w:lang w:val="en-US" w:eastAsia="en-US"/>
              </w:rPr>
              <w:t>Current law</w:t>
            </w:r>
          </w:p>
        </w:tc>
      </w:tr>
      <w:tr w:rsidR="007E7EAD" w:rsidRPr="000D5EC1" w:rsidTr="00F70F10">
        <w:tc>
          <w:tcPr>
            <w:tcW w:w="3275" w:type="dxa"/>
          </w:tcPr>
          <w:p w:rsidR="007E7EAD" w:rsidRPr="000D5EC1" w:rsidRDefault="007E7EAD" w:rsidP="00F70F10">
            <w:pPr>
              <w:pStyle w:val="tabletext"/>
              <w:rPr>
                <w:lang w:val="en-US" w:eastAsia="en-US"/>
              </w:rPr>
            </w:pPr>
            <w:r w:rsidRPr="000D5EC1">
              <w:rPr>
                <w:lang w:val="en-US" w:eastAsia="en-US"/>
              </w:rPr>
              <w:t xml:space="preserve">An RSE licensee is required to hold an AMM which provides members of the RSE with the opportunity to ask questions of the </w:t>
            </w:r>
            <w:r>
              <w:rPr>
                <w:lang w:val="en-US" w:eastAsia="en-US"/>
              </w:rPr>
              <w:t>responsible officers of</w:t>
            </w:r>
            <w:r w:rsidRPr="000D5EC1">
              <w:rPr>
                <w:lang w:val="en-US" w:eastAsia="en-US"/>
              </w:rPr>
              <w:t xml:space="preserve"> the RSE licensee,</w:t>
            </w:r>
            <w:r>
              <w:rPr>
                <w:lang w:val="en-US" w:eastAsia="en-US"/>
              </w:rPr>
              <w:t xml:space="preserve"> individual trustees, and</w:t>
            </w:r>
            <w:r w:rsidRPr="000D5EC1">
              <w:rPr>
                <w:lang w:val="en-US" w:eastAsia="en-US"/>
              </w:rPr>
              <w:t xml:space="preserve"> relevant auditors and actuaries.</w:t>
            </w:r>
          </w:p>
        </w:tc>
        <w:tc>
          <w:tcPr>
            <w:tcW w:w="3276" w:type="dxa"/>
          </w:tcPr>
          <w:p w:rsidR="007E7EAD" w:rsidRPr="000D5EC1" w:rsidRDefault="007E7EAD" w:rsidP="00F70F10">
            <w:pPr>
              <w:pStyle w:val="tabletext"/>
              <w:rPr>
                <w:lang w:val="en-US" w:eastAsia="en-US"/>
              </w:rPr>
            </w:pPr>
            <w:r>
              <w:rPr>
                <w:lang w:val="en-US" w:eastAsia="en-US"/>
              </w:rPr>
              <w:t>No equivalent.</w:t>
            </w:r>
          </w:p>
        </w:tc>
      </w:tr>
      <w:tr w:rsidR="007E7EAD" w:rsidRPr="000D5EC1" w:rsidTr="00F70F10">
        <w:tc>
          <w:tcPr>
            <w:tcW w:w="3275" w:type="dxa"/>
          </w:tcPr>
          <w:p w:rsidR="007E7EAD" w:rsidRPr="000D5EC1" w:rsidRDefault="007E7EAD" w:rsidP="00F70F10">
            <w:pPr>
              <w:pStyle w:val="tabletext"/>
              <w:rPr>
                <w:lang w:val="en-US" w:eastAsia="en-US"/>
              </w:rPr>
            </w:pPr>
            <w:r>
              <w:rPr>
                <w:lang w:val="en-US" w:eastAsia="en-US"/>
              </w:rPr>
              <w:t>The responsible officers of an RSE licensee, individual trustees, and relevant auditors and actuaries must attend the AMM, unless they have a reasonable excuse for not attending.</w:t>
            </w:r>
          </w:p>
        </w:tc>
        <w:tc>
          <w:tcPr>
            <w:tcW w:w="3276" w:type="dxa"/>
          </w:tcPr>
          <w:p w:rsidR="007E7EAD" w:rsidRDefault="007E7EAD" w:rsidP="00F70F10">
            <w:pPr>
              <w:pStyle w:val="tabletext"/>
              <w:rPr>
                <w:lang w:val="en-US" w:eastAsia="en-US"/>
              </w:rPr>
            </w:pPr>
            <w:r>
              <w:rPr>
                <w:lang w:val="en-US" w:eastAsia="en-US"/>
              </w:rPr>
              <w:t>No equivalent.</w:t>
            </w:r>
          </w:p>
        </w:tc>
      </w:tr>
      <w:tr w:rsidR="007E7EAD" w:rsidRPr="000D5EC1" w:rsidTr="00F70F10">
        <w:tc>
          <w:tcPr>
            <w:tcW w:w="3275" w:type="dxa"/>
          </w:tcPr>
          <w:p w:rsidR="007E7EAD" w:rsidRPr="000D5EC1" w:rsidRDefault="007E7EAD" w:rsidP="00F70F10">
            <w:pPr>
              <w:pStyle w:val="tabletext"/>
              <w:rPr>
                <w:lang w:val="en-US" w:eastAsia="en-US"/>
              </w:rPr>
            </w:pPr>
            <w:r>
              <w:rPr>
                <w:lang w:val="en-US" w:eastAsia="en-US"/>
              </w:rPr>
              <w:t>A responsible officer of an RSE licensee, an individual trustee, an auditor or an actuary must answer the question at the AMM, and unless it is no</w:t>
            </w:r>
            <w:r w:rsidR="000A0EF0">
              <w:rPr>
                <w:lang w:val="en-US" w:eastAsia="en-US"/>
              </w:rPr>
              <w:t>t</w:t>
            </w:r>
            <w:r>
              <w:rPr>
                <w:lang w:val="en-US" w:eastAsia="en-US"/>
              </w:rPr>
              <w:t xml:space="preserve"> reasonably practicable to do so, in which case the question must answered within one month.</w:t>
            </w:r>
          </w:p>
        </w:tc>
        <w:tc>
          <w:tcPr>
            <w:tcW w:w="3276" w:type="dxa"/>
          </w:tcPr>
          <w:p w:rsidR="007E7EAD" w:rsidRDefault="007E7EAD" w:rsidP="00F70F10">
            <w:pPr>
              <w:pStyle w:val="tabletext"/>
              <w:rPr>
                <w:lang w:val="en-US" w:eastAsia="en-US"/>
              </w:rPr>
            </w:pPr>
            <w:r>
              <w:rPr>
                <w:lang w:val="en-US" w:eastAsia="en-US"/>
              </w:rPr>
              <w:t>No equivalent.</w:t>
            </w:r>
          </w:p>
        </w:tc>
      </w:tr>
      <w:tr w:rsidR="007E7EAD" w:rsidRPr="000D5EC1" w:rsidTr="00F70F10">
        <w:tc>
          <w:tcPr>
            <w:tcW w:w="3275" w:type="dxa"/>
          </w:tcPr>
          <w:p w:rsidR="007E7EAD" w:rsidRDefault="007E7EAD" w:rsidP="00F70F10">
            <w:pPr>
              <w:pStyle w:val="tabletext"/>
              <w:rPr>
                <w:lang w:val="en-US" w:eastAsia="en-US"/>
              </w:rPr>
            </w:pPr>
            <w:r>
              <w:rPr>
                <w:lang w:val="en-US" w:eastAsia="en-US"/>
              </w:rPr>
              <w:t>A responsible officer  of an RSE licensee or an individual trustee does not need to answer a question if:</w:t>
            </w:r>
          </w:p>
          <w:p w:rsidR="007E7EAD" w:rsidRDefault="007E7EAD" w:rsidP="00F70F10">
            <w:pPr>
              <w:pStyle w:val="tabledotpoint"/>
              <w:rPr>
                <w:lang w:val="en-US" w:eastAsia="en-US"/>
              </w:rPr>
            </w:pPr>
            <w:r>
              <w:rPr>
                <w:lang w:val="en-US" w:eastAsia="en-US"/>
              </w:rPr>
              <w:t>the question is not relevant to an action or failure or act by the RSE licensee in relation to the registrable superannuation entity or one or more of its members;</w:t>
            </w:r>
          </w:p>
          <w:p w:rsidR="007E7EAD" w:rsidRDefault="007E7EAD" w:rsidP="00F70F10">
            <w:pPr>
              <w:pStyle w:val="tabledotpoint"/>
              <w:rPr>
                <w:lang w:val="en-US" w:eastAsia="en-US"/>
              </w:rPr>
            </w:pPr>
            <w:r>
              <w:rPr>
                <w:lang w:val="en-US" w:eastAsia="en-US"/>
              </w:rPr>
              <w:t>the question is not relevant to the registrable superannuation entity;</w:t>
            </w:r>
          </w:p>
          <w:p w:rsidR="007E7EAD" w:rsidRDefault="007E7EAD" w:rsidP="00F70F10">
            <w:pPr>
              <w:pStyle w:val="tabledotpoint"/>
              <w:rPr>
                <w:lang w:val="en-US" w:eastAsia="en-US"/>
              </w:rPr>
            </w:pPr>
            <w:r>
              <w:rPr>
                <w:lang w:val="en-US" w:eastAsia="en-US"/>
              </w:rPr>
              <w:t xml:space="preserve">it would be in breach of the </w:t>
            </w:r>
            <w:r>
              <w:rPr>
                <w:lang w:val="en-US" w:eastAsia="en-US"/>
              </w:rPr>
              <w:lastRenderedPageBreak/>
              <w:t>governing rules of the registrable superannuation entity, the SIS Act or any other law to answer the question;</w:t>
            </w:r>
          </w:p>
          <w:p w:rsidR="007E7EAD" w:rsidRDefault="007E7EAD" w:rsidP="00F70F10">
            <w:pPr>
              <w:pStyle w:val="tabledotpoint"/>
              <w:rPr>
                <w:lang w:val="en-US" w:eastAsia="en-US"/>
              </w:rPr>
            </w:pPr>
            <w:r>
              <w:rPr>
                <w:lang w:val="en-US" w:eastAsia="en-US"/>
              </w:rPr>
              <w:t>answering the question would result in detriment to the members taken as a whole; or</w:t>
            </w:r>
          </w:p>
          <w:p w:rsidR="007E7EAD" w:rsidRDefault="007E7EAD" w:rsidP="00F70F10">
            <w:pPr>
              <w:pStyle w:val="tabledotpoint"/>
              <w:rPr>
                <w:lang w:val="en-US" w:eastAsia="en-US"/>
              </w:rPr>
            </w:pPr>
            <w:proofErr w:type="gramStart"/>
            <w:r>
              <w:rPr>
                <w:lang w:val="en-US" w:eastAsia="en-US"/>
              </w:rPr>
              <w:t>any</w:t>
            </w:r>
            <w:proofErr w:type="gramEnd"/>
            <w:r>
              <w:rPr>
                <w:lang w:val="en-US" w:eastAsia="en-US"/>
              </w:rPr>
              <w:t xml:space="preserve"> other circumstances prescribed by regulations.</w:t>
            </w:r>
          </w:p>
        </w:tc>
        <w:tc>
          <w:tcPr>
            <w:tcW w:w="3276" w:type="dxa"/>
          </w:tcPr>
          <w:p w:rsidR="007E7EAD" w:rsidRDefault="007E7EAD" w:rsidP="00F70F10">
            <w:pPr>
              <w:pStyle w:val="tabletext"/>
              <w:rPr>
                <w:lang w:val="en-US" w:eastAsia="en-US"/>
              </w:rPr>
            </w:pPr>
            <w:r>
              <w:rPr>
                <w:lang w:val="en-US" w:eastAsia="en-US"/>
              </w:rPr>
              <w:lastRenderedPageBreak/>
              <w:t>No equivalent.</w:t>
            </w:r>
          </w:p>
        </w:tc>
      </w:tr>
      <w:tr w:rsidR="007E7EAD" w:rsidRPr="000D5EC1" w:rsidTr="00F70F10">
        <w:tc>
          <w:tcPr>
            <w:tcW w:w="3275" w:type="dxa"/>
          </w:tcPr>
          <w:p w:rsidR="007E7EAD" w:rsidRDefault="007E7EAD" w:rsidP="00F70F10">
            <w:pPr>
              <w:pStyle w:val="tabletext"/>
              <w:rPr>
                <w:lang w:val="en-US" w:eastAsia="en-US"/>
              </w:rPr>
            </w:pPr>
            <w:r>
              <w:rPr>
                <w:lang w:val="en-US" w:eastAsia="en-US"/>
              </w:rPr>
              <w:lastRenderedPageBreak/>
              <w:t>An auditor does not need to answer a question if:</w:t>
            </w:r>
          </w:p>
          <w:p w:rsidR="007E7EAD" w:rsidRDefault="007E7EAD" w:rsidP="00F70F10">
            <w:pPr>
              <w:pStyle w:val="tabledotpoint"/>
              <w:rPr>
                <w:lang w:val="en-US" w:eastAsia="en-US"/>
              </w:rPr>
            </w:pPr>
            <w:r>
              <w:rPr>
                <w:lang w:val="en-US" w:eastAsia="en-US"/>
              </w:rPr>
              <w:t>the question is not relevant to an action or failure or act by the RSE licensee in relation to the registrable superannuation entity or one or more of its members;</w:t>
            </w:r>
          </w:p>
          <w:p w:rsidR="007E7EAD" w:rsidRDefault="007E7EAD" w:rsidP="00F70F10">
            <w:pPr>
              <w:pStyle w:val="tabledotpoint"/>
              <w:rPr>
                <w:lang w:val="en-US" w:eastAsia="en-US"/>
              </w:rPr>
            </w:pPr>
            <w:r>
              <w:rPr>
                <w:lang w:val="en-US" w:eastAsia="en-US"/>
              </w:rPr>
              <w:t>the question is not relevant to the registrable superannuation entity;</w:t>
            </w:r>
          </w:p>
          <w:p w:rsidR="007E7EAD" w:rsidRDefault="007E7EAD" w:rsidP="00F70F10">
            <w:pPr>
              <w:pStyle w:val="tabledotpoint"/>
              <w:rPr>
                <w:lang w:val="en-US" w:eastAsia="en-US"/>
              </w:rPr>
            </w:pPr>
            <w:r>
              <w:rPr>
                <w:lang w:val="en-US" w:eastAsia="en-US"/>
              </w:rPr>
              <w:t>the question is not relevant to an audit of the registrable superannuation entity;</w:t>
            </w:r>
          </w:p>
          <w:p w:rsidR="007E7EAD" w:rsidRDefault="007E7EAD" w:rsidP="00F70F10">
            <w:pPr>
              <w:pStyle w:val="tabledotpoint"/>
              <w:rPr>
                <w:lang w:val="en-US" w:eastAsia="en-US"/>
              </w:rPr>
            </w:pPr>
            <w:r>
              <w:rPr>
                <w:lang w:val="en-US" w:eastAsia="en-US"/>
              </w:rPr>
              <w:t xml:space="preserve">the question is not relevant to  any matter that might reasonably be expected to be apparent to the auditor in relation to the entity; </w:t>
            </w:r>
          </w:p>
          <w:p w:rsidR="007E7EAD" w:rsidRDefault="007E7EAD" w:rsidP="00F70F10">
            <w:pPr>
              <w:pStyle w:val="tabledotpoint"/>
              <w:rPr>
                <w:lang w:val="en-US" w:eastAsia="en-US"/>
              </w:rPr>
            </w:pPr>
            <w:r>
              <w:rPr>
                <w:lang w:val="en-US" w:eastAsia="en-US"/>
              </w:rPr>
              <w:t>it would be in breach of the governing rules of the registrable superannuation entity, the SIS Act or any other law to answer the question;</w:t>
            </w:r>
          </w:p>
          <w:p w:rsidR="007E7EAD" w:rsidRDefault="007E7EAD" w:rsidP="00F70F10">
            <w:pPr>
              <w:pStyle w:val="tabledotpoint"/>
              <w:rPr>
                <w:lang w:val="en-US" w:eastAsia="en-US"/>
              </w:rPr>
            </w:pPr>
            <w:r>
              <w:rPr>
                <w:lang w:val="en-US" w:eastAsia="en-US"/>
              </w:rPr>
              <w:t>answering the question would result in detriment to the members taken as a whole; or</w:t>
            </w:r>
          </w:p>
          <w:p w:rsidR="007E7EAD" w:rsidRPr="009C3EEC" w:rsidRDefault="007E7EAD" w:rsidP="00F70F10">
            <w:pPr>
              <w:pStyle w:val="tabledotpoint"/>
              <w:rPr>
                <w:lang w:val="en-US" w:eastAsia="en-US"/>
              </w:rPr>
            </w:pPr>
            <w:proofErr w:type="gramStart"/>
            <w:r w:rsidRPr="009C3EEC">
              <w:rPr>
                <w:lang w:val="en-US" w:eastAsia="en-US"/>
              </w:rPr>
              <w:t>any</w:t>
            </w:r>
            <w:proofErr w:type="gramEnd"/>
            <w:r w:rsidRPr="009C3EEC">
              <w:rPr>
                <w:lang w:val="en-US" w:eastAsia="en-US"/>
              </w:rPr>
              <w:t xml:space="preserve"> other circumstances prescribed by regulations.</w:t>
            </w:r>
          </w:p>
        </w:tc>
        <w:tc>
          <w:tcPr>
            <w:tcW w:w="3276" w:type="dxa"/>
          </w:tcPr>
          <w:p w:rsidR="007E7EAD" w:rsidRDefault="007E7EAD" w:rsidP="00F70F10">
            <w:pPr>
              <w:pStyle w:val="tabletext"/>
              <w:rPr>
                <w:lang w:val="en-US" w:eastAsia="en-US"/>
              </w:rPr>
            </w:pPr>
            <w:r>
              <w:rPr>
                <w:lang w:val="en-US" w:eastAsia="en-US"/>
              </w:rPr>
              <w:t>No equivalent.</w:t>
            </w:r>
          </w:p>
        </w:tc>
      </w:tr>
      <w:tr w:rsidR="007E7EAD" w:rsidRPr="000D5EC1" w:rsidTr="00F70F10">
        <w:tc>
          <w:tcPr>
            <w:tcW w:w="3275" w:type="dxa"/>
          </w:tcPr>
          <w:p w:rsidR="007E7EAD" w:rsidRDefault="007E7EAD" w:rsidP="00F70F10">
            <w:pPr>
              <w:pStyle w:val="tabletext"/>
              <w:rPr>
                <w:lang w:val="en-US" w:eastAsia="en-US"/>
              </w:rPr>
            </w:pPr>
            <w:r>
              <w:rPr>
                <w:lang w:val="en-US" w:eastAsia="en-US"/>
              </w:rPr>
              <w:t>An actuary does not need to answer a question if:</w:t>
            </w:r>
          </w:p>
          <w:p w:rsidR="007E7EAD" w:rsidRDefault="007E7EAD" w:rsidP="00F70F10">
            <w:pPr>
              <w:pStyle w:val="tabledotpoint"/>
              <w:rPr>
                <w:lang w:val="en-US" w:eastAsia="en-US"/>
              </w:rPr>
            </w:pPr>
            <w:r>
              <w:rPr>
                <w:lang w:val="en-US" w:eastAsia="en-US"/>
              </w:rPr>
              <w:t>the question is not relevant to an action or failure or act by the RSE licensee in relation to the registrable superannuation entity or one or more of its members;</w:t>
            </w:r>
          </w:p>
          <w:p w:rsidR="007E7EAD" w:rsidRDefault="007E7EAD" w:rsidP="00F70F10">
            <w:pPr>
              <w:pStyle w:val="tabledotpoint"/>
              <w:rPr>
                <w:lang w:val="en-US" w:eastAsia="en-US"/>
              </w:rPr>
            </w:pPr>
            <w:r>
              <w:rPr>
                <w:lang w:val="en-US" w:eastAsia="en-US"/>
              </w:rPr>
              <w:t>the question is not relevant to the registrable superannuation entity;</w:t>
            </w:r>
          </w:p>
          <w:p w:rsidR="007E7EAD" w:rsidRDefault="007E7EAD" w:rsidP="00F70F10">
            <w:pPr>
              <w:pStyle w:val="tabledotpoint"/>
              <w:rPr>
                <w:lang w:val="en-US" w:eastAsia="en-US"/>
              </w:rPr>
            </w:pPr>
            <w:r>
              <w:rPr>
                <w:lang w:val="en-US" w:eastAsia="en-US"/>
              </w:rPr>
              <w:t xml:space="preserve">the question is not relevant to an actuary investigation of the </w:t>
            </w:r>
            <w:r>
              <w:rPr>
                <w:lang w:val="en-US" w:eastAsia="en-US"/>
              </w:rPr>
              <w:lastRenderedPageBreak/>
              <w:t>registrable superannuation entity;</w:t>
            </w:r>
          </w:p>
          <w:p w:rsidR="007E7EAD" w:rsidRDefault="007E7EAD" w:rsidP="00F70F10">
            <w:pPr>
              <w:pStyle w:val="tabledotpoint"/>
              <w:rPr>
                <w:lang w:val="en-US" w:eastAsia="en-US"/>
              </w:rPr>
            </w:pPr>
            <w:r>
              <w:rPr>
                <w:lang w:val="en-US" w:eastAsia="en-US"/>
              </w:rPr>
              <w:t xml:space="preserve">the question is not relevant to any matter that might reasonably be expected to be apparent to the actuary in relation to the entity; </w:t>
            </w:r>
          </w:p>
          <w:p w:rsidR="007E7EAD" w:rsidRDefault="007E7EAD" w:rsidP="00F70F10">
            <w:pPr>
              <w:pStyle w:val="tabledotpoint"/>
              <w:rPr>
                <w:lang w:val="en-US" w:eastAsia="en-US"/>
              </w:rPr>
            </w:pPr>
            <w:r>
              <w:rPr>
                <w:lang w:val="en-US" w:eastAsia="en-US"/>
              </w:rPr>
              <w:t>it would be in breach of the governing rules of the registrable superannuation entity, the SIS Act or any other law to answer the question;</w:t>
            </w:r>
          </w:p>
          <w:p w:rsidR="007E7EAD" w:rsidRDefault="007E7EAD" w:rsidP="00F70F10">
            <w:pPr>
              <w:pStyle w:val="tabledotpoint"/>
              <w:rPr>
                <w:lang w:val="en-US" w:eastAsia="en-US"/>
              </w:rPr>
            </w:pPr>
            <w:r>
              <w:rPr>
                <w:lang w:val="en-US" w:eastAsia="en-US"/>
              </w:rPr>
              <w:t>answering the question would result in detriment to the members taken as a whole; or</w:t>
            </w:r>
          </w:p>
          <w:p w:rsidR="007E7EAD" w:rsidRPr="008D3512" w:rsidRDefault="007E7EAD" w:rsidP="00F70F10">
            <w:pPr>
              <w:pStyle w:val="tabledotpoint"/>
              <w:rPr>
                <w:lang w:val="en-US" w:eastAsia="en-US"/>
              </w:rPr>
            </w:pPr>
            <w:proofErr w:type="gramStart"/>
            <w:r w:rsidRPr="008D3512">
              <w:rPr>
                <w:lang w:val="en-US" w:eastAsia="en-US"/>
              </w:rPr>
              <w:t>any</w:t>
            </w:r>
            <w:proofErr w:type="gramEnd"/>
            <w:r w:rsidRPr="008D3512">
              <w:rPr>
                <w:lang w:val="en-US" w:eastAsia="en-US"/>
              </w:rPr>
              <w:t xml:space="preserve"> other circumstances prescribed by regulations.</w:t>
            </w:r>
          </w:p>
        </w:tc>
        <w:tc>
          <w:tcPr>
            <w:tcW w:w="3276" w:type="dxa"/>
          </w:tcPr>
          <w:p w:rsidR="007E7EAD" w:rsidRDefault="007E7EAD" w:rsidP="00F70F10">
            <w:pPr>
              <w:pStyle w:val="tabletext"/>
              <w:rPr>
                <w:lang w:val="en-US" w:eastAsia="en-US"/>
              </w:rPr>
            </w:pPr>
            <w:r>
              <w:rPr>
                <w:lang w:val="en-US" w:eastAsia="en-US"/>
              </w:rPr>
              <w:lastRenderedPageBreak/>
              <w:t>No equivalent.</w:t>
            </w:r>
          </w:p>
        </w:tc>
      </w:tr>
    </w:tbl>
    <w:p w:rsidR="007E7EAD" w:rsidRDefault="007E7EAD" w:rsidP="007E7EAD">
      <w:pPr>
        <w:pStyle w:val="Heading2"/>
      </w:pPr>
      <w:r w:rsidRPr="000D5EC1">
        <w:lastRenderedPageBreak/>
        <w:t>Detailed explanation of new law</w:t>
      </w:r>
    </w:p>
    <w:p w:rsidR="007E7EAD" w:rsidRPr="00B735AC" w:rsidRDefault="007E7EAD" w:rsidP="007E7EAD">
      <w:pPr>
        <w:pStyle w:val="base-text-paragraph"/>
        <w:numPr>
          <w:ilvl w:val="1"/>
          <w:numId w:val="68"/>
        </w:numPr>
        <w:tabs>
          <w:tab w:val="clear" w:pos="1844"/>
          <w:tab w:val="num" w:pos="1985"/>
        </w:tabs>
        <w:ind w:left="1134"/>
        <w:rPr>
          <w:rStyle w:val="Referencingstyle"/>
          <w:b w:val="0"/>
          <w:i w:val="0"/>
          <w:sz w:val="22"/>
        </w:rPr>
      </w:pPr>
      <w:r w:rsidRPr="00C53F48">
        <w:t>The amendments require the RSE licensee of a registrable superannuation entity to hold an AMM</w:t>
      </w:r>
      <w:r>
        <w:t xml:space="preserve"> within five months of the end of the entity’s income year. </w:t>
      </w:r>
      <w:r>
        <w:rPr>
          <w:rStyle w:val="Referencingstyle"/>
        </w:rPr>
        <w:t>[Schedule </w:t>
      </w:r>
      <w:r w:rsidR="00CD1F41">
        <w:rPr>
          <w:rStyle w:val="Referencingstyle"/>
        </w:rPr>
        <w:t>6</w:t>
      </w:r>
      <w:r>
        <w:rPr>
          <w:rStyle w:val="Referencingstyle"/>
        </w:rPr>
        <w:t>, item 5,</w:t>
      </w:r>
      <w:r>
        <w:rPr>
          <w:rStyle w:val="Referencingstyle"/>
          <w:i w:val="0"/>
        </w:rPr>
        <w:t xml:space="preserve"> </w:t>
      </w:r>
      <w:r>
        <w:rPr>
          <w:rStyle w:val="Referencingstyle"/>
        </w:rPr>
        <w:t>subsections 29P(1) and (2)]</w:t>
      </w:r>
    </w:p>
    <w:p w:rsidR="007E7EAD" w:rsidRDefault="007E7EAD" w:rsidP="007E7EAD">
      <w:pPr>
        <w:pStyle w:val="base-text-paragraph"/>
        <w:numPr>
          <w:ilvl w:val="1"/>
          <w:numId w:val="68"/>
        </w:numPr>
        <w:tabs>
          <w:tab w:val="clear" w:pos="1844"/>
          <w:tab w:val="num" w:pos="1985"/>
        </w:tabs>
        <w:ind w:left="1134"/>
        <w:rPr>
          <w:rStyle w:val="Referencingstyle"/>
          <w:b w:val="0"/>
          <w:i w:val="0"/>
          <w:sz w:val="22"/>
        </w:rPr>
      </w:pPr>
      <w:r>
        <w:t>However, this does not apply in relation to:</w:t>
      </w:r>
    </w:p>
    <w:p w:rsidR="007E7EAD" w:rsidRDefault="007E7EAD" w:rsidP="007E7EAD">
      <w:pPr>
        <w:pStyle w:val="dotpoint"/>
        <w:rPr>
          <w:rStyle w:val="Referencingstyle"/>
          <w:b w:val="0"/>
          <w:i w:val="0"/>
          <w:sz w:val="22"/>
        </w:rPr>
      </w:pPr>
      <w:r>
        <w:rPr>
          <w:rStyle w:val="Referencingstyle"/>
          <w:b w:val="0"/>
          <w:i w:val="0"/>
          <w:sz w:val="22"/>
        </w:rPr>
        <w:t>a superannuation fund with less than five members;</w:t>
      </w:r>
    </w:p>
    <w:p w:rsidR="007E7EAD" w:rsidRDefault="007E7EAD" w:rsidP="007E7EAD">
      <w:pPr>
        <w:pStyle w:val="dotpoint"/>
        <w:rPr>
          <w:rStyle w:val="Referencingstyle"/>
          <w:b w:val="0"/>
          <w:i w:val="0"/>
          <w:sz w:val="22"/>
        </w:rPr>
      </w:pPr>
      <w:r>
        <w:rPr>
          <w:rStyle w:val="Referencingstyle"/>
          <w:b w:val="0"/>
          <w:i w:val="0"/>
          <w:sz w:val="22"/>
        </w:rPr>
        <w:t>an excluded approved deposit fund;</w:t>
      </w:r>
    </w:p>
    <w:p w:rsidR="007E7EAD" w:rsidRDefault="007E7EAD" w:rsidP="007E7EAD">
      <w:pPr>
        <w:pStyle w:val="dotpoint"/>
        <w:rPr>
          <w:rStyle w:val="Referencingstyle"/>
          <w:b w:val="0"/>
          <w:i w:val="0"/>
          <w:sz w:val="22"/>
        </w:rPr>
      </w:pPr>
      <w:r>
        <w:rPr>
          <w:rStyle w:val="Referencingstyle"/>
          <w:b w:val="0"/>
          <w:i w:val="0"/>
          <w:sz w:val="22"/>
        </w:rPr>
        <w:t>a pooled superannuation trust; or</w:t>
      </w:r>
    </w:p>
    <w:p w:rsidR="007E7EAD" w:rsidRDefault="007E7EAD" w:rsidP="007E7EAD">
      <w:pPr>
        <w:pStyle w:val="dotpoint"/>
        <w:rPr>
          <w:rStyle w:val="Referencingstyle"/>
          <w:b w:val="0"/>
          <w:i w:val="0"/>
          <w:sz w:val="22"/>
        </w:rPr>
      </w:pPr>
      <w:proofErr w:type="gramStart"/>
      <w:r>
        <w:rPr>
          <w:rStyle w:val="Referencingstyle"/>
          <w:b w:val="0"/>
          <w:i w:val="0"/>
          <w:sz w:val="22"/>
        </w:rPr>
        <w:t>an</w:t>
      </w:r>
      <w:proofErr w:type="gramEnd"/>
      <w:r>
        <w:rPr>
          <w:rStyle w:val="Referencingstyle"/>
          <w:b w:val="0"/>
          <w:i w:val="0"/>
          <w:sz w:val="22"/>
        </w:rPr>
        <w:t xml:space="preserve"> eligible rollover fund.</w:t>
      </w:r>
    </w:p>
    <w:p w:rsidR="007E7EAD" w:rsidRDefault="007E7EAD" w:rsidP="007E7EAD">
      <w:pPr>
        <w:pStyle w:val="base-text-paragraphnonumbers"/>
        <w:rPr>
          <w:rStyle w:val="Referencingstyle"/>
        </w:rPr>
      </w:pPr>
      <w:r>
        <w:rPr>
          <w:rStyle w:val="Referencingstyle"/>
        </w:rPr>
        <w:t>[Schedule </w:t>
      </w:r>
      <w:r w:rsidR="00CD1F41">
        <w:rPr>
          <w:rStyle w:val="Referencingstyle"/>
        </w:rPr>
        <w:t>6</w:t>
      </w:r>
      <w:r>
        <w:rPr>
          <w:rStyle w:val="Referencingstyle"/>
        </w:rPr>
        <w:t xml:space="preserve">, item 5, subsection </w:t>
      </w:r>
      <w:proofErr w:type="gramStart"/>
      <w:r>
        <w:rPr>
          <w:rStyle w:val="Referencingstyle"/>
        </w:rPr>
        <w:t>29P(</w:t>
      </w:r>
      <w:proofErr w:type="gramEnd"/>
      <w:r>
        <w:rPr>
          <w:rStyle w:val="Referencingstyle"/>
        </w:rPr>
        <w:t>7)]</w:t>
      </w:r>
    </w:p>
    <w:p w:rsidR="007E7EAD" w:rsidRDefault="007E7EAD" w:rsidP="007E7EAD">
      <w:pPr>
        <w:pStyle w:val="base-text-paragraph"/>
        <w:numPr>
          <w:ilvl w:val="1"/>
          <w:numId w:val="68"/>
        </w:numPr>
        <w:tabs>
          <w:tab w:val="clear" w:pos="1844"/>
          <w:tab w:val="num" w:pos="1985"/>
        </w:tabs>
        <w:ind w:left="1134"/>
        <w:rPr>
          <w:rStyle w:val="Referencingstyle"/>
        </w:rPr>
      </w:pPr>
      <w:r>
        <w:t xml:space="preserve">It is an offence to contravene the obligation to hold an AMM. The penalty for the RSE licensee or an individual trustee (if the RSE licensee is a group of individual trustees) committing the offence is 50 penalty units. </w:t>
      </w:r>
      <w:r>
        <w:rPr>
          <w:rStyle w:val="Referencingstyle"/>
        </w:rPr>
        <w:t>[Schedule </w:t>
      </w:r>
      <w:r w:rsidR="00CD1F41">
        <w:rPr>
          <w:rStyle w:val="Referencingstyle"/>
        </w:rPr>
        <w:t>6</w:t>
      </w:r>
      <w:r>
        <w:rPr>
          <w:rStyle w:val="Referencingstyle"/>
        </w:rPr>
        <w:t>, item 5, subsection 29P(8)]</w:t>
      </w:r>
    </w:p>
    <w:p w:rsidR="007E7EAD" w:rsidRDefault="007E7EAD" w:rsidP="007E7EAD">
      <w:pPr>
        <w:pStyle w:val="Heading3"/>
      </w:pPr>
      <w:r>
        <w:t>Notice to be given before the AMM</w:t>
      </w:r>
    </w:p>
    <w:p w:rsidR="007E7EAD" w:rsidRDefault="007E7EAD" w:rsidP="007E7EAD">
      <w:pPr>
        <w:pStyle w:val="base-text-paragraph"/>
        <w:numPr>
          <w:ilvl w:val="1"/>
          <w:numId w:val="68"/>
        </w:numPr>
        <w:tabs>
          <w:tab w:val="clear" w:pos="1844"/>
          <w:tab w:val="num" w:pos="1985"/>
        </w:tabs>
        <w:ind w:left="1134"/>
      </w:pPr>
      <w:r>
        <w:t>21 days before the AMM, the RSE licensee must give notice of the meeting to:</w:t>
      </w:r>
    </w:p>
    <w:p w:rsidR="007E7EAD" w:rsidRDefault="009D7498" w:rsidP="007E7EAD">
      <w:pPr>
        <w:pStyle w:val="dotpoint"/>
      </w:pPr>
      <w:r>
        <w:t>all</w:t>
      </w:r>
      <w:r w:rsidR="007E7EAD">
        <w:t xml:space="preserve"> members of the registrable superannuation entity;</w:t>
      </w:r>
    </w:p>
    <w:p w:rsidR="007E7EAD" w:rsidRDefault="007E7EAD" w:rsidP="007E7EAD">
      <w:pPr>
        <w:pStyle w:val="dotpoint"/>
      </w:pPr>
      <w:r>
        <w:lastRenderedPageBreak/>
        <w:t>all responsible officers of the RSE licensee that is a body corporate;</w:t>
      </w:r>
    </w:p>
    <w:p w:rsidR="007E7EAD" w:rsidRDefault="007E7EAD" w:rsidP="007E7EAD">
      <w:pPr>
        <w:pStyle w:val="dotpoint"/>
      </w:pPr>
      <w:r>
        <w:t>any person who has been an auditor of the entity for the income year; and</w:t>
      </w:r>
    </w:p>
    <w:p w:rsidR="007E7EAD" w:rsidRDefault="007E7EAD" w:rsidP="007E7EAD">
      <w:pPr>
        <w:pStyle w:val="dotpoint"/>
      </w:pPr>
      <w:proofErr w:type="gramStart"/>
      <w:r>
        <w:t>any</w:t>
      </w:r>
      <w:proofErr w:type="gramEnd"/>
      <w:r>
        <w:t xml:space="preserve"> person who has been an actuary of the entity during the income year or within five </w:t>
      </w:r>
      <w:r w:rsidR="009D7498">
        <w:t xml:space="preserve">months </w:t>
      </w:r>
      <w:r>
        <w:t>after the end of the income year.</w:t>
      </w:r>
    </w:p>
    <w:p w:rsidR="007E7EAD" w:rsidRPr="00BA59D5" w:rsidRDefault="007E7EAD" w:rsidP="007E7EAD">
      <w:pPr>
        <w:pStyle w:val="base-text-paragraphnonumbers"/>
        <w:rPr>
          <w:rStyle w:val="Referencingstyle"/>
        </w:rPr>
      </w:pPr>
      <w:r>
        <w:rPr>
          <w:rStyle w:val="Referencingstyle"/>
        </w:rPr>
        <w:t>[Schedule </w:t>
      </w:r>
      <w:r w:rsidR="00CD1F41">
        <w:rPr>
          <w:rStyle w:val="Referencingstyle"/>
        </w:rPr>
        <w:t>6</w:t>
      </w:r>
      <w:r>
        <w:rPr>
          <w:rStyle w:val="Referencingstyle"/>
        </w:rPr>
        <w:t xml:space="preserve">, item 5, subsection </w:t>
      </w:r>
      <w:proofErr w:type="gramStart"/>
      <w:r>
        <w:rPr>
          <w:rStyle w:val="Referencingstyle"/>
        </w:rPr>
        <w:t>29P(</w:t>
      </w:r>
      <w:proofErr w:type="gramEnd"/>
      <w:r>
        <w:rPr>
          <w:rStyle w:val="Referencingstyle"/>
        </w:rPr>
        <w:t>3)]</w:t>
      </w:r>
    </w:p>
    <w:p w:rsidR="007E7EAD" w:rsidRDefault="007E7EAD" w:rsidP="007E7EAD">
      <w:pPr>
        <w:pStyle w:val="base-text-paragraph"/>
        <w:numPr>
          <w:ilvl w:val="1"/>
          <w:numId w:val="68"/>
        </w:numPr>
        <w:tabs>
          <w:tab w:val="clear" w:pos="1844"/>
          <w:tab w:val="num" w:pos="1985"/>
        </w:tabs>
        <w:ind w:left="1134"/>
      </w:pPr>
      <w:r>
        <w:t>A responsible officer is a director, a secretary or an executive officer of the RSE licensee (see subsection 10(1) of the SIS Act).</w:t>
      </w:r>
    </w:p>
    <w:p w:rsidR="007E7EAD" w:rsidRDefault="007E7EAD" w:rsidP="007E7EAD">
      <w:pPr>
        <w:pStyle w:val="base-text-paragraph"/>
        <w:numPr>
          <w:ilvl w:val="1"/>
          <w:numId w:val="68"/>
        </w:numPr>
        <w:tabs>
          <w:tab w:val="clear" w:pos="1844"/>
          <w:tab w:val="num" w:pos="1985"/>
        </w:tabs>
        <w:ind w:left="1134"/>
      </w:pPr>
      <w:r>
        <w:t xml:space="preserve">The notice of the AMM must include the time and location of the meeting, or if the meeting is held by electronic means the details of how the meeting can be attended electronically. </w:t>
      </w:r>
      <w:r>
        <w:rPr>
          <w:rStyle w:val="Referencingstyle"/>
        </w:rPr>
        <w:t>[Schedule </w:t>
      </w:r>
      <w:r w:rsidR="00CD1F41">
        <w:rPr>
          <w:rStyle w:val="Referencingstyle"/>
        </w:rPr>
        <w:t>6</w:t>
      </w:r>
      <w:r>
        <w:rPr>
          <w:rStyle w:val="Referencingstyle"/>
        </w:rPr>
        <w:t>, item 5, subparagraphs 29P(4)(a)(</w:t>
      </w:r>
      <w:proofErr w:type="spellStart"/>
      <w:r>
        <w:rPr>
          <w:rStyle w:val="Referencingstyle"/>
        </w:rPr>
        <w:t>i</w:t>
      </w:r>
      <w:proofErr w:type="spellEnd"/>
      <w:r>
        <w:rPr>
          <w:rStyle w:val="Referencingstyle"/>
        </w:rPr>
        <w:t>) and (ii)]</w:t>
      </w:r>
    </w:p>
    <w:p w:rsidR="007E7EAD" w:rsidRDefault="007E7EAD" w:rsidP="007E7EAD">
      <w:pPr>
        <w:pStyle w:val="base-text-paragraph"/>
        <w:numPr>
          <w:ilvl w:val="1"/>
          <w:numId w:val="68"/>
        </w:numPr>
        <w:tabs>
          <w:tab w:val="clear" w:pos="1844"/>
          <w:tab w:val="num" w:pos="1985"/>
        </w:tabs>
        <w:ind w:left="1134"/>
      </w:pPr>
      <w:r>
        <w:t xml:space="preserve">The notice must also include the agenda of matters to be discussed at the AMM. </w:t>
      </w:r>
      <w:r>
        <w:rPr>
          <w:rStyle w:val="Referencingstyle"/>
        </w:rPr>
        <w:t>[Schedule </w:t>
      </w:r>
      <w:r w:rsidR="00CD1F41">
        <w:rPr>
          <w:rStyle w:val="Referencingstyle"/>
        </w:rPr>
        <w:t>6</w:t>
      </w:r>
      <w:r>
        <w:rPr>
          <w:rStyle w:val="Referencingstyle"/>
        </w:rPr>
        <w:t>, item 5, subparagraph 29(4)(a)(iii)]</w:t>
      </w:r>
    </w:p>
    <w:p w:rsidR="007E7EAD" w:rsidRDefault="007E7EAD" w:rsidP="007E7EAD">
      <w:pPr>
        <w:pStyle w:val="base-text-paragraph"/>
        <w:numPr>
          <w:ilvl w:val="1"/>
          <w:numId w:val="68"/>
        </w:numPr>
        <w:tabs>
          <w:tab w:val="clear" w:pos="1844"/>
          <w:tab w:val="num" w:pos="1985"/>
        </w:tabs>
        <w:ind w:left="1134"/>
      </w:pPr>
      <w:r>
        <w:t xml:space="preserve">The annual report of the registrable superannuation entity for the income year and any other information prescribed by the regulations must be included with the notice. </w:t>
      </w:r>
      <w:r>
        <w:rPr>
          <w:rStyle w:val="Referencingstyle"/>
        </w:rPr>
        <w:t>[Schedule </w:t>
      </w:r>
      <w:r w:rsidR="00CD1F41">
        <w:rPr>
          <w:rStyle w:val="Referencingstyle"/>
        </w:rPr>
        <w:t>6</w:t>
      </w:r>
      <w:r>
        <w:rPr>
          <w:rStyle w:val="Referencingstyle"/>
        </w:rPr>
        <w:t>, item 5, paragraph 29(4)(b)]</w:t>
      </w:r>
    </w:p>
    <w:p w:rsidR="007E7EAD" w:rsidRDefault="007E7EAD" w:rsidP="007E7EAD">
      <w:pPr>
        <w:pStyle w:val="base-text-paragraph"/>
        <w:numPr>
          <w:ilvl w:val="1"/>
          <w:numId w:val="68"/>
        </w:numPr>
        <w:tabs>
          <w:tab w:val="clear" w:pos="1844"/>
          <w:tab w:val="num" w:pos="1985"/>
        </w:tabs>
        <w:ind w:left="1134"/>
      </w:pPr>
      <w:r>
        <w:t xml:space="preserve">The regulations may prescribe that </w:t>
      </w:r>
      <w:r w:rsidRPr="000D5EC1" w:rsidDel="001C62DE">
        <w:t xml:space="preserve">information on operational matters of the </w:t>
      </w:r>
      <w:r>
        <w:t>fund be included with the notice of the AMM.</w:t>
      </w:r>
    </w:p>
    <w:p w:rsidR="007E7EAD" w:rsidRDefault="007E7EAD" w:rsidP="007E7EAD">
      <w:pPr>
        <w:pStyle w:val="base-text-paragraph"/>
        <w:numPr>
          <w:ilvl w:val="1"/>
          <w:numId w:val="68"/>
        </w:numPr>
        <w:tabs>
          <w:tab w:val="clear" w:pos="1844"/>
          <w:tab w:val="num" w:pos="1985"/>
        </w:tabs>
        <w:ind w:left="1134"/>
      </w:pPr>
      <w:r>
        <w:t xml:space="preserve">It is an offence to contravene the obligation to provide the notice and the obligation to provide information to be included in or with the notice. The penalty for the RSE licensee or an individual trustee (if the RSE licensee is a group of individual trustees) committing the offence is 50 penalty units. </w:t>
      </w:r>
      <w:r>
        <w:rPr>
          <w:rStyle w:val="Referencingstyle"/>
        </w:rPr>
        <w:t>[Schedule </w:t>
      </w:r>
      <w:r w:rsidR="00CD1F41">
        <w:rPr>
          <w:rStyle w:val="Referencingstyle"/>
        </w:rPr>
        <w:t>6</w:t>
      </w:r>
      <w:r>
        <w:rPr>
          <w:rStyle w:val="Referencingstyle"/>
        </w:rPr>
        <w:t>, item 5, subsection 29P(8)]</w:t>
      </w:r>
    </w:p>
    <w:p w:rsidR="007E7EAD" w:rsidRDefault="007E7EAD" w:rsidP="007E7EAD">
      <w:pPr>
        <w:pStyle w:val="Heading3"/>
      </w:pPr>
      <w:r>
        <w:t>Obligation to attend the AMM</w:t>
      </w:r>
    </w:p>
    <w:p w:rsidR="007E7EAD" w:rsidRPr="00332537" w:rsidRDefault="007E7EAD" w:rsidP="007E7EAD">
      <w:pPr>
        <w:pStyle w:val="base-text-paragraph"/>
        <w:numPr>
          <w:ilvl w:val="1"/>
          <w:numId w:val="68"/>
        </w:numPr>
        <w:tabs>
          <w:tab w:val="clear" w:pos="1844"/>
          <w:tab w:val="num" w:pos="1985"/>
        </w:tabs>
        <w:ind w:left="1134"/>
        <w:rPr>
          <w:rStyle w:val="Referencingstyle"/>
          <w:b w:val="0"/>
          <w:i w:val="0"/>
          <w:sz w:val="22"/>
        </w:rPr>
      </w:pPr>
      <w:r>
        <w:rPr>
          <w:lang w:val="en-US" w:eastAsia="en-US"/>
        </w:rPr>
        <w:t xml:space="preserve">All responsible officers of an RSE licensee, relevant auditors and actuaries must attend the AMM, if they were given the notice of the AMM. </w:t>
      </w:r>
      <w:r>
        <w:rPr>
          <w:rStyle w:val="Referencingstyle"/>
        </w:rPr>
        <w:t>[Schedule </w:t>
      </w:r>
      <w:r w:rsidR="00CD1F41">
        <w:rPr>
          <w:rStyle w:val="Referencingstyle"/>
        </w:rPr>
        <w:t>6</w:t>
      </w:r>
      <w:r>
        <w:rPr>
          <w:rStyle w:val="Referencingstyle"/>
        </w:rPr>
        <w:t>, item 5, subsections </w:t>
      </w:r>
      <w:proofErr w:type="gramStart"/>
      <w:r>
        <w:rPr>
          <w:rStyle w:val="Referencingstyle"/>
        </w:rPr>
        <w:t>29PA(</w:t>
      </w:r>
      <w:proofErr w:type="gramEnd"/>
      <w:r>
        <w:rPr>
          <w:rStyle w:val="Referencingstyle"/>
        </w:rPr>
        <w:t>1), (3) and (4)].</w:t>
      </w:r>
    </w:p>
    <w:p w:rsidR="007E7EAD" w:rsidRPr="00332537" w:rsidRDefault="007E7EAD" w:rsidP="007E7EAD">
      <w:pPr>
        <w:pStyle w:val="base-text-paragraph"/>
        <w:numPr>
          <w:ilvl w:val="1"/>
          <w:numId w:val="68"/>
        </w:numPr>
        <w:tabs>
          <w:tab w:val="clear" w:pos="1844"/>
          <w:tab w:val="num" w:pos="1985"/>
        </w:tabs>
        <w:ind w:left="1134"/>
      </w:pPr>
      <w:r>
        <w:rPr>
          <w:lang w:val="en-US" w:eastAsia="en-US"/>
        </w:rPr>
        <w:t>Where the RSE licensee is a group of individual trustees, each of the individual trustees must attend the AMM.</w:t>
      </w:r>
      <w:r>
        <w:t xml:space="preserve"> </w:t>
      </w:r>
      <w:r>
        <w:rPr>
          <w:rStyle w:val="Referencingstyle"/>
        </w:rPr>
        <w:t>[Schedule </w:t>
      </w:r>
      <w:r w:rsidR="00CD1F41">
        <w:rPr>
          <w:rStyle w:val="Referencingstyle"/>
        </w:rPr>
        <w:t>6</w:t>
      </w:r>
      <w:r>
        <w:rPr>
          <w:rStyle w:val="Referencingstyle"/>
        </w:rPr>
        <w:t>, item 5, subsection </w:t>
      </w:r>
      <w:proofErr w:type="gramStart"/>
      <w:r>
        <w:rPr>
          <w:rStyle w:val="Referencingstyle"/>
        </w:rPr>
        <w:t>29PA(</w:t>
      </w:r>
      <w:proofErr w:type="gramEnd"/>
      <w:r>
        <w:rPr>
          <w:rStyle w:val="Referencingstyle"/>
        </w:rPr>
        <w:t>2)].</w:t>
      </w:r>
    </w:p>
    <w:p w:rsidR="007E7EAD" w:rsidRPr="005A4682" w:rsidRDefault="007E7EAD" w:rsidP="007E7EAD">
      <w:pPr>
        <w:pStyle w:val="base-text-paragraph"/>
        <w:numPr>
          <w:ilvl w:val="1"/>
          <w:numId w:val="68"/>
        </w:numPr>
        <w:tabs>
          <w:tab w:val="clear" w:pos="1844"/>
          <w:tab w:val="num" w:pos="1985"/>
        </w:tabs>
        <w:ind w:left="1134"/>
        <w:rPr>
          <w:rStyle w:val="Referencingstyle"/>
          <w:b w:val="0"/>
          <w:i w:val="0"/>
          <w:sz w:val="22"/>
        </w:rPr>
      </w:pPr>
      <w:r>
        <w:rPr>
          <w:lang w:val="en-US" w:eastAsia="en-US"/>
        </w:rPr>
        <w:lastRenderedPageBreak/>
        <w:t>Unless there is a reasonable excuse for not attending, the responsible officer, individual trustee, auditor or actuary will be subject to a penalty of 50 penalty units for non</w:t>
      </w:r>
      <w:r>
        <w:rPr>
          <w:lang w:val="en-US" w:eastAsia="en-US"/>
        </w:rPr>
        <w:noBreakHyphen/>
        <w:t xml:space="preserve">attendance of the AMM. </w:t>
      </w:r>
      <w:r>
        <w:rPr>
          <w:rStyle w:val="Referencingstyle"/>
        </w:rPr>
        <w:t>[Schedule </w:t>
      </w:r>
      <w:r w:rsidR="00CD1F41">
        <w:rPr>
          <w:rStyle w:val="Referencingstyle"/>
        </w:rPr>
        <w:t>6</w:t>
      </w:r>
      <w:r>
        <w:rPr>
          <w:rStyle w:val="Referencingstyle"/>
        </w:rPr>
        <w:t>, item 5, subsection </w:t>
      </w:r>
      <w:proofErr w:type="gramStart"/>
      <w:r>
        <w:rPr>
          <w:rStyle w:val="Referencingstyle"/>
        </w:rPr>
        <w:t>29PA(</w:t>
      </w:r>
      <w:proofErr w:type="gramEnd"/>
      <w:r>
        <w:rPr>
          <w:rStyle w:val="Referencingstyle"/>
        </w:rPr>
        <w:t>5)].</w:t>
      </w:r>
    </w:p>
    <w:p w:rsidR="007E7EAD" w:rsidRDefault="007E7EAD" w:rsidP="007E7EAD">
      <w:pPr>
        <w:pStyle w:val="base-text-paragraph"/>
        <w:numPr>
          <w:ilvl w:val="1"/>
          <w:numId w:val="68"/>
        </w:numPr>
        <w:tabs>
          <w:tab w:val="clear" w:pos="1844"/>
          <w:tab w:val="num" w:pos="1985"/>
        </w:tabs>
        <w:ind w:left="1134"/>
      </w:pPr>
      <w:r>
        <w:rPr>
          <w:lang w:val="en-US" w:eastAsia="en-US"/>
        </w:rPr>
        <w:t>Whether a reason for non</w:t>
      </w:r>
      <w:r>
        <w:rPr>
          <w:lang w:val="en-US" w:eastAsia="en-US"/>
        </w:rPr>
        <w:noBreakHyphen/>
      </w:r>
      <w:r>
        <w:t>attendance is considered a reasonable excuse will be considered on a case</w:t>
      </w:r>
      <w:r>
        <w:noBreakHyphen/>
        <w:t>by</w:t>
      </w:r>
      <w:r>
        <w:noBreakHyphen/>
        <w:t>case basis in light of the circumstances.</w:t>
      </w:r>
    </w:p>
    <w:p w:rsidR="007E7EAD" w:rsidRDefault="007E7EAD" w:rsidP="007E7EAD">
      <w:pPr>
        <w:pStyle w:val="ExampleHeading"/>
        <w:numPr>
          <w:ilvl w:val="3"/>
          <w:numId w:val="68"/>
        </w:numPr>
        <w:tabs>
          <w:tab w:val="num" w:pos="360"/>
        </w:tabs>
        <w:ind w:left="0"/>
      </w:pPr>
    </w:p>
    <w:p w:rsidR="000C7B6C" w:rsidRDefault="007E7EAD" w:rsidP="000C7B6C">
      <w:pPr>
        <w:pStyle w:val="exampletext"/>
      </w:pPr>
      <w:r w:rsidRPr="000C7B6C">
        <w:t xml:space="preserve">In the days leading up to XYZ Super Plus’s annual members’ meeting, the person that undertook the audit of its financial statements fell sick and was subsequently hospitalised the night before the annual members meeting. </w:t>
      </w:r>
    </w:p>
    <w:p w:rsidR="007E7EAD" w:rsidRPr="000C7B6C" w:rsidRDefault="007E7EAD" w:rsidP="000C7B6C">
      <w:pPr>
        <w:pStyle w:val="exampletext"/>
      </w:pPr>
      <w:r w:rsidRPr="000C7B6C">
        <w:t xml:space="preserve">In this case the failure for the auditor to attended XYZ Super Plus’s annual members’ meeting would be considered to be reasonable. </w:t>
      </w:r>
    </w:p>
    <w:p w:rsidR="007E7EAD" w:rsidRPr="00332537" w:rsidRDefault="007E7EAD" w:rsidP="007E7EAD">
      <w:pPr>
        <w:pStyle w:val="Heading3"/>
      </w:pPr>
      <w:r>
        <w:t>Conduct at the AMM</w:t>
      </w:r>
    </w:p>
    <w:p w:rsidR="007E7EAD" w:rsidRPr="007C4BE1" w:rsidRDefault="007E7EAD" w:rsidP="007E7EAD">
      <w:pPr>
        <w:pStyle w:val="base-text-paragraph"/>
        <w:numPr>
          <w:ilvl w:val="1"/>
          <w:numId w:val="68"/>
        </w:numPr>
        <w:tabs>
          <w:tab w:val="clear" w:pos="1844"/>
          <w:tab w:val="num" w:pos="1985"/>
        </w:tabs>
        <w:ind w:left="1134"/>
      </w:pPr>
      <w:r w:rsidRPr="007C4BE1">
        <w:t>At the AMM, the RSE licensee must give members reasonable opportunities to ask questions about:</w:t>
      </w:r>
    </w:p>
    <w:p w:rsidR="007E7EAD" w:rsidRPr="007C4BE1" w:rsidRDefault="007E7EAD" w:rsidP="007E7EAD">
      <w:pPr>
        <w:pStyle w:val="dotpoint"/>
      </w:pPr>
      <w:r w:rsidRPr="007C4BE1">
        <w:t>the registrable superannuation entity;</w:t>
      </w:r>
    </w:p>
    <w:p w:rsidR="007E7EAD" w:rsidRPr="007C4BE1" w:rsidRDefault="007E7EAD" w:rsidP="007E7EAD">
      <w:pPr>
        <w:pStyle w:val="dotpoint"/>
      </w:pPr>
      <w:r w:rsidRPr="007C4BE1">
        <w:t>the RSE licensee and its responsible officers, where the RSE licensee is a body corporate;</w:t>
      </w:r>
    </w:p>
    <w:p w:rsidR="007E7EAD" w:rsidRPr="007C4BE1" w:rsidRDefault="007E7EAD" w:rsidP="007E7EAD">
      <w:pPr>
        <w:pStyle w:val="dotpoint"/>
      </w:pPr>
      <w:r w:rsidRPr="007C4BE1">
        <w:t xml:space="preserve">each individual trustee where the RSE licensee is a group of individual trustees; </w:t>
      </w:r>
    </w:p>
    <w:p w:rsidR="007E7EAD" w:rsidRPr="007C4BE1" w:rsidRDefault="007E7EAD" w:rsidP="007E7EAD">
      <w:pPr>
        <w:pStyle w:val="dotpoint"/>
      </w:pPr>
      <w:r w:rsidRPr="007C4BE1">
        <w:t>any audit of the entity for the income year;</w:t>
      </w:r>
    </w:p>
    <w:p w:rsidR="007E7EAD" w:rsidRPr="007C4BE1" w:rsidRDefault="007E7EAD" w:rsidP="007E7EAD">
      <w:pPr>
        <w:pStyle w:val="dotpoint"/>
      </w:pPr>
      <w:r w:rsidRPr="007C4BE1">
        <w:t>any actuarial investigation of the entity for the income yea</w:t>
      </w:r>
      <w:r w:rsidR="009D7498">
        <w:t>r or within five months after the end of income yea</w:t>
      </w:r>
      <w:r w:rsidRPr="007C4BE1">
        <w:t xml:space="preserve">r; and </w:t>
      </w:r>
    </w:p>
    <w:p w:rsidR="007E7EAD" w:rsidRPr="007C4BE1" w:rsidRDefault="007E7EAD" w:rsidP="007E7EAD">
      <w:pPr>
        <w:pStyle w:val="dotpoint"/>
      </w:pPr>
      <w:proofErr w:type="gramStart"/>
      <w:r w:rsidRPr="007C4BE1">
        <w:t>any</w:t>
      </w:r>
      <w:proofErr w:type="gramEnd"/>
      <w:r w:rsidRPr="007C4BE1">
        <w:t xml:space="preserve"> information included with the notice of the AMM.</w:t>
      </w:r>
    </w:p>
    <w:p w:rsidR="007E7EAD" w:rsidRPr="007C4BE1" w:rsidRDefault="007E7EAD" w:rsidP="007E7EAD">
      <w:pPr>
        <w:pStyle w:val="base-text-paragraphnonumbers"/>
        <w:rPr>
          <w:rStyle w:val="Referencingstyle"/>
        </w:rPr>
      </w:pPr>
      <w:r w:rsidRPr="007C4BE1">
        <w:rPr>
          <w:rStyle w:val="Referencingstyle"/>
        </w:rPr>
        <w:t>[Schedule </w:t>
      </w:r>
      <w:r w:rsidR="003B5D52">
        <w:rPr>
          <w:rStyle w:val="Referencingstyle"/>
        </w:rPr>
        <w:t>6</w:t>
      </w:r>
      <w:r w:rsidRPr="007C4BE1">
        <w:rPr>
          <w:rStyle w:val="Referencingstyle"/>
        </w:rPr>
        <w:t xml:space="preserve">, item 5, subsection </w:t>
      </w:r>
      <w:proofErr w:type="gramStart"/>
      <w:r w:rsidRPr="007C4BE1">
        <w:rPr>
          <w:rStyle w:val="Referencingstyle"/>
        </w:rPr>
        <w:t>29P(</w:t>
      </w:r>
      <w:proofErr w:type="gramEnd"/>
      <w:r w:rsidRPr="007C4BE1">
        <w:rPr>
          <w:rStyle w:val="Referencingstyle"/>
        </w:rPr>
        <w:t>5)]</w:t>
      </w:r>
    </w:p>
    <w:p w:rsidR="007E7EAD" w:rsidRPr="007C4BE1" w:rsidRDefault="007E7EAD" w:rsidP="007E7EAD">
      <w:pPr>
        <w:pStyle w:val="base-text-paragraph"/>
        <w:numPr>
          <w:ilvl w:val="1"/>
          <w:numId w:val="68"/>
        </w:numPr>
        <w:tabs>
          <w:tab w:val="clear" w:pos="1844"/>
          <w:tab w:val="num" w:pos="1985"/>
        </w:tabs>
        <w:ind w:left="1134"/>
      </w:pPr>
      <w:r>
        <w:t>That</w:t>
      </w:r>
      <w:r w:rsidRPr="007C4BE1">
        <w:t xml:space="preserve"> include</w:t>
      </w:r>
      <w:r>
        <w:t>s</w:t>
      </w:r>
      <w:r w:rsidRPr="007C4BE1">
        <w:t xml:space="preserve"> discussions on the annual report and any other information required by regulation</w:t>
      </w:r>
      <w:r>
        <w:t xml:space="preserve"> to be included with the notice</w:t>
      </w:r>
      <w:r w:rsidRPr="007C4BE1">
        <w:t>.</w:t>
      </w:r>
    </w:p>
    <w:p w:rsidR="007E7EAD" w:rsidRPr="00BF797C" w:rsidRDefault="007E7EAD" w:rsidP="007E7EAD">
      <w:pPr>
        <w:pStyle w:val="base-text-paragraph"/>
        <w:numPr>
          <w:ilvl w:val="1"/>
          <w:numId w:val="68"/>
        </w:numPr>
        <w:tabs>
          <w:tab w:val="clear" w:pos="1844"/>
          <w:tab w:val="num" w:pos="1985"/>
        </w:tabs>
        <w:ind w:left="1134"/>
        <w:rPr>
          <w:rStyle w:val="Referencingstyle"/>
          <w:b w:val="0"/>
          <w:i w:val="0"/>
          <w:sz w:val="22"/>
        </w:rPr>
      </w:pPr>
      <w:r>
        <w:t xml:space="preserve">It is an offence to contravene the obligation to give members reasonable opportunity to ask questions. The penalty for the RSE licensee or an individual trustee (if the RSE licensee is a group of individual </w:t>
      </w:r>
      <w:r>
        <w:lastRenderedPageBreak/>
        <w:t xml:space="preserve">trustees) committing the offence is 50 penalty units. </w:t>
      </w:r>
      <w:r>
        <w:rPr>
          <w:rStyle w:val="Referencingstyle"/>
        </w:rPr>
        <w:t>[Schedule </w:t>
      </w:r>
      <w:r w:rsidR="003B5D52">
        <w:rPr>
          <w:rStyle w:val="Referencingstyle"/>
        </w:rPr>
        <w:t>6</w:t>
      </w:r>
      <w:r>
        <w:rPr>
          <w:rStyle w:val="Referencingstyle"/>
        </w:rPr>
        <w:t>, item 5, subsection 29P(8)]</w:t>
      </w:r>
    </w:p>
    <w:p w:rsidR="007E7EAD" w:rsidRPr="00BF797C" w:rsidRDefault="007E7EAD" w:rsidP="007E7EAD">
      <w:pPr>
        <w:pStyle w:val="base-text-paragraph"/>
        <w:numPr>
          <w:ilvl w:val="1"/>
          <w:numId w:val="68"/>
        </w:numPr>
        <w:tabs>
          <w:tab w:val="clear" w:pos="1844"/>
          <w:tab w:val="num" w:pos="1985"/>
        </w:tabs>
        <w:ind w:left="1134"/>
      </w:pPr>
      <w:r>
        <w:rPr>
          <w:lang w:val="en-US" w:eastAsia="en-US"/>
        </w:rPr>
        <w:t>If a</w:t>
      </w:r>
      <w:r w:rsidRPr="007C4BE1">
        <w:rPr>
          <w:lang w:val="en-US" w:eastAsia="en-US"/>
        </w:rPr>
        <w:t xml:space="preserve"> responsible officer of an RSE licensee </w:t>
      </w:r>
      <w:r>
        <w:rPr>
          <w:lang w:val="en-US" w:eastAsia="en-US"/>
        </w:rPr>
        <w:t xml:space="preserve">is asked a question by a member at the AMM, the responsible officer </w:t>
      </w:r>
      <w:r w:rsidRPr="007C4BE1">
        <w:rPr>
          <w:lang w:val="en-US" w:eastAsia="en-US"/>
        </w:rPr>
        <w:t xml:space="preserve">must answer the </w:t>
      </w:r>
      <w:r>
        <w:rPr>
          <w:lang w:val="en-US" w:eastAsia="en-US"/>
        </w:rPr>
        <w:t xml:space="preserve">question at the AMM, </w:t>
      </w:r>
      <w:r w:rsidRPr="007C4BE1">
        <w:rPr>
          <w:lang w:val="en-US" w:eastAsia="en-US"/>
        </w:rPr>
        <w:t>unless it is no</w:t>
      </w:r>
      <w:r w:rsidR="00C86EDA">
        <w:rPr>
          <w:lang w:val="en-US" w:eastAsia="en-US"/>
        </w:rPr>
        <w:t>t</w:t>
      </w:r>
      <w:r w:rsidRPr="007C4BE1">
        <w:rPr>
          <w:lang w:val="en-US" w:eastAsia="en-US"/>
        </w:rPr>
        <w:t xml:space="preserve"> reasonably practicable to do so, in which case the question must answ</w:t>
      </w:r>
      <w:r w:rsidRPr="00BF797C">
        <w:rPr>
          <w:lang w:val="en-US" w:eastAsia="en-US"/>
        </w:rPr>
        <w:t xml:space="preserve">ered within one month. </w:t>
      </w:r>
      <w:r w:rsidRPr="00BF797C">
        <w:rPr>
          <w:rStyle w:val="Referencingstyle"/>
        </w:rPr>
        <w:t>[Schedule </w:t>
      </w:r>
      <w:r w:rsidR="003B5D52">
        <w:rPr>
          <w:rStyle w:val="Referencingstyle"/>
        </w:rPr>
        <w:t>6</w:t>
      </w:r>
      <w:r w:rsidRPr="00BF797C">
        <w:rPr>
          <w:rStyle w:val="Referencingstyle"/>
        </w:rPr>
        <w:t>, item 5, subsections 29PB</w:t>
      </w:r>
      <w:r>
        <w:rPr>
          <w:rStyle w:val="Referencingstyle"/>
        </w:rPr>
        <w:t>(1) and </w:t>
      </w:r>
      <w:r w:rsidRPr="00BF797C">
        <w:rPr>
          <w:rStyle w:val="Referencingstyle"/>
        </w:rPr>
        <w:t>(2)</w:t>
      </w:r>
      <w:r>
        <w:rPr>
          <w:rStyle w:val="Referencingstyle"/>
        </w:rPr>
        <w:t>]</w:t>
      </w:r>
    </w:p>
    <w:p w:rsidR="007E7EAD" w:rsidRPr="00BF797C" w:rsidRDefault="007E7EAD" w:rsidP="007E7EAD">
      <w:pPr>
        <w:pStyle w:val="base-text-paragraph"/>
        <w:numPr>
          <w:ilvl w:val="1"/>
          <w:numId w:val="68"/>
        </w:numPr>
        <w:tabs>
          <w:tab w:val="clear" w:pos="1844"/>
          <w:tab w:val="num" w:pos="1985"/>
        </w:tabs>
        <w:ind w:left="1134"/>
      </w:pPr>
      <w:r>
        <w:t>The same obligation applies for an individual trustee, an auditor or an actuary if they are asked a question.</w:t>
      </w:r>
      <w:r w:rsidRPr="00717CD1">
        <w:rPr>
          <w:rStyle w:val="Referencingstyle"/>
        </w:rPr>
        <w:t xml:space="preserve"> </w:t>
      </w:r>
      <w:r w:rsidRPr="00BF797C">
        <w:rPr>
          <w:rStyle w:val="Referencingstyle"/>
        </w:rPr>
        <w:t>[Schedule </w:t>
      </w:r>
      <w:r w:rsidR="003B5D52">
        <w:rPr>
          <w:rStyle w:val="Referencingstyle"/>
        </w:rPr>
        <w:t>6</w:t>
      </w:r>
      <w:r w:rsidRPr="00BF797C">
        <w:rPr>
          <w:rStyle w:val="Referencingstyle"/>
        </w:rPr>
        <w:t>, item 5, subsections 29PC</w:t>
      </w:r>
      <w:r>
        <w:rPr>
          <w:rStyle w:val="Referencingstyle"/>
        </w:rPr>
        <w:t>(1) and </w:t>
      </w:r>
      <w:r w:rsidRPr="00BF797C">
        <w:rPr>
          <w:rStyle w:val="Referencingstyle"/>
        </w:rPr>
        <w:t>(2), 29PD</w:t>
      </w:r>
      <w:r>
        <w:rPr>
          <w:rStyle w:val="Referencingstyle"/>
        </w:rPr>
        <w:t xml:space="preserve">(1) and (2), </w:t>
      </w:r>
      <w:r w:rsidRPr="00BF797C">
        <w:rPr>
          <w:rStyle w:val="Referencingstyle"/>
        </w:rPr>
        <w:t>and 29PE</w:t>
      </w:r>
      <w:r>
        <w:rPr>
          <w:rStyle w:val="Referencingstyle"/>
        </w:rPr>
        <w:t>(1) and </w:t>
      </w:r>
      <w:r w:rsidRPr="00BF797C">
        <w:rPr>
          <w:rStyle w:val="Referencingstyle"/>
        </w:rPr>
        <w:t>(2)]</w:t>
      </w:r>
    </w:p>
    <w:p w:rsidR="007E7EAD" w:rsidRPr="0093705C" w:rsidRDefault="007E7EAD" w:rsidP="007E7EAD">
      <w:pPr>
        <w:pStyle w:val="base-text-paragraph"/>
        <w:numPr>
          <w:ilvl w:val="1"/>
          <w:numId w:val="68"/>
        </w:numPr>
        <w:tabs>
          <w:tab w:val="clear" w:pos="1844"/>
          <w:tab w:val="num" w:pos="1985"/>
        </w:tabs>
        <w:ind w:left="1134"/>
        <w:rPr>
          <w:rStyle w:val="Referencingstyle"/>
          <w:b w:val="0"/>
          <w:i w:val="0"/>
          <w:sz w:val="22"/>
        </w:rPr>
      </w:pPr>
      <w:r>
        <w:rPr>
          <w:lang w:val="en-US" w:eastAsia="en-US"/>
        </w:rPr>
        <w:t xml:space="preserve">Unless a </w:t>
      </w:r>
      <w:proofErr w:type="spellStart"/>
      <w:r>
        <w:rPr>
          <w:lang w:val="en-US" w:eastAsia="en-US"/>
        </w:rPr>
        <w:t>defen</w:t>
      </w:r>
      <w:r w:rsidR="0060155A">
        <w:rPr>
          <w:lang w:val="en-US" w:eastAsia="en-US"/>
        </w:rPr>
        <w:t>c</w:t>
      </w:r>
      <w:r>
        <w:rPr>
          <w:lang w:val="en-US" w:eastAsia="en-US"/>
        </w:rPr>
        <w:t>e</w:t>
      </w:r>
      <w:proofErr w:type="spellEnd"/>
      <w:r>
        <w:rPr>
          <w:lang w:val="en-US" w:eastAsia="en-US"/>
        </w:rPr>
        <w:t xml:space="preserve"> is available, t</w:t>
      </w:r>
      <w:r w:rsidRPr="00BF797C">
        <w:rPr>
          <w:lang w:val="en-US" w:eastAsia="en-US"/>
        </w:rPr>
        <w:t xml:space="preserve">he responsible officer, individual trustee, auditor or actuary will be subject to a penalty of 50 penalty units for </w:t>
      </w:r>
      <w:r>
        <w:rPr>
          <w:lang w:val="en-US" w:eastAsia="en-US"/>
        </w:rPr>
        <w:t>not answering the questions at the AMM or within one month of the AMM</w:t>
      </w:r>
      <w:r w:rsidRPr="00BF797C">
        <w:rPr>
          <w:lang w:val="en-US" w:eastAsia="en-US"/>
        </w:rPr>
        <w:t xml:space="preserve">. </w:t>
      </w:r>
      <w:r w:rsidRPr="00BF797C">
        <w:rPr>
          <w:rStyle w:val="Referencingstyle"/>
        </w:rPr>
        <w:t>[Schedule </w:t>
      </w:r>
      <w:r w:rsidR="003B5D52">
        <w:rPr>
          <w:rStyle w:val="Referencingstyle"/>
        </w:rPr>
        <w:t>6</w:t>
      </w:r>
      <w:r w:rsidRPr="00BF797C">
        <w:rPr>
          <w:rStyle w:val="Referencingstyle"/>
        </w:rPr>
        <w:t xml:space="preserve">, item 5, </w:t>
      </w:r>
      <w:r w:rsidR="00D31087" w:rsidRPr="00BF797C">
        <w:rPr>
          <w:rStyle w:val="Referencingstyle"/>
        </w:rPr>
        <w:t xml:space="preserve">subsections </w:t>
      </w:r>
      <w:r w:rsidR="00D31087">
        <w:rPr>
          <w:rStyle w:val="Referencingstyle"/>
        </w:rPr>
        <w:t xml:space="preserve">29PB(2), </w:t>
      </w:r>
      <w:r w:rsidR="00D31087" w:rsidRPr="00BF797C">
        <w:rPr>
          <w:rStyle w:val="Referencingstyle"/>
        </w:rPr>
        <w:t>29PC</w:t>
      </w:r>
      <w:r w:rsidR="00D31087">
        <w:rPr>
          <w:rStyle w:val="Referencingstyle"/>
        </w:rPr>
        <w:t>(2)</w:t>
      </w:r>
      <w:r w:rsidR="00D31087" w:rsidRPr="00BF797C">
        <w:rPr>
          <w:rStyle w:val="Referencingstyle"/>
        </w:rPr>
        <w:t>, 29PD</w:t>
      </w:r>
      <w:r w:rsidR="00D31087">
        <w:rPr>
          <w:rStyle w:val="Referencingstyle"/>
        </w:rPr>
        <w:t xml:space="preserve">(2) </w:t>
      </w:r>
      <w:r w:rsidR="00D31087" w:rsidRPr="00BF797C">
        <w:rPr>
          <w:rStyle w:val="Referencingstyle"/>
        </w:rPr>
        <w:t>and 29PE</w:t>
      </w:r>
      <w:r w:rsidR="00D31087">
        <w:rPr>
          <w:rStyle w:val="Referencingstyle"/>
        </w:rPr>
        <w:t>(2)]</w:t>
      </w:r>
    </w:p>
    <w:p w:rsidR="007E7EAD" w:rsidRDefault="007E7EAD" w:rsidP="007E7EAD">
      <w:pPr>
        <w:pStyle w:val="Heading4"/>
      </w:pPr>
      <w:r>
        <w:t>Defences to not answering the questions</w:t>
      </w:r>
    </w:p>
    <w:p w:rsidR="007E7EAD" w:rsidRPr="0093705C" w:rsidRDefault="007E7EAD" w:rsidP="007E7EAD">
      <w:pPr>
        <w:pStyle w:val="base-text-paragraph"/>
        <w:numPr>
          <w:ilvl w:val="1"/>
          <w:numId w:val="68"/>
        </w:numPr>
        <w:rPr>
          <w:lang w:val="en-US"/>
        </w:rPr>
      </w:pPr>
      <w:r>
        <w:rPr>
          <w:lang w:val="en-US"/>
        </w:rPr>
        <w:t xml:space="preserve">A responsible officer </w:t>
      </w:r>
      <w:r w:rsidRPr="0093705C">
        <w:rPr>
          <w:lang w:val="en-US"/>
        </w:rPr>
        <w:t>of an RSE licensee</w:t>
      </w:r>
      <w:r>
        <w:rPr>
          <w:lang w:val="en-US"/>
        </w:rPr>
        <w:t xml:space="preserve">, </w:t>
      </w:r>
      <w:r w:rsidRPr="0093705C">
        <w:rPr>
          <w:lang w:val="en-US"/>
        </w:rPr>
        <w:t>an individual trustee</w:t>
      </w:r>
      <w:r>
        <w:rPr>
          <w:lang w:val="en-US"/>
        </w:rPr>
        <w:t>, an auditor or an actuary</w:t>
      </w:r>
      <w:r w:rsidRPr="0093705C">
        <w:rPr>
          <w:lang w:val="en-US"/>
        </w:rPr>
        <w:t xml:space="preserve"> does not need to answer a question if:</w:t>
      </w:r>
    </w:p>
    <w:p w:rsidR="007E7EAD" w:rsidRPr="0093705C" w:rsidRDefault="007E7EAD" w:rsidP="007E7EAD">
      <w:pPr>
        <w:pStyle w:val="dotpoint"/>
        <w:rPr>
          <w:lang w:val="en-US"/>
        </w:rPr>
      </w:pPr>
      <w:r w:rsidRPr="0093705C">
        <w:rPr>
          <w:lang w:val="en-US"/>
        </w:rPr>
        <w:t>the question is not relevant to an action or failure or act by the RSE licensee in relation to the registrable superannuation entity or one or more of its members;</w:t>
      </w:r>
    </w:p>
    <w:p w:rsidR="007E7EAD" w:rsidRPr="0093705C" w:rsidRDefault="007E7EAD" w:rsidP="007E7EAD">
      <w:pPr>
        <w:pStyle w:val="dotpoint"/>
        <w:rPr>
          <w:lang w:val="en-US"/>
        </w:rPr>
      </w:pPr>
      <w:r w:rsidRPr="0093705C">
        <w:rPr>
          <w:lang w:val="en-US"/>
        </w:rPr>
        <w:t>the question is not relevant to the registrable superannuation entity;</w:t>
      </w:r>
    </w:p>
    <w:p w:rsidR="007E7EAD" w:rsidRPr="0093705C" w:rsidRDefault="007E7EAD" w:rsidP="007E7EAD">
      <w:pPr>
        <w:pStyle w:val="dotpoint"/>
        <w:rPr>
          <w:lang w:val="en-US"/>
        </w:rPr>
      </w:pPr>
      <w:r w:rsidRPr="0093705C">
        <w:rPr>
          <w:lang w:val="en-US"/>
        </w:rPr>
        <w:t>it would be in breach of the governing rules of the registrable superannuation entity, the SIS Act or any other law to answer the question;</w:t>
      </w:r>
    </w:p>
    <w:p w:rsidR="007E7EAD" w:rsidRPr="0093705C" w:rsidRDefault="007E7EAD" w:rsidP="007E7EAD">
      <w:pPr>
        <w:pStyle w:val="dotpoint"/>
        <w:rPr>
          <w:lang w:val="en-US"/>
        </w:rPr>
      </w:pPr>
      <w:r w:rsidRPr="0093705C">
        <w:rPr>
          <w:lang w:val="en-US"/>
        </w:rPr>
        <w:t>answering the question would result in detriment to the members taken as a whole; or</w:t>
      </w:r>
    </w:p>
    <w:p w:rsidR="007E7EAD" w:rsidRPr="0093705C" w:rsidRDefault="007E7EAD" w:rsidP="007E7EAD">
      <w:pPr>
        <w:pStyle w:val="dotpoint"/>
      </w:pPr>
      <w:proofErr w:type="gramStart"/>
      <w:r w:rsidRPr="0093705C">
        <w:rPr>
          <w:lang w:val="en-US"/>
        </w:rPr>
        <w:t>any</w:t>
      </w:r>
      <w:proofErr w:type="gramEnd"/>
      <w:r w:rsidRPr="0093705C">
        <w:rPr>
          <w:lang w:val="en-US"/>
        </w:rPr>
        <w:t xml:space="preserve"> other circumstances prescribed by regulations.</w:t>
      </w:r>
    </w:p>
    <w:p w:rsidR="007E7EAD" w:rsidRDefault="007E7EAD" w:rsidP="007E7EAD">
      <w:pPr>
        <w:pStyle w:val="base-text-paragraphnonumbers"/>
        <w:rPr>
          <w:rStyle w:val="Referencingstyle"/>
        </w:rPr>
      </w:pPr>
      <w:r>
        <w:rPr>
          <w:rStyle w:val="Referencingstyle"/>
        </w:rPr>
        <w:t>[Schedule </w:t>
      </w:r>
      <w:r w:rsidR="003B5D52">
        <w:rPr>
          <w:rStyle w:val="Referencingstyle"/>
        </w:rPr>
        <w:t>6</w:t>
      </w:r>
      <w:r>
        <w:rPr>
          <w:rStyle w:val="Referencingstyle"/>
        </w:rPr>
        <w:t>, item 5, subsections </w:t>
      </w:r>
      <w:proofErr w:type="gramStart"/>
      <w:r>
        <w:rPr>
          <w:rStyle w:val="Referencingstyle"/>
        </w:rPr>
        <w:t>29PB(</w:t>
      </w:r>
      <w:proofErr w:type="gramEnd"/>
      <w:r>
        <w:rPr>
          <w:rStyle w:val="Referencingstyle"/>
        </w:rPr>
        <w:t>3), 29PC(3), 29PD(3) and 29PE(3)]</w:t>
      </w:r>
    </w:p>
    <w:p w:rsidR="007E7EAD" w:rsidRDefault="007E7EAD" w:rsidP="000C7B6C">
      <w:pPr>
        <w:pStyle w:val="ExampleHeading"/>
        <w:rPr>
          <w:rStyle w:val="Referencingstyle"/>
        </w:rPr>
      </w:pPr>
    </w:p>
    <w:p w:rsidR="000C7B6C" w:rsidRDefault="007E7EAD" w:rsidP="007E7EAD">
      <w:pPr>
        <w:pStyle w:val="exampletext"/>
      </w:pPr>
      <w:r>
        <w:t xml:space="preserve">A member attending WYE Super’s annual members meeting asked the director of WYE Super’s RSE licensee </w:t>
      </w:r>
      <w:r w:rsidR="000C7B6C">
        <w:t xml:space="preserve">a question </w:t>
      </w:r>
      <w:r>
        <w:t xml:space="preserve">regarding a potential investment opportunity that the </w:t>
      </w:r>
      <w:r w:rsidRPr="00F65730">
        <w:t>RSE licensee</w:t>
      </w:r>
      <w:r>
        <w:t xml:space="preserve"> is currently considering. </w:t>
      </w:r>
    </w:p>
    <w:p w:rsidR="000C7B6C" w:rsidRDefault="007E7EAD" w:rsidP="007E7EAD">
      <w:pPr>
        <w:pStyle w:val="exampletext"/>
      </w:pPr>
      <w:r>
        <w:lastRenderedPageBreak/>
        <w:t>In order to answer the question</w:t>
      </w:r>
      <w:r w:rsidR="000C7B6C">
        <w:t>,</w:t>
      </w:r>
      <w:r>
        <w:t xml:space="preserve"> the director would be required to breach confidentiality agreements and in doing so would preclude the RSE licensee from the investment opportunity and may lead to action being taken against the director and the RSE licensee. </w:t>
      </w:r>
    </w:p>
    <w:p w:rsidR="007E7EAD" w:rsidRPr="00915423" w:rsidRDefault="007E7EAD" w:rsidP="007E7EAD">
      <w:pPr>
        <w:pStyle w:val="exampletext"/>
      </w:pPr>
      <w:r>
        <w:t>In this circumstance</w:t>
      </w:r>
      <w:r w:rsidR="000C7B6C">
        <w:t>,</w:t>
      </w:r>
      <w:r>
        <w:t xml:space="preserve"> answering this question would result in detriment to the members taken as a whole and as such would not be required to be answered.  </w:t>
      </w:r>
    </w:p>
    <w:p w:rsidR="007E7EAD" w:rsidRPr="0093705C" w:rsidRDefault="007E7EAD" w:rsidP="007E7EAD">
      <w:pPr>
        <w:pStyle w:val="base-text-paragraph"/>
        <w:numPr>
          <w:ilvl w:val="1"/>
          <w:numId w:val="68"/>
        </w:numPr>
        <w:rPr>
          <w:lang w:val="en-US"/>
        </w:rPr>
      </w:pPr>
      <w:r>
        <w:rPr>
          <w:lang w:val="en-US"/>
        </w:rPr>
        <w:t>In addition, a</w:t>
      </w:r>
      <w:r w:rsidRPr="0093705C">
        <w:rPr>
          <w:lang w:val="en-US"/>
        </w:rPr>
        <w:t xml:space="preserve">n auditor </w:t>
      </w:r>
      <w:r>
        <w:rPr>
          <w:lang w:val="en-US"/>
        </w:rPr>
        <w:t xml:space="preserve">also </w:t>
      </w:r>
      <w:r w:rsidRPr="0093705C">
        <w:rPr>
          <w:lang w:val="en-US"/>
        </w:rPr>
        <w:t>does not need to answer a question if:</w:t>
      </w:r>
    </w:p>
    <w:p w:rsidR="007E7EAD" w:rsidRPr="0093705C" w:rsidRDefault="007E7EAD" w:rsidP="007E7EAD">
      <w:pPr>
        <w:pStyle w:val="dotpoint"/>
        <w:rPr>
          <w:lang w:val="en-US"/>
        </w:rPr>
      </w:pPr>
      <w:r w:rsidRPr="0093705C">
        <w:rPr>
          <w:lang w:val="en-US"/>
        </w:rPr>
        <w:t>the question is not relevant to an audit of the registrable superannuation entity;</w:t>
      </w:r>
      <w:r>
        <w:rPr>
          <w:lang w:val="en-US"/>
        </w:rPr>
        <w:t xml:space="preserve"> or</w:t>
      </w:r>
    </w:p>
    <w:p w:rsidR="007E7EAD" w:rsidRPr="0093705C" w:rsidRDefault="007E7EAD" w:rsidP="007E7EAD">
      <w:pPr>
        <w:pStyle w:val="dotpoint"/>
        <w:rPr>
          <w:lang w:val="en-US"/>
        </w:rPr>
      </w:pPr>
      <w:proofErr w:type="gramStart"/>
      <w:r w:rsidRPr="0093705C">
        <w:rPr>
          <w:lang w:val="en-US"/>
        </w:rPr>
        <w:t>the</w:t>
      </w:r>
      <w:proofErr w:type="gramEnd"/>
      <w:r w:rsidRPr="0093705C">
        <w:rPr>
          <w:lang w:val="en-US"/>
        </w:rPr>
        <w:t xml:space="preserve"> question is not relevant to any matter that might reasonably be expected to be apparent to the auditor in relation to the </w:t>
      </w:r>
      <w:r>
        <w:rPr>
          <w:lang w:val="en-US"/>
        </w:rPr>
        <w:t>entity.</w:t>
      </w:r>
    </w:p>
    <w:p w:rsidR="007E7EAD" w:rsidRPr="0093705C" w:rsidRDefault="007E7EAD" w:rsidP="007E7EAD">
      <w:pPr>
        <w:pStyle w:val="base-text-paragraphnonumbers"/>
        <w:rPr>
          <w:rStyle w:val="Referencingstyle"/>
        </w:rPr>
      </w:pPr>
      <w:r>
        <w:rPr>
          <w:rStyle w:val="Referencingstyle"/>
        </w:rPr>
        <w:t>[Schedule </w:t>
      </w:r>
      <w:r w:rsidR="003B5D52">
        <w:rPr>
          <w:rStyle w:val="Referencingstyle"/>
        </w:rPr>
        <w:t>6</w:t>
      </w:r>
      <w:r>
        <w:rPr>
          <w:rStyle w:val="Referencingstyle"/>
        </w:rPr>
        <w:t>, item 5, subparagraphs </w:t>
      </w:r>
      <w:proofErr w:type="gramStart"/>
      <w:r>
        <w:rPr>
          <w:rStyle w:val="Referencingstyle"/>
        </w:rPr>
        <w:t>29PD(</w:t>
      </w:r>
      <w:proofErr w:type="gramEnd"/>
      <w:r>
        <w:rPr>
          <w:rStyle w:val="Referencingstyle"/>
        </w:rPr>
        <w:t>3)(a)(iii) and (iv)]</w:t>
      </w:r>
    </w:p>
    <w:p w:rsidR="007E7EAD" w:rsidRPr="0093705C" w:rsidRDefault="007E7EAD" w:rsidP="007E7EAD">
      <w:pPr>
        <w:pStyle w:val="base-text-paragraph"/>
        <w:numPr>
          <w:ilvl w:val="1"/>
          <w:numId w:val="68"/>
        </w:numPr>
        <w:rPr>
          <w:lang w:val="en-US"/>
        </w:rPr>
      </w:pPr>
      <w:r>
        <w:rPr>
          <w:lang w:val="en-US"/>
        </w:rPr>
        <w:t>Whereas, an actuary</w:t>
      </w:r>
      <w:r w:rsidRPr="0093705C">
        <w:rPr>
          <w:lang w:val="en-US"/>
        </w:rPr>
        <w:t xml:space="preserve"> does not need to answer a question if:</w:t>
      </w:r>
    </w:p>
    <w:p w:rsidR="007E7EAD" w:rsidRPr="0093705C" w:rsidRDefault="007E7EAD" w:rsidP="007E7EAD">
      <w:pPr>
        <w:pStyle w:val="dotpoint"/>
        <w:rPr>
          <w:lang w:val="en-US"/>
        </w:rPr>
      </w:pPr>
      <w:r w:rsidRPr="0093705C">
        <w:rPr>
          <w:lang w:val="en-US"/>
        </w:rPr>
        <w:t xml:space="preserve">the question is not relevant to an </w:t>
      </w:r>
      <w:r w:rsidR="00CE76DD" w:rsidRPr="0093705C">
        <w:rPr>
          <w:lang w:val="en-US"/>
        </w:rPr>
        <w:t>actuar</w:t>
      </w:r>
      <w:r w:rsidR="00CE76DD">
        <w:rPr>
          <w:lang w:val="en-US"/>
        </w:rPr>
        <w:t>ial</w:t>
      </w:r>
      <w:r w:rsidR="00CE76DD" w:rsidRPr="0093705C">
        <w:rPr>
          <w:lang w:val="en-US"/>
        </w:rPr>
        <w:t xml:space="preserve"> </w:t>
      </w:r>
      <w:r w:rsidRPr="0093705C">
        <w:rPr>
          <w:lang w:val="en-US"/>
        </w:rPr>
        <w:t>investigation of the registrable superannuation entity;</w:t>
      </w:r>
    </w:p>
    <w:p w:rsidR="007E7EAD" w:rsidRDefault="007E7EAD" w:rsidP="007E7EAD">
      <w:pPr>
        <w:pStyle w:val="dotpoint"/>
        <w:rPr>
          <w:lang w:val="en-US"/>
        </w:rPr>
      </w:pPr>
      <w:r w:rsidRPr="0093705C">
        <w:rPr>
          <w:lang w:val="en-US"/>
        </w:rPr>
        <w:t xml:space="preserve">the question is not relevant to any matter that might reasonably be expected to be apparent to the actuary in relation to the entity; </w:t>
      </w:r>
    </w:p>
    <w:p w:rsidR="007E7EAD" w:rsidRPr="00717CD1" w:rsidRDefault="007E7EAD" w:rsidP="007E7EAD">
      <w:pPr>
        <w:pStyle w:val="base-text-paragraphnonumbers"/>
        <w:rPr>
          <w:rStyle w:val="Referencingstyle"/>
        </w:rPr>
      </w:pPr>
      <w:r w:rsidRPr="00717CD1">
        <w:rPr>
          <w:rStyle w:val="Referencingstyle"/>
        </w:rPr>
        <w:t>[Schedule </w:t>
      </w:r>
      <w:r w:rsidR="003B5D52">
        <w:rPr>
          <w:rStyle w:val="Referencingstyle"/>
        </w:rPr>
        <w:t>6</w:t>
      </w:r>
      <w:r w:rsidRPr="00717CD1">
        <w:rPr>
          <w:rStyle w:val="Referencingstyle"/>
        </w:rPr>
        <w:t xml:space="preserve">, item 5, </w:t>
      </w:r>
      <w:r>
        <w:rPr>
          <w:rStyle w:val="Referencingstyle"/>
        </w:rPr>
        <w:t>subparagraphs </w:t>
      </w:r>
      <w:proofErr w:type="gramStart"/>
      <w:r w:rsidRPr="00717CD1">
        <w:rPr>
          <w:rStyle w:val="Referencingstyle"/>
        </w:rPr>
        <w:t>29PE(</w:t>
      </w:r>
      <w:proofErr w:type="gramEnd"/>
      <w:r w:rsidRPr="00717CD1">
        <w:rPr>
          <w:rStyle w:val="Referencingstyle"/>
        </w:rPr>
        <w:t>3)(a)(iii) and (iv)]</w:t>
      </w:r>
    </w:p>
    <w:p w:rsidR="007E7EAD" w:rsidRPr="0093705C" w:rsidRDefault="007E7EAD" w:rsidP="007E7EAD">
      <w:pPr>
        <w:pStyle w:val="Heading3"/>
      </w:pPr>
      <w:r>
        <w:t>Recording of the</w:t>
      </w:r>
      <w:r w:rsidRPr="0093705C">
        <w:t xml:space="preserve"> AMM</w:t>
      </w:r>
    </w:p>
    <w:p w:rsidR="007E7EAD" w:rsidRPr="00BF797C" w:rsidRDefault="007E7EAD" w:rsidP="007E7EAD">
      <w:pPr>
        <w:pStyle w:val="base-text-paragraph"/>
        <w:numPr>
          <w:ilvl w:val="1"/>
          <w:numId w:val="24"/>
        </w:numPr>
      </w:pPr>
      <w:r>
        <w:t xml:space="preserve">The RSE licensee must ensure that the minutes of AMM are prepared and made available on the registrable superannuation entity’s website to all members, including those that were not able to attend. </w:t>
      </w:r>
      <w:r w:rsidRPr="00BF797C">
        <w:rPr>
          <w:rStyle w:val="Referencingstyle"/>
        </w:rPr>
        <w:t>[Schedule </w:t>
      </w:r>
      <w:r w:rsidR="003B5D52">
        <w:rPr>
          <w:rStyle w:val="Referencingstyle"/>
        </w:rPr>
        <w:t>6</w:t>
      </w:r>
      <w:r w:rsidRPr="00BF797C">
        <w:rPr>
          <w:rStyle w:val="Referencingstyle"/>
        </w:rPr>
        <w:t xml:space="preserve">, item 5, subsection </w:t>
      </w:r>
      <w:r>
        <w:rPr>
          <w:rStyle w:val="Referencingstyle"/>
        </w:rPr>
        <w:t>29P(6</w:t>
      </w:r>
      <w:r w:rsidRPr="00BF797C">
        <w:rPr>
          <w:rStyle w:val="Referencingstyle"/>
        </w:rPr>
        <w:t>)]</w:t>
      </w:r>
    </w:p>
    <w:p w:rsidR="007E7EAD" w:rsidRPr="001C62DE" w:rsidRDefault="007E7EAD" w:rsidP="007E7EAD">
      <w:pPr>
        <w:pStyle w:val="base-text-paragraph"/>
        <w:numPr>
          <w:ilvl w:val="1"/>
          <w:numId w:val="68"/>
        </w:numPr>
        <w:tabs>
          <w:tab w:val="clear" w:pos="1844"/>
          <w:tab w:val="num" w:pos="1985"/>
        </w:tabs>
        <w:ind w:left="1134"/>
      </w:pPr>
      <w:r>
        <w:t xml:space="preserve">It is an offence to contravene the obligation to prepare the minutes or to make them available on the entity’s website to all members. The penalty for the RSE licensee or an individual trustee (if the RSE licensee is a group of individual trustees) committing the offence is 50 penalty units. </w:t>
      </w:r>
      <w:r>
        <w:rPr>
          <w:rStyle w:val="Referencingstyle"/>
        </w:rPr>
        <w:t>[Schedule </w:t>
      </w:r>
      <w:r w:rsidR="003B5D52">
        <w:rPr>
          <w:rStyle w:val="Referencingstyle"/>
        </w:rPr>
        <w:t>6</w:t>
      </w:r>
      <w:r>
        <w:rPr>
          <w:rStyle w:val="Referencingstyle"/>
        </w:rPr>
        <w:t>, item 5, subsection 29P(8)]</w:t>
      </w:r>
      <w:r>
        <w:t xml:space="preserve">  </w:t>
      </w:r>
    </w:p>
    <w:p w:rsidR="007E7EAD" w:rsidRDefault="007E7EAD" w:rsidP="007E7EAD">
      <w:pPr>
        <w:pStyle w:val="Heading2"/>
      </w:pPr>
      <w:r w:rsidRPr="000D5EC1">
        <w:lastRenderedPageBreak/>
        <w:t>Consequential amendments</w:t>
      </w:r>
    </w:p>
    <w:p w:rsidR="007E7EAD" w:rsidRDefault="007E7EAD" w:rsidP="007E7EAD">
      <w:pPr>
        <w:pStyle w:val="base-text-paragraph"/>
        <w:numPr>
          <w:ilvl w:val="1"/>
          <w:numId w:val="68"/>
        </w:numPr>
        <w:tabs>
          <w:tab w:val="clear" w:pos="1844"/>
          <w:tab w:val="num" w:pos="1985"/>
        </w:tabs>
        <w:ind w:left="1134"/>
      </w:pPr>
      <w:r>
        <w:t xml:space="preserve">This exposure draft Bill inserts the definition of </w:t>
      </w:r>
      <w:r>
        <w:rPr>
          <w:b/>
          <w:i/>
        </w:rPr>
        <w:t>annual members’ meeting</w:t>
      </w:r>
      <w:r>
        <w:rPr>
          <w:b/>
        </w:rPr>
        <w:t xml:space="preserve"> </w:t>
      </w:r>
      <w:r>
        <w:t xml:space="preserve">into the SIS Act. </w:t>
      </w:r>
      <w:r>
        <w:rPr>
          <w:rStyle w:val="Referencingstyle"/>
        </w:rPr>
        <w:t>[Schedule </w:t>
      </w:r>
      <w:r w:rsidR="003B5D52">
        <w:rPr>
          <w:rStyle w:val="Referencingstyle"/>
        </w:rPr>
        <w:t>6</w:t>
      </w:r>
      <w:r>
        <w:rPr>
          <w:rStyle w:val="Referencingstyle"/>
        </w:rPr>
        <w:t>, item 3, subsection 10(1)]</w:t>
      </w:r>
    </w:p>
    <w:p w:rsidR="007E7EAD" w:rsidRDefault="007E7EAD" w:rsidP="007E7EAD">
      <w:pPr>
        <w:pStyle w:val="base-text-paragraph"/>
        <w:numPr>
          <w:ilvl w:val="1"/>
          <w:numId w:val="68"/>
        </w:numPr>
        <w:tabs>
          <w:tab w:val="clear" w:pos="1844"/>
          <w:tab w:val="num" w:pos="1985"/>
        </w:tabs>
        <w:ind w:left="1134"/>
      </w:pPr>
      <w:r>
        <w:t xml:space="preserve">The amendments to the allocation of general administration of the SIS Act ensure that ASIC has administration of the provisions in respect of AMMs. </w:t>
      </w:r>
      <w:r>
        <w:rPr>
          <w:rStyle w:val="Referencingstyle"/>
        </w:rPr>
        <w:t>[Schedule </w:t>
      </w:r>
      <w:r w:rsidR="003B5D52">
        <w:rPr>
          <w:rStyle w:val="Referencingstyle"/>
        </w:rPr>
        <w:t>6</w:t>
      </w:r>
      <w:r>
        <w:rPr>
          <w:rStyle w:val="Referencingstyle"/>
        </w:rPr>
        <w:t>, items 1 and 2, subparagraphs </w:t>
      </w:r>
      <w:r w:rsidRPr="002019AB">
        <w:rPr>
          <w:rStyle w:val="Referencingstyle"/>
        </w:rPr>
        <w:t>6(1)(a)(</w:t>
      </w:r>
      <w:proofErr w:type="spellStart"/>
      <w:r w:rsidRPr="002019AB">
        <w:rPr>
          <w:rStyle w:val="Referencingstyle"/>
        </w:rPr>
        <w:t>i</w:t>
      </w:r>
      <w:proofErr w:type="spellEnd"/>
      <w:r w:rsidRPr="002019AB">
        <w:rPr>
          <w:rStyle w:val="Referencingstyle"/>
        </w:rPr>
        <w:t>) and 6(1)(c)(</w:t>
      </w:r>
      <w:proofErr w:type="spellStart"/>
      <w:r w:rsidRPr="002019AB">
        <w:rPr>
          <w:rStyle w:val="Referencingstyle"/>
        </w:rPr>
        <w:t>ia</w:t>
      </w:r>
      <w:proofErr w:type="spellEnd"/>
      <w:r w:rsidRPr="002019AB">
        <w:rPr>
          <w:rStyle w:val="Referencingstyle"/>
        </w:rPr>
        <w:t>)</w:t>
      </w:r>
      <w:r>
        <w:rPr>
          <w:rStyle w:val="Referencingstyle"/>
        </w:rPr>
        <w:t>]</w:t>
      </w:r>
    </w:p>
    <w:p w:rsidR="007E7EAD" w:rsidRPr="008D3512" w:rsidRDefault="007E7EAD" w:rsidP="007E7EAD">
      <w:pPr>
        <w:pStyle w:val="base-text-paragraph"/>
        <w:numPr>
          <w:ilvl w:val="1"/>
          <w:numId w:val="68"/>
        </w:numPr>
        <w:tabs>
          <w:tab w:val="clear" w:pos="1844"/>
          <w:tab w:val="num" w:pos="1985"/>
        </w:tabs>
        <w:ind w:left="1134"/>
      </w:pPr>
      <w:r>
        <w:t xml:space="preserve">The amendment to the heading for Division 5 of Part 2B is to reflect the inclusion of the provisions dealing with AMM in the Division. </w:t>
      </w:r>
      <w:r>
        <w:rPr>
          <w:rStyle w:val="Referencingstyle"/>
        </w:rPr>
        <w:t>[Schedule </w:t>
      </w:r>
      <w:r w:rsidR="003B5D52">
        <w:rPr>
          <w:rStyle w:val="Referencingstyle"/>
        </w:rPr>
        <w:t>6</w:t>
      </w:r>
      <w:r>
        <w:rPr>
          <w:rStyle w:val="Referencingstyle"/>
        </w:rPr>
        <w:t>, item 4, Division 5 of Part 2B heading]</w:t>
      </w:r>
    </w:p>
    <w:p w:rsidR="007E7EAD" w:rsidRDefault="007E7EAD" w:rsidP="007E7EAD">
      <w:pPr>
        <w:pStyle w:val="Heading2"/>
      </w:pPr>
      <w:r w:rsidRPr="000D5EC1">
        <w:t>Application and transitional provisions</w:t>
      </w:r>
      <w:bookmarkStart w:id="148" w:name="_Toc483573335"/>
      <w:bookmarkStart w:id="149" w:name="_Toc483573692"/>
      <w:bookmarkStart w:id="150" w:name="_Toc483916256"/>
      <w:bookmarkEnd w:id="148"/>
      <w:bookmarkEnd w:id="149"/>
      <w:bookmarkEnd w:id="150"/>
    </w:p>
    <w:p w:rsidR="007C0947" w:rsidRPr="000D5EC1" w:rsidRDefault="007E7EAD" w:rsidP="00A433BE">
      <w:pPr>
        <w:pStyle w:val="base-text-paragraph"/>
        <w:sectPr w:rsidR="007C0947" w:rsidRPr="000D5EC1" w:rsidSect="00C850FF">
          <w:headerReference w:type="default" r:id="rId41"/>
          <w:type w:val="oddPage"/>
          <w:pgSz w:w="11906" w:h="16838" w:code="9"/>
          <w:pgMar w:top="2466" w:right="2098" w:bottom="2466" w:left="2098" w:header="1559" w:footer="1899" w:gutter="0"/>
          <w:cols w:space="708"/>
          <w:titlePg/>
          <w:docGrid w:linePitch="360"/>
        </w:sectPr>
      </w:pPr>
      <w:r>
        <w:t xml:space="preserve">The amendments apply in relation to a registrable superannuation entity’s income year that begins on or after the day after the exposure draft Bill receives the Royal Assent. </w:t>
      </w:r>
      <w:r>
        <w:rPr>
          <w:rStyle w:val="Referencingstyle"/>
        </w:rPr>
        <w:t>[Schedule </w:t>
      </w:r>
      <w:r w:rsidR="003B5D52">
        <w:rPr>
          <w:rStyle w:val="Referencingstyle"/>
        </w:rPr>
        <w:t>6</w:t>
      </w:r>
      <w:r>
        <w:rPr>
          <w:rStyle w:val="Referencingstyle"/>
        </w:rPr>
        <w:t>, item 6</w:t>
      </w:r>
      <w:r w:rsidR="005703EC">
        <w:rPr>
          <w:rStyle w:val="Referencingstyle"/>
        </w:rPr>
        <w:t>]</w:t>
      </w:r>
    </w:p>
    <w:p w:rsidR="00F70F10" w:rsidRDefault="00F70F10">
      <w:pPr>
        <w:spacing w:before="0" w:after="0"/>
        <w:rPr>
          <w:color w:val="FF0000"/>
        </w:rPr>
      </w:pPr>
      <w:bookmarkStart w:id="151" w:name="_Toc483573337"/>
      <w:bookmarkStart w:id="152" w:name="_Toc483573338"/>
      <w:bookmarkStart w:id="153" w:name="_Toc483573339"/>
      <w:bookmarkStart w:id="154" w:name="_Toc483573341"/>
      <w:bookmarkStart w:id="155" w:name="_Toc483573346"/>
      <w:bookmarkStart w:id="156" w:name="_Toc483573350"/>
      <w:bookmarkStart w:id="157" w:name="_Toc483573354"/>
      <w:bookmarkStart w:id="158" w:name="_Toc483573375"/>
      <w:bookmarkStart w:id="159" w:name="_Toc483573376"/>
      <w:bookmarkStart w:id="160" w:name="_Toc483573384"/>
      <w:bookmarkStart w:id="161" w:name="_Toc483573386"/>
      <w:bookmarkStart w:id="162" w:name="_Toc483573390"/>
      <w:bookmarkStart w:id="163" w:name="_Toc483573391"/>
      <w:bookmarkStart w:id="164" w:name="_Toc483573392"/>
      <w:bookmarkStart w:id="165" w:name="_Toc483573393"/>
      <w:bookmarkStart w:id="166" w:name="_Toc483573394"/>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rsidR="00F70F10" w:rsidRPr="00F51A71" w:rsidRDefault="00F70F10" w:rsidP="00A25599">
      <w:pPr>
        <w:pStyle w:val="ChapterHeading"/>
        <w:tabs>
          <w:tab w:val="clear" w:pos="1134"/>
          <w:tab w:val="num" w:pos="360"/>
        </w:tabs>
      </w:pPr>
      <w:r w:rsidRPr="00F51A71">
        <w:br/>
      </w:r>
      <w:bookmarkStart w:id="167" w:name="_Toc488398296"/>
      <w:bookmarkStart w:id="168" w:name="_Toc488413414"/>
      <w:r w:rsidR="006A5B98">
        <w:t>Reporting standards</w:t>
      </w:r>
      <w:bookmarkEnd w:id="167"/>
      <w:bookmarkEnd w:id="168"/>
    </w:p>
    <w:p w:rsidR="006A5B98" w:rsidRDefault="006A5B98" w:rsidP="006A5B98">
      <w:pPr>
        <w:pStyle w:val="Heading2"/>
      </w:pPr>
      <w:r>
        <w:t>Outline of chapter</w:t>
      </w:r>
    </w:p>
    <w:p w:rsidR="006A5B98" w:rsidRDefault="006A5B98" w:rsidP="006A5B98">
      <w:pPr>
        <w:pStyle w:val="base-text-paragraph"/>
      </w:pPr>
      <w:r>
        <w:t xml:space="preserve">Schedule </w:t>
      </w:r>
      <w:r w:rsidR="003B5D52">
        <w:t xml:space="preserve">7 </w:t>
      </w:r>
      <w:r w:rsidR="00CB623E">
        <w:t>to</w:t>
      </w:r>
      <w:r>
        <w:t xml:space="preserve"> the exposure draft Bill amends the </w:t>
      </w:r>
      <w:r>
        <w:rPr>
          <w:i/>
        </w:rPr>
        <w:t>Financial Sector (Collection of Data) Act 2001</w:t>
      </w:r>
      <w:r>
        <w:t xml:space="preserve"> (FSCODA) to provide APRA with the ability to obtain information on expenses incurred by RSE and RSE licensees in managing/operating the RSE.</w:t>
      </w:r>
    </w:p>
    <w:p w:rsidR="006A5B98" w:rsidRDefault="006A5B98" w:rsidP="006A5B98">
      <w:pPr>
        <w:pStyle w:val="base-text-paragraph"/>
      </w:pPr>
      <w:r w:rsidRPr="000D5EC1">
        <w:t xml:space="preserve">All legislative references in this </w:t>
      </w:r>
      <w:r>
        <w:t>c</w:t>
      </w:r>
      <w:r w:rsidRPr="000D5EC1">
        <w:t xml:space="preserve">hapter are to the </w:t>
      </w:r>
      <w:r>
        <w:t>FSCODA</w:t>
      </w:r>
      <w:r w:rsidRPr="000D5EC1">
        <w:rPr>
          <w:i/>
        </w:rPr>
        <w:t xml:space="preserve"> </w:t>
      </w:r>
      <w:r w:rsidRPr="000D5EC1">
        <w:t>unless otherwise indicated</w:t>
      </w:r>
      <w:r>
        <w:t>.</w:t>
      </w:r>
    </w:p>
    <w:p w:rsidR="006A5B98" w:rsidRDefault="006A5B98" w:rsidP="006A5B98">
      <w:pPr>
        <w:pStyle w:val="Heading2"/>
      </w:pPr>
      <w:r>
        <w:t>Context of amendments</w:t>
      </w:r>
    </w:p>
    <w:p w:rsidR="006A5B98" w:rsidRDefault="006A5B98" w:rsidP="006A5B98">
      <w:pPr>
        <w:pStyle w:val="base-text-paragraph"/>
        <w:numPr>
          <w:ilvl w:val="1"/>
          <w:numId w:val="24"/>
        </w:numPr>
      </w:pPr>
      <w:r>
        <w:t>FSCODA provides APRA with the power to make reporting standards that require RSE</w:t>
      </w:r>
      <w:r w:rsidR="00692C3D">
        <w:t xml:space="preserve"> licensee</w:t>
      </w:r>
      <w:r>
        <w:t xml:space="preserve">s to report expenses relating to investments </w:t>
      </w:r>
      <w:r w:rsidR="00692C3D">
        <w:t xml:space="preserve">of a registrable superannuation entity (RSE) </w:t>
      </w:r>
      <w:r>
        <w:t>on a look through basis.</w:t>
      </w:r>
      <w:r w:rsidRPr="00583957">
        <w:t xml:space="preserve"> </w:t>
      </w:r>
    </w:p>
    <w:p w:rsidR="006A5B98" w:rsidRDefault="006A5B98" w:rsidP="00692C3D">
      <w:pPr>
        <w:pStyle w:val="base-text-paragraph"/>
      </w:pPr>
      <w:r w:rsidRPr="00D305C9">
        <w:t>L</w:t>
      </w:r>
      <w:r w:rsidR="00692C3D">
        <w:t>ook</w:t>
      </w:r>
      <w:r w:rsidR="00692C3D">
        <w:noBreakHyphen/>
      </w:r>
      <w:r>
        <w:t>through</w:t>
      </w:r>
      <w:r w:rsidRPr="00D305C9">
        <w:t xml:space="preserve"> reporting involves requiring the RSE licensee to seek information from the third party to which expense</w:t>
      </w:r>
      <w:r>
        <w:t xml:space="preserve">s are being </w:t>
      </w:r>
      <w:r w:rsidRPr="00D305C9">
        <w:t xml:space="preserve">paid for </w:t>
      </w:r>
      <w:r>
        <w:t xml:space="preserve">reporting </w:t>
      </w:r>
      <w:r w:rsidRPr="00D305C9">
        <w:t>purposes.</w:t>
      </w:r>
    </w:p>
    <w:p w:rsidR="006A5B98" w:rsidRDefault="00692C3D" w:rsidP="006A5B98">
      <w:pPr>
        <w:pStyle w:val="base-text-paragraph"/>
        <w:numPr>
          <w:ilvl w:val="1"/>
          <w:numId w:val="24"/>
        </w:numPr>
      </w:pPr>
      <w:r>
        <w:t>Look</w:t>
      </w:r>
      <w:r>
        <w:noBreakHyphen/>
      </w:r>
      <w:r w:rsidR="006A5B98">
        <w:t xml:space="preserve">through reporting of investment expenses enables APRA to obtain a full picture of how RSEs are investing member contributions and provides APRA </w:t>
      </w:r>
      <w:r>
        <w:t xml:space="preserve">with </w:t>
      </w:r>
      <w:r w:rsidR="006A5B98">
        <w:t xml:space="preserve">the ability to consider whether the investments of individual RSEs are in line with their obligations under the SIS Act.   </w:t>
      </w:r>
    </w:p>
    <w:p w:rsidR="006A5B98" w:rsidRDefault="006A5B98" w:rsidP="006A5B98">
      <w:pPr>
        <w:pStyle w:val="base-text-paragraph"/>
        <w:numPr>
          <w:ilvl w:val="1"/>
          <w:numId w:val="24"/>
        </w:numPr>
      </w:pPr>
      <w:r>
        <w:t xml:space="preserve">While expenses relating to investments are subject to look through reporting obligations, expenses relating to the management and operation of the RSE are not currently captured. </w:t>
      </w:r>
    </w:p>
    <w:p w:rsidR="006A5B98" w:rsidRDefault="006A5B98" w:rsidP="006A5B98">
      <w:pPr>
        <w:pStyle w:val="base-text-paragraph"/>
        <w:numPr>
          <w:ilvl w:val="1"/>
          <w:numId w:val="24"/>
        </w:numPr>
      </w:pPr>
      <w:r>
        <w:t xml:space="preserve">The amendments in the exposure draft Bill enable reporting standards to be made that require RSEs </w:t>
      </w:r>
      <w:r w:rsidR="00CB623E">
        <w:t xml:space="preserve">to </w:t>
      </w:r>
      <w:r>
        <w:t>provide APRA with their expenses relating to the management and operation on a look through basis</w:t>
      </w:r>
      <w:r w:rsidR="00CB623E">
        <w:t>, allowing all RSE expenses to be collected under reporting standards</w:t>
      </w:r>
      <w:r>
        <w:t xml:space="preserve">. </w:t>
      </w:r>
    </w:p>
    <w:p w:rsidR="006A5B98" w:rsidRDefault="006A5B98" w:rsidP="006A5B98">
      <w:pPr>
        <w:pStyle w:val="base-text-paragraph"/>
        <w:numPr>
          <w:ilvl w:val="1"/>
          <w:numId w:val="24"/>
        </w:numPr>
      </w:pPr>
      <w:r>
        <w:t xml:space="preserve">This additional information will enable APRA to </w:t>
      </w:r>
      <w:r w:rsidR="00CB623E">
        <w:t>understand</w:t>
      </w:r>
      <w:r>
        <w:t xml:space="preserve"> the </w:t>
      </w:r>
      <w:r w:rsidRPr="00AF0723">
        <w:t>full picture of how RSE</w:t>
      </w:r>
      <w:r>
        <w:t>s are using member</w:t>
      </w:r>
      <w:r w:rsidRPr="00AF0723">
        <w:t xml:space="preserve"> contributions</w:t>
      </w:r>
      <w:r>
        <w:t xml:space="preserve"> </w:t>
      </w:r>
      <w:r w:rsidRPr="00AF0723">
        <w:t>and</w:t>
      </w:r>
      <w:r>
        <w:t xml:space="preserve"> will enable </w:t>
      </w:r>
      <w:r>
        <w:lastRenderedPageBreak/>
        <w:t xml:space="preserve">APRA to </w:t>
      </w:r>
      <w:r w:rsidRPr="00AF0723">
        <w:t>consi</w:t>
      </w:r>
      <w:r>
        <w:t>der</w:t>
      </w:r>
      <w:r w:rsidRPr="00AF0723">
        <w:t xml:space="preserve"> whether </w:t>
      </w:r>
      <w:r>
        <w:t xml:space="preserve">expenses of individual RSEs </w:t>
      </w:r>
      <w:r w:rsidRPr="00AF0723">
        <w:t xml:space="preserve">are in line with </w:t>
      </w:r>
      <w:r w:rsidR="00CB623E">
        <w:t>the RSE licensee’s</w:t>
      </w:r>
      <w:r w:rsidRPr="00AF0723">
        <w:t xml:space="preserve"> obligations</w:t>
      </w:r>
      <w:r>
        <w:t xml:space="preserve"> under the SIS Act</w:t>
      </w:r>
      <w:r w:rsidR="00CB623E">
        <w:t>, including the obligation to act in the best interests of beneficiaries as per paragraph 52(2)(c)</w:t>
      </w:r>
      <w:r>
        <w:t>.</w:t>
      </w:r>
    </w:p>
    <w:p w:rsidR="006A5B98" w:rsidRDefault="006A5B98" w:rsidP="006A5B98">
      <w:pPr>
        <w:pStyle w:val="Heading2"/>
      </w:pPr>
      <w:r>
        <w:t>Summary of new law</w:t>
      </w:r>
    </w:p>
    <w:p w:rsidR="006A5B98" w:rsidRDefault="006A5B98" w:rsidP="006A5B98">
      <w:pPr>
        <w:pStyle w:val="base-text-paragraph"/>
      </w:pPr>
      <w:r>
        <w:t xml:space="preserve">The amendments enhance the ability of APRA to collect information in relation to a transaction between an RSE licensee and another entity where the money, consideration or other benefit </w:t>
      </w:r>
      <w:r w:rsidR="00CB623E">
        <w:t xml:space="preserve">originated from the assets of an RSE </w:t>
      </w:r>
      <w:r>
        <w:t>of the RSE licensee.</w:t>
      </w:r>
    </w:p>
    <w:p w:rsidR="006A5B98" w:rsidRPr="00A105C1" w:rsidRDefault="006A5B98" w:rsidP="006A5B98">
      <w:pPr>
        <w:pStyle w:val="base-text-paragraph"/>
        <w:rPr>
          <w:lang w:val="en-US"/>
        </w:rPr>
      </w:pPr>
      <w:r>
        <w:rPr>
          <w:lang w:val="en-US"/>
        </w:rPr>
        <w:t xml:space="preserve">In those situations, </w:t>
      </w:r>
      <w:r w:rsidRPr="00A105C1">
        <w:rPr>
          <w:lang w:val="en-US"/>
        </w:rPr>
        <w:t>the reporting standards may require the RSE licensee to provide information in relation to the transaction including:</w:t>
      </w:r>
    </w:p>
    <w:p w:rsidR="006A5B98" w:rsidRPr="00A105C1" w:rsidRDefault="006A5B98" w:rsidP="006A5B98">
      <w:pPr>
        <w:pStyle w:val="dotpoint"/>
        <w:rPr>
          <w:lang w:val="en-US"/>
        </w:rPr>
      </w:pPr>
      <w:r w:rsidRPr="00A105C1">
        <w:rPr>
          <w:lang w:val="en-US"/>
        </w:rPr>
        <w:t>details of the other entity;</w:t>
      </w:r>
    </w:p>
    <w:p w:rsidR="006A5B98" w:rsidRPr="00A105C1" w:rsidRDefault="006A5B98" w:rsidP="006A5B98">
      <w:pPr>
        <w:pStyle w:val="dotpoint"/>
        <w:rPr>
          <w:lang w:val="en-US"/>
        </w:rPr>
      </w:pPr>
      <w:r w:rsidRPr="00A105C1">
        <w:rPr>
          <w:lang w:val="en-US"/>
        </w:rPr>
        <w:t>the purpose for the transaction;</w:t>
      </w:r>
    </w:p>
    <w:p w:rsidR="006A5B98" w:rsidRPr="00A105C1" w:rsidRDefault="006A5B98" w:rsidP="006A5B98">
      <w:pPr>
        <w:pStyle w:val="dotpoint"/>
        <w:rPr>
          <w:lang w:val="en-US"/>
        </w:rPr>
      </w:pPr>
      <w:r w:rsidRPr="00A105C1">
        <w:rPr>
          <w:lang w:val="en-US"/>
        </w:rPr>
        <w:t>the way the other entity used the money, consideration or benefit received; and</w:t>
      </w:r>
    </w:p>
    <w:p w:rsidR="006A5B98" w:rsidRPr="00A105C1" w:rsidRDefault="006A5B98" w:rsidP="006A5B98">
      <w:pPr>
        <w:pStyle w:val="dotpoint"/>
      </w:pPr>
      <w:proofErr w:type="gramStart"/>
      <w:r w:rsidRPr="00A105C1">
        <w:rPr>
          <w:lang w:val="en-US"/>
        </w:rPr>
        <w:t>any</w:t>
      </w:r>
      <w:proofErr w:type="gramEnd"/>
      <w:r w:rsidRPr="00A105C1">
        <w:rPr>
          <w:lang w:val="en-US"/>
        </w:rPr>
        <w:t xml:space="preserve"> entity with which the other entity deals.</w:t>
      </w:r>
    </w:p>
    <w:p w:rsidR="006A5B98" w:rsidRPr="008F726E" w:rsidRDefault="006A5B98" w:rsidP="006A5B98">
      <w:pPr>
        <w:pStyle w:val="base-text-paragraph"/>
        <w:numPr>
          <w:ilvl w:val="1"/>
          <w:numId w:val="24"/>
        </w:numPr>
      </w:pPr>
      <w:r>
        <w:t>To facilitate the information gathering process in order for the RSE licensee to meet its obligation to report the required information to APRA under the reporting standards, the amendments also require the RSE licensee to notify the other entity and the other entity to provide the required information after being notified.</w:t>
      </w:r>
    </w:p>
    <w:p w:rsidR="006A5B98" w:rsidRDefault="006A5B98" w:rsidP="006A5B98">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6A5B98" w:rsidRPr="004666B8" w:rsidTr="00A25599">
        <w:tc>
          <w:tcPr>
            <w:tcW w:w="3275" w:type="dxa"/>
          </w:tcPr>
          <w:p w:rsidR="006A5B98" w:rsidRPr="004666B8" w:rsidRDefault="006A5B98" w:rsidP="00A25599">
            <w:pPr>
              <w:pStyle w:val="tableheaderwithintable"/>
              <w:rPr>
                <w:lang w:val="en-US" w:eastAsia="en-US"/>
              </w:rPr>
            </w:pPr>
            <w:r w:rsidRPr="004666B8">
              <w:rPr>
                <w:lang w:val="en-US" w:eastAsia="en-US"/>
              </w:rPr>
              <w:t>New law</w:t>
            </w:r>
          </w:p>
        </w:tc>
        <w:tc>
          <w:tcPr>
            <w:tcW w:w="3276" w:type="dxa"/>
          </w:tcPr>
          <w:p w:rsidR="006A5B98" w:rsidRPr="004666B8" w:rsidRDefault="006A5B98" w:rsidP="00A25599">
            <w:pPr>
              <w:pStyle w:val="tableheaderwithintable"/>
              <w:rPr>
                <w:lang w:val="en-US" w:eastAsia="en-US"/>
              </w:rPr>
            </w:pPr>
            <w:r w:rsidRPr="004666B8">
              <w:rPr>
                <w:lang w:val="en-US" w:eastAsia="en-US"/>
              </w:rPr>
              <w:t>Current law</w:t>
            </w:r>
          </w:p>
        </w:tc>
      </w:tr>
      <w:tr w:rsidR="006A5B98" w:rsidRPr="004666B8" w:rsidTr="00A25599">
        <w:tc>
          <w:tcPr>
            <w:tcW w:w="3275" w:type="dxa"/>
          </w:tcPr>
          <w:p w:rsidR="006A5B98" w:rsidRDefault="006A5B98" w:rsidP="00A25599">
            <w:pPr>
              <w:pStyle w:val="tabletext"/>
              <w:rPr>
                <w:lang w:val="en-US" w:eastAsia="en-US"/>
              </w:rPr>
            </w:pPr>
            <w:r>
              <w:rPr>
                <w:lang w:val="en-US" w:eastAsia="en-US"/>
              </w:rPr>
              <w:t xml:space="preserve">If an RSE licensee gives money, consideration or </w:t>
            </w:r>
            <w:r w:rsidR="00B94B8B">
              <w:rPr>
                <w:lang w:val="en-US" w:eastAsia="en-US"/>
              </w:rPr>
              <w:t xml:space="preserve">some </w:t>
            </w:r>
            <w:r>
              <w:rPr>
                <w:lang w:val="en-US" w:eastAsia="en-US"/>
              </w:rPr>
              <w:t>other benefit out of the assets of its superannuation fund to another entity, the reporting standards may require the RSE licensee to provide information in relation to the transaction including:</w:t>
            </w:r>
          </w:p>
          <w:p w:rsidR="006A5B98" w:rsidRDefault="006A5B98" w:rsidP="00A25599">
            <w:pPr>
              <w:pStyle w:val="tabledotpoint"/>
              <w:rPr>
                <w:lang w:val="en-US" w:eastAsia="en-US"/>
              </w:rPr>
            </w:pPr>
            <w:r>
              <w:rPr>
                <w:lang w:val="en-US" w:eastAsia="en-US"/>
              </w:rPr>
              <w:t>details of the other entity;</w:t>
            </w:r>
          </w:p>
          <w:p w:rsidR="006A5B98" w:rsidRDefault="006A5B98" w:rsidP="00A25599">
            <w:pPr>
              <w:pStyle w:val="tabledotpoint"/>
              <w:rPr>
                <w:lang w:val="en-US" w:eastAsia="en-US"/>
              </w:rPr>
            </w:pPr>
            <w:r>
              <w:rPr>
                <w:lang w:val="en-US" w:eastAsia="en-US"/>
              </w:rPr>
              <w:t>the purpose for the transaction;</w:t>
            </w:r>
          </w:p>
          <w:p w:rsidR="006A5B98" w:rsidRDefault="006A5B98" w:rsidP="00A25599">
            <w:pPr>
              <w:pStyle w:val="tabledotpoint"/>
              <w:rPr>
                <w:lang w:val="en-US" w:eastAsia="en-US"/>
              </w:rPr>
            </w:pPr>
            <w:r>
              <w:rPr>
                <w:lang w:val="en-US" w:eastAsia="en-US"/>
              </w:rPr>
              <w:t xml:space="preserve">the way the other entity used the money, consideration or benefit </w:t>
            </w:r>
            <w:r>
              <w:rPr>
                <w:lang w:val="en-US" w:eastAsia="en-US"/>
              </w:rPr>
              <w:lastRenderedPageBreak/>
              <w:t>received; and</w:t>
            </w:r>
          </w:p>
          <w:p w:rsidR="006A5B98" w:rsidRPr="004666B8" w:rsidRDefault="006A5B98" w:rsidP="00A25599">
            <w:pPr>
              <w:pStyle w:val="tabledotpoint"/>
              <w:rPr>
                <w:lang w:val="en-US" w:eastAsia="en-US"/>
              </w:rPr>
            </w:pPr>
            <w:proofErr w:type="gramStart"/>
            <w:r>
              <w:rPr>
                <w:lang w:val="en-US"/>
              </w:rPr>
              <w:t>any</w:t>
            </w:r>
            <w:proofErr w:type="gramEnd"/>
            <w:r>
              <w:rPr>
                <w:lang w:val="en-US"/>
              </w:rPr>
              <w:t xml:space="preserve"> entity with which the other entity deals.</w:t>
            </w:r>
          </w:p>
        </w:tc>
        <w:tc>
          <w:tcPr>
            <w:tcW w:w="3276" w:type="dxa"/>
          </w:tcPr>
          <w:p w:rsidR="006A5B98" w:rsidRPr="004666B8" w:rsidRDefault="006A5B98" w:rsidP="00A25599">
            <w:pPr>
              <w:pStyle w:val="tabletext"/>
              <w:rPr>
                <w:lang w:val="en-US" w:eastAsia="en-US"/>
              </w:rPr>
            </w:pPr>
            <w:r>
              <w:rPr>
                <w:lang w:val="en-US" w:eastAsia="en-US"/>
              </w:rPr>
              <w:lastRenderedPageBreak/>
              <w:t>No equivalent.</w:t>
            </w:r>
          </w:p>
        </w:tc>
      </w:tr>
      <w:tr w:rsidR="006A5B98" w:rsidRPr="004666B8" w:rsidTr="00A25599">
        <w:tc>
          <w:tcPr>
            <w:tcW w:w="3275" w:type="dxa"/>
          </w:tcPr>
          <w:p w:rsidR="006A5B98" w:rsidRDefault="006A5B98" w:rsidP="00A25599">
            <w:pPr>
              <w:pStyle w:val="tabletext"/>
              <w:rPr>
                <w:lang w:val="en-US" w:eastAsia="en-US"/>
              </w:rPr>
            </w:pPr>
            <w:r>
              <w:rPr>
                <w:lang w:val="en-US" w:eastAsia="en-US"/>
              </w:rPr>
              <w:lastRenderedPageBreak/>
              <w:t>Where an RSE licensee gives money, consideration or other benefit out of the assets of its superannuation fund to another entity under a contract or arrangement, the contract or arrangement is taken to contain the following terms:</w:t>
            </w:r>
          </w:p>
          <w:p w:rsidR="006A5B98" w:rsidRDefault="006A5B98" w:rsidP="00A25599">
            <w:pPr>
              <w:pStyle w:val="tabledotpoint"/>
              <w:rPr>
                <w:lang w:val="en-US" w:eastAsia="en-US"/>
              </w:rPr>
            </w:pPr>
            <w:r>
              <w:rPr>
                <w:lang w:val="en-US" w:eastAsia="en-US"/>
              </w:rPr>
              <w:t xml:space="preserve">at the time the money, consideration or </w:t>
            </w:r>
            <w:r w:rsidR="00B94B8B">
              <w:rPr>
                <w:lang w:val="en-US" w:eastAsia="en-US"/>
              </w:rPr>
              <w:t xml:space="preserve">other </w:t>
            </w:r>
            <w:r>
              <w:rPr>
                <w:lang w:val="en-US" w:eastAsia="en-US"/>
              </w:rPr>
              <w:t>benefit is given</w:t>
            </w:r>
            <w:r w:rsidR="00B94B8B">
              <w:rPr>
                <w:lang w:val="en-US" w:eastAsia="en-US"/>
              </w:rPr>
              <w:t>,</w:t>
            </w:r>
            <w:r>
              <w:rPr>
                <w:lang w:val="en-US"/>
              </w:rPr>
              <w:t xml:space="preserve"> or as soon as reasonably practicable after that time</w:t>
            </w:r>
            <w:r>
              <w:rPr>
                <w:lang w:val="en-US" w:eastAsia="en-US"/>
              </w:rPr>
              <w:t>, the RSE licensee must notify the other entity that the transaction is made out of the superannuation fund’s assets; and</w:t>
            </w:r>
          </w:p>
          <w:p w:rsidR="006A5B98" w:rsidRDefault="006A5B98" w:rsidP="00A25599">
            <w:pPr>
              <w:pStyle w:val="tabledotpoint"/>
              <w:rPr>
                <w:lang w:val="en-US" w:eastAsia="en-US"/>
              </w:rPr>
            </w:pPr>
            <w:proofErr w:type="gramStart"/>
            <w:r>
              <w:rPr>
                <w:lang w:val="en-US" w:eastAsia="en-US"/>
              </w:rPr>
              <w:t>the</w:t>
            </w:r>
            <w:proofErr w:type="gramEnd"/>
            <w:r>
              <w:rPr>
                <w:lang w:val="en-US" w:eastAsia="en-US"/>
              </w:rPr>
              <w:t xml:space="preserve"> other entity must, as soon as reasonably practicable after being notified by the RSE licensee, provide the RSE licensee with the required information of which the other entity is aware.</w:t>
            </w:r>
          </w:p>
        </w:tc>
        <w:tc>
          <w:tcPr>
            <w:tcW w:w="3276" w:type="dxa"/>
          </w:tcPr>
          <w:p w:rsidR="006A5B98" w:rsidRPr="004666B8" w:rsidRDefault="006A5B98" w:rsidP="00A25599">
            <w:pPr>
              <w:pStyle w:val="tabletext"/>
              <w:rPr>
                <w:lang w:val="en-US" w:eastAsia="en-US"/>
              </w:rPr>
            </w:pPr>
            <w:r>
              <w:rPr>
                <w:lang w:val="en-US" w:eastAsia="en-US"/>
              </w:rPr>
              <w:t>No equivalent.</w:t>
            </w:r>
          </w:p>
        </w:tc>
      </w:tr>
    </w:tbl>
    <w:p w:rsidR="006A5B98" w:rsidRDefault="006A5B98" w:rsidP="006A5B98">
      <w:pPr>
        <w:pStyle w:val="Heading2"/>
      </w:pPr>
      <w:r>
        <w:t>Detailed explanation of new law</w:t>
      </w:r>
    </w:p>
    <w:p w:rsidR="006A5B98" w:rsidRDefault="006A5B98" w:rsidP="006A5B98">
      <w:pPr>
        <w:pStyle w:val="base-text-paragraph"/>
      </w:pPr>
      <w:r>
        <w:t xml:space="preserve">The amendments </w:t>
      </w:r>
      <w:r w:rsidR="00CB623E">
        <w:t xml:space="preserve">enhance </w:t>
      </w:r>
      <w:r>
        <w:t>APRA</w:t>
      </w:r>
      <w:r w:rsidR="00CB623E">
        <w:t>’s</w:t>
      </w:r>
      <w:r>
        <w:t xml:space="preserve"> </w:t>
      </w:r>
      <w:r w:rsidR="00010F90">
        <w:t xml:space="preserve">ability </w:t>
      </w:r>
      <w:r>
        <w:t>to collect information in relation to a transaction between an RSE licensee and another entity where the money, consideration or other benefit originated from the assets of a registrable superannuation entity of the RSE licensee.</w:t>
      </w:r>
    </w:p>
    <w:p w:rsidR="006A5B98" w:rsidRDefault="006A5B98" w:rsidP="006A5B98">
      <w:pPr>
        <w:pStyle w:val="base-text-paragraph"/>
      </w:pPr>
      <w:r>
        <w:t xml:space="preserve">APRA is able to collect the information through the reporting standards </w:t>
      </w:r>
      <w:r w:rsidR="00CB623E">
        <w:t>determined by APRA</w:t>
      </w:r>
      <w:r>
        <w:t xml:space="preserve"> under section 13 of the FSCODA.</w:t>
      </w:r>
    </w:p>
    <w:p w:rsidR="006A5B98" w:rsidRPr="001E2270" w:rsidRDefault="006A5B98" w:rsidP="006A5B98">
      <w:pPr>
        <w:pStyle w:val="base-text-paragraph"/>
        <w:rPr>
          <w:lang w:val="en-US"/>
        </w:rPr>
      </w:pPr>
      <w:r w:rsidRPr="001E2270">
        <w:rPr>
          <w:lang w:val="en-US"/>
        </w:rPr>
        <w:t xml:space="preserve">If an RSE licensee gives money, consideration or </w:t>
      </w:r>
      <w:r w:rsidR="00B94B8B">
        <w:rPr>
          <w:lang w:val="en-US"/>
        </w:rPr>
        <w:t xml:space="preserve">some </w:t>
      </w:r>
      <w:r w:rsidRPr="001E2270">
        <w:rPr>
          <w:lang w:val="en-US"/>
        </w:rPr>
        <w:t xml:space="preserve">other benefit out of the assets of its </w:t>
      </w:r>
      <w:r w:rsidR="00CB623E">
        <w:rPr>
          <w:lang w:val="en-US"/>
        </w:rPr>
        <w:t>RSE</w:t>
      </w:r>
      <w:r w:rsidRPr="001E2270">
        <w:rPr>
          <w:lang w:val="en-US"/>
        </w:rPr>
        <w:t xml:space="preserve"> to another entity, the reporting standards may require the RSE licensee to provide information </w:t>
      </w:r>
      <w:r>
        <w:rPr>
          <w:lang w:val="en-US"/>
        </w:rPr>
        <w:t>in relation to</w:t>
      </w:r>
      <w:r w:rsidRPr="001E2270">
        <w:rPr>
          <w:lang w:val="en-US"/>
        </w:rPr>
        <w:t xml:space="preserve"> the transaction including:</w:t>
      </w:r>
    </w:p>
    <w:p w:rsidR="006A5B98" w:rsidRPr="001E2270" w:rsidRDefault="006A5B98" w:rsidP="006A5B98">
      <w:pPr>
        <w:pStyle w:val="dotpoint"/>
        <w:rPr>
          <w:lang w:val="en-US"/>
        </w:rPr>
      </w:pPr>
      <w:r w:rsidRPr="001E2270">
        <w:rPr>
          <w:lang w:val="en-US"/>
        </w:rPr>
        <w:t>details of the other entity;</w:t>
      </w:r>
    </w:p>
    <w:p w:rsidR="006A5B98" w:rsidRPr="001E2270" w:rsidRDefault="006A5B98" w:rsidP="006A5B98">
      <w:pPr>
        <w:pStyle w:val="dotpoint"/>
        <w:rPr>
          <w:lang w:val="en-US"/>
        </w:rPr>
      </w:pPr>
      <w:r w:rsidRPr="001E2270">
        <w:rPr>
          <w:lang w:val="en-US"/>
        </w:rPr>
        <w:t xml:space="preserve">the purpose for </w:t>
      </w:r>
      <w:r>
        <w:rPr>
          <w:lang w:val="en-US"/>
        </w:rPr>
        <w:t>which the money, consideration or other benefit is given</w:t>
      </w:r>
      <w:r w:rsidRPr="001E2270">
        <w:rPr>
          <w:lang w:val="en-US"/>
        </w:rPr>
        <w:t xml:space="preserve">; </w:t>
      </w:r>
    </w:p>
    <w:p w:rsidR="006A5B98" w:rsidRPr="004776CE" w:rsidRDefault="006A5B98" w:rsidP="006A5B98">
      <w:pPr>
        <w:pStyle w:val="dotpoint"/>
      </w:pPr>
      <w:r w:rsidRPr="001E2270">
        <w:rPr>
          <w:lang w:val="en-US"/>
        </w:rPr>
        <w:lastRenderedPageBreak/>
        <w:t xml:space="preserve">the way </w:t>
      </w:r>
      <w:r>
        <w:rPr>
          <w:lang w:val="en-US"/>
        </w:rPr>
        <w:t xml:space="preserve">in which </w:t>
      </w:r>
      <w:r w:rsidRPr="001E2270">
        <w:rPr>
          <w:lang w:val="en-US"/>
        </w:rPr>
        <w:t>the other entity used the money, co</w:t>
      </w:r>
      <w:r>
        <w:rPr>
          <w:lang w:val="en-US"/>
        </w:rPr>
        <w:t>nsideration or benefit received; and</w:t>
      </w:r>
    </w:p>
    <w:p w:rsidR="006A5B98" w:rsidRPr="004776CE" w:rsidRDefault="006A5B98" w:rsidP="006A5B98">
      <w:pPr>
        <w:pStyle w:val="dotpoint"/>
      </w:pPr>
      <w:proofErr w:type="gramStart"/>
      <w:r>
        <w:rPr>
          <w:lang w:val="en-US"/>
        </w:rPr>
        <w:t>any</w:t>
      </w:r>
      <w:proofErr w:type="gramEnd"/>
      <w:r>
        <w:rPr>
          <w:lang w:val="en-US"/>
        </w:rPr>
        <w:t xml:space="preserve"> entity with which the other entity deals.</w:t>
      </w:r>
    </w:p>
    <w:p w:rsidR="006A5B98" w:rsidRDefault="006A5B98" w:rsidP="006A5B98">
      <w:pPr>
        <w:pStyle w:val="base-text-paragraphnonumbers"/>
        <w:rPr>
          <w:rStyle w:val="Referencingstyle"/>
        </w:rPr>
      </w:pPr>
      <w:r>
        <w:rPr>
          <w:rStyle w:val="Referencingstyle"/>
        </w:rPr>
        <w:t>[Schedule </w:t>
      </w:r>
      <w:r w:rsidR="003B5D52">
        <w:rPr>
          <w:rStyle w:val="Referencingstyle"/>
        </w:rPr>
        <w:t>7</w:t>
      </w:r>
      <w:r>
        <w:rPr>
          <w:rStyle w:val="Referencingstyle"/>
        </w:rPr>
        <w:t xml:space="preserve">, item 1, </w:t>
      </w:r>
      <w:proofErr w:type="gramStart"/>
      <w:r>
        <w:rPr>
          <w:rStyle w:val="Referencingstyle"/>
        </w:rPr>
        <w:t>subsection</w:t>
      </w:r>
      <w:proofErr w:type="gramEnd"/>
      <w:r>
        <w:rPr>
          <w:rStyle w:val="Referencingstyle"/>
        </w:rPr>
        <w:t> 13(4D)]</w:t>
      </w:r>
    </w:p>
    <w:p w:rsidR="006A5B98" w:rsidRPr="0011037D" w:rsidRDefault="006A5B98" w:rsidP="006A5B98">
      <w:pPr>
        <w:pStyle w:val="base-text-paragraph"/>
        <w:numPr>
          <w:ilvl w:val="1"/>
          <w:numId w:val="24"/>
        </w:numPr>
        <w:rPr>
          <w:lang w:val="en-US"/>
        </w:rPr>
      </w:pPr>
      <w:r w:rsidRPr="0011037D">
        <w:rPr>
          <w:lang w:val="en-US"/>
        </w:rPr>
        <w:t>That is, where the money, consideration or benefit received by the other entity was used in its dealing</w:t>
      </w:r>
      <w:r>
        <w:rPr>
          <w:lang w:val="en-US"/>
        </w:rPr>
        <w:t>s</w:t>
      </w:r>
      <w:r w:rsidRPr="0011037D">
        <w:rPr>
          <w:lang w:val="en-US"/>
        </w:rPr>
        <w:t xml:space="preserve"> with any further entities, information about the further entities </w:t>
      </w:r>
      <w:r>
        <w:rPr>
          <w:lang w:val="en-US"/>
        </w:rPr>
        <w:t>are</w:t>
      </w:r>
      <w:r w:rsidRPr="0011037D">
        <w:rPr>
          <w:lang w:val="en-US"/>
        </w:rPr>
        <w:t xml:space="preserve"> required to be provided by the RSE licensee in accordance with the reporting standard. This is in addition to the RSE licensee needing</w:t>
      </w:r>
      <w:r>
        <w:rPr>
          <w:lang w:val="en-US"/>
        </w:rPr>
        <w:t xml:space="preserve"> </w:t>
      </w:r>
      <w:r w:rsidRPr="0011037D">
        <w:rPr>
          <w:lang w:val="en-US"/>
        </w:rPr>
        <w:t xml:space="preserve">to provide </w:t>
      </w:r>
      <w:r>
        <w:rPr>
          <w:lang w:val="en-US"/>
        </w:rPr>
        <w:t xml:space="preserve">information about the </w:t>
      </w:r>
      <w:r w:rsidRPr="0011037D">
        <w:rPr>
          <w:lang w:val="en-US"/>
        </w:rPr>
        <w:t>details of the other entity</w:t>
      </w:r>
      <w:r>
        <w:rPr>
          <w:lang w:val="en-US"/>
        </w:rPr>
        <w:t xml:space="preserve">, </w:t>
      </w:r>
      <w:r w:rsidRPr="0011037D">
        <w:rPr>
          <w:lang w:val="en-US"/>
        </w:rPr>
        <w:t xml:space="preserve">the purpose for the </w:t>
      </w:r>
      <w:r>
        <w:rPr>
          <w:lang w:val="en-US"/>
        </w:rPr>
        <w:t>transaction and</w:t>
      </w:r>
      <w:r w:rsidRPr="0011037D">
        <w:rPr>
          <w:lang w:val="en-US"/>
        </w:rPr>
        <w:t xml:space="preserve"> the way the other entity used the money, consideration or benefit received</w:t>
      </w:r>
      <w:r>
        <w:rPr>
          <w:lang w:val="en-US"/>
        </w:rPr>
        <w:t>.</w:t>
      </w:r>
    </w:p>
    <w:p w:rsidR="006A5B98" w:rsidRPr="001E2270" w:rsidRDefault="006A5B98" w:rsidP="006A5B98">
      <w:pPr>
        <w:pStyle w:val="base-text-paragraph"/>
        <w:numPr>
          <w:ilvl w:val="1"/>
          <w:numId w:val="24"/>
        </w:numPr>
        <w:rPr>
          <w:lang w:val="en-US"/>
        </w:rPr>
      </w:pPr>
      <w:r w:rsidRPr="001E2270">
        <w:rPr>
          <w:lang w:val="en-US"/>
        </w:rPr>
        <w:t xml:space="preserve">Where an RSE licensee gives money, consideration or </w:t>
      </w:r>
      <w:r w:rsidR="00B94B8B">
        <w:rPr>
          <w:lang w:val="en-US"/>
        </w:rPr>
        <w:t xml:space="preserve">some </w:t>
      </w:r>
      <w:r w:rsidRPr="001E2270">
        <w:rPr>
          <w:lang w:val="en-US"/>
        </w:rPr>
        <w:t xml:space="preserve">other benefit out of the assets of its </w:t>
      </w:r>
      <w:r w:rsidR="00CB623E">
        <w:rPr>
          <w:lang w:val="en-US"/>
        </w:rPr>
        <w:t>RSE</w:t>
      </w:r>
      <w:r w:rsidRPr="001E2270">
        <w:rPr>
          <w:lang w:val="en-US"/>
        </w:rPr>
        <w:t xml:space="preserve"> to another entity under a contract or arrangement, the contract or arrangement is taken to contain the following terms:</w:t>
      </w:r>
    </w:p>
    <w:p w:rsidR="006A5B98" w:rsidRPr="001E2270" w:rsidRDefault="006A5B98" w:rsidP="006A5B98">
      <w:pPr>
        <w:pStyle w:val="dotpoint"/>
        <w:rPr>
          <w:lang w:val="en-US"/>
        </w:rPr>
      </w:pPr>
      <w:r w:rsidRPr="001E2270">
        <w:rPr>
          <w:lang w:val="en-US"/>
        </w:rPr>
        <w:t>at the time of the money</w:t>
      </w:r>
      <w:r w:rsidR="00B94B8B">
        <w:rPr>
          <w:lang w:val="en-US"/>
        </w:rPr>
        <w:t xml:space="preserve">, </w:t>
      </w:r>
      <w:r w:rsidR="00B94B8B" w:rsidRPr="001E2270">
        <w:rPr>
          <w:lang w:val="en-US"/>
        </w:rPr>
        <w:t xml:space="preserve">consideration or </w:t>
      </w:r>
      <w:r w:rsidR="00B94B8B">
        <w:rPr>
          <w:lang w:val="en-US"/>
        </w:rPr>
        <w:t xml:space="preserve">other </w:t>
      </w:r>
      <w:r w:rsidR="00B94B8B" w:rsidRPr="001E2270">
        <w:rPr>
          <w:lang w:val="en-US"/>
        </w:rPr>
        <w:t>benefit</w:t>
      </w:r>
      <w:r>
        <w:rPr>
          <w:lang w:val="en-US"/>
        </w:rPr>
        <w:t xml:space="preserve"> </w:t>
      </w:r>
      <w:r w:rsidR="00B94B8B" w:rsidRPr="001E2270">
        <w:rPr>
          <w:lang w:val="en-US"/>
        </w:rPr>
        <w:t>is given</w:t>
      </w:r>
      <w:r w:rsidR="00B94B8B">
        <w:rPr>
          <w:lang w:val="en-US"/>
        </w:rPr>
        <w:t xml:space="preserve">, </w:t>
      </w:r>
      <w:r>
        <w:rPr>
          <w:lang w:val="en-US"/>
        </w:rPr>
        <w:t>or as soon as reasonably practicable after that time</w:t>
      </w:r>
      <w:r w:rsidRPr="001E2270">
        <w:rPr>
          <w:lang w:val="en-US"/>
        </w:rPr>
        <w:t xml:space="preserve">, the RSE licensee must notify the other entity that the transaction is made out of the </w:t>
      </w:r>
      <w:r>
        <w:rPr>
          <w:lang w:val="en-US"/>
        </w:rPr>
        <w:t xml:space="preserve">assets of </w:t>
      </w:r>
      <w:r w:rsidR="00CB623E">
        <w:rPr>
          <w:lang w:val="en-US"/>
        </w:rPr>
        <w:t>RSE</w:t>
      </w:r>
      <w:r w:rsidRPr="001E2270">
        <w:rPr>
          <w:lang w:val="en-US"/>
        </w:rPr>
        <w:t>; and</w:t>
      </w:r>
    </w:p>
    <w:p w:rsidR="006A5B98" w:rsidRPr="004776CE" w:rsidRDefault="006A5B98" w:rsidP="006A5B98">
      <w:pPr>
        <w:pStyle w:val="dotpoint"/>
      </w:pPr>
      <w:proofErr w:type="gramStart"/>
      <w:r w:rsidRPr="001E2270">
        <w:rPr>
          <w:lang w:val="en-US"/>
        </w:rPr>
        <w:t>the</w:t>
      </w:r>
      <w:proofErr w:type="gramEnd"/>
      <w:r w:rsidRPr="001E2270">
        <w:rPr>
          <w:lang w:val="en-US"/>
        </w:rPr>
        <w:t xml:space="preserve"> other entity must, as soon as reasonably practicable after being notified by the RSE licensee, provide the RSE licensee with the required information of which the other entity is aware.</w:t>
      </w:r>
    </w:p>
    <w:p w:rsidR="006A5B98" w:rsidRDefault="006A5B98" w:rsidP="006A5B98">
      <w:pPr>
        <w:pStyle w:val="base-text-paragraphnonumbers"/>
        <w:rPr>
          <w:rStyle w:val="Referencingstyle"/>
        </w:rPr>
      </w:pPr>
      <w:r>
        <w:rPr>
          <w:rStyle w:val="Referencingstyle"/>
        </w:rPr>
        <w:t>[Schedule </w:t>
      </w:r>
      <w:r w:rsidR="003B5D52">
        <w:rPr>
          <w:rStyle w:val="Referencingstyle"/>
        </w:rPr>
        <w:t>7</w:t>
      </w:r>
      <w:r>
        <w:rPr>
          <w:rStyle w:val="Referencingstyle"/>
        </w:rPr>
        <w:t xml:space="preserve">, item 1, </w:t>
      </w:r>
      <w:proofErr w:type="gramStart"/>
      <w:r>
        <w:rPr>
          <w:rStyle w:val="Referencingstyle"/>
        </w:rPr>
        <w:t>subsection</w:t>
      </w:r>
      <w:proofErr w:type="gramEnd"/>
      <w:r>
        <w:rPr>
          <w:rStyle w:val="Referencingstyle"/>
        </w:rPr>
        <w:t> 13(4E)]</w:t>
      </w:r>
    </w:p>
    <w:p w:rsidR="006A5B98" w:rsidRDefault="006A5B98" w:rsidP="006A5B98">
      <w:pPr>
        <w:pStyle w:val="base-text-paragraph"/>
      </w:pPr>
      <w:r>
        <w:t xml:space="preserve">This mechanism is to facilitate the information gathering process in order for the RSE licensee to meet its obligation to report the required information to APRA under the reporting standards. </w:t>
      </w:r>
    </w:p>
    <w:p w:rsidR="00CB623E" w:rsidRPr="00BA37F3" w:rsidRDefault="00CB623E" w:rsidP="006A5B98">
      <w:pPr>
        <w:pStyle w:val="base-text-paragraph"/>
        <w:rPr>
          <w:rStyle w:val="Referencingstyle"/>
          <w:b w:val="0"/>
          <w:i w:val="0"/>
          <w:sz w:val="22"/>
        </w:rPr>
      </w:pPr>
      <w:r>
        <w:t xml:space="preserve">However, if the transaction is in relation to investment </w:t>
      </w:r>
      <w:r w:rsidR="00BA37F3">
        <w:t>assets,</w:t>
      </w:r>
      <w:r>
        <w:t xml:space="preserve"> or assets derived from assets</w:t>
      </w:r>
      <w:r w:rsidR="00BA37F3">
        <w:t>,</w:t>
      </w:r>
      <w:r>
        <w:t xml:space="preserve"> of the RSE licensee’s RSE by</w:t>
      </w:r>
      <w:r w:rsidR="00BA37F3">
        <w:t xml:space="preserve"> the RSE licensee or a person connected with the RSE licensee, then the amendments </w:t>
      </w:r>
      <w:r w:rsidR="00B94B8B">
        <w:t xml:space="preserve">do </w:t>
      </w:r>
      <w:r w:rsidR="00BA37F3">
        <w:t xml:space="preserve">not apply. </w:t>
      </w:r>
      <w:r w:rsidR="00BA37F3">
        <w:rPr>
          <w:rStyle w:val="Referencingstyle"/>
        </w:rPr>
        <w:t>[Schedule </w:t>
      </w:r>
      <w:r w:rsidR="003B5D52">
        <w:rPr>
          <w:rStyle w:val="Referencingstyle"/>
        </w:rPr>
        <w:t>7</w:t>
      </w:r>
      <w:r w:rsidR="00BA37F3">
        <w:rPr>
          <w:rStyle w:val="Referencingstyle"/>
        </w:rPr>
        <w:t>, item 1, subsection 13(4F)]</w:t>
      </w:r>
    </w:p>
    <w:p w:rsidR="00BA37F3" w:rsidRPr="008F726E" w:rsidRDefault="00BA37F3" w:rsidP="006A5B98">
      <w:pPr>
        <w:pStyle w:val="base-text-paragraph"/>
      </w:pPr>
      <w:r>
        <w:t>This reflect</w:t>
      </w:r>
      <w:r w:rsidR="00B94B8B">
        <w:t>s</w:t>
      </w:r>
      <w:r>
        <w:t xml:space="preserve"> that APRA can currently determine reporting standards requiring the RSE licensee to</w:t>
      </w:r>
      <w:r w:rsidR="007D5597">
        <w:t xml:space="preserve"> provide</w:t>
      </w:r>
      <w:r>
        <w:t xml:space="preserve"> information in relation to investment assets under subsection 13(4A).  </w:t>
      </w:r>
    </w:p>
    <w:p w:rsidR="006A5B98" w:rsidRDefault="006A5B98" w:rsidP="006A5B98">
      <w:pPr>
        <w:pStyle w:val="Heading2"/>
      </w:pPr>
      <w:r>
        <w:lastRenderedPageBreak/>
        <w:t>Application and transitional provisions</w:t>
      </w:r>
    </w:p>
    <w:p w:rsidR="006A5B98" w:rsidRDefault="006A5B98" w:rsidP="006A5B98">
      <w:pPr>
        <w:pStyle w:val="base-text-paragraph"/>
        <w:numPr>
          <w:ilvl w:val="1"/>
          <w:numId w:val="27"/>
        </w:numPr>
      </w:pPr>
      <w:r>
        <w:t>The</w:t>
      </w:r>
      <w:r w:rsidR="00695B89">
        <w:t>se</w:t>
      </w:r>
      <w:r>
        <w:t xml:space="preserve"> amendments commence </w:t>
      </w:r>
      <w:r w:rsidRPr="00D76CD7">
        <w:t>on or after the day after the exposure draft Bill receives the Royal Assent</w:t>
      </w:r>
      <w:r>
        <w:t>, so from that date APRA can determine reporting standards giving effect to the amendments.</w:t>
      </w:r>
    </w:p>
    <w:p w:rsidR="006A5B98" w:rsidRPr="00D76CD7" w:rsidRDefault="006A5B98" w:rsidP="006A5B98">
      <w:pPr>
        <w:pStyle w:val="base-text-paragraph"/>
        <w:numPr>
          <w:ilvl w:val="1"/>
          <w:numId w:val="24"/>
        </w:numPr>
        <w:rPr>
          <w:rStyle w:val="Referencingstyle"/>
          <w:b w:val="0"/>
          <w:i w:val="0"/>
          <w:sz w:val="22"/>
        </w:rPr>
      </w:pPr>
      <w:r>
        <w:t xml:space="preserve">The obligation for the RSE licensee to notify the other entity and the obligation for the other entity to provide the required information will be implied into a contract or arrangement, regardless of whether it is entered into before or after these amendments commence. </w:t>
      </w:r>
      <w:r>
        <w:rPr>
          <w:rStyle w:val="Referencingstyle"/>
        </w:rPr>
        <w:t>[Schedule </w:t>
      </w:r>
      <w:r w:rsidR="003B5D52">
        <w:rPr>
          <w:rStyle w:val="Referencingstyle"/>
        </w:rPr>
        <w:t>7</w:t>
      </w:r>
      <w:r>
        <w:rPr>
          <w:rStyle w:val="Referencingstyle"/>
        </w:rPr>
        <w:t xml:space="preserve">, </w:t>
      </w:r>
      <w:proofErr w:type="spellStart"/>
      <w:r>
        <w:rPr>
          <w:rStyle w:val="Referencingstyle"/>
        </w:rPr>
        <w:t>subitem</w:t>
      </w:r>
      <w:proofErr w:type="spellEnd"/>
      <w:r>
        <w:rPr>
          <w:rStyle w:val="Referencingstyle"/>
        </w:rPr>
        <w:t> 2(1)]</w:t>
      </w:r>
    </w:p>
    <w:p w:rsidR="006A5B98" w:rsidRDefault="006A5B98" w:rsidP="006A5B98">
      <w:pPr>
        <w:pStyle w:val="base-text-paragraph"/>
        <w:numPr>
          <w:ilvl w:val="1"/>
          <w:numId w:val="24"/>
        </w:numPr>
        <w:rPr>
          <w:rStyle w:val="Referencingstyle"/>
          <w:b w:val="0"/>
          <w:i w:val="0"/>
          <w:sz w:val="22"/>
        </w:rPr>
      </w:pPr>
      <w:r>
        <w:rPr>
          <w:rStyle w:val="Referencingstyle"/>
          <w:b w:val="0"/>
          <w:i w:val="0"/>
          <w:sz w:val="22"/>
        </w:rPr>
        <w:t xml:space="preserve">The ability to imply such terms into existing contracts is to address future transactions under contracts that are currently on foot. </w:t>
      </w:r>
    </w:p>
    <w:p w:rsidR="006A5B98" w:rsidRDefault="006A5B98" w:rsidP="006A5B98">
      <w:pPr>
        <w:pStyle w:val="base-text-paragraph"/>
        <w:numPr>
          <w:ilvl w:val="1"/>
          <w:numId w:val="24"/>
        </w:numPr>
        <w:rPr>
          <w:rStyle w:val="Referencingstyle"/>
          <w:b w:val="0"/>
          <w:i w:val="0"/>
          <w:sz w:val="22"/>
        </w:rPr>
      </w:pPr>
      <w:r>
        <w:rPr>
          <w:rStyle w:val="Referencingstyle"/>
          <w:b w:val="0"/>
          <w:i w:val="0"/>
          <w:sz w:val="22"/>
        </w:rPr>
        <w:t>For example, if a contract or arrangement provides for payments over a period of time, the obligations on the RSE licensee to notify</w:t>
      </w:r>
      <w:r w:rsidR="00695B89">
        <w:rPr>
          <w:rStyle w:val="Referencingstyle"/>
          <w:b w:val="0"/>
          <w:i w:val="0"/>
          <w:sz w:val="22"/>
        </w:rPr>
        <w:t>,</w:t>
      </w:r>
      <w:r>
        <w:rPr>
          <w:rStyle w:val="Referencingstyle"/>
          <w:b w:val="0"/>
          <w:i w:val="0"/>
          <w:sz w:val="22"/>
        </w:rPr>
        <w:t xml:space="preserve"> and the other entity to provide</w:t>
      </w:r>
      <w:r w:rsidR="00695B89">
        <w:rPr>
          <w:rStyle w:val="Referencingstyle"/>
          <w:b w:val="0"/>
          <w:i w:val="0"/>
          <w:sz w:val="22"/>
        </w:rPr>
        <w:t>,</w:t>
      </w:r>
      <w:r>
        <w:rPr>
          <w:rStyle w:val="Referencingstyle"/>
          <w:b w:val="0"/>
          <w:i w:val="0"/>
          <w:sz w:val="22"/>
        </w:rPr>
        <w:t xml:space="preserve"> the required information will only apply to the payments made on or after the day after the exposure draft Bill receives the Royal Assent. </w:t>
      </w:r>
    </w:p>
    <w:p w:rsidR="006A5B98" w:rsidRDefault="006A5B98" w:rsidP="006A5B98">
      <w:pPr>
        <w:pStyle w:val="base-text-paragraph"/>
        <w:numPr>
          <w:ilvl w:val="1"/>
          <w:numId w:val="24"/>
        </w:numPr>
        <w:rPr>
          <w:rStyle w:val="Referencingstyle"/>
          <w:b w:val="0"/>
          <w:i w:val="0"/>
          <w:sz w:val="22"/>
        </w:rPr>
      </w:pPr>
      <w:r>
        <w:rPr>
          <w:rStyle w:val="Referencingstyle"/>
          <w:b w:val="0"/>
          <w:i w:val="0"/>
          <w:sz w:val="22"/>
        </w:rPr>
        <w:t xml:space="preserve">That is, </w:t>
      </w:r>
      <w:r w:rsidR="007C79B2">
        <w:rPr>
          <w:rStyle w:val="Referencingstyle"/>
          <w:b w:val="0"/>
          <w:i w:val="0"/>
          <w:sz w:val="22"/>
        </w:rPr>
        <w:t>the</w:t>
      </w:r>
      <w:r>
        <w:rPr>
          <w:rStyle w:val="Referencingstyle"/>
          <w:b w:val="0"/>
          <w:i w:val="0"/>
          <w:sz w:val="22"/>
        </w:rPr>
        <w:t xml:space="preserve"> RSE licensee does not need to notify the other entity in respect of past transactions made under the contract or arrangement, and the other entity would not have the obligation to provide the information as there is no requirement for the RSE licensee to notify.</w:t>
      </w:r>
    </w:p>
    <w:p w:rsidR="006A5B98" w:rsidRDefault="006A5B98" w:rsidP="006A5B98">
      <w:pPr>
        <w:pStyle w:val="base-text-paragraph"/>
        <w:numPr>
          <w:ilvl w:val="1"/>
          <w:numId w:val="24"/>
        </w:numPr>
        <w:rPr>
          <w:rStyle w:val="Referencingstyle"/>
          <w:b w:val="0"/>
          <w:i w:val="0"/>
          <w:sz w:val="22"/>
        </w:rPr>
      </w:pPr>
      <w:r>
        <w:rPr>
          <w:rStyle w:val="Referencingstyle"/>
          <w:b w:val="0"/>
          <w:i w:val="0"/>
          <w:sz w:val="22"/>
        </w:rPr>
        <w:t>Th</w:t>
      </w:r>
      <w:r w:rsidR="00695B89">
        <w:rPr>
          <w:rStyle w:val="Referencingstyle"/>
          <w:b w:val="0"/>
          <w:i w:val="0"/>
          <w:sz w:val="22"/>
        </w:rPr>
        <w:t>is</w:t>
      </w:r>
      <w:r>
        <w:rPr>
          <w:rStyle w:val="Referencingstyle"/>
          <w:b w:val="0"/>
          <w:i w:val="0"/>
          <w:sz w:val="22"/>
        </w:rPr>
        <w:t xml:space="preserve"> ensure</w:t>
      </w:r>
      <w:r w:rsidR="00695B89">
        <w:rPr>
          <w:rStyle w:val="Referencingstyle"/>
          <w:b w:val="0"/>
          <w:i w:val="0"/>
          <w:sz w:val="22"/>
        </w:rPr>
        <w:t>s</w:t>
      </w:r>
      <w:r>
        <w:rPr>
          <w:rStyle w:val="Referencingstyle"/>
          <w:b w:val="0"/>
          <w:i w:val="0"/>
          <w:sz w:val="22"/>
        </w:rPr>
        <w:t xml:space="preserve"> that all transactions to be made on or after the commencement of the amendments are subject to the same requirements, regardless of whether the transaction is made under an existing contract or a contract entered into after the commencement of the amendments. </w:t>
      </w:r>
    </w:p>
    <w:p w:rsidR="006A5B98" w:rsidRPr="00335919" w:rsidRDefault="006A5B98" w:rsidP="006A5B98">
      <w:pPr>
        <w:pStyle w:val="base-text-paragraph"/>
        <w:numPr>
          <w:ilvl w:val="1"/>
          <w:numId w:val="24"/>
        </w:numPr>
        <w:rPr>
          <w:rStyle w:val="Referencingstyle"/>
          <w:b w:val="0"/>
          <w:i w:val="0"/>
          <w:sz w:val="22"/>
        </w:rPr>
      </w:pPr>
      <w:r>
        <w:rPr>
          <w:rStyle w:val="Referencingstyle"/>
          <w:b w:val="0"/>
          <w:i w:val="0"/>
          <w:sz w:val="22"/>
        </w:rPr>
        <w:t>However, to</w:t>
      </w:r>
      <w:r w:rsidR="00CB623E">
        <w:rPr>
          <w:rStyle w:val="Referencingstyle"/>
          <w:b w:val="0"/>
          <w:i w:val="0"/>
          <w:sz w:val="22"/>
        </w:rPr>
        <w:t xml:space="preserve"> the</w:t>
      </w:r>
      <w:r>
        <w:rPr>
          <w:rStyle w:val="Referencingstyle"/>
          <w:b w:val="0"/>
          <w:i w:val="0"/>
          <w:sz w:val="22"/>
        </w:rPr>
        <w:t xml:space="preserve"> extent that the operation of the reporting standard would result in an acquisition of property from a person other than on just terms, the obligations will not be implied into a contract or arrangement that is entered into before the commencement of these amendments. </w:t>
      </w:r>
      <w:r>
        <w:rPr>
          <w:rStyle w:val="Referencingstyle"/>
        </w:rPr>
        <w:t>[Schedule </w:t>
      </w:r>
      <w:r w:rsidR="00C961F8">
        <w:rPr>
          <w:rStyle w:val="Referencingstyle"/>
        </w:rPr>
        <w:t>7</w:t>
      </w:r>
      <w:r>
        <w:rPr>
          <w:rStyle w:val="Referencingstyle"/>
        </w:rPr>
        <w:t xml:space="preserve">, </w:t>
      </w:r>
      <w:proofErr w:type="spellStart"/>
      <w:r>
        <w:rPr>
          <w:rStyle w:val="Referencingstyle"/>
        </w:rPr>
        <w:t>subitem</w:t>
      </w:r>
      <w:proofErr w:type="spellEnd"/>
      <w:r>
        <w:rPr>
          <w:rStyle w:val="Referencingstyle"/>
        </w:rPr>
        <w:t xml:space="preserve"> 2(2)]</w:t>
      </w:r>
    </w:p>
    <w:p w:rsidR="006A5B98" w:rsidRDefault="006A5B98" w:rsidP="006A5B98">
      <w:pPr>
        <w:pStyle w:val="base-text-paragraph"/>
        <w:numPr>
          <w:ilvl w:val="1"/>
          <w:numId w:val="24"/>
        </w:numPr>
      </w:pPr>
      <w:r>
        <w:t xml:space="preserve">This is to recognise the different circumstances in which the contracts are entered into. Where contracts are entered into after the commencement of these amendments, the RSE licensee (and entities it contracts with) would be aware of the requirements under the reporting standards and are able to address the potential acquisition of property matters in the terms of the contract. </w:t>
      </w:r>
    </w:p>
    <w:p w:rsidR="006A5B98" w:rsidRPr="00651578" w:rsidRDefault="006A5B98" w:rsidP="006A5B98">
      <w:pPr>
        <w:pStyle w:val="base-text-paragraph"/>
        <w:numPr>
          <w:ilvl w:val="1"/>
          <w:numId w:val="24"/>
        </w:numPr>
        <w:rPr>
          <w:rStyle w:val="Referencingstyle"/>
          <w:b w:val="0"/>
          <w:i w:val="0"/>
          <w:sz w:val="22"/>
        </w:rPr>
      </w:pPr>
      <w:r>
        <w:t xml:space="preserve">Furthermore, if an RSE licensee is unable to obtain particular required information to provide </w:t>
      </w:r>
      <w:r w:rsidR="00CB623E">
        <w:t xml:space="preserve">to </w:t>
      </w:r>
      <w:r>
        <w:t xml:space="preserve">APRA due to the obligations not being implied into the contract or arrangement, then the RSE licensee is not </w:t>
      </w:r>
      <w:r>
        <w:lastRenderedPageBreak/>
        <w:t xml:space="preserve">required to comply with the reporting standard to the extent that it is required to provide that particular information. </w:t>
      </w:r>
      <w:r>
        <w:rPr>
          <w:rStyle w:val="Referencingstyle"/>
        </w:rPr>
        <w:t>[Schedule </w:t>
      </w:r>
      <w:r w:rsidR="00C961F8">
        <w:rPr>
          <w:rStyle w:val="Referencingstyle"/>
        </w:rPr>
        <w:t>7</w:t>
      </w:r>
      <w:r>
        <w:rPr>
          <w:rStyle w:val="Referencingstyle"/>
        </w:rPr>
        <w:t xml:space="preserve">, </w:t>
      </w:r>
      <w:proofErr w:type="spellStart"/>
      <w:r>
        <w:rPr>
          <w:rStyle w:val="Referencingstyle"/>
        </w:rPr>
        <w:t>subitem</w:t>
      </w:r>
      <w:proofErr w:type="spellEnd"/>
      <w:r>
        <w:rPr>
          <w:rStyle w:val="Referencingstyle"/>
        </w:rPr>
        <w:t> 2(3)]</w:t>
      </w:r>
    </w:p>
    <w:p w:rsidR="00651578" w:rsidRPr="001A3C15" w:rsidRDefault="00651578" w:rsidP="00651578">
      <w:pPr>
        <w:pStyle w:val="base-text-paragraphnonumbers"/>
        <w:rPr>
          <w:rStyle w:val="Referencingstyle"/>
          <w:b w:val="0"/>
          <w:i w:val="0"/>
          <w:sz w:val="22"/>
        </w:rPr>
      </w:pPr>
    </w:p>
    <w:p w:rsidR="006A5B98" w:rsidRPr="00D76CD7" w:rsidRDefault="006A5B98" w:rsidP="006A5B98">
      <w:pPr>
        <w:pStyle w:val="ChapterHeading"/>
        <w:numPr>
          <w:ilvl w:val="0"/>
          <w:numId w:val="0"/>
        </w:numPr>
        <w:sectPr w:rsidR="006A5B98" w:rsidRPr="00D76CD7" w:rsidSect="00A25599">
          <w:headerReference w:type="default" r:id="rId42"/>
          <w:type w:val="oddPage"/>
          <w:pgSz w:w="11906" w:h="16838" w:code="9"/>
          <w:pgMar w:top="2466" w:right="2098" w:bottom="2466" w:left="2098" w:header="1559" w:footer="1899" w:gutter="0"/>
          <w:cols w:space="708"/>
          <w:titlePg/>
          <w:docGrid w:linePitch="360"/>
        </w:sectPr>
      </w:pPr>
    </w:p>
    <w:p w:rsidR="00D85BEA" w:rsidRPr="00200C32" w:rsidRDefault="00D85BEA" w:rsidP="00D31087"/>
    <w:sectPr w:rsidR="00D85BEA" w:rsidRPr="00200C32" w:rsidSect="00821379">
      <w:headerReference w:type="even" r:id="rId43"/>
      <w:headerReference w:type="default" r:id="rId44"/>
      <w:footerReference w:type="even" r:id="rId45"/>
      <w:footerReference w:type="default" r:id="rId46"/>
      <w:footerReference w:type="first" r:id="rId47"/>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F2F" w:rsidRDefault="002B1F2F">
      <w:r>
        <w:separator/>
      </w:r>
    </w:p>
  </w:endnote>
  <w:endnote w:type="continuationSeparator" w:id="0">
    <w:p w:rsidR="002B1F2F" w:rsidRDefault="002B1F2F">
      <w:r>
        <w:continuationSeparator/>
      </w:r>
    </w:p>
  </w:endnote>
  <w:endnote w:type="continuationNotice" w:id="1">
    <w:p w:rsidR="002B1F2F" w:rsidRDefault="002B1F2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1" w:rsidRDefault="00CD1F41" w:rsidP="009E6BFE">
    <w:pPr>
      <w:pStyle w:val="leftfooter"/>
      <w:rPr>
        <w:noProof/>
      </w:rPr>
    </w:pPr>
    <w:r>
      <w:fldChar w:fldCharType="begin"/>
    </w:r>
    <w:r>
      <w:instrText xml:space="preserve"> PAGE   \* MERGEFORMAT </w:instrText>
    </w:r>
    <w:r>
      <w:fldChar w:fldCharType="separate"/>
    </w:r>
    <w:r>
      <w:rPr>
        <w:noProof/>
      </w:rPr>
      <w:t>4</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1" w:rsidRDefault="00CD1F41" w:rsidP="009E6BFE">
    <w:pPr>
      <w:pStyle w:val="leftfooter"/>
      <w:rPr>
        <w:noProof/>
      </w:rPr>
    </w:pPr>
    <w:r>
      <w:fldChar w:fldCharType="begin"/>
    </w:r>
    <w:r>
      <w:instrText xml:space="preserve"> PAGE   \* MERGEFORMAT </w:instrText>
    </w:r>
    <w:r>
      <w:fldChar w:fldCharType="separate"/>
    </w:r>
    <w:r w:rsidR="00161807">
      <w:rPr>
        <w:noProof/>
      </w:rPr>
      <w:t>72</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1" w:rsidRDefault="00CD1F41" w:rsidP="009E6BFE">
    <w:pPr>
      <w:pStyle w:val="rightfooter"/>
      <w:rPr>
        <w:noProof/>
      </w:rPr>
    </w:pPr>
    <w:r>
      <w:fldChar w:fldCharType="begin"/>
    </w:r>
    <w:r>
      <w:instrText xml:space="preserve"> PAGE   \* MERGEFORMAT </w:instrText>
    </w:r>
    <w:r>
      <w:fldChar w:fldCharType="separate"/>
    </w:r>
    <w:r w:rsidR="00161807">
      <w:rPr>
        <w:noProof/>
      </w:rPr>
      <w:t>73</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1" w:rsidRDefault="00CD1F41" w:rsidP="009E6BFE">
    <w:pPr>
      <w:pStyle w:val="rightfooter"/>
      <w:rPr>
        <w:noProof/>
      </w:rPr>
    </w:pPr>
    <w:r>
      <w:fldChar w:fldCharType="begin"/>
    </w:r>
    <w:r>
      <w:instrText xml:space="preserve"> PAGE  \* Arabic  \* MERGEFORMAT </w:instrText>
    </w:r>
    <w:r>
      <w:fldChar w:fldCharType="separate"/>
    </w:r>
    <w:r w:rsidR="00A74EE6">
      <w:rPr>
        <w:noProof/>
      </w:rPr>
      <w:t>71</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1" w:rsidRDefault="00CD1F41" w:rsidP="005A76CC">
    <w:pPr>
      <w:pStyle w:val="leftfooter"/>
    </w:pPr>
    <w:r>
      <w:fldChar w:fldCharType="begin"/>
    </w:r>
    <w:r>
      <w:instrText xml:space="preserve"> PAGE   \* MERGEFORMAT </w:instrText>
    </w:r>
    <w:r>
      <w:fldChar w:fldCharType="separate"/>
    </w:r>
    <w:r>
      <w:rPr>
        <w:noProof/>
      </w:rPr>
      <w:t>114</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1" w:rsidRDefault="00CD1F41" w:rsidP="005A76CC">
    <w:pPr>
      <w:pStyle w:val="rightfooter"/>
    </w:pPr>
    <w:r>
      <w:fldChar w:fldCharType="begin"/>
    </w:r>
    <w:r>
      <w:instrText xml:space="preserve"> PAGE   \* MERGEFORMAT </w:instrText>
    </w:r>
    <w:r>
      <w:fldChar w:fldCharType="separate"/>
    </w:r>
    <w:r>
      <w:rPr>
        <w:noProof/>
      </w:rPr>
      <w:t>113</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1" w:rsidRDefault="00CD1F41" w:rsidP="005A76CC">
    <w:pPr>
      <w:pStyle w:val="rightfooter"/>
    </w:pPr>
    <w:r>
      <w:fldChar w:fldCharType="begin"/>
    </w:r>
    <w:r>
      <w:instrText xml:space="preserve"> PAGE  \* Arabic  \* MERGEFORMAT </w:instrText>
    </w:r>
    <w:r>
      <w:fldChar w:fldCharType="separate"/>
    </w:r>
    <w:r w:rsidR="00A74EE6">
      <w:rPr>
        <w:noProof/>
      </w:rPr>
      <w:t>77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1" w:rsidRDefault="00CD1F41" w:rsidP="009E6BFE">
    <w:pPr>
      <w:pStyle w:val="rightfooter"/>
      <w:rPr>
        <w:noProof/>
      </w:rP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1" w:rsidRDefault="00CD1F41" w:rsidP="009E6BF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1" w:rsidRDefault="00CD1F41" w:rsidP="009E6BFE">
    <w:pPr>
      <w:pStyle w:val="leftfooter"/>
      <w:rPr>
        <w:noProof/>
      </w:rPr>
    </w:pPr>
    <w:r>
      <w:fldChar w:fldCharType="begin"/>
    </w:r>
    <w:r>
      <w:instrText xml:space="preserve"> PAGE   \* MERGEFORMAT </w:instrText>
    </w:r>
    <w:r>
      <w:fldChar w:fldCharType="separate"/>
    </w:r>
    <w:r w:rsidR="00B76EE1">
      <w:rPr>
        <w:noProof/>
      </w:rPr>
      <w:t>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1" w:rsidRDefault="00CD1F41" w:rsidP="009E6BFE">
    <w:pPr>
      <w:pStyle w:val="rightfooter"/>
      <w:rPr>
        <w:noProof/>
      </w:rPr>
    </w:pPr>
    <w:r>
      <w:fldChar w:fldCharType="begin"/>
    </w:r>
    <w:r>
      <w:instrText xml:space="preserve"> PAGE   \* MERGEFORMAT </w:instrText>
    </w:r>
    <w:r>
      <w:fldChar w:fldCharType="separate"/>
    </w:r>
    <w:r>
      <w:rPr>
        <w:noProof/>
      </w:rPr>
      <w:t>3</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1" w:rsidRDefault="00CD1F41" w:rsidP="009E6BFE">
    <w:pPr>
      <w:pStyle w:val="rightfooter"/>
      <w:rPr>
        <w:noProof/>
      </w:rPr>
    </w:pPr>
    <w:r>
      <w:fldChar w:fldCharType="begin"/>
    </w:r>
    <w:r>
      <w:instrText xml:space="preserve"> PAGE  \* Arabic  \* MERGEFORMAT </w:instrText>
    </w:r>
    <w:r>
      <w:fldChar w:fldCharType="separate"/>
    </w:r>
    <w:r w:rsidR="00161807">
      <w:rPr>
        <w:noProof/>
      </w:rPr>
      <w:t>1</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1" w:rsidRDefault="00CD1F41" w:rsidP="001F1D78">
    <w:pPr>
      <w:pStyle w:val="leftfooter"/>
    </w:pPr>
    <w:r>
      <w:fldChar w:fldCharType="begin"/>
    </w:r>
    <w:r>
      <w:instrText xml:space="preserve"> PAGE   \* MERGEFORMAT </w:instrText>
    </w:r>
    <w:r>
      <w:fldChar w:fldCharType="separate"/>
    </w:r>
    <w:r w:rsidR="00161807">
      <w:rPr>
        <w:noProof/>
      </w:rPr>
      <w:t>4</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1" w:rsidRDefault="00CD1F41" w:rsidP="001F1D78">
    <w:pPr>
      <w:pStyle w:val="rightfooter"/>
    </w:pPr>
    <w:r>
      <w:fldChar w:fldCharType="begin"/>
    </w:r>
    <w:r>
      <w:instrText xml:space="preserve"> PAGE   \* MERGEFORMAT </w:instrText>
    </w:r>
    <w:r>
      <w:fldChar w:fldCharType="separate"/>
    </w:r>
    <w:r w:rsidR="00161807">
      <w:rPr>
        <w:noProof/>
      </w:rPr>
      <w:t>5</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1" w:rsidRDefault="00CD1F41" w:rsidP="001F1D78">
    <w:pPr>
      <w:pStyle w:val="rightfooter"/>
    </w:pPr>
    <w:r>
      <w:fldChar w:fldCharType="begin"/>
    </w:r>
    <w:r>
      <w:instrText xml:space="preserve"> PAGE  \* Arabic  \* MERGEFORMAT </w:instrText>
    </w:r>
    <w:r>
      <w:fldChar w:fldCharType="separate"/>
    </w:r>
    <w:r w:rsidR="00A74EE6">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F2F" w:rsidRDefault="002B1F2F">
      <w:r>
        <w:separator/>
      </w:r>
    </w:p>
  </w:footnote>
  <w:footnote w:type="continuationSeparator" w:id="0">
    <w:p w:rsidR="002B1F2F" w:rsidRDefault="002B1F2F">
      <w:r>
        <w:continuationSeparator/>
      </w:r>
    </w:p>
  </w:footnote>
  <w:footnote w:type="continuationNotice" w:id="1">
    <w:p w:rsidR="002B1F2F" w:rsidRDefault="002B1F2F">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1" w:rsidRDefault="00CD1F41" w:rsidP="009E6BFE">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1" w:rsidRDefault="00CD1F41" w:rsidP="009E6BFE">
    <w:pPr>
      <w:pStyle w:val="rightheader"/>
    </w:pPr>
    <w:r w:rsidRPr="007E7EAD">
      <w:t>Authority to offer a MySuper product</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1" w:rsidRDefault="00CD1F41" w:rsidP="009E6BFE">
    <w:pPr>
      <w:pStyle w:val="rightheader"/>
    </w:pPr>
    <w:r>
      <w:t>Director penalties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1" w:rsidRDefault="00CD1F41" w:rsidP="009E6BFE">
    <w:pPr>
      <w:pStyle w:val="rightheader"/>
    </w:pPr>
    <w:r w:rsidRPr="00F43F10">
      <w:t>Approval to own or control an RSE licensee</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1" w:rsidRDefault="00CD1F41" w:rsidP="009E6BFE">
    <w:pPr>
      <w:pStyle w:val="rightheader"/>
    </w:pPr>
    <w:r w:rsidRPr="00A405FD">
      <w:t xml:space="preserve">APRA </w:t>
    </w:r>
    <w:r>
      <w:t>d</w:t>
    </w:r>
    <w:r w:rsidRPr="00A405FD">
      <w:t xml:space="preserve">irections </w:t>
    </w:r>
    <w:r>
      <w:t>p</w:t>
    </w:r>
    <w:r w:rsidRPr="00A405FD">
      <w:t>ower</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1" w:rsidRDefault="00CD1F41" w:rsidP="009E6BFE">
    <w:pPr>
      <w:pStyle w:val="rightheader"/>
    </w:pPr>
    <w:r w:rsidRPr="007E7EAD">
      <w:t xml:space="preserve">Annual </w:t>
    </w:r>
    <w:r>
      <w:t>m</w:t>
    </w:r>
    <w:r w:rsidRPr="007E7EAD">
      <w:t>embers’</w:t>
    </w:r>
    <w:r>
      <w:t xml:space="preserve"> m</w:t>
    </w:r>
    <w:r w:rsidRPr="007E7EAD">
      <w:t>eeting</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1" w:rsidRDefault="00CD1F41" w:rsidP="00A25599">
    <w:pPr>
      <w:pStyle w:val="rightheader"/>
    </w:pPr>
    <w:r>
      <w:t>Reporting standards</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1" w:rsidRDefault="00CD1F41" w:rsidP="005A76CC">
    <w:pPr>
      <w:pStyle w:val="leftheader"/>
    </w:pPr>
    <w:r>
      <w:fldChar w:fldCharType="begin"/>
    </w:r>
    <w:r>
      <w:instrText xml:space="preserve"> macrobutton nomacro [Click here and insert the name of the Bill] </w:instrText>
    </w:r>
    <w: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1" w:rsidRDefault="00CD1F41" w:rsidP="005A76CC">
    <w:pPr>
      <w:pStyle w:val="rightheader"/>
    </w:pPr>
    <w:r>
      <w:fldChar w:fldCharType="begin"/>
    </w:r>
    <w:r>
      <w:instrText xml:space="preserve"> macrobutton nomacro [Click here and enter the name of the Chapter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1" w:rsidRDefault="00CD1F41" w:rsidP="009E6BFE">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1" w:rsidRPr="00D6261F" w:rsidRDefault="00CD1F41" w:rsidP="009E6BF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1" w:rsidRDefault="00CD1F41" w:rsidP="009E6BFE">
    <w:pPr>
      <w:pStyle w:val="leftheader"/>
    </w:pPr>
    <w:r>
      <w:t>Treasury Legislation Amendment (Improving Accountability and Member Outcomes in Superannuation) Bill 2017</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1" w:rsidRDefault="00CD1F41" w:rsidP="009E6BFE">
    <w:pPr>
      <w:pStyle w:val="rightheader"/>
    </w:pPr>
    <w:r>
      <w:fldChar w:fldCharType="begin"/>
    </w:r>
    <w:r>
      <w:instrText xml:space="preserve"> macrobutton nomacro [Click here and enter the name of the Chapter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1" w:rsidRDefault="00CD1F41" w:rsidP="001F1D78">
    <w:pPr>
      <w:pStyle w:val="leftheader"/>
    </w:pPr>
    <w:r>
      <w:t>Treasury Legislation Amendment (Improving Accountability and Member Outcomes in Superannuation) Bill 2017</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1" w:rsidRDefault="00CD1F41" w:rsidP="001F1D78">
    <w:pPr>
      <w:pStyle w:val="rightheader"/>
    </w:pPr>
    <w:r>
      <w:t>Overview of improving accountability and member outcomes in superannuation</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1" w:rsidRDefault="00CD1F41" w:rsidP="005A76CC">
    <w:pPr>
      <w:pStyle w:val="rightheader"/>
    </w:pPr>
    <w:r w:rsidRPr="00F43F10">
      <w:t>Annual MySuper outcomes assessment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1" w:rsidRDefault="00CD1F41" w:rsidP="009E6BFE">
    <w:pPr>
      <w:pStyle w:val="leftheader"/>
    </w:pPr>
    <w:r>
      <w:t>Treasury Legislation Amendment (Improving Accountability and Member Outcomes in Superannuation) Bill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A61B97"/>
    <w:multiLevelType w:val="hybridMultilevel"/>
    <w:tmpl w:val="2BCECFF2"/>
    <w:lvl w:ilvl="0" w:tplc="1ACA2334">
      <w:start w:val="31"/>
      <w:numFmt w:val="decimal"/>
      <w:lvlText w:val="%1"/>
      <w:lvlJc w:val="left"/>
      <w:pPr>
        <w:ind w:left="18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D07A6434">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4AE34E4">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8752E7DA">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23A2496C">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3EF819E4">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2229728">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47F4DF06">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2F0B9C8">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1">
    <w:nsid w:val="053A3E28"/>
    <w:multiLevelType w:val="hybridMultilevel"/>
    <w:tmpl w:val="A5AAD5C2"/>
    <w:lvl w:ilvl="0" w:tplc="256AD562">
      <w:start w:val="2"/>
      <w:numFmt w:val="decimal"/>
      <w:lvlText w:val="%1"/>
      <w:lvlJc w:val="left"/>
      <w:pPr>
        <w:ind w:left="18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9F72434A">
      <w:start w:val="1"/>
      <w:numFmt w:val="lowerLetter"/>
      <w:lvlText w:val="%2"/>
      <w:lvlJc w:val="left"/>
      <w:pPr>
        <w:ind w:left="11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EE62AF62">
      <w:start w:val="1"/>
      <w:numFmt w:val="lowerRoman"/>
      <w:lvlText w:val="%3"/>
      <w:lvlJc w:val="left"/>
      <w:pPr>
        <w:ind w:left="188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1BCBF68">
      <w:start w:val="1"/>
      <w:numFmt w:val="decimal"/>
      <w:lvlText w:val="%4"/>
      <w:lvlJc w:val="left"/>
      <w:pPr>
        <w:ind w:left="260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80DE3930">
      <w:start w:val="1"/>
      <w:numFmt w:val="lowerLetter"/>
      <w:lvlText w:val="%5"/>
      <w:lvlJc w:val="left"/>
      <w:pPr>
        <w:ind w:left="332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5EC648B8">
      <w:start w:val="1"/>
      <w:numFmt w:val="lowerRoman"/>
      <w:lvlText w:val="%6"/>
      <w:lvlJc w:val="left"/>
      <w:pPr>
        <w:ind w:left="404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4AA6437C">
      <w:start w:val="1"/>
      <w:numFmt w:val="decimal"/>
      <w:lvlText w:val="%7"/>
      <w:lvlJc w:val="left"/>
      <w:pPr>
        <w:ind w:left="47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5F3027E4">
      <w:start w:val="1"/>
      <w:numFmt w:val="lowerLetter"/>
      <w:lvlText w:val="%8"/>
      <w:lvlJc w:val="left"/>
      <w:pPr>
        <w:ind w:left="548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4AE2684">
      <w:start w:val="1"/>
      <w:numFmt w:val="lowerRoman"/>
      <w:lvlText w:val="%9"/>
      <w:lvlJc w:val="left"/>
      <w:pPr>
        <w:ind w:left="620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2">
    <w:nsid w:val="073B213B"/>
    <w:multiLevelType w:val="hybridMultilevel"/>
    <w:tmpl w:val="38E07654"/>
    <w:lvl w:ilvl="0" w:tplc="0338DFD6">
      <w:start w:val="28"/>
      <w:numFmt w:val="decimal"/>
      <w:lvlText w:val="%1"/>
      <w:lvlJc w:val="left"/>
      <w:pPr>
        <w:ind w:left="28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9BE08614">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266427B6">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BD7EFECE">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A1A599A">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3B8B104">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856B240">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502F9FA">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A222887A">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3">
    <w:nsid w:val="13B7199E"/>
    <w:multiLevelType w:val="hybridMultilevel"/>
    <w:tmpl w:val="EF0E6BEC"/>
    <w:lvl w:ilvl="0" w:tplc="C6064780">
      <w:start w:val="1"/>
      <w:numFmt w:val="decimal"/>
      <w:lvlText w:val="(%1)"/>
      <w:lvlJc w:val="left"/>
      <w:pPr>
        <w:ind w:left="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7EFD3A">
      <w:start w:val="1"/>
      <w:numFmt w:val="lowerLetter"/>
      <w:lvlText w:val="(%2)"/>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2E941C">
      <w:start w:val="1"/>
      <w:numFmt w:val="lowerRoman"/>
      <w:lvlText w:val="%3"/>
      <w:lvlJc w:val="left"/>
      <w:pPr>
        <w:ind w:left="2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967460">
      <w:start w:val="1"/>
      <w:numFmt w:val="decimal"/>
      <w:lvlText w:val="%4"/>
      <w:lvlJc w:val="left"/>
      <w:pPr>
        <w:ind w:left="3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08387A">
      <w:start w:val="1"/>
      <w:numFmt w:val="lowerLetter"/>
      <w:lvlText w:val="%5"/>
      <w:lvlJc w:val="left"/>
      <w:pPr>
        <w:ind w:left="3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2CFDA4">
      <w:start w:val="1"/>
      <w:numFmt w:val="lowerRoman"/>
      <w:lvlText w:val="%6"/>
      <w:lvlJc w:val="left"/>
      <w:pPr>
        <w:ind w:left="4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7AA1D8">
      <w:start w:val="1"/>
      <w:numFmt w:val="decimal"/>
      <w:lvlText w:val="%7"/>
      <w:lvlJc w:val="left"/>
      <w:pPr>
        <w:ind w:left="5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A86B02">
      <w:start w:val="1"/>
      <w:numFmt w:val="lowerLetter"/>
      <w:lvlText w:val="%8"/>
      <w:lvlJc w:val="left"/>
      <w:pPr>
        <w:ind w:left="5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341DCC">
      <w:start w:val="1"/>
      <w:numFmt w:val="lowerRoman"/>
      <w:lvlText w:val="%9"/>
      <w:lvlJc w:val="left"/>
      <w:pPr>
        <w:ind w:left="6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14A70BED"/>
    <w:multiLevelType w:val="hybridMultilevel"/>
    <w:tmpl w:val="866AFF04"/>
    <w:lvl w:ilvl="0" w:tplc="CEB6BA0C">
      <w:start w:val="18"/>
      <w:numFmt w:val="decimal"/>
      <w:lvlText w:val="%1"/>
      <w:lvlJc w:val="left"/>
      <w:pPr>
        <w:ind w:left="201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C3E119A">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90D002E8">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BA56265C">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B2A948A">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FF807BB6">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5542F78">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DEAB516">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7AB26E1C">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5">
    <w:nsid w:val="16445C0F"/>
    <w:multiLevelType w:val="hybridMultilevel"/>
    <w:tmpl w:val="E92A7E9E"/>
    <w:lvl w:ilvl="0" w:tplc="E7B0CF44">
      <w:start w:val="9"/>
      <w:numFmt w:val="decimal"/>
      <w:lvlText w:val="%1"/>
      <w:lvlJc w:val="left"/>
      <w:pPr>
        <w:ind w:left="28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78865E4">
      <w:start w:val="1"/>
      <w:numFmt w:val="lowerLetter"/>
      <w:lvlText w:val="%2"/>
      <w:lvlJc w:val="left"/>
      <w:pPr>
        <w:ind w:left="108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4AEA4F30">
      <w:start w:val="1"/>
      <w:numFmt w:val="lowerRoman"/>
      <w:lvlText w:val="%3"/>
      <w:lvlJc w:val="left"/>
      <w:pPr>
        <w:ind w:left="180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51C00A6">
      <w:start w:val="1"/>
      <w:numFmt w:val="decimal"/>
      <w:lvlText w:val="%4"/>
      <w:lvlJc w:val="left"/>
      <w:pPr>
        <w:ind w:left="252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2C70447A">
      <w:start w:val="1"/>
      <w:numFmt w:val="lowerLetter"/>
      <w:lvlText w:val="%5"/>
      <w:lvlJc w:val="left"/>
      <w:pPr>
        <w:ind w:left="324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8A847DFC">
      <w:start w:val="1"/>
      <w:numFmt w:val="lowerRoman"/>
      <w:lvlText w:val="%6"/>
      <w:lvlJc w:val="left"/>
      <w:pPr>
        <w:ind w:left="396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8F471C6">
      <w:start w:val="1"/>
      <w:numFmt w:val="decimal"/>
      <w:lvlText w:val="%7"/>
      <w:lvlJc w:val="left"/>
      <w:pPr>
        <w:ind w:left="468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3C422506">
      <w:start w:val="1"/>
      <w:numFmt w:val="lowerLetter"/>
      <w:lvlText w:val="%8"/>
      <w:lvlJc w:val="left"/>
      <w:pPr>
        <w:ind w:left="540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CF1CEAE0">
      <w:start w:val="1"/>
      <w:numFmt w:val="lowerRoman"/>
      <w:lvlText w:val="%9"/>
      <w:lvlJc w:val="left"/>
      <w:pPr>
        <w:ind w:left="612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6">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1BEB4EC5"/>
    <w:multiLevelType w:val="multilevel"/>
    <w:tmpl w:val="6D98FC9A"/>
    <w:numStyleLink w:val="TableDotPointList"/>
  </w:abstractNum>
  <w:abstractNum w:abstractNumId="19">
    <w:nsid w:val="1CC32369"/>
    <w:multiLevelType w:val="hybridMultilevel"/>
    <w:tmpl w:val="3C38C04E"/>
    <w:lvl w:ilvl="0" w:tplc="073601F8">
      <w:start w:val="21"/>
      <w:numFmt w:val="decimal"/>
      <w:lvlText w:val="%1"/>
      <w:lvlJc w:val="left"/>
      <w:pPr>
        <w:ind w:left="201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2B2A026">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15A51A0">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DB4988E">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0F209810">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2A1AB3A2">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BD2CE6F4">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A4A96EC">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AA0B932">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0">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2">
    <w:nsid w:val="23121119"/>
    <w:multiLevelType w:val="hybridMultilevel"/>
    <w:tmpl w:val="3E92EAF0"/>
    <w:lvl w:ilvl="0" w:tplc="91C48088">
      <w:start w:val="11"/>
      <w:numFmt w:val="decimal"/>
      <w:lvlText w:val="%1"/>
      <w:lvlJc w:val="left"/>
      <w:pPr>
        <w:ind w:left="201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6778D71A">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78AA87E0">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1B500F1C">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010A3C16">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BD414D0">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C4CEC05E">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7E145C2A">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2B64EEFE">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3">
    <w:nsid w:val="236B795C"/>
    <w:multiLevelType w:val="hybridMultilevel"/>
    <w:tmpl w:val="061E028E"/>
    <w:lvl w:ilvl="0" w:tplc="6DEEE0EE">
      <w:start w:val="1"/>
      <w:numFmt w:val="decimal"/>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6EE494">
      <w:start w:val="1"/>
      <w:numFmt w:val="lowerLetter"/>
      <w:lvlText w:val="(%2)"/>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50F430">
      <w:start w:val="1"/>
      <w:numFmt w:val="lowerRoman"/>
      <w:lvlText w:val="%3"/>
      <w:lvlJc w:val="left"/>
      <w:pPr>
        <w:ind w:left="2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C65AC0">
      <w:start w:val="1"/>
      <w:numFmt w:val="decimal"/>
      <w:lvlText w:val="%4"/>
      <w:lvlJc w:val="left"/>
      <w:pPr>
        <w:ind w:left="3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D0C23C">
      <w:start w:val="1"/>
      <w:numFmt w:val="lowerLetter"/>
      <w:lvlText w:val="%5"/>
      <w:lvlJc w:val="left"/>
      <w:pPr>
        <w:ind w:left="3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E41CC8">
      <w:start w:val="1"/>
      <w:numFmt w:val="lowerRoman"/>
      <w:lvlText w:val="%6"/>
      <w:lvlJc w:val="left"/>
      <w:pPr>
        <w:ind w:left="4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2031C6">
      <w:start w:val="1"/>
      <w:numFmt w:val="decimal"/>
      <w:lvlText w:val="%7"/>
      <w:lvlJc w:val="left"/>
      <w:pPr>
        <w:ind w:left="5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88E8D4">
      <w:start w:val="1"/>
      <w:numFmt w:val="lowerLetter"/>
      <w:lvlText w:val="%8"/>
      <w:lvlJc w:val="left"/>
      <w:pPr>
        <w:ind w:left="5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60C80C">
      <w:start w:val="1"/>
      <w:numFmt w:val="lowerRoman"/>
      <w:lvlText w:val="%9"/>
      <w:lvlJc w:val="left"/>
      <w:pPr>
        <w:ind w:left="6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nsid w:val="272167EE"/>
    <w:multiLevelType w:val="hybridMultilevel"/>
    <w:tmpl w:val="E70668C6"/>
    <w:name w:val="BaseTextParagraphList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5">
    <w:nsid w:val="28AD2CA0"/>
    <w:multiLevelType w:val="hybridMultilevel"/>
    <w:tmpl w:val="6EDEDDD6"/>
    <w:lvl w:ilvl="0" w:tplc="D4CAE046">
      <w:start w:val="3"/>
      <w:numFmt w:val="decimal"/>
      <w:lvlText w:val="%1"/>
      <w:lvlJc w:val="left"/>
      <w:pPr>
        <w:ind w:left="28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7980A37A">
      <w:start w:val="1"/>
      <w:numFmt w:val="lowerLetter"/>
      <w:lvlText w:val="%2"/>
      <w:lvlJc w:val="left"/>
      <w:pPr>
        <w:ind w:left="11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9503414">
      <w:start w:val="1"/>
      <w:numFmt w:val="lowerRoman"/>
      <w:lvlText w:val="%3"/>
      <w:lvlJc w:val="left"/>
      <w:pPr>
        <w:ind w:left="188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190386E">
      <w:start w:val="1"/>
      <w:numFmt w:val="decimal"/>
      <w:lvlText w:val="%4"/>
      <w:lvlJc w:val="left"/>
      <w:pPr>
        <w:ind w:left="260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372262B8">
      <w:start w:val="1"/>
      <w:numFmt w:val="lowerLetter"/>
      <w:lvlText w:val="%5"/>
      <w:lvlJc w:val="left"/>
      <w:pPr>
        <w:ind w:left="332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8B68A79C">
      <w:start w:val="1"/>
      <w:numFmt w:val="lowerRoman"/>
      <w:lvlText w:val="%6"/>
      <w:lvlJc w:val="left"/>
      <w:pPr>
        <w:ind w:left="404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5F09B78">
      <w:start w:val="1"/>
      <w:numFmt w:val="decimal"/>
      <w:lvlText w:val="%7"/>
      <w:lvlJc w:val="left"/>
      <w:pPr>
        <w:ind w:left="47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CBCC08E8">
      <w:start w:val="1"/>
      <w:numFmt w:val="lowerLetter"/>
      <w:lvlText w:val="%8"/>
      <w:lvlJc w:val="left"/>
      <w:pPr>
        <w:ind w:left="548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18420DBC">
      <w:start w:val="1"/>
      <w:numFmt w:val="lowerRoman"/>
      <w:lvlText w:val="%9"/>
      <w:lvlJc w:val="left"/>
      <w:pPr>
        <w:ind w:left="620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6">
    <w:nsid w:val="2A6B02B4"/>
    <w:multiLevelType w:val="hybridMultilevel"/>
    <w:tmpl w:val="AC16422A"/>
    <w:lvl w:ilvl="0" w:tplc="AEBABAE6">
      <w:start w:val="1"/>
      <w:numFmt w:val="lowerRoman"/>
      <w:lvlText w:val="(%1)"/>
      <w:lvlJc w:val="left"/>
      <w:pPr>
        <w:ind w:left="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3CDD58">
      <w:start w:val="1"/>
      <w:numFmt w:val="lowerLetter"/>
      <w:lvlText w:val="%2"/>
      <w:lvlJc w:val="left"/>
      <w:pPr>
        <w:ind w:left="2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7AAA40">
      <w:start w:val="1"/>
      <w:numFmt w:val="lowerRoman"/>
      <w:lvlText w:val="%3"/>
      <w:lvlJc w:val="left"/>
      <w:pPr>
        <w:ind w:left="3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5AC24E">
      <w:start w:val="1"/>
      <w:numFmt w:val="decimal"/>
      <w:lvlText w:val="%4"/>
      <w:lvlJc w:val="left"/>
      <w:pPr>
        <w:ind w:left="4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2643C6">
      <w:start w:val="1"/>
      <w:numFmt w:val="lowerLetter"/>
      <w:lvlText w:val="%5"/>
      <w:lvlJc w:val="left"/>
      <w:pPr>
        <w:ind w:left="4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E8402C">
      <w:start w:val="1"/>
      <w:numFmt w:val="lowerRoman"/>
      <w:lvlText w:val="%6"/>
      <w:lvlJc w:val="left"/>
      <w:pPr>
        <w:ind w:left="5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B2B0A8">
      <w:start w:val="1"/>
      <w:numFmt w:val="decimal"/>
      <w:lvlText w:val="%7"/>
      <w:lvlJc w:val="left"/>
      <w:pPr>
        <w:ind w:left="6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9AB520">
      <w:start w:val="1"/>
      <w:numFmt w:val="lowerLetter"/>
      <w:lvlText w:val="%8"/>
      <w:lvlJc w:val="left"/>
      <w:pPr>
        <w:ind w:left="7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9EE5B6">
      <w:start w:val="1"/>
      <w:numFmt w:val="lowerRoman"/>
      <w:lvlText w:val="%9"/>
      <w:lvlJc w:val="left"/>
      <w:pPr>
        <w:ind w:left="7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nsid w:val="2C032875"/>
    <w:multiLevelType w:val="hybridMultilevel"/>
    <w:tmpl w:val="80B8BA42"/>
    <w:lvl w:ilvl="0" w:tplc="0EDEBB48">
      <w:start w:val="5"/>
      <w:numFmt w:val="decimal"/>
      <w:lvlText w:val="%1"/>
      <w:lvlJc w:val="left"/>
      <w:pPr>
        <w:ind w:left="245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15CF860">
      <w:start w:val="1"/>
      <w:numFmt w:val="lowerLetter"/>
      <w:lvlText w:val="%2"/>
      <w:lvlJc w:val="left"/>
      <w:pPr>
        <w:ind w:left="113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1F324C26">
      <w:start w:val="1"/>
      <w:numFmt w:val="lowerRoman"/>
      <w:lvlText w:val="%3"/>
      <w:lvlJc w:val="left"/>
      <w:pPr>
        <w:ind w:left="18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A93852A0">
      <w:start w:val="1"/>
      <w:numFmt w:val="decimal"/>
      <w:lvlText w:val="%4"/>
      <w:lvlJc w:val="left"/>
      <w:pPr>
        <w:ind w:left="25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5B1EFE62">
      <w:start w:val="1"/>
      <w:numFmt w:val="lowerLetter"/>
      <w:lvlText w:val="%5"/>
      <w:lvlJc w:val="left"/>
      <w:pPr>
        <w:ind w:left="329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826E3C86">
      <w:start w:val="1"/>
      <w:numFmt w:val="lowerRoman"/>
      <w:lvlText w:val="%6"/>
      <w:lvlJc w:val="left"/>
      <w:pPr>
        <w:ind w:left="401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5C1E4974">
      <w:start w:val="1"/>
      <w:numFmt w:val="decimal"/>
      <w:lvlText w:val="%7"/>
      <w:lvlJc w:val="left"/>
      <w:pPr>
        <w:ind w:left="473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4CC211DA">
      <w:start w:val="1"/>
      <w:numFmt w:val="lowerLetter"/>
      <w:lvlText w:val="%8"/>
      <w:lvlJc w:val="left"/>
      <w:pPr>
        <w:ind w:left="54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864680C">
      <w:start w:val="1"/>
      <w:numFmt w:val="lowerRoman"/>
      <w:lvlText w:val="%9"/>
      <w:lvlJc w:val="left"/>
      <w:pPr>
        <w:ind w:left="61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8">
    <w:nsid w:val="2E6F0263"/>
    <w:multiLevelType w:val="multilevel"/>
    <w:tmpl w:val="83EEBB72"/>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3063131E"/>
    <w:multiLevelType w:val="hybridMultilevel"/>
    <w:tmpl w:val="23249ED2"/>
    <w:lvl w:ilvl="0" w:tplc="6CE4F1EA">
      <w:start w:val="1"/>
      <w:numFmt w:val="lowerLetter"/>
      <w:lvlText w:val="(%1)"/>
      <w:lvlJc w:val="left"/>
      <w:pPr>
        <w:ind w:left="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72211A">
      <w:start w:val="1"/>
      <w:numFmt w:val="lowerLetter"/>
      <w:lvlText w:val="%2"/>
      <w:lvlJc w:val="left"/>
      <w:pPr>
        <w:ind w:left="2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BA5C7E">
      <w:start w:val="1"/>
      <w:numFmt w:val="lowerRoman"/>
      <w:lvlText w:val="%3"/>
      <w:lvlJc w:val="left"/>
      <w:pPr>
        <w:ind w:left="3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D2A6EA">
      <w:start w:val="1"/>
      <w:numFmt w:val="decimal"/>
      <w:lvlText w:val="%4"/>
      <w:lvlJc w:val="left"/>
      <w:pPr>
        <w:ind w:left="3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7E1426">
      <w:start w:val="1"/>
      <w:numFmt w:val="lowerLetter"/>
      <w:lvlText w:val="%5"/>
      <w:lvlJc w:val="left"/>
      <w:pPr>
        <w:ind w:left="4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22013C">
      <w:start w:val="1"/>
      <w:numFmt w:val="lowerRoman"/>
      <w:lvlText w:val="%6"/>
      <w:lvlJc w:val="left"/>
      <w:pPr>
        <w:ind w:left="5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64B484">
      <w:start w:val="1"/>
      <w:numFmt w:val="decimal"/>
      <w:lvlText w:val="%7"/>
      <w:lvlJc w:val="left"/>
      <w:pPr>
        <w:ind w:left="5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0A0A7A">
      <w:start w:val="1"/>
      <w:numFmt w:val="lowerLetter"/>
      <w:lvlText w:val="%8"/>
      <w:lvlJc w:val="left"/>
      <w:pPr>
        <w:ind w:left="6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705B52">
      <w:start w:val="1"/>
      <w:numFmt w:val="lowerRoman"/>
      <w:lvlText w:val="%9"/>
      <w:lvlJc w:val="left"/>
      <w:pPr>
        <w:ind w:left="7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nsid w:val="3647106E"/>
    <w:multiLevelType w:val="hybridMultilevel"/>
    <w:tmpl w:val="0BECB75E"/>
    <w:lvl w:ilvl="0" w:tplc="1C08B7A4">
      <w:start w:val="10"/>
      <w:numFmt w:val="decimal"/>
      <w:lvlText w:val="%1"/>
      <w:lvlJc w:val="left"/>
      <w:pPr>
        <w:ind w:left="28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B47EC960">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01AA32F8">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BE6227D2">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288874C0">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B9E2808">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3DD2F238">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DC880E9E">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33E892C4">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1">
    <w:nsid w:val="3A340CC5"/>
    <w:multiLevelType w:val="hybridMultilevel"/>
    <w:tmpl w:val="16BA5BF6"/>
    <w:lvl w:ilvl="0" w:tplc="6D98E5F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1E92B2">
      <w:start w:val="1"/>
      <w:numFmt w:val="lowerRoman"/>
      <w:lvlText w:val="(%2)"/>
      <w:lvlJc w:val="left"/>
      <w:pPr>
        <w:ind w:left="1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C0269C">
      <w:start w:val="1"/>
      <w:numFmt w:val="lowerRoman"/>
      <w:lvlText w:val="%3"/>
      <w:lvlJc w:val="left"/>
      <w:pPr>
        <w:ind w:left="2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38EE78">
      <w:start w:val="1"/>
      <w:numFmt w:val="decimal"/>
      <w:lvlText w:val="%4"/>
      <w:lvlJc w:val="left"/>
      <w:pPr>
        <w:ind w:left="3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CA219B2">
      <w:start w:val="1"/>
      <w:numFmt w:val="lowerLetter"/>
      <w:lvlText w:val="%5"/>
      <w:lvlJc w:val="left"/>
      <w:pPr>
        <w:ind w:left="4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500280">
      <w:start w:val="1"/>
      <w:numFmt w:val="lowerRoman"/>
      <w:lvlText w:val="%6"/>
      <w:lvlJc w:val="left"/>
      <w:pPr>
        <w:ind w:left="4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8425D6">
      <w:start w:val="1"/>
      <w:numFmt w:val="decimal"/>
      <w:lvlText w:val="%7"/>
      <w:lvlJc w:val="left"/>
      <w:pPr>
        <w:ind w:left="5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B488B2">
      <w:start w:val="1"/>
      <w:numFmt w:val="lowerLetter"/>
      <w:lvlText w:val="%8"/>
      <w:lvlJc w:val="left"/>
      <w:pPr>
        <w:ind w:left="6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18D550">
      <w:start w:val="1"/>
      <w:numFmt w:val="lowerRoman"/>
      <w:lvlText w:val="%9"/>
      <w:lvlJc w:val="left"/>
      <w:pPr>
        <w:ind w:left="7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4">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5">
    <w:nsid w:val="40886853"/>
    <w:multiLevelType w:val="hybridMultilevel"/>
    <w:tmpl w:val="0514143C"/>
    <w:lvl w:ilvl="0" w:tplc="999EF24A">
      <w:start w:val="1"/>
      <w:numFmt w:val="decimal"/>
      <w:lvlText w:val="(%1)"/>
      <w:lvlJc w:val="left"/>
      <w:pPr>
        <w:ind w:left="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DA78EA">
      <w:start w:val="1"/>
      <w:numFmt w:val="lowerRoman"/>
      <w:lvlText w:val="(%2)"/>
      <w:lvlJc w:val="left"/>
      <w:pPr>
        <w:ind w:left="1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B63F36">
      <w:start w:val="1"/>
      <w:numFmt w:val="lowerRoman"/>
      <w:lvlText w:val="%3"/>
      <w:lvlJc w:val="left"/>
      <w:pPr>
        <w:ind w:left="2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740C96">
      <w:start w:val="1"/>
      <w:numFmt w:val="decimal"/>
      <w:lvlText w:val="%4"/>
      <w:lvlJc w:val="left"/>
      <w:pPr>
        <w:ind w:left="3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8C9500">
      <w:start w:val="1"/>
      <w:numFmt w:val="lowerLetter"/>
      <w:lvlText w:val="%5"/>
      <w:lvlJc w:val="left"/>
      <w:pPr>
        <w:ind w:left="4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687C3C">
      <w:start w:val="1"/>
      <w:numFmt w:val="lowerRoman"/>
      <w:lvlText w:val="%6"/>
      <w:lvlJc w:val="left"/>
      <w:pPr>
        <w:ind w:left="4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AC1384">
      <w:start w:val="1"/>
      <w:numFmt w:val="decimal"/>
      <w:lvlText w:val="%7"/>
      <w:lvlJc w:val="left"/>
      <w:pPr>
        <w:ind w:left="5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0AEAF4">
      <w:start w:val="1"/>
      <w:numFmt w:val="lowerLetter"/>
      <w:lvlText w:val="%8"/>
      <w:lvlJc w:val="left"/>
      <w:pPr>
        <w:ind w:left="6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E24592">
      <w:start w:val="1"/>
      <w:numFmt w:val="lowerRoman"/>
      <w:lvlText w:val="%9"/>
      <w:lvlJc w:val="left"/>
      <w:pPr>
        <w:ind w:left="7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nsid w:val="436B20DA"/>
    <w:multiLevelType w:val="hybridMultilevel"/>
    <w:tmpl w:val="27600950"/>
    <w:lvl w:ilvl="0" w:tplc="BF164982">
      <w:start w:val="21"/>
      <w:numFmt w:val="decimal"/>
      <w:lvlText w:val="%1"/>
      <w:lvlJc w:val="left"/>
      <w:pPr>
        <w:ind w:left="18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7ADE2162">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0378559E">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1AA21F34">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8890A182">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9246EA7E">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23E4182">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7BE2EE1C">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3DB46F7E">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7">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4F623089"/>
    <w:multiLevelType w:val="hybridMultilevel"/>
    <w:tmpl w:val="8500B92A"/>
    <w:lvl w:ilvl="0" w:tplc="3216CAE4">
      <w:start w:val="2"/>
      <w:numFmt w:val="decimal"/>
      <w:lvlText w:val="%1"/>
      <w:lvlJc w:val="left"/>
      <w:pPr>
        <w:ind w:left="18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5E6D522">
      <w:start w:val="1"/>
      <w:numFmt w:val="lowerLetter"/>
      <w:lvlText w:val="%2"/>
      <w:lvlJc w:val="left"/>
      <w:pPr>
        <w:ind w:left="11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2DC8A142">
      <w:start w:val="1"/>
      <w:numFmt w:val="lowerRoman"/>
      <w:lvlText w:val="%3"/>
      <w:lvlJc w:val="left"/>
      <w:pPr>
        <w:ind w:left="188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0F84849A">
      <w:start w:val="1"/>
      <w:numFmt w:val="decimal"/>
      <w:lvlText w:val="%4"/>
      <w:lvlJc w:val="left"/>
      <w:pPr>
        <w:ind w:left="260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7F94F5F8">
      <w:start w:val="1"/>
      <w:numFmt w:val="lowerLetter"/>
      <w:lvlText w:val="%5"/>
      <w:lvlJc w:val="left"/>
      <w:pPr>
        <w:ind w:left="332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EE54BA2E">
      <w:start w:val="1"/>
      <w:numFmt w:val="lowerRoman"/>
      <w:lvlText w:val="%6"/>
      <w:lvlJc w:val="left"/>
      <w:pPr>
        <w:ind w:left="404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522CA7E">
      <w:start w:val="1"/>
      <w:numFmt w:val="decimal"/>
      <w:lvlText w:val="%7"/>
      <w:lvlJc w:val="left"/>
      <w:pPr>
        <w:ind w:left="47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CAE8CCBE">
      <w:start w:val="1"/>
      <w:numFmt w:val="lowerLetter"/>
      <w:lvlText w:val="%8"/>
      <w:lvlJc w:val="left"/>
      <w:pPr>
        <w:ind w:left="548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42F062F8">
      <w:start w:val="1"/>
      <w:numFmt w:val="lowerRoman"/>
      <w:lvlText w:val="%9"/>
      <w:lvlJc w:val="left"/>
      <w:pPr>
        <w:ind w:left="620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9">
    <w:nsid w:val="4FD01A10"/>
    <w:multiLevelType w:val="hybridMultilevel"/>
    <w:tmpl w:val="14566E50"/>
    <w:lvl w:ilvl="0" w:tplc="7B18D6A6">
      <w:start w:val="24"/>
      <w:numFmt w:val="decimal"/>
      <w:lvlText w:val="%1"/>
      <w:lvlJc w:val="left"/>
      <w:pPr>
        <w:ind w:left="23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1F567800">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BB60FFA">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B9638DA">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4FF259EE">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AA6E8B0">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37B2FBEA">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5A6A776">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2FEDB60">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0">
    <w:nsid w:val="51D0562E"/>
    <w:multiLevelType w:val="hybridMultilevel"/>
    <w:tmpl w:val="ED10FFCA"/>
    <w:lvl w:ilvl="0" w:tplc="B14669C6">
      <w:start w:val="1"/>
      <w:numFmt w:val="decimal"/>
      <w:lvlText w:val="(%1)"/>
      <w:lvlJc w:val="left"/>
      <w:pPr>
        <w:ind w:left="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40F8C8">
      <w:start w:val="1"/>
      <w:numFmt w:val="lowerLetter"/>
      <w:lvlText w:val="(%2)"/>
      <w:lvlJc w:val="left"/>
      <w:pPr>
        <w:ind w:left="1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62D308">
      <w:start w:val="1"/>
      <w:numFmt w:val="lowerRoman"/>
      <w:lvlText w:val="(%3)"/>
      <w:lvlJc w:val="left"/>
      <w:pPr>
        <w:ind w:left="1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C47848">
      <w:start w:val="1"/>
      <w:numFmt w:val="decimal"/>
      <w:lvlText w:val="%4"/>
      <w:lvlJc w:val="left"/>
      <w:pPr>
        <w:ind w:left="2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608804">
      <w:start w:val="1"/>
      <w:numFmt w:val="lowerLetter"/>
      <w:lvlText w:val="%5"/>
      <w:lvlJc w:val="left"/>
      <w:pPr>
        <w:ind w:left="3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60FB0E">
      <w:start w:val="1"/>
      <w:numFmt w:val="lowerRoman"/>
      <w:lvlText w:val="%6"/>
      <w:lvlJc w:val="left"/>
      <w:pPr>
        <w:ind w:left="4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7E4A42">
      <w:start w:val="1"/>
      <w:numFmt w:val="decimal"/>
      <w:lvlText w:val="%7"/>
      <w:lvlJc w:val="left"/>
      <w:pPr>
        <w:ind w:left="4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56DB4A">
      <w:start w:val="1"/>
      <w:numFmt w:val="lowerLetter"/>
      <w:lvlText w:val="%8"/>
      <w:lvlJc w:val="left"/>
      <w:pPr>
        <w:ind w:left="5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4C2CD8">
      <w:start w:val="1"/>
      <w:numFmt w:val="lowerRoman"/>
      <w:lvlText w:val="%9"/>
      <w:lvlJc w:val="left"/>
      <w:pPr>
        <w:ind w:left="6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nsid w:val="51F03466"/>
    <w:multiLevelType w:val="hybridMultilevel"/>
    <w:tmpl w:val="BE6E182C"/>
    <w:lvl w:ilvl="0" w:tplc="C6542BA4">
      <w:start w:val="1"/>
      <w:numFmt w:val="lowerRoman"/>
      <w:lvlText w:val="(%1)"/>
      <w:lvlJc w:val="left"/>
      <w:pPr>
        <w:ind w:left="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709D38">
      <w:start w:val="1"/>
      <w:numFmt w:val="lowerLetter"/>
      <w:lvlText w:val="%2"/>
      <w:lvlJc w:val="left"/>
      <w:pPr>
        <w:ind w:left="2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2A6B10">
      <w:start w:val="1"/>
      <w:numFmt w:val="lowerRoman"/>
      <w:lvlText w:val="%3"/>
      <w:lvlJc w:val="left"/>
      <w:pPr>
        <w:ind w:left="3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141D42">
      <w:start w:val="1"/>
      <w:numFmt w:val="decimal"/>
      <w:lvlText w:val="%4"/>
      <w:lvlJc w:val="left"/>
      <w:pPr>
        <w:ind w:left="4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CD2F50C">
      <w:start w:val="1"/>
      <w:numFmt w:val="lowerLetter"/>
      <w:lvlText w:val="%5"/>
      <w:lvlJc w:val="left"/>
      <w:pPr>
        <w:ind w:left="4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91A1C88">
      <w:start w:val="1"/>
      <w:numFmt w:val="lowerRoman"/>
      <w:lvlText w:val="%6"/>
      <w:lvlJc w:val="left"/>
      <w:pPr>
        <w:ind w:left="5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14794C">
      <w:start w:val="1"/>
      <w:numFmt w:val="decimal"/>
      <w:lvlText w:val="%7"/>
      <w:lvlJc w:val="left"/>
      <w:pPr>
        <w:ind w:left="6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BAA1E2">
      <w:start w:val="1"/>
      <w:numFmt w:val="lowerLetter"/>
      <w:lvlText w:val="%8"/>
      <w:lvlJc w:val="left"/>
      <w:pPr>
        <w:ind w:left="7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FAF6FC">
      <w:start w:val="1"/>
      <w:numFmt w:val="lowerRoman"/>
      <w:lvlText w:val="%9"/>
      <w:lvlJc w:val="left"/>
      <w:pPr>
        <w:ind w:left="7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nsid w:val="58CB286E"/>
    <w:multiLevelType w:val="multilevel"/>
    <w:tmpl w:val="F624893C"/>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Symbol" w:hAnsi="Symbol" w:hint="default"/>
      </w:rPr>
    </w:lvl>
    <w:lvl w:ilvl="3">
      <w:start w:val="1"/>
      <w:numFmt w:val="decimal"/>
      <w:lvlText w:val="(%4)"/>
      <w:lvlJc w:val="left"/>
      <w:pPr>
        <w:ind w:left="6447" w:hanging="360"/>
      </w:pPr>
    </w:lvl>
    <w:lvl w:ilvl="4">
      <w:start w:val="1"/>
      <w:numFmt w:val="lowerLetter"/>
      <w:lvlText w:val="(%5)"/>
      <w:lvlJc w:val="left"/>
      <w:pPr>
        <w:ind w:left="6807" w:hanging="360"/>
      </w:pPr>
    </w:lvl>
    <w:lvl w:ilvl="5">
      <w:start w:val="1"/>
      <w:numFmt w:val="lowerRoman"/>
      <w:lvlText w:val="(%6)"/>
      <w:lvlJc w:val="left"/>
      <w:pPr>
        <w:ind w:left="7167" w:hanging="360"/>
      </w:pPr>
    </w:lvl>
    <w:lvl w:ilvl="6">
      <w:start w:val="1"/>
      <w:numFmt w:val="decimal"/>
      <w:lvlText w:val="%7."/>
      <w:lvlJc w:val="left"/>
      <w:pPr>
        <w:ind w:left="7527" w:hanging="360"/>
      </w:pPr>
    </w:lvl>
    <w:lvl w:ilvl="7">
      <w:start w:val="1"/>
      <w:numFmt w:val="lowerLetter"/>
      <w:lvlText w:val="%8."/>
      <w:lvlJc w:val="left"/>
      <w:pPr>
        <w:ind w:left="7887" w:hanging="360"/>
      </w:pPr>
    </w:lvl>
    <w:lvl w:ilvl="8">
      <w:start w:val="1"/>
      <w:numFmt w:val="lowerRoman"/>
      <w:lvlText w:val="%9."/>
      <w:lvlJc w:val="left"/>
      <w:pPr>
        <w:ind w:left="8247" w:hanging="360"/>
      </w:pPr>
    </w:lvl>
  </w:abstractNum>
  <w:abstractNum w:abstractNumId="43">
    <w:nsid w:val="5A56592E"/>
    <w:multiLevelType w:val="multilevel"/>
    <w:tmpl w:val="C778BCD0"/>
    <w:lvl w:ilvl="0">
      <w:start w:val="2"/>
      <w:numFmt w:val="decimal"/>
      <w:pStyle w:val="NumberList"/>
      <w:lvlText w:val="%1."/>
      <w:lvlJc w:val="left"/>
      <w:pPr>
        <w:tabs>
          <w:tab w:val="num" w:pos="1778"/>
        </w:tabs>
        <w:ind w:left="1418" w:firstLine="0"/>
      </w:pPr>
      <w:rPr>
        <w:rFonts w:hint="default"/>
      </w:rPr>
    </w:lvl>
    <w:lvl w:ilvl="1">
      <w:start w:val="1"/>
      <w:numFmt w:val="lowerLetter"/>
      <w:pStyle w:val="NumberListSub"/>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44">
    <w:nsid w:val="5A7B70B2"/>
    <w:multiLevelType w:val="hybridMultilevel"/>
    <w:tmpl w:val="6F74333A"/>
    <w:lvl w:ilvl="0" w:tplc="B998ACB4">
      <w:start w:val="1"/>
      <w:numFmt w:val="decimal"/>
      <w:lvlText w:val="%1"/>
      <w:lvlJc w:val="left"/>
      <w:pPr>
        <w:ind w:left="28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32EFCB4">
      <w:start w:val="1"/>
      <w:numFmt w:val="lowerLetter"/>
      <w:lvlText w:val="%2"/>
      <w:lvlJc w:val="left"/>
      <w:pPr>
        <w:ind w:left="11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3D08E8C8">
      <w:start w:val="1"/>
      <w:numFmt w:val="lowerRoman"/>
      <w:lvlText w:val="%3"/>
      <w:lvlJc w:val="left"/>
      <w:pPr>
        <w:ind w:left="188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BE507C26">
      <w:start w:val="1"/>
      <w:numFmt w:val="decimal"/>
      <w:lvlText w:val="%4"/>
      <w:lvlJc w:val="left"/>
      <w:pPr>
        <w:ind w:left="260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34563550">
      <w:start w:val="1"/>
      <w:numFmt w:val="lowerLetter"/>
      <w:lvlText w:val="%5"/>
      <w:lvlJc w:val="left"/>
      <w:pPr>
        <w:ind w:left="332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BCB02AFE">
      <w:start w:val="1"/>
      <w:numFmt w:val="lowerRoman"/>
      <w:lvlText w:val="%6"/>
      <w:lvlJc w:val="left"/>
      <w:pPr>
        <w:ind w:left="404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65A66D0">
      <w:start w:val="1"/>
      <w:numFmt w:val="decimal"/>
      <w:lvlText w:val="%7"/>
      <w:lvlJc w:val="left"/>
      <w:pPr>
        <w:ind w:left="47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B9DA5C48">
      <w:start w:val="1"/>
      <w:numFmt w:val="lowerLetter"/>
      <w:lvlText w:val="%8"/>
      <w:lvlJc w:val="left"/>
      <w:pPr>
        <w:ind w:left="548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C18E0C12">
      <w:start w:val="1"/>
      <w:numFmt w:val="lowerRoman"/>
      <w:lvlText w:val="%9"/>
      <w:lvlJc w:val="left"/>
      <w:pPr>
        <w:ind w:left="620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5">
    <w:nsid w:val="5D81593E"/>
    <w:multiLevelType w:val="hybridMultilevel"/>
    <w:tmpl w:val="C898FD6A"/>
    <w:lvl w:ilvl="0" w:tplc="80327C88">
      <w:start w:val="1"/>
      <w:numFmt w:val="decimal"/>
      <w:lvlText w:val="(%1)"/>
      <w:lvlJc w:val="left"/>
      <w:pPr>
        <w:ind w:left="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A620C2">
      <w:start w:val="1"/>
      <w:numFmt w:val="lowerLetter"/>
      <w:lvlText w:val="(%2)"/>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676A0A6">
      <w:start w:val="1"/>
      <w:numFmt w:val="lowerRoman"/>
      <w:lvlText w:val="%3"/>
      <w:lvlJc w:val="left"/>
      <w:pPr>
        <w:ind w:left="2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5AF8AC">
      <w:start w:val="1"/>
      <w:numFmt w:val="decimal"/>
      <w:lvlText w:val="%4"/>
      <w:lvlJc w:val="left"/>
      <w:pPr>
        <w:ind w:left="3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8E64C4E">
      <w:start w:val="1"/>
      <w:numFmt w:val="lowerLetter"/>
      <w:lvlText w:val="%5"/>
      <w:lvlJc w:val="left"/>
      <w:pPr>
        <w:ind w:left="3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701306">
      <w:start w:val="1"/>
      <w:numFmt w:val="lowerRoman"/>
      <w:lvlText w:val="%6"/>
      <w:lvlJc w:val="left"/>
      <w:pPr>
        <w:ind w:left="4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5EADFC">
      <w:start w:val="1"/>
      <w:numFmt w:val="decimal"/>
      <w:lvlText w:val="%7"/>
      <w:lvlJc w:val="left"/>
      <w:pPr>
        <w:ind w:left="5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B0311C">
      <w:start w:val="1"/>
      <w:numFmt w:val="lowerLetter"/>
      <w:lvlText w:val="%8"/>
      <w:lvlJc w:val="left"/>
      <w:pPr>
        <w:ind w:left="5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446642">
      <w:start w:val="1"/>
      <w:numFmt w:val="lowerRoman"/>
      <w:lvlText w:val="%9"/>
      <w:lvlJc w:val="left"/>
      <w:pPr>
        <w:ind w:left="6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65617B54"/>
    <w:multiLevelType w:val="hybridMultilevel"/>
    <w:tmpl w:val="32B48E78"/>
    <w:lvl w:ilvl="0" w:tplc="1E3082B2">
      <w:start w:val="22"/>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6CC6F60">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2CF63924">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9AB20C94">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F4B6B302">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EDD0E522">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D9F2C8D4">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232A5FC4">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4B2C6714">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8">
    <w:nsid w:val="659E22C3"/>
    <w:multiLevelType w:val="hybridMultilevel"/>
    <w:tmpl w:val="9AF40A76"/>
    <w:lvl w:ilvl="0" w:tplc="D3C85A00">
      <w:start w:val="1"/>
      <w:numFmt w:val="lowerRoman"/>
      <w:lvlText w:val="(%1)"/>
      <w:lvlJc w:val="left"/>
      <w:pPr>
        <w:ind w:left="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E41EFA">
      <w:start w:val="1"/>
      <w:numFmt w:val="lowerLetter"/>
      <w:lvlText w:val="%2"/>
      <w:lvlJc w:val="left"/>
      <w:pPr>
        <w:ind w:left="2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E16159C">
      <w:start w:val="1"/>
      <w:numFmt w:val="lowerRoman"/>
      <w:lvlText w:val="%3"/>
      <w:lvlJc w:val="left"/>
      <w:pPr>
        <w:ind w:left="3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54C502">
      <w:start w:val="1"/>
      <w:numFmt w:val="decimal"/>
      <w:lvlText w:val="%4"/>
      <w:lvlJc w:val="left"/>
      <w:pPr>
        <w:ind w:left="4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B686D8">
      <w:start w:val="1"/>
      <w:numFmt w:val="lowerLetter"/>
      <w:lvlText w:val="%5"/>
      <w:lvlJc w:val="left"/>
      <w:pPr>
        <w:ind w:left="4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D2AAAB6">
      <w:start w:val="1"/>
      <w:numFmt w:val="lowerRoman"/>
      <w:lvlText w:val="%6"/>
      <w:lvlJc w:val="left"/>
      <w:pPr>
        <w:ind w:left="5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7630EE">
      <w:start w:val="1"/>
      <w:numFmt w:val="decimal"/>
      <w:lvlText w:val="%7"/>
      <w:lvlJc w:val="left"/>
      <w:pPr>
        <w:ind w:left="6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6C6A4A">
      <w:start w:val="1"/>
      <w:numFmt w:val="lowerLetter"/>
      <w:lvlText w:val="%8"/>
      <w:lvlJc w:val="left"/>
      <w:pPr>
        <w:ind w:left="7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BC5DBA">
      <w:start w:val="1"/>
      <w:numFmt w:val="lowerRoman"/>
      <w:lvlText w:val="%9"/>
      <w:lvlJc w:val="left"/>
      <w:pPr>
        <w:ind w:left="7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nsid w:val="65DF6494"/>
    <w:multiLevelType w:val="multilevel"/>
    <w:tmpl w:val="A316FE50"/>
    <w:numStyleLink w:val="ChapterList"/>
  </w:abstractNum>
  <w:abstractNum w:abstractNumId="50">
    <w:nsid w:val="733F180C"/>
    <w:multiLevelType w:val="hybridMultilevel"/>
    <w:tmpl w:val="773CA180"/>
    <w:lvl w:ilvl="0" w:tplc="1FECEEF0">
      <w:start w:val="6"/>
      <w:numFmt w:val="decimal"/>
      <w:lvlText w:val="%1"/>
      <w:lvlJc w:val="left"/>
      <w:pPr>
        <w:ind w:left="245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77A45EA">
      <w:start w:val="1"/>
      <w:numFmt w:val="lowerLetter"/>
      <w:lvlText w:val="%2"/>
      <w:lvlJc w:val="left"/>
      <w:pPr>
        <w:ind w:left="11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7210711A">
      <w:start w:val="1"/>
      <w:numFmt w:val="lowerRoman"/>
      <w:lvlText w:val="%3"/>
      <w:lvlJc w:val="left"/>
      <w:pPr>
        <w:ind w:left="18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7769FE2">
      <w:start w:val="1"/>
      <w:numFmt w:val="decimal"/>
      <w:lvlText w:val="%4"/>
      <w:lvlJc w:val="left"/>
      <w:pPr>
        <w:ind w:left="25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4A424E0C">
      <w:start w:val="1"/>
      <w:numFmt w:val="lowerLetter"/>
      <w:lvlText w:val="%5"/>
      <w:lvlJc w:val="left"/>
      <w:pPr>
        <w:ind w:left="32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9E56C43C">
      <w:start w:val="1"/>
      <w:numFmt w:val="lowerRoman"/>
      <w:lvlText w:val="%6"/>
      <w:lvlJc w:val="left"/>
      <w:pPr>
        <w:ind w:left="40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D2383C3C">
      <w:start w:val="1"/>
      <w:numFmt w:val="decimal"/>
      <w:lvlText w:val="%7"/>
      <w:lvlJc w:val="left"/>
      <w:pPr>
        <w:ind w:left="47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4838E700">
      <w:start w:val="1"/>
      <w:numFmt w:val="lowerLetter"/>
      <w:lvlText w:val="%8"/>
      <w:lvlJc w:val="left"/>
      <w:pPr>
        <w:ind w:left="54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ABA6238">
      <w:start w:val="1"/>
      <w:numFmt w:val="lowerRoman"/>
      <w:lvlText w:val="%9"/>
      <w:lvlJc w:val="left"/>
      <w:pPr>
        <w:ind w:left="61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51">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nsid w:val="78DF59AC"/>
    <w:multiLevelType w:val="hybridMultilevel"/>
    <w:tmpl w:val="B9E41812"/>
    <w:lvl w:ilvl="0" w:tplc="EB4E8CA4">
      <w:start w:val="13"/>
      <w:numFmt w:val="decimal"/>
      <w:lvlText w:val="%1"/>
      <w:lvlJc w:val="left"/>
      <w:pPr>
        <w:ind w:left="23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12E8C278">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2492541A">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B9C43DBA">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6ADC1A94">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0E5A0B50">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598D15C">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2D883858">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A002508">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53">
    <w:nsid w:val="7C145D54"/>
    <w:multiLevelType w:val="hybridMultilevel"/>
    <w:tmpl w:val="681A49F2"/>
    <w:lvl w:ilvl="0" w:tplc="2A265B88">
      <w:start w:val="1"/>
      <w:numFmt w:val="decimal"/>
      <w:lvlText w:val="%1"/>
      <w:lvlJc w:val="left"/>
      <w:pPr>
        <w:ind w:left="23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F53CB6E4">
      <w:start w:val="1"/>
      <w:numFmt w:val="lowerLetter"/>
      <w:lvlText w:val="%2"/>
      <w:lvlJc w:val="left"/>
      <w:pPr>
        <w:ind w:left="11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E53E2C62">
      <w:start w:val="1"/>
      <w:numFmt w:val="lowerRoman"/>
      <w:lvlText w:val="%3"/>
      <w:lvlJc w:val="left"/>
      <w:pPr>
        <w:ind w:left="188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05828B60">
      <w:start w:val="1"/>
      <w:numFmt w:val="decimal"/>
      <w:lvlText w:val="%4"/>
      <w:lvlJc w:val="left"/>
      <w:pPr>
        <w:ind w:left="260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71F2AE3E">
      <w:start w:val="1"/>
      <w:numFmt w:val="lowerLetter"/>
      <w:lvlText w:val="%5"/>
      <w:lvlJc w:val="left"/>
      <w:pPr>
        <w:ind w:left="332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03F8A918">
      <w:start w:val="1"/>
      <w:numFmt w:val="lowerRoman"/>
      <w:lvlText w:val="%6"/>
      <w:lvlJc w:val="left"/>
      <w:pPr>
        <w:ind w:left="404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E4018FE">
      <w:start w:val="1"/>
      <w:numFmt w:val="decimal"/>
      <w:lvlText w:val="%7"/>
      <w:lvlJc w:val="left"/>
      <w:pPr>
        <w:ind w:left="47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1F880AF0">
      <w:start w:val="1"/>
      <w:numFmt w:val="lowerLetter"/>
      <w:lvlText w:val="%8"/>
      <w:lvlJc w:val="left"/>
      <w:pPr>
        <w:ind w:left="548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1187296">
      <w:start w:val="1"/>
      <w:numFmt w:val="lowerRoman"/>
      <w:lvlText w:val="%9"/>
      <w:lvlJc w:val="left"/>
      <w:pPr>
        <w:ind w:left="620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54">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5">
    <w:nsid w:val="7CF178CA"/>
    <w:multiLevelType w:val="hybridMultilevel"/>
    <w:tmpl w:val="5686CE18"/>
    <w:lvl w:ilvl="0" w:tplc="1070018A">
      <w:start w:val="28"/>
      <w:numFmt w:val="decimal"/>
      <w:lvlText w:val="%1"/>
      <w:lvlJc w:val="left"/>
      <w:pPr>
        <w:ind w:left="149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20E84EE">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1AB60C6A">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80D4AA60">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53C900A">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50613D2">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B6D81A06">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C3E0ED46">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36F6F120">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abstractNumId w:val="3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51"/>
  </w:num>
  <w:num w:numId="14">
    <w:abstractNumId w:val="54"/>
  </w:num>
  <w:num w:numId="15">
    <w:abstractNumId w:val="32"/>
  </w:num>
  <w:num w:numId="16">
    <w:abstractNumId w:val="37"/>
  </w:num>
  <w:num w:numId="17">
    <w:abstractNumId w:val="46"/>
  </w:num>
  <w:num w:numId="18">
    <w:abstractNumId w:val="16"/>
  </w:num>
  <w:num w:numId="19">
    <w:abstractNumId w:val="18"/>
  </w:num>
  <w:num w:numId="20">
    <w:abstractNumId w:val="49"/>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1">
    <w:abstractNumId w:val="49"/>
    <w:lvlOverride w:ilvl="0">
      <w:lvl w:ilvl="0">
        <w:start w:val="1"/>
        <w:numFmt w:val="decimal"/>
        <w:pStyle w:val="ChapterHeading"/>
        <w:lvlText w:val="Chapter %1"/>
        <w:lvlJc w:val="left"/>
        <w:pPr>
          <w:tabs>
            <w:tab w:val="num" w:pos="5387"/>
          </w:tabs>
          <w:ind w:left="4253" w:firstLine="0"/>
        </w:pPr>
        <w:rPr>
          <w:rFonts w:hint="default"/>
        </w:rPr>
      </w:lvl>
    </w:lvlOverride>
    <w:lvlOverride w:ilvl="1">
      <w:lvl w:ilvl="1">
        <w:start w:val="1"/>
        <w:numFmt w:val="decimal"/>
        <w:pStyle w:val="base-text-paragraph"/>
        <w:lvlText w:val="%1.%2"/>
        <w:lvlJc w:val="left"/>
        <w:pPr>
          <w:tabs>
            <w:tab w:val="num" w:pos="1844"/>
          </w:tabs>
          <w:ind w:left="993" w:firstLine="0"/>
        </w:pPr>
        <w:rPr>
          <w:rFonts w:hint="default"/>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abstractNumId w:val="49"/>
    <w:lvlOverride w:ilvl="2">
      <w:lvl w:ilvl="2">
        <w:start w:val="1"/>
        <w:numFmt w:val="decimal"/>
        <w:lvlRestart w:val="1"/>
        <w:pStyle w:val="Diagram"/>
        <w:suff w:val="nothing"/>
        <w:lvlText w:val="Diagram %1.%3"/>
        <w:lvlJc w:val="left"/>
        <w:pPr>
          <w:ind w:left="-426"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426"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3">
    <w:abstractNumId w:val="42"/>
  </w:num>
  <w:num w:numId="24">
    <w:abstractNumId w:val="4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4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4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49"/>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8">
    <w:abstractNumId w:val="4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3545"/>
          </w:tabs>
          <w:ind w:left="2694" w:firstLine="0"/>
        </w:pPr>
        <w:rPr>
          <w:rFonts w:hint="default"/>
          <w:b w:val="0"/>
          <w:i w:val="0"/>
          <w:sz w:val="22"/>
          <w:szCs w:val="22"/>
          <w:u w:val="none"/>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
    <w:abstractNumId w:val="4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abstractNumId w:val="43"/>
  </w:num>
  <w:num w:numId="31">
    <w:abstractNumId w:val="28"/>
  </w:num>
  <w:num w:numId="32">
    <w:abstractNumId w:val="49"/>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3">
    <w:abstractNumId w:val="4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4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4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13"/>
  </w:num>
  <w:num w:numId="39">
    <w:abstractNumId w:val="38"/>
  </w:num>
  <w:num w:numId="40">
    <w:abstractNumId w:val="15"/>
  </w:num>
  <w:num w:numId="41">
    <w:abstractNumId w:val="19"/>
  </w:num>
  <w:num w:numId="42">
    <w:abstractNumId w:val="29"/>
  </w:num>
  <w:num w:numId="43">
    <w:abstractNumId w:val="45"/>
  </w:num>
  <w:num w:numId="44">
    <w:abstractNumId w:val="35"/>
  </w:num>
  <w:num w:numId="45">
    <w:abstractNumId w:val="31"/>
  </w:num>
  <w:num w:numId="46">
    <w:abstractNumId w:val="53"/>
  </w:num>
  <w:num w:numId="47">
    <w:abstractNumId w:val="27"/>
  </w:num>
  <w:num w:numId="48">
    <w:abstractNumId w:val="52"/>
  </w:num>
  <w:num w:numId="49">
    <w:abstractNumId w:val="12"/>
  </w:num>
  <w:num w:numId="50">
    <w:abstractNumId w:val="25"/>
  </w:num>
  <w:num w:numId="51">
    <w:abstractNumId w:val="22"/>
  </w:num>
  <w:num w:numId="52">
    <w:abstractNumId w:val="14"/>
  </w:num>
  <w:num w:numId="53">
    <w:abstractNumId w:val="47"/>
  </w:num>
  <w:num w:numId="54">
    <w:abstractNumId w:val="11"/>
  </w:num>
  <w:num w:numId="55">
    <w:abstractNumId w:val="50"/>
  </w:num>
  <w:num w:numId="56">
    <w:abstractNumId w:val="36"/>
  </w:num>
  <w:num w:numId="57">
    <w:abstractNumId w:val="39"/>
  </w:num>
  <w:num w:numId="58">
    <w:abstractNumId w:val="40"/>
  </w:num>
  <w:num w:numId="59">
    <w:abstractNumId w:val="44"/>
  </w:num>
  <w:num w:numId="60">
    <w:abstractNumId w:val="30"/>
  </w:num>
  <w:num w:numId="61">
    <w:abstractNumId w:val="55"/>
  </w:num>
  <w:num w:numId="62">
    <w:abstractNumId w:val="10"/>
  </w:num>
  <w:num w:numId="63">
    <w:abstractNumId w:val="41"/>
  </w:num>
  <w:num w:numId="64">
    <w:abstractNumId w:val="48"/>
  </w:num>
  <w:num w:numId="65">
    <w:abstractNumId w:val="23"/>
  </w:num>
  <w:num w:numId="66">
    <w:abstractNumId w:val="24"/>
  </w:num>
  <w:num w:numId="67">
    <w:abstractNumId w:val="4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8">
    <w:abstractNumId w:val="4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844"/>
          </w:tabs>
          <w:ind w:left="993"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9">
    <w:abstractNumId w:val="49"/>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568"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0">
    <w:abstractNumId w:val="49"/>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1">
    <w:abstractNumId w:val="49"/>
    <w:lvlOverride w:ilvl="1">
      <w:lvl w:ilvl="1">
        <w:start w:val="1"/>
        <w:numFmt w:val="decimal"/>
        <w:pStyle w:val="base-text-paragraph"/>
        <w:lvlText w:val="%1.%2"/>
        <w:lvlJc w:val="left"/>
        <w:pPr>
          <w:tabs>
            <w:tab w:val="num" w:pos="1985"/>
          </w:tabs>
          <w:ind w:left="1134" w:firstLine="0"/>
        </w:pPr>
        <w:rPr>
          <w:rFonts w:hint="default"/>
          <w:b w:val="0"/>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2">
    <w:abstractNumId w:val="34"/>
  </w:num>
  <w:num w:numId="73">
    <w:abstractNumId w:val="49"/>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4">
    <w:abstractNumId w:val="4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844"/>
          </w:tabs>
          <w:ind w:left="993" w:firstLine="0"/>
        </w:pPr>
        <w:rPr>
          <w:rFonts w:hint="default"/>
          <w:b w:val="0"/>
          <w:i w:val="0"/>
          <w:sz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trackRevisions/>
  <w:defaultTabStop w:val="720"/>
  <w:evenAndOddHeaders/>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947"/>
    <w:rsid w:val="0000003E"/>
    <w:rsid w:val="000010B0"/>
    <w:rsid w:val="00005CFC"/>
    <w:rsid w:val="00006259"/>
    <w:rsid w:val="000077A9"/>
    <w:rsid w:val="00010346"/>
    <w:rsid w:val="000105CC"/>
    <w:rsid w:val="00010F90"/>
    <w:rsid w:val="00012F66"/>
    <w:rsid w:val="00014259"/>
    <w:rsid w:val="0001496E"/>
    <w:rsid w:val="000245D9"/>
    <w:rsid w:val="00024A7E"/>
    <w:rsid w:val="000255AB"/>
    <w:rsid w:val="000265BF"/>
    <w:rsid w:val="00026654"/>
    <w:rsid w:val="00027AB8"/>
    <w:rsid w:val="0003164E"/>
    <w:rsid w:val="000327A2"/>
    <w:rsid w:val="0003305A"/>
    <w:rsid w:val="00034BE8"/>
    <w:rsid w:val="00037905"/>
    <w:rsid w:val="00050170"/>
    <w:rsid w:val="00054191"/>
    <w:rsid w:val="00054D4E"/>
    <w:rsid w:val="00055763"/>
    <w:rsid w:val="0005600E"/>
    <w:rsid w:val="00060758"/>
    <w:rsid w:val="00061C76"/>
    <w:rsid w:val="00066107"/>
    <w:rsid w:val="00067E1D"/>
    <w:rsid w:val="000705A5"/>
    <w:rsid w:val="000725C0"/>
    <w:rsid w:val="00075250"/>
    <w:rsid w:val="00076543"/>
    <w:rsid w:val="00076E86"/>
    <w:rsid w:val="00082D21"/>
    <w:rsid w:val="000835C7"/>
    <w:rsid w:val="00084806"/>
    <w:rsid w:val="00085C5D"/>
    <w:rsid w:val="00087A57"/>
    <w:rsid w:val="0009055D"/>
    <w:rsid w:val="000940BF"/>
    <w:rsid w:val="000957A1"/>
    <w:rsid w:val="000960B7"/>
    <w:rsid w:val="000A0AFD"/>
    <w:rsid w:val="000A0EF0"/>
    <w:rsid w:val="000A186A"/>
    <w:rsid w:val="000A2094"/>
    <w:rsid w:val="000A2CEC"/>
    <w:rsid w:val="000A341E"/>
    <w:rsid w:val="000A56C4"/>
    <w:rsid w:val="000A5B26"/>
    <w:rsid w:val="000A66E6"/>
    <w:rsid w:val="000A6DBE"/>
    <w:rsid w:val="000B33FE"/>
    <w:rsid w:val="000B7FBA"/>
    <w:rsid w:val="000C06D9"/>
    <w:rsid w:val="000C1A2C"/>
    <w:rsid w:val="000C7B6C"/>
    <w:rsid w:val="000D0501"/>
    <w:rsid w:val="000D2F1A"/>
    <w:rsid w:val="000D54A6"/>
    <w:rsid w:val="000E089D"/>
    <w:rsid w:val="000E5B9A"/>
    <w:rsid w:val="000E690B"/>
    <w:rsid w:val="000E71F9"/>
    <w:rsid w:val="000F6505"/>
    <w:rsid w:val="001028CA"/>
    <w:rsid w:val="001049E1"/>
    <w:rsid w:val="00110152"/>
    <w:rsid w:val="001114E6"/>
    <w:rsid w:val="00113E19"/>
    <w:rsid w:val="00121EB0"/>
    <w:rsid w:val="00123D96"/>
    <w:rsid w:val="0012405D"/>
    <w:rsid w:val="0012439E"/>
    <w:rsid w:val="00124E15"/>
    <w:rsid w:val="00130119"/>
    <w:rsid w:val="00131E0C"/>
    <w:rsid w:val="00132766"/>
    <w:rsid w:val="00132E56"/>
    <w:rsid w:val="0013680F"/>
    <w:rsid w:val="001408FA"/>
    <w:rsid w:val="0014197C"/>
    <w:rsid w:val="00147843"/>
    <w:rsid w:val="0015170D"/>
    <w:rsid w:val="00154B39"/>
    <w:rsid w:val="00154DB3"/>
    <w:rsid w:val="00155DB5"/>
    <w:rsid w:val="00160575"/>
    <w:rsid w:val="00161807"/>
    <w:rsid w:val="00164600"/>
    <w:rsid w:val="00166B45"/>
    <w:rsid w:val="00167D02"/>
    <w:rsid w:val="001706D7"/>
    <w:rsid w:val="00174A29"/>
    <w:rsid w:val="001757E2"/>
    <w:rsid w:val="00184016"/>
    <w:rsid w:val="0018668F"/>
    <w:rsid w:val="00190025"/>
    <w:rsid w:val="00190AAA"/>
    <w:rsid w:val="00190F0F"/>
    <w:rsid w:val="00191785"/>
    <w:rsid w:val="00193DBA"/>
    <w:rsid w:val="001A4483"/>
    <w:rsid w:val="001A7A18"/>
    <w:rsid w:val="001B0DD7"/>
    <w:rsid w:val="001B20E2"/>
    <w:rsid w:val="001B26E0"/>
    <w:rsid w:val="001B50B7"/>
    <w:rsid w:val="001B5AC0"/>
    <w:rsid w:val="001C02AF"/>
    <w:rsid w:val="001C398E"/>
    <w:rsid w:val="001C746C"/>
    <w:rsid w:val="001D2003"/>
    <w:rsid w:val="001D4BFA"/>
    <w:rsid w:val="001D53B1"/>
    <w:rsid w:val="001D5436"/>
    <w:rsid w:val="001D5B0E"/>
    <w:rsid w:val="001E18C5"/>
    <w:rsid w:val="001E45A1"/>
    <w:rsid w:val="001E6545"/>
    <w:rsid w:val="001E6BF6"/>
    <w:rsid w:val="001F1D78"/>
    <w:rsid w:val="001F2A8E"/>
    <w:rsid w:val="001F38D1"/>
    <w:rsid w:val="00200C32"/>
    <w:rsid w:val="00200E29"/>
    <w:rsid w:val="00200E96"/>
    <w:rsid w:val="002014AD"/>
    <w:rsid w:val="00201B36"/>
    <w:rsid w:val="00206D5E"/>
    <w:rsid w:val="00207F87"/>
    <w:rsid w:val="00213F9A"/>
    <w:rsid w:val="00216048"/>
    <w:rsid w:val="00220D6C"/>
    <w:rsid w:val="00222D57"/>
    <w:rsid w:val="00231CBA"/>
    <w:rsid w:val="002327A6"/>
    <w:rsid w:val="002347FC"/>
    <w:rsid w:val="00234896"/>
    <w:rsid w:val="00236A1C"/>
    <w:rsid w:val="00237480"/>
    <w:rsid w:val="00237CA4"/>
    <w:rsid w:val="002416F7"/>
    <w:rsid w:val="0024538F"/>
    <w:rsid w:val="002471C8"/>
    <w:rsid w:val="00250154"/>
    <w:rsid w:val="00251814"/>
    <w:rsid w:val="00253E01"/>
    <w:rsid w:val="002576C7"/>
    <w:rsid w:val="00260300"/>
    <w:rsid w:val="00260373"/>
    <w:rsid w:val="00264DC4"/>
    <w:rsid w:val="00266048"/>
    <w:rsid w:val="002714CB"/>
    <w:rsid w:val="00272FD3"/>
    <w:rsid w:val="002731DB"/>
    <w:rsid w:val="00273CD2"/>
    <w:rsid w:val="002748EB"/>
    <w:rsid w:val="00282640"/>
    <w:rsid w:val="002843D1"/>
    <w:rsid w:val="002857E2"/>
    <w:rsid w:val="002872F7"/>
    <w:rsid w:val="00287A87"/>
    <w:rsid w:val="0029531B"/>
    <w:rsid w:val="00297B69"/>
    <w:rsid w:val="002A4F1C"/>
    <w:rsid w:val="002A5DDF"/>
    <w:rsid w:val="002A64A2"/>
    <w:rsid w:val="002A7003"/>
    <w:rsid w:val="002B1F2F"/>
    <w:rsid w:val="002B4D3D"/>
    <w:rsid w:val="002B5A46"/>
    <w:rsid w:val="002B7554"/>
    <w:rsid w:val="002B79A9"/>
    <w:rsid w:val="002C16C3"/>
    <w:rsid w:val="002C3B6C"/>
    <w:rsid w:val="002C43E8"/>
    <w:rsid w:val="002C7FB8"/>
    <w:rsid w:val="002D0453"/>
    <w:rsid w:val="002D0EC5"/>
    <w:rsid w:val="002D2436"/>
    <w:rsid w:val="002D2735"/>
    <w:rsid w:val="002D285D"/>
    <w:rsid w:val="002D4172"/>
    <w:rsid w:val="002D6555"/>
    <w:rsid w:val="002D7E73"/>
    <w:rsid w:val="002E0C94"/>
    <w:rsid w:val="002E25C7"/>
    <w:rsid w:val="002E3A4D"/>
    <w:rsid w:val="002E5FD3"/>
    <w:rsid w:val="002F2244"/>
    <w:rsid w:val="002F26BE"/>
    <w:rsid w:val="002F3991"/>
    <w:rsid w:val="002F75B0"/>
    <w:rsid w:val="0030256C"/>
    <w:rsid w:val="00310364"/>
    <w:rsid w:val="00316069"/>
    <w:rsid w:val="00317AFD"/>
    <w:rsid w:val="00320374"/>
    <w:rsid w:val="00325689"/>
    <w:rsid w:val="00325BF0"/>
    <w:rsid w:val="0033015E"/>
    <w:rsid w:val="00332E1A"/>
    <w:rsid w:val="00333385"/>
    <w:rsid w:val="003336E0"/>
    <w:rsid w:val="003409AD"/>
    <w:rsid w:val="0034434E"/>
    <w:rsid w:val="003444D5"/>
    <w:rsid w:val="00345CCB"/>
    <w:rsid w:val="00346774"/>
    <w:rsid w:val="00346BEB"/>
    <w:rsid w:val="003501C2"/>
    <w:rsid w:val="003505E3"/>
    <w:rsid w:val="00351758"/>
    <w:rsid w:val="00352A3A"/>
    <w:rsid w:val="0036787F"/>
    <w:rsid w:val="00367E45"/>
    <w:rsid w:val="00370AE1"/>
    <w:rsid w:val="00370CF4"/>
    <w:rsid w:val="003719A4"/>
    <w:rsid w:val="00371E30"/>
    <w:rsid w:val="00372985"/>
    <w:rsid w:val="0037688F"/>
    <w:rsid w:val="00376FAF"/>
    <w:rsid w:val="00377CD4"/>
    <w:rsid w:val="00382BAB"/>
    <w:rsid w:val="00384864"/>
    <w:rsid w:val="00386A6F"/>
    <w:rsid w:val="00387BAB"/>
    <w:rsid w:val="00390E94"/>
    <w:rsid w:val="00392472"/>
    <w:rsid w:val="0039400F"/>
    <w:rsid w:val="003A12E8"/>
    <w:rsid w:val="003A311E"/>
    <w:rsid w:val="003A5A84"/>
    <w:rsid w:val="003A5D7E"/>
    <w:rsid w:val="003A66C0"/>
    <w:rsid w:val="003B2C77"/>
    <w:rsid w:val="003B3464"/>
    <w:rsid w:val="003B550D"/>
    <w:rsid w:val="003B5D52"/>
    <w:rsid w:val="003B6202"/>
    <w:rsid w:val="003B6F37"/>
    <w:rsid w:val="003C1301"/>
    <w:rsid w:val="003C5BA3"/>
    <w:rsid w:val="003D28E2"/>
    <w:rsid w:val="003D2BB6"/>
    <w:rsid w:val="003D55C6"/>
    <w:rsid w:val="003D6FD9"/>
    <w:rsid w:val="003D734D"/>
    <w:rsid w:val="003D7F02"/>
    <w:rsid w:val="003E0794"/>
    <w:rsid w:val="003E5982"/>
    <w:rsid w:val="003E5E77"/>
    <w:rsid w:val="003E5EE9"/>
    <w:rsid w:val="003E68F7"/>
    <w:rsid w:val="003F043F"/>
    <w:rsid w:val="003F096C"/>
    <w:rsid w:val="003F4366"/>
    <w:rsid w:val="003F4BD0"/>
    <w:rsid w:val="003F6B39"/>
    <w:rsid w:val="004009A7"/>
    <w:rsid w:val="0040534F"/>
    <w:rsid w:val="004069F6"/>
    <w:rsid w:val="00411438"/>
    <w:rsid w:val="00411C02"/>
    <w:rsid w:val="004170E0"/>
    <w:rsid w:val="00421058"/>
    <w:rsid w:val="004219D1"/>
    <w:rsid w:val="00422236"/>
    <w:rsid w:val="004224DC"/>
    <w:rsid w:val="0042295B"/>
    <w:rsid w:val="00423FE1"/>
    <w:rsid w:val="0043366C"/>
    <w:rsid w:val="00433B1D"/>
    <w:rsid w:val="00433FD9"/>
    <w:rsid w:val="00435431"/>
    <w:rsid w:val="00435B30"/>
    <w:rsid w:val="00436054"/>
    <w:rsid w:val="00440A81"/>
    <w:rsid w:val="00441D38"/>
    <w:rsid w:val="00442887"/>
    <w:rsid w:val="00442FB9"/>
    <w:rsid w:val="0044391B"/>
    <w:rsid w:val="00444D94"/>
    <w:rsid w:val="00450635"/>
    <w:rsid w:val="00451BB3"/>
    <w:rsid w:val="00452A50"/>
    <w:rsid w:val="00453F4A"/>
    <w:rsid w:val="00455E91"/>
    <w:rsid w:val="00457BC3"/>
    <w:rsid w:val="00460019"/>
    <w:rsid w:val="00460F8C"/>
    <w:rsid w:val="00462D56"/>
    <w:rsid w:val="004636A8"/>
    <w:rsid w:val="00465A34"/>
    <w:rsid w:val="00467073"/>
    <w:rsid w:val="00470181"/>
    <w:rsid w:val="004710EB"/>
    <w:rsid w:val="00475C3C"/>
    <w:rsid w:val="00475D9F"/>
    <w:rsid w:val="004774A8"/>
    <w:rsid w:val="00477645"/>
    <w:rsid w:val="00480B3F"/>
    <w:rsid w:val="00480B40"/>
    <w:rsid w:val="00480C91"/>
    <w:rsid w:val="004836D2"/>
    <w:rsid w:val="00483A94"/>
    <w:rsid w:val="004875C9"/>
    <w:rsid w:val="0049132F"/>
    <w:rsid w:val="00493C72"/>
    <w:rsid w:val="004A0B75"/>
    <w:rsid w:val="004B3953"/>
    <w:rsid w:val="004B64BE"/>
    <w:rsid w:val="004B755A"/>
    <w:rsid w:val="004C1468"/>
    <w:rsid w:val="004C17FE"/>
    <w:rsid w:val="004C22B7"/>
    <w:rsid w:val="004D0E5D"/>
    <w:rsid w:val="004D4DF5"/>
    <w:rsid w:val="004D52DF"/>
    <w:rsid w:val="004D6B85"/>
    <w:rsid w:val="004E0901"/>
    <w:rsid w:val="004E161F"/>
    <w:rsid w:val="004E1B22"/>
    <w:rsid w:val="004E26E4"/>
    <w:rsid w:val="004E5AC7"/>
    <w:rsid w:val="004E6082"/>
    <w:rsid w:val="004F0D07"/>
    <w:rsid w:val="004F242E"/>
    <w:rsid w:val="004F3227"/>
    <w:rsid w:val="004F545B"/>
    <w:rsid w:val="004F58EB"/>
    <w:rsid w:val="004F5E0C"/>
    <w:rsid w:val="00502551"/>
    <w:rsid w:val="00504D4A"/>
    <w:rsid w:val="005052B0"/>
    <w:rsid w:val="0050652E"/>
    <w:rsid w:val="00512BF5"/>
    <w:rsid w:val="00515E69"/>
    <w:rsid w:val="005177DF"/>
    <w:rsid w:val="00517B68"/>
    <w:rsid w:val="005205AD"/>
    <w:rsid w:val="00521224"/>
    <w:rsid w:val="0052270D"/>
    <w:rsid w:val="00523617"/>
    <w:rsid w:val="005255EA"/>
    <w:rsid w:val="005266A3"/>
    <w:rsid w:val="005322DE"/>
    <w:rsid w:val="00535559"/>
    <w:rsid w:val="00535F98"/>
    <w:rsid w:val="005408E6"/>
    <w:rsid w:val="0054166D"/>
    <w:rsid w:val="0054284D"/>
    <w:rsid w:val="00543B69"/>
    <w:rsid w:val="00544BC7"/>
    <w:rsid w:val="00547251"/>
    <w:rsid w:val="00555D38"/>
    <w:rsid w:val="00557858"/>
    <w:rsid w:val="00560C14"/>
    <w:rsid w:val="00560CFB"/>
    <w:rsid w:val="005658E9"/>
    <w:rsid w:val="005703EC"/>
    <w:rsid w:val="0057427D"/>
    <w:rsid w:val="0057723F"/>
    <w:rsid w:val="00580C19"/>
    <w:rsid w:val="00582436"/>
    <w:rsid w:val="00584BAA"/>
    <w:rsid w:val="00585303"/>
    <w:rsid w:val="00585AFF"/>
    <w:rsid w:val="0059123C"/>
    <w:rsid w:val="005A5348"/>
    <w:rsid w:val="005A5BB3"/>
    <w:rsid w:val="005A76CC"/>
    <w:rsid w:val="005B22C7"/>
    <w:rsid w:val="005B3AFF"/>
    <w:rsid w:val="005B4511"/>
    <w:rsid w:val="005B546F"/>
    <w:rsid w:val="005B7CAE"/>
    <w:rsid w:val="005C02B3"/>
    <w:rsid w:val="005C0475"/>
    <w:rsid w:val="005C25C1"/>
    <w:rsid w:val="005C2B1A"/>
    <w:rsid w:val="005C3B9B"/>
    <w:rsid w:val="005C488B"/>
    <w:rsid w:val="005C5BF3"/>
    <w:rsid w:val="005C5F73"/>
    <w:rsid w:val="005C6FB4"/>
    <w:rsid w:val="005D0F90"/>
    <w:rsid w:val="005D3970"/>
    <w:rsid w:val="005D67EF"/>
    <w:rsid w:val="005D7BFD"/>
    <w:rsid w:val="005E7080"/>
    <w:rsid w:val="005E741D"/>
    <w:rsid w:val="005E77E1"/>
    <w:rsid w:val="005F1DC0"/>
    <w:rsid w:val="005F57D9"/>
    <w:rsid w:val="005F7130"/>
    <w:rsid w:val="005F7300"/>
    <w:rsid w:val="005F7E8F"/>
    <w:rsid w:val="00600F23"/>
    <w:rsid w:val="0060155A"/>
    <w:rsid w:val="00601EEB"/>
    <w:rsid w:val="0060211C"/>
    <w:rsid w:val="006071CA"/>
    <w:rsid w:val="006071E9"/>
    <w:rsid w:val="006110BA"/>
    <w:rsid w:val="0061154E"/>
    <w:rsid w:val="006127CB"/>
    <w:rsid w:val="00613BE4"/>
    <w:rsid w:val="00616F52"/>
    <w:rsid w:val="00621923"/>
    <w:rsid w:val="00623519"/>
    <w:rsid w:val="006345BC"/>
    <w:rsid w:val="006350DB"/>
    <w:rsid w:val="00635D5B"/>
    <w:rsid w:val="006412C3"/>
    <w:rsid w:val="006457A4"/>
    <w:rsid w:val="0064597A"/>
    <w:rsid w:val="00651578"/>
    <w:rsid w:val="00653DA2"/>
    <w:rsid w:val="00654CAC"/>
    <w:rsid w:val="006563F0"/>
    <w:rsid w:val="00661BD5"/>
    <w:rsid w:val="006655F9"/>
    <w:rsid w:val="00667AF6"/>
    <w:rsid w:val="006712FD"/>
    <w:rsid w:val="00676AC8"/>
    <w:rsid w:val="00680991"/>
    <w:rsid w:val="0068339E"/>
    <w:rsid w:val="006857AE"/>
    <w:rsid w:val="006916A8"/>
    <w:rsid w:val="00692C3D"/>
    <w:rsid w:val="0069372D"/>
    <w:rsid w:val="00695B89"/>
    <w:rsid w:val="006A069A"/>
    <w:rsid w:val="006A3F0C"/>
    <w:rsid w:val="006A41A1"/>
    <w:rsid w:val="006A4718"/>
    <w:rsid w:val="006A4F5F"/>
    <w:rsid w:val="006A5B98"/>
    <w:rsid w:val="006A6125"/>
    <w:rsid w:val="006B01EB"/>
    <w:rsid w:val="006B2E46"/>
    <w:rsid w:val="006B7ABA"/>
    <w:rsid w:val="006C0516"/>
    <w:rsid w:val="006C3CEB"/>
    <w:rsid w:val="006C7E0F"/>
    <w:rsid w:val="006D254D"/>
    <w:rsid w:val="006D27F1"/>
    <w:rsid w:val="006D30EB"/>
    <w:rsid w:val="006D4184"/>
    <w:rsid w:val="006D42F9"/>
    <w:rsid w:val="006D4CA4"/>
    <w:rsid w:val="006D6669"/>
    <w:rsid w:val="006D737B"/>
    <w:rsid w:val="006D738A"/>
    <w:rsid w:val="006E01A2"/>
    <w:rsid w:val="006E0711"/>
    <w:rsid w:val="006E08FB"/>
    <w:rsid w:val="006E1D2A"/>
    <w:rsid w:val="006E60FD"/>
    <w:rsid w:val="006F2832"/>
    <w:rsid w:val="006F7AFB"/>
    <w:rsid w:val="007001D0"/>
    <w:rsid w:val="00701E84"/>
    <w:rsid w:val="00703C25"/>
    <w:rsid w:val="00707D39"/>
    <w:rsid w:val="00707EC0"/>
    <w:rsid w:val="00710171"/>
    <w:rsid w:val="00713450"/>
    <w:rsid w:val="00713D96"/>
    <w:rsid w:val="00714B83"/>
    <w:rsid w:val="007155B4"/>
    <w:rsid w:val="00715FD0"/>
    <w:rsid w:val="00725B4F"/>
    <w:rsid w:val="00730DC1"/>
    <w:rsid w:val="007318CE"/>
    <w:rsid w:val="007329C5"/>
    <w:rsid w:val="00733419"/>
    <w:rsid w:val="00734BBC"/>
    <w:rsid w:val="00736240"/>
    <w:rsid w:val="00740611"/>
    <w:rsid w:val="0074085F"/>
    <w:rsid w:val="00741AEA"/>
    <w:rsid w:val="00742024"/>
    <w:rsid w:val="007439D0"/>
    <w:rsid w:val="00743A64"/>
    <w:rsid w:val="007454F8"/>
    <w:rsid w:val="00753239"/>
    <w:rsid w:val="00754D82"/>
    <w:rsid w:val="0076186D"/>
    <w:rsid w:val="00762AAE"/>
    <w:rsid w:val="00762D28"/>
    <w:rsid w:val="00763240"/>
    <w:rsid w:val="007652BC"/>
    <w:rsid w:val="00766B32"/>
    <w:rsid w:val="00767967"/>
    <w:rsid w:val="00770446"/>
    <w:rsid w:val="00774214"/>
    <w:rsid w:val="00774E9C"/>
    <w:rsid w:val="00777D6F"/>
    <w:rsid w:val="0078178D"/>
    <w:rsid w:val="007871CD"/>
    <w:rsid w:val="00790795"/>
    <w:rsid w:val="00792ECD"/>
    <w:rsid w:val="00793F75"/>
    <w:rsid w:val="007966EF"/>
    <w:rsid w:val="00797A70"/>
    <w:rsid w:val="007A1BCB"/>
    <w:rsid w:val="007A4295"/>
    <w:rsid w:val="007A4C99"/>
    <w:rsid w:val="007A5A22"/>
    <w:rsid w:val="007B188B"/>
    <w:rsid w:val="007B23EE"/>
    <w:rsid w:val="007C0947"/>
    <w:rsid w:val="007C1B04"/>
    <w:rsid w:val="007C1ED2"/>
    <w:rsid w:val="007C79B2"/>
    <w:rsid w:val="007D1821"/>
    <w:rsid w:val="007D5597"/>
    <w:rsid w:val="007D77DA"/>
    <w:rsid w:val="007E25E0"/>
    <w:rsid w:val="007E301B"/>
    <w:rsid w:val="007E3C31"/>
    <w:rsid w:val="007E65EC"/>
    <w:rsid w:val="007E7ADD"/>
    <w:rsid w:val="007E7EAD"/>
    <w:rsid w:val="007F5B1F"/>
    <w:rsid w:val="008039A9"/>
    <w:rsid w:val="0081105D"/>
    <w:rsid w:val="00813210"/>
    <w:rsid w:val="008147F1"/>
    <w:rsid w:val="008212B5"/>
    <w:rsid w:val="00821379"/>
    <w:rsid w:val="008247B7"/>
    <w:rsid w:val="008250AC"/>
    <w:rsid w:val="00827930"/>
    <w:rsid w:val="00830A28"/>
    <w:rsid w:val="00832743"/>
    <w:rsid w:val="00834620"/>
    <w:rsid w:val="00835001"/>
    <w:rsid w:val="00836F6A"/>
    <w:rsid w:val="008433D2"/>
    <w:rsid w:val="00844687"/>
    <w:rsid w:val="00850F49"/>
    <w:rsid w:val="00851EDF"/>
    <w:rsid w:val="008522F4"/>
    <w:rsid w:val="008546E7"/>
    <w:rsid w:val="00855D57"/>
    <w:rsid w:val="008608D4"/>
    <w:rsid w:val="00867F0F"/>
    <w:rsid w:val="00874901"/>
    <w:rsid w:val="008751D1"/>
    <w:rsid w:val="008752F1"/>
    <w:rsid w:val="00883A3E"/>
    <w:rsid w:val="00885BE8"/>
    <w:rsid w:val="00885F05"/>
    <w:rsid w:val="00890245"/>
    <w:rsid w:val="008923A4"/>
    <w:rsid w:val="008972FC"/>
    <w:rsid w:val="008A14A1"/>
    <w:rsid w:val="008A2824"/>
    <w:rsid w:val="008A3BA6"/>
    <w:rsid w:val="008B0747"/>
    <w:rsid w:val="008B095D"/>
    <w:rsid w:val="008B31CE"/>
    <w:rsid w:val="008B3C08"/>
    <w:rsid w:val="008B56B5"/>
    <w:rsid w:val="008B7B47"/>
    <w:rsid w:val="008C359D"/>
    <w:rsid w:val="008C4EA4"/>
    <w:rsid w:val="008C51F4"/>
    <w:rsid w:val="008C68A9"/>
    <w:rsid w:val="008D03FF"/>
    <w:rsid w:val="008D0AE4"/>
    <w:rsid w:val="008D1C19"/>
    <w:rsid w:val="008D4443"/>
    <w:rsid w:val="008D4C40"/>
    <w:rsid w:val="008D4E03"/>
    <w:rsid w:val="008D75E9"/>
    <w:rsid w:val="008E07E8"/>
    <w:rsid w:val="008E1C42"/>
    <w:rsid w:val="008E65BA"/>
    <w:rsid w:val="008E6FBD"/>
    <w:rsid w:val="008F1A67"/>
    <w:rsid w:val="008F726E"/>
    <w:rsid w:val="00901ED2"/>
    <w:rsid w:val="00906702"/>
    <w:rsid w:val="00907A46"/>
    <w:rsid w:val="009125BB"/>
    <w:rsid w:val="009127D1"/>
    <w:rsid w:val="009157CE"/>
    <w:rsid w:val="00915FA5"/>
    <w:rsid w:val="00917DED"/>
    <w:rsid w:val="009203A4"/>
    <w:rsid w:val="00922787"/>
    <w:rsid w:val="00923F93"/>
    <w:rsid w:val="00926D61"/>
    <w:rsid w:val="00926E36"/>
    <w:rsid w:val="00927226"/>
    <w:rsid w:val="0092793D"/>
    <w:rsid w:val="009321FA"/>
    <w:rsid w:val="00935C6B"/>
    <w:rsid w:val="00935EDD"/>
    <w:rsid w:val="009361CC"/>
    <w:rsid w:val="00937B71"/>
    <w:rsid w:val="00940BFD"/>
    <w:rsid w:val="00940FEE"/>
    <w:rsid w:val="009428E4"/>
    <w:rsid w:val="00944F48"/>
    <w:rsid w:val="0095290C"/>
    <w:rsid w:val="009530DE"/>
    <w:rsid w:val="00953B87"/>
    <w:rsid w:val="00953F17"/>
    <w:rsid w:val="009615B2"/>
    <w:rsid w:val="0096411E"/>
    <w:rsid w:val="0096761E"/>
    <w:rsid w:val="00971898"/>
    <w:rsid w:val="00971BE5"/>
    <w:rsid w:val="00973550"/>
    <w:rsid w:val="009759C8"/>
    <w:rsid w:val="0098183B"/>
    <w:rsid w:val="00987499"/>
    <w:rsid w:val="009918D9"/>
    <w:rsid w:val="009973BE"/>
    <w:rsid w:val="009977B4"/>
    <w:rsid w:val="00997812"/>
    <w:rsid w:val="00997E50"/>
    <w:rsid w:val="009A0057"/>
    <w:rsid w:val="009A28F6"/>
    <w:rsid w:val="009A2B11"/>
    <w:rsid w:val="009A2C44"/>
    <w:rsid w:val="009A4908"/>
    <w:rsid w:val="009A4F7C"/>
    <w:rsid w:val="009B0AB7"/>
    <w:rsid w:val="009B238A"/>
    <w:rsid w:val="009B2AD6"/>
    <w:rsid w:val="009B2D26"/>
    <w:rsid w:val="009B3657"/>
    <w:rsid w:val="009C380E"/>
    <w:rsid w:val="009C4E01"/>
    <w:rsid w:val="009D0CCA"/>
    <w:rsid w:val="009D3059"/>
    <w:rsid w:val="009D63EC"/>
    <w:rsid w:val="009D7498"/>
    <w:rsid w:val="009D7F8F"/>
    <w:rsid w:val="009E5ACA"/>
    <w:rsid w:val="009E5DDC"/>
    <w:rsid w:val="009E6BFE"/>
    <w:rsid w:val="009E6C76"/>
    <w:rsid w:val="009F06A1"/>
    <w:rsid w:val="009F48D1"/>
    <w:rsid w:val="009F5050"/>
    <w:rsid w:val="009F6317"/>
    <w:rsid w:val="00A002DD"/>
    <w:rsid w:val="00A01492"/>
    <w:rsid w:val="00A0187F"/>
    <w:rsid w:val="00A02F32"/>
    <w:rsid w:val="00A03E30"/>
    <w:rsid w:val="00A04A9F"/>
    <w:rsid w:val="00A04B60"/>
    <w:rsid w:val="00A05D30"/>
    <w:rsid w:val="00A07DDF"/>
    <w:rsid w:val="00A1128B"/>
    <w:rsid w:val="00A12012"/>
    <w:rsid w:val="00A144E7"/>
    <w:rsid w:val="00A1459B"/>
    <w:rsid w:val="00A22C72"/>
    <w:rsid w:val="00A2439A"/>
    <w:rsid w:val="00A25599"/>
    <w:rsid w:val="00A27B13"/>
    <w:rsid w:val="00A27B94"/>
    <w:rsid w:val="00A32143"/>
    <w:rsid w:val="00A332EA"/>
    <w:rsid w:val="00A35EE7"/>
    <w:rsid w:val="00A37F77"/>
    <w:rsid w:val="00A405FD"/>
    <w:rsid w:val="00A41282"/>
    <w:rsid w:val="00A433BE"/>
    <w:rsid w:val="00A444A8"/>
    <w:rsid w:val="00A44E9C"/>
    <w:rsid w:val="00A4504D"/>
    <w:rsid w:val="00A516CB"/>
    <w:rsid w:val="00A53EB2"/>
    <w:rsid w:val="00A54CD3"/>
    <w:rsid w:val="00A54F16"/>
    <w:rsid w:val="00A575AE"/>
    <w:rsid w:val="00A61078"/>
    <w:rsid w:val="00A619E7"/>
    <w:rsid w:val="00A62099"/>
    <w:rsid w:val="00A65D09"/>
    <w:rsid w:val="00A66BFA"/>
    <w:rsid w:val="00A67F82"/>
    <w:rsid w:val="00A722B0"/>
    <w:rsid w:val="00A72A0E"/>
    <w:rsid w:val="00A7433C"/>
    <w:rsid w:val="00A74EE6"/>
    <w:rsid w:val="00A76CD8"/>
    <w:rsid w:val="00A77D49"/>
    <w:rsid w:val="00A801AE"/>
    <w:rsid w:val="00A80624"/>
    <w:rsid w:val="00A80BE7"/>
    <w:rsid w:val="00A834B8"/>
    <w:rsid w:val="00A86F1A"/>
    <w:rsid w:val="00A91436"/>
    <w:rsid w:val="00A9159F"/>
    <w:rsid w:val="00A92038"/>
    <w:rsid w:val="00A9275F"/>
    <w:rsid w:val="00A93921"/>
    <w:rsid w:val="00A96322"/>
    <w:rsid w:val="00A97140"/>
    <w:rsid w:val="00AA20C9"/>
    <w:rsid w:val="00AA2141"/>
    <w:rsid w:val="00AA28B9"/>
    <w:rsid w:val="00AA2A10"/>
    <w:rsid w:val="00AA50D8"/>
    <w:rsid w:val="00AA5524"/>
    <w:rsid w:val="00AA627B"/>
    <w:rsid w:val="00AB20FA"/>
    <w:rsid w:val="00AB4F08"/>
    <w:rsid w:val="00AB4F15"/>
    <w:rsid w:val="00AB5644"/>
    <w:rsid w:val="00AC2D23"/>
    <w:rsid w:val="00AD1AAD"/>
    <w:rsid w:val="00AD4ABE"/>
    <w:rsid w:val="00AD5474"/>
    <w:rsid w:val="00AD687A"/>
    <w:rsid w:val="00AD6DC4"/>
    <w:rsid w:val="00AD6E17"/>
    <w:rsid w:val="00AE23F9"/>
    <w:rsid w:val="00AE4244"/>
    <w:rsid w:val="00AE7860"/>
    <w:rsid w:val="00AF0A9F"/>
    <w:rsid w:val="00AF0EB2"/>
    <w:rsid w:val="00AF3340"/>
    <w:rsid w:val="00AF74C1"/>
    <w:rsid w:val="00B00C37"/>
    <w:rsid w:val="00B025A3"/>
    <w:rsid w:val="00B03805"/>
    <w:rsid w:val="00B07898"/>
    <w:rsid w:val="00B15333"/>
    <w:rsid w:val="00B16622"/>
    <w:rsid w:val="00B1734A"/>
    <w:rsid w:val="00B206C1"/>
    <w:rsid w:val="00B23136"/>
    <w:rsid w:val="00B238EF"/>
    <w:rsid w:val="00B24949"/>
    <w:rsid w:val="00B31641"/>
    <w:rsid w:val="00B321BE"/>
    <w:rsid w:val="00B321EB"/>
    <w:rsid w:val="00B324D2"/>
    <w:rsid w:val="00B3403E"/>
    <w:rsid w:val="00B366BA"/>
    <w:rsid w:val="00B43F9F"/>
    <w:rsid w:val="00B53B86"/>
    <w:rsid w:val="00B545B6"/>
    <w:rsid w:val="00B55246"/>
    <w:rsid w:val="00B57463"/>
    <w:rsid w:val="00B6273D"/>
    <w:rsid w:val="00B64794"/>
    <w:rsid w:val="00B654ED"/>
    <w:rsid w:val="00B67600"/>
    <w:rsid w:val="00B725B1"/>
    <w:rsid w:val="00B7388C"/>
    <w:rsid w:val="00B7408F"/>
    <w:rsid w:val="00B75DB6"/>
    <w:rsid w:val="00B76199"/>
    <w:rsid w:val="00B76566"/>
    <w:rsid w:val="00B76BE1"/>
    <w:rsid w:val="00B76EE1"/>
    <w:rsid w:val="00B8027D"/>
    <w:rsid w:val="00B8173E"/>
    <w:rsid w:val="00B86E54"/>
    <w:rsid w:val="00B93631"/>
    <w:rsid w:val="00B94871"/>
    <w:rsid w:val="00B94B8B"/>
    <w:rsid w:val="00B94FB4"/>
    <w:rsid w:val="00B978A3"/>
    <w:rsid w:val="00BA2235"/>
    <w:rsid w:val="00BA2903"/>
    <w:rsid w:val="00BA3476"/>
    <w:rsid w:val="00BA37F3"/>
    <w:rsid w:val="00BA3AE7"/>
    <w:rsid w:val="00BA728F"/>
    <w:rsid w:val="00BA72F4"/>
    <w:rsid w:val="00BB0994"/>
    <w:rsid w:val="00BB114D"/>
    <w:rsid w:val="00BB1949"/>
    <w:rsid w:val="00BB7AC1"/>
    <w:rsid w:val="00BC1743"/>
    <w:rsid w:val="00BC1E49"/>
    <w:rsid w:val="00BC33C9"/>
    <w:rsid w:val="00BC3DB1"/>
    <w:rsid w:val="00BC739B"/>
    <w:rsid w:val="00BD441B"/>
    <w:rsid w:val="00BD4513"/>
    <w:rsid w:val="00BE35C5"/>
    <w:rsid w:val="00BE3E82"/>
    <w:rsid w:val="00BE5EF3"/>
    <w:rsid w:val="00BE681A"/>
    <w:rsid w:val="00BE7293"/>
    <w:rsid w:val="00BE7514"/>
    <w:rsid w:val="00BF07F0"/>
    <w:rsid w:val="00BF1C59"/>
    <w:rsid w:val="00BF7200"/>
    <w:rsid w:val="00C01D1D"/>
    <w:rsid w:val="00C03AF3"/>
    <w:rsid w:val="00C03E3F"/>
    <w:rsid w:val="00C05595"/>
    <w:rsid w:val="00C06C23"/>
    <w:rsid w:val="00C10F08"/>
    <w:rsid w:val="00C13921"/>
    <w:rsid w:val="00C13FC3"/>
    <w:rsid w:val="00C1738A"/>
    <w:rsid w:val="00C177FE"/>
    <w:rsid w:val="00C25552"/>
    <w:rsid w:val="00C26165"/>
    <w:rsid w:val="00C26CB0"/>
    <w:rsid w:val="00C27414"/>
    <w:rsid w:val="00C27D28"/>
    <w:rsid w:val="00C32240"/>
    <w:rsid w:val="00C32E71"/>
    <w:rsid w:val="00C36418"/>
    <w:rsid w:val="00C41A25"/>
    <w:rsid w:val="00C44D85"/>
    <w:rsid w:val="00C55D39"/>
    <w:rsid w:val="00C61467"/>
    <w:rsid w:val="00C643DF"/>
    <w:rsid w:val="00C66DA9"/>
    <w:rsid w:val="00C744BC"/>
    <w:rsid w:val="00C850FF"/>
    <w:rsid w:val="00C8648B"/>
    <w:rsid w:val="00C86EDA"/>
    <w:rsid w:val="00C947E7"/>
    <w:rsid w:val="00C961F8"/>
    <w:rsid w:val="00C9685C"/>
    <w:rsid w:val="00C978EF"/>
    <w:rsid w:val="00CA5F63"/>
    <w:rsid w:val="00CA6DCA"/>
    <w:rsid w:val="00CA7CDA"/>
    <w:rsid w:val="00CB007F"/>
    <w:rsid w:val="00CB623E"/>
    <w:rsid w:val="00CB6473"/>
    <w:rsid w:val="00CB78D6"/>
    <w:rsid w:val="00CC09C5"/>
    <w:rsid w:val="00CC139E"/>
    <w:rsid w:val="00CC2FB7"/>
    <w:rsid w:val="00CC325B"/>
    <w:rsid w:val="00CC5A10"/>
    <w:rsid w:val="00CC6897"/>
    <w:rsid w:val="00CC788F"/>
    <w:rsid w:val="00CD1F41"/>
    <w:rsid w:val="00CD1FA8"/>
    <w:rsid w:val="00CD429C"/>
    <w:rsid w:val="00CD4554"/>
    <w:rsid w:val="00CE1C9C"/>
    <w:rsid w:val="00CE1CB4"/>
    <w:rsid w:val="00CE21F0"/>
    <w:rsid w:val="00CE4136"/>
    <w:rsid w:val="00CE5590"/>
    <w:rsid w:val="00CE5A0B"/>
    <w:rsid w:val="00CE6BC1"/>
    <w:rsid w:val="00CE76DD"/>
    <w:rsid w:val="00CF34E8"/>
    <w:rsid w:val="00CF3913"/>
    <w:rsid w:val="00CF5226"/>
    <w:rsid w:val="00CF5EE9"/>
    <w:rsid w:val="00CF670E"/>
    <w:rsid w:val="00D01826"/>
    <w:rsid w:val="00D01E95"/>
    <w:rsid w:val="00D05C2D"/>
    <w:rsid w:val="00D0623F"/>
    <w:rsid w:val="00D06EBD"/>
    <w:rsid w:val="00D11D73"/>
    <w:rsid w:val="00D1282E"/>
    <w:rsid w:val="00D138B7"/>
    <w:rsid w:val="00D15430"/>
    <w:rsid w:val="00D16FDC"/>
    <w:rsid w:val="00D22699"/>
    <w:rsid w:val="00D24521"/>
    <w:rsid w:val="00D25721"/>
    <w:rsid w:val="00D25FF8"/>
    <w:rsid w:val="00D31087"/>
    <w:rsid w:val="00D3161D"/>
    <w:rsid w:val="00D316F6"/>
    <w:rsid w:val="00D338B9"/>
    <w:rsid w:val="00D35EF9"/>
    <w:rsid w:val="00D363E1"/>
    <w:rsid w:val="00D36F6B"/>
    <w:rsid w:val="00D372B4"/>
    <w:rsid w:val="00D4029F"/>
    <w:rsid w:val="00D46927"/>
    <w:rsid w:val="00D473B6"/>
    <w:rsid w:val="00D522E9"/>
    <w:rsid w:val="00D53DC0"/>
    <w:rsid w:val="00D54C7D"/>
    <w:rsid w:val="00D608F3"/>
    <w:rsid w:val="00D60AD1"/>
    <w:rsid w:val="00D62F1F"/>
    <w:rsid w:val="00D63FF1"/>
    <w:rsid w:val="00D650E7"/>
    <w:rsid w:val="00D65C69"/>
    <w:rsid w:val="00D66C07"/>
    <w:rsid w:val="00D66F0C"/>
    <w:rsid w:val="00D67ADC"/>
    <w:rsid w:val="00D709AC"/>
    <w:rsid w:val="00D7278D"/>
    <w:rsid w:val="00D75FB3"/>
    <w:rsid w:val="00D808F3"/>
    <w:rsid w:val="00D85B38"/>
    <w:rsid w:val="00D85BEA"/>
    <w:rsid w:val="00D866F2"/>
    <w:rsid w:val="00D876FB"/>
    <w:rsid w:val="00D90D9C"/>
    <w:rsid w:val="00D91273"/>
    <w:rsid w:val="00D92542"/>
    <w:rsid w:val="00D93657"/>
    <w:rsid w:val="00D942CA"/>
    <w:rsid w:val="00D96329"/>
    <w:rsid w:val="00D963F2"/>
    <w:rsid w:val="00DA22C5"/>
    <w:rsid w:val="00DA72C6"/>
    <w:rsid w:val="00DB1024"/>
    <w:rsid w:val="00DB1F26"/>
    <w:rsid w:val="00DB2E28"/>
    <w:rsid w:val="00DB36FF"/>
    <w:rsid w:val="00DB4106"/>
    <w:rsid w:val="00DC2125"/>
    <w:rsid w:val="00DD2765"/>
    <w:rsid w:val="00DD2EC4"/>
    <w:rsid w:val="00DD6306"/>
    <w:rsid w:val="00DD6ED7"/>
    <w:rsid w:val="00DD6F88"/>
    <w:rsid w:val="00DE109E"/>
    <w:rsid w:val="00DE2E40"/>
    <w:rsid w:val="00DE49BE"/>
    <w:rsid w:val="00DE5344"/>
    <w:rsid w:val="00DE54F7"/>
    <w:rsid w:val="00DE5D0A"/>
    <w:rsid w:val="00DF28C5"/>
    <w:rsid w:val="00DF28F2"/>
    <w:rsid w:val="00DF4DA7"/>
    <w:rsid w:val="00E01A29"/>
    <w:rsid w:val="00E0668C"/>
    <w:rsid w:val="00E076ED"/>
    <w:rsid w:val="00E110EE"/>
    <w:rsid w:val="00E15E3D"/>
    <w:rsid w:val="00E2061C"/>
    <w:rsid w:val="00E30250"/>
    <w:rsid w:val="00E30B37"/>
    <w:rsid w:val="00E31B34"/>
    <w:rsid w:val="00E33716"/>
    <w:rsid w:val="00E34720"/>
    <w:rsid w:val="00E45AC1"/>
    <w:rsid w:val="00E47DF5"/>
    <w:rsid w:val="00E509B6"/>
    <w:rsid w:val="00E54185"/>
    <w:rsid w:val="00E54CF5"/>
    <w:rsid w:val="00E62E8C"/>
    <w:rsid w:val="00E64617"/>
    <w:rsid w:val="00E71957"/>
    <w:rsid w:val="00E7365D"/>
    <w:rsid w:val="00E74BDE"/>
    <w:rsid w:val="00E74EDC"/>
    <w:rsid w:val="00E750C2"/>
    <w:rsid w:val="00E80C57"/>
    <w:rsid w:val="00E81745"/>
    <w:rsid w:val="00E83604"/>
    <w:rsid w:val="00E8520D"/>
    <w:rsid w:val="00E85785"/>
    <w:rsid w:val="00E85E5D"/>
    <w:rsid w:val="00E87729"/>
    <w:rsid w:val="00E91098"/>
    <w:rsid w:val="00E91A7C"/>
    <w:rsid w:val="00E97418"/>
    <w:rsid w:val="00EA2609"/>
    <w:rsid w:val="00EA2891"/>
    <w:rsid w:val="00EB3CCB"/>
    <w:rsid w:val="00EC195A"/>
    <w:rsid w:val="00ED09D8"/>
    <w:rsid w:val="00ED11F0"/>
    <w:rsid w:val="00ED3120"/>
    <w:rsid w:val="00ED50A3"/>
    <w:rsid w:val="00ED7312"/>
    <w:rsid w:val="00EE1D4B"/>
    <w:rsid w:val="00EE648B"/>
    <w:rsid w:val="00EE7884"/>
    <w:rsid w:val="00EF1D69"/>
    <w:rsid w:val="00EF28BE"/>
    <w:rsid w:val="00EF521D"/>
    <w:rsid w:val="00EF6B32"/>
    <w:rsid w:val="00EF789C"/>
    <w:rsid w:val="00F053A1"/>
    <w:rsid w:val="00F05754"/>
    <w:rsid w:val="00F05E35"/>
    <w:rsid w:val="00F065D0"/>
    <w:rsid w:val="00F07A63"/>
    <w:rsid w:val="00F14312"/>
    <w:rsid w:val="00F14C2D"/>
    <w:rsid w:val="00F1601D"/>
    <w:rsid w:val="00F25F35"/>
    <w:rsid w:val="00F3786A"/>
    <w:rsid w:val="00F41588"/>
    <w:rsid w:val="00F44478"/>
    <w:rsid w:val="00F51369"/>
    <w:rsid w:val="00F51A71"/>
    <w:rsid w:val="00F55629"/>
    <w:rsid w:val="00F5683D"/>
    <w:rsid w:val="00F605D2"/>
    <w:rsid w:val="00F62F4D"/>
    <w:rsid w:val="00F63AC6"/>
    <w:rsid w:val="00F66226"/>
    <w:rsid w:val="00F66E40"/>
    <w:rsid w:val="00F70F10"/>
    <w:rsid w:val="00F742CF"/>
    <w:rsid w:val="00F74954"/>
    <w:rsid w:val="00F769C3"/>
    <w:rsid w:val="00F83B9E"/>
    <w:rsid w:val="00F853D1"/>
    <w:rsid w:val="00F85F38"/>
    <w:rsid w:val="00F86732"/>
    <w:rsid w:val="00F87253"/>
    <w:rsid w:val="00F87F97"/>
    <w:rsid w:val="00F9021B"/>
    <w:rsid w:val="00F90782"/>
    <w:rsid w:val="00F918CE"/>
    <w:rsid w:val="00F9250A"/>
    <w:rsid w:val="00F92FE2"/>
    <w:rsid w:val="00F94035"/>
    <w:rsid w:val="00F94475"/>
    <w:rsid w:val="00F95B90"/>
    <w:rsid w:val="00FA129E"/>
    <w:rsid w:val="00FA26F9"/>
    <w:rsid w:val="00FA3792"/>
    <w:rsid w:val="00FA7E81"/>
    <w:rsid w:val="00FB1CBB"/>
    <w:rsid w:val="00FB27A0"/>
    <w:rsid w:val="00FB53AE"/>
    <w:rsid w:val="00FC1516"/>
    <w:rsid w:val="00FC5DC5"/>
    <w:rsid w:val="00FC604E"/>
    <w:rsid w:val="00FC6AB7"/>
    <w:rsid w:val="00FD2A86"/>
    <w:rsid w:val="00FD2E6F"/>
    <w:rsid w:val="00FD490D"/>
    <w:rsid w:val="00FD4B5C"/>
    <w:rsid w:val="00FE00D2"/>
    <w:rsid w:val="00FE2ED4"/>
    <w:rsid w:val="00FE32E7"/>
    <w:rsid w:val="00FE3FB5"/>
    <w:rsid w:val="00FE4340"/>
    <w:rsid w:val="00FE4D25"/>
    <w:rsid w:val="00FF07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C0947"/>
    <w:pPr>
      <w:spacing w:before="120" w:after="120"/>
    </w:pPr>
    <w:rPr>
      <w:sz w:val="22"/>
    </w:rPr>
  </w:style>
  <w:style w:type="paragraph" w:styleId="Heading1">
    <w:name w:val="heading 1"/>
    <w:basedOn w:val="Normal"/>
    <w:next w:val="base-text-paragraph"/>
    <w:link w:val="Heading1Char"/>
    <w:qFormat/>
    <w:rsid w:val="00832743"/>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8C359D"/>
    <w:pPr>
      <w:spacing w:before="480"/>
      <w:outlineLvl w:val="1"/>
    </w:pPr>
    <w:rPr>
      <w:caps w:val="0"/>
      <w:sz w:val="26"/>
    </w:rPr>
  </w:style>
  <w:style w:type="paragraph" w:styleId="Heading3">
    <w:name w:val="heading 3"/>
    <w:basedOn w:val="Heading2"/>
    <w:next w:val="base-text-paragraph"/>
    <w:link w:val="Heading3Char"/>
    <w:qFormat/>
    <w:rsid w:val="00DA72C6"/>
    <w:pPr>
      <w:spacing w:before="240"/>
      <w:outlineLvl w:val="2"/>
    </w:pPr>
    <w:rPr>
      <w:sz w:val="22"/>
    </w:rPr>
  </w:style>
  <w:style w:type="paragraph" w:styleId="Heading4">
    <w:name w:val="heading 4"/>
    <w:basedOn w:val="Heading3"/>
    <w:next w:val="base-text-paragraph"/>
    <w:link w:val="Heading4Char"/>
    <w:qFormat/>
    <w:rsid w:val="00231CBA"/>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231CBA"/>
    <w:pPr>
      <w:spacing w:after="60"/>
      <w:outlineLvl w:val="4"/>
    </w:pPr>
    <w:rPr>
      <w:b w:val="0"/>
      <w:bCs/>
      <w:iCs/>
      <w:szCs w:val="26"/>
    </w:rPr>
  </w:style>
  <w:style w:type="paragraph" w:styleId="Heading6">
    <w:name w:val="heading 6"/>
    <w:basedOn w:val="Heading5"/>
    <w:next w:val="base-text-paragraph"/>
    <w:link w:val="Heading6Char"/>
    <w:qFormat/>
    <w:rsid w:val="00231CBA"/>
    <w:pPr>
      <w:outlineLvl w:val="5"/>
    </w:pPr>
    <w:rPr>
      <w:bCs w:val="0"/>
      <w:i w:val="0"/>
      <w:szCs w:val="22"/>
      <w:u w:val="single"/>
    </w:rPr>
  </w:style>
  <w:style w:type="paragraph" w:styleId="Heading7">
    <w:name w:val="heading 7"/>
    <w:basedOn w:val="Normal"/>
    <w:next w:val="Normal"/>
    <w:link w:val="Heading7Char"/>
    <w:qFormat/>
    <w:rsid w:val="003D6FD9"/>
    <w:pPr>
      <w:spacing w:before="240" w:after="60"/>
      <w:outlineLvl w:val="6"/>
    </w:pPr>
    <w:rPr>
      <w:sz w:val="24"/>
      <w:szCs w:val="24"/>
    </w:rPr>
  </w:style>
  <w:style w:type="paragraph" w:styleId="Heading8">
    <w:name w:val="heading 8"/>
    <w:basedOn w:val="Normal"/>
    <w:next w:val="Normal"/>
    <w:link w:val="Heading8Char"/>
    <w:qFormat/>
    <w:rsid w:val="003D6FD9"/>
    <w:pPr>
      <w:spacing w:before="240" w:after="60"/>
      <w:outlineLvl w:val="7"/>
    </w:pPr>
    <w:rPr>
      <w:i/>
      <w:iCs/>
      <w:sz w:val="24"/>
      <w:szCs w:val="24"/>
    </w:rPr>
  </w:style>
  <w:style w:type="paragraph" w:styleId="Heading9">
    <w:name w:val="heading 9"/>
    <w:basedOn w:val="Normal"/>
    <w:next w:val="Normal"/>
    <w:link w:val="Heading9Char"/>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2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20"/>
      </w:numPr>
      <w:tabs>
        <w:tab w:val="num" w:pos="360"/>
      </w:tabs>
    </w:pPr>
    <w:rPr>
      <w:i w:val="0"/>
    </w:rPr>
  </w:style>
  <w:style w:type="paragraph" w:customStyle="1" w:styleId="base-text-paragraph">
    <w:name w:val="base-text-paragraph"/>
    <w:basedOn w:val="Normal"/>
    <w:link w:val="base-text-paragraphChar"/>
    <w:rsid w:val="00D85BEA"/>
    <w:pPr>
      <w:numPr>
        <w:ilvl w:val="1"/>
        <w:numId w:val="2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20"/>
      </w:numPr>
      <w:tabs>
        <w:tab w:val="num" w:pos="360"/>
      </w:tabs>
      <w:ind w:left="0"/>
    </w:pPr>
    <w:rPr>
      <w:b/>
    </w:rPr>
  </w:style>
  <w:style w:type="paragraph" w:customStyle="1" w:styleId="Diagram">
    <w:name w:val="Diagram"/>
    <w:basedOn w:val="Normal"/>
    <w:next w:val="base-text-paragraphnonumbers"/>
    <w:rsid w:val="0036787F"/>
    <w:pPr>
      <w:keepNext/>
      <w:numPr>
        <w:ilvl w:val="2"/>
        <w:numId w:val="20"/>
      </w:numPr>
      <w:tabs>
        <w:tab w:val="num" w:pos="360"/>
      </w:tabs>
      <w:spacing w:before="0" w:after="0"/>
      <w:ind w:left="0"/>
    </w:pPr>
    <w:rPr>
      <w:b/>
    </w:rPr>
  </w:style>
  <w:style w:type="paragraph" w:customStyle="1" w:styleId="dotpoint">
    <w:name w:val="dot point"/>
    <w:basedOn w:val="Normal"/>
    <w:rsid w:val="00D85BEA"/>
    <w:pPr>
      <w:numPr>
        <w:numId w:val="1"/>
      </w:numPr>
    </w:pPr>
  </w:style>
  <w:style w:type="paragraph" w:customStyle="1" w:styleId="dotpoint2">
    <w:name w:val="dot point 2"/>
    <w:basedOn w:val="Normal"/>
    <w:rsid w:val="00E62E8C"/>
    <w:pPr>
      <w:numPr>
        <w:ilvl w:val="1"/>
        <w:numId w:val="16"/>
      </w:numPr>
      <w:tabs>
        <w:tab w:val="clear" w:pos="2552"/>
        <w:tab w:val="num" w:pos="360"/>
      </w:tabs>
      <w:ind w:left="2268" w:firstLine="0"/>
    </w:pPr>
  </w:style>
  <w:style w:type="paragraph" w:customStyle="1" w:styleId="exampledotpoint1">
    <w:name w:val="example dot point 1"/>
    <w:basedOn w:val="exampletext"/>
    <w:rsid w:val="008C51F4"/>
    <w:pPr>
      <w:numPr>
        <w:numId w:val="17"/>
      </w:numPr>
    </w:pPr>
  </w:style>
  <w:style w:type="paragraph" w:customStyle="1" w:styleId="exampledotpoint2">
    <w:name w:val="example dot point 2"/>
    <w:basedOn w:val="exampletext"/>
    <w:rsid w:val="008C51F4"/>
    <w:pPr>
      <w:numPr>
        <w:ilvl w:val="1"/>
        <w:numId w:val="17"/>
      </w:numPr>
    </w:pPr>
  </w:style>
  <w:style w:type="paragraph" w:customStyle="1" w:styleId="tabletext">
    <w:name w:val="table text"/>
    <w:basedOn w:val="Normal"/>
    <w:link w:val="tabletextChar"/>
    <w:rsid w:val="00832743"/>
    <w:pPr>
      <w:spacing w:before="40" w:after="40"/>
    </w:pPr>
    <w:rPr>
      <w:sz w:val="20"/>
    </w:rPr>
  </w:style>
  <w:style w:type="paragraph" w:customStyle="1" w:styleId="tabledotpoint">
    <w:name w:val="table dot point"/>
    <w:basedOn w:val="tabletext"/>
    <w:rsid w:val="00A37F77"/>
    <w:pPr>
      <w:numPr>
        <w:numId w:val="19"/>
      </w:numPr>
    </w:pPr>
  </w:style>
  <w:style w:type="paragraph" w:customStyle="1" w:styleId="tabledotpoint2">
    <w:name w:val="table dot point 2"/>
    <w:basedOn w:val="tabletext"/>
    <w:rsid w:val="00A37F77"/>
    <w:pPr>
      <w:numPr>
        <w:ilvl w:val="1"/>
        <w:numId w:val="19"/>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2"/>
      </w:numPr>
    </w:pPr>
  </w:style>
  <w:style w:type="numbering" w:styleId="1ai">
    <w:name w:val="Outline List 1"/>
    <w:basedOn w:val="NoList"/>
    <w:semiHidden/>
    <w:rsid w:val="003D6FD9"/>
    <w:pPr>
      <w:numPr>
        <w:numId w:val="13"/>
      </w:numPr>
    </w:pPr>
  </w:style>
  <w:style w:type="numbering" w:styleId="ArticleSection">
    <w:name w:val="Outline List 3"/>
    <w:basedOn w:val="NoList"/>
    <w:semiHidden/>
    <w:rsid w:val="003D6FD9"/>
    <w:pPr>
      <w:numPr>
        <w:numId w:val="14"/>
      </w:numPr>
    </w:pPr>
  </w:style>
  <w:style w:type="paragraph" w:styleId="BlockText">
    <w:name w:val="Block Text"/>
    <w:basedOn w:val="Normal"/>
    <w:semiHidden/>
    <w:rsid w:val="003D6FD9"/>
    <w:pPr>
      <w:ind w:left="1440" w:right="1440"/>
    </w:pPr>
  </w:style>
  <w:style w:type="paragraph" w:styleId="BodyText">
    <w:name w:val="Body Text"/>
    <w:basedOn w:val="Normal"/>
    <w:link w:val="BodyTextChar"/>
    <w:semiHidden/>
    <w:rsid w:val="003D6FD9"/>
  </w:style>
  <w:style w:type="paragraph" w:styleId="BodyText2">
    <w:name w:val="Body Text 2"/>
    <w:basedOn w:val="Normal"/>
    <w:link w:val="BodyText2Char"/>
    <w:semiHidden/>
    <w:rsid w:val="003D6FD9"/>
    <w:pPr>
      <w:spacing w:line="480" w:lineRule="auto"/>
    </w:pPr>
  </w:style>
  <w:style w:type="paragraph" w:styleId="BodyText3">
    <w:name w:val="Body Text 3"/>
    <w:basedOn w:val="Normal"/>
    <w:link w:val="BodyText3Char"/>
    <w:semiHidden/>
    <w:rsid w:val="003D6FD9"/>
    <w:rPr>
      <w:sz w:val="16"/>
      <w:szCs w:val="16"/>
    </w:rPr>
  </w:style>
  <w:style w:type="paragraph" w:styleId="BodyTextFirstIndent">
    <w:name w:val="Body Text First Indent"/>
    <w:basedOn w:val="BodyText"/>
    <w:link w:val="BodyTextFirstIndentChar"/>
    <w:semiHidden/>
    <w:rsid w:val="003D6FD9"/>
    <w:pPr>
      <w:ind w:firstLine="210"/>
    </w:pPr>
  </w:style>
  <w:style w:type="paragraph" w:styleId="BodyTextIndent">
    <w:name w:val="Body Text Indent"/>
    <w:basedOn w:val="Normal"/>
    <w:link w:val="BodyTextIndentChar"/>
    <w:semiHidden/>
    <w:rsid w:val="003D6FD9"/>
    <w:pPr>
      <w:ind w:left="283"/>
    </w:pPr>
  </w:style>
  <w:style w:type="paragraph" w:styleId="BodyTextFirstIndent2">
    <w:name w:val="Body Text First Indent 2"/>
    <w:basedOn w:val="BodyTextIndent"/>
    <w:link w:val="BodyTextFirstIndent2Char"/>
    <w:semiHidden/>
    <w:rsid w:val="003D6FD9"/>
    <w:pPr>
      <w:ind w:firstLine="210"/>
    </w:pPr>
  </w:style>
  <w:style w:type="paragraph" w:styleId="BodyTextIndent2">
    <w:name w:val="Body Text Indent 2"/>
    <w:basedOn w:val="Normal"/>
    <w:link w:val="BodyTextIndent2Char"/>
    <w:semiHidden/>
    <w:rsid w:val="003D6FD9"/>
    <w:pPr>
      <w:spacing w:line="480" w:lineRule="auto"/>
      <w:ind w:left="283"/>
    </w:pPr>
  </w:style>
  <w:style w:type="paragraph" w:styleId="BodyTextIndent3">
    <w:name w:val="Body Text Indent 3"/>
    <w:basedOn w:val="Normal"/>
    <w:link w:val="BodyTextIndent3Char"/>
    <w:semiHidden/>
    <w:rsid w:val="003D6FD9"/>
    <w:pPr>
      <w:ind w:left="283"/>
    </w:pPr>
    <w:rPr>
      <w:sz w:val="16"/>
      <w:szCs w:val="16"/>
    </w:rPr>
  </w:style>
  <w:style w:type="paragraph" w:styleId="Closing">
    <w:name w:val="Closing"/>
    <w:basedOn w:val="Normal"/>
    <w:link w:val="ClosingChar"/>
    <w:semiHidden/>
    <w:rsid w:val="003D6FD9"/>
    <w:pPr>
      <w:ind w:left="4252"/>
    </w:pPr>
  </w:style>
  <w:style w:type="paragraph" w:styleId="Date">
    <w:name w:val="Date"/>
    <w:basedOn w:val="Normal"/>
    <w:next w:val="Normal"/>
    <w:link w:val="DateChar"/>
    <w:semiHidden/>
    <w:rsid w:val="003D6FD9"/>
  </w:style>
  <w:style w:type="paragraph" w:styleId="E-mailSignature">
    <w:name w:val="E-mail Signature"/>
    <w:basedOn w:val="Normal"/>
    <w:link w:val="E-mailSignatureChar"/>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link w:val="FooterChar"/>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link w:val="HTMLAddressChar"/>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link w:val="HTMLPreformattedChar"/>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2"/>
      </w:numPr>
    </w:pPr>
  </w:style>
  <w:style w:type="paragraph" w:styleId="ListBullet2">
    <w:name w:val="List Bullet 2"/>
    <w:basedOn w:val="Normal"/>
    <w:rsid w:val="003D6FD9"/>
    <w:pPr>
      <w:numPr>
        <w:numId w:val="3"/>
      </w:numPr>
    </w:pPr>
  </w:style>
  <w:style w:type="paragraph" w:styleId="ListBullet3">
    <w:name w:val="List Bullet 3"/>
    <w:basedOn w:val="Normal"/>
    <w:semiHidden/>
    <w:rsid w:val="003D6FD9"/>
    <w:pPr>
      <w:numPr>
        <w:numId w:val="4"/>
      </w:numPr>
    </w:pPr>
  </w:style>
  <w:style w:type="paragraph" w:styleId="ListBullet4">
    <w:name w:val="List Bullet 4"/>
    <w:basedOn w:val="Normal"/>
    <w:semiHidden/>
    <w:rsid w:val="003D6FD9"/>
    <w:pPr>
      <w:numPr>
        <w:numId w:val="5"/>
      </w:numPr>
    </w:pPr>
  </w:style>
  <w:style w:type="paragraph" w:styleId="ListBullet5">
    <w:name w:val="List Bullet 5"/>
    <w:basedOn w:val="Normal"/>
    <w:semiHidden/>
    <w:rsid w:val="003D6FD9"/>
    <w:pPr>
      <w:numPr>
        <w:numId w:val="6"/>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7"/>
      </w:numPr>
    </w:pPr>
  </w:style>
  <w:style w:type="paragraph" w:styleId="ListNumber2">
    <w:name w:val="List Number 2"/>
    <w:basedOn w:val="Normal"/>
    <w:semiHidden/>
    <w:rsid w:val="003D6FD9"/>
    <w:pPr>
      <w:numPr>
        <w:numId w:val="8"/>
      </w:numPr>
    </w:pPr>
  </w:style>
  <w:style w:type="paragraph" w:styleId="ListNumber3">
    <w:name w:val="List Number 3"/>
    <w:basedOn w:val="Normal"/>
    <w:semiHidden/>
    <w:rsid w:val="003D6FD9"/>
    <w:pPr>
      <w:numPr>
        <w:numId w:val="9"/>
      </w:numPr>
    </w:pPr>
  </w:style>
  <w:style w:type="paragraph" w:styleId="ListNumber4">
    <w:name w:val="List Number 4"/>
    <w:basedOn w:val="Normal"/>
    <w:semiHidden/>
    <w:rsid w:val="003D6FD9"/>
    <w:pPr>
      <w:numPr>
        <w:numId w:val="10"/>
      </w:numPr>
    </w:pPr>
  </w:style>
  <w:style w:type="paragraph" w:styleId="ListNumber5">
    <w:name w:val="List Number 5"/>
    <w:basedOn w:val="Normal"/>
    <w:semiHidden/>
    <w:rsid w:val="003D6FD9"/>
    <w:pPr>
      <w:numPr>
        <w:numId w:val="11"/>
      </w:numPr>
    </w:pPr>
  </w:style>
  <w:style w:type="paragraph" w:styleId="MessageHeader">
    <w:name w:val="Message Header"/>
    <w:basedOn w:val="Normal"/>
    <w:link w:val="MessageHeaderChar"/>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link w:val="NoteHeadingChar"/>
    <w:semiHidden/>
    <w:rsid w:val="003D6FD9"/>
  </w:style>
  <w:style w:type="character" w:styleId="PageNumber">
    <w:name w:val="page number"/>
    <w:basedOn w:val="DefaultParagraphFont"/>
    <w:semiHidden/>
    <w:rsid w:val="003D6FD9"/>
  </w:style>
  <w:style w:type="paragraph" w:styleId="PlainText">
    <w:name w:val="Plain Text"/>
    <w:basedOn w:val="Normal"/>
    <w:link w:val="PlainTextChar"/>
    <w:semiHidden/>
    <w:rsid w:val="003D6FD9"/>
    <w:rPr>
      <w:rFonts w:ascii="Courier New" w:hAnsi="Courier New" w:cs="Courier New"/>
      <w:sz w:val="20"/>
    </w:rPr>
  </w:style>
  <w:style w:type="paragraph" w:styleId="Salutation">
    <w:name w:val="Salutation"/>
    <w:basedOn w:val="Normal"/>
    <w:next w:val="Normal"/>
    <w:link w:val="SalutationChar"/>
    <w:semiHidden/>
    <w:rsid w:val="003D6FD9"/>
  </w:style>
  <w:style w:type="paragraph" w:styleId="Signature">
    <w:name w:val="Signature"/>
    <w:basedOn w:val="Normal"/>
    <w:link w:val="SignatureChar"/>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link w:val="SubtitleChar"/>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link w:val="FootnoteTextChar"/>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5"/>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16"/>
      </w:numPr>
    </w:pPr>
  </w:style>
  <w:style w:type="numbering" w:customStyle="1" w:styleId="ExampleDotPointList">
    <w:name w:val="Example Dot Point List"/>
    <w:uiPriority w:val="99"/>
    <w:rsid w:val="008C51F4"/>
    <w:pPr>
      <w:numPr>
        <w:numId w:val="17"/>
      </w:numPr>
    </w:pPr>
  </w:style>
  <w:style w:type="numbering" w:customStyle="1" w:styleId="TableDotPointList">
    <w:name w:val="Table Dot Point List"/>
    <w:uiPriority w:val="99"/>
    <w:rsid w:val="00A37F77"/>
    <w:pPr>
      <w:numPr>
        <w:numId w:val="18"/>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customStyle="1" w:styleId="tabletextChar">
    <w:name w:val="table text Char"/>
    <w:basedOn w:val="DefaultParagraphFont"/>
    <w:link w:val="tabletext"/>
    <w:rsid w:val="007C0947"/>
  </w:style>
  <w:style w:type="paragraph" w:styleId="BalloonText">
    <w:name w:val="Balloon Text"/>
    <w:basedOn w:val="Normal"/>
    <w:link w:val="BalloonTextChar"/>
    <w:rsid w:val="007C0947"/>
    <w:pPr>
      <w:spacing w:before="0" w:after="0"/>
    </w:pPr>
    <w:rPr>
      <w:rFonts w:ascii="Tahoma" w:hAnsi="Tahoma" w:cs="Tahoma"/>
      <w:sz w:val="16"/>
      <w:szCs w:val="16"/>
    </w:rPr>
  </w:style>
  <w:style w:type="character" w:customStyle="1" w:styleId="BalloonTextChar">
    <w:name w:val="Balloon Text Char"/>
    <w:basedOn w:val="DefaultParagraphFont"/>
    <w:link w:val="BalloonText"/>
    <w:rsid w:val="007C0947"/>
    <w:rPr>
      <w:rFonts w:ascii="Tahoma" w:hAnsi="Tahoma" w:cs="Tahoma"/>
      <w:sz w:val="16"/>
      <w:szCs w:val="16"/>
    </w:rPr>
  </w:style>
  <w:style w:type="paragraph" w:customStyle="1" w:styleId="Bullet">
    <w:name w:val="Bullet"/>
    <w:aliases w:val="b,b + line,b1,Body,level 1,Bullet + line"/>
    <w:basedOn w:val="Normal"/>
    <w:link w:val="BulletChar"/>
    <w:qFormat/>
    <w:rsid w:val="007C0947"/>
    <w:pPr>
      <w:numPr>
        <w:numId w:val="23"/>
      </w:numPr>
    </w:pPr>
  </w:style>
  <w:style w:type="paragraph" w:customStyle="1" w:styleId="Dash">
    <w:name w:val="Dash"/>
    <w:basedOn w:val="Normal"/>
    <w:link w:val="DashChar"/>
    <w:qFormat/>
    <w:rsid w:val="007C0947"/>
    <w:pPr>
      <w:numPr>
        <w:ilvl w:val="1"/>
        <w:numId w:val="23"/>
      </w:numPr>
    </w:pPr>
  </w:style>
  <w:style w:type="paragraph" w:customStyle="1" w:styleId="DoubleDot">
    <w:name w:val="Double Dot"/>
    <w:basedOn w:val="Normal"/>
    <w:link w:val="DoubleDotChar"/>
    <w:qFormat/>
    <w:rsid w:val="007C0947"/>
    <w:pPr>
      <w:numPr>
        <w:ilvl w:val="2"/>
        <w:numId w:val="23"/>
      </w:numPr>
    </w:pPr>
  </w:style>
  <w:style w:type="character" w:styleId="FootnoteReference">
    <w:name w:val="footnote reference"/>
    <w:basedOn w:val="DefaultParagraphFont"/>
    <w:rsid w:val="007C0947"/>
    <w:rPr>
      <w:vertAlign w:val="superscript"/>
    </w:rPr>
  </w:style>
  <w:style w:type="paragraph" w:styleId="Caption">
    <w:name w:val="caption"/>
    <w:basedOn w:val="Normal"/>
    <w:next w:val="Normal"/>
    <w:semiHidden/>
    <w:unhideWhenUsed/>
    <w:qFormat/>
    <w:rsid w:val="007C0947"/>
    <w:pPr>
      <w:spacing w:before="0" w:after="200"/>
    </w:pPr>
    <w:rPr>
      <w:b/>
      <w:bCs/>
      <w:color w:val="4F81BD" w:themeColor="accent1"/>
      <w:sz w:val="18"/>
      <w:szCs w:val="18"/>
    </w:rPr>
  </w:style>
  <w:style w:type="character" w:styleId="CommentReference">
    <w:name w:val="annotation reference"/>
    <w:basedOn w:val="DefaultParagraphFont"/>
    <w:rsid w:val="007C0947"/>
    <w:rPr>
      <w:sz w:val="16"/>
      <w:szCs w:val="16"/>
    </w:rPr>
  </w:style>
  <w:style w:type="paragraph" w:styleId="CommentText">
    <w:name w:val="annotation text"/>
    <w:basedOn w:val="Normal"/>
    <w:link w:val="CommentTextChar"/>
    <w:rsid w:val="007C0947"/>
    <w:rPr>
      <w:sz w:val="20"/>
    </w:rPr>
  </w:style>
  <w:style w:type="character" w:customStyle="1" w:styleId="CommentTextChar">
    <w:name w:val="Comment Text Char"/>
    <w:basedOn w:val="DefaultParagraphFont"/>
    <w:link w:val="CommentText"/>
    <w:rsid w:val="007C0947"/>
  </w:style>
  <w:style w:type="paragraph" w:styleId="CommentSubject">
    <w:name w:val="annotation subject"/>
    <w:basedOn w:val="CommentText"/>
    <w:next w:val="CommentText"/>
    <w:link w:val="CommentSubjectChar"/>
    <w:rsid w:val="007C0947"/>
    <w:rPr>
      <w:b/>
      <w:bCs/>
    </w:rPr>
  </w:style>
  <w:style w:type="character" w:customStyle="1" w:styleId="CommentSubjectChar">
    <w:name w:val="Comment Subject Char"/>
    <w:basedOn w:val="CommentTextChar"/>
    <w:link w:val="CommentSubject"/>
    <w:rsid w:val="007C0947"/>
    <w:rPr>
      <w:b/>
      <w:bCs/>
    </w:rPr>
  </w:style>
  <w:style w:type="paragraph" w:styleId="Revision">
    <w:name w:val="Revision"/>
    <w:hidden/>
    <w:uiPriority w:val="99"/>
    <w:semiHidden/>
    <w:rsid w:val="007C0947"/>
    <w:rPr>
      <w:sz w:val="22"/>
    </w:rPr>
  </w:style>
  <w:style w:type="paragraph" w:customStyle="1" w:styleId="SecurityClassificationHeader">
    <w:name w:val="Security Classification Header"/>
    <w:link w:val="SecurityClassificationHeaderChar"/>
    <w:rsid w:val="007C0947"/>
    <w:pPr>
      <w:spacing w:before="240" w:after="60"/>
      <w:jc w:val="center"/>
    </w:pPr>
    <w:rPr>
      <w:b/>
      <w:caps/>
      <w:sz w:val="24"/>
    </w:rPr>
  </w:style>
  <w:style w:type="character" w:customStyle="1" w:styleId="SecurityClassificationHeaderChar">
    <w:name w:val="Security Classification Header Char"/>
    <w:basedOn w:val="HeaderChar"/>
    <w:link w:val="SecurityClassificationHeader"/>
    <w:rsid w:val="007C0947"/>
    <w:rPr>
      <w:b/>
      <w:caps/>
      <w:sz w:val="24"/>
    </w:rPr>
  </w:style>
  <w:style w:type="paragraph" w:customStyle="1" w:styleId="SecurityClassificationFooter">
    <w:name w:val="Security Classification Footer"/>
    <w:link w:val="SecurityClassificationFooterChar"/>
    <w:rsid w:val="007C0947"/>
    <w:pPr>
      <w:spacing w:before="60" w:after="240"/>
      <w:jc w:val="center"/>
    </w:pPr>
    <w:rPr>
      <w:b/>
      <w:caps/>
      <w:sz w:val="24"/>
    </w:rPr>
  </w:style>
  <w:style w:type="character" w:customStyle="1" w:styleId="SecurityClassificationFooterChar">
    <w:name w:val="Security Classification Footer Char"/>
    <w:basedOn w:val="HeaderChar"/>
    <w:link w:val="SecurityClassificationFooter"/>
    <w:rsid w:val="007C0947"/>
    <w:rPr>
      <w:b/>
      <w:caps/>
      <w:sz w:val="24"/>
    </w:rPr>
  </w:style>
  <w:style w:type="paragraph" w:customStyle="1" w:styleId="DLMSecurityHeader">
    <w:name w:val="DLM Security Header"/>
    <w:link w:val="DLMSecurityHeaderChar"/>
    <w:rsid w:val="007C0947"/>
    <w:pPr>
      <w:spacing w:before="60" w:after="240"/>
      <w:jc w:val="center"/>
    </w:pPr>
    <w:rPr>
      <w:b/>
      <w:caps/>
      <w:sz w:val="24"/>
    </w:rPr>
  </w:style>
  <w:style w:type="character" w:customStyle="1" w:styleId="DLMSecurityHeaderChar">
    <w:name w:val="DLM Security Header Char"/>
    <w:basedOn w:val="HeaderChar"/>
    <w:link w:val="DLMSecurityHeader"/>
    <w:rsid w:val="007C0947"/>
    <w:rPr>
      <w:b/>
      <w:caps/>
      <w:sz w:val="24"/>
    </w:rPr>
  </w:style>
  <w:style w:type="paragraph" w:customStyle="1" w:styleId="DLMSecurityFooter">
    <w:name w:val="DLM Security Footer"/>
    <w:link w:val="DLMSecurityFooterChar"/>
    <w:rsid w:val="007C0947"/>
    <w:pPr>
      <w:spacing w:before="240" w:after="60"/>
      <w:jc w:val="center"/>
    </w:pPr>
    <w:rPr>
      <w:b/>
      <w:caps/>
      <w:sz w:val="24"/>
    </w:rPr>
  </w:style>
  <w:style w:type="character" w:customStyle="1" w:styleId="DLMSecurityFooterChar">
    <w:name w:val="DLM Security Footer Char"/>
    <w:basedOn w:val="HeaderChar"/>
    <w:link w:val="DLMSecurityFooter"/>
    <w:rsid w:val="007C0947"/>
    <w:rPr>
      <w:b/>
      <w:caps/>
      <w:sz w:val="24"/>
    </w:rPr>
  </w:style>
  <w:style w:type="character" w:customStyle="1" w:styleId="Heading2Char">
    <w:name w:val="Heading 2 Char"/>
    <w:basedOn w:val="DefaultParagraphFont"/>
    <w:link w:val="Heading2"/>
    <w:rsid w:val="007C0947"/>
    <w:rPr>
      <w:rFonts w:ascii="Helvetica" w:hAnsi="Helvetica"/>
      <w:b/>
      <w:sz w:val="26"/>
    </w:rPr>
  </w:style>
  <w:style w:type="character" w:customStyle="1" w:styleId="BulletChar">
    <w:name w:val="Bullet Char"/>
    <w:aliases w:val="b Char,b + line Char Char,b Char Char,b1 Char,b + line Char,Body Char,level 1 Char"/>
    <w:basedOn w:val="base-text-paragraphChar"/>
    <w:link w:val="Bullet"/>
    <w:rsid w:val="007C0947"/>
    <w:rPr>
      <w:sz w:val="22"/>
    </w:rPr>
  </w:style>
  <w:style w:type="character" w:customStyle="1" w:styleId="DashChar">
    <w:name w:val="Dash Char"/>
    <w:basedOn w:val="base-text-paragraphChar"/>
    <w:link w:val="Dash"/>
    <w:rsid w:val="007C0947"/>
    <w:rPr>
      <w:sz w:val="22"/>
    </w:rPr>
  </w:style>
  <w:style w:type="character" w:customStyle="1" w:styleId="DoubleDotChar">
    <w:name w:val="Double Dot Char"/>
    <w:basedOn w:val="base-text-paragraphChar"/>
    <w:link w:val="DoubleDot"/>
    <w:rsid w:val="007C0947"/>
    <w:rPr>
      <w:sz w:val="22"/>
    </w:rPr>
  </w:style>
  <w:style w:type="table" w:styleId="LightGrid-Accent2">
    <w:name w:val="Light Grid Accent 2"/>
    <w:basedOn w:val="TableNormal"/>
    <w:uiPriority w:val="62"/>
    <w:rsid w:val="007C0947"/>
    <w:rPr>
      <w:rFonts w:asciiTheme="minorHAnsi" w:eastAsiaTheme="minorEastAsia" w:hAnsiTheme="minorHAnsi" w:cstheme="minorBidi"/>
      <w:sz w:val="24"/>
      <w:szCs w:val="24"/>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shd w:val="clear" w:color="auto" w:fill="CD0920"/>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NumberList">
    <w:name w:val="Number List"/>
    <w:basedOn w:val="Normal"/>
    <w:rsid w:val="007C0947"/>
    <w:pPr>
      <w:numPr>
        <w:numId w:val="30"/>
      </w:numPr>
      <w:tabs>
        <w:tab w:val="left" w:pos="1985"/>
      </w:tabs>
      <w:spacing w:before="240" w:after="0" w:line="240" w:lineRule="atLeast"/>
    </w:pPr>
    <w:rPr>
      <w:sz w:val="24"/>
      <w:szCs w:val="24"/>
      <w:lang w:eastAsia="en-US"/>
    </w:rPr>
  </w:style>
  <w:style w:type="paragraph" w:customStyle="1" w:styleId="NumberListSub">
    <w:name w:val="Number List Sub"/>
    <w:basedOn w:val="NumberList"/>
    <w:rsid w:val="007C0947"/>
    <w:pPr>
      <w:numPr>
        <w:ilvl w:val="1"/>
      </w:numPr>
      <w:tabs>
        <w:tab w:val="left" w:pos="2552"/>
      </w:tabs>
    </w:pPr>
  </w:style>
  <w:style w:type="table" w:styleId="LightGrid">
    <w:name w:val="Light Grid"/>
    <w:basedOn w:val="TableNormal"/>
    <w:uiPriority w:val="62"/>
    <w:rsid w:val="007C094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TableText0">
    <w:name w:val="TableText"/>
    <w:basedOn w:val="Normal"/>
    <w:qFormat/>
    <w:rsid w:val="007C0947"/>
    <w:rPr>
      <w:rFonts w:ascii="Arial" w:eastAsiaTheme="majorEastAsia" w:hAnsi="Arial" w:cs="Arial"/>
      <w:bCs/>
      <w:sz w:val="20"/>
      <w:lang w:eastAsia="en-US"/>
    </w:rPr>
  </w:style>
  <w:style w:type="paragraph" w:customStyle="1" w:styleId="subsection">
    <w:name w:val="subsection"/>
    <w:aliases w:val="ss"/>
    <w:basedOn w:val="Normal"/>
    <w:rsid w:val="007C0947"/>
    <w:pPr>
      <w:spacing w:before="100" w:beforeAutospacing="1" w:after="100" w:afterAutospacing="1"/>
    </w:pPr>
    <w:rPr>
      <w:sz w:val="24"/>
      <w:szCs w:val="24"/>
    </w:rPr>
  </w:style>
  <w:style w:type="paragraph" w:customStyle="1" w:styleId="paragraph">
    <w:name w:val="paragraph"/>
    <w:aliases w:val="a"/>
    <w:basedOn w:val="Normal"/>
    <w:rsid w:val="007C0947"/>
    <w:pPr>
      <w:spacing w:before="100" w:beforeAutospacing="1" w:after="100" w:afterAutospacing="1"/>
    </w:pPr>
    <w:rPr>
      <w:sz w:val="24"/>
      <w:szCs w:val="24"/>
    </w:rPr>
  </w:style>
  <w:style w:type="paragraph" w:customStyle="1" w:styleId="subsection2">
    <w:name w:val="subsection2"/>
    <w:basedOn w:val="Normal"/>
    <w:rsid w:val="007C0947"/>
    <w:pPr>
      <w:spacing w:before="100" w:beforeAutospacing="1" w:after="100" w:afterAutospacing="1"/>
    </w:pPr>
    <w:rPr>
      <w:sz w:val="24"/>
      <w:szCs w:val="24"/>
    </w:rPr>
  </w:style>
  <w:style w:type="paragraph" w:customStyle="1" w:styleId="OutlineNumbered1">
    <w:name w:val="Outline Numbered 1"/>
    <w:basedOn w:val="Normal"/>
    <w:link w:val="OutlineNumbered1Char"/>
    <w:rsid w:val="007C0947"/>
    <w:pPr>
      <w:numPr>
        <w:numId w:val="31"/>
      </w:numPr>
    </w:pPr>
  </w:style>
  <w:style w:type="character" w:customStyle="1" w:styleId="OutlineNumbered1Char">
    <w:name w:val="Outline Numbered 1 Char"/>
    <w:basedOn w:val="base-text-paragraphChar"/>
    <w:link w:val="OutlineNumbered1"/>
    <w:rsid w:val="007C0947"/>
    <w:rPr>
      <w:sz w:val="22"/>
    </w:rPr>
  </w:style>
  <w:style w:type="paragraph" w:customStyle="1" w:styleId="OutlineNumbered2">
    <w:name w:val="Outline Numbered 2"/>
    <w:basedOn w:val="Normal"/>
    <w:link w:val="OutlineNumbered2Char"/>
    <w:rsid w:val="007C0947"/>
    <w:pPr>
      <w:numPr>
        <w:ilvl w:val="1"/>
        <w:numId w:val="31"/>
      </w:numPr>
    </w:pPr>
  </w:style>
  <w:style w:type="character" w:customStyle="1" w:styleId="OutlineNumbered2Char">
    <w:name w:val="Outline Numbered 2 Char"/>
    <w:basedOn w:val="base-text-paragraphChar"/>
    <w:link w:val="OutlineNumbered2"/>
    <w:rsid w:val="007C0947"/>
    <w:rPr>
      <w:sz w:val="22"/>
    </w:rPr>
  </w:style>
  <w:style w:type="paragraph" w:customStyle="1" w:styleId="OutlineNumbered3">
    <w:name w:val="Outline Numbered 3"/>
    <w:basedOn w:val="Normal"/>
    <w:link w:val="OutlineNumbered3Char"/>
    <w:rsid w:val="007C0947"/>
    <w:pPr>
      <w:numPr>
        <w:ilvl w:val="2"/>
        <w:numId w:val="31"/>
      </w:numPr>
    </w:pPr>
  </w:style>
  <w:style w:type="character" w:customStyle="1" w:styleId="OutlineNumbered3Char">
    <w:name w:val="Outline Numbered 3 Char"/>
    <w:basedOn w:val="base-text-paragraphChar"/>
    <w:link w:val="OutlineNumbered3"/>
    <w:rsid w:val="007C0947"/>
    <w:rPr>
      <w:sz w:val="22"/>
    </w:rPr>
  </w:style>
  <w:style w:type="character" w:customStyle="1" w:styleId="Heading4Char">
    <w:name w:val="Heading 4 Char"/>
    <w:basedOn w:val="DefaultParagraphFont"/>
    <w:link w:val="Heading4"/>
    <w:rsid w:val="007C0947"/>
    <w:rPr>
      <w:b/>
      <w:i/>
      <w:sz w:val="22"/>
    </w:rPr>
  </w:style>
  <w:style w:type="character" w:customStyle="1" w:styleId="Heading1Char">
    <w:name w:val="Heading 1 Char"/>
    <w:basedOn w:val="DefaultParagraphFont"/>
    <w:link w:val="Heading1"/>
    <w:rsid w:val="007C0947"/>
    <w:rPr>
      <w:rFonts w:ascii="Helvetica" w:hAnsi="Helvetica"/>
      <w:b/>
      <w:caps/>
      <w:sz w:val="28"/>
    </w:rPr>
  </w:style>
  <w:style w:type="character" w:customStyle="1" w:styleId="Heading3Char">
    <w:name w:val="Heading 3 Char"/>
    <w:basedOn w:val="DefaultParagraphFont"/>
    <w:link w:val="Heading3"/>
    <w:rsid w:val="007C0947"/>
    <w:rPr>
      <w:rFonts w:ascii="Helvetica" w:hAnsi="Helvetica"/>
      <w:b/>
      <w:sz w:val="22"/>
    </w:rPr>
  </w:style>
  <w:style w:type="character" w:customStyle="1" w:styleId="Heading5Char">
    <w:name w:val="Heading 5 Char"/>
    <w:basedOn w:val="DefaultParagraphFont"/>
    <w:link w:val="Heading5"/>
    <w:rsid w:val="007C0947"/>
    <w:rPr>
      <w:bCs/>
      <w:i/>
      <w:iCs/>
      <w:sz w:val="22"/>
      <w:szCs w:val="26"/>
    </w:rPr>
  </w:style>
  <w:style w:type="character" w:customStyle="1" w:styleId="Heading6Char">
    <w:name w:val="Heading 6 Char"/>
    <w:basedOn w:val="DefaultParagraphFont"/>
    <w:link w:val="Heading6"/>
    <w:rsid w:val="007C0947"/>
    <w:rPr>
      <w:iCs/>
      <w:sz w:val="22"/>
      <w:szCs w:val="22"/>
      <w:u w:val="single"/>
    </w:rPr>
  </w:style>
  <w:style w:type="character" w:customStyle="1" w:styleId="Heading7Char">
    <w:name w:val="Heading 7 Char"/>
    <w:basedOn w:val="DefaultParagraphFont"/>
    <w:link w:val="Heading7"/>
    <w:rsid w:val="007C0947"/>
    <w:rPr>
      <w:sz w:val="24"/>
      <w:szCs w:val="24"/>
    </w:rPr>
  </w:style>
  <w:style w:type="character" w:customStyle="1" w:styleId="Heading8Char">
    <w:name w:val="Heading 8 Char"/>
    <w:basedOn w:val="DefaultParagraphFont"/>
    <w:link w:val="Heading8"/>
    <w:rsid w:val="007C0947"/>
    <w:rPr>
      <w:i/>
      <w:iCs/>
      <w:sz w:val="24"/>
      <w:szCs w:val="24"/>
    </w:rPr>
  </w:style>
  <w:style w:type="character" w:customStyle="1" w:styleId="Heading9Char">
    <w:name w:val="Heading 9 Char"/>
    <w:basedOn w:val="DefaultParagraphFont"/>
    <w:link w:val="Heading9"/>
    <w:rsid w:val="007C0947"/>
    <w:rPr>
      <w:rFonts w:ascii="Arial" w:hAnsi="Arial" w:cs="Arial"/>
      <w:sz w:val="22"/>
      <w:szCs w:val="22"/>
    </w:rPr>
  </w:style>
  <w:style w:type="character" w:customStyle="1" w:styleId="BodyTextChar">
    <w:name w:val="Body Text Char"/>
    <w:basedOn w:val="DefaultParagraphFont"/>
    <w:link w:val="BodyText"/>
    <w:semiHidden/>
    <w:rsid w:val="007C0947"/>
    <w:rPr>
      <w:sz w:val="22"/>
    </w:rPr>
  </w:style>
  <w:style w:type="character" w:customStyle="1" w:styleId="BodyText2Char">
    <w:name w:val="Body Text 2 Char"/>
    <w:basedOn w:val="DefaultParagraphFont"/>
    <w:link w:val="BodyText2"/>
    <w:semiHidden/>
    <w:rsid w:val="007C0947"/>
    <w:rPr>
      <w:sz w:val="22"/>
    </w:rPr>
  </w:style>
  <w:style w:type="character" w:customStyle="1" w:styleId="BodyText3Char">
    <w:name w:val="Body Text 3 Char"/>
    <w:basedOn w:val="DefaultParagraphFont"/>
    <w:link w:val="BodyText3"/>
    <w:semiHidden/>
    <w:rsid w:val="007C0947"/>
    <w:rPr>
      <w:sz w:val="16"/>
      <w:szCs w:val="16"/>
    </w:rPr>
  </w:style>
  <w:style w:type="character" w:customStyle="1" w:styleId="BodyTextFirstIndentChar">
    <w:name w:val="Body Text First Indent Char"/>
    <w:basedOn w:val="BodyTextChar"/>
    <w:link w:val="BodyTextFirstIndent"/>
    <w:semiHidden/>
    <w:rsid w:val="007C0947"/>
    <w:rPr>
      <w:sz w:val="22"/>
    </w:rPr>
  </w:style>
  <w:style w:type="character" w:customStyle="1" w:styleId="BodyTextIndentChar">
    <w:name w:val="Body Text Indent Char"/>
    <w:basedOn w:val="DefaultParagraphFont"/>
    <w:link w:val="BodyTextIndent"/>
    <w:semiHidden/>
    <w:rsid w:val="007C0947"/>
    <w:rPr>
      <w:sz w:val="22"/>
    </w:rPr>
  </w:style>
  <w:style w:type="character" w:customStyle="1" w:styleId="BodyTextFirstIndent2Char">
    <w:name w:val="Body Text First Indent 2 Char"/>
    <w:basedOn w:val="BodyTextIndentChar"/>
    <w:link w:val="BodyTextFirstIndent2"/>
    <w:semiHidden/>
    <w:rsid w:val="007C0947"/>
    <w:rPr>
      <w:sz w:val="22"/>
    </w:rPr>
  </w:style>
  <w:style w:type="character" w:customStyle="1" w:styleId="BodyTextIndent2Char">
    <w:name w:val="Body Text Indent 2 Char"/>
    <w:basedOn w:val="DefaultParagraphFont"/>
    <w:link w:val="BodyTextIndent2"/>
    <w:semiHidden/>
    <w:rsid w:val="007C0947"/>
    <w:rPr>
      <w:sz w:val="22"/>
    </w:rPr>
  </w:style>
  <w:style w:type="character" w:customStyle="1" w:styleId="BodyTextIndent3Char">
    <w:name w:val="Body Text Indent 3 Char"/>
    <w:basedOn w:val="DefaultParagraphFont"/>
    <w:link w:val="BodyTextIndent3"/>
    <w:semiHidden/>
    <w:rsid w:val="007C0947"/>
    <w:rPr>
      <w:sz w:val="16"/>
      <w:szCs w:val="16"/>
    </w:rPr>
  </w:style>
  <w:style w:type="character" w:customStyle="1" w:styleId="ClosingChar">
    <w:name w:val="Closing Char"/>
    <w:basedOn w:val="DefaultParagraphFont"/>
    <w:link w:val="Closing"/>
    <w:semiHidden/>
    <w:rsid w:val="007C0947"/>
    <w:rPr>
      <w:sz w:val="22"/>
    </w:rPr>
  </w:style>
  <w:style w:type="character" w:customStyle="1" w:styleId="DateChar">
    <w:name w:val="Date Char"/>
    <w:basedOn w:val="DefaultParagraphFont"/>
    <w:link w:val="Date"/>
    <w:semiHidden/>
    <w:rsid w:val="007C0947"/>
    <w:rPr>
      <w:sz w:val="22"/>
    </w:rPr>
  </w:style>
  <w:style w:type="character" w:customStyle="1" w:styleId="E-mailSignatureChar">
    <w:name w:val="E-mail Signature Char"/>
    <w:basedOn w:val="DefaultParagraphFont"/>
    <w:link w:val="E-mailSignature"/>
    <w:semiHidden/>
    <w:rsid w:val="007C0947"/>
    <w:rPr>
      <w:sz w:val="22"/>
    </w:rPr>
  </w:style>
  <w:style w:type="character" w:customStyle="1" w:styleId="FooterChar">
    <w:name w:val="Footer Char"/>
    <w:basedOn w:val="DefaultParagraphFont"/>
    <w:link w:val="Footer"/>
    <w:semiHidden/>
    <w:rsid w:val="007C0947"/>
    <w:rPr>
      <w:sz w:val="22"/>
    </w:rPr>
  </w:style>
  <w:style w:type="character" w:customStyle="1" w:styleId="HTMLAddressChar">
    <w:name w:val="HTML Address Char"/>
    <w:basedOn w:val="DefaultParagraphFont"/>
    <w:link w:val="HTMLAddress"/>
    <w:semiHidden/>
    <w:rsid w:val="007C0947"/>
    <w:rPr>
      <w:i/>
      <w:iCs/>
      <w:sz w:val="22"/>
    </w:rPr>
  </w:style>
  <w:style w:type="character" w:customStyle="1" w:styleId="HTMLPreformattedChar">
    <w:name w:val="HTML Preformatted Char"/>
    <w:basedOn w:val="DefaultParagraphFont"/>
    <w:link w:val="HTMLPreformatted"/>
    <w:semiHidden/>
    <w:rsid w:val="007C0947"/>
    <w:rPr>
      <w:rFonts w:ascii="Courier New" w:hAnsi="Courier New" w:cs="Courier New"/>
    </w:rPr>
  </w:style>
  <w:style w:type="character" w:customStyle="1" w:styleId="MessageHeaderChar">
    <w:name w:val="Message Header Char"/>
    <w:basedOn w:val="DefaultParagraphFont"/>
    <w:link w:val="MessageHeader"/>
    <w:semiHidden/>
    <w:rsid w:val="007C0947"/>
    <w:rPr>
      <w:rFonts w:ascii="Arial" w:hAnsi="Arial" w:cs="Arial"/>
      <w:sz w:val="24"/>
      <w:szCs w:val="24"/>
      <w:shd w:val="pct20" w:color="auto" w:fill="auto"/>
    </w:rPr>
  </w:style>
  <w:style w:type="character" w:customStyle="1" w:styleId="NoteHeadingChar">
    <w:name w:val="Note Heading Char"/>
    <w:basedOn w:val="DefaultParagraphFont"/>
    <w:link w:val="NoteHeading"/>
    <w:semiHidden/>
    <w:rsid w:val="007C0947"/>
    <w:rPr>
      <w:sz w:val="22"/>
    </w:rPr>
  </w:style>
  <w:style w:type="character" w:customStyle="1" w:styleId="PlainTextChar">
    <w:name w:val="Plain Text Char"/>
    <w:basedOn w:val="DefaultParagraphFont"/>
    <w:link w:val="PlainText"/>
    <w:semiHidden/>
    <w:rsid w:val="007C0947"/>
    <w:rPr>
      <w:rFonts w:ascii="Courier New" w:hAnsi="Courier New" w:cs="Courier New"/>
    </w:rPr>
  </w:style>
  <w:style w:type="character" w:customStyle="1" w:styleId="SalutationChar">
    <w:name w:val="Salutation Char"/>
    <w:basedOn w:val="DefaultParagraphFont"/>
    <w:link w:val="Salutation"/>
    <w:semiHidden/>
    <w:rsid w:val="007C0947"/>
    <w:rPr>
      <w:sz w:val="22"/>
    </w:rPr>
  </w:style>
  <w:style w:type="character" w:customStyle="1" w:styleId="SignatureChar">
    <w:name w:val="Signature Char"/>
    <w:basedOn w:val="DefaultParagraphFont"/>
    <w:link w:val="Signature"/>
    <w:semiHidden/>
    <w:rsid w:val="007C0947"/>
    <w:rPr>
      <w:sz w:val="22"/>
    </w:rPr>
  </w:style>
  <w:style w:type="character" w:customStyle="1" w:styleId="SubtitleChar">
    <w:name w:val="Subtitle Char"/>
    <w:basedOn w:val="DefaultParagraphFont"/>
    <w:link w:val="Subtitle"/>
    <w:rsid w:val="007C0947"/>
    <w:rPr>
      <w:rFonts w:ascii="Arial" w:hAnsi="Arial" w:cs="Arial"/>
      <w:sz w:val="24"/>
      <w:szCs w:val="24"/>
    </w:rPr>
  </w:style>
  <w:style w:type="character" w:customStyle="1" w:styleId="TitleChar">
    <w:name w:val="Title Char"/>
    <w:basedOn w:val="DefaultParagraphFont"/>
    <w:link w:val="Title"/>
    <w:rsid w:val="007C0947"/>
    <w:rPr>
      <w:rFonts w:ascii="Arial" w:hAnsi="Arial" w:cs="Arial"/>
      <w:b/>
      <w:bCs/>
      <w:kern w:val="28"/>
      <w:sz w:val="32"/>
      <w:szCs w:val="32"/>
    </w:rPr>
  </w:style>
  <w:style w:type="character" w:customStyle="1" w:styleId="FootnoteTextChar">
    <w:name w:val="Footnote Text Char"/>
    <w:basedOn w:val="DefaultParagraphFont"/>
    <w:link w:val="FootnoteText"/>
    <w:rsid w:val="007C0947"/>
  </w:style>
  <w:style w:type="paragraph" w:customStyle="1" w:styleId="ShortT">
    <w:name w:val="ShortT"/>
    <w:basedOn w:val="Normal"/>
    <w:next w:val="Normal"/>
    <w:qFormat/>
    <w:rsid w:val="007C0947"/>
    <w:pPr>
      <w:spacing w:before="0" w:after="0"/>
    </w:pPr>
    <w:rPr>
      <w:b/>
      <w:sz w:val="40"/>
    </w:rPr>
  </w:style>
  <w:style w:type="paragraph" w:customStyle="1" w:styleId="ActHead5">
    <w:name w:val="ActHead 5"/>
    <w:aliases w:val="s"/>
    <w:basedOn w:val="Normal"/>
    <w:next w:val="subsection"/>
    <w:qFormat/>
    <w:rsid w:val="007C0947"/>
    <w:pPr>
      <w:keepNext/>
      <w:keepLines/>
      <w:spacing w:before="280" w:after="0"/>
      <w:ind w:left="1134" w:hanging="1134"/>
      <w:outlineLvl w:val="4"/>
    </w:pPr>
    <w:rPr>
      <w:b/>
      <w:kern w:val="28"/>
      <w:sz w:val="24"/>
    </w:rPr>
  </w:style>
  <w:style w:type="paragraph" w:customStyle="1" w:styleId="ActHead6">
    <w:name w:val="ActHead 6"/>
    <w:aliases w:val="as"/>
    <w:basedOn w:val="Normal"/>
    <w:next w:val="Normal"/>
    <w:qFormat/>
    <w:rsid w:val="007C0947"/>
    <w:pPr>
      <w:keepNext/>
      <w:keepLines/>
      <w:spacing w:before="0" w:after="0"/>
      <w:ind w:left="1134" w:hanging="1134"/>
      <w:outlineLvl w:val="5"/>
    </w:pPr>
    <w:rPr>
      <w:rFonts w:ascii="Arial" w:hAnsi="Arial"/>
      <w:b/>
      <w:kern w:val="28"/>
      <w:sz w:val="32"/>
    </w:rPr>
  </w:style>
  <w:style w:type="paragraph" w:customStyle="1" w:styleId="ItemHead">
    <w:name w:val="ItemHead"/>
    <w:aliases w:val="ih"/>
    <w:basedOn w:val="Normal"/>
    <w:next w:val="Item"/>
    <w:rsid w:val="007C0947"/>
    <w:pPr>
      <w:keepNext/>
      <w:keepLines/>
      <w:spacing w:before="220" w:after="0"/>
      <w:ind w:left="709" w:hanging="709"/>
    </w:pPr>
    <w:rPr>
      <w:rFonts w:ascii="Arial" w:hAnsi="Arial"/>
      <w:b/>
      <w:kern w:val="28"/>
      <w:sz w:val="24"/>
    </w:rPr>
  </w:style>
  <w:style w:type="paragraph" w:customStyle="1" w:styleId="ActHead9">
    <w:name w:val="ActHead 9"/>
    <w:aliases w:val="aat"/>
    <w:basedOn w:val="Normal"/>
    <w:next w:val="ItemHead"/>
    <w:qFormat/>
    <w:rsid w:val="007C0947"/>
    <w:pPr>
      <w:keepNext/>
      <w:keepLines/>
      <w:spacing w:before="280" w:after="0"/>
      <w:ind w:left="1134" w:hanging="1134"/>
      <w:outlineLvl w:val="8"/>
    </w:pPr>
    <w:rPr>
      <w:b/>
      <w:i/>
      <w:kern w:val="28"/>
      <w:sz w:val="28"/>
    </w:rPr>
  </w:style>
  <w:style w:type="paragraph" w:customStyle="1" w:styleId="Item">
    <w:name w:val="Item"/>
    <w:aliases w:val="i"/>
    <w:basedOn w:val="Normal"/>
    <w:next w:val="ItemHead"/>
    <w:rsid w:val="007C0947"/>
    <w:pPr>
      <w:keepLines/>
      <w:spacing w:before="80" w:after="0"/>
      <w:ind w:left="709"/>
    </w:pPr>
  </w:style>
  <w:style w:type="paragraph" w:customStyle="1" w:styleId="ParlAmend">
    <w:name w:val="ParlAmend"/>
    <w:aliases w:val="pp"/>
    <w:basedOn w:val="Normal"/>
    <w:rsid w:val="007C0947"/>
    <w:pPr>
      <w:spacing w:before="240" w:after="0" w:line="240" w:lineRule="atLeast"/>
      <w:ind w:hanging="567"/>
    </w:pPr>
    <w:rPr>
      <w:sz w:val="24"/>
    </w:rPr>
  </w:style>
  <w:style w:type="paragraph" w:customStyle="1" w:styleId="noteParlAmend">
    <w:name w:val="note(ParlAmend)"/>
    <w:aliases w:val="npp"/>
    <w:basedOn w:val="Normal"/>
    <w:next w:val="ParlAmend"/>
    <w:rsid w:val="007C0947"/>
    <w:pPr>
      <w:spacing w:before="0" w:after="0"/>
      <w:jc w:val="right"/>
    </w:pPr>
    <w:rPr>
      <w:rFonts w:ascii="Arial" w:hAnsi="Arial"/>
      <w:b/>
      <w:i/>
    </w:rPr>
  </w:style>
  <w:style w:type="paragraph" w:customStyle="1" w:styleId="Sponsor">
    <w:name w:val="Sponsor"/>
    <w:basedOn w:val="Normal"/>
    <w:rsid w:val="007C0947"/>
    <w:pPr>
      <w:spacing w:before="0" w:after="0"/>
    </w:pPr>
    <w:rPr>
      <w:i/>
    </w:rPr>
  </w:style>
  <w:style w:type="paragraph" w:customStyle="1" w:styleId="Tabletext1">
    <w:name w:val="Tabletext"/>
    <w:aliases w:val="tt"/>
    <w:basedOn w:val="Normal"/>
    <w:rsid w:val="007C0947"/>
    <w:pPr>
      <w:spacing w:before="60" w:after="0" w:line="240" w:lineRule="atLeast"/>
    </w:pPr>
    <w:rPr>
      <w:sz w:val="20"/>
    </w:rPr>
  </w:style>
  <w:style w:type="character" w:customStyle="1" w:styleId="CharAmPartNo">
    <w:name w:val="CharAmPartNo"/>
    <w:basedOn w:val="DefaultParagraphFont"/>
    <w:uiPriority w:val="1"/>
    <w:qFormat/>
    <w:rsid w:val="007C0947"/>
  </w:style>
  <w:style w:type="character" w:customStyle="1" w:styleId="CharAmPartText">
    <w:name w:val="CharAmPartText"/>
    <w:basedOn w:val="DefaultParagraphFont"/>
    <w:uiPriority w:val="1"/>
    <w:qFormat/>
    <w:rsid w:val="007C0947"/>
  </w:style>
  <w:style w:type="character" w:customStyle="1" w:styleId="CharAmSchNo">
    <w:name w:val="CharAmSchNo"/>
    <w:basedOn w:val="DefaultParagraphFont"/>
    <w:uiPriority w:val="1"/>
    <w:qFormat/>
    <w:rsid w:val="007C0947"/>
  </w:style>
  <w:style w:type="character" w:customStyle="1" w:styleId="CharAmSchText">
    <w:name w:val="CharAmSchText"/>
    <w:basedOn w:val="DefaultParagraphFont"/>
    <w:uiPriority w:val="1"/>
    <w:qFormat/>
    <w:rsid w:val="007C0947"/>
  </w:style>
  <w:style w:type="character" w:customStyle="1" w:styleId="CharSectno">
    <w:name w:val="CharSectno"/>
    <w:basedOn w:val="DefaultParagraphFont"/>
    <w:uiPriority w:val="1"/>
    <w:qFormat/>
    <w:rsid w:val="007C0947"/>
  </w:style>
  <w:style w:type="paragraph" w:customStyle="1" w:styleId="paragraphsub">
    <w:name w:val="paragraph(sub)"/>
    <w:aliases w:val="aa"/>
    <w:basedOn w:val="Normal"/>
    <w:rsid w:val="007C0947"/>
    <w:pPr>
      <w:tabs>
        <w:tab w:val="right" w:pos="1985"/>
      </w:tabs>
      <w:spacing w:before="40" w:after="0"/>
      <w:ind w:left="2098" w:hanging="2098"/>
    </w:pPr>
  </w:style>
  <w:style w:type="paragraph" w:customStyle="1" w:styleId="SubsectionHead">
    <w:name w:val="SubsectionHead"/>
    <w:aliases w:val="ssh"/>
    <w:basedOn w:val="Normal"/>
    <w:next w:val="subsection"/>
    <w:rsid w:val="007C0947"/>
    <w:pPr>
      <w:keepNext/>
      <w:keepLines/>
      <w:spacing w:before="240" w:after="0"/>
      <w:ind w:left="1134"/>
    </w:pPr>
    <w:rPr>
      <w:i/>
    </w:rPr>
  </w:style>
  <w:style w:type="paragraph" w:customStyle="1" w:styleId="Default">
    <w:name w:val="Default"/>
    <w:rsid w:val="007C0947"/>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C0947"/>
    <w:pPr>
      <w:spacing w:before="120" w:after="120"/>
    </w:pPr>
    <w:rPr>
      <w:sz w:val="22"/>
    </w:rPr>
  </w:style>
  <w:style w:type="paragraph" w:styleId="Heading1">
    <w:name w:val="heading 1"/>
    <w:basedOn w:val="Normal"/>
    <w:next w:val="base-text-paragraph"/>
    <w:link w:val="Heading1Char"/>
    <w:qFormat/>
    <w:rsid w:val="00832743"/>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8C359D"/>
    <w:pPr>
      <w:spacing w:before="480"/>
      <w:outlineLvl w:val="1"/>
    </w:pPr>
    <w:rPr>
      <w:caps w:val="0"/>
      <w:sz w:val="26"/>
    </w:rPr>
  </w:style>
  <w:style w:type="paragraph" w:styleId="Heading3">
    <w:name w:val="heading 3"/>
    <w:basedOn w:val="Heading2"/>
    <w:next w:val="base-text-paragraph"/>
    <w:link w:val="Heading3Char"/>
    <w:qFormat/>
    <w:rsid w:val="00DA72C6"/>
    <w:pPr>
      <w:spacing w:before="240"/>
      <w:outlineLvl w:val="2"/>
    </w:pPr>
    <w:rPr>
      <w:sz w:val="22"/>
    </w:rPr>
  </w:style>
  <w:style w:type="paragraph" w:styleId="Heading4">
    <w:name w:val="heading 4"/>
    <w:basedOn w:val="Heading3"/>
    <w:next w:val="base-text-paragraph"/>
    <w:link w:val="Heading4Char"/>
    <w:qFormat/>
    <w:rsid w:val="00231CBA"/>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231CBA"/>
    <w:pPr>
      <w:spacing w:after="60"/>
      <w:outlineLvl w:val="4"/>
    </w:pPr>
    <w:rPr>
      <w:b w:val="0"/>
      <w:bCs/>
      <w:iCs/>
      <w:szCs w:val="26"/>
    </w:rPr>
  </w:style>
  <w:style w:type="paragraph" w:styleId="Heading6">
    <w:name w:val="heading 6"/>
    <w:basedOn w:val="Heading5"/>
    <w:next w:val="base-text-paragraph"/>
    <w:link w:val="Heading6Char"/>
    <w:qFormat/>
    <w:rsid w:val="00231CBA"/>
    <w:pPr>
      <w:outlineLvl w:val="5"/>
    </w:pPr>
    <w:rPr>
      <w:bCs w:val="0"/>
      <w:i w:val="0"/>
      <w:szCs w:val="22"/>
      <w:u w:val="single"/>
    </w:rPr>
  </w:style>
  <w:style w:type="paragraph" w:styleId="Heading7">
    <w:name w:val="heading 7"/>
    <w:basedOn w:val="Normal"/>
    <w:next w:val="Normal"/>
    <w:link w:val="Heading7Char"/>
    <w:qFormat/>
    <w:rsid w:val="003D6FD9"/>
    <w:pPr>
      <w:spacing w:before="240" w:after="60"/>
      <w:outlineLvl w:val="6"/>
    </w:pPr>
    <w:rPr>
      <w:sz w:val="24"/>
      <w:szCs w:val="24"/>
    </w:rPr>
  </w:style>
  <w:style w:type="paragraph" w:styleId="Heading8">
    <w:name w:val="heading 8"/>
    <w:basedOn w:val="Normal"/>
    <w:next w:val="Normal"/>
    <w:link w:val="Heading8Char"/>
    <w:qFormat/>
    <w:rsid w:val="003D6FD9"/>
    <w:pPr>
      <w:spacing w:before="240" w:after="60"/>
      <w:outlineLvl w:val="7"/>
    </w:pPr>
    <w:rPr>
      <w:i/>
      <w:iCs/>
      <w:sz w:val="24"/>
      <w:szCs w:val="24"/>
    </w:rPr>
  </w:style>
  <w:style w:type="paragraph" w:styleId="Heading9">
    <w:name w:val="heading 9"/>
    <w:basedOn w:val="Normal"/>
    <w:next w:val="Normal"/>
    <w:link w:val="Heading9Char"/>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2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20"/>
      </w:numPr>
      <w:tabs>
        <w:tab w:val="num" w:pos="360"/>
      </w:tabs>
    </w:pPr>
    <w:rPr>
      <w:i w:val="0"/>
    </w:rPr>
  </w:style>
  <w:style w:type="paragraph" w:customStyle="1" w:styleId="base-text-paragraph">
    <w:name w:val="base-text-paragraph"/>
    <w:basedOn w:val="Normal"/>
    <w:link w:val="base-text-paragraphChar"/>
    <w:rsid w:val="00D85BEA"/>
    <w:pPr>
      <w:numPr>
        <w:ilvl w:val="1"/>
        <w:numId w:val="2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20"/>
      </w:numPr>
      <w:tabs>
        <w:tab w:val="num" w:pos="360"/>
      </w:tabs>
      <w:ind w:left="0"/>
    </w:pPr>
    <w:rPr>
      <w:b/>
    </w:rPr>
  </w:style>
  <w:style w:type="paragraph" w:customStyle="1" w:styleId="Diagram">
    <w:name w:val="Diagram"/>
    <w:basedOn w:val="Normal"/>
    <w:next w:val="base-text-paragraphnonumbers"/>
    <w:rsid w:val="0036787F"/>
    <w:pPr>
      <w:keepNext/>
      <w:numPr>
        <w:ilvl w:val="2"/>
        <w:numId w:val="20"/>
      </w:numPr>
      <w:tabs>
        <w:tab w:val="num" w:pos="360"/>
      </w:tabs>
      <w:spacing w:before="0" w:after="0"/>
      <w:ind w:left="0"/>
    </w:pPr>
    <w:rPr>
      <w:b/>
    </w:rPr>
  </w:style>
  <w:style w:type="paragraph" w:customStyle="1" w:styleId="dotpoint">
    <w:name w:val="dot point"/>
    <w:basedOn w:val="Normal"/>
    <w:rsid w:val="00D85BEA"/>
    <w:pPr>
      <w:numPr>
        <w:numId w:val="1"/>
      </w:numPr>
    </w:pPr>
  </w:style>
  <w:style w:type="paragraph" w:customStyle="1" w:styleId="dotpoint2">
    <w:name w:val="dot point 2"/>
    <w:basedOn w:val="Normal"/>
    <w:rsid w:val="00E62E8C"/>
    <w:pPr>
      <w:numPr>
        <w:ilvl w:val="1"/>
        <w:numId w:val="16"/>
      </w:numPr>
      <w:tabs>
        <w:tab w:val="clear" w:pos="2552"/>
        <w:tab w:val="num" w:pos="360"/>
      </w:tabs>
      <w:ind w:left="2268" w:firstLine="0"/>
    </w:pPr>
  </w:style>
  <w:style w:type="paragraph" w:customStyle="1" w:styleId="exampledotpoint1">
    <w:name w:val="example dot point 1"/>
    <w:basedOn w:val="exampletext"/>
    <w:rsid w:val="008C51F4"/>
    <w:pPr>
      <w:numPr>
        <w:numId w:val="17"/>
      </w:numPr>
    </w:pPr>
  </w:style>
  <w:style w:type="paragraph" w:customStyle="1" w:styleId="exampledotpoint2">
    <w:name w:val="example dot point 2"/>
    <w:basedOn w:val="exampletext"/>
    <w:rsid w:val="008C51F4"/>
    <w:pPr>
      <w:numPr>
        <w:ilvl w:val="1"/>
        <w:numId w:val="17"/>
      </w:numPr>
    </w:pPr>
  </w:style>
  <w:style w:type="paragraph" w:customStyle="1" w:styleId="tabletext">
    <w:name w:val="table text"/>
    <w:basedOn w:val="Normal"/>
    <w:link w:val="tabletextChar"/>
    <w:rsid w:val="00832743"/>
    <w:pPr>
      <w:spacing w:before="40" w:after="40"/>
    </w:pPr>
    <w:rPr>
      <w:sz w:val="20"/>
    </w:rPr>
  </w:style>
  <w:style w:type="paragraph" w:customStyle="1" w:styleId="tabledotpoint">
    <w:name w:val="table dot point"/>
    <w:basedOn w:val="tabletext"/>
    <w:rsid w:val="00A37F77"/>
    <w:pPr>
      <w:numPr>
        <w:numId w:val="19"/>
      </w:numPr>
    </w:pPr>
  </w:style>
  <w:style w:type="paragraph" w:customStyle="1" w:styleId="tabledotpoint2">
    <w:name w:val="table dot point 2"/>
    <w:basedOn w:val="tabletext"/>
    <w:rsid w:val="00A37F77"/>
    <w:pPr>
      <w:numPr>
        <w:ilvl w:val="1"/>
        <w:numId w:val="19"/>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2"/>
      </w:numPr>
    </w:pPr>
  </w:style>
  <w:style w:type="numbering" w:styleId="1ai">
    <w:name w:val="Outline List 1"/>
    <w:basedOn w:val="NoList"/>
    <w:semiHidden/>
    <w:rsid w:val="003D6FD9"/>
    <w:pPr>
      <w:numPr>
        <w:numId w:val="13"/>
      </w:numPr>
    </w:pPr>
  </w:style>
  <w:style w:type="numbering" w:styleId="ArticleSection">
    <w:name w:val="Outline List 3"/>
    <w:basedOn w:val="NoList"/>
    <w:semiHidden/>
    <w:rsid w:val="003D6FD9"/>
    <w:pPr>
      <w:numPr>
        <w:numId w:val="14"/>
      </w:numPr>
    </w:pPr>
  </w:style>
  <w:style w:type="paragraph" w:styleId="BlockText">
    <w:name w:val="Block Text"/>
    <w:basedOn w:val="Normal"/>
    <w:semiHidden/>
    <w:rsid w:val="003D6FD9"/>
    <w:pPr>
      <w:ind w:left="1440" w:right="1440"/>
    </w:pPr>
  </w:style>
  <w:style w:type="paragraph" w:styleId="BodyText">
    <w:name w:val="Body Text"/>
    <w:basedOn w:val="Normal"/>
    <w:link w:val="BodyTextChar"/>
    <w:semiHidden/>
    <w:rsid w:val="003D6FD9"/>
  </w:style>
  <w:style w:type="paragraph" w:styleId="BodyText2">
    <w:name w:val="Body Text 2"/>
    <w:basedOn w:val="Normal"/>
    <w:link w:val="BodyText2Char"/>
    <w:semiHidden/>
    <w:rsid w:val="003D6FD9"/>
    <w:pPr>
      <w:spacing w:line="480" w:lineRule="auto"/>
    </w:pPr>
  </w:style>
  <w:style w:type="paragraph" w:styleId="BodyText3">
    <w:name w:val="Body Text 3"/>
    <w:basedOn w:val="Normal"/>
    <w:link w:val="BodyText3Char"/>
    <w:semiHidden/>
    <w:rsid w:val="003D6FD9"/>
    <w:rPr>
      <w:sz w:val="16"/>
      <w:szCs w:val="16"/>
    </w:rPr>
  </w:style>
  <w:style w:type="paragraph" w:styleId="BodyTextFirstIndent">
    <w:name w:val="Body Text First Indent"/>
    <w:basedOn w:val="BodyText"/>
    <w:link w:val="BodyTextFirstIndentChar"/>
    <w:semiHidden/>
    <w:rsid w:val="003D6FD9"/>
    <w:pPr>
      <w:ind w:firstLine="210"/>
    </w:pPr>
  </w:style>
  <w:style w:type="paragraph" w:styleId="BodyTextIndent">
    <w:name w:val="Body Text Indent"/>
    <w:basedOn w:val="Normal"/>
    <w:link w:val="BodyTextIndentChar"/>
    <w:semiHidden/>
    <w:rsid w:val="003D6FD9"/>
    <w:pPr>
      <w:ind w:left="283"/>
    </w:pPr>
  </w:style>
  <w:style w:type="paragraph" w:styleId="BodyTextFirstIndent2">
    <w:name w:val="Body Text First Indent 2"/>
    <w:basedOn w:val="BodyTextIndent"/>
    <w:link w:val="BodyTextFirstIndent2Char"/>
    <w:semiHidden/>
    <w:rsid w:val="003D6FD9"/>
    <w:pPr>
      <w:ind w:firstLine="210"/>
    </w:pPr>
  </w:style>
  <w:style w:type="paragraph" w:styleId="BodyTextIndent2">
    <w:name w:val="Body Text Indent 2"/>
    <w:basedOn w:val="Normal"/>
    <w:link w:val="BodyTextIndent2Char"/>
    <w:semiHidden/>
    <w:rsid w:val="003D6FD9"/>
    <w:pPr>
      <w:spacing w:line="480" w:lineRule="auto"/>
      <w:ind w:left="283"/>
    </w:pPr>
  </w:style>
  <w:style w:type="paragraph" w:styleId="BodyTextIndent3">
    <w:name w:val="Body Text Indent 3"/>
    <w:basedOn w:val="Normal"/>
    <w:link w:val="BodyTextIndent3Char"/>
    <w:semiHidden/>
    <w:rsid w:val="003D6FD9"/>
    <w:pPr>
      <w:ind w:left="283"/>
    </w:pPr>
    <w:rPr>
      <w:sz w:val="16"/>
      <w:szCs w:val="16"/>
    </w:rPr>
  </w:style>
  <w:style w:type="paragraph" w:styleId="Closing">
    <w:name w:val="Closing"/>
    <w:basedOn w:val="Normal"/>
    <w:link w:val="ClosingChar"/>
    <w:semiHidden/>
    <w:rsid w:val="003D6FD9"/>
    <w:pPr>
      <w:ind w:left="4252"/>
    </w:pPr>
  </w:style>
  <w:style w:type="paragraph" w:styleId="Date">
    <w:name w:val="Date"/>
    <w:basedOn w:val="Normal"/>
    <w:next w:val="Normal"/>
    <w:link w:val="DateChar"/>
    <w:semiHidden/>
    <w:rsid w:val="003D6FD9"/>
  </w:style>
  <w:style w:type="paragraph" w:styleId="E-mailSignature">
    <w:name w:val="E-mail Signature"/>
    <w:basedOn w:val="Normal"/>
    <w:link w:val="E-mailSignatureChar"/>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link w:val="FooterChar"/>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link w:val="HTMLAddressChar"/>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link w:val="HTMLPreformattedChar"/>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2"/>
      </w:numPr>
    </w:pPr>
  </w:style>
  <w:style w:type="paragraph" w:styleId="ListBullet2">
    <w:name w:val="List Bullet 2"/>
    <w:basedOn w:val="Normal"/>
    <w:rsid w:val="003D6FD9"/>
    <w:pPr>
      <w:numPr>
        <w:numId w:val="3"/>
      </w:numPr>
    </w:pPr>
  </w:style>
  <w:style w:type="paragraph" w:styleId="ListBullet3">
    <w:name w:val="List Bullet 3"/>
    <w:basedOn w:val="Normal"/>
    <w:semiHidden/>
    <w:rsid w:val="003D6FD9"/>
    <w:pPr>
      <w:numPr>
        <w:numId w:val="4"/>
      </w:numPr>
    </w:pPr>
  </w:style>
  <w:style w:type="paragraph" w:styleId="ListBullet4">
    <w:name w:val="List Bullet 4"/>
    <w:basedOn w:val="Normal"/>
    <w:semiHidden/>
    <w:rsid w:val="003D6FD9"/>
    <w:pPr>
      <w:numPr>
        <w:numId w:val="5"/>
      </w:numPr>
    </w:pPr>
  </w:style>
  <w:style w:type="paragraph" w:styleId="ListBullet5">
    <w:name w:val="List Bullet 5"/>
    <w:basedOn w:val="Normal"/>
    <w:semiHidden/>
    <w:rsid w:val="003D6FD9"/>
    <w:pPr>
      <w:numPr>
        <w:numId w:val="6"/>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7"/>
      </w:numPr>
    </w:pPr>
  </w:style>
  <w:style w:type="paragraph" w:styleId="ListNumber2">
    <w:name w:val="List Number 2"/>
    <w:basedOn w:val="Normal"/>
    <w:semiHidden/>
    <w:rsid w:val="003D6FD9"/>
    <w:pPr>
      <w:numPr>
        <w:numId w:val="8"/>
      </w:numPr>
    </w:pPr>
  </w:style>
  <w:style w:type="paragraph" w:styleId="ListNumber3">
    <w:name w:val="List Number 3"/>
    <w:basedOn w:val="Normal"/>
    <w:semiHidden/>
    <w:rsid w:val="003D6FD9"/>
    <w:pPr>
      <w:numPr>
        <w:numId w:val="9"/>
      </w:numPr>
    </w:pPr>
  </w:style>
  <w:style w:type="paragraph" w:styleId="ListNumber4">
    <w:name w:val="List Number 4"/>
    <w:basedOn w:val="Normal"/>
    <w:semiHidden/>
    <w:rsid w:val="003D6FD9"/>
    <w:pPr>
      <w:numPr>
        <w:numId w:val="10"/>
      </w:numPr>
    </w:pPr>
  </w:style>
  <w:style w:type="paragraph" w:styleId="ListNumber5">
    <w:name w:val="List Number 5"/>
    <w:basedOn w:val="Normal"/>
    <w:semiHidden/>
    <w:rsid w:val="003D6FD9"/>
    <w:pPr>
      <w:numPr>
        <w:numId w:val="11"/>
      </w:numPr>
    </w:pPr>
  </w:style>
  <w:style w:type="paragraph" w:styleId="MessageHeader">
    <w:name w:val="Message Header"/>
    <w:basedOn w:val="Normal"/>
    <w:link w:val="MessageHeaderChar"/>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link w:val="NoteHeadingChar"/>
    <w:semiHidden/>
    <w:rsid w:val="003D6FD9"/>
  </w:style>
  <w:style w:type="character" w:styleId="PageNumber">
    <w:name w:val="page number"/>
    <w:basedOn w:val="DefaultParagraphFont"/>
    <w:semiHidden/>
    <w:rsid w:val="003D6FD9"/>
  </w:style>
  <w:style w:type="paragraph" w:styleId="PlainText">
    <w:name w:val="Plain Text"/>
    <w:basedOn w:val="Normal"/>
    <w:link w:val="PlainTextChar"/>
    <w:semiHidden/>
    <w:rsid w:val="003D6FD9"/>
    <w:rPr>
      <w:rFonts w:ascii="Courier New" w:hAnsi="Courier New" w:cs="Courier New"/>
      <w:sz w:val="20"/>
    </w:rPr>
  </w:style>
  <w:style w:type="paragraph" w:styleId="Salutation">
    <w:name w:val="Salutation"/>
    <w:basedOn w:val="Normal"/>
    <w:next w:val="Normal"/>
    <w:link w:val="SalutationChar"/>
    <w:semiHidden/>
    <w:rsid w:val="003D6FD9"/>
  </w:style>
  <w:style w:type="paragraph" w:styleId="Signature">
    <w:name w:val="Signature"/>
    <w:basedOn w:val="Normal"/>
    <w:link w:val="SignatureChar"/>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link w:val="SubtitleChar"/>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link w:val="FootnoteTextChar"/>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5"/>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16"/>
      </w:numPr>
    </w:pPr>
  </w:style>
  <w:style w:type="numbering" w:customStyle="1" w:styleId="ExampleDotPointList">
    <w:name w:val="Example Dot Point List"/>
    <w:uiPriority w:val="99"/>
    <w:rsid w:val="008C51F4"/>
    <w:pPr>
      <w:numPr>
        <w:numId w:val="17"/>
      </w:numPr>
    </w:pPr>
  </w:style>
  <w:style w:type="numbering" w:customStyle="1" w:styleId="TableDotPointList">
    <w:name w:val="Table Dot Point List"/>
    <w:uiPriority w:val="99"/>
    <w:rsid w:val="00A37F77"/>
    <w:pPr>
      <w:numPr>
        <w:numId w:val="18"/>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customStyle="1" w:styleId="tabletextChar">
    <w:name w:val="table text Char"/>
    <w:basedOn w:val="DefaultParagraphFont"/>
    <w:link w:val="tabletext"/>
    <w:rsid w:val="007C0947"/>
  </w:style>
  <w:style w:type="paragraph" w:styleId="BalloonText">
    <w:name w:val="Balloon Text"/>
    <w:basedOn w:val="Normal"/>
    <w:link w:val="BalloonTextChar"/>
    <w:rsid w:val="007C0947"/>
    <w:pPr>
      <w:spacing w:before="0" w:after="0"/>
    </w:pPr>
    <w:rPr>
      <w:rFonts w:ascii="Tahoma" w:hAnsi="Tahoma" w:cs="Tahoma"/>
      <w:sz w:val="16"/>
      <w:szCs w:val="16"/>
    </w:rPr>
  </w:style>
  <w:style w:type="character" w:customStyle="1" w:styleId="BalloonTextChar">
    <w:name w:val="Balloon Text Char"/>
    <w:basedOn w:val="DefaultParagraphFont"/>
    <w:link w:val="BalloonText"/>
    <w:rsid w:val="007C0947"/>
    <w:rPr>
      <w:rFonts w:ascii="Tahoma" w:hAnsi="Tahoma" w:cs="Tahoma"/>
      <w:sz w:val="16"/>
      <w:szCs w:val="16"/>
    </w:rPr>
  </w:style>
  <w:style w:type="paragraph" w:customStyle="1" w:styleId="Bullet">
    <w:name w:val="Bullet"/>
    <w:aliases w:val="b,b + line,b1,Body,level 1,Bullet + line"/>
    <w:basedOn w:val="Normal"/>
    <w:link w:val="BulletChar"/>
    <w:qFormat/>
    <w:rsid w:val="007C0947"/>
    <w:pPr>
      <w:numPr>
        <w:numId w:val="23"/>
      </w:numPr>
    </w:pPr>
  </w:style>
  <w:style w:type="paragraph" w:customStyle="1" w:styleId="Dash">
    <w:name w:val="Dash"/>
    <w:basedOn w:val="Normal"/>
    <w:link w:val="DashChar"/>
    <w:qFormat/>
    <w:rsid w:val="007C0947"/>
    <w:pPr>
      <w:numPr>
        <w:ilvl w:val="1"/>
        <w:numId w:val="23"/>
      </w:numPr>
    </w:pPr>
  </w:style>
  <w:style w:type="paragraph" w:customStyle="1" w:styleId="DoubleDot">
    <w:name w:val="Double Dot"/>
    <w:basedOn w:val="Normal"/>
    <w:link w:val="DoubleDotChar"/>
    <w:qFormat/>
    <w:rsid w:val="007C0947"/>
    <w:pPr>
      <w:numPr>
        <w:ilvl w:val="2"/>
        <w:numId w:val="23"/>
      </w:numPr>
    </w:pPr>
  </w:style>
  <w:style w:type="character" w:styleId="FootnoteReference">
    <w:name w:val="footnote reference"/>
    <w:basedOn w:val="DefaultParagraphFont"/>
    <w:rsid w:val="007C0947"/>
    <w:rPr>
      <w:vertAlign w:val="superscript"/>
    </w:rPr>
  </w:style>
  <w:style w:type="paragraph" w:styleId="Caption">
    <w:name w:val="caption"/>
    <w:basedOn w:val="Normal"/>
    <w:next w:val="Normal"/>
    <w:semiHidden/>
    <w:unhideWhenUsed/>
    <w:qFormat/>
    <w:rsid w:val="007C0947"/>
    <w:pPr>
      <w:spacing w:before="0" w:after="200"/>
    </w:pPr>
    <w:rPr>
      <w:b/>
      <w:bCs/>
      <w:color w:val="4F81BD" w:themeColor="accent1"/>
      <w:sz w:val="18"/>
      <w:szCs w:val="18"/>
    </w:rPr>
  </w:style>
  <w:style w:type="character" w:styleId="CommentReference">
    <w:name w:val="annotation reference"/>
    <w:basedOn w:val="DefaultParagraphFont"/>
    <w:rsid w:val="007C0947"/>
    <w:rPr>
      <w:sz w:val="16"/>
      <w:szCs w:val="16"/>
    </w:rPr>
  </w:style>
  <w:style w:type="paragraph" w:styleId="CommentText">
    <w:name w:val="annotation text"/>
    <w:basedOn w:val="Normal"/>
    <w:link w:val="CommentTextChar"/>
    <w:rsid w:val="007C0947"/>
    <w:rPr>
      <w:sz w:val="20"/>
    </w:rPr>
  </w:style>
  <w:style w:type="character" w:customStyle="1" w:styleId="CommentTextChar">
    <w:name w:val="Comment Text Char"/>
    <w:basedOn w:val="DefaultParagraphFont"/>
    <w:link w:val="CommentText"/>
    <w:rsid w:val="007C0947"/>
  </w:style>
  <w:style w:type="paragraph" w:styleId="CommentSubject">
    <w:name w:val="annotation subject"/>
    <w:basedOn w:val="CommentText"/>
    <w:next w:val="CommentText"/>
    <w:link w:val="CommentSubjectChar"/>
    <w:rsid w:val="007C0947"/>
    <w:rPr>
      <w:b/>
      <w:bCs/>
    </w:rPr>
  </w:style>
  <w:style w:type="character" w:customStyle="1" w:styleId="CommentSubjectChar">
    <w:name w:val="Comment Subject Char"/>
    <w:basedOn w:val="CommentTextChar"/>
    <w:link w:val="CommentSubject"/>
    <w:rsid w:val="007C0947"/>
    <w:rPr>
      <w:b/>
      <w:bCs/>
    </w:rPr>
  </w:style>
  <w:style w:type="paragraph" w:styleId="Revision">
    <w:name w:val="Revision"/>
    <w:hidden/>
    <w:uiPriority w:val="99"/>
    <w:semiHidden/>
    <w:rsid w:val="007C0947"/>
    <w:rPr>
      <w:sz w:val="22"/>
    </w:rPr>
  </w:style>
  <w:style w:type="paragraph" w:customStyle="1" w:styleId="SecurityClassificationHeader">
    <w:name w:val="Security Classification Header"/>
    <w:link w:val="SecurityClassificationHeaderChar"/>
    <w:rsid w:val="007C0947"/>
    <w:pPr>
      <w:spacing w:before="240" w:after="60"/>
      <w:jc w:val="center"/>
    </w:pPr>
    <w:rPr>
      <w:b/>
      <w:caps/>
      <w:sz w:val="24"/>
    </w:rPr>
  </w:style>
  <w:style w:type="character" w:customStyle="1" w:styleId="SecurityClassificationHeaderChar">
    <w:name w:val="Security Classification Header Char"/>
    <w:basedOn w:val="HeaderChar"/>
    <w:link w:val="SecurityClassificationHeader"/>
    <w:rsid w:val="007C0947"/>
    <w:rPr>
      <w:b/>
      <w:caps/>
      <w:sz w:val="24"/>
    </w:rPr>
  </w:style>
  <w:style w:type="paragraph" w:customStyle="1" w:styleId="SecurityClassificationFooter">
    <w:name w:val="Security Classification Footer"/>
    <w:link w:val="SecurityClassificationFooterChar"/>
    <w:rsid w:val="007C0947"/>
    <w:pPr>
      <w:spacing w:before="60" w:after="240"/>
      <w:jc w:val="center"/>
    </w:pPr>
    <w:rPr>
      <w:b/>
      <w:caps/>
      <w:sz w:val="24"/>
    </w:rPr>
  </w:style>
  <w:style w:type="character" w:customStyle="1" w:styleId="SecurityClassificationFooterChar">
    <w:name w:val="Security Classification Footer Char"/>
    <w:basedOn w:val="HeaderChar"/>
    <w:link w:val="SecurityClassificationFooter"/>
    <w:rsid w:val="007C0947"/>
    <w:rPr>
      <w:b/>
      <w:caps/>
      <w:sz w:val="24"/>
    </w:rPr>
  </w:style>
  <w:style w:type="paragraph" w:customStyle="1" w:styleId="DLMSecurityHeader">
    <w:name w:val="DLM Security Header"/>
    <w:link w:val="DLMSecurityHeaderChar"/>
    <w:rsid w:val="007C0947"/>
    <w:pPr>
      <w:spacing w:before="60" w:after="240"/>
      <w:jc w:val="center"/>
    </w:pPr>
    <w:rPr>
      <w:b/>
      <w:caps/>
      <w:sz w:val="24"/>
    </w:rPr>
  </w:style>
  <w:style w:type="character" w:customStyle="1" w:styleId="DLMSecurityHeaderChar">
    <w:name w:val="DLM Security Header Char"/>
    <w:basedOn w:val="HeaderChar"/>
    <w:link w:val="DLMSecurityHeader"/>
    <w:rsid w:val="007C0947"/>
    <w:rPr>
      <w:b/>
      <w:caps/>
      <w:sz w:val="24"/>
    </w:rPr>
  </w:style>
  <w:style w:type="paragraph" w:customStyle="1" w:styleId="DLMSecurityFooter">
    <w:name w:val="DLM Security Footer"/>
    <w:link w:val="DLMSecurityFooterChar"/>
    <w:rsid w:val="007C0947"/>
    <w:pPr>
      <w:spacing w:before="240" w:after="60"/>
      <w:jc w:val="center"/>
    </w:pPr>
    <w:rPr>
      <w:b/>
      <w:caps/>
      <w:sz w:val="24"/>
    </w:rPr>
  </w:style>
  <w:style w:type="character" w:customStyle="1" w:styleId="DLMSecurityFooterChar">
    <w:name w:val="DLM Security Footer Char"/>
    <w:basedOn w:val="HeaderChar"/>
    <w:link w:val="DLMSecurityFooter"/>
    <w:rsid w:val="007C0947"/>
    <w:rPr>
      <w:b/>
      <w:caps/>
      <w:sz w:val="24"/>
    </w:rPr>
  </w:style>
  <w:style w:type="character" w:customStyle="1" w:styleId="Heading2Char">
    <w:name w:val="Heading 2 Char"/>
    <w:basedOn w:val="DefaultParagraphFont"/>
    <w:link w:val="Heading2"/>
    <w:rsid w:val="007C0947"/>
    <w:rPr>
      <w:rFonts w:ascii="Helvetica" w:hAnsi="Helvetica"/>
      <w:b/>
      <w:sz w:val="26"/>
    </w:rPr>
  </w:style>
  <w:style w:type="character" w:customStyle="1" w:styleId="BulletChar">
    <w:name w:val="Bullet Char"/>
    <w:aliases w:val="b Char,b + line Char Char,b Char Char,b1 Char,b + line Char,Body Char,level 1 Char"/>
    <w:basedOn w:val="base-text-paragraphChar"/>
    <w:link w:val="Bullet"/>
    <w:rsid w:val="007C0947"/>
    <w:rPr>
      <w:sz w:val="22"/>
    </w:rPr>
  </w:style>
  <w:style w:type="character" w:customStyle="1" w:styleId="DashChar">
    <w:name w:val="Dash Char"/>
    <w:basedOn w:val="base-text-paragraphChar"/>
    <w:link w:val="Dash"/>
    <w:rsid w:val="007C0947"/>
    <w:rPr>
      <w:sz w:val="22"/>
    </w:rPr>
  </w:style>
  <w:style w:type="character" w:customStyle="1" w:styleId="DoubleDotChar">
    <w:name w:val="Double Dot Char"/>
    <w:basedOn w:val="base-text-paragraphChar"/>
    <w:link w:val="DoubleDot"/>
    <w:rsid w:val="007C0947"/>
    <w:rPr>
      <w:sz w:val="22"/>
    </w:rPr>
  </w:style>
  <w:style w:type="table" w:styleId="LightGrid-Accent2">
    <w:name w:val="Light Grid Accent 2"/>
    <w:basedOn w:val="TableNormal"/>
    <w:uiPriority w:val="62"/>
    <w:rsid w:val="007C0947"/>
    <w:rPr>
      <w:rFonts w:asciiTheme="minorHAnsi" w:eastAsiaTheme="minorEastAsia" w:hAnsiTheme="minorHAnsi" w:cstheme="minorBidi"/>
      <w:sz w:val="24"/>
      <w:szCs w:val="24"/>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shd w:val="clear" w:color="auto" w:fill="CD0920"/>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NumberList">
    <w:name w:val="Number List"/>
    <w:basedOn w:val="Normal"/>
    <w:rsid w:val="007C0947"/>
    <w:pPr>
      <w:numPr>
        <w:numId w:val="30"/>
      </w:numPr>
      <w:tabs>
        <w:tab w:val="left" w:pos="1985"/>
      </w:tabs>
      <w:spacing w:before="240" w:after="0" w:line="240" w:lineRule="atLeast"/>
    </w:pPr>
    <w:rPr>
      <w:sz w:val="24"/>
      <w:szCs w:val="24"/>
      <w:lang w:eastAsia="en-US"/>
    </w:rPr>
  </w:style>
  <w:style w:type="paragraph" w:customStyle="1" w:styleId="NumberListSub">
    <w:name w:val="Number List Sub"/>
    <w:basedOn w:val="NumberList"/>
    <w:rsid w:val="007C0947"/>
    <w:pPr>
      <w:numPr>
        <w:ilvl w:val="1"/>
      </w:numPr>
      <w:tabs>
        <w:tab w:val="left" w:pos="2552"/>
      </w:tabs>
    </w:pPr>
  </w:style>
  <w:style w:type="table" w:styleId="LightGrid">
    <w:name w:val="Light Grid"/>
    <w:basedOn w:val="TableNormal"/>
    <w:uiPriority w:val="62"/>
    <w:rsid w:val="007C094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TableText0">
    <w:name w:val="TableText"/>
    <w:basedOn w:val="Normal"/>
    <w:qFormat/>
    <w:rsid w:val="007C0947"/>
    <w:rPr>
      <w:rFonts w:ascii="Arial" w:eastAsiaTheme="majorEastAsia" w:hAnsi="Arial" w:cs="Arial"/>
      <w:bCs/>
      <w:sz w:val="20"/>
      <w:lang w:eastAsia="en-US"/>
    </w:rPr>
  </w:style>
  <w:style w:type="paragraph" w:customStyle="1" w:styleId="subsection">
    <w:name w:val="subsection"/>
    <w:aliases w:val="ss"/>
    <w:basedOn w:val="Normal"/>
    <w:rsid w:val="007C0947"/>
    <w:pPr>
      <w:spacing w:before="100" w:beforeAutospacing="1" w:after="100" w:afterAutospacing="1"/>
    </w:pPr>
    <w:rPr>
      <w:sz w:val="24"/>
      <w:szCs w:val="24"/>
    </w:rPr>
  </w:style>
  <w:style w:type="paragraph" w:customStyle="1" w:styleId="paragraph">
    <w:name w:val="paragraph"/>
    <w:aliases w:val="a"/>
    <w:basedOn w:val="Normal"/>
    <w:rsid w:val="007C0947"/>
    <w:pPr>
      <w:spacing w:before="100" w:beforeAutospacing="1" w:after="100" w:afterAutospacing="1"/>
    </w:pPr>
    <w:rPr>
      <w:sz w:val="24"/>
      <w:szCs w:val="24"/>
    </w:rPr>
  </w:style>
  <w:style w:type="paragraph" w:customStyle="1" w:styleId="subsection2">
    <w:name w:val="subsection2"/>
    <w:basedOn w:val="Normal"/>
    <w:rsid w:val="007C0947"/>
    <w:pPr>
      <w:spacing w:before="100" w:beforeAutospacing="1" w:after="100" w:afterAutospacing="1"/>
    </w:pPr>
    <w:rPr>
      <w:sz w:val="24"/>
      <w:szCs w:val="24"/>
    </w:rPr>
  </w:style>
  <w:style w:type="paragraph" w:customStyle="1" w:styleId="OutlineNumbered1">
    <w:name w:val="Outline Numbered 1"/>
    <w:basedOn w:val="Normal"/>
    <w:link w:val="OutlineNumbered1Char"/>
    <w:rsid w:val="007C0947"/>
    <w:pPr>
      <w:numPr>
        <w:numId w:val="31"/>
      </w:numPr>
    </w:pPr>
  </w:style>
  <w:style w:type="character" w:customStyle="1" w:styleId="OutlineNumbered1Char">
    <w:name w:val="Outline Numbered 1 Char"/>
    <w:basedOn w:val="base-text-paragraphChar"/>
    <w:link w:val="OutlineNumbered1"/>
    <w:rsid w:val="007C0947"/>
    <w:rPr>
      <w:sz w:val="22"/>
    </w:rPr>
  </w:style>
  <w:style w:type="paragraph" w:customStyle="1" w:styleId="OutlineNumbered2">
    <w:name w:val="Outline Numbered 2"/>
    <w:basedOn w:val="Normal"/>
    <w:link w:val="OutlineNumbered2Char"/>
    <w:rsid w:val="007C0947"/>
    <w:pPr>
      <w:numPr>
        <w:ilvl w:val="1"/>
        <w:numId w:val="31"/>
      </w:numPr>
    </w:pPr>
  </w:style>
  <w:style w:type="character" w:customStyle="1" w:styleId="OutlineNumbered2Char">
    <w:name w:val="Outline Numbered 2 Char"/>
    <w:basedOn w:val="base-text-paragraphChar"/>
    <w:link w:val="OutlineNumbered2"/>
    <w:rsid w:val="007C0947"/>
    <w:rPr>
      <w:sz w:val="22"/>
    </w:rPr>
  </w:style>
  <w:style w:type="paragraph" w:customStyle="1" w:styleId="OutlineNumbered3">
    <w:name w:val="Outline Numbered 3"/>
    <w:basedOn w:val="Normal"/>
    <w:link w:val="OutlineNumbered3Char"/>
    <w:rsid w:val="007C0947"/>
    <w:pPr>
      <w:numPr>
        <w:ilvl w:val="2"/>
        <w:numId w:val="31"/>
      </w:numPr>
    </w:pPr>
  </w:style>
  <w:style w:type="character" w:customStyle="1" w:styleId="OutlineNumbered3Char">
    <w:name w:val="Outline Numbered 3 Char"/>
    <w:basedOn w:val="base-text-paragraphChar"/>
    <w:link w:val="OutlineNumbered3"/>
    <w:rsid w:val="007C0947"/>
    <w:rPr>
      <w:sz w:val="22"/>
    </w:rPr>
  </w:style>
  <w:style w:type="character" w:customStyle="1" w:styleId="Heading4Char">
    <w:name w:val="Heading 4 Char"/>
    <w:basedOn w:val="DefaultParagraphFont"/>
    <w:link w:val="Heading4"/>
    <w:rsid w:val="007C0947"/>
    <w:rPr>
      <w:b/>
      <w:i/>
      <w:sz w:val="22"/>
    </w:rPr>
  </w:style>
  <w:style w:type="character" w:customStyle="1" w:styleId="Heading1Char">
    <w:name w:val="Heading 1 Char"/>
    <w:basedOn w:val="DefaultParagraphFont"/>
    <w:link w:val="Heading1"/>
    <w:rsid w:val="007C0947"/>
    <w:rPr>
      <w:rFonts w:ascii="Helvetica" w:hAnsi="Helvetica"/>
      <w:b/>
      <w:caps/>
      <w:sz w:val="28"/>
    </w:rPr>
  </w:style>
  <w:style w:type="character" w:customStyle="1" w:styleId="Heading3Char">
    <w:name w:val="Heading 3 Char"/>
    <w:basedOn w:val="DefaultParagraphFont"/>
    <w:link w:val="Heading3"/>
    <w:rsid w:val="007C0947"/>
    <w:rPr>
      <w:rFonts w:ascii="Helvetica" w:hAnsi="Helvetica"/>
      <w:b/>
      <w:sz w:val="22"/>
    </w:rPr>
  </w:style>
  <w:style w:type="character" w:customStyle="1" w:styleId="Heading5Char">
    <w:name w:val="Heading 5 Char"/>
    <w:basedOn w:val="DefaultParagraphFont"/>
    <w:link w:val="Heading5"/>
    <w:rsid w:val="007C0947"/>
    <w:rPr>
      <w:bCs/>
      <w:i/>
      <w:iCs/>
      <w:sz w:val="22"/>
      <w:szCs w:val="26"/>
    </w:rPr>
  </w:style>
  <w:style w:type="character" w:customStyle="1" w:styleId="Heading6Char">
    <w:name w:val="Heading 6 Char"/>
    <w:basedOn w:val="DefaultParagraphFont"/>
    <w:link w:val="Heading6"/>
    <w:rsid w:val="007C0947"/>
    <w:rPr>
      <w:iCs/>
      <w:sz w:val="22"/>
      <w:szCs w:val="22"/>
      <w:u w:val="single"/>
    </w:rPr>
  </w:style>
  <w:style w:type="character" w:customStyle="1" w:styleId="Heading7Char">
    <w:name w:val="Heading 7 Char"/>
    <w:basedOn w:val="DefaultParagraphFont"/>
    <w:link w:val="Heading7"/>
    <w:rsid w:val="007C0947"/>
    <w:rPr>
      <w:sz w:val="24"/>
      <w:szCs w:val="24"/>
    </w:rPr>
  </w:style>
  <w:style w:type="character" w:customStyle="1" w:styleId="Heading8Char">
    <w:name w:val="Heading 8 Char"/>
    <w:basedOn w:val="DefaultParagraphFont"/>
    <w:link w:val="Heading8"/>
    <w:rsid w:val="007C0947"/>
    <w:rPr>
      <w:i/>
      <w:iCs/>
      <w:sz w:val="24"/>
      <w:szCs w:val="24"/>
    </w:rPr>
  </w:style>
  <w:style w:type="character" w:customStyle="1" w:styleId="Heading9Char">
    <w:name w:val="Heading 9 Char"/>
    <w:basedOn w:val="DefaultParagraphFont"/>
    <w:link w:val="Heading9"/>
    <w:rsid w:val="007C0947"/>
    <w:rPr>
      <w:rFonts w:ascii="Arial" w:hAnsi="Arial" w:cs="Arial"/>
      <w:sz w:val="22"/>
      <w:szCs w:val="22"/>
    </w:rPr>
  </w:style>
  <w:style w:type="character" w:customStyle="1" w:styleId="BodyTextChar">
    <w:name w:val="Body Text Char"/>
    <w:basedOn w:val="DefaultParagraphFont"/>
    <w:link w:val="BodyText"/>
    <w:semiHidden/>
    <w:rsid w:val="007C0947"/>
    <w:rPr>
      <w:sz w:val="22"/>
    </w:rPr>
  </w:style>
  <w:style w:type="character" w:customStyle="1" w:styleId="BodyText2Char">
    <w:name w:val="Body Text 2 Char"/>
    <w:basedOn w:val="DefaultParagraphFont"/>
    <w:link w:val="BodyText2"/>
    <w:semiHidden/>
    <w:rsid w:val="007C0947"/>
    <w:rPr>
      <w:sz w:val="22"/>
    </w:rPr>
  </w:style>
  <w:style w:type="character" w:customStyle="1" w:styleId="BodyText3Char">
    <w:name w:val="Body Text 3 Char"/>
    <w:basedOn w:val="DefaultParagraphFont"/>
    <w:link w:val="BodyText3"/>
    <w:semiHidden/>
    <w:rsid w:val="007C0947"/>
    <w:rPr>
      <w:sz w:val="16"/>
      <w:szCs w:val="16"/>
    </w:rPr>
  </w:style>
  <w:style w:type="character" w:customStyle="1" w:styleId="BodyTextFirstIndentChar">
    <w:name w:val="Body Text First Indent Char"/>
    <w:basedOn w:val="BodyTextChar"/>
    <w:link w:val="BodyTextFirstIndent"/>
    <w:semiHidden/>
    <w:rsid w:val="007C0947"/>
    <w:rPr>
      <w:sz w:val="22"/>
    </w:rPr>
  </w:style>
  <w:style w:type="character" w:customStyle="1" w:styleId="BodyTextIndentChar">
    <w:name w:val="Body Text Indent Char"/>
    <w:basedOn w:val="DefaultParagraphFont"/>
    <w:link w:val="BodyTextIndent"/>
    <w:semiHidden/>
    <w:rsid w:val="007C0947"/>
    <w:rPr>
      <w:sz w:val="22"/>
    </w:rPr>
  </w:style>
  <w:style w:type="character" w:customStyle="1" w:styleId="BodyTextFirstIndent2Char">
    <w:name w:val="Body Text First Indent 2 Char"/>
    <w:basedOn w:val="BodyTextIndentChar"/>
    <w:link w:val="BodyTextFirstIndent2"/>
    <w:semiHidden/>
    <w:rsid w:val="007C0947"/>
    <w:rPr>
      <w:sz w:val="22"/>
    </w:rPr>
  </w:style>
  <w:style w:type="character" w:customStyle="1" w:styleId="BodyTextIndent2Char">
    <w:name w:val="Body Text Indent 2 Char"/>
    <w:basedOn w:val="DefaultParagraphFont"/>
    <w:link w:val="BodyTextIndent2"/>
    <w:semiHidden/>
    <w:rsid w:val="007C0947"/>
    <w:rPr>
      <w:sz w:val="22"/>
    </w:rPr>
  </w:style>
  <w:style w:type="character" w:customStyle="1" w:styleId="BodyTextIndent3Char">
    <w:name w:val="Body Text Indent 3 Char"/>
    <w:basedOn w:val="DefaultParagraphFont"/>
    <w:link w:val="BodyTextIndent3"/>
    <w:semiHidden/>
    <w:rsid w:val="007C0947"/>
    <w:rPr>
      <w:sz w:val="16"/>
      <w:szCs w:val="16"/>
    </w:rPr>
  </w:style>
  <w:style w:type="character" w:customStyle="1" w:styleId="ClosingChar">
    <w:name w:val="Closing Char"/>
    <w:basedOn w:val="DefaultParagraphFont"/>
    <w:link w:val="Closing"/>
    <w:semiHidden/>
    <w:rsid w:val="007C0947"/>
    <w:rPr>
      <w:sz w:val="22"/>
    </w:rPr>
  </w:style>
  <w:style w:type="character" w:customStyle="1" w:styleId="DateChar">
    <w:name w:val="Date Char"/>
    <w:basedOn w:val="DefaultParagraphFont"/>
    <w:link w:val="Date"/>
    <w:semiHidden/>
    <w:rsid w:val="007C0947"/>
    <w:rPr>
      <w:sz w:val="22"/>
    </w:rPr>
  </w:style>
  <w:style w:type="character" w:customStyle="1" w:styleId="E-mailSignatureChar">
    <w:name w:val="E-mail Signature Char"/>
    <w:basedOn w:val="DefaultParagraphFont"/>
    <w:link w:val="E-mailSignature"/>
    <w:semiHidden/>
    <w:rsid w:val="007C0947"/>
    <w:rPr>
      <w:sz w:val="22"/>
    </w:rPr>
  </w:style>
  <w:style w:type="character" w:customStyle="1" w:styleId="FooterChar">
    <w:name w:val="Footer Char"/>
    <w:basedOn w:val="DefaultParagraphFont"/>
    <w:link w:val="Footer"/>
    <w:semiHidden/>
    <w:rsid w:val="007C0947"/>
    <w:rPr>
      <w:sz w:val="22"/>
    </w:rPr>
  </w:style>
  <w:style w:type="character" w:customStyle="1" w:styleId="HTMLAddressChar">
    <w:name w:val="HTML Address Char"/>
    <w:basedOn w:val="DefaultParagraphFont"/>
    <w:link w:val="HTMLAddress"/>
    <w:semiHidden/>
    <w:rsid w:val="007C0947"/>
    <w:rPr>
      <w:i/>
      <w:iCs/>
      <w:sz w:val="22"/>
    </w:rPr>
  </w:style>
  <w:style w:type="character" w:customStyle="1" w:styleId="HTMLPreformattedChar">
    <w:name w:val="HTML Preformatted Char"/>
    <w:basedOn w:val="DefaultParagraphFont"/>
    <w:link w:val="HTMLPreformatted"/>
    <w:semiHidden/>
    <w:rsid w:val="007C0947"/>
    <w:rPr>
      <w:rFonts w:ascii="Courier New" w:hAnsi="Courier New" w:cs="Courier New"/>
    </w:rPr>
  </w:style>
  <w:style w:type="character" w:customStyle="1" w:styleId="MessageHeaderChar">
    <w:name w:val="Message Header Char"/>
    <w:basedOn w:val="DefaultParagraphFont"/>
    <w:link w:val="MessageHeader"/>
    <w:semiHidden/>
    <w:rsid w:val="007C0947"/>
    <w:rPr>
      <w:rFonts w:ascii="Arial" w:hAnsi="Arial" w:cs="Arial"/>
      <w:sz w:val="24"/>
      <w:szCs w:val="24"/>
      <w:shd w:val="pct20" w:color="auto" w:fill="auto"/>
    </w:rPr>
  </w:style>
  <w:style w:type="character" w:customStyle="1" w:styleId="NoteHeadingChar">
    <w:name w:val="Note Heading Char"/>
    <w:basedOn w:val="DefaultParagraphFont"/>
    <w:link w:val="NoteHeading"/>
    <w:semiHidden/>
    <w:rsid w:val="007C0947"/>
    <w:rPr>
      <w:sz w:val="22"/>
    </w:rPr>
  </w:style>
  <w:style w:type="character" w:customStyle="1" w:styleId="PlainTextChar">
    <w:name w:val="Plain Text Char"/>
    <w:basedOn w:val="DefaultParagraphFont"/>
    <w:link w:val="PlainText"/>
    <w:semiHidden/>
    <w:rsid w:val="007C0947"/>
    <w:rPr>
      <w:rFonts w:ascii="Courier New" w:hAnsi="Courier New" w:cs="Courier New"/>
    </w:rPr>
  </w:style>
  <w:style w:type="character" w:customStyle="1" w:styleId="SalutationChar">
    <w:name w:val="Salutation Char"/>
    <w:basedOn w:val="DefaultParagraphFont"/>
    <w:link w:val="Salutation"/>
    <w:semiHidden/>
    <w:rsid w:val="007C0947"/>
    <w:rPr>
      <w:sz w:val="22"/>
    </w:rPr>
  </w:style>
  <w:style w:type="character" w:customStyle="1" w:styleId="SignatureChar">
    <w:name w:val="Signature Char"/>
    <w:basedOn w:val="DefaultParagraphFont"/>
    <w:link w:val="Signature"/>
    <w:semiHidden/>
    <w:rsid w:val="007C0947"/>
    <w:rPr>
      <w:sz w:val="22"/>
    </w:rPr>
  </w:style>
  <w:style w:type="character" w:customStyle="1" w:styleId="SubtitleChar">
    <w:name w:val="Subtitle Char"/>
    <w:basedOn w:val="DefaultParagraphFont"/>
    <w:link w:val="Subtitle"/>
    <w:rsid w:val="007C0947"/>
    <w:rPr>
      <w:rFonts w:ascii="Arial" w:hAnsi="Arial" w:cs="Arial"/>
      <w:sz w:val="24"/>
      <w:szCs w:val="24"/>
    </w:rPr>
  </w:style>
  <w:style w:type="character" w:customStyle="1" w:styleId="TitleChar">
    <w:name w:val="Title Char"/>
    <w:basedOn w:val="DefaultParagraphFont"/>
    <w:link w:val="Title"/>
    <w:rsid w:val="007C0947"/>
    <w:rPr>
      <w:rFonts w:ascii="Arial" w:hAnsi="Arial" w:cs="Arial"/>
      <w:b/>
      <w:bCs/>
      <w:kern w:val="28"/>
      <w:sz w:val="32"/>
      <w:szCs w:val="32"/>
    </w:rPr>
  </w:style>
  <w:style w:type="character" w:customStyle="1" w:styleId="FootnoteTextChar">
    <w:name w:val="Footnote Text Char"/>
    <w:basedOn w:val="DefaultParagraphFont"/>
    <w:link w:val="FootnoteText"/>
    <w:rsid w:val="007C0947"/>
  </w:style>
  <w:style w:type="paragraph" w:customStyle="1" w:styleId="ShortT">
    <w:name w:val="ShortT"/>
    <w:basedOn w:val="Normal"/>
    <w:next w:val="Normal"/>
    <w:qFormat/>
    <w:rsid w:val="007C0947"/>
    <w:pPr>
      <w:spacing w:before="0" w:after="0"/>
    </w:pPr>
    <w:rPr>
      <w:b/>
      <w:sz w:val="40"/>
    </w:rPr>
  </w:style>
  <w:style w:type="paragraph" w:customStyle="1" w:styleId="ActHead5">
    <w:name w:val="ActHead 5"/>
    <w:aliases w:val="s"/>
    <w:basedOn w:val="Normal"/>
    <w:next w:val="subsection"/>
    <w:qFormat/>
    <w:rsid w:val="007C0947"/>
    <w:pPr>
      <w:keepNext/>
      <w:keepLines/>
      <w:spacing w:before="280" w:after="0"/>
      <w:ind w:left="1134" w:hanging="1134"/>
      <w:outlineLvl w:val="4"/>
    </w:pPr>
    <w:rPr>
      <w:b/>
      <w:kern w:val="28"/>
      <w:sz w:val="24"/>
    </w:rPr>
  </w:style>
  <w:style w:type="paragraph" w:customStyle="1" w:styleId="ActHead6">
    <w:name w:val="ActHead 6"/>
    <w:aliases w:val="as"/>
    <w:basedOn w:val="Normal"/>
    <w:next w:val="Normal"/>
    <w:qFormat/>
    <w:rsid w:val="007C0947"/>
    <w:pPr>
      <w:keepNext/>
      <w:keepLines/>
      <w:spacing w:before="0" w:after="0"/>
      <w:ind w:left="1134" w:hanging="1134"/>
      <w:outlineLvl w:val="5"/>
    </w:pPr>
    <w:rPr>
      <w:rFonts w:ascii="Arial" w:hAnsi="Arial"/>
      <w:b/>
      <w:kern w:val="28"/>
      <w:sz w:val="32"/>
    </w:rPr>
  </w:style>
  <w:style w:type="paragraph" w:customStyle="1" w:styleId="ItemHead">
    <w:name w:val="ItemHead"/>
    <w:aliases w:val="ih"/>
    <w:basedOn w:val="Normal"/>
    <w:next w:val="Item"/>
    <w:rsid w:val="007C0947"/>
    <w:pPr>
      <w:keepNext/>
      <w:keepLines/>
      <w:spacing w:before="220" w:after="0"/>
      <w:ind w:left="709" w:hanging="709"/>
    </w:pPr>
    <w:rPr>
      <w:rFonts w:ascii="Arial" w:hAnsi="Arial"/>
      <w:b/>
      <w:kern w:val="28"/>
      <w:sz w:val="24"/>
    </w:rPr>
  </w:style>
  <w:style w:type="paragraph" w:customStyle="1" w:styleId="ActHead9">
    <w:name w:val="ActHead 9"/>
    <w:aliases w:val="aat"/>
    <w:basedOn w:val="Normal"/>
    <w:next w:val="ItemHead"/>
    <w:qFormat/>
    <w:rsid w:val="007C0947"/>
    <w:pPr>
      <w:keepNext/>
      <w:keepLines/>
      <w:spacing w:before="280" w:after="0"/>
      <w:ind w:left="1134" w:hanging="1134"/>
      <w:outlineLvl w:val="8"/>
    </w:pPr>
    <w:rPr>
      <w:b/>
      <w:i/>
      <w:kern w:val="28"/>
      <w:sz w:val="28"/>
    </w:rPr>
  </w:style>
  <w:style w:type="paragraph" w:customStyle="1" w:styleId="Item">
    <w:name w:val="Item"/>
    <w:aliases w:val="i"/>
    <w:basedOn w:val="Normal"/>
    <w:next w:val="ItemHead"/>
    <w:rsid w:val="007C0947"/>
    <w:pPr>
      <w:keepLines/>
      <w:spacing w:before="80" w:after="0"/>
      <w:ind w:left="709"/>
    </w:pPr>
  </w:style>
  <w:style w:type="paragraph" w:customStyle="1" w:styleId="ParlAmend">
    <w:name w:val="ParlAmend"/>
    <w:aliases w:val="pp"/>
    <w:basedOn w:val="Normal"/>
    <w:rsid w:val="007C0947"/>
    <w:pPr>
      <w:spacing w:before="240" w:after="0" w:line="240" w:lineRule="atLeast"/>
      <w:ind w:hanging="567"/>
    </w:pPr>
    <w:rPr>
      <w:sz w:val="24"/>
    </w:rPr>
  </w:style>
  <w:style w:type="paragraph" w:customStyle="1" w:styleId="noteParlAmend">
    <w:name w:val="note(ParlAmend)"/>
    <w:aliases w:val="npp"/>
    <w:basedOn w:val="Normal"/>
    <w:next w:val="ParlAmend"/>
    <w:rsid w:val="007C0947"/>
    <w:pPr>
      <w:spacing w:before="0" w:after="0"/>
      <w:jc w:val="right"/>
    </w:pPr>
    <w:rPr>
      <w:rFonts w:ascii="Arial" w:hAnsi="Arial"/>
      <w:b/>
      <w:i/>
    </w:rPr>
  </w:style>
  <w:style w:type="paragraph" w:customStyle="1" w:styleId="Sponsor">
    <w:name w:val="Sponsor"/>
    <w:basedOn w:val="Normal"/>
    <w:rsid w:val="007C0947"/>
    <w:pPr>
      <w:spacing w:before="0" w:after="0"/>
    </w:pPr>
    <w:rPr>
      <w:i/>
    </w:rPr>
  </w:style>
  <w:style w:type="paragraph" w:customStyle="1" w:styleId="Tabletext1">
    <w:name w:val="Tabletext"/>
    <w:aliases w:val="tt"/>
    <w:basedOn w:val="Normal"/>
    <w:rsid w:val="007C0947"/>
    <w:pPr>
      <w:spacing w:before="60" w:after="0" w:line="240" w:lineRule="atLeast"/>
    </w:pPr>
    <w:rPr>
      <w:sz w:val="20"/>
    </w:rPr>
  </w:style>
  <w:style w:type="character" w:customStyle="1" w:styleId="CharAmPartNo">
    <w:name w:val="CharAmPartNo"/>
    <w:basedOn w:val="DefaultParagraphFont"/>
    <w:uiPriority w:val="1"/>
    <w:qFormat/>
    <w:rsid w:val="007C0947"/>
  </w:style>
  <w:style w:type="character" w:customStyle="1" w:styleId="CharAmPartText">
    <w:name w:val="CharAmPartText"/>
    <w:basedOn w:val="DefaultParagraphFont"/>
    <w:uiPriority w:val="1"/>
    <w:qFormat/>
    <w:rsid w:val="007C0947"/>
  </w:style>
  <w:style w:type="character" w:customStyle="1" w:styleId="CharAmSchNo">
    <w:name w:val="CharAmSchNo"/>
    <w:basedOn w:val="DefaultParagraphFont"/>
    <w:uiPriority w:val="1"/>
    <w:qFormat/>
    <w:rsid w:val="007C0947"/>
  </w:style>
  <w:style w:type="character" w:customStyle="1" w:styleId="CharAmSchText">
    <w:name w:val="CharAmSchText"/>
    <w:basedOn w:val="DefaultParagraphFont"/>
    <w:uiPriority w:val="1"/>
    <w:qFormat/>
    <w:rsid w:val="007C0947"/>
  </w:style>
  <w:style w:type="character" w:customStyle="1" w:styleId="CharSectno">
    <w:name w:val="CharSectno"/>
    <w:basedOn w:val="DefaultParagraphFont"/>
    <w:uiPriority w:val="1"/>
    <w:qFormat/>
    <w:rsid w:val="007C0947"/>
  </w:style>
  <w:style w:type="paragraph" w:customStyle="1" w:styleId="paragraphsub">
    <w:name w:val="paragraph(sub)"/>
    <w:aliases w:val="aa"/>
    <w:basedOn w:val="Normal"/>
    <w:rsid w:val="007C0947"/>
    <w:pPr>
      <w:tabs>
        <w:tab w:val="right" w:pos="1985"/>
      </w:tabs>
      <w:spacing w:before="40" w:after="0"/>
      <w:ind w:left="2098" w:hanging="2098"/>
    </w:pPr>
  </w:style>
  <w:style w:type="paragraph" w:customStyle="1" w:styleId="SubsectionHead">
    <w:name w:val="SubsectionHead"/>
    <w:aliases w:val="ssh"/>
    <w:basedOn w:val="Normal"/>
    <w:next w:val="subsection"/>
    <w:rsid w:val="007C0947"/>
    <w:pPr>
      <w:keepNext/>
      <w:keepLines/>
      <w:spacing w:before="240" w:after="0"/>
      <w:ind w:left="1134"/>
    </w:pPr>
    <w:rPr>
      <w:i/>
    </w:rPr>
  </w:style>
  <w:style w:type="paragraph" w:customStyle="1" w:styleId="Default">
    <w:name w:val="Default"/>
    <w:rsid w:val="007C094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48432">
      <w:bodyDiv w:val="1"/>
      <w:marLeft w:val="0"/>
      <w:marRight w:val="0"/>
      <w:marTop w:val="0"/>
      <w:marBottom w:val="0"/>
      <w:divBdr>
        <w:top w:val="none" w:sz="0" w:space="0" w:color="auto"/>
        <w:left w:val="none" w:sz="0" w:space="0" w:color="auto"/>
        <w:bottom w:val="none" w:sz="0" w:space="0" w:color="auto"/>
        <w:right w:val="none" w:sz="0" w:space="0" w:color="auto"/>
      </w:divBdr>
    </w:div>
    <w:div w:id="102185584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10.xml"/><Relationship Id="rId42" Type="http://schemas.openxmlformats.org/officeDocument/2006/relationships/header" Target="header15.xml"/><Relationship Id="rId47" Type="http://schemas.openxmlformats.org/officeDocument/2006/relationships/footer" Target="footer15.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image" Target="media/image2.emf"/><Relationship Id="rId46"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9.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6.xml"/><Relationship Id="rId32" Type="http://schemas.openxmlformats.org/officeDocument/2006/relationships/header" Target="header9.xml"/><Relationship Id="rId37" Type="http://schemas.openxmlformats.org/officeDocument/2006/relationships/header" Target="header11.xml"/><Relationship Id="rId40" Type="http://schemas.openxmlformats.org/officeDocument/2006/relationships/header" Target="header13.xml"/><Relationship Id="rId45" Type="http://schemas.openxmlformats.org/officeDocument/2006/relationships/footer" Target="footer1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eader" Target="header8.xml"/><Relationship Id="rId44" Type="http://schemas.openxmlformats.org/officeDocument/2006/relationships/header" Target="header17.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image" Target="media/image1.png"/><Relationship Id="rId35" Type="http://schemas.openxmlformats.org/officeDocument/2006/relationships/footer" Target="footer11.xml"/><Relationship Id="rId43" Type="http://schemas.openxmlformats.org/officeDocument/2006/relationships/header" Target="header16.xml"/><Relationship Id="rId48" Type="http://schemas.openxmlformats.org/officeDocument/2006/relationships/fontTable" Target="fontTab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_dlc_DocId xmlns="9f7bc583-7cbe-45b9-a2bd-8bbb6543b37e">2017RG-136-31886</_dlc_DocId>
    <TaxCatchAll xmlns="9f7bc583-7cbe-45b9-a2bd-8bbb6543b37e">
      <Value>7</Value>
    </TaxCatchAll>
    <_dlc_DocIdUrl xmlns="9f7bc583-7cbe-45b9-a2bd-8bbb6543b37e">
      <Url>http://tweb/sites/rg/ldp/_layouts/15/DocIdRedir.aspx?ID=2017RG-136-31886</Url>
      <Description>2017RG-136-31886</Description>
    </_dlc_DocIdUrl>
    <LMU_x0020_Number xmlns="687b78b0-2ddd-4441-8a8b-c9638c2a1939" xsi:nil="true"/>
    <Responsible_x0020_LDO_x0020_Officer xmlns="687b78b0-2ddd-4441-8a8b-c9638c2a1939">
      <UserInfo>
        <DisplayName/>
        <AccountId xsi:nil="true"/>
        <AccountType/>
      </UserInfo>
    </Responsible_x0020_LDO_x0020_Officer>
    <IconOverlay xmlns="http://schemas.microsoft.com/sharepoint/v4" xsi:nil="true"/>
    <Parliamentary_x0020_session xmlns="687b78b0-2ddd-4441-8a8b-c9638c2a1939">
      <Value>45th</Value>
    </Parliamentary_x0020_session>
    <Number_x0020_version xmlns="687b78b0-2ddd-4441-8a8b-c9638c2a1939" xsi:nil="true"/>
    <Status xmlns="687b78b0-2ddd-4441-8a8b-c9638c2a1939">
      <Value>Current</Value>
    </Status>
    <NAture_x0020_of_x0020_documents1 xmlns="687b78b0-2ddd-4441-8a8b-c9638c2a1939">
      <Value>Explanatory memorandum/statement</Value>
    </NAture_x0020_of_x0020_documents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4093" ma:contentTypeDescription="" ma:contentTypeScope="" ma:versionID="90fe7fb9b9af7f5b2440eac6756e6ec4">
  <xsd:schema xmlns:xsd="http://www.w3.org/2001/XMLSchema" xmlns:xs="http://www.w3.org/2001/XMLSchema" xmlns:p="http://schemas.microsoft.com/office/2006/metadata/properties" xmlns:ns1="http://schemas.microsoft.com/sharepoint/v3" xmlns:ns2="9f7bc583-7cbe-45b9-a2bd-8bbb6543b37e" xmlns:ns3="687b78b0-2ddd-4441-8a8b-c9638c2a1939" xmlns:ns4="http://schemas.microsoft.com/sharepoint/v4" targetNamespace="http://schemas.microsoft.com/office/2006/metadata/properties" ma:root="true" ma:fieldsID="53a690ef3271b2006edc44f9c1a7e31d" ns1:_="" ns2:_="" ns3:_="" ns4:_="">
    <xsd:import namespace="http://schemas.microsoft.com/sharepoint/v3"/>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element ref="ns3:LMU_x0020_Number" minOccurs="0"/>
                <xsd:element ref="ns3:Status" minOccurs="0"/>
                <xsd:element ref="ns3:Number_x0020_version" minOccurs="0"/>
                <xsd:element ref="ns3:NAture_x0020_of_x0020_documents1" minOccurs="0"/>
                <xsd:element ref="ns3:Parliamentary_x0020_session" minOccurs="0"/>
                <xsd:element ref="ns3: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default="45th" ma:internalName="Parliamentary_x0020_session">
      <xsd:complexType>
        <xsd:complexContent>
          <xsd:extension base="dms:MultiChoice">
            <xsd:sequence>
              <xsd:element name="Value" maxOccurs="unbounded" minOccurs="0" nillable="true">
                <xsd:simpleType>
                  <xsd:restriction base="dms:Choice">
                    <xsd:enumeration value="TBD"/>
                    <xsd:enumeration value="45th"/>
                    <xsd:enumeration value="44th"/>
                    <xsd:enumeration value="43rd"/>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48C2C-2C8E-4D53-B20A-D9AD2DD33D97}">
  <ds:schemaRefs>
    <ds:schemaRef ds:uri="9f7bc583-7cbe-45b9-a2bd-8bbb6543b37e"/>
    <ds:schemaRef ds:uri="http://purl.org/dc/elements/1.1/"/>
    <ds:schemaRef ds:uri="http://schemas.openxmlformats.org/package/2006/metadata/core-properties"/>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schemas.microsoft.com/sharepoint/v4"/>
    <ds:schemaRef ds:uri="687b78b0-2ddd-4441-8a8b-c9638c2a1939"/>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52D2C862-4D9A-438C-91F6-B891EEE1C24F}">
  <ds:schemaRefs>
    <ds:schemaRef ds:uri="http://schemas.microsoft.com/sharepoint/v3/contenttype/forms"/>
  </ds:schemaRefs>
</ds:datastoreItem>
</file>

<file path=customXml/itemProps3.xml><?xml version="1.0" encoding="utf-8"?>
<ds:datastoreItem xmlns:ds="http://schemas.openxmlformats.org/officeDocument/2006/customXml" ds:itemID="{B148C38B-DB98-4B2A-9905-63C32D88706E}">
  <ds:schemaRefs>
    <ds:schemaRef ds:uri="office.server.policy"/>
  </ds:schemaRefs>
</ds:datastoreItem>
</file>

<file path=customXml/itemProps4.xml><?xml version="1.0" encoding="utf-8"?>
<ds:datastoreItem xmlns:ds="http://schemas.openxmlformats.org/officeDocument/2006/customXml" ds:itemID="{E8D489CE-A2B4-4FC7-8AF5-79E6F1784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DEA873-AAED-4C51-9F55-86608A2A23B7}">
  <ds:schemaRefs>
    <ds:schemaRef ds:uri="http://schemas.microsoft.com/sharepoint/events"/>
  </ds:schemaRefs>
</ds:datastoreItem>
</file>

<file path=customXml/itemProps6.xml><?xml version="1.0" encoding="utf-8"?>
<ds:datastoreItem xmlns:ds="http://schemas.openxmlformats.org/officeDocument/2006/customXml" ds:itemID="{DFCF84DF-6350-4832-8101-E6614AD16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Pri-EM.dotm</Template>
  <TotalTime>0</TotalTime>
  <Pages>81</Pages>
  <Words>21011</Words>
  <Characters>106268</Characters>
  <Application>Microsoft Office Word</Application>
  <DocSecurity>0</DocSecurity>
  <Lines>885</Lines>
  <Paragraphs>254</Paragraphs>
  <ScaleCrop>false</ScaleCrop>
  <HeadingPairs>
    <vt:vector size="2" baseType="variant">
      <vt:variant>
        <vt:lpstr>Title</vt:lpstr>
      </vt:variant>
      <vt:variant>
        <vt:i4>1</vt:i4>
      </vt:variant>
    </vt:vector>
  </HeadingPairs>
  <TitlesOfParts>
    <vt:vector size="1" baseType="lpstr">
      <vt:lpstr/>
    </vt:vector>
  </TitlesOfParts>
  <Company>The Treasury</Company>
  <LinksUpToDate>false</LinksUpToDate>
  <CharactersWithSpaces>127025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 Taylor</dc:creator>
  <cp:lastModifiedBy>Fogarty, Wayne</cp:lastModifiedBy>
  <cp:revision>3</cp:revision>
  <cp:lastPrinted>2017-07-20T03:29:00Z</cp:lastPrinted>
  <dcterms:created xsi:type="dcterms:W3CDTF">2017-07-24T02:57:00Z</dcterms:created>
  <dcterms:modified xsi:type="dcterms:W3CDTF">2017-07-24T02:57:00Z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0x01010036BB8DE7EC542E42A8B2E98CC20CB69700AD614E3FF758BD46BB6A91BF499E7E08</vt:lpwstr>
  </property>
  <property fmtid="{D5CDD505-2E9C-101B-9397-08002B2CF9AE}" pid="3" name="TSYRecordClass">
    <vt:lpwstr>7;#TSY RA-9236 - Retain as national archives|c6a225b4-6b93-473e-bcbb-6bc6ab25b623</vt:lpwstr>
  </property>
  <property fmtid="{D5CDD505-2E9C-101B-9397-08002B2CF9AE}" pid="4" name="_dlc_DocIdItemGuid">
    <vt:lpwstr>dcdb5031-e878-496b-b996-a5c3c3adb5fa</vt:lpwstr>
  </property>
  <property fmtid="{D5CDD505-2E9C-101B-9397-08002B2CF9AE}" pid="5" name="RecordPoint_WorkflowType">
    <vt:lpwstr>ActiveSubmitStub</vt:lpwstr>
  </property>
  <property fmtid="{D5CDD505-2E9C-101B-9397-08002B2CF9AE}" pid="6" name="RecordPoint_ActiveItemListId">
    <vt:lpwstr>{687b78b0-2ddd-4441-8a8b-c9638c2a1939}</vt:lpwstr>
  </property>
  <property fmtid="{D5CDD505-2E9C-101B-9397-08002B2CF9AE}" pid="7" name="RecordPoint_ActiveItemUniqueId">
    <vt:lpwstr>{dcdb5031-e878-496b-b996-a5c3c3adb5fa}</vt:lpwstr>
  </property>
  <property fmtid="{D5CDD505-2E9C-101B-9397-08002B2CF9AE}" pid="8" name="RecordPoint_ActiveItemWebId">
    <vt:lpwstr>{09392e0d-4618-463d-b4d2-50a90b9447cf}</vt:lpwstr>
  </property>
  <property fmtid="{D5CDD505-2E9C-101B-9397-08002B2CF9AE}" pid="9" name="RecordPoint_ActiveItemSiteId">
    <vt:lpwstr>{5b52b9a5-e5b2-4521-8814-a1e24ca2869d}</vt:lpwstr>
  </property>
  <property fmtid="{D5CDD505-2E9C-101B-9397-08002B2CF9AE}" pid="10" name="RecordPoint_RecordNumberSubmitted">
    <vt:lpwstr/>
  </property>
  <property fmtid="{D5CDD505-2E9C-101B-9397-08002B2CF9AE}" pid="11" name="RecordPoint_SubmissionCompleted">
    <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_AdHocReviewCycleID">
    <vt:i4>-142718435</vt:i4>
  </property>
  <property fmtid="{D5CDD505-2E9C-101B-9397-08002B2CF9AE}" pid="16" name="_NewReviewCycle">
    <vt:lpwstr/>
  </property>
  <property fmtid="{D5CDD505-2E9C-101B-9397-08002B2CF9AE}" pid="17" name="_EmailSubject">
    <vt:lpwstr>Exposure draft legislation and Explanatory memo</vt:lpwstr>
  </property>
  <property fmtid="{D5CDD505-2E9C-101B-9397-08002B2CF9AE}" pid="18" name="_AuthorEmail">
    <vt:lpwstr>Wayne.Fogarty@TREASURY.GOV.AU</vt:lpwstr>
  </property>
  <property fmtid="{D5CDD505-2E9C-101B-9397-08002B2CF9AE}" pid="19" name="_AuthorEmailDisplayName">
    <vt:lpwstr>Fogarty, Wayne</vt:lpwstr>
  </property>
  <property fmtid="{D5CDD505-2E9C-101B-9397-08002B2CF9AE}" pid="20" name="_PreviousAdHocReviewCycleID">
    <vt:i4>208040492</vt:i4>
  </property>
  <property fmtid="{D5CDD505-2E9C-101B-9397-08002B2CF9AE}" pid="21" name="_ReviewingToolsShownOnce">
    <vt:lpwstr/>
  </property>
</Properties>
</file>