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7C" w:rsidRPr="006D0240" w:rsidRDefault="00311B81" w:rsidP="00D2207C">
      <w:pPr>
        <w:pStyle w:val="CoverTitleSub"/>
        <w:rPr>
          <w:rFonts w:cs="Calibri"/>
          <w:color w:val="auto"/>
          <w:szCs w:val="36"/>
        </w:rPr>
      </w:pPr>
      <w:bookmarkStart w:id="0" w:name="_GoBack"/>
      <w:bookmarkEnd w:id="0"/>
      <w:r>
        <w:t>S</w:t>
      </w:r>
      <w:r w:rsidR="00B25DD9">
        <w:t xml:space="preserve">UPPLEMENTARY </w:t>
      </w:r>
      <w:r w:rsidR="00D2207C" w:rsidRPr="00F7274A">
        <w:t>ISSUES</w:t>
      </w:r>
      <w:r w:rsidR="00D2207C">
        <w:rPr>
          <w:rFonts w:cs="Calibri"/>
          <w:color w:val="auto"/>
          <w:szCs w:val="36"/>
        </w:rPr>
        <w:t xml:space="preserve"> </w:t>
      </w:r>
      <w:r w:rsidR="00D2207C" w:rsidRPr="00F7274A">
        <w:t>PAPER</w:t>
      </w:r>
    </w:p>
    <w:p w:rsidR="0056559F" w:rsidRPr="00D2207C" w:rsidRDefault="00142D17" w:rsidP="00D2207C">
      <w:pPr>
        <w:pStyle w:val="CoverTitleMain"/>
        <w:rPr>
          <w:spacing w:val="14"/>
        </w:rPr>
      </w:pPr>
      <w:r w:rsidRPr="00D2207C">
        <w:rPr>
          <w:spacing w:val="14"/>
        </w:rPr>
        <w:t xml:space="preserve">Review of the </w:t>
      </w:r>
      <w:r w:rsidR="00FC0B21">
        <w:rPr>
          <w:spacing w:val="14"/>
        </w:rPr>
        <w:t>financial s</w:t>
      </w:r>
      <w:r w:rsidR="00A66DD0">
        <w:rPr>
          <w:spacing w:val="14"/>
        </w:rPr>
        <w:t>ystem</w:t>
      </w:r>
      <w:r w:rsidR="00FC0B21">
        <w:rPr>
          <w:spacing w:val="14"/>
        </w:rPr>
        <w:t xml:space="preserve"> </w:t>
      </w:r>
      <w:r w:rsidRPr="00D2207C">
        <w:rPr>
          <w:spacing w:val="14"/>
        </w:rPr>
        <w:t xml:space="preserve">external dispute resolution </w:t>
      </w:r>
      <w:r w:rsidR="008406CB">
        <w:rPr>
          <w:spacing w:val="14"/>
        </w:rPr>
        <w:t>framework</w:t>
      </w:r>
    </w:p>
    <w:p w:rsidR="00142D17" w:rsidRPr="00F950D0" w:rsidRDefault="003A2E8C" w:rsidP="00F950D0">
      <w:pPr>
        <w:pStyle w:val="CoverTitleSub"/>
        <w:ind w:left="567"/>
        <w:rPr>
          <w:sz w:val="32"/>
        </w:rPr>
      </w:pPr>
      <w:r w:rsidRPr="00F950D0">
        <w:rPr>
          <w:sz w:val="32"/>
        </w:rPr>
        <w:t xml:space="preserve">Consultation on the establishment, merits and potential design of a compensation scheme of </w:t>
      </w:r>
      <w:r w:rsidR="00166488" w:rsidRPr="00F950D0">
        <w:rPr>
          <w:sz w:val="32"/>
        </w:rPr>
        <w:t xml:space="preserve">last resort </w:t>
      </w:r>
      <w:r w:rsidRPr="00F950D0">
        <w:rPr>
          <w:sz w:val="32"/>
        </w:rPr>
        <w:t>and the merits and issues associated with providing access to redress for past disputes</w:t>
      </w:r>
    </w:p>
    <w:p w:rsidR="00D2207C" w:rsidRDefault="004325C6" w:rsidP="00D2207C">
      <w:pPr>
        <w:pStyle w:val="CoverTitleSub"/>
      </w:pPr>
      <w:r>
        <w:t>May</w:t>
      </w:r>
      <w:r w:rsidR="00B25DD9">
        <w:t xml:space="preserve"> 2017</w:t>
      </w:r>
    </w:p>
    <w:p w:rsidR="00FD12D7" w:rsidRPr="00F82B8D" w:rsidRDefault="00FD12D7" w:rsidP="00D2207C">
      <w:pPr>
        <w:pStyle w:val="CoverTitleSub"/>
        <w:sectPr w:rsidR="00FD12D7" w:rsidRPr="00F82B8D" w:rsidSect="00D2207C">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vAlign w:val="center"/>
          <w:titlePg/>
          <w:docGrid w:linePitch="360"/>
        </w:sectPr>
      </w:pPr>
    </w:p>
    <w:p w:rsidR="00D2207C" w:rsidRPr="00162BEB" w:rsidRDefault="00D2207C" w:rsidP="006D43C4">
      <w:pPr>
        <w:spacing w:line="240" w:lineRule="auto"/>
        <w:rPr>
          <w:rFonts w:ascii="Century Gothic" w:hAnsi="Century Gothic"/>
          <w:sz w:val="21"/>
          <w:szCs w:val="21"/>
        </w:rPr>
      </w:pPr>
      <w:r w:rsidRPr="00162BEB">
        <w:rPr>
          <w:rFonts w:ascii="Century Gothic" w:hAnsi="Century Gothic"/>
          <w:sz w:val="21"/>
          <w:szCs w:val="21"/>
        </w:rPr>
        <w:lastRenderedPageBreak/>
        <w:t>© Commonwealth of Australia 201</w:t>
      </w:r>
      <w:r w:rsidR="00B25DD9">
        <w:rPr>
          <w:rFonts w:ascii="Century Gothic" w:hAnsi="Century Gothic"/>
          <w:sz w:val="21"/>
          <w:szCs w:val="21"/>
        </w:rPr>
        <w:t>7</w:t>
      </w:r>
    </w:p>
    <w:p w:rsidR="00D2207C" w:rsidRPr="00162BEB" w:rsidRDefault="00D2207C" w:rsidP="006D43C4">
      <w:pPr>
        <w:spacing w:line="240" w:lineRule="auto"/>
        <w:rPr>
          <w:rFonts w:ascii="Century Gothic" w:hAnsi="Century Gothic"/>
          <w:sz w:val="21"/>
          <w:szCs w:val="21"/>
        </w:rPr>
      </w:pPr>
      <w:r w:rsidRPr="00162BEB">
        <w:rPr>
          <w:rFonts w:ascii="Century Gothic" w:hAnsi="Century Gothic"/>
          <w:sz w:val="21"/>
          <w:szCs w:val="21"/>
        </w:rPr>
        <w:t xml:space="preserve">ISBN </w:t>
      </w:r>
      <w:r w:rsidR="00F950D0" w:rsidRPr="00F950D0">
        <w:rPr>
          <w:rFonts w:ascii="Century Gothic" w:hAnsi="Century Gothic"/>
          <w:sz w:val="21"/>
          <w:szCs w:val="21"/>
        </w:rPr>
        <w:t>978-1-925504-48-4</w:t>
      </w:r>
    </w:p>
    <w:p w:rsidR="00D2207C" w:rsidRPr="00162BEB" w:rsidRDefault="00D2207C" w:rsidP="006D43C4">
      <w:pPr>
        <w:tabs>
          <w:tab w:val="left" w:pos="1650"/>
        </w:tabs>
        <w:spacing w:before="100" w:beforeAutospacing="1" w:after="100" w:afterAutospacing="1" w:line="240" w:lineRule="auto"/>
        <w:rPr>
          <w:rFonts w:ascii="Century Gothic" w:hAnsi="Century Gothic"/>
          <w:sz w:val="21"/>
          <w:szCs w:val="21"/>
        </w:rPr>
      </w:pPr>
      <w:r w:rsidRPr="00162BEB">
        <w:rPr>
          <w:rFonts w:ascii="Century Gothic" w:hAnsi="Century Gothic"/>
          <w:sz w:val="21"/>
          <w:szCs w:val="21"/>
        </w:rPr>
        <w:t>This publication is available for your use under a</w:t>
      </w:r>
      <w:r w:rsidRPr="00162BEB">
        <w:rPr>
          <w:rFonts w:ascii="Century Gothic" w:hAnsi="Century Gothic" w:cs="Calibri"/>
          <w:sz w:val="21"/>
          <w:szCs w:val="21"/>
        </w:rPr>
        <w:t xml:space="preserve"> </w:t>
      </w:r>
      <w:hyperlink r:id="rId21" w:history="1">
        <w:r w:rsidRPr="00162BEB">
          <w:rPr>
            <w:rFonts w:ascii="Century Gothic" w:hAnsi="Century Gothic"/>
            <w:color w:val="auto"/>
            <w:sz w:val="21"/>
            <w:szCs w:val="21"/>
          </w:rPr>
          <w:t>Creative Commons Attribution 3.0 Australia</w:t>
        </w:r>
      </w:hyperlink>
      <w:r w:rsidRPr="00162BEB">
        <w:rPr>
          <w:rFonts w:ascii="Century Gothic" w:hAnsi="Century Gothic" w:cs="Calibri"/>
          <w:sz w:val="21"/>
          <w:szCs w:val="21"/>
        </w:rPr>
        <w:t xml:space="preserve"> </w:t>
      </w:r>
      <w:r w:rsidRPr="00162BEB">
        <w:rPr>
          <w:rFonts w:ascii="Century Gothic" w:hAnsi="Century Gothic"/>
          <w:sz w:val="21"/>
          <w:szCs w:val="21"/>
        </w:rPr>
        <w:t>licence, with the exception of the Commonwealth Coat of Arms, the Treasury logo, photographs, images, signatures and where otherwise stated. The full licence terms are available from</w:t>
      </w:r>
      <w:r w:rsidRPr="00162BEB">
        <w:rPr>
          <w:rFonts w:ascii="Century Gothic" w:hAnsi="Century Gothic" w:cs="Calibri"/>
          <w:sz w:val="21"/>
          <w:szCs w:val="21"/>
        </w:rPr>
        <w:t xml:space="preserve"> </w:t>
      </w:r>
      <w:hyperlink r:id="rId22" w:history="1">
        <w:r w:rsidRPr="00162BEB">
          <w:rPr>
            <w:rStyle w:val="Hyperlink"/>
            <w:rFonts w:ascii="Century Gothic" w:hAnsi="Century Gothic"/>
            <w:sz w:val="21"/>
            <w:szCs w:val="21"/>
          </w:rPr>
          <w:t>http://creativecommons.org/licenses/by/3.0/au/legalcode</w:t>
        </w:r>
      </w:hyperlink>
      <w:r w:rsidRPr="00162BEB">
        <w:rPr>
          <w:rFonts w:ascii="Century Gothic" w:hAnsi="Century Gothic"/>
          <w:color w:val="auto"/>
          <w:sz w:val="21"/>
          <w:szCs w:val="21"/>
        </w:rPr>
        <w:t>.</w:t>
      </w:r>
    </w:p>
    <w:p w:rsidR="00D2207C" w:rsidRPr="00162BEB" w:rsidRDefault="00D2207C" w:rsidP="006D43C4">
      <w:pPr>
        <w:tabs>
          <w:tab w:val="left" w:pos="1650"/>
        </w:tabs>
        <w:spacing w:before="100" w:beforeAutospacing="1" w:after="100" w:afterAutospacing="1" w:line="240" w:lineRule="auto"/>
        <w:rPr>
          <w:rFonts w:ascii="Century Gothic" w:hAnsi="Century Gothic" w:cs="Calibri"/>
          <w:sz w:val="21"/>
          <w:szCs w:val="21"/>
        </w:rPr>
      </w:pPr>
      <w:r w:rsidRPr="00162BEB">
        <w:rPr>
          <w:rFonts w:ascii="Century Gothic" w:hAnsi="Century Gothic" w:cs="Calibri"/>
          <w:noProof/>
          <w:sz w:val="21"/>
          <w:szCs w:val="21"/>
        </w:rPr>
        <w:drawing>
          <wp:inline distT="0" distB="0" distL="0" distR="0" wp14:anchorId="7FC42063" wp14:editId="221B6E4D">
            <wp:extent cx="809625" cy="285750"/>
            <wp:effectExtent l="19050" t="0" r="9525" b="0"/>
            <wp:docPr id="11" name="Picture 1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3"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D2207C" w:rsidRPr="00162BEB" w:rsidRDefault="00D2207C" w:rsidP="006D43C4">
      <w:pPr>
        <w:tabs>
          <w:tab w:val="left" w:pos="1650"/>
        </w:tabs>
        <w:spacing w:before="100" w:beforeAutospacing="1" w:after="100" w:afterAutospacing="1" w:line="240" w:lineRule="auto"/>
        <w:rPr>
          <w:rFonts w:ascii="Century Gothic" w:hAnsi="Century Gothic"/>
          <w:sz w:val="21"/>
          <w:szCs w:val="21"/>
        </w:rPr>
      </w:pPr>
      <w:r w:rsidRPr="00162BEB">
        <w:rPr>
          <w:rFonts w:ascii="Century Gothic" w:hAnsi="Century Gothic"/>
          <w:sz w:val="21"/>
          <w:szCs w:val="21"/>
        </w:rPr>
        <w:t>Use of Treasury material under a</w:t>
      </w:r>
      <w:r w:rsidRPr="00162BEB">
        <w:rPr>
          <w:rFonts w:ascii="Century Gothic" w:hAnsi="Century Gothic" w:cs="Calibri"/>
          <w:sz w:val="21"/>
          <w:szCs w:val="21"/>
        </w:rPr>
        <w:t xml:space="preserve"> </w:t>
      </w:r>
      <w:hyperlink r:id="rId24" w:history="1">
        <w:r w:rsidRPr="00162BEB">
          <w:rPr>
            <w:rFonts w:ascii="Century Gothic" w:hAnsi="Century Gothic"/>
            <w:color w:val="auto"/>
            <w:sz w:val="21"/>
            <w:szCs w:val="21"/>
          </w:rPr>
          <w:t>Creative Commons Attribution 3.0 Australia</w:t>
        </w:r>
      </w:hyperlink>
      <w:r w:rsidRPr="00162BEB">
        <w:rPr>
          <w:rFonts w:ascii="Century Gothic" w:hAnsi="Century Gothic"/>
          <w:color w:val="auto"/>
          <w:sz w:val="21"/>
          <w:szCs w:val="21"/>
        </w:rPr>
        <w:t xml:space="preserve"> </w:t>
      </w:r>
      <w:r w:rsidRPr="00162BEB">
        <w:rPr>
          <w:rFonts w:ascii="Century Gothic" w:hAnsi="Century Gothic"/>
          <w:sz w:val="21"/>
          <w:szCs w:val="21"/>
        </w:rPr>
        <w:t>licence requires you to attribute the work (but not in any way that suggests that the Treasury endorse</w:t>
      </w:r>
      <w:r w:rsidR="00EF005F">
        <w:rPr>
          <w:rFonts w:ascii="Century Gothic" w:hAnsi="Century Gothic"/>
          <w:sz w:val="21"/>
          <w:szCs w:val="21"/>
        </w:rPr>
        <w:t>s you or your use of the work).</w:t>
      </w:r>
    </w:p>
    <w:p w:rsidR="00D2207C" w:rsidRPr="00162BEB" w:rsidRDefault="00D2207C" w:rsidP="006D43C4">
      <w:pPr>
        <w:spacing w:after="120" w:line="240" w:lineRule="auto"/>
        <w:rPr>
          <w:rFonts w:ascii="Century Gothic" w:hAnsi="Century Gothic"/>
          <w:b/>
          <w:sz w:val="21"/>
          <w:szCs w:val="21"/>
        </w:rPr>
      </w:pPr>
      <w:r w:rsidRPr="00162BEB">
        <w:rPr>
          <w:rFonts w:ascii="Century Gothic" w:hAnsi="Century Gothic"/>
          <w:b/>
          <w:sz w:val="21"/>
          <w:szCs w:val="21"/>
        </w:rPr>
        <w:t xml:space="preserve">Treasury material used </w:t>
      </w:r>
      <w:r w:rsidR="009F688A">
        <w:rPr>
          <w:rFonts w:ascii="Century Gothic" w:hAnsi="Century Gothic"/>
          <w:b/>
          <w:sz w:val="21"/>
          <w:szCs w:val="21"/>
        </w:rPr>
        <w:t>‘</w:t>
      </w:r>
      <w:r w:rsidRPr="00162BEB">
        <w:rPr>
          <w:rFonts w:ascii="Century Gothic" w:hAnsi="Century Gothic"/>
          <w:b/>
          <w:sz w:val="21"/>
          <w:szCs w:val="21"/>
        </w:rPr>
        <w:t>as supplied</w:t>
      </w:r>
      <w:r w:rsidR="009F688A">
        <w:rPr>
          <w:rFonts w:ascii="Century Gothic" w:hAnsi="Century Gothic"/>
          <w:b/>
          <w:sz w:val="21"/>
          <w:szCs w:val="21"/>
        </w:rPr>
        <w:t>’</w:t>
      </w:r>
    </w:p>
    <w:p w:rsidR="00D2207C" w:rsidRPr="00162BEB" w:rsidRDefault="00D2207C" w:rsidP="006D43C4">
      <w:pPr>
        <w:spacing w:after="120" w:line="240" w:lineRule="auto"/>
        <w:rPr>
          <w:rFonts w:ascii="Century Gothic" w:hAnsi="Century Gothic"/>
          <w:sz w:val="21"/>
          <w:szCs w:val="21"/>
        </w:rPr>
      </w:pPr>
      <w:r w:rsidRPr="00162BEB">
        <w:rPr>
          <w:rFonts w:ascii="Century Gothic" w:hAnsi="Century Gothic"/>
          <w:sz w:val="21"/>
          <w:szCs w:val="21"/>
        </w:rPr>
        <w:t>Provided you have not modified or transformed Treasury material in any way including, for example, by changing the Treasury text; calculating percentage changes; graphing or charting data; or deriving new statistics from published Treasury statistics</w:t>
      </w:r>
      <w:r w:rsidR="009F688A">
        <w:rPr>
          <w:rFonts w:ascii="Century Gothic" w:hAnsi="Century Gothic"/>
          <w:sz w:val="21"/>
          <w:szCs w:val="21"/>
        </w:rPr>
        <w:t xml:space="preserve"> — </w:t>
      </w:r>
      <w:r w:rsidRPr="00162BEB">
        <w:rPr>
          <w:rFonts w:ascii="Century Gothic" w:hAnsi="Century Gothic"/>
          <w:sz w:val="21"/>
          <w:szCs w:val="21"/>
        </w:rPr>
        <w:t>then Treasury pre</w:t>
      </w:r>
      <w:r w:rsidR="00EF005F">
        <w:rPr>
          <w:rFonts w:ascii="Century Gothic" w:hAnsi="Century Gothic"/>
          <w:sz w:val="21"/>
          <w:szCs w:val="21"/>
        </w:rPr>
        <w:t>fers the following attribution:</w:t>
      </w:r>
    </w:p>
    <w:p w:rsidR="00D2207C" w:rsidRPr="00162BEB" w:rsidRDefault="00D2207C" w:rsidP="006D43C4">
      <w:pPr>
        <w:spacing w:line="240" w:lineRule="auto"/>
        <w:ind w:firstLine="720"/>
        <w:rPr>
          <w:rFonts w:ascii="Century Gothic" w:hAnsi="Century Gothic"/>
          <w:sz w:val="21"/>
          <w:szCs w:val="21"/>
        </w:rPr>
      </w:pPr>
      <w:r w:rsidRPr="00162BEB">
        <w:rPr>
          <w:rFonts w:ascii="Century Gothic" w:hAnsi="Century Gothic"/>
          <w:i/>
          <w:sz w:val="21"/>
          <w:szCs w:val="21"/>
        </w:rPr>
        <w:t xml:space="preserve">Source: The </w:t>
      </w:r>
      <w:r w:rsidRPr="00162BEB">
        <w:rPr>
          <w:rFonts w:ascii="Century Gothic" w:hAnsi="Century Gothic"/>
          <w:i/>
          <w:iCs/>
          <w:sz w:val="21"/>
          <w:szCs w:val="21"/>
        </w:rPr>
        <w:t>Australian Government the Treasury.</w:t>
      </w:r>
    </w:p>
    <w:p w:rsidR="00D2207C" w:rsidRPr="00162BEB" w:rsidRDefault="00D2207C" w:rsidP="006D43C4">
      <w:pPr>
        <w:spacing w:after="120" w:line="240" w:lineRule="auto"/>
        <w:rPr>
          <w:rFonts w:ascii="Century Gothic" w:hAnsi="Century Gothic"/>
          <w:b/>
          <w:sz w:val="21"/>
          <w:szCs w:val="21"/>
        </w:rPr>
      </w:pPr>
      <w:r w:rsidRPr="00162BEB">
        <w:rPr>
          <w:rFonts w:ascii="Century Gothic" w:hAnsi="Century Gothic"/>
          <w:b/>
          <w:sz w:val="21"/>
          <w:szCs w:val="21"/>
        </w:rPr>
        <w:t>Derivative material</w:t>
      </w:r>
    </w:p>
    <w:p w:rsidR="00D2207C" w:rsidRPr="00162BEB" w:rsidRDefault="00D2207C" w:rsidP="006D43C4">
      <w:pPr>
        <w:spacing w:after="120" w:line="240" w:lineRule="auto"/>
        <w:rPr>
          <w:rFonts w:ascii="Century Gothic" w:hAnsi="Century Gothic"/>
          <w:sz w:val="21"/>
          <w:szCs w:val="21"/>
        </w:rPr>
      </w:pPr>
      <w:r w:rsidRPr="00162BEB">
        <w:rPr>
          <w:rFonts w:ascii="Century Gothic" w:hAnsi="Century Gothic"/>
          <w:sz w:val="21"/>
          <w:szCs w:val="21"/>
        </w:rPr>
        <w:t xml:space="preserve">If you have modified or transformed Treasury material, or derived new material from those of the Treasury in any way, then Treasury prefers </w:t>
      </w:r>
      <w:r w:rsidR="00EF005F">
        <w:rPr>
          <w:rFonts w:ascii="Century Gothic" w:hAnsi="Century Gothic"/>
          <w:sz w:val="21"/>
          <w:szCs w:val="21"/>
        </w:rPr>
        <w:t>the following attribution:</w:t>
      </w:r>
    </w:p>
    <w:p w:rsidR="00D2207C" w:rsidRPr="00162BEB" w:rsidRDefault="00D2207C" w:rsidP="006D43C4">
      <w:pPr>
        <w:spacing w:line="240" w:lineRule="auto"/>
        <w:ind w:firstLine="720"/>
        <w:rPr>
          <w:rFonts w:ascii="Century Gothic" w:hAnsi="Century Gothic"/>
          <w:sz w:val="21"/>
          <w:szCs w:val="21"/>
        </w:rPr>
      </w:pPr>
      <w:r w:rsidRPr="00162BEB">
        <w:rPr>
          <w:rFonts w:ascii="Century Gothic" w:hAnsi="Century Gothic"/>
          <w:i/>
          <w:sz w:val="21"/>
          <w:szCs w:val="21"/>
        </w:rPr>
        <w:t>Based on The Australian Government the Treasury data</w:t>
      </w:r>
      <w:r w:rsidRPr="00162BEB">
        <w:rPr>
          <w:rFonts w:ascii="Century Gothic" w:hAnsi="Century Gothic"/>
          <w:sz w:val="21"/>
          <w:szCs w:val="21"/>
        </w:rPr>
        <w:t>.</w:t>
      </w:r>
    </w:p>
    <w:p w:rsidR="00D2207C" w:rsidRPr="00162BEB" w:rsidRDefault="00D2207C" w:rsidP="006D43C4">
      <w:pPr>
        <w:spacing w:after="40" w:line="240" w:lineRule="auto"/>
        <w:rPr>
          <w:rFonts w:ascii="Century Gothic" w:hAnsi="Century Gothic"/>
          <w:b/>
          <w:sz w:val="21"/>
          <w:szCs w:val="21"/>
        </w:rPr>
      </w:pPr>
      <w:r w:rsidRPr="00162BEB">
        <w:rPr>
          <w:rFonts w:ascii="Century Gothic" w:hAnsi="Century Gothic"/>
          <w:b/>
          <w:sz w:val="21"/>
          <w:szCs w:val="21"/>
        </w:rPr>
        <w:t>Use of the Coat of Arms</w:t>
      </w:r>
    </w:p>
    <w:p w:rsidR="00D2207C" w:rsidRPr="00162BEB" w:rsidRDefault="00D2207C" w:rsidP="006D43C4">
      <w:pPr>
        <w:spacing w:line="240" w:lineRule="auto"/>
        <w:rPr>
          <w:rFonts w:ascii="Century Gothic" w:hAnsi="Century Gothic"/>
          <w:sz w:val="21"/>
          <w:szCs w:val="21"/>
        </w:rPr>
      </w:pPr>
      <w:r w:rsidRPr="00162BEB">
        <w:rPr>
          <w:rFonts w:ascii="Century Gothic" w:hAnsi="Century Gothic"/>
          <w:sz w:val="21"/>
          <w:szCs w:val="21"/>
        </w:rPr>
        <w:t>The terms under which the Coat of Arms can be used are set out on the It</w:t>
      </w:r>
      <w:r w:rsidR="009F688A">
        <w:rPr>
          <w:rFonts w:ascii="Century Gothic" w:hAnsi="Century Gothic"/>
          <w:sz w:val="21"/>
          <w:szCs w:val="21"/>
        </w:rPr>
        <w:t>’</w:t>
      </w:r>
      <w:r w:rsidRPr="00162BEB">
        <w:rPr>
          <w:rFonts w:ascii="Century Gothic" w:hAnsi="Century Gothic"/>
          <w:sz w:val="21"/>
          <w:szCs w:val="21"/>
        </w:rPr>
        <w:t>s an Honour website (see </w:t>
      </w:r>
      <w:hyperlink r:id="rId25" w:history="1">
        <w:r w:rsidRPr="00162BEB">
          <w:rPr>
            <w:rStyle w:val="Hyperlink"/>
            <w:rFonts w:ascii="Century Gothic" w:hAnsi="Century Gothic"/>
            <w:sz w:val="21"/>
            <w:szCs w:val="21"/>
          </w:rPr>
          <w:t>www.itsanhonour.gov.au</w:t>
        </w:r>
      </w:hyperlink>
      <w:r w:rsidRPr="00162BEB">
        <w:rPr>
          <w:rFonts w:ascii="Century Gothic" w:hAnsi="Century Gothic"/>
          <w:sz w:val="21"/>
          <w:szCs w:val="21"/>
        </w:rPr>
        <w:t>)</w:t>
      </w:r>
      <w:r w:rsidR="00EF005F">
        <w:rPr>
          <w:rFonts w:ascii="Century Gothic" w:hAnsi="Century Gothic"/>
          <w:sz w:val="21"/>
          <w:szCs w:val="21"/>
        </w:rPr>
        <w:t>.</w:t>
      </w:r>
    </w:p>
    <w:p w:rsidR="00D2207C" w:rsidRPr="00162BEB" w:rsidRDefault="00D2207C" w:rsidP="006D43C4">
      <w:pPr>
        <w:spacing w:after="40" w:line="240" w:lineRule="auto"/>
        <w:rPr>
          <w:rFonts w:ascii="Century Gothic" w:hAnsi="Century Gothic"/>
          <w:b/>
          <w:sz w:val="21"/>
          <w:szCs w:val="21"/>
        </w:rPr>
      </w:pPr>
      <w:r w:rsidRPr="00162BEB">
        <w:rPr>
          <w:rFonts w:ascii="Century Gothic" w:hAnsi="Century Gothic"/>
          <w:b/>
          <w:sz w:val="21"/>
          <w:szCs w:val="21"/>
        </w:rPr>
        <w:t>Other uses</w:t>
      </w:r>
    </w:p>
    <w:p w:rsidR="00D2207C" w:rsidRPr="00162BEB" w:rsidRDefault="00D2207C" w:rsidP="006D43C4">
      <w:pPr>
        <w:spacing w:after="120" w:line="240" w:lineRule="auto"/>
        <w:rPr>
          <w:rFonts w:ascii="Century Gothic" w:hAnsi="Century Gothic"/>
          <w:sz w:val="21"/>
          <w:szCs w:val="21"/>
        </w:rPr>
      </w:pPr>
      <w:r w:rsidRPr="00162BEB">
        <w:rPr>
          <w:rFonts w:ascii="Century Gothic" w:hAnsi="Century Gothic"/>
          <w:sz w:val="21"/>
          <w:szCs w:val="21"/>
        </w:rPr>
        <w:t>Enquiries regarding this licence and any other use of this document are welcome at:</w:t>
      </w:r>
    </w:p>
    <w:p w:rsidR="00D2207C" w:rsidRPr="00162BEB" w:rsidRDefault="00EF005F" w:rsidP="006D43C4">
      <w:pPr>
        <w:spacing w:after="120" w:line="240" w:lineRule="auto"/>
        <w:ind w:left="720"/>
        <w:jc w:val="left"/>
        <w:rPr>
          <w:rFonts w:ascii="Century Gothic" w:hAnsi="Century Gothic"/>
          <w:sz w:val="21"/>
          <w:szCs w:val="21"/>
        </w:rPr>
      </w:pPr>
      <w:r>
        <w:rPr>
          <w:rFonts w:ascii="Century Gothic" w:hAnsi="Century Gothic"/>
          <w:sz w:val="21"/>
          <w:szCs w:val="21"/>
        </w:rPr>
        <w:t>Manager</w:t>
      </w:r>
      <w:r>
        <w:rPr>
          <w:rFonts w:ascii="Century Gothic" w:hAnsi="Century Gothic"/>
          <w:sz w:val="21"/>
          <w:szCs w:val="21"/>
        </w:rPr>
        <w:br/>
        <w:t>Communications</w:t>
      </w:r>
      <w:r>
        <w:rPr>
          <w:rFonts w:ascii="Century Gothic" w:hAnsi="Century Gothic"/>
          <w:sz w:val="21"/>
          <w:szCs w:val="21"/>
        </w:rPr>
        <w:br/>
        <w:t>The Treasury</w:t>
      </w:r>
      <w:r>
        <w:rPr>
          <w:rFonts w:ascii="Century Gothic" w:hAnsi="Century Gothic"/>
          <w:sz w:val="21"/>
          <w:szCs w:val="21"/>
        </w:rPr>
        <w:br/>
        <w:t>Langton Crescent</w:t>
      </w:r>
      <w:r w:rsidR="00D2207C" w:rsidRPr="00162BEB">
        <w:rPr>
          <w:rFonts w:ascii="Century Gothic" w:hAnsi="Century Gothic"/>
          <w:sz w:val="21"/>
          <w:szCs w:val="21"/>
        </w:rPr>
        <w:br/>
        <w:t>Parkes ACT 2600</w:t>
      </w:r>
    </w:p>
    <w:p w:rsidR="00D2207C" w:rsidRPr="00162BEB" w:rsidRDefault="00D2207C" w:rsidP="006D43C4">
      <w:pPr>
        <w:spacing w:line="240" w:lineRule="auto"/>
        <w:ind w:left="720"/>
        <w:jc w:val="left"/>
        <w:rPr>
          <w:rFonts w:ascii="Century Gothic" w:hAnsi="Century Gothic"/>
          <w:color w:val="auto"/>
          <w:sz w:val="21"/>
          <w:szCs w:val="21"/>
        </w:rPr>
      </w:pPr>
      <w:r w:rsidRPr="00162BEB">
        <w:rPr>
          <w:rFonts w:ascii="Century Gothic" w:hAnsi="Century Gothic"/>
          <w:sz w:val="21"/>
          <w:szCs w:val="21"/>
        </w:rPr>
        <w:t xml:space="preserve">Email: </w:t>
      </w:r>
      <w:hyperlink r:id="rId26" w:history="1">
        <w:r w:rsidRPr="00162BEB">
          <w:rPr>
            <w:rStyle w:val="Hyperlink"/>
            <w:rFonts w:ascii="Century Gothic" w:hAnsi="Century Gothic"/>
            <w:sz w:val="21"/>
            <w:szCs w:val="21"/>
          </w:rPr>
          <w:t>medialiaison@treasury.gov.au</w:t>
        </w:r>
      </w:hyperlink>
    </w:p>
    <w:p w:rsidR="00D2207C" w:rsidRPr="003E6DDA" w:rsidRDefault="00D2207C" w:rsidP="003E6DDA"/>
    <w:p w:rsidR="003E6DDA" w:rsidRPr="003E6DDA" w:rsidRDefault="003E6DDA" w:rsidP="003E6DDA">
      <w:pPr>
        <w:sectPr w:rsidR="003E6DDA" w:rsidRPr="003E6DDA" w:rsidSect="00A42590">
          <w:headerReference w:type="default" r:id="rId27"/>
          <w:headerReference w:type="first" r:id="rId28"/>
          <w:footerReference w:type="first" r:id="rId29"/>
          <w:pgSz w:w="11906" w:h="16838" w:code="277"/>
          <w:pgMar w:top="1440" w:right="1440" w:bottom="1701" w:left="1440" w:header="709" w:footer="709" w:gutter="0"/>
          <w:cols w:space="708"/>
          <w:titlePg/>
          <w:docGrid w:linePitch="360"/>
        </w:sectPr>
      </w:pPr>
    </w:p>
    <w:p w:rsidR="0056559F" w:rsidRDefault="0056559F" w:rsidP="009F5F79">
      <w:pPr>
        <w:pStyle w:val="ContentsHeading1"/>
      </w:pPr>
      <w:r>
        <w:lastRenderedPageBreak/>
        <w:t>Contents</w:t>
      </w:r>
    </w:p>
    <w:p w:rsidR="0004089F" w:rsidRDefault="00993864">
      <w:pPr>
        <w:pStyle w:val="TOC1"/>
        <w:rPr>
          <w:rFonts w:asciiTheme="minorHAnsi" w:eastAsiaTheme="minorEastAsia" w:hAnsiTheme="minorHAnsi" w:cstheme="minorBidi"/>
          <w:b w:val="0"/>
          <w:color w:val="auto"/>
          <w:sz w:val="22"/>
        </w:rPr>
      </w:pPr>
      <w:r>
        <w:rPr>
          <w:rStyle w:val="Hyperlink"/>
        </w:rPr>
        <w:fldChar w:fldCharType="begin"/>
      </w:r>
      <w:r>
        <w:rPr>
          <w:rStyle w:val="Hyperlink"/>
        </w:rPr>
        <w:instrText xml:space="preserve"> TOC \o "1-1" \h \z \u \t "Heading 2,2" </w:instrText>
      </w:r>
      <w:r>
        <w:rPr>
          <w:rStyle w:val="Hyperlink"/>
        </w:rPr>
        <w:fldChar w:fldCharType="separate"/>
      </w:r>
      <w:hyperlink w:anchor="_Toc483988902" w:history="1">
        <w:r w:rsidR="0004089F" w:rsidRPr="00E65396">
          <w:rPr>
            <w:rStyle w:val="Hyperlink"/>
          </w:rPr>
          <w:t>Consultation Process</w:t>
        </w:r>
        <w:r w:rsidR="0004089F">
          <w:rPr>
            <w:webHidden/>
          </w:rPr>
          <w:tab/>
        </w:r>
        <w:r w:rsidR="0004089F">
          <w:rPr>
            <w:webHidden/>
          </w:rPr>
          <w:fldChar w:fldCharType="begin"/>
        </w:r>
        <w:r w:rsidR="0004089F">
          <w:rPr>
            <w:webHidden/>
          </w:rPr>
          <w:instrText xml:space="preserve"> PAGEREF _Toc483988902 \h </w:instrText>
        </w:r>
        <w:r w:rsidR="0004089F">
          <w:rPr>
            <w:webHidden/>
          </w:rPr>
        </w:r>
        <w:r w:rsidR="0004089F">
          <w:rPr>
            <w:webHidden/>
          </w:rPr>
          <w:fldChar w:fldCharType="separate"/>
        </w:r>
        <w:r w:rsidR="0004089F">
          <w:rPr>
            <w:webHidden/>
          </w:rPr>
          <w:t>iv</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03" w:history="1">
        <w:r w:rsidR="0004089F" w:rsidRPr="00E65396">
          <w:rPr>
            <w:rStyle w:val="Hyperlink"/>
          </w:rPr>
          <w:t>Introduction</w:t>
        </w:r>
        <w:r w:rsidR="0004089F">
          <w:rPr>
            <w:webHidden/>
          </w:rPr>
          <w:tab/>
        </w:r>
        <w:r w:rsidR="0004089F">
          <w:rPr>
            <w:webHidden/>
          </w:rPr>
          <w:fldChar w:fldCharType="begin"/>
        </w:r>
        <w:r w:rsidR="0004089F">
          <w:rPr>
            <w:webHidden/>
          </w:rPr>
          <w:instrText xml:space="preserve"> PAGEREF _Toc483988903 \h </w:instrText>
        </w:r>
        <w:r w:rsidR="0004089F">
          <w:rPr>
            <w:webHidden/>
          </w:rPr>
        </w:r>
        <w:r w:rsidR="0004089F">
          <w:rPr>
            <w:webHidden/>
          </w:rPr>
          <w:fldChar w:fldCharType="separate"/>
        </w:r>
        <w:r w:rsidR="0004089F">
          <w:rPr>
            <w:webHidden/>
          </w:rPr>
          <w:t>1</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04" w:history="1">
        <w:r w:rsidR="0004089F" w:rsidRPr="00E65396">
          <w:rPr>
            <w:rStyle w:val="Hyperlink"/>
          </w:rPr>
          <w:t>Scope</w:t>
        </w:r>
        <w:r w:rsidR="0004089F">
          <w:rPr>
            <w:webHidden/>
          </w:rPr>
          <w:tab/>
        </w:r>
        <w:r w:rsidR="0004089F">
          <w:rPr>
            <w:webHidden/>
          </w:rPr>
          <w:fldChar w:fldCharType="begin"/>
        </w:r>
        <w:r w:rsidR="0004089F">
          <w:rPr>
            <w:webHidden/>
          </w:rPr>
          <w:instrText xml:space="preserve"> PAGEREF _Toc483988904 \h </w:instrText>
        </w:r>
        <w:r w:rsidR="0004089F">
          <w:rPr>
            <w:webHidden/>
          </w:rPr>
        </w:r>
        <w:r w:rsidR="0004089F">
          <w:rPr>
            <w:webHidden/>
          </w:rPr>
          <w:fldChar w:fldCharType="separate"/>
        </w:r>
        <w:r w:rsidR="0004089F">
          <w:rPr>
            <w:webHidden/>
          </w:rPr>
          <w:t>5</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05" w:history="1">
        <w:r w:rsidR="0004089F" w:rsidRPr="00E65396">
          <w:rPr>
            <w:rStyle w:val="Hyperlink"/>
          </w:rPr>
          <w:t>Compensation scheme of last resort</w:t>
        </w:r>
        <w:r w:rsidR="0004089F">
          <w:rPr>
            <w:webHidden/>
          </w:rPr>
          <w:tab/>
        </w:r>
        <w:r w:rsidR="0004089F">
          <w:rPr>
            <w:webHidden/>
          </w:rPr>
          <w:fldChar w:fldCharType="begin"/>
        </w:r>
        <w:r w:rsidR="0004089F">
          <w:rPr>
            <w:webHidden/>
          </w:rPr>
          <w:instrText xml:space="preserve"> PAGEREF _Toc483988905 \h </w:instrText>
        </w:r>
        <w:r w:rsidR="0004089F">
          <w:rPr>
            <w:webHidden/>
          </w:rPr>
        </w:r>
        <w:r w:rsidR="0004089F">
          <w:rPr>
            <w:webHidden/>
          </w:rPr>
          <w:fldChar w:fldCharType="separate"/>
        </w:r>
        <w:r w:rsidR="0004089F">
          <w:rPr>
            <w:webHidden/>
          </w:rPr>
          <w:t>9</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06" w:history="1">
        <w:r w:rsidR="0004089F" w:rsidRPr="00E65396">
          <w:rPr>
            <w:rStyle w:val="Hyperlink"/>
          </w:rPr>
          <w:t>Problem being addressed — uncompensated consumer losses</w:t>
        </w:r>
        <w:r w:rsidR="0004089F">
          <w:rPr>
            <w:webHidden/>
          </w:rPr>
          <w:tab/>
        </w:r>
        <w:r w:rsidR="0004089F">
          <w:rPr>
            <w:webHidden/>
          </w:rPr>
          <w:fldChar w:fldCharType="begin"/>
        </w:r>
        <w:r w:rsidR="0004089F">
          <w:rPr>
            <w:webHidden/>
          </w:rPr>
          <w:instrText xml:space="preserve"> PAGEREF _Toc483988906 \h </w:instrText>
        </w:r>
        <w:r w:rsidR="0004089F">
          <w:rPr>
            <w:webHidden/>
          </w:rPr>
        </w:r>
        <w:r w:rsidR="0004089F">
          <w:rPr>
            <w:webHidden/>
          </w:rPr>
          <w:fldChar w:fldCharType="separate"/>
        </w:r>
        <w:r w:rsidR="0004089F">
          <w:rPr>
            <w:webHidden/>
          </w:rPr>
          <w:t>9</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07" w:history="1">
        <w:r w:rsidR="0004089F" w:rsidRPr="00E65396">
          <w:rPr>
            <w:rStyle w:val="Hyperlink"/>
          </w:rPr>
          <w:t>Existing framework for compensating losses in the financial system</w:t>
        </w:r>
        <w:r w:rsidR="0004089F">
          <w:rPr>
            <w:webHidden/>
          </w:rPr>
          <w:tab/>
        </w:r>
        <w:r w:rsidR="0004089F">
          <w:rPr>
            <w:webHidden/>
          </w:rPr>
          <w:fldChar w:fldCharType="begin"/>
        </w:r>
        <w:r w:rsidR="0004089F">
          <w:rPr>
            <w:webHidden/>
          </w:rPr>
          <w:instrText xml:space="preserve"> PAGEREF _Toc483988907 \h </w:instrText>
        </w:r>
        <w:r w:rsidR="0004089F">
          <w:rPr>
            <w:webHidden/>
          </w:rPr>
        </w:r>
        <w:r w:rsidR="0004089F">
          <w:rPr>
            <w:webHidden/>
          </w:rPr>
          <w:fldChar w:fldCharType="separate"/>
        </w:r>
        <w:r w:rsidR="0004089F">
          <w:rPr>
            <w:webHidden/>
          </w:rPr>
          <w:t>10</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08" w:history="1">
        <w:r w:rsidR="0004089F" w:rsidRPr="00E65396">
          <w:rPr>
            <w:rStyle w:val="Hyperlink"/>
          </w:rPr>
          <w:t>Compensation arrangements outside of the financial services industry</w:t>
        </w:r>
        <w:r w:rsidR="0004089F">
          <w:rPr>
            <w:webHidden/>
          </w:rPr>
          <w:tab/>
        </w:r>
        <w:r w:rsidR="0004089F">
          <w:rPr>
            <w:webHidden/>
          </w:rPr>
          <w:fldChar w:fldCharType="begin"/>
        </w:r>
        <w:r w:rsidR="0004089F">
          <w:rPr>
            <w:webHidden/>
          </w:rPr>
          <w:instrText xml:space="preserve"> PAGEREF _Toc483988908 \h </w:instrText>
        </w:r>
        <w:r w:rsidR="0004089F">
          <w:rPr>
            <w:webHidden/>
          </w:rPr>
        </w:r>
        <w:r w:rsidR="0004089F">
          <w:rPr>
            <w:webHidden/>
          </w:rPr>
          <w:fldChar w:fldCharType="separate"/>
        </w:r>
        <w:r w:rsidR="0004089F">
          <w:rPr>
            <w:webHidden/>
          </w:rPr>
          <w:t>15</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09" w:history="1">
        <w:r w:rsidR="0004089F" w:rsidRPr="00E65396">
          <w:rPr>
            <w:rStyle w:val="Hyperlink"/>
          </w:rPr>
          <w:t>International financial services industry compensation schemes</w:t>
        </w:r>
        <w:r w:rsidR="0004089F">
          <w:rPr>
            <w:webHidden/>
          </w:rPr>
          <w:tab/>
        </w:r>
        <w:r w:rsidR="0004089F">
          <w:rPr>
            <w:webHidden/>
          </w:rPr>
          <w:fldChar w:fldCharType="begin"/>
        </w:r>
        <w:r w:rsidR="0004089F">
          <w:rPr>
            <w:webHidden/>
          </w:rPr>
          <w:instrText xml:space="preserve"> PAGEREF _Toc483988909 \h </w:instrText>
        </w:r>
        <w:r w:rsidR="0004089F">
          <w:rPr>
            <w:webHidden/>
          </w:rPr>
        </w:r>
        <w:r w:rsidR="0004089F">
          <w:rPr>
            <w:webHidden/>
          </w:rPr>
          <w:fldChar w:fldCharType="separate"/>
        </w:r>
        <w:r w:rsidR="0004089F">
          <w:rPr>
            <w:webHidden/>
          </w:rPr>
          <w:t>17</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0" w:history="1">
        <w:r w:rsidR="0004089F" w:rsidRPr="00E65396">
          <w:rPr>
            <w:rStyle w:val="Hyperlink"/>
          </w:rPr>
          <w:t>Evaluation of a compensation scheme of last resort</w:t>
        </w:r>
        <w:r w:rsidR="0004089F">
          <w:rPr>
            <w:webHidden/>
          </w:rPr>
          <w:tab/>
        </w:r>
        <w:r w:rsidR="0004089F">
          <w:rPr>
            <w:webHidden/>
          </w:rPr>
          <w:fldChar w:fldCharType="begin"/>
        </w:r>
        <w:r w:rsidR="0004089F">
          <w:rPr>
            <w:webHidden/>
          </w:rPr>
          <w:instrText xml:space="preserve"> PAGEREF _Toc483988910 \h </w:instrText>
        </w:r>
        <w:r w:rsidR="0004089F">
          <w:rPr>
            <w:webHidden/>
          </w:rPr>
        </w:r>
        <w:r w:rsidR="0004089F">
          <w:rPr>
            <w:webHidden/>
          </w:rPr>
          <w:fldChar w:fldCharType="separate"/>
        </w:r>
        <w:r w:rsidR="0004089F">
          <w:rPr>
            <w:webHidden/>
          </w:rPr>
          <w:t>19</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1" w:history="1">
        <w:r w:rsidR="0004089F" w:rsidRPr="00E65396">
          <w:rPr>
            <w:rStyle w:val="Hyperlink"/>
          </w:rPr>
          <w:t>Potential design of a compensation scheme of last resort</w:t>
        </w:r>
        <w:r w:rsidR="0004089F">
          <w:rPr>
            <w:webHidden/>
          </w:rPr>
          <w:tab/>
        </w:r>
        <w:r w:rsidR="0004089F">
          <w:rPr>
            <w:webHidden/>
          </w:rPr>
          <w:fldChar w:fldCharType="begin"/>
        </w:r>
        <w:r w:rsidR="0004089F">
          <w:rPr>
            <w:webHidden/>
          </w:rPr>
          <w:instrText xml:space="preserve"> PAGEREF _Toc483988911 \h </w:instrText>
        </w:r>
        <w:r w:rsidR="0004089F">
          <w:rPr>
            <w:webHidden/>
          </w:rPr>
        </w:r>
        <w:r w:rsidR="0004089F">
          <w:rPr>
            <w:webHidden/>
          </w:rPr>
          <w:fldChar w:fldCharType="separate"/>
        </w:r>
        <w:r w:rsidR="0004089F">
          <w:rPr>
            <w:webHidden/>
          </w:rPr>
          <w:t>22</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2" w:history="1">
        <w:r w:rsidR="0004089F" w:rsidRPr="00E65396">
          <w:rPr>
            <w:rStyle w:val="Hyperlink"/>
          </w:rPr>
          <w:t>Legacy unpaid EDR determinations</w:t>
        </w:r>
        <w:r w:rsidR="0004089F">
          <w:rPr>
            <w:webHidden/>
          </w:rPr>
          <w:tab/>
        </w:r>
        <w:r w:rsidR="0004089F">
          <w:rPr>
            <w:webHidden/>
          </w:rPr>
          <w:fldChar w:fldCharType="begin"/>
        </w:r>
        <w:r w:rsidR="0004089F">
          <w:rPr>
            <w:webHidden/>
          </w:rPr>
          <w:instrText xml:space="preserve"> PAGEREF _Toc483988912 \h </w:instrText>
        </w:r>
        <w:r w:rsidR="0004089F">
          <w:rPr>
            <w:webHidden/>
          </w:rPr>
        </w:r>
        <w:r w:rsidR="0004089F">
          <w:rPr>
            <w:webHidden/>
          </w:rPr>
          <w:fldChar w:fldCharType="separate"/>
        </w:r>
        <w:r w:rsidR="0004089F">
          <w:rPr>
            <w:webHidden/>
          </w:rPr>
          <w:t>32</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13" w:history="1">
        <w:r w:rsidR="0004089F" w:rsidRPr="00E65396">
          <w:rPr>
            <w:rStyle w:val="Hyperlink"/>
          </w:rPr>
          <w:t>Providing access to redress for past disputes</w:t>
        </w:r>
        <w:r w:rsidR="0004089F">
          <w:rPr>
            <w:webHidden/>
          </w:rPr>
          <w:tab/>
        </w:r>
        <w:r w:rsidR="0004089F">
          <w:rPr>
            <w:webHidden/>
          </w:rPr>
          <w:fldChar w:fldCharType="begin"/>
        </w:r>
        <w:r w:rsidR="0004089F">
          <w:rPr>
            <w:webHidden/>
          </w:rPr>
          <w:instrText xml:space="preserve"> PAGEREF _Toc483988913 \h </w:instrText>
        </w:r>
        <w:r w:rsidR="0004089F">
          <w:rPr>
            <w:webHidden/>
          </w:rPr>
        </w:r>
        <w:r w:rsidR="0004089F">
          <w:rPr>
            <w:webHidden/>
          </w:rPr>
          <w:fldChar w:fldCharType="separate"/>
        </w:r>
        <w:r w:rsidR="0004089F">
          <w:rPr>
            <w:webHidden/>
          </w:rPr>
          <w:t>34</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4" w:history="1">
        <w:r w:rsidR="0004089F" w:rsidRPr="00E65396">
          <w:rPr>
            <w:rStyle w:val="Hyperlink"/>
          </w:rPr>
          <w:t>Problem being addressed — access to redress</w:t>
        </w:r>
        <w:r w:rsidR="0004089F">
          <w:rPr>
            <w:webHidden/>
          </w:rPr>
          <w:tab/>
        </w:r>
        <w:r w:rsidR="0004089F">
          <w:rPr>
            <w:webHidden/>
          </w:rPr>
          <w:fldChar w:fldCharType="begin"/>
        </w:r>
        <w:r w:rsidR="0004089F">
          <w:rPr>
            <w:webHidden/>
          </w:rPr>
          <w:instrText xml:space="preserve"> PAGEREF _Toc483988914 \h </w:instrText>
        </w:r>
        <w:r w:rsidR="0004089F">
          <w:rPr>
            <w:webHidden/>
          </w:rPr>
        </w:r>
        <w:r w:rsidR="0004089F">
          <w:rPr>
            <w:webHidden/>
          </w:rPr>
          <w:fldChar w:fldCharType="separate"/>
        </w:r>
        <w:r w:rsidR="0004089F">
          <w:rPr>
            <w:webHidden/>
          </w:rPr>
          <w:t>34</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5" w:history="1">
        <w:r w:rsidR="0004089F" w:rsidRPr="00E65396">
          <w:rPr>
            <w:rStyle w:val="Hyperlink"/>
          </w:rPr>
          <w:t>Approaches to providing access to redress for past matters</w:t>
        </w:r>
        <w:r w:rsidR="0004089F">
          <w:rPr>
            <w:webHidden/>
          </w:rPr>
          <w:tab/>
        </w:r>
        <w:r w:rsidR="0004089F">
          <w:rPr>
            <w:webHidden/>
          </w:rPr>
          <w:fldChar w:fldCharType="begin"/>
        </w:r>
        <w:r w:rsidR="0004089F">
          <w:rPr>
            <w:webHidden/>
          </w:rPr>
          <w:instrText xml:space="preserve"> PAGEREF _Toc483988915 \h </w:instrText>
        </w:r>
        <w:r w:rsidR="0004089F">
          <w:rPr>
            <w:webHidden/>
          </w:rPr>
        </w:r>
        <w:r w:rsidR="0004089F">
          <w:rPr>
            <w:webHidden/>
          </w:rPr>
          <w:fldChar w:fldCharType="separate"/>
        </w:r>
        <w:r w:rsidR="0004089F">
          <w:rPr>
            <w:webHidden/>
          </w:rPr>
          <w:t>37</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6" w:history="1">
        <w:r w:rsidR="0004089F" w:rsidRPr="00E65396">
          <w:rPr>
            <w:rStyle w:val="Hyperlink"/>
          </w:rPr>
          <w:t>Evaluation of providing access to redress for past disputes</w:t>
        </w:r>
        <w:r w:rsidR="0004089F">
          <w:rPr>
            <w:webHidden/>
          </w:rPr>
          <w:tab/>
        </w:r>
        <w:r w:rsidR="0004089F">
          <w:rPr>
            <w:webHidden/>
          </w:rPr>
          <w:fldChar w:fldCharType="begin"/>
        </w:r>
        <w:r w:rsidR="0004089F">
          <w:rPr>
            <w:webHidden/>
          </w:rPr>
          <w:instrText xml:space="preserve"> PAGEREF _Toc483988916 \h </w:instrText>
        </w:r>
        <w:r w:rsidR="0004089F">
          <w:rPr>
            <w:webHidden/>
          </w:rPr>
        </w:r>
        <w:r w:rsidR="0004089F">
          <w:rPr>
            <w:webHidden/>
          </w:rPr>
          <w:fldChar w:fldCharType="separate"/>
        </w:r>
        <w:r w:rsidR="0004089F">
          <w:rPr>
            <w:webHidden/>
          </w:rPr>
          <w:t>39</w:t>
        </w:r>
        <w:r w:rsidR="0004089F">
          <w:rPr>
            <w:webHidden/>
          </w:rPr>
          <w:fldChar w:fldCharType="end"/>
        </w:r>
      </w:hyperlink>
    </w:p>
    <w:p w:rsidR="0004089F" w:rsidRDefault="000D59A3">
      <w:pPr>
        <w:pStyle w:val="TOC2"/>
        <w:rPr>
          <w:rFonts w:asciiTheme="minorHAnsi" w:eastAsiaTheme="minorEastAsia" w:hAnsiTheme="minorHAnsi" w:cstheme="minorBidi"/>
          <w:color w:val="auto"/>
          <w:sz w:val="22"/>
          <w:szCs w:val="22"/>
        </w:rPr>
      </w:pPr>
      <w:hyperlink w:anchor="_Toc483988917" w:history="1">
        <w:r w:rsidR="0004089F" w:rsidRPr="00E65396">
          <w:rPr>
            <w:rStyle w:val="Hyperlink"/>
          </w:rPr>
          <w:t>Design issues with providing access to redress for past disputes</w:t>
        </w:r>
        <w:r w:rsidR="0004089F">
          <w:rPr>
            <w:webHidden/>
          </w:rPr>
          <w:tab/>
        </w:r>
        <w:r w:rsidR="0004089F">
          <w:rPr>
            <w:webHidden/>
          </w:rPr>
          <w:fldChar w:fldCharType="begin"/>
        </w:r>
        <w:r w:rsidR="0004089F">
          <w:rPr>
            <w:webHidden/>
          </w:rPr>
          <w:instrText xml:space="preserve"> PAGEREF _Toc483988917 \h </w:instrText>
        </w:r>
        <w:r w:rsidR="0004089F">
          <w:rPr>
            <w:webHidden/>
          </w:rPr>
        </w:r>
        <w:r w:rsidR="0004089F">
          <w:rPr>
            <w:webHidden/>
          </w:rPr>
          <w:fldChar w:fldCharType="separate"/>
        </w:r>
        <w:r w:rsidR="0004089F">
          <w:rPr>
            <w:webHidden/>
          </w:rPr>
          <w:t>41</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18" w:history="1">
        <w:r w:rsidR="0004089F" w:rsidRPr="00E65396">
          <w:rPr>
            <w:rStyle w:val="Hyperlink"/>
          </w:rPr>
          <w:t>Consultation questions</w:t>
        </w:r>
        <w:r w:rsidR="0004089F">
          <w:rPr>
            <w:webHidden/>
          </w:rPr>
          <w:tab/>
        </w:r>
        <w:r w:rsidR="0004089F">
          <w:rPr>
            <w:webHidden/>
          </w:rPr>
          <w:fldChar w:fldCharType="begin"/>
        </w:r>
        <w:r w:rsidR="0004089F">
          <w:rPr>
            <w:webHidden/>
          </w:rPr>
          <w:instrText xml:space="preserve"> PAGEREF _Toc483988918 \h </w:instrText>
        </w:r>
        <w:r w:rsidR="0004089F">
          <w:rPr>
            <w:webHidden/>
          </w:rPr>
        </w:r>
        <w:r w:rsidR="0004089F">
          <w:rPr>
            <w:webHidden/>
          </w:rPr>
          <w:fldChar w:fldCharType="separate"/>
        </w:r>
        <w:r w:rsidR="0004089F">
          <w:rPr>
            <w:webHidden/>
          </w:rPr>
          <w:t>47</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19" w:history="1">
        <w:r w:rsidR="0004089F" w:rsidRPr="00E65396">
          <w:rPr>
            <w:rStyle w:val="Hyperlink"/>
          </w:rPr>
          <w:t>Appendix A — Amended Terms of Reference</w:t>
        </w:r>
        <w:r w:rsidR="0004089F">
          <w:rPr>
            <w:webHidden/>
          </w:rPr>
          <w:tab/>
        </w:r>
        <w:r w:rsidR="0004089F">
          <w:rPr>
            <w:webHidden/>
          </w:rPr>
          <w:fldChar w:fldCharType="begin"/>
        </w:r>
        <w:r w:rsidR="0004089F">
          <w:rPr>
            <w:webHidden/>
          </w:rPr>
          <w:instrText xml:space="preserve"> PAGEREF _Toc483988919 \h </w:instrText>
        </w:r>
        <w:r w:rsidR="0004089F">
          <w:rPr>
            <w:webHidden/>
          </w:rPr>
        </w:r>
        <w:r w:rsidR="0004089F">
          <w:rPr>
            <w:webHidden/>
          </w:rPr>
          <w:fldChar w:fldCharType="separate"/>
        </w:r>
        <w:r w:rsidR="0004089F">
          <w:rPr>
            <w:webHidden/>
          </w:rPr>
          <w:t>51</w:t>
        </w:r>
        <w:r w:rsidR="0004089F">
          <w:rPr>
            <w:webHidden/>
          </w:rPr>
          <w:fldChar w:fldCharType="end"/>
        </w:r>
      </w:hyperlink>
    </w:p>
    <w:p w:rsidR="0004089F" w:rsidRDefault="000D59A3">
      <w:pPr>
        <w:pStyle w:val="TOC1"/>
        <w:rPr>
          <w:rFonts w:asciiTheme="minorHAnsi" w:eastAsiaTheme="minorEastAsia" w:hAnsiTheme="minorHAnsi" w:cstheme="minorBidi"/>
          <w:b w:val="0"/>
          <w:color w:val="auto"/>
          <w:sz w:val="22"/>
        </w:rPr>
      </w:pPr>
      <w:hyperlink w:anchor="_Toc483988920" w:history="1">
        <w:r w:rsidR="0004089F" w:rsidRPr="00E65396">
          <w:rPr>
            <w:rStyle w:val="Hyperlink"/>
          </w:rPr>
          <w:t>Appendix B — Examples of schemes outside the financial sector that provide for past matters</w:t>
        </w:r>
        <w:r w:rsidR="0004089F">
          <w:rPr>
            <w:webHidden/>
          </w:rPr>
          <w:tab/>
        </w:r>
        <w:r w:rsidR="0004089F">
          <w:rPr>
            <w:webHidden/>
          </w:rPr>
          <w:fldChar w:fldCharType="begin"/>
        </w:r>
        <w:r w:rsidR="0004089F">
          <w:rPr>
            <w:webHidden/>
          </w:rPr>
          <w:instrText xml:space="preserve"> PAGEREF _Toc483988920 \h </w:instrText>
        </w:r>
        <w:r w:rsidR="0004089F">
          <w:rPr>
            <w:webHidden/>
          </w:rPr>
        </w:r>
        <w:r w:rsidR="0004089F">
          <w:rPr>
            <w:webHidden/>
          </w:rPr>
          <w:fldChar w:fldCharType="separate"/>
        </w:r>
        <w:r w:rsidR="0004089F">
          <w:rPr>
            <w:webHidden/>
          </w:rPr>
          <w:t>53</w:t>
        </w:r>
        <w:r w:rsidR="0004089F">
          <w:rPr>
            <w:webHidden/>
          </w:rPr>
          <w:fldChar w:fldCharType="end"/>
        </w:r>
      </w:hyperlink>
    </w:p>
    <w:p w:rsidR="008B6F1D" w:rsidRDefault="00993864" w:rsidP="006B401E">
      <w:pPr>
        <w:pStyle w:val="TOC2"/>
        <w:ind w:left="0"/>
      </w:pPr>
      <w:r>
        <w:rPr>
          <w:rStyle w:val="Hyperlink"/>
          <w:szCs w:val="22"/>
        </w:rPr>
        <w:fldChar w:fldCharType="end"/>
      </w:r>
    </w:p>
    <w:p w:rsidR="00F30068" w:rsidRPr="008B6F1D" w:rsidRDefault="00F30068" w:rsidP="008B6F1D">
      <w:pPr>
        <w:sectPr w:rsidR="00F30068" w:rsidRPr="008B6F1D" w:rsidSect="00A42590">
          <w:headerReference w:type="first" r:id="rId30"/>
          <w:pgSz w:w="11906" w:h="16838" w:code="9"/>
          <w:pgMar w:top="1418" w:right="1418" w:bottom="1418" w:left="1418" w:header="709" w:footer="709" w:gutter="0"/>
          <w:cols w:space="708"/>
          <w:titlePg/>
          <w:docGrid w:linePitch="360"/>
        </w:sectPr>
      </w:pPr>
    </w:p>
    <w:p w:rsidR="001B5BD7" w:rsidRPr="00A736A9" w:rsidRDefault="001B5BD7" w:rsidP="001B5BD7">
      <w:pPr>
        <w:pStyle w:val="Heading1"/>
      </w:pPr>
      <w:bookmarkStart w:id="1" w:name="_Toc461105714"/>
      <w:bookmarkStart w:id="2" w:name="_Toc479074198"/>
      <w:bookmarkStart w:id="3" w:name="_Toc479079301"/>
      <w:bookmarkStart w:id="4" w:name="_Toc479600655"/>
      <w:bookmarkStart w:id="5" w:name="_Toc479692327"/>
      <w:bookmarkStart w:id="6" w:name="_Toc479761646"/>
      <w:bookmarkStart w:id="7" w:name="_Toc481418009"/>
      <w:bookmarkStart w:id="8" w:name="_Toc481420150"/>
      <w:bookmarkStart w:id="9" w:name="_Toc482188896"/>
      <w:bookmarkStart w:id="10" w:name="_Toc482197203"/>
      <w:bookmarkStart w:id="11" w:name="_Toc482198293"/>
      <w:bookmarkStart w:id="12" w:name="_Toc482779531"/>
      <w:bookmarkStart w:id="13" w:name="_Toc482781306"/>
      <w:bookmarkStart w:id="14" w:name="_Toc482873864"/>
      <w:bookmarkStart w:id="15" w:name="_Toc483229133"/>
      <w:bookmarkStart w:id="16" w:name="_Toc483230248"/>
      <w:bookmarkStart w:id="17" w:name="_Toc483398627"/>
      <w:bookmarkStart w:id="18" w:name="_Toc483485314"/>
      <w:bookmarkStart w:id="19" w:name="_Toc483988902"/>
      <w:bookmarkStart w:id="20" w:name="_Toc459984923"/>
      <w:bookmarkStart w:id="21" w:name="_Toc459986232"/>
      <w:bookmarkStart w:id="22" w:name="_Toc460244778"/>
      <w:bookmarkStart w:id="23" w:name="_Toc460244980"/>
      <w:bookmarkStart w:id="24" w:name="_Toc460245566"/>
      <w:bookmarkStart w:id="25" w:name="_Toc460249976"/>
      <w:bookmarkStart w:id="26" w:name="_Toc460253398"/>
      <w:bookmarkStart w:id="27" w:name="_Toc460253499"/>
      <w:bookmarkStart w:id="28" w:name="_Toc460254933"/>
      <w:bookmarkStart w:id="29" w:name="_Toc460325143"/>
      <w:bookmarkStart w:id="30" w:name="_Toc461014533"/>
      <w:bookmarkStart w:id="31" w:name="_Toc461031606"/>
      <w:bookmarkStart w:id="32" w:name="_Toc461032012"/>
      <w:r w:rsidRPr="00A736A9">
        <w:t>Consultation Process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1B5BD7" w:rsidRPr="00A736A9" w:rsidRDefault="001B5BD7" w:rsidP="009F688A">
      <w:pPr>
        <w:pStyle w:val="Heading2NotNumbered"/>
      </w:pPr>
      <w:bookmarkStart w:id="33" w:name="_Toc461105715"/>
      <w:bookmarkStart w:id="34" w:name="_Toc479074199"/>
      <w:bookmarkStart w:id="35" w:name="_Toc479079302"/>
      <w:bookmarkStart w:id="36" w:name="_Toc479600656"/>
      <w:r>
        <w:t>Request for feedback and comments</w:t>
      </w:r>
      <w:bookmarkEnd w:id="33"/>
      <w:bookmarkEnd w:id="34"/>
      <w:bookmarkEnd w:id="35"/>
      <w:bookmarkEnd w:id="36"/>
    </w:p>
    <w:p w:rsidR="001B5BD7" w:rsidRPr="00142D17" w:rsidRDefault="001B5BD7" w:rsidP="001B5BD7">
      <w:r w:rsidRPr="00142D17">
        <w:t xml:space="preserve">Interested parties are invited to lodge written submissions on the issues raised in this </w:t>
      </w:r>
      <w:r w:rsidR="0011041A">
        <w:t>Paper</w:t>
      </w:r>
      <w:r w:rsidRPr="00142D17">
        <w:t xml:space="preserve"> </w:t>
      </w:r>
      <w:r w:rsidRPr="00F82B8D">
        <w:t xml:space="preserve">by </w:t>
      </w:r>
      <w:r w:rsidR="00386337">
        <w:t>28</w:t>
      </w:r>
      <w:r w:rsidR="00A937FA">
        <w:t xml:space="preserve"> </w:t>
      </w:r>
      <w:r w:rsidR="00BF33BA">
        <w:t>June</w:t>
      </w:r>
      <w:r w:rsidR="00B25DD9">
        <w:t xml:space="preserve"> 2017</w:t>
      </w:r>
      <w:r w:rsidRPr="00F82B8D">
        <w:t>.</w:t>
      </w:r>
    </w:p>
    <w:p w:rsidR="001B5BD7" w:rsidRPr="006024FD" w:rsidRDefault="001B5BD7" w:rsidP="006024FD">
      <w:r w:rsidRPr="006024FD">
        <w:t>All information (including name and address details) contained in submissions will be made available to the public on the external dispute resolution</w:t>
      </w:r>
      <w:r w:rsidR="006024FD" w:rsidRPr="006024FD">
        <w:t xml:space="preserve"> review website at</w:t>
      </w:r>
      <w:r w:rsidR="006024FD">
        <w:t xml:space="preserve"> </w:t>
      </w:r>
      <w:hyperlink r:id="rId31" w:history="1">
        <w:r w:rsidR="005476FA" w:rsidRPr="00915C80">
          <w:rPr>
            <w:rStyle w:val="Hyperlink"/>
          </w:rPr>
          <w:t>http:</w:t>
        </w:r>
        <w:r w:rsidR="005476FA" w:rsidRPr="00807EC6">
          <w:rPr>
            <w:rStyle w:val="Hyperlink"/>
          </w:rPr>
          <w:t>//www.treasury.gov.au/ConsultationsandReviews/Consultations/2016/FS</w:t>
        </w:r>
        <w:r w:rsidR="005476FA" w:rsidRPr="00807EC6">
          <w:rPr>
            <w:rStyle w:val="Hyperlink"/>
          </w:rPr>
          <w:noBreakHyphen/>
          <w:t>external</w:t>
        </w:r>
        <w:r w:rsidR="005476FA" w:rsidRPr="00807EC6">
          <w:rPr>
            <w:rStyle w:val="Hyperlink"/>
          </w:rPr>
          <w:noBreakHyphen/>
          <w:t>dis</w:t>
        </w:r>
        <w:r w:rsidR="005476FA" w:rsidRPr="00807EC6">
          <w:rPr>
            <w:rStyle w:val="Hyperlink"/>
          </w:rPr>
          <w:br/>
          <w:t>pute</w:t>
        </w:r>
        <w:r w:rsidR="005476FA" w:rsidRPr="00807EC6">
          <w:rPr>
            <w:rStyle w:val="Hyperlink"/>
          </w:rPr>
          <w:noBreakHyphen/>
          <w:t>resolution</w:t>
        </w:r>
      </w:hyperlink>
      <w:r w:rsidRPr="006024FD">
        <w:t xml:space="preserve"> unless the party making the submission indicates that all or part of the submission is to remain confidential. Automatically generated confidentiality statements in emails are not sufficient for this purpose. Respondents who would like part of their submission to remain confidential should provide this information marked as such in a separate attachment. A request made under the </w:t>
      </w:r>
      <w:r w:rsidRPr="001F22CF">
        <w:rPr>
          <w:i/>
        </w:rPr>
        <w:t>Freedom of Information Act 1982</w:t>
      </w:r>
      <w:r w:rsidRPr="006024FD">
        <w:t xml:space="preserve"> for access to a submission marked confidential will be determined in accordance with that Act.</w:t>
      </w:r>
    </w:p>
    <w:p w:rsidR="00B73F79" w:rsidRDefault="00B73F79" w:rsidP="00B73F79">
      <w:r>
        <w:t>To ensure that the privacy of third parties is protected, and that the Commonwealth complies with its own legal obligations, some submissions may be published with some details removed or may not be published. In addition, all or parts of submissions may not be published: if they promote a product or a service; contain offensive language or the sentiments expressed are liable to offend or vilify sections of the community; or for reasons other than those outlined.</w:t>
      </w:r>
    </w:p>
    <w:p w:rsidR="001B5BD7" w:rsidRPr="00142D17" w:rsidRDefault="001B5BD7" w:rsidP="00B73F79">
      <w:r w:rsidRPr="00142D17">
        <w:t>Submissions should include the name of the organisation (or name if the submission is made by an individual) and contact details including an email address and telephone number where available. While submissions may be lodged electronically or by post, electronic lodgement is strongly preferred. For accessibility reasons, please email responses in a Word or RTF format. An additional PDF version may also be submitted.</w:t>
      </w:r>
    </w:p>
    <w:p w:rsidR="001B5BD7" w:rsidRPr="00142D17" w:rsidRDefault="001B5BD7" w:rsidP="003E06B4">
      <w:pPr>
        <w:pStyle w:val="Heading3-NoTOC"/>
        <w:tabs>
          <w:tab w:val="left" w:pos="3828"/>
        </w:tabs>
      </w:pPr>
      <w:r w:rsidRPr="00142D17">
        <w:t>Closing date for submissions</w:t>
      </w:r>
      <w:r w:rsidRPr="00142D17" w:rsidDel="004172B2">
        <w:t>:</w:t>
      </w:r>
      <w:r w:rsidR="004172B2">
        <w:tab/>
      </w:r>
      <w:r w:rsidR="00386337">
        <w:t>28</w:t>
      </w:r>
      <w:r w:rsidR="006C72E2">
        <w:t xml:space="preserve"> </w:t>
      </w:r>
      <w:r w:rsidR="004C6107">
        <w:t>June</w:t>
      </w:r>
      <w:r w:rsidR="001F22CF">
        <w:t xml:space="preserve"> 2017</w:t>
      </w:r>
    </w:p>
    <w:p w:rsidR="001B5BD7" w:rsidRPr="006024FD" w:rsidRDefault="001B5BD7" w:rsidP="006024FD">
      <w:r w:rsidRPr="006024FD">
        <w:t>Address written submissions to:</w:t>
      </w:r>
    </w:p>
    <w:p w:rsidR="001F22CF" w:rsidRPr="001F22CF" w:rsidRDefault="001F22CF" w:rsidP="001B5BD7">
      <w:pPr>
        <w:tabs>
          <w:tab w:val="left" w:pos="1418"/>
        </w:tabs>
        <w:ind w:left="1418" w:hanging="1418"/>
        <w:jc w:val="left"/>
        <w:rPr>
          <w:rStyle w:val="Hyperlink"/>
        </w:rPr>
      </w:pPr>
      <w:r w:rsidRPr="001F22CF">
        <w:t>Email:</w:t>
      </w:r>
      <w:r w:rsidRPr="001F22CF">
        <w:rPr>
          <w:rStyle w:val="Hyperlink"/>
        </w:rPr>
        <w:t xml:space="preserve"> </w:t>
      </w:r>
      <w:r w:rsidRPr="001F22CF">
        <w:rPr>
          <w:rStyle w:val="Hyperlink"/>
        </w:rPr>
        <w:tab/>
      </w:r>
      <w:r>
        <w:rPr>
          <w:rStyle w:val="Hyperlink"/>
        </w:rPr>
        <w:t>EDRreview@treasury.gov.au</w:t>
      </w:r>
    </w:p>
    <w:p w:rsidR="001B5BD7" w:rsidRPr="00142D17" w:rsidRDefault="001B5BD7" w:rsidP="001B5BD7">
      <w:pPr>
        <w:tabs>
          <w:tab w:val="left" w:pos="1418"/>
        </w:tabs>
        <w:ind w:left="1418" w:hanging="1418"/>
        <w:jc w:val="left"/>
        <w:rPr>
          <w:caps/>
        </w:rPr>
      </w:pPr>
      <w:r>
        <w:t>Mail:</w:t>
      </w:r>
      <w:r>
        <w:tab/>
      </w:r>
      <w:r w:rsidRPr="00142D17">
        <w:t>EDR Review Secretariat</w:t>
      </w:r>
      <w:r>
        <w:br/>
      </w:r>
      <w:r w:rsidRPr="00142D17">
        <w:t>Financial System Division</w:t>
      </w:r>
      <w:r>
        <w:br/>
      </w:r>
      <w:r w:rsidRPr="00142D17">
        <w:t>Markets Group</w:t>
      </w:r>
      <w:r>
        <w:br/>
      </w:r>
      <w:r w:rsidRPr="00142D17">
        <w:t>The Treasury</w:t>
      </w:r>
      <w:r>
        <w:br/>
      </w:r>
      <w:r w:rsidRPr="00142D17">
        <w:t>Langton Crescent</w:t>
      </w:r>
      <w:r>
        <w:br/>
      </w:r>
      <w:r w:rsidRPr="00142D17">
        <w:rPr>
          <w:caps/>
        </w:rPr>
        <w:t>Parkes  ACT  2600</w:t>
      </w:r>
    </w:p>
    <w:p w:rsidR="001B5BD7" w:rsidRPr="00142D17" w:rsidRDefault="001B5BD7" w:rsidP="001B5BD7">
      <w:pPr>
        <w:tabs>
          <w:tab w:val="left" w:pos="1418"/>
        </w:tabs>
        <w:ind w:left="1418" w:hanging="1418"/>
      </w:pPr>
      <w:r w:rsidRPr="00142D17">
        <w:t>Enquiries:</w:t>
      </w:r>
      <w:r>
        <w:tab/>
      </w:r>
      <w:r w:rsidRPr="00142D17">
        <w:t xml:space="preserve">Enquiries can initially be directed to the EDR Review Secretariat by emailing </w:t>
      </w:r>
      <w:hyperlink r:id="rId32" w:history="1">
        <w:r>
          <w:rPr>
            <w:rStyle w:val="Hyperlink"/>
          </w:rPr>
          <w:t>EDRreview@treasury.gov.au</w:t>
        </w:r>
      </w:hyperlink>
      <w:r w:rsidRPr="00142D17">
        <w:t>.</w:t>
      </w:r>
    </w:p>
    <w:p w:rsidR="001B5BD7" w:rsidRPr="00A736A9" w:rsidRDefault="001B5BD7" w:rsidP="001B5BD7"/>
    <w:p w:rsidR="001B5BD7" w:rsidRPr="00A736A9" w:rsidRDefault="001B5BD7" w:rsidP="001B5BD7">
      <w:pPr>
        <w:sectPr w:rsidR="001B5BD7" w:rsidRPr="00A736A9" w:rsidSect="00A42590">
          <w:headerReference w:type="first" r:id="rId33"/>
          <w:footerReference w:type="first" r:id="rId34"/>
          <w:pgSz w:w="11906" w:h="16838" w:code="9"/>
          <w:pgMar w:top="1418" w:right="1418" w:bottom="1418" w:left="1418" w:header="709" w:footer="709" w:gutter="0"/>
          <w:pgNumType w:fmt="lowerRoman"/>
          <w:cols w:space="708"/>
          <w:titlePg/>
          <w:docGrid w:linePitch="360"/>
        </w:sectPr>
      </w:pPr>
    </w:p>
    <w:p w:rsidR="00F34C18" w:rsidRDefault="00674EAF" w:rsidP="00F34C18">
      <w:pPr>
        <w:pStyle w:val="Heading1"/>
      </w:pPr>
      <w:bookmarkStart w:id="37" w:name="_Toc461105716"/>
      <w:bookmarkStart w:id="38" w:name="_Toc479074200"/>
      <w:bookmarkStart w:id="39" w:name="_Toc479079303"/>
      <w:bookmarkStart w:id="40" w:name="_Toc479600657"/>
      <w:bookmarkStart w:id="41" w:name="_Toc479692328"/>
      <w:bookmarkStart w:id="42" w:name="_Toc479761647"/>
      <w:bookmarkStart w:id="43" w:name="_Toc481418010"/>
      <w:bookmarkStart w:id="44" w:name="_Toc481420151"/>
      <w:bookmarkStart w:id="45" w:name="_Toc482188897"/>
      <w:bookmarkStart w:id="46" w:name="_Toc482197204"/>
      <w:bookmarkStart w:id="47" w:name="_Toc482198294"/>
      <w:bookmarkStart w:id="48" w:name="_Toc482779532"/>
      <w:bookmarkStart w:id="49" w:name="_Toc482781307"/>
      <w:bookmarkStart w:id="50" w:name="_Toc482873865"/>
      <w:bookmarkStart w:id="51" w:name="_Toc483229134"/>
      <w:bookmarkStart w:id="52" w:name="_Toc483230249"/>
      <w:bookmarkStart w:id="53" w:name="_Toc483398628"/>
      <w:bookmarkStart w:id="54" w:name="_Toc483485315"/>
      <w:bookmarkStart w:id="55" w:name="_Toc483988903"/>
      <w:r w:rsidRPr="00696035">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13642" w:rsidRPr="00984A77" w:rsidRDefault="00813642" w:rsidP="00984A77">
      <w:pPr>
        <w:pStyle w:val="OutlineNumbered1"/>
      </w:pPr>
      <w:r w:rsidRPr="00984A77">
        <w:t>The Review</w:t>
      </w:r>
      <w:r w:rsidR="009F688A" w:rsidRPr="00984A77">
        <w:t>’</w:t>
      </w:r>
      <w:r w:rsidRPr="00984A77">
        <w:t>s amended Terms of Reference require the Panel to:</w:t>
      </w:r>
    </w:p>
    <w:p w:rsidR="00813642" w:rsidRPr="00984A77" w:rsidRDefault="00813642" w:rsidP="00984A77">
      <w:pPr>
        <w:pStyle w:val="Bullet"/>
      </w:pPr>
      <w:r w:rsidRPr="00984A77">
        <w:t>make recommendations on the establishment, merits and potential design of a compensation scheme of last resort; and</w:t>
      </w:r>
    </w:p>
    <w:p w:rsidR="00813642" w:rsidRDefault="00813642" w:rsidP="00984A77">
      <w:pPr>
        <w:pStyle w:val="Bullet"/>
      </w:pPr>
      <w:r w:rsidRPr="00AF698A">
        <w:t>consider the merits and issues involved in providing access to redress for past disputes</w:t>
      </w:r>
      <w:r w:rsidR="009C7D67">
        <w:t>.</w:t>
      </w:r>
    </w:p>
    <w:p w:rsidR="00F469D6" w:rsidRDefault="00FC1DBA" w:rsidP="00993864">
      <w:pPr>
        <w:pStyle w:val="Heading2NotNumbered"/>
      </w:pPr>
      <w:bookmarkStart w:id="56" w:name="_Toc482779533"/>
      <w:bookmarkStart w:id="57" w:name="_Toc482781308"/>
      <w:r>
        <w:t>Why redress matters</w:t>
      </w:r>
      <w:bookmarkEnd w:id="56"/>
      <w:bookmarkEnd w:id="57"/>
    </w:p>
    <w:p w:rsidR="00813642" w:rsidRDefault="004F1E40" w:rsidP="00984A77">
      <w:pPr>
        <w:pStyle w:val="OutlineNumbered1"/>
      </w:pPr>
      <w:bookmarkStart w:id="58" w:name="_Ref482650717"/>
      <w:r>
        <w:t>These issues are of significant public interest</w:t>
      </w:r>
      <w:r w:rsidR="00813642">
        <w:t xml:space="preserve"> given the scale of financial losses suffered by Australian investors in recent years</w:t>
      </w:r>
      <w:r w:rsidR="00FF1AE9">
        <w:t>. E</w:t>
      </w:r>
      <w:r w:rsidR="002217FF">
        <w:t xml:space="preserve">stimates </w:t>
      </w:r>
      <w:r w:rsidR="00813642">
        <w:t>suggest that over</w:t>
      </w:r>
      <w:r w:rsidR="007806ED">
        <w:t> </w:t>
      </w:r>
      <w:r w:rsidR="00813642">
        <w:t>80,000</w:t>
      </w:r>
      <w:r w:rsidR="00F950D0">
        <w:t> </w:t>
      </w:r>
      <w:r w:rsidR="00813642">
        <w:t xml:space="preserve">people have been affected </w:t>
      </w:r>
      <w:r w:rsidR="00813642" w:rsidRPr="00B84889">
        <w:t>with losses totalling more than $5 billion (or</w:t>
      </w:r>
      <w:r w:rsidR="007806ED">
        <w:t> </w:t>
      </w:r>
      <w:r w:rsidR="00813642" w:rsidRPr="00B84889">
        <w:t>$4</w:t>
      </w:r>
      <w:r w:rsidR="007806ED">
        <w:t> </w:t>
      </w:r>
      <w:r w:rsidR="00813642" w:rsidRPr="00B84889">
        <w:t>billion after compensation and liquidator recoveries).</w:t>
      </w:r>
      <w:r w:rsidR="00813642" w:rsidRPr="00B84889">
        <w:rPr>
          <w:rStyle w:val="FootnoteReference"/>
        </w:rPr>
        <w:footnoteReference w:id="2"/>
      </w:r>
      <w:bookmarkEnd w:id="58"/>
    </w:p>
    <w:p w:rsidR="00EE7934" w:rsidRDefault="00813642" w:rsidP="00984A77">
      <w:pPr>
        <w:pStyle w:val="OutlineNumbered1"/>
      </w:pPr>
      <w:r>
        <w:t>For those individuals who have suffered losses, the effect on their lives can be devastating. Additionally, where those individuals have</w:t>
      </w:r>
      <w:r w:rsidR="00636E7B">
        <w:t xml:space="preserve"> </w:t>
      </w:r>
      <w:r>
        <w:t xml:space="preserve">not been able to receive compensation or </w:t>
      </w:r>
      <w:r w:rsidR="00636E7B">
        <w:t xml:space="preserve">even </w:t>
      </w:r>
      <w:r>
        <w:t>hav</w:t>
      </w:r>
      <w:r w:rsidR="00856E97">
        <w:t xml:space="preserve">e </w:t>
      </w:r>
      <w:r>
        <w:t>their case heard, this undermines trust and confidence in the financial system.</w:t>
      </w:r>
    </w:p>
    <w:p w:rsidR="00EE7934" w:rsidRDefault="00EE7934" w:rsidP="00984A77">
      <w:pPr>
        <w:pStyle w:val="OutlineNumbered1"/>
      </w:pPr>
      <w:r>
        <w:t>In April 2017, the Panel made 11 recommendations to enhance the financial system</w:t>
      </w:r>
      <w:r w:rsidR="009F688A">
        <w:t>’</w:t>
      </w:r>
      <w:r>
        <w:t xml:space="preserve">s dispute resolution framework, recognising that consumers and small business should have effective access to redress. On </w:t>
      </w:r>
      <w:r w:rsidR="00E337AD">
        <w:t xml:space="preserve">9 </w:t>
      </w:r>
      <w:r>
        <w:t>May</w:t>
      </w:r>
      <w:r w:rsidR="00E337AD">
        <w:t xml:space="preserve"> 2017</w:t>
      </w:r>
      <w:r>
        <w:t>, the Government accepted all of these recommendations.</w:t>
      </w:r>
    </w:p>
    <w:p w:rsidR="0015100A" w:rsidRDefault="00EE7934" w:rsidP="00984A77">
      <w:pPr>
        <w:pStyle w:val="OutlineNumbered1"/>
      </w:pPr>
      <w:r>
        <w:t>The Panel</w:t>
      </w:r>
      <w:r w:rsidR="009F688A">
        <w:t>’</w:t>
      </w:r>
      <w:r>
        <w:t xml:space="preserve">s view is that implementation of these recommendations will </w:t>
      </w:r>
      <w:r w:rsidR="00856E97">
        <w:t>help to</w:t>
      </w:r>
      <w:r w:rsidR="00E35414">
        <w:t xml:space="preserve"> </w:t>
      </w:r>
      <w:r>
        <w:t>ensure that financial firms will provide compensation for wrongful losses through the EDR system. Ho</w:t>
      </w:r>
      <w:r w:rsidR="0015100A">
        <w:t xml:space="preserve">wever, in a limited number of cases this </w:t>
      </w:r>
      <w:r w:rsidR="005E3A5C">
        <w:t>may</w:t>
      </w:r>
      <w:r w:rsidR="0015100A">
        <w:t xml:space="preserve"> not occur, for a </w:t>
      </w:r>
      <w:r w:rsidR="007966D5">
        <w:t>number</w:t>
      </w:r>
      <w:r w:rsidR="0015100A">
        <w:t xml:space="preserve"> of reasons. This Issues Paper seeks feedback on these situations, and possible models to resolve them.</w:t>
      </w:r>
    </w:p>
    <w:p w:rsidR="007966D5" w:rsidRDefault="007966D5" w:rsidP="00993864">
      <w:pPr>
        <w:pStyle w:val="Heading2NotNumbered"/>
      </w:pPr>
      <w:bookmarkStart w:id="59" w:name="_Toc482779534"/>
      <w:bookmarkStart w:id="60" w:name="_Toc482781309"/>
      <w:r>
        <w:t>Background</w:t>
      </w:r>
      <w:bookmarkEnd w:id="59"/>
      <w:bookmarkEnd w:id="60"/>
    </w:p>
    <w:p w:rsidR="00813642" w:rsidRDefault="009C7D67" w:rsidP="00984A77">
      <w:pPr>
        <w:pStyle w:val="OutlineNumbered1"/>
      </w:pPr>
      <w:r>
        <w:t xml:space="preserve">In recent years, a number of inquiries have considered the causes of financial failures and the </w:t>
      </w:r>
      <w:r w:rsidR="00B97052">
        <w:t xml:space="preserve">issue of </w:t>
      </w:r>
      <w:r>
        <w:t>compensati</w:t>
      </w:r>
      <w:r w:rsidR="00B97052">
        <w:t xml:space="preserve">ng </w:t>
      </w:r>
      <w:r w:rsidR="00BD0B33">
        <w:t>investors</w:t>
      </w:r>
      <w:r w:rsidR="00B97052">
        <w:t xml:space="preserve"> for their losses</w:t>
      </w:r>
      <w:r>
        <w:t>, including:</w:t>
      </w:r>
    </w:p>
    <w:p w:rsidR="00184C90" w:rsidRDefault="00184C90" w:rsidP="00984A77">
      <w:pPr>
        <w:pStyle w:val="Bullet"/>
      </w:pPr>
      <w:r>
        <w:t xml:space="preserve">the Parliamentary Joint Committee on Corporations and Financial Services Report, </w:t>
      </w:r>
      <w:r>
        <w:rPr>
          <w:i/>
        </w:rPr>
        <w:t>Inquiry into financial products and services</w:t>
      </w:r>
      <w:r w:rsidR="005E0760">
        <w:rPr>
          <w:i/>
        </w:rPr>
        <w:t xml:space="preserve"> in Australia</w:t>
      </w:r>
      <w:r>
        <w:rPr>
          <w:i/>
        </w:rPr>
        <w:t xml:space="preserve"> </w:t>
      </w:r>
      <w:r>
        <w:t>(November 2009);</w:t>
      </w:r>
    </w:p>
    <w:p w:rsidR="007806ED" w:rsidRDefault="00B1338A" w:rsidP="00984A77">
      <w:pPr>
        <w:pStyle w:val="Bullet"/>
      </w:pPr>
      <w:r w:rsidRPr="00B1338A">
        <w:t>Mr Richard St</w:t>
      </w:r>
      <w:r w:rsidR="00FF42EA">
        <w:t>.</w:t>
      </w:r>
      <w:r w:rsidRPr="00B1338A">
        <w:t xml:space="preserve"> John</w:t>
      </w:r>
      <w:r w:rsidR="009F688A">
        <w:t>’</w:t>
      </w:r>
      <w:r w:rsidR="00853635">
        <w:t>s report</w:t>
      </w:r>
      <w:r w:rsidRPr="00B1338A">
        <w:t xml:space="preserve">, </w:t>
      </w:r>
      <w:r w:rsidRPr="00CB1291">
        <w:rPr>
          <w:i/>
        </w:rPr>
        <w:t>Compensation arrangements for consumers of financial services</w:t>
      </w:r>
      <w:r w:rsidR="003900FD">
        <w:t xml:space="preserve"> (2012);</w:t>
      </w:r>
    </w:p>
    <w:p w:rsidR="00B800FE" w:rsidRDefault="00B800FE">
      <w:pPr>
        <w:widowControl/>
        <w:adjustRightInd/>
        <w:spacing w:after="0" w:line="240" w:lineRule="auto"/>
        <w:jc w:val="left"/>
        <w:textAlignment w:val="auto"/>
      </w:pPr>
      <w:r>
        <w:br w:type="page"/>
      </w:r>
    </w:p>
    <w:p w:rsidR="007D7F07" w:rsidRDefault="007D7F07" w:rsidP="00984A77">
      <w:pPr>
        <w:pStyle w:val="Bullet"/>
      </w:pPr>
      <w:r>
        <w:t>the Senate Economics References Committee Report</w:t>
      </w:r>
      <w:r w:rsidR="00184C90">
        <w:t>,</w:t>
      </w:r>
      <w:r>
        <w:t xml:space="preserve"> </w:t>
      </w:r>
      <w:r w:rsidRPr="00560916">
        <w:rPr>
          <w:i/>
        </w:rPr>
        <w:t xml:space="preserve">Agribusiness </w:t>
      </w:r>
      <w:r w:rsidR="00C56781">
        <w:rPr>
          <w:i/>
        </w:rPr>
        <w:t>m</w:t>
      </w:r>
      <w:r w:rsidRPr="00560916">
        <w:rPr>
          <w:i/>
        </w:rPr>
        <w:t xml:space="preserve">anaged </w:t>
      </w:r>
      <w:r w:rsidR="00C56781">
        <w:rPr>
          <w:i/>
        </w:rPr>
        <w:t>i</w:t>
      </w:r>
      <w:r w:rsidRPr="00560916">
        <w:rPr>
          <w:i/>
        </w:rPr>
        <w:t xml:space="preserve">nvestment </w:t>
      </w:r>
      <w:r w:rsidR="00C56781">
        <w:rPr>
          <w:i/>
        </w:rPr>
        <w:t>s</w:t>
      </w:r>
      <w:r w:rsidRPr="00560916">
        <w:rPr>
          <w:i/>
        </w:rPr>
        <w:t xml:space="preserve">chemes: Bitter </w:t>
      </w:r>
      <w:r w:rsidR="00C56781">
        <w:rPr>
          <w:i/>
        </w:rPr>
        <w:t>h</w:t>
      </w:r>
      <w:r w:rsidRPr="00560916">
        <w:rPr>
          <w:i/>
        </w:rPr>
        <w:t>arvest</w:t>
      </w:r>
      <w:r>
        <w:rPr>
          <w:i/>
        </w:rPr>
        <w:t xml:space="preserve"> </w:t>
      </w:r>
      <w:r>
        <w:t>(March 2016)</w:t>
      </w:r>
      <w:r w:rsidR="00610CD2">
        <w:t>;</w:t>
      </w:r>
    </w:p>
    <w:p w:rsidR="009C7D67" w:rsidRDefault="009C7D67">
      <w:pPr>
        <w:pStyle w:val="Bullet"/>
      </w:pPr>
      <w:r>
        <w:t xml:space="preserve">the Parliamentary Joint </w:t>
      </w:r>
      <w:r w:rsidR="007D7F07">
        <w:t>Committee on Corporations and Financial Services Report</w:t>
      </w:r>
      <w:r w:rsidR="00184C90">
        <w:t>,</w:t>
      </w:r>
      <w:r w:rsidR="007D7F07">
        <w:t xml:space="preserve"> </w:t>
      </w:r>
      <w:r w:rsidR="007D7F07" w:rsidRPr="007D7F07">
        <w:rPr>
          <w:i/>
        </w:rPr>
        <w:t>I</w:t>
      </w:r>
      <w:r w:rsidRPr="007D7F07">
        <w:rPr>
          <w:i/>
        </w:rPr>
        <w:t xml:space="preserve">mpairment of </w:t>
      </w:r>
      <w:r w:rsidR="00C56781">
        <w:rPr>
          <w:i/>
        </w:rPr>
        <w:t>c</w:t>
      </w:r>
      <w:r w:rsidRPr="007D7F07">
        <w:rPr>
          <w:i/>
        </w:rPr>
        <w:t>ustomer loans</w:t>
      </w:r>
      <w:r w:rsidR="007D7F07">
        <w:rPr>
          <w:i/>
        </w:rPr>
        <w:t xml:space="preserve"> </w:t>
      </w:r>
      <w:r w:rsidR="007D7F07">
        <w:t>(May 2016)</w:t>
      </w:r>
      <w:r>
        <w:t xml:space="preserve">; </w:t>
      </w:r>
      <w:r w:rsidR="00610CD2">
        <w:t>and</w:t>
      </w:r>
    </w:p>
    <w:p w:rsidR="009C7D67" w:rsidRDefault="007D7F07">
      <w:pPr>
        <w:pStyle w:val="Bullet"/>
      </w:pPr>
      <w:r>
        <w:t>t</w:t>
      </w:r>
      <w:r w:rsidR="009C7D67" w:rsidRPr="007D7F07">
        <w:rPr>
          <w:lang w:val="en-US"/>
        </w:rPr>
        <w:t>he Australian Small Business a</w:t>
      </w:r>
      <w:r w:rsidR="00130B6C">
        <w:rPr>
          <w:lang w:val="en-US"/>
        </w:rPr>
        <w:t>nd Family Enterprise Ombudsman Report</w:t>
      </w:r>
      <w:r w:rsidR="00184C90">
        <w:rPr>
          <w:lang w:val="en-US"/>
        </w:rPr>
        <w:t>,</w:t>
      </w:r>
      <w:r w:rsidR="009C7D67" w:rsidRPr="007D7F07">
        <w:rPr>
          <w:lang w:val="en-US"/>
        </w:rPr>
        <w:t xml:space="preserve"> </w:t>
      </w:r>
      <w:r w:rsidR="009C7D67" w:rsidRPr="007D7F07">
        <w:rPr>
          <w:i/>
          <w:lang w:val="en-US"/>
        </w:rPr>
        <w:t>Inquiry into small business loans</w:t>
      </w:r>
      <w:r>
        <w:rPr>
          <w:i/>
          <w:lang w:val="en-US"/>
        </w:rPr>
        <w:t xml:space="preserve"> </w:t>
      </w:r>
      <w:r>
        <w:rPr>
          <w:lang w:val="en-US"/>
        </w:rPr>
        <w:t>(December 2016).</w:t>
      </w:r>
    </w:p>
    <w:p w:rsidR="00DF0614" w:rsidRDefault="00DF0614">
      <w:pPr>
        <w:pStyle w:val="OutlineNumbered1"/>
      </w:pPr>
      <w:r>
        <w:t>Consumers currently have a number of avenues for obtaining compensation, including:</w:t>
      </w:r>
    </w:p>
    <w:p w:rsidR="00DF0614" w:rsidRDefault="007B0775">
      <w:pPr>
        <w:pStyle w:val="Bullet"/>
      </w:pPr>
      <w:r>
        <w:t>i</w:t>
      </w:r>
      <w:r w:rsidR="00DF0614">
        <w:t>nternal dispute resolution</w:t>
      </w:r>
      <w:r w:rsidR="00420DE0">
        <w:t xml:space="preserve"> (IDR)</w:t>
      </w:r>
      <w:r w:rsidR="009F688A">
        <w:t xml:space="preserve"> — </w:t>
      </w:r>
      <w:r w:rsidR="00EB1A83">
        <w:t>individuals can approach the firm directly to seek a resolution</w:t>
      </w:r>
      <w:r w:rsidR="000135C3">
        <w:t>;</w:t>
      </w:r>
      <w:r w:rsidR="007B6210">
        <w:rPr>
          <w:rStyle w:val="FootnoteReference"/>
        </w:rPr>
        <w:footnoteReference w:id="3"/>
      </w:r>
    </w:p>
    <w:p w:rsidR="00DF0614" w:rsidRDefault="007B0775">
      <w:pPr>
        <w:pStyle w:val="Bullet"/>
      </w:pPr>
      <w:r>
        <w:t>e</w:t>
      </w:r>
      <w:r w:rsidR="00DF0614">
        <w:t>xternal dispute resolution</w:t>
      </w:r>
      <w:r w:rsidR="00420DE0">
        <w:t xml:space="preserve"> (EDR)</w:t>
      </w:r>
      <w:r w:rsidR="009F688A">
        <w:t xml:space="preserve"> — </w:t>
      </w:r>
      <w:r w:rsidR="00EB1A83">
        <w:t>individuals can approach the Financial Ombudsman Service</w:t>
      </w:r>
      <w:r w:rsidR="00046581">
        <w:t xml:space="preserve"> (FOS)</w:t>
      </w:r>
      <w:r w:rsidR="00EB1A83">
        <w:t xml:space="preserve">, Credit and Investments Ombudsman </w:t>
      </w:r>
      <w:r w:rsidR="00046581">
        <w:t xml:space="preserve">(CIO) </w:t>
      </w:r>
      <w:r w:rsidR="00EB1A83">
        <w:t xml:space="preserve">or the Superannuation Complaints Tribunal </w:t>
      </w:r>
      <w:r w:rsidR="00046581">
        <w:t xml:space="preserve">(SCT) </w:t>
      </w:r>
      <w:r w:rsidR="00EB1A83">
        <w:t>to have their complain</w:t>
      </w:r>
      <w:r w:rsidR="00046581">
        <w:t>t</w:t>
      </w:r>
      <w:r w:rsidR="00EB1A83">
        <w:t xml:space="preserve"> resolved</w:t>
      </w:r>
      <w:r w:rsidR="00DF0614">
        <w:t>;</w:t>
      </w:r>
    </w:p>
    <w:p w:rsidR="00DF0614" w:rsidRDefault="007B0775">
      <w:pPr>
        <w:pStyle w:val="Bullet"/>
      </w:pPr>
      <w:r>
        <w:t>self</w:t>
      </w:r>
      <w:r w:rsidR="009F688A">
        <w:noBreakHyphen/>
      </w:r>
      <w:r w:rsidR="00DF0614">
        <w:t>initiated private</w:t>
      </w:r>
      <w:r w:rsidR="00EB1A83">
        <w:t xml:space="preserve"> </w:t>
      </w:r>
      <w:r w:rsidR="00DF0614">
        <w:t>action</w:t>
      </w:r>
      <w:r w:rsidR="009F688A">
        <w:t xml:space="preserve"> — </w:t>
      </w:r>
      <w:r w:rsidR="00EC25F4">
        <w:t>individuals can sue in court or obtain an outcome through private negotiation, mediation or arbitration</w:t>
      </w:r>
      <w:r w:rsidR="00DF0614">
        <w:t>;</w:t>
      </w:r>
    </w:p>
    <w:p w:rsidR="00DF0614" w:rsidRDefault="007B0775">
      <w:pPr>
        <w:pStyle w:val="Bullet"/>
      </w:pPr>
      <w:r>
        <w:t xml:space="preserve">private </w:t>
      </w:r>
      <w:r w:rsidR="00DF0614">
        <w:t>class action</w:t>
      </w:r>
      <w:r w:rsidR="009F688A">
        <w:t xml:space="preserve"> — </w:t>
      </w:r>
      <w:r w:rsidR="00EC25F4">
        <w:t>individuals can start or join a class action where people who have suffered loss from the same type of misconduct bring a group action</w:t>
      </w:r>
      <w:r w:rsidR="00DF0614">
        <w:t>;</w:t>
      </w:r>
    </w:p>
    <w:p w:rsidR="00DF0614" w:rsidRDefault="007B0775">
      <w:pPr>
        <w:pStyle w:val="Bullet"/>
      </w:pPr>
      <w:r>
        <w:t>t</w:t>
      </w:r>
      <w:r w:rsidRPr="00DF0614">
        <w:t>he</w:t>
      </w:r>
      <w:r w:rsidR="00DF0614" w:rsidRPr="00DF0614">
        <w:t xml:space="preserve"> winding</w:t>
      </w:r>
      <w:r w:rsidR="009F688A">
        <w:noBreakHyphen/>
      </w:r>
      <w:r w:rsidR="00DF0614" w:rsidRPr="00DF0614">
        <w:t xml:space="preserve">up process of a financial </w:t>
      </w:r>
      <w:r w:rsidR="000D4083">
        <w:t>firm</w:t>
      </w:r>
      <w:r w:rsidR="00DF0614" w:rsidRPr="00DF0614">
        <w:t xml:space="preserve"> (external administrat</w:t>
      </w:r>
      <w:r w:rsidR="00420DE0">
        <w:t>ion</w:t>
      </w:r>
      <w:r w:rsidR="00DF0614" w:rsidRPr="00DF0614">
        <w:t>)</w:t>
      </w:r>
      <w:r w:rsidR="00DF0614">
        <w:t>;</w:t>
      </w:r>
      <w:r w:rsidR="00610CD2">
        <w:t xml:space="preserve"> and</w:t>
      </w:r>
    </w:p>
    <w:p w:rsidR="00D03D14" w:rsidRDefault="007B0775">
      <w:pPr>
        <w:pStyle w:val="Bullet"/>
      </w:pPr>
      <w:r>
        <w:t>action</w:t>
      </w:r>
      <w:r w:rsidR="00081FAB">
        <w:t xml:space="preserve"> taken by the Australian Se</w:t>
      </w:r>
      <w:r w:rsidR="005552D4">
        <w:t>curities and Investments Commis</w:t>
      </w:r>
      <w:r w:rsidR="00081FAB">
        <w:t>s</w:t>
      </w:r>
      <w:r w:rsidR="005552D4">
        <w:t>i</w:t>
      </w:r>
      <w:r w:rsidR="00081FAB">
        <w:t>on</w:t>
      </w:r>
      <w:r w:rsidR="00420DE0">
        <w:t xml:space="preserve"> (ASIC)</w:t>
      </w:r>
      <w:r w:rsidR="00FD53EF">
        <w:t xml:space="preserve"> </w:t>
      </w:r>
      <w:r w:rsidR="000D4083">
        <w:t>to obtain compensation for consumers</w:t>
      </w:r>
      <w:r w:rsidR="009F688A">
        <w:t xml:space="preserve"> — </w:t>
      </w:r>
      <w:r w:rsidR="000D4083">
        <w:t xml:space="preserve">ASIC can take action </w:t>
      </w:r>
      <w:r w:rsidR="00FD53EF">
        <w:t xml:space="preserve">through negotiations with the firm, legal or other enforcement action, or </w:t>
      </w:r>
      <w:r w:rsidR="000D4083">
        <w:t xml:space="preserve">by leading a </w:t>
      </w:r>
      <w:r w:rsidR="00FD53EF">
        <w:t>class action</w:t>
      </w:r>
      <w:r w:rsidR="00081FAB">
        <w:t>.</w:t>
      </w:r>
      <w:r w:rsidR="005552D4">
        <w:rPr>
          <w:rStyle w:val="FootnoteReference"/>
        </w:rPr>
        <w:footnoteReference w:id="4"/>
      </w:r>
    </w:p>
    <w:p w:rsidR="00520F7C" w:rsidRPr="003C1093" w:rsidRDefault="008B4C62">
      <w:pPr>
        <w:pStyle w:val="OutlineNumbered1"/>
      </w:pPr>
      <w:r w:rsidRPr="003C1093">
        <w:t xml:space="preserve">In </w:t>
      </w:r>
      <w:r w:rsidR="00046581">
        <w:t xml:space="preserve">its </w:t>
      </w:r>
      <w:r w:rsidRPr="003C1093">
        <w:t>Interim Report,</w:t>
      </w:r>
      <w:r w:rsidR="00A46990">
        <w:rPr>
          <w:rStyle w:val="FootnoteReference"/>
        </w:rPr>
        <w:footnoteReference w:id="5"/>
      </w:r>
      <w:r w:rsidRPr="003C1093">
        <w:t xml:space="preserve"> the Panel observed that where consumers are denied access to justice due to a financial firm</w:t>
      </w:r>
      <w:r w:rsidR="009F688A">
        <w:t>’</w:t>
      </w:r>
      <w:r w:rsidRPr="003C1093">
        <w:t>s lack of resources</w:t>
      </w:r>
      <w:r w:rsidR="00420DE0">
        <w:t xml:space="preserve"> to pay a determination issued by an EDR scheme</w:t>
      </w:r>
      <w:r w:rsidRPr="003C1093">
        <w:t xml:space="preserve">, this has </w:t>
      </w:r>
      <w:r w:rsidR="003C1093" w:rsidRPr="003C1093">
        <w:t xml:space="preserve">serious and significant consequences for the </w:t>
      </w:r>
      <w:r w:rsidRPr="003C1093">
        <w:t xml:space="preserve">individual consumer and undermines trust and confidence in </w:t>
      </w:r>
      <w:r w:rsidR="003C1093" w:rsidRPr="003C1093">
        <w:t>the broader financial system.</w:t>
      </w:r>
    </w:p>
    <w:p w:rsidR="008B4C62" w:rsidRPr="003C1093" w:rsidRDefault="008B4C62">
      <w:pPr>
        <w:pStyle w:val="OutlineNumbered1"/>
      </w:pPr>
      <w:r w:rsidRPr="003C1093">
        <w:t xml:space="preserve">This Supplementary Issues Paper </w:t>
      </w:r>
      <w:r w:rsidR="00420DE0">
        <w:t>continues the Panel</w:t>
      </w:r>
      <w:r w:rsidR="009F688A">
        <w:t>’</w:t>
      </w:r>
      <w:r w:rsidR="00420DE0">
        <w:t xml:space="preserve">s examination of the EDR framework by </w:t>
      </w:r>
      <w:r w:rsidRPr="003C1093">
        <w:t>seek</w:t>
      </w:r>
      <w:r w:rsidR="00420DE0">
        <w:t>ing</w:t>
      </w:r>
      <w:r w:rsidRPr="003C1093">
        <w:t xml:space="preserve"> the views of interested stakeholders on the establishment, merits and potential design of a compensation scheme of last resort </w:t>
      </w:r>
      <w:r w:rsidR="00E36276" w:rsidRPr="003C1093">
        <w:t>and</w:t>
      </w:r>
      <w:r w:rsidRPr="003C1093">
        <w:t xml:space="preserve"> the merits and issues involved in providing access to redress for past disputes.</w:t>
      </w:r>
    </w:p>
    <w:p w:rsidR="004558F2" w:rsidRDefault="004558F2">
      <w:pPr>
        <w:widowControl/>
        <w:adjustRightInd/>
        <w:spacing w:after="0" w:line="240" w:lineRule="auto"/>
        <w:jc w:val="left"/>
        <w:textAlignment w:val="auto"/>
        <w:rPr>
          <w:rFonts w:ascii="Century Gothic" w:hAnsi="Century Gothic" w:cs="Arial"/>
          <w:b/>
          <w:bCs/>
          <w:iCs/>
          <w:smallCaps/>
          <w:color w:val="1F497D" w:themeColor="text2"/>
          <w:sz w:val="32"/>
          <w:szCs w:val="28"/>
        </w:rPr>
      </w:pPr>
      <w:bookmarkStart w:id="61" w:name="_Toc482779535"/>
      <w:bookmarkStart w:id="62" w:name="_Toc482781310"/>
      <w:r>
        <w:br w:type="page"/>
      </w:r>
    </w:p>
    <w:p w:rsidR="00E621CE" w:rsidRDefault="00E621CE" w:rsidP="00993864">
      <w:pPr>
        <w:pStyle w:val="Heading2NotNumbered"/>
      </w:pPr>
      <w:r>
        <w:t>Review process to date</w:t>
      </w:r>
      <w:bookmarkEnd w:id="61"/>
      <w:bookmarkEnd w:id="62"/>
    </w:p>
    <w:p w:rsidR="00F34C18" w:rsidRDefault="00220D91">
      <w:pPr>
        <w:pStyle w:val="OutlineNumbered1"/>
      </w:pPr>
      <w:r>
        <w:t>On 20 April 2016, the Government announced t</w:t>
      </w:r>
      <w:r w:rsidR="00F34C18">
        <w:t xml:space="preserve">his review of the </w:t>
      </w:r>
      <w:r w:rsidR="00F34C18" w:rsidRPr="00C05BC4">
        <w:t>financial system</w:t>
      </w:r>
      <w:r w:rsidR="009F688A">
        <w:t>’</w:t>
      </w:r>
      <w:r w:rsidR="00F34C18" w:rsidRPr="00C05BC4">
        <w:t xml:space="preserve">s </w:t>
      </w:r>
      <w:r w:rsidR="00F34C18">
        <w:t xml:space="preserve">EDR </w:t>
      </w:r>
      <w:r w:rsidR="00F34C18" w:rsidRPr="00C05BC4">
        <w:t xml:space="preserve">and complaints </w:t>
      </w:r>
      <w:r>
        <w:t>framework</w:t>
      </w:r>
      <w:r w:rsidR="00F34C18">
        <w:t xml:space="preserve"> (EDR Review). On 8</w:t>
      </w:r>
      <w:r w:rsidR="007A5DE7">
        <w:t> </w:t>
      </w:r>
      <w:r w:rsidR="00F34C18">
        <w:t xml:space="preserve">August 2016, the </w:t>
      </w:r>
      <w:r w:rsidR="00F34C18" w:rsidRPr="00C05BC4">
        <w:t xml:space="preserve">Terms of </w:t>
      </w:r>
      <w:r w:rsidR="00F34C18">
        <w:t>R</w:t>
      </w:r>
      <w:r w:rsidR="00F34C18" w:rsidRPr="00C05BC4">
        <w:t xml:space="preserve">eference </w:t>
      </w:r>
      <w:r w:rsidR="00F34C18">
        <w:t>for the Review were released.</w:t>
      </w:r>
    </w:p>
    <w:p w:rsidR="00FB0945" w:rsidRDefault="0099564D">
      <w:pPr>
        <w:pStyle w:val="OutlineNumbered1"/>
      </w:pPr>
      <w:r>
        <w:t>On 9 September 2016, t</w:t>
      </w:r>
      <w:r w:rsidR="001B71C8">
        <w:t>he</w:t>
      </w:r>
      <w:r w:rsidR="003503EC">
        <w:t xml:space="preserve"> </w:t>
      </w:r>
      <w:r w:rsidR="00D24567">
        <w:t>P</w:t>
      </w:r>
      <w:r w:rsidR="001B71C8">
        <w:t xml:space="preserve">anel </w:t>
      </w:r>
      <w:r w:rsidR="00D85675">
        <w:t>released</w:t>
      </w:r>
      <w:r w:rsidR="005F6EB6">
        <w:t xml:space="preserve"> an Issues Paper and received </w:t>
      </w:r>
      <w:r w:rsidR="005F6EB6" w:rsidDel="00984A77">
        <w:t>12</w:t>
      </w:r>
      <w:r w:rsidR="00B76145" w:rsidDel="00984A77">
        <w:t>7</w:t>
      </w:r>
      <w:r w:rsidR="00984A77">
        <w:t> </w:t>
      </w:r>
      <w:r w:rsidR="005F6EB6">
        <w:t xml:space="preserve">submissions from stakeholders. </w:t>
      </w:r>
      <w:r w:rsidR="00D85675">
        <w:t xml:space="preserve">These submissions informed the </w:t>
      </w:r>
      <w:r w:rsidR="00046581">
        <w:t>Panel</w:t>
      </w:r>
      <w:r w:rsidR="009F688A">
        <w:t>’</w:t>
      </w:r>
      <w:r w:rsidR="00046581">
        <w:t xml:space="preserve">s </w:t>
      </w:r>
      <w:r w:rsidR="00D85675">
        <w:t>Interim Report, which was released for consultation</w:t>
      </w:r>
      <w:r w:rsidR="00A6716F">
        <w:t xml:space="preserve"> </w:t>
      </w:r>
      <w:r w:rsidR="00205784">
        <w:t xml:space="preserve">on </w:t>
      </w:r>
      <w:r w:rsidR="002965D3">
        <w:t>6 December 2016 and sought</w:t>
      </w:r>
      <w:r w:rsidR="002965D3" w:rsidRPr="00C05BC4">
        <w:t xml:space="preserve"> </w:t>
      </w:r>
      <w:r w:rsidR="007A5DE7">
        <w:t>stakeholder views</w:t>
      </w:r>
      <w:r w:rsidR="002965D3" w:rsidRPr="00C05BC4">
        <w:t xml:space="preserve"> on </w:t>
      </w:r>
      <w:r w:rsidR="002965D3">
        <w:t>11</w:t>
      </w:r>
      <w:r w:rsidR="002965D3" w:rsidRPr="00C05BC4">
        <w:t xml:space="preserve"> draft recommendations</w:t>
      </w:r>
      <w:r w:rsidR="002965D3">
        <w:t>.</w:t>
      </w:r>
      <w:r w:rsidR="00984A77">
        <w:t xml:space="preserve"> </w:t>
      </w:r>
      <w:r w:rsidR="002965D3">
        <w:t>Fifty</w:t>
      </w:r>
      <w:r w:rsidR="007F5CBC">
        <w:t>-</w:t>
      </w:r>
      <w:r w:rsidR="002965D3">
        <w:t>six</w:t>
      </w:r>
      <w:r w:rsidR="004558F2">
        <w:t> </w:t>
      </w:r>
      <w:r w:rsidR="002965D3">
        <w:t>submissions were received.</w:t>
      </w:r>
    </w:p>
    <w:p w:rsidR="009B4298" w:rsidRPr="001C0EAF" w:rsidRDefault="00420DE0">
      <w:pPr>
        <w:pStyle w:val="OutlineNumbered1"/>
      </w:pPr>
      <w:r>
        <w:t xml:space="preserve">Among other </w:t>
      </w:r>
      <w:r w:rsidR="002B6FB1">
        <w:t>issues</w:t>
      </w:r>
      <w:r>
        <w:t>, t</w:t>
      </w:r>
      <w:r w:rsidR="00D87188" w:rsidRPr="001C0EAF">
        <w:t xml:space="preserve">he </w:t>
      </w:r>
      <w:r w:rsidR="00220D91">
        <w:t>R</w:t>
      </w:r>
      <w:r w:rsidR="00D87188" w:rsidRPr="001C0EAF">
        <w:t>eview</w:t>
      </w:r>
      <w:r w:rsidR="009F688A">
        <w:t>’</w:t>
      </w:r>
      <w:r w:rsidR="00D87188" w:rsidRPr="001C0EAF">
        <w:t xml:space="preserve">s original </w:t>
      </w:r>
      <w:r w:rsidR="001C0EAF" w:rsidRPr="001C0EAF">
        <w:t>Terms of R</w:t>
      </w:r>
      <w:r w:rsidR="00D87188" w:rsidRPr="001C0EAF">
        <w:t xml:space="preserve">eference </w:t>
      </w:r>
      <w:r w:rsidR="00AD3972" w:rsidRPr="001C0EAF">
        <w:t xml:space="preserve">directed the Panel to make observations, but not recommendations, on the establishment of a statutory compensation scheme of last resort. </w:t>
      </w:r>
      <w:r w:rsidR="009B4298" w:rsidRPr="001C0EAF">
        <w:t>In their responses to the first Issues Paper, a</w:t>
      </w:r>
      <w:r w:rsidR="00AB7F24">
        <w:t> </w:t>
      </w:r>
      <w:r w:rsidR="009B4298" w:rsidRPr="001C0EAF">
        <w:t xml:space="preserve">number of stakeholders made submissions </w:t>
      </w:r>
      <w:r w:rsidR="002B6FB1">
        <w:t>on</w:t>
      </w:r>
      <w:r w:rsidR="009B4298" w:rsidRPr="001C0EAF">
        <w:t xml:space="preserve"> this issue</w:t>
      </w:r>
      <w:r w:rsidR="001C0EAF" w:rsidRPr="001C0EAF">
        <w:t xml:space="preserve"> </w:t>
      </w:r>
      <w:r w:rsidR="009B4298" w:rsidRPr="001C0EAF">
        <w:t xml:space="preserve">which </w:t>
      </w:r>
      <w:r w:rsidR="001C0EAF" w:rsidRPr="001C0EAF">
        <w:t>informed the Panel</w:t>
      </w:r>
      <w:r w:rsidR="009F688A">
        <w:t>’</w:t>
      </w:r>
      <w:r w:rsidR="001C0EAF" w:rsidRPr="001C0EAF">
        <w:t xml:space="preserve">s </w:t>
      </w:r>
      <w:r w:rsidR="009B4298" w:rsidRPr="001C0EAF">
        <w:t>observation in the Interim Report</w:t>
      </w:r>
      <w:r w:rsidR="001C0EAF" w:rsidRPr="001C0EAF">
        <w:t xml:space="preserve"> that there is considerable merit in establishing an industry</w:t>
      </w:r>
      <w:r w:rsidR="009F688A">
        <w:noBreakHyphen/>
      </w:r>
      <w:r w:rsidR="001C0EAF" w:rsidRPr="001C0EAF">
        <w:t>funded compensation scheme of last resort</w:t>
      </w:r>
      <w:r w:rsidR="009B4298" w:rsidRPr="001C0EAF">
        <w:t>.</w:t>
      </w:r>
    </w:p>
    <w:p w:rsidR="002965D3" w:rsidRDefault="002965D3">
      <w:pPr>
        <w:pStyle w:val="OutlineNumbered1"/>
      </w:pPr>
      <w:r>
        <w:t>On 2 February 2017, the Minister for Revenue and F</w:t>
      </w:r>
      <w:r w:rsidR="00B76145">
        <w:t xml:space="preserve">inancial Services </w:t>
      </w:r>
      <w:r w:rsidR="00652DC8">
        <w:t>amended</w:t>
      </w:r>
      <w:r w:rsidR="00B76145">
        <w:t xml:space="preserve"> the </w:t>
      </w:r>
      <w:r w:rsidR="00220D91">
        <w:t>Review</w:t>
      </w:r>
      <w:r w:rsidR="009F688A">
        <w:t>’</w:t>
      </w:r>
      <w:r w:rsidR="00220D91">
        <w:t xml:space="preserve">s </w:t>
      </w:r>
      <w:r w:rsidR="00B76145">
        <w:t>Terms of R</w:t>
      </w:r>
      <w:r>
        <w:t>eference to include recommendations on the establishment, merits and potential design of a compensation scheme of last resort.</w:t>
      </w:r>
      <w:r w:rsidR="00A6716F">
        <w:t xml:space="preserve"> The </w:t>
      </w:r>
      <w:r>
        <w:t>Panel was also asked to consider the merits and issues involved in providing access to redress for past disputes.</w:t>
      </w:r>
      <w:r w:rsidR="009871E7">
        <w:t xml:space="preserve"> The amended Terms of Reference are </w:t>
      </w:r>
      <w:r w:rsidR="00220D91">
        <w:t>contained</w:t>
      </w:r>
      <w:r w:rsidR="009871E7">
        <w:t xml:space="preserve"> in </w:t>
      </w:r>
      <w:r w:rsidR="009871E7" w:rsidRPr="00610CD2">
        <w:t xml:space="preserve">Appendix </w:t>
      </w:r>
      <w:r w:rsidR="008D09BC" w:rsidRPr="00610CD2">
        <w:t>A</w:t>
      </w:r>
      <w:r w:rsidR="009871E7">
        <w:t>.</w:t>
      </w:r>
    </w:p>
    <w:p w:rsidR="00124019" w:rsidRDefault="0099564D">
      <w:pPr>
        <w:pStyle w:val="OutlineNumbered1"/>
      </w:pPr>
      <w:r>
        <w:t>On 3 April 2017, t</w:t>
      </w:r>
      <w:r w:rsidR="00A6716F">
        <w:t>he Panel</w:t>
      </w:r>
      <w:r w:rsidR="002965D3">
        <w:t xml:space="preserve"> provided </w:t>
      </w:r>
      <w:r w:rsidR="00220D91">
        <w:t>to the Government</w:t>
      </w:r>
      <w:r w:rsidR="002965D3">
        <w:t xml:space="preserve"> its</w:t>
      </w:r>
      <w:r w:rsidR="00A6716F">
        <w:t xml:space="preserve"> Final Report on matters covered </w:t>
      </w:r>
      <w:r w:rsidR="00420DE0">
        <w:t xml:space="preserve">by </w:t>
      </w:r>
      <w:r w:rsidR="00A6716F">
        <w:t xml:space="preserve">the original </w:t>
      </w:r>
      <w:r w:rsidR="00B76145">
        <w:t>T</w:t>
      </w:r>
      <w:r w:rsidR="002965D3">
        <w:t xml:space="preserve">erms </w:t>
      </w:r>
      <w:r w:rsidR="00A6716F">
        <w:t xml:space="preserve">of </w:t>
      </w:r>
      <w:r w:rsidR="00B76145">
        <w:t>R</w:t>
      </w:r>
      <w:r w:rsidR="002965D3">
        <w:t>eference</w:t>
      </w:r>
      <w:r w:rsidR="00420DE0">
        <w:t xml:space="preserve"> (other than that relating to a compensation scheme of last resort)</w:t>
      </w:r>
      <w:r w:rsidR="009F688A">
        <w:t>.</w:t>
      </w:r>
    </w:p>
    <w:p w:rsidR="00124019" w:rsidRDefault="00124019" w:rsidP="00642503">
      <w:pPr>
        <w:pStyle w:val="Heading3"/>
      </w:pPr>
      <w:r>
        <w:t>Final Report</w:t>
      </w:r>
    </w:p>
    <w:p w:rsidR="000D4083" w:rsidRPr="00520F7C" w:rsidRDefault="001C1A5E">
      <w:pPr>
        <w:pStyle w:val="OutlineNumbered1"/>
      </w:pPr>
      <w:r w:rsidRPr="00520F7C">
        <w:t xml:space="preserve">On </w:t>
      </w:r>
      <w:r w:rsidR="00046581" w:rsidRPr="00163387">
        <w:t>9 May 2017</w:t>
      </w:r>
      <w:r w:rsidR="00124019" w:rsidRPr="00520F7C">
        <w:t>, the Government released the Panel</w:t>
      </w:r>
      <w:r w:rsidR="009F688A">
        <w:t>’</w:t>
      </w:r>
      <w:r w:rsidR="00124019" w:rsidRPr="00520F7C">
        <w:t>s Final Report</w:t>
      </w:r>
      <w:r w:rsidR="000D4083">
        <w:t xml:space="preserve"> </w:t>
      </w:r>
      <w:r w:rsidR="00D968F9">
        <w:t xml:space="preserve">on the matters covered by the original Terms of Reference (other than that dealing with a compensation scheme of last resort) </w:t>
      </w:r>
      <w:r w:rsidR="000D4083">
        <w:t>and the Government</w:t>
      </w:r>
      <w:r w:rsidR="009F688A">
        <w:t>’</w:t>
      </w:r>
      <w:r w:rsidR="000D4083">
        <w:t>s response to that Report</w:t>
      </w:r>
      <w:r w:rsidR="00124019" w:rsidRPr="00520F7C">
        <w:t>. The Repo</w:t>
      </w:r>
      <w:r w:rsidR="00670BFF" w:rsidRPr="00520F7C">
        <w:t>rt makes 11</w:t>
      </w:r>
      <w:r w:rsidR="00DA72A2" w:rsidRPr="00520F7C">
        <w:t> </w:t>
      </w:r>
      <w:r w:rsidR="00670BFF" w:rsidRPr="00520F7C">
        <w:t>recommendations which</w:t>
      </w:r>
      <w:r w:rsidR="00124019" w:rsidRPr="00520F7C">
        <w:t xml:space="preserve"> represent an integrated package of reforms that will see the EDR framework well</w:t>
      </w:r>
      <w:r w:rsidR="009F688A">
        <w:noBreakHyphen/>
      </w:r>
      <w:r w:rsidR="00124019" w:rsidRPr="00520F7C">
        <w:t>placed to address current problems and ensure it is designed to withstand the challenges of a rapidly</w:t>
      </w:r>
      <w:r w:rsidR="009F688A">
        <w:noBreakHyphen/>
      </w:r>
      <w:r w:rsidR="00124019" w:rsidRPr="00520F7C">
        <w:t>changing financial system.</w:t>
      </w:r>
      <w:r w:rsidR="000D4083" w:rsidRPr="000D4083">
        <w:t xml:space="preserve"> </w:t>
      </w:r>
      <w:r w:rsidR="000D4083">
        <w:t>T</w:t>
      </w:r>
      <w:r w:rsidR="000D4083" w:rsidRPr="00520F7C">
        <w:t xml:space="preserve">he Government </w:t>
      </w:r>
      <w:r w:rsidR="000D4083">
        <w:t xml:space="preserve">has </w:t>
      </w:r>
      <w:r w:rsidR="000D4083" w:rsidRPr="00520F7C">
        <w:t xml:space="preserve">accepted </w:t>
      </w:r>
      <w:r w:rsidR="000D4083">
        <w:t>t</w:t>
      </w:r>
      <w:r w:rsidR="000D4083" w:rsidRPr="00520F7C">
        <w:t>he Panel</w:t>
      </w:r>
      <w:r w:rsidR="009F688A">
        <w:t>’</w:t>
      </w:r>
      <w:r w:rsidR="000D4083" w:rsidRPr="00520F7C">
        <w:t xml:space="preserve">s </w:t>
      </w:r>
      <w:r w:rsidR="000D4083">
        <w:t xml:space="preserve">11 </w:t>
      </w:r>
      <w:r w:rsidR="000D4083" w:rsidRPr="00520F7C">
        <w:t>recommendations.</w:t>
      </w:r>
      <w:r w:rsidR="000D4083">
        <w:rPr>
          <w:rStyle w:val="FootnoteReference"/>
        </w:rPr>
        <w:footnoteReference w:id="6"/>
      </w:r>
    </w:p>
    <w:p w:rsidR="007806ED" w:rsidRDefault="00124019">
      <w:pPr>
        <w:pStyle w:val="OutlineNumbered1"/>
      </w:pPr>
      <w:r w:rsidRPr="00520F7C">
        <w:t>The Panel</w:t>
      </w:r>
      <w:r w:rsidR="009F688A">
        <w:t>’</w:t>
      </w:r>
      <w:r w:rsidRPr="00520F7C">
        <w:t xml:space="preserve">s central recommendation is the establishment of a new single EDR body for all financial disputes (including superannuation disputes) to replace </w:t>
      </w:r>
      <w:r w:rsidR="000D4083">
        <w:t>FOS, CIO and SCT</w:t>
      </w:r>
      <w:r w:rsidRPr="00520F7C">
        <w:t>.</w:t>
      </w:r>
      <w:r w:rsidR="000D4083">
        <w:t xml:space="preserve"> This is to be implemented via the establishment of the new Australian Financial Complaints Authority.</w:t>
      </w:r>
    </w:p>
    <w:p w:rsidR="007806ED" w:rsidRDefault="007806ED">
      <w:pPr>
        <w:widowControl/>
        <w:adjustRightInd/>
        <w:spacing w:after="0" w:line="240" w:lineRule="auto"/>
        <w:jc w:val="left"/>
        <w:textAlignment w:val="auto"/>
      </w:pPr>
      <w:r>
        <w:br w:type="page"/>
      </w:r>
    </w:p>
    <w:p w:rsidR="008362BF" w:rsidRPr="00520F7C" w:rsidRDefault="00124019">
      <w:pPr>
        <w:pStyle w:val="OutlineNumbered1"/>
      </w:pPr>
      <w:r w:rsidRPr="00520F7C">
        <w:t xml:space="preserve">The </w:t>
      </w:r>
      <w:r w:rsidR="000D4083">
        <w:t xml:space="preserve">Government has </w:t>
      </w:r>
      <w:r w:rsidR="008362BF" w:rsidRPr="00520F7C">
        <w:t>also</w:t>
      </w:r>
      <w:r w:rsidR="00670BFF" w:rsidRPr="00520F7C">
        <w:t xml:space="preserve">, relevantly, </w:t>
      </w:r>
      <w:r w:rsidR="000D4083">
        <w:t>accepted the Panel</w:t>
      </w:r>
      <w:r w:rsidR="009F688A">
        <w:t>’</w:t>
      </w:r>
      <w:r w:rsidR="000D4083">
        <w:t>s recommendations</w:t>
      </w:r>
      <w:r w:rsidR="000D4083" w:rsidRPr="00520F7C">
        <w:t xml:space="preserve"> </w:t>
      </w:r>
      <w:r w:rsidR="00670BFF" w:rsidRPr="00520F7C">
        <w:t>that</w:t>
      </w:r>
      <w:r w:rsidR="008362BF" w:rsidRPr="00520F7C">
        <w:t>:</w:t>
      </w:r>
    </w:p>
    <w:p w:rsidR="00670BFF" w:rsidRPr="00520F7C" w:rsidRDefault="00670BFF">
      <w:pPr>
        <w:pStyle w:val="Bullet"/>
      </w:pPr>
      <w:r w:rsidRPr="00520F7C">
        <w:t>consumers and small business</w:t>
      </w:r>
      <w:r w:rsidR="002C29CE" w:rsidRPr="00520F7C">
        <w:t>es</w:t>
      </w:r>
      <w:r w:rsidRPr="00520F7C">
        <w:t xml:space="preserve"> are provided with enhanced access to redress through higher monetary limits and compensation caps;</w:t>
      </w:r>
    </w:p>
    <w:p w:rsidR="00670BFF" w:rsidRPr="00520F7C" w:rsidRDefault="00670BFF">
      <w:pPr>
        <w:pStyle w:val="Bullet"/>
      </w:pPr>
      <w:r w:rsidRPr="00520F7C">
        <w:t>the single EDR body be subject to enhanced accountability measures</w:t>
      </w:r>
      <w:r w:rsidR="00C27A1B" w:rsidRPr="00520F7C">
        <w:t xml:space="preserve">, including an independent assessor to review complaints about </w:t>
      </w:r>
      <w:r w:rsidR="006D3D1E" w:rsidRPr="00520F7C">
        <w:t>its</w:t>
      </w:r>
      <w:r w:rsidR="00C27A1B" w:rsidRPr="00520F7C">
        <w:t xml:space="preserve"> handling of </w:t>
      </w:r>
      <w:r w:rsidR="00DE687F" w:rsidRPr="00520F7C">
        <w:t>disputes</w:t>
      </w:r>
      <w:r w:rsidRPr="00520F7C">
        <w:t>;</w:t>
      </w:r>
    </w:p>
    <w:p w:rsidR="00670BFF" w:rsidRPr="00520F7C" w:rsidRDefault="00670BFF">
      <w:pPr>
        <w:pStyle w:val="Bullet"/>
      </w:pPr>
      <w:r w:rsidRPr="00520F7C">
        <w:t xml:space="preserve">ASIC </w:t>
      </w:r>
      <w:r w:rsidR="002C29CE" w:rsidRPr="00520F7C">
        <w:t>be</w:t>
      </w:r>
      <w:r w:rsidRPr="00520F7C">
        <w:t xml:space="preserve"> provided with a general directions power to allow it to compel performance from the single EDR body if it does not comply with legislative and regulatory requirements;</w:t>
      </w:r>
      <w:r w:rsidR="002C29CE" w:rsidRPr="00520F7C">
        <w:t xml:space="preserve"> and</w:t>
      </w:r>
    </w:p>
    <w:p w:rsidR="001C1A5E" w:rsidRPr="00520F7C" w:rsidRDefault="006D3D1E">
      <w:pPr>
        <w:pStyle w:val="Bullet"/>
      </w:pPr>
      <w:r w:rsidRPr="00520F7C">
        <w:t xml:space="preserve">improvements be made to increase </w:t>
      </w:r>
      <w:r w:rsidR="00670BFF" w:rsidRPr="00520F7C">
        <w:t xml:space="preserve">the </w:t>
      </w:r>
      <w:r w:rsidR="00A55748" w:rsidRPr="00520F7C">
        <w:t xml:space="preserve">transparency and </w:t>
      </w:r>
      <w:r w:rsidRPr="00520F7C">
        <w:t xml:space="preserve">accountability of </w:t>
      </w:r>
      <w:r w:rsidR="00701B36">
        <w:t>IDR</w:t>
      </w:r>
      <w:r w:rsidR="002C29CE" w:rsidRPr="00520F7C">
        <w:t xml:space="preserve"> processes</w:t>
      </w:r>
      <w:r w:rsidR="00670BFF" w:rsidRPr="00520F7C">
        <w:t>.</w:t>
      </w:r>
    </w:p>
    <w:p w:rsidR="00A70B54" w:rsidRPr="00A70B54" w:rsidRDefault="00A70B54" w:rsidP="00642503">
      <w:pPr>
        <w:pStyle w:val="Heading3"/>
      </w:pPr>
      <w:r>
        <w:t>Next steps</w:t>
      </w:r>
    </w:p>
    <w:p w:rsidR="00FB0945" w:rsidRDefault="008951F1">
      <w:pPr>
        <w:pStyle w:val="OutlineNumbered1"/>
      </w:pPr>
      <w:r>
        <w:t xml:space="preserve">The </w:t>
      </w:r>
      <w:r w:rsidR="00240996">
        <w:t>P</w:t>
      </w:r>
      <w:r>
        <w:t xml:space="preserve">anel is to </w:t>
      </w:r>
      <w:r w:rsidR="00EA06A4">
        <w:t>report</w:t>
      </w:r>
      <w:r w:rsidR="0083049F">
        <w:t xml:space="preserve"> to </w:t>
      </w:r>
      <w:r w:rsidR="005F533F">
        <w:t>the</w:t>
      </w:r>
      <w:r w:rsidR="0083049F">
        <w:t xml:space="preserve"> </w:t>
      </w:r>
      <w:r w:rsidR="005F533F">
        <w:t>G</w:t>
      </w:r>
      <w:r>
        <w:t xml:space="preserve">overnment </w:t>
      </w:r>
      <w:r w:rsidR="00676288">
        <w:t xml:space="preserve">on </w:t>
      </w:r>
      <w:r w:rsidR="005217A7">
        <w:t xml:space="preserve">the </w:t>
      </w:r>
      <w:r w:rsidR="00676288">
        <w:t xml:space="preserve">matters covered by the </w:t>
      </w:r>
      <w:r w:rsidR="00B565F1">
        <w:t>amended</w:t>
      </w:r>
      <w:r w:rsidR="00676288">
        <w:t xml:space="preserve"> </w:t>
      </w:r>
      <w:r w:rsidR="00B565F1">
        <w:t>T</w:t>
      </w:r>
      <w:r w:rsidR="00676288">
        <w:t xml:space="preserve">erms of </w:t>
      </w:r>
      <w:r w:rsidR="00B565F1">
        <w:t>R</w:t>
      </w:r>
      <w:r w:rsidR="00676288">
        <w:t xml:space="preserve">eference </w:t>
      </w:r>
      <w:r w:rsidR="000D4083">
        <w:t xml:space="preserve">in the second half of </w:t>
      </w:r>
      <w:r w:rsidRPr="00990877">
        <w:t>2017</w:t>
      </w:r>
      <w:r w:rsidR="00EA06A4">
        <w:t>.</w:t>
      </w:r>
      <w:r w:rsidR="000D4083">
        <w:rPr>
          <w:rStyle w:val="FootnoteReference"/>
        </w:rPr>
        <w:footnoteReference w:id="7"/>
      </w:r>
      <w:r w:rsidR="00EA06A4">
        <w:t xml:space="preserve"> </w:t>
      </w:r>
      <w:r w:rsidR="008075D6">
        <w:t>The table below outlines the chronology of events</w:t>
      </w:r>
      <w:r w:rsidR="007D17D3">
        <w:t>.</w:t>
      </w:r>
    </w:p>
    <w:p w:rsidR="00D87188" w:rsidRDefault="00D87188">
      <w:pPr>
        <w:pStyle w:val="OutlineNumbered1"/>
      </w:pPr>
      <w:r w:rsidRPr="00C05BC4">
        <w:t xml:space="preserve">The purpose of publishing this </w:t>
      </w:r>
      <w:r>
        <w:t>Supplementary I</w:t>
      </w:r>
      <w:r w:rsidRPr="00C05BC4">
        <w:t xml:space="preserve">ssues </w:t>
      </w:r>
      <w:r>
        <w:t>P</w:t>
      </w:r>
      <w:r w:rsidRPr="00C05BC4">
        <w:t xml:space="preserve">aper is to seek </w:t>
      </w:r>
      <w:r>
        <w:t xml:space="preserve">the views of </w:t>
      </w:r>
      <w:r w:rsidRPr="00C05BC4">
        <w:t>interested stakeholders</w:t>
      </w:r>
      <w:r>
        <w:t xml:space="preserve"> on matters covered by the amendment to the </w:t>
      </w:r>
      <w:r w:rsidR="002114D8">
        <w:t>Review</w:t>
      </w:r>
      <w:r w:rsidR="009F688A">
        <w:t>’</w:t>
      </w:r>
      <w:r>
        <w:t>s Terms of Reference.</w:t>
      </w:r>
    </w:p>
    <w:p w:rsidR="00E621CE" w:rsidRDefault="00E621CE">
      <w:pPr>
        <w:pStyle w:val="OutlineNumbered1"/>
      </w:pPr>
      <w:r>
        <w:t>The P</w:t>
      </w:r>
      <w:r w:rsidRPr="00C05BC4">
        <w:t xml:space="preserve">anel encourages </w:t>
      </w:r>
      <w:r>
        <w:t xml:space="preserve">stakeholders </w:t>
      </w:r>
      <w:r w:rsidR="00C22FF5">
        <w:t>interested in</w:t>
      </w:r>
      <w:r>
        <w:t xml:space="preserve"> the matters raised in</w:t>
      </w:r>
      <w:r w:rsidRPr="00C05BC4">
        <w:t xml:space="preserve"> this </w:t>
      </w:r>
      <w:r>
        <w:t>Supplementary I</w:t>
      </w:r>
      <w:r w:rsidRPr="00C05BC4">
        <w:t xml:space="preserve">ssues </w:t>
      </w:r>
      <w:r>
        <w:t>P</w:t>
      </w:r>
      <w:r w:rsidRPr="00C05BC4">
        <w:t>aper</w:t>
      </w:r>
      <w:r w:rsidR="00C22FF5">
        <w:t xml:space="preserve"> to make a submission by </w:t>
      </w:r>
      <w:r w:rsidR="00386337">
        <w:t>28</w:t>
      </w:r>
      <w:r w:rsidR="00701B36" w:rsidRPr="00386337">
        <w:t xml:space="preserve"> June 2017</w:t>
      </w:r>
      <w:r w:rsidR="00F34C18" w:rsidRPr="00386337">
        <w:t>.</w:t>
      </w:r>
    </w:p>
    <w:p w:rsidR="00D87188" w:rsidRDefault="00D87188">
      <w:pPr>
        <w:pStyle w:val="OutlineNumbered1"/>
      </w:pPr>
      <w:r>
        <w:t xml:space="preserve">The Panel will consider information provided in submissions and </w:t>
      </w:r>
      <w:r w:rsidR="00644724">
        <w:t xml:space="preserve">will </w:t>
      </w:r>
      <w:r>
        <w:t xml:space="preserve">conduct further </w:t>
      </w:r>
      <w:r w:rsidR="008B4C62">
        <w:t>consultations</w:t>
      </w:r>
      <w:r>
        <w:t xml:space="preserve"> before </w:t>
      </w:r>
      <w:r w:rsidR="00DC30E6">
        <w:t>providing an additional report</w:t>
      </w:r>
      <w:r>
        <w:t xml:space="preserve"> to </w:t>
      </w:r>
      <w:r w:rsidR="00DC30E6">
        <w:t xml:space="preserve">the </w:t>
      </w:r>
      <w:r w:rsidR="00420DE0">
        <w:t>Government</w:t>
      </w:r>
      <w:r>
        <w:t xml:space="preserve"> </w:t>
      </w:r>
      <w:r w:rsidR="005D580C">
        <w:t>in the second</w:t>
      </w:r>
      <w:r w:rsidR="00F950D0">
        <w:t> </w:t>
      </w:r>
      <w:r w:rsidR="005D580C">
        <w:t>half of 2017.</w:t>
      </w:r>
    </w:p>
    <w:tbl>
      <w:tblPr>
        <w:tblW w:w="9128" w:type="dxa"/>
        <w:tblInd w:w="5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57" w:type="dxa"/>
          <w:right w:w="57" w:type="dxa"/>
        </w:tblCellMar>
        <w:tblLook w:val="04A0" w:firstRow="1" w:lastRow="0" w:firstColumn="1" w:lastColumn="0" w:noHBand="0" w:noVBand="1"/>
      </w:tblPr>
      <w:tblGrid>
        <w:gridCol w:w="7030"/>
        <w:gridCol w:w="2098"/>
      </w:tblGrid>
      <w:tr w:rsidR="004F7CAB" w:rsidRPr="007E6924" w:rsidTr="00C735FD">
        <w:tc>
          <w:tcPr>
            <w:tcW w:w="7030" w:type="dxa"/>
            <w:shd w:val="clear" w:color="auto" w:fill="17365D" w:themeFill="text2" w:themeFillShade="BF"/>
          </w:tcPr>
          <w:p w:rsidR="002B6FB1" w:rsidRPr="007E6924" w:rsidRDefault="002B6FB1" w:rsidP="00642503">
            <w:pPr>
              <w:pStyle w:val="TableColumnHeadingLeft-White"/>
            </w:pPr>
            <w:bookmarkStart w:id="63" w:name="_Toc460325145"/>
            <w:r w:rsidRPr="007E6924">
              <w:t>Event</w:t>
            </w:r>
          </w:p>
        </w:tc>
        <w:tc>
          <w:tcPr>
            <w:tcW w:w="2098" w:type="dxa"/>
            <w:shd w:val="clear" w:color="auto" w:fill="17365D" w:themeFill="text2" w:themeFillShade="BF"/>
          </w:tcPr>
          <w:p w:rsidR="002B6FB1" w:rsidRPr="007E6924" w:rsidRDefault="007D17D3" w:rsidP="00642503">
            <w:pPr>
              <w:pStyle w:val="TableColumnHeadingLeft-White"/>
            </w:pPr>
            <w:r>
              <w:t>Date</w:t>
            </w:r>
          </w:p>
        </w:tc>
      </w:tr>
      <w:tr w:rsidR="0086095C" w:rsidTr="00C735FD">
        <w:tc>
          <w:tcPr>
            <w:tcW w:w="7030" w:type="dxa"/>
          </w:tcPr>
          <w:p w:rsidR="002B6FB1" w:rsidRDefault="002B6FB1" w:rsidP="00642503">
            <w:pPr>
              <w:pStyle w:val="TableTextLeft"/>
            </w:pPr>
            <w:r>
              <w:t xml:space="preserve">Issues Paper on original </w:t>
            </w:r>
            <w:r w:rsidR="00990877">
              <w:t>T</w:t>
            </w:r>
            <w:r>
              <w:t xml:space="preserve">erms of </w:t>
            </w:r>
            <w:r w:rsidR="00990877">
              <w:t>R</w:t>
            </w:r>
            <w:r>
              <w:t>eference released</w:t>
            </w:r>
          </w:p>
        </w:tc>
        <w:tc>
          <w:tcPr>
            <w:tcW w:w="2098" w:type="dxa"/>
          </w:tcPr>
          <w:p w:rsidR="002B6FB1" w:rsidRDefault="002B6FB1" w:rsidP="00642503">
            <w:pPr>
              <w:pStyle w:val="TableTextLeft"/>
            </w:pPr>
            <w:r>
              <w:t>9 September 2016</w:t>
            </w:r>
          </w:p>
        </w:tc>
      </w:tr>
      <w:tr w:rsidR="004F7CAB" w:rsidRPr="00F11898" w:rsidTr="00C735FD">
        <w:tc>
          <w:tcPr>
            <w:tcW w:w="7030" w:type="dxa"/>
            <w:shd w:val="clear" w:color="auto" w:fill="F2F2F2" w:themeFill="background1" w:themeFillShade="F2"/>
          </w:tcPr>
          <w:p w:rsidR="002B6FB1" w:rsidRPr="00F11898" w:rsidRDefault="002B6FB1" w:rsidP="00642503">
            <w:pPr>
              <w:pStyle w:val="TableTextLeft"/>
            </w:pPr>
            <w:r w:rsidRPr="00F11898">
              <w:t xml:space="preserve">Interim Report on original </w:t>
            </w:r>
            <w:r w:rsidR="00990877">
              <w:t>T</w:t>
            </w:r>
            <w:r w:rsidRPr="00F11898">
              <w:t xml:space="preserve">erms of </w:t>
            </w:r>
            <w:r w:rsidR="00990877">
              <w:t>R</w:t>
            </w:r>
            <w:r w:rsidRPr="00F11898">
              <w:t>eference released</w:t>
            </w:r>
          </w:p>
        </w:tc>
        <w:tc>
          <w:tcPr>
            <w:tcW w:w="2098" w:type="dxa"/>
            <w:shd w:val="clear" w:color="auto" w:fill="F2F2F2" w:themeFill="background1" w:themeFillShade="F2"/>
          </w:tcPr>
          <w:p w:rsidR="002B6FB1" w:rsidRPr="00F11898" w:rsidRDefault="002B6FB1" w:rsidP="00642503">
            <w:pPr>
              <w:pStyle w:val="TableTextLeft"/>
            </w:pPr>
            <w:r w:rsidRPr="00F11898">
              <w:t>6 December 2016</w:t>
            </w:r>
          </w:p>
        </w:tc>
      </w:tr>
      <w:tr w:rsidR="0086095C" w:rsidRPr="00F11898" w:rsidTr="00C735FD">
        <w:tc>
          <w:tcPr>
            <w:tcW w:w="7030" w:type="dxa"/>
          </w:tcPr>
          <w:p w:rsidR="002B6FB1" w:rsidRPr="00F11898" w:rsidRDefault="002B6FB1" w:rsidP="00642503">
            <w:pPr>
              <w:pStyle w:val="TableTextLeft"/>
            </w:pPr>
            <w:r w:rsidRPr="00F11898">
              <w:t>Minister for Revenue and Financial Services amended the Review</w:t>
            </w:r>
            <w:r w:rsidR="009F688A">
              <w:t>’</w:t>
            </w:r>
            <w:r w:rsidRPr="00F11898">
              <w:t>s Terms of Reference</w:t>
            </w:r>
          </w:p>
        </w:tc>
        <w:tc>
          <w:tcPr>
            <w:tcW w:w="2098" w:type="dxa"/>
          </w:tcPr>
          <w:p w:rsidR="002B6FB1" w:rsidRPr="00F11898" w:rsidRDefault="002B6FB1" w:rsidP="00642503">
            <w:pPr>
              <w:pStyle w:val="TableTextLeft"/>
            </w:pPr>
            <w:r w:rsidRPr="00F11898">
              <w:t>2 February 2017</w:t>
            </w:r>
          </w:p>
        </w:tc>
      </w:tr>
      <w:tr w:rsidR="004F7CAB" w:rsidRPr="00F11898" w:rsidTr="00C735FD">
        <w:tc>
          <w:tcPr>
            <w:tcW w:w="7030" w:type="dxa"/>
            <w:tcBorders>
              <w:bottom w:val="single" w:sz="4" w:space="0" w:color="1F497D" w:themeColor="text2"/>
            </w:tcBorders>
            <w:shd w:val="clear" w:color="auto" w:fill="F2F2F2" w:themeFill="background1" w:themeFillShade="F2"/>
          </w:tcPr>
          <w:p w:rsidR="002B6FB1" w:rsidRPr="00F11898" w:rsidRDefault="002B6FB1" w:rsidP="00642503">
            <w:pPr>
              <w:pStyle w:val="TableTextLeft"/>
            </w:pPr>
            <w:r w:rsidRPr="00F11898">
              <w:t>Final Report on matters covered in the original Terms of Reference provided to Government</w:t>
            </w:r>
          </w:p>
        </w:tc>
        <w:tc>
          <w:tcPr>
            <w:tcW w:w="2098" w:type="dxa"/>
            <w:tcBorders>
              <w:bottom w:val="single" w:sz="4" w:space="0" w:color="1F497D" w:themeColor="text2"/>
            </w:tcBorders>
            <w:shd w:val="clear" w:color="auto" w:fill="F2F2F2" w:themeFill="background1" w:themeFillShade="F2"/>
          </w:tcPr>
          <w:p w:rsidR="002B6FB1" w:rsidRPr="00F11898" w:rsidRDefault="002B6FB1" w:rsidP="00642503">
            <w:pPr>
              <w:pStyle w:val="TableTextLeft"/>
            </w:pPr>
            <w:r w:rsidRPr="00F11898">
              <w:t>3 April 2017</w:t>
            </w:r>
          </w:p>
        </w:tc>
      </w:tr>
      <w:tr w:rsidR="004F7CAB" w:rsidRPr="00F11898" w:rsidTr="00C735FD">
        <w:tc>
          <w:tcPr>
            <w:tcW w:w="7030" w:type="dxa"/>
            <w:tcBorders>
              <w:bottom w:val="single" w:sz="4" w:space="0" w:color="1F497D" w:themeColor="text2"/>
            </w:tcBorders>
            <w:shd w:val="clear" w:color="auto" w:fill="FFFFFF" w:themeFill="background1"/>
          </w:tcPr>
          <w:p w:rsidR="002B6FB1" w:rsidRPr="00F11898" w:rsidRDefault="002B6FB1" w:rsidP="00642503">
            <w:pPr>
              <w:pStyle w:val="TableTextLeft"/>
            </w:pPr>
            <w:r>
              <w:t>Final Report and Government response released</w:t>
            </w:r>
          </w:p>
        </w:tc>
        <w:tc>
          <w:tcPr>
            <w:tcW w:w="2098" w:type="dxa"/>
            <w:tcBorders>
              <w:bottom w:val="single" w:sz="4" w:space="0" w:color="1F497D" w:themeColor="text2"/>
            </w:tcBorders>
            <w:shd w:val="clear" w:color="auto" w:fill="FFFFFF" w:themeFill="background1"/>
          </w:tcPr>
          <w:p w:rsidR="002B6FB1" w:rsidRPr="00F11898" w:rsidRDefault="000D4083" w:rsidP="00642503">
            <w:pPr>
              <w:pStyle w:val="TableTextLeft"/>
            </w:pPr>
            <w:r w:rsidRPr="007911B6">
              <w:t>9</w:t>
            </w:r>
            <w:r w:rsidR="002B6FB1" w:rsidRPr="00163387">
              <w:t xml:space="preserve"> May</w:t>
            </w:r>
            <w:r w:rsidR="002B6FB1">
              <w:t xml:space="preserve"> 2017</w:t>
            </w:r>
          </w:p>
        </w:tc>
      </w:tr>
      <w:tr w:rsidR="004F7CAB" w:rsidRPr="00F11898" w:rsidTr="00C735FD">
        <w:tc>
          <w:tcPr>
            <w:tcW w:w="7030" w:type="dxa"/>
            <w:shd w:val="clear" w:color="auto" w:fill="F2F2F2" w:themeFill="background1" w:themeFillShade="F2"/>
          </w:tcPr>
          <w:p w:rsidR="002B6FB1" w:rsidRPr="00F11898" w:rsidRDefault="002B6FB1" w:rsidP="00642503">
            <w:pPr>
              <w:pStyle w:val="TableTextLeft"/>
            </w:pPr>
            <w:r w:rsidRPr="00F11898">
              <w:t>Issues Paper on matters covered in amended Terms of Reference released</w:t>
            </w:r>
          </w:p>
        </w:tc>
        <w:tc>
          <w:tcPr>
            <w:tcW w:w="2098" w:type="dxa"/>
            <w:shd w:val="clear" w:color="auto" w:fill="F2F2F2" w:themeFill="background1" w:themeFillShade="F2"/>
          </w:tcPr>
          <w:p w:rsidR="002B6FB1" w:rsidRPr="00F11898" w:rsidRDefault="00386337" w:rsidP="00386337">
            <w:pPr>
              <w:pStyle w:val="TableTextLeft"/>
            </w:pPr>
            <w:r>
              <w:t>31</w:t>
            </w:r>
            <w:r w:rsidR="002B6FB1" w:rsidRPr="00386337">
              <w:t xml:space="preserve"> May</w:t>
            </w:r>
            <w:r w:rsidR="002B6FB1" w:rsidRPr="00F11898">
              <w:t xml:space="preserve"> 2017</w:t>
            </w:r>
          </w:p>
        </w:tc>
      </w:tr>
      <w:tr w:rsidR="0086095C" w:rsidRPr="00F11898" w:rsidTr="00C735FD">
        <w:tc>
          <w:tcPr>
            <w:tcW w:w="7030" w:type="dxa"/>
          </w:tcPr>
          <w:p w:rsidR="002B6FB1" w:rsidRPr="00F11898" w:rsidRDefault="002B6FB1" w:rsidP="00642503">
            <w:pPr>
              <w:pStyle w:val="TableTextLeft"/>
            </w:pPr>
            <w:r w:rsidRPr="00F11898">
              <w:t>Additional Report on matters covered by the amended Terms of Reference to be provided to the Government</w:t>
            </w:r>
          </w:p>
        </w:tc>
        <w:tc>
          <w:tcPr>
            <w:tcW w:w="2098" w:type="dxa"/>
          </w:tcPr>
          <w:p w:rsidR="002B6FB1" w:rsidRPr="00F11898" w:rsidRDefault="000D4083" w:rsidP="00642503">
            <w:pPr>
              <w:pStyle w:val="TableTextLeft"/>
            </w:pPr>
            <w:r>
              <w:t xml:space="preserve">Second half of </w:t>
            </w:r>
            <w:r w:rsidR="002B6FB1" w:rsidRPr="00F11898">
              <w:t>2017</w:t>
            </w:r>
          </w:p>
        </w:tc>
      </w:tr>
    </w:tbl>
    <w:p w:rsidR="006D17C4" w:rsidRDefault="006D17C4" w:rsidP="00D87188">
      <w:pPr>
        <w:pStyle w:val="Heading1"/>
        <w:pBdr>
          <w:bottom w:val="single" w:sz="4" w:space="11" w:color="1F497D" w:themeColor="text2"/>
        </w:pBdr>
      </w:pPr>
      <w:bookmarkStart w:id="64" w:name="_Toc479692329"/>
      <w:bookmarkStart w:id="65" w:name="_Toc479761648"/>
      <w:bookmarkStart w:id="66" w:name="_Toc481418011"/>
      <w:bookmarkStart w:id="67" w:name="_Toc481420152"/>
      <w:bookmarkStart w:id="68" w:name="_Toc482188898"/>
      <w:bookmarkStart w:id="69" w:name="_Toc482197205"/>
      <w:bookmarkStart w:id="70" w:name="_Toc482198295"/>
      <w:bookmarkStart w:id="71" w:name="_Toc482779536"/>
      <w:bookmarkStart w:id="72" w:name="_Toc482781311"/>
      <w:bookmarkStart w:id="73" w:name="_Toc482873866"/>
      <w:bookmarkStart w:id="74" w:name="_Toc483229135"/>
      <w:bookmarkStart w:id="75" w:name="_Toc483230250"/>
      <w:bookmarkStart w:id="76" w:name="_Toc483398629"/>
      <w:bookmarkStart w:id="77" w:name="_Toc483485316"/>
      <w:bookmarkStart w:id="78" w:name="_Toc483988904"/>
      <w:bookmarkStart w:id="79" w:name="_Toc479074201"/>
      <w:bookmarkStart w:id="80" w:name="_Toc479079304"/>
      <w:bookmarkStart w:id="81" w:name="_Toc479600658"/>
      <w:bookmarkStart w:id="82" w:name="_Toc461014535"/>
      <w:bookmarkStart w:id="83" w:name="_Toc461031608"/>
      <w:bookmarkStart w:id="84" w:name="_Toc461032014"/>
      <w:bookmarkStart w:id="85" w:name="_Toc461105718"/>
      <w:r>
        <w:t>Scope</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AF698A" w:rsidRDefault="00085334">
      <w:pPr>
        <w:pStyle w:val="OutlineNumbered1"/>
      </w:pPr>
      <w:bookmarkStart w:id="86" w:name="_Hlk480116227"/>
      <w:r>
        <w:t>The</w:t>
      </w:r>
      <w:r w:rsidR="001248AA">
        <w:t xml:space="preserve"> </w:t>
      </w:r>
      <w:r w:rsidR="008D09BC">
        <w:t>amended</w:t>
      </w:r>
      <w:r w:rsidR="001248AA">
        <w:t xml:space="preserve"> </w:t>
      </w:r>
      <w:r w:rsidR="00AF698A" w:rsidRPr="00AF698A">
        <w:t xml:space="preserve">Terms of Reference </w:t>
      </w:r>
      <w:r w:rsidR="001248AA">
        <w:t xml:space="preserve">require </w:t>
      </w:r>
      <w:r>
        <w:t>the Panel</w:t>
      </w:r>
      <w:r w:rsidR="001248AA">
        <w:t xml:space="preserve"> </w:t>
      </w:r>
      <w:r w:rsidR="00AF698A" w:rsidRPr="00AF698A">
        <w:t>to undertake two separate but related tasks</w:t>
      </w:r>
      <w:r w:rsidR="00AF698A">
        <w:t>:</w:t>
      </w:r>
    </w:p>
    <w:p w:rsidR="00AF698A" w:rsidRDefault="00AF698A">
      <w:pPr>
        <w:pStyle w:val="Bullet"/>
      </w:pPr>
      <w:r w:rsidRPr="00AF698A">
        <w:t>make recommendations on the establishment, merits and potential design of a compensation scheme of last resort; and</w:t>
      </w:r>
    </w:p>
    <w:p w:rsidR="00ED4256" w:rsidRPr="00AF698A" w:rsidRDefault="00AF698A">
      <w:pPr>
        <w:pStyle w:val="Bullet"/>
      </w:pPr>
      <w:r w:rsidRPr="00AF698A">
        <w:t>consider the merits and issues involved in providing access to redress for past disputes.</w:t>
      </w:r>
      <w:r w:rsidR="00C7253F">
        <w:rPr>
          <w:rStyle w:val="FootnoteReference"/>
        </w:rPr>
        <w:footnoteReference w:id="8"/>
      </w:r>
    </w:p>
    <w:p w:rsidR="00C7253F" w:rsidRDefault="00C7253F">
      <w:pPr>
        <w:pStyle w:val="OutlineNumbered1"/>
      </w:pPr>
      <w:r>
        <w:t xml:space="preserve">The Panel considers that these tasks raise different issues, which </w:t>
      </w:r>
      <w:r w:rsidR="00BF33BA">
        <w:t>might</w:t>
      </w:r>
      <w:r>
        <w:t xml:space="preserve"> </w:t>
      </w:r>
      <w:r w:rsidR="004842D2">
        <w:t>involve</w:t>
      </w:r>
      <w:r>
        <w:t xml:space="preserve"> different policy considerations, funding models and administrative arrangements. The Panel is, therefore, approaching them as separate and distinct pieces of analysis.</w:t>
      </w:r>
    </w:p>
    <w:p w:rsidR="00701B36" w:rsidRPr="005B34E1" w:rsidRDefault="00A54002">
      <w:pPr>
        <w:pStyle w:val="OutlineNumbered1"/>
      </w:pPr>
      <w:r w:rsidRPr="005B34E1">
        <w:t xml:space="preserve">Given the </w:t>
      </w:r>
      <w:r w:rsidR="00701B36" w:rsidRPr="005B34E1">
        <w:t>Review</w:t>
      </w:r>
      <w:r w:rsidR="009F688A">
        <w:t>’</w:t>
      </w:r>
      <w:r w:rsidRPr="005B34E1">
        <w:t>s Terms of Reference focus on the EDR system, th</w:t>
      </w:r>
      <w:r w:rsidR="002044EF" w:rsidRPr="005B34E1">
        <w:t>is has been the Panel</w:t>
      </w:r>
      <w:r w:rsidR="009F688A">
        <w:t>’</w:t>
      </w:r>
      <w:r w:rsidR="002044EF" w:rsidRPr="005B34E1">
        <w:t>s main focus</w:t>
      </w:r>
      <w:r w:rsidR="007D794E" w:rsidRPr="005B34E1">
        <w:t xml:space="preserve"> in </w:t>
      </w:r>
      <w:r w:rsidR="00A21D74">
        <w:t>setting out issues surrounding</w:t>
      </w:r>
      <w:r w:rsidRPr="005B34E1">
        <w:t xml:space="preserve"> a compensation scheme of </w:t>
      </w:r>
      <w:r w:rsidRPr="005B34E1" w:rsidDel="0086095C">
        <w:t>last</w:t>
      </w:r>
      <w:r w:rsidR="0086095C">
        <w:t> </w:t>
      </w:r>
      <w:r w:rsidRPr="005B34E1">
        <w:t>resort and access to redress for past disputes.</w:t>
      </w:r>
      <w:r w:rsidR="008B602F" w:rsidRPr="005B34E1">
        <w:t xml:space="preserve"> </w:t>
      </w:r>
      <w:r w:rsidR="009E75D8">
        <w:t>However, t</w:t>
      </w:r>
      <w:r w:rsidR="005B34E1" w:rsidRPr="00C81F56">
        <w:t xml:space="preserve">he Panel is also interested in views </w:t>
      </w:r>
      <w:r w:rsidR="004A4201">
        <w:t>on</w:t>
      </w:r>
      <w:r w:rsidR="005B34E1" w:rsidRPr="00C81F56">
        <w:t xml:space="preserve"> whether judgments </w:t>
      </w:r>
      <w:r w:rsidR="00C56781">
        <w:t xml:space="preserve">and decisions </w:t>
      </w:r>
      <w:r w:rsidR="005B34E1" w:rsidRPr="00C81F56">
        <w:t>from other dispute resolution processes, such as courts and tribunals, should also be considered</w:t>
      </w:r>
      <w:r w:rsidR="009F688A">
        <w:t>.</w:t>
      </w:r>
    </w:p>
    <w:p w:rsidR="00701B36" w:rsidRDefault="004842D2">
      <w:pPr>
        <w:pStyle w:val="OutlineNumbered1"/>
      </w:pPr>
      <w:r>
        <w:t xml:space="preserve">The Panel has outlined below its understanding of the scope of the amended </w:t>
      </w:r>
      <w:r w:rsidDel="0086095C">
        <w:t>Terms</w:t>
      </w:r>
      <w:r w:rsidR="0086095C">
        <w:t> </w:t>
      </w:r>
      <w:r>
        <w:t>of Reference, and the issues that fall within that scope</w:t>
      </w:r>
      <w:r w:rsidR="00701B36" w:rsidRPr="00511EF1">
        <w:t>.</w:t>
      </w:r>
    </w:p>
    <w:p w:rsidR="008B602F" w:rsidRDefault="008B602F">
      <w:pPr>
        <w:pStyle w:val="OutlineNumbered1"/>
      </w:pPr>
      <w:r w:rsidRPr="00511EF1">
        <w:t xml:space="preserve">However, the Panel </w:t>
      </w:r>
      <w:r w:rsidR="00701B36">
        <w:t xml:space="preserve">wishes to make clear that it </w:t>
      </w:r>
      <w:r w:rsidRPr="00511EF1">
        <w:t xml:space="preserve">has not made a final decision on any of the issues contained in this </w:t>
      </w:r>
      <w:r w:rsidR="002114D8">
        <w:t xml:space="preserve">Supplementary </w:t>
      </w:r>
      <w:r w:rsidR="008D09BC">
        <w:t>Issues</w:t>
      </w:r>
      <w:r w:rsidRPr="00511EF1">
        <w:t xml:space="preserve"> Paper and welcomes all stakeholder comments and feedback</w:t>
      </w:r>
      <w:r w:rsidR="00DA795A">
        <w:t>, including on whether the Panel</w:t>
      </w:r>
      <w:r w:rsidR="009F688A">
        <w:t>’</w:t>
      </w:r>
      <w:r w:rsidR="00DA795A">
        <w:t>s scoping of issues is appropriate</w:t>
      </w:r>
      <w:r w:rsidRPr="00511EF1">
        <w:t>.</w:t>
      </w:r>
    </w:p>
    <w:p w:rsidR="00AB11C6" w:rsidRPr="009F688A" w:rsidRDefault="00AB11C6" w:rsidP="00993864">
      <w:pPr>
        <w:pStyle w:val="Heading2NotNumbered"/>
      </w:pPr>
      <w:bookmarkStart w:id="87" w:name="_Toc482779537"/>
      <w:bookmarkStart w:id="88" w:name="_Toc482781312"/>
      <w:r w:rsidRPr="009F688A">
        <w:t>Review principles</w:t>
      </w:r>
      <w:bookmarkEnd w:id="87"/>
      <w:bookmarkEnd w:id="88"/>
    </w:p>
    <w:p w:rsidR="00224BA3" w:rsidRDefault="008B602F">
      <w:pPr>
        <w:pStyle w:val="OutlineNumbered1"/>
      </w:pPr>
      <w:r>
        <w:t>I</w:t>
      </w:r>
      <w:r w:rsidR="00805E1F" w:rsidRPr="008B602F">
        <w:t>n undertaking its review, as required by its Terms of Reference, the Panel will have regard to the Review</w:t>
      </w:r>
      <w:r w:rsidR="009F688A">
        <w:t>’</w:t>
      </w:r>
      <w:r w:rsidR="00805E1F" w:rsidRPr="008B602F">
        <w:t>s core principles of efficiency, equity, complexity, transparency, accountability, comparability of outcomes and regulatory costs.</w:t>
      </w: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C103C5" w:rsidTr="00253395">
        <w:tc>
          <w:tcPr>
            <w:tcW w:w="5000" w:type="pct"/>
            <w:shd w:val="clear" w:color="auto" w:fill="E6E6E6"/>
          </w:tcPr>
          <w:p w:rsidR="00C103C5" w:rsidRPr="00163387" w:rsidRDefault="00C103C5" w:rsidP="004558F2">
            <w:pPr>
              <w:pStyle w:val="BoxHeading"/>
              <w:rPr>
                <w:rFonts w:eastAsia="+mn-ea"/>
              </w:rPr>
            </w:pPr>
            <w:r w:rsidRPr="00C826DE">
              <w:rPr>
                <w:rFonts w:eastAsia="+mn-ea"/>
              </w:rPr>
              <w:t>PRINCIPLES GUIDING THE REVIEW</w:t>
            </w:r>
          </w:p>
          <w:p w:rsidR="00C103C5" w:rsidRPr="00661609" w:rsidRDefault="00C103C5" w:rsidP="004558F2">
            <w:pPr>
              <w:pStyle w:val="BoxHeading-Sub"/>
            </w:pPr>
            <w:r w:rsidRPr="00661609">
              <w:t>Efficiency</w:t>
            </w:r>
          </w:p>
          <w:p w:rsidR="00C103C5" w:rsidRPr="007806ED" w:rsidRDefault="00C103C5" w:rsidP="007806ED">
            <w:pPr>
              <w:pStyle w:val="BoxText"/>
              <w:rPr>
                <w:color w:val="000000" w:themeColor="text1"/>
              </w:rPr>
            </w:pPr>
            <w:r w:rsidRPr="007806ED">
              <w:rPr>
                <w:color w:val="000000" w:themeColor="text1"/>
              </w:rPr>
              <w:t>Any framework should provide outcomes in an efficient manner. This requires ensuring the framework possesses adequate coverage, powers, remedies, resources (that is, funding and skilled staff) to enable issues to be resolved quickly and with a minimum of resources.</w:t>
            </w:r>
          </w:p>
          <w:p w:rsidR="00C103C5" w:rsidRPr="00661609" w:rsidRDefault="00C103C5" w:rsidP="004558F2">
            <w:pPr>
              <w:pStyle w:val="BoxHeading-Sub"/>
            </w:pPr>
            <w:r w:rsidRPr="00163387">
              <w:t>Equity</w:t>
            </w:r>
          </w:p>
          <w:p w:rsidR="00C103C5" w:rsidRPr="007806ED" w:rsidRDefault="00C103C5" w:rsidP="007806ED">
            <w:pPr>
              <w:pStyle w:val="BoxText"/>
              <w:rPr>
                <w:color w:val="000000" w:themeColor="text1"/>
              </w:rPr>
            </w:pPr>
            <w:r w:rsidRPr="007806ED">
              <w:rPr>
                <w:color w:val="000000" w:themeColor="text1"/>
              </w:rPr>
              <w:t>Individuals should be treated fairly and be able to easily access any framework.</w:t>
            </w:r>
          </w:p>
          <w:p w:rsidR="00C103C5" w:rsidRPr="00661609" w:rsidRDefault="00C103C5" w:rsidP="004558F2">
            <w:pPr>
              <w:pStyle w:val="BoxHeading-Sub"/>
            </w:pPr>
            <w:r w:rsidRPr="00163387">
              <w:t>Complexity</w:t>
            </w:r>
          </w:p>
          <w:p w:rsidR="00C103C5" w:rsidRPr="007806ED" w:rsidRDefault="00C103C5" w:rsidP="007806ED">
            <w:pPr>
              <w:pStyle w:val="BoxText"/>
              <w:rPr>
                <w:color w:val="000000" w:themeColor="text1"/>
              </w:rPr>
            </w:pPr>
            <w:r w:rsidRPr="007806ED">
              <w:rPr>
                <w:color w:val="000000" w:themeColor="text1"/>
              </w:rPr>
              <w:t>Any framework should have minimal complexity. It must be easy to navigate and use, with a focus on informality.</w:t>
            </w:r>
          </w:p>
          <w:p w:rsidR="00C103C5" w:rsidRPr="00661609" w:rsidRDefault="00C103C5" w:rsidP="004558F2">
            <w:pPr>
              <w:pStyle w:val="BoxHeading-Sub"/>
            </w:pPr>
            <w:r w:rsidRPr="00163387">
              <w:t>Transparency</w:t>
            </w:r>
          </w:p>
          <w:p w:rsidR="00C103C5" w:rsidRPr="007806ED" w:rsidRDefault="00C103C5" w:rsidP="007806ED">
            <w:pPr>
              <w:pStyle w:val="BoxText"/>
              <w:rPr>
                <w:color w:val="000000" w:themeColor="text1"/>
              </w:rPr>
            </w:pPr>
            <w:r w:rsidRPr="007806ED">
              <w:rPr>
                <w:color w:val="000000" w:themeColor="text1"/>
              </w:rPr>
              <w:t>Any framework should be transparent and open. Users should have access to appropriately tailored information, including about what outcomes they can reasonably expect from the process.</w:t>
            </w:r>
          </w:p>
          <w:p w:rsidR="00C103C5" w:rsidRPr="007946E2" w:rsidRDefault="00C103C5" w:rsidP="004558F2">
            <w:pPr>
              <w:pStyle w:val="BoxHeading-Sub"/>
            </w:pPr>
            <w:r w:rsidRPr="00E337AD">
              <w:t>Ac</w:t>
            </w:r>
            <w:r w:rsidRPr="007946E2">
              <w:t>countability</w:t>
            </w:r>
          </w:p>
          <w:p w:rsidR="00C103C5" w:rsidRPr="007806ED" w:rsidRDefault="00C103C5" w:rsidP="007806ED">
            <w:pPr>
              <w:pStyle w:val="BoxText"/>
              <w:rPr>
                <w:color w:val="000000" w:themeColor="text1"/>
              </w:rPr>
            </w:pPr>
            <w:r w:rsidRPr="007806ED">
              <w:rPr>
                <w:color w:val="000000" w:themeColor="text1"/>
              </w:rPr>
              <w:t>Relevant information should be made publicly available. There should also be scope for periodic independent reviews and responses to these reviews.</w:t>
            </w:r>
          </w:p>
          <w:p w:rsidR="00C103C5" w:rsidRPr="00661609" w:rsidRDefault="00C103C5" w:rsidP="004558F2">
            <w:pPr>
              <w:pStyle w:val="BoxHeading-Sub"/>
            </w:pPr>
            <w:r w:rsidRPr="00163387">
              <w:t>Comparability of outcomes</w:t>
            </w:r>
          </w:p>
          <w:p w:rsidR="00C103C5" w:rsidRPr="007806ED" w:rsidRDefault="00C103C5" w:rsidP="007806ED">
            <w:pPr>
              <w:pStyle w:val="BoxText"/>
              <w:rPr>
                <w:color w:val="000000" w:themeColor="text1"/>
              </w:rPr>
            </w:pPr>
            <w:r w:rsidRPr="007806ED">
              <w:rPr>
                <w:color w:val="000000" w:themeColor="text1"/>
              </w:rPr>
              <w:t>Any framework should ensure that individuals receive comparable outcomes, both procedurally and substantively.</w:t>
            </w:r>
          </w:p>
          <w:p w:rsidR="00C103C5" w:rsidRDefault="00C103C5" w:rsidP="004558F2">
            <w:pPr>
              <w:pStyle w:val="BoxHeading-Sub"/>
            </w:pPr>
            <w:r w:rsidRPr="00163387">
              <w:t>Regulatory costs</w:t>
            </w:r>
          </w:p>
          <w:p w:rsidR="00C103C5" w:rsidRPr="008950C5" w:rsidRDefault="00C103C5" w:rsidP="007806ED">
            <w:pPr>
              <w:pStyle w:val="BoxText"/>
            </w:pPr>
            <w:r w:rsidRPr="007806ED">
              <w:rPr>
                <w:color w:val="000000" w:themeColor="text1"/>
              </w:rPr>
              <w:t>The regulatory settings should, as appropriate, utilise market forces and avoid creating moral hazards. The framework should impose the minimum amount of regulatory costs necessary to ensure effective user outcomes. These costs should, where appropriate, be borne by those who create the requirement for regulation, with incentives for costs to be minimised.</w:t>
            </w:r>
          </w:p>
        </w:tc>
      </w:tr>
    </w:tbl>
    <w:p w:rsidR="00F97F46" w:rsidRPr="004172B2" w:rsidRDefault="00F97F46" w:rsidP="003E06B4"/>
    <w:p w:rsidR="00C103C5" w:rsidRDefault="00C103C5">
      <w:pPr>
        <w:widowControl/>
        <w:adjustRightInd/>
        <w:spacing w:after="0" w:line="240" w:lineRule="auto"/>
        <w:jc w:val="left"/>
        <w:textAlignment w:val="auto"/>
      </w:pPr>
      <w:r>
        <w:br w:type="page"/>
      </w:r>
    </w:p>
    <w:p w:rsidR="002C2DAF" w:rsidRDefault="002C2DAF">
      <w:pPr>
        <w:pStyle w:val="OutlineNumbered1"/>
      </w:pPr>
      <w:r>
        <w:t xml:space="preserve">The diagram below </w:t>
      </w:r>
      <w:r w:rsidRPr="00657604">
        <w:t>depicts</w:t>
      </w:r>
      <w:r>
        <w:t xml:space="preserve"> how the Panel </w:t>
      </w:r>
      <w:r w:rsidR="008B16B0">
        <w:t>sees</w:t>
      </w:r>
      <w:r>
        <w:t xml:space="preserve"> the amended Terms of Reference </w:t>
      </w:r>
      <w:r w:rsidRPr="009F03BD">
        <w:t>in relation to a compensation scheme of la</w:t>
      </w:r>
      <w:r w:rsidR="00A8585A">
        <w:t>st resort and access to redress</w:t>
      </w:r>
      <w:r w:rsidRPr="0083380D">
        <w:t xml:space="preserve"> </w:t>
      </w:r>
      <w:r w:rsidRPr="00657604">
        <w:t>for past disputes</w:t>
      </w:r>
      <w:r>
        <w:t xml:space="preserve"> interrelating:</w:t>
      </w:r>
    </w:p>
    <w:p w:rsidR="00984A77" w:rsidRPr="00657604" w:rsidRDefault="00984A77" w:rsidP="00253395">
      <w:pPr>
        <w:pStyle w:val="ChartGraphic"/>
      </w:pPr>
      <w:r w:rsidRPr="00253395">
        <w:rPr>
          <w:noProof/>
        </w:rPr>
        <w:drawing>
          <wp:inline distT="0" distB="0" distL="0" distR="0" wp14:anchorId="4745A0FE" wp14:editId="38AA7494">
            <wp:extent cx="5792400" cy="28296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984A77" w:rsidRDefault="00984A77" w:rsidP="00253395">
      <w:pPr>
        <w:pStyle w:val="Zero"/>
      </w:pPr>
    </w:p>
    <w:p w:rsidR="008665FF" w:rsidRPr="006427C0" w:rsidRDefault="008665FF" w:rsidP="00C103C5">
      <w:pPr>
        <w:pStyle w:val="Heading3"/>
      </w:pPr>
      <w:r w:rsidRPr="006427C0">
        <w:t>Compensation scheme of last resort</w:t>
      </w:r>
    </w:p>
    <w:p w:rsidR="001248AA" w:rsidRPr="00661609" w:rsidRDefault="00E045A7">
      <w:pPr>
        <w:pStyle w:val="OutlineNumbered1"/>
      </w:pPr>
      <w:r w:rsidRPr="00661609">
        <w:t>T</w:t>
      </w:r>
      <w:r w:rsidR="00AF698A" w:rsidRPr="00661609">
        <w:t>he Panel</w:t>
      </w:r>
      <w:r w:rsidR="00C0420F" w:rsidRPr="00C92D8B">
        <w:t xml:space="preserve"> </w:t>
      </w:r>
      <w:r w:rsidR="00AF698A" w:rsidDel="00C0420F">
        <w:t>takes as its starting point the premise</w:t>
      </w:r>
      <w:r w:rsidR="008D09BC">
        <w:t xml:space="preserve"> </w:t>
      </w:r>
      <w:r w:rsidR="00AF698A" w:rsidRPr="00661609">
        <w:t>that a compensation scheme of last</w:t>
      </w:r>
      <w:r w:rsidR="00F950D0">
        <w:t> </w:t>
      </w:r>
      <w:r w:rsidR="00AF698A" w:rsidRPr="00661609">
        <w:t>re</w:t>
      </w:r>
      <w:r w:rsidR="00433B08" w:rsidRPr="00661609">
        <w:t>s</w:t>
      </w:r>
      <w:r w:rsidR="00AF698A" w:rsidRPr="00661609">
        <w:t>ort is to be considered in the context</w:t>
      </w:r>
      <w:r w:rsidR="001248AA" w:rsidRPr="00661609">
        <w:t xml:space="preserve"> of</w:t>
      </w:r>
      <w:r w:rsidRPr="00661609">
        <w:t xml:space="preserve"> a dispute which</w:t>
      </w:r>
      <w:r w:rsidR="001248AA" w:rsidRPr="00661609">
        <w:t>:</w:t>
      </w:r>
    </w:p>
    <w:p w:rsidR="001248AA" w:rsidRPr="00661609" w:rsidRDefault="001248AA">
      <w:pPr>
        <w:pStyle w:val="Bullet"/>
      </w:pPr>
      <w:r w:rsidRPr="00661609">
        <w:t xml:space="preserve">has been the </w:t>
      </w:r>
      <w:r w:rsidR="00AF698A" w:rsidRPr="00661609">
        <w:t xml:space="preserve">subject of a </w:t>
      </w:r>
      <w:r w:rsidR="00BE27B5">
        <w:t>decision</w:t>
      </w:r>
      <w:r w:rsidRPr="00661609">
        <w:t>; and</w:t>
      </w:r>
    </w:p>
    <w:p w:rsidR="001D5952" w:rsidRDefault="00BC2142">
      <w:pPr>
        <w:pStyle w:val="Bullet"/>
      </w:pPr>
      <w:r w:rsidRPr="00661609">
        <w:t>has remained</w:t>
      </w:r>
      <w:r w:rsidR="00AF698A" w:rsidRPr="00661609">
        <w:t xml:space="preserve"> unsatisfied </w:t>
      </w:r>
      <w:r w:rsidR="00DC071C" w:rsidRPr="00661609">
        <w:t>because, for example, the firm is insolvent, has ceased trading or otherwise has insufficient assets to pay the claim.</w:t>
      </w:r>
    </w:p>
    <w:p w:rsidR="00620891" w:rsidRPr="00661609" w:rsidRDefault="00840DFA">
      <w:pPr>
        <w:pStyle w:val="OutlineNumbered1"/>
      </w:pPr>
      <w:r>
        <w:t>Although the Review</w:t>
      </w:r>
      <w:r w:rsidR="009F688A">
        <w:t>’</w:t>
      </w:r>
      <w:r>
        <w:t xml:space="preserve">s Terms of Reference are focused on the EDR </w:t>
      </w:r>
      <w:r w:rsidR="00D51A70">
        <w:t>system</w:t>
      </w:r>
      <w:r>
        <w:t>, a</w:t>
      </w:r>
      <w:r w:rsidR="00620891">
        <w:t xml:space="preserve">s part of its analysis, the Panel will be considering whether a compensation scheme of </w:t>
      </w:r>
      <w:r w:rsidR="00620891" w:rsidDel="0086095C">
        <w:t>last</w:t>
      </w:r>
      <w:r w:rsidR="0086095C">
        <w:t> </w:t>
      </w:r>
      <w:r w:rsidR="00620891">
        <w:t>resort should be available in situations where a court or tribunal has ordered that a consumer or small business be compensated and this has not occurred.</w:t>
      </w:r>
    </w:p>
    <w:p w:rsidR="00DE3330" w:rsidRDefault="00EE6ED3">
      <w:pPr>
        <w:pStyle w:val="OutlineNumbered1"/>
      </w:pPr>
      <w:r>
        <w:t>T</w:t>
      </w:r>
      <w:r w:rsidR="00AF698A" w:rsidRPr="00661609">
        <w:t xml:space="preserve">he Panel views </w:t>
      </w:r>
      <w:r w:rsidR="00947C62">
        <w:t>the</w:t>
      </w:r>
      <w:r w:rsidR="00AF698A" w:rsidRPr="00661609">
        <w:t xml:space="preserve"> is</w:t>
      </w:r>
      <w:r w:rsidR="001D5952" w:rsidRPr="00661609">
        <w:t>sue</w:t>
      </w:r>
      <w:r w:rsidR="00AF698A" w:rsidRPr="00661609">
        <w:t xml:space="preserve"> </w:t>
      </w:r>
      <w:r w:rsidR="00947C62">
        <w:t xml:space="preserve">of a compensation scheme of last resort </w:t>
      </w:r>
      <w:r w:rsidR="00AF698A" w:rsidRPr="00661609">
        <w:t>in a prospective way</w:t>
      </w:r>
      <w:r w:rsidR="001D5952" w:rsidRPr="00661609">
        <w:t xml:space="preserve"> which means that</w:t>
      </w:r>
      <w:r w:rsidR="00AF698A" w:rsidRPr="00661609">
        <w:t xml:space="preserve"> should </w:t>
      </w:r>
      <w:r w:rsidR="007D6F63" w:rsidRPr="00661609">
        <w:t xml:space="preserve">a </w:t>
      </w:r>
      <w:r w:rsidR="001248AA" w:rsidRPr="00661609">
        <w:t xml:space="preserve">scheme </w:t>
      </w:r>
      <w:r w:rsidR="00AF698A" w:rsidRPr="00661609">
        <w:t>be established</w:t>
      </w:r>
      <w:r w:rsidR="001D5952" w:rsidRPr="00661609">
        <w:t>,</w:t>
      </w:r>
      <w:r w:rsidR="00AF698A" w:rsidRPr="00661609">
        <w:t xml:space="preserve"> </w:t>
      </w:r>
      <w:r w:rsidR="00947C62">
        <w:t>it</w:t>
      </w:r>
      <w:r w:rsidR="001248AA" w:rsidRPr="00661609">
        <w:t xml:space="preserve"> would be open to claimants who </w:t>
      </w:r>
      <w:r w:rsidR="007E010C">
        <w:t xml:space="preserve">in the future </w:t>
      </w:r>
      <w:r w:rsidR="001248AA" w:rsidRPr="00661609">
        <w:t>receive</w:t>
      </w:r>
      <w:r w:rsidR="00AF698A" w:rsidRPr="00661609">
        <w:t xml:space="preserve"> </w:t>
      </w:r>
      <w:r w:rsidR="00B77AAD">
        <w:t>a</w:t>
      </w:r>
      <w:r w:rsidR="00854265">
        <w:t xml:space="preserve"> decision</w:t>
      </w:r>
      <w:r w:rsidR="00B77AAD">
        <w:t xml:space="preserve"> in their favour</w:t>
      </w:r>
      <w:r w:rsidR="00854265">
        <w:t>, but</w:t>
      </w:r>
      <w:r w:rsidR="00B77AAD">
        <w:t xml:space="preserve"> </w:t>
      </w:r>
      <w:r w:rsidR="00AC6DD3">
        <w:t>which</w:t>
      </w:r>
      <w:r w:rsidR="00C0420F" w:rsidRPr="00661609">
        <w:t xml:space="preserve"> is not ultimately paid.</w:t>
      </w:r>
    </w:p>
    <w:p w:rsidR="00DE3330" w:rsidRPr="00511EF1" w:rsidRDefault="007E010C">
      <w:pPr>
        <w:pStyle w:val="OutlineNumbered1"/>
      </w:pPr>
      <w:r>
        <w:t>The</w:t>
      </w:r>
      <w:r w:rsidRPr="00AF2458">
        <w:t xml:space="preserve"> Panel</w:t>
      </w:r>
      <w:r w:rsidR="00DE3330" w:rsidRPr="00AF2458">
        <w:t xml:space="preserve"> considers that </w:t>
      </w:r>
      <w:r w:rsidR="00DE3330">
        <w:t>separate</w:t>
      </w:r>
      <w:r w:rsidR="00DE3330" w:rsidRPr="00AF2458">
        <w:t xml:space="preserve"> arrangements </w:t>
      </w:r>
      <w:r w:rsidR="00DE3330">
        <w:t xml:space="preserve">may need to </w:t>
      </w:r>
      <w:r w:rsidR="00DE3330" w:rsidRPr="00AF2458">
        <w:t xml:space="preserve">be put in place to </w:t>
      </w:r>
      <w:r w:rsidR="00BF33BA">
        <w:t>address</w:t>
      </w:r>
      <w:r w:rsidR="00CA550D">
        <w:t xml:space="preserve"> </w:t>
      </w:r>
      <w:r>
        <w:t>legacy</w:t>
      </w:r>
      <w:r w:rsidR="00DE3330" w:rsidRPr="00AF2458">
        <w:t xml:space="preserve"> </w:t>
      </w:r>
      <w:r w:rsidR="00CC3EF6">
        <w:t xml:space="preserve">uncompensated losses, such as </w:t>
      </w:r>
      <w:r w:rsidR="00205784">
        <w:t xml:space="preserve">existing </w:t>
      </w:r>
      <w:r w:rsidR="00DE3330" w:rsidRPr="00AF2458">
        <w:t>unpaid EDR determinations</w:t>
      </w:r>
      <w:r w:rsidR="00DE3330">
        <w:t>.</w:t>
      </w:r>
    </w:p>
    <w:p w:rsidR="00905A28" w:rsidRDefault="00905A28">
      <w:pPr>
        <w:pStyle w:val="OutlineNumbered1"/>
      </w:pPr>
      <w:r>
        <w:t xml:space="preserve">These matters are discussed in more detail in the </w:t>
      </w:r>
      <w:r w:rsidR="009F688A">
        <w:t>‘</w:t>
      </w:r>
      <w:r w:rsidR="00102D00">
        <w:t>C</w:t>
      </w:r>
      <w:r>
        <w:t>ompensation scheme of last resort</w:t>
      </w:r>
      <w:r w:rsidR="009F688A">
        <w:t>’</w:t>
      </w:r>
      <w:r>
        <w:t xml:space="preserve"> section</w:t>
      </w:r>
      <w:r w:rsidR="0054536F">
        <w:t xml:space="preserve"> of this </w:t>
      </w:r>
      <w:r w:rsidR="00990877">
        <w:t xml:space="preserve">Issues </w:t>
      </w:r>
      <w:r w:rsidR="0054536F">
        <w:t>P</w:t>
      </w:r>
      <w:r w:rsidR="007376A0">
        <w:t>aper</w:t>
      </w:r>
      <w:r>
        <w:t>.</w:t>
      </w:r>
    </w:p>
    <w:p w:rsidR="003A37D3" w:rsidRDefault="003A37D3" w:rsidP="00C103C5">
      <w:pPr>
        <w:pStyle w:val="Heading3"/>
      </w:pPr>
      <w:r>
        <w:t>Redress for past disputes</w:t>
      </w:r>
    </w:p>
    <w:p w:rsidR="009158D7" w:rsidRDefault="00471E25">
      <w:pPr>
        <w:pStyle w:val="OutlineNumbered1"/>
      </w:pPr>
      <w:r>
        <w:t>The question of providing access to redress for past disputes</w:t>
      </w:r>
      <w:r w:rsidR="001D5952" w:rsidRPr="000C3F73">
        <w:t xml:space="preserve"> is </w:t>
      </w:r>
      <w:r w:rsidR="00642FD4" w:rsidRPr="000C3F73">
        <w:t>very</w:t>
      </w:r>
      <w:r w:rsidR="001D5952" w:rsidRPr="000C3F73">
        <w:t xml:space="preserve"> complex</w:t>
      </w:r>
      <w:r>
        <w:t>.</w:t>
      </w:r>
    </w:p>
    <w:p w:rsidR="00A638C1" w:rsidRPr="00383E26" w:rsidRDefault="00A638C1">
      <w:pPr>
        <w:pStyle w:val="OutlineNumbered1"/>
      </w:pPr>
      <w:bookmarkStart w:id="89" w:name="_Toc479074202"/>
      <w:bookmarkStart w:id="90" w:name="_Toc479079305"/>
      <w:bookmarkStart w:id="91" w:name="_Toc479600660"/>
      <w:bookmarkStart w:id="92" w:name="_Toc479692330"/>
      <w:bookmarkStart w:id="93" w:name="_Toc479761649"/>
      <w:bookmarkEnd w:id="63"/>
      <w:bookmarkEnd w:id="79"/>
      <w:bookmarkEnd w:id="80"/>
      <w:bookmarkEnd w:id="81"/>
      <w:bookmarkEnd w:id="82"/>
      <w:bookmarkEnd w:id="83"/>
      <w:bookmarkEnd w:id="84"/>
      <w:bookmarkEnd w:id="85"/>
      <w:bookmarkEnd w:id="86"/>
      <w:r w:rsidRPr="007911B6">
        <w:t>The</w:t>
      </w:r>
      <w:r w:rsidRPr="00661609">
        <w:t xml:space="preserve"> Panel considers that consumers and small businesses that have obtained a </w:t>
      </w:r>
      <w:r w:rsidR="006949DD">
        <w:t>decision</w:t>
      </w:r>
      <w:r w:rsidR="00A773E3">
        <w:t xml:space="preserve"> </w:t>
      </w:r>
      <w:r w:rsidRPr="00661609">
        <w:t xml:space="preserve">from </w:t>
      </w:r>
      <w:r w:rsidR="00B93673" w:rsidRPr="008349D1">
        <w:t xml:space="preserve">any </w:t>
      </w:r>
      <w:r w:rsidRPr="00661609">
        <w:t>dispute reso</w:t>
      </w:r>
      <w:r w:rsidR="00B93673" w:rsidRPr="008349D1">
        <w:t xml:space="preserve">lution process </w:t>
      </w:r>
      <w:r w:rsidR="008349D1" w:rsidRPr="00661609">
        <w:t>(</w:t>
      </w:r>
      <w:r w:rsidR="00B93673" w:rsidRPr="008349D1">
        <w:t>including from</w:t>
      </w:r>
      <w:r w:rsidRPr="00661609">
        <w:t xml:space="preserve"> </w:t>
      </w:r>
      <w:r w:rsidR="008C507C">
        <w:t xml:space="preserve">a </w:t>
      </w:r>
      <w:r w:rsidRPr="00661609">
        <w:t>tribunal</w:t>
      </w:r>
      <w:r w:rsidR="00C56781">
        <w:t xml:space="preserve"> or</w:t>
      </w:r>
      <w:r w:rsidRPr="00661609">
        <w:t xml:space="preserve"> </w:t>
      </w:r>
      <w:r w:rsidR="008C507C">
        <w:t>a</w:t>
      </w:r>
      <w:r w:rsidRPr="00661609">
        <w:t xml:space="preserve"> court</w:t>
      </w:r>
      <w:r w:rsidR="008349D1" w:rsidRPr="00661609">
        <w:t>)</w:t>
      </w:r>
      <w:r w:rsidRPr="00661609">
        <w:t xml:space="preserve"> have had access to </w:t>
      </w:r>
      <w:r w:rsidR="008349D1" w:rsidRPr="00661609">
        <w:t>redress</w:t>
      </w:r>
      <w:r w:rsidRPr="00661609">
        <w:t xml:space="preserve"> and therefore are </w:t>
      </w:r>
      <w:r w:rsidRPr="00661609" w:rsidDel="00734CB4">
        <w:t>outside the Review</w:t>
      </w:r>
      <w:r w:rsidR="009F688A">
        <w:t>’</w:t>
      </w:r>
      <w:r w:rsidRPr="00661609" w:rsidDel="00734CB4">
        <w:t xml:space="preserve">s </w:t>
      </w:r>
      <w:r w:rsidR="00F041B1" w:rsidRPr="00661609" w:rsidDel="00734CB4">
        <w:t>amended</w:t>
      </w:r>
      <w:r w:rsidRPr="00661609" w:rsidDel="00734CB4">
        <w:t xml:space="preserve"> Terms of Reference</w:t>
      </w:r>
      <w:r w:rsidRPr="00CB1291">
        <w:t>.</w:t>
      </w:r>
      <w:r w:rsidR="008C507C" w:rsidRPr="00CB1291">
        <w:t xml:space="preserve"> </w:t>
      </w:r>
      <w:r w:rsidR="008C507C" w:rsidRPr="00383E26">
        <w:t xml:space="preserve">(If as part of that decision the consumer or small business was awarded compensation but this has not been paid, this will </w:t>
      </w:r>
      <w:r w:rsidR="00383E26" w:rsidRPr="00383E26">
        <w:t>form</w:t>
      </w:r>
      <w:r w:rsidR="008C507C" w:rsidRPr="00383E26">
        <w:t xml:space="preserve"> part of the Panel’s consideration of a potential compensation scheme of last resort.</w:t>
      </w:r>
      <w:r w:rsidR="00BC1A48" w:rsidRPr="00383E26">
        <w:t>)</w:t>
      </w:r>
    </w:p>
    <w:p w:rsidR="00A638C1" w:rsidRDefault="00C66728">
      <w:pPr>
        <w:pStyle w:val="OutlineNumbered1"/>
      </w:pPr>
      <w:r>
        <w:t xml:space="preserve">In this </w:t>
      </w:r>
      <w:r w:rsidR="0063669C">
        <w:t>Issues</w:t>
      </w:r>
      <w:r>
        <w:t xml:space="preserve"> Paper, t</w:t>
      </w:r>
      <w:r w:rsidR="00A638C1" w:rsidRPr="00CD6C1D">
        <w:t xml:space="preserve">he Panel </w:t>
      </w:r>
      <w:r>
        <w:t>has primarily focussed</w:t>
      </w:r>
      <w:r w:rsidR="00A638C1" w:rsidRPr="00CD6C1D">
        <w:t xml:space="preserve"> its </w:t>
      </w:r>
      <w:r>
        <w:t>consideration of</w:t>
      </w:r>
      <w:r w:rsidR="00A638C1" w:rsidRPr="00CD6C1D">
        <w:t xml:space="preserve"> </w:t>
      </w:r>
      <w:r w:rsidR="00663F92" w:rsidRPr="00663F92">
        <w:t>this issue</w:t>
      </w:r>
      <w:r w:rsidR="00A638C1" w:rsidRPr="00CD6C1D">
        <w:t xml:space="preserve"> </w:t>
      </w:r>
      <w:r>
        <w:t>on</w:t>
      </w:r>
      <w:r w:rsidRPr="00CD6C1D">
        <w:t xml:space="preserve"> </w:t>
      </w:r>
      <w:r w:rsidR="00A638C1" w:rsidRPr="00CD6C1D">
        <w:t xml:space="preserve">situations where consumers or small businesses with disputes </w:t>
      </w:r>
      <w:r w:rsidR="00EF3BE5">
        <w:t xml:space="preserve">of a type that </w:t>
      </w:r>
      <w:r w:rsidR="00A638C1" w:rsidRPr="00CD6C1D">
        <w:t xml:space="preserve">could be resolved through EDR </w:t>
      </w:r>
      <w:r>
        <w:t>have,</w:t>
      </w:r>
      <w:r w:rsidRPr="00663F92">
        <w:t xml:space="preserve"> </w:t>
      </w:r>
      <w:r w:rsidR="00663F92" w:rsidRPr="00663F92">
        <w:t>for various reasons</w:t>
      </w:r>
      <w:r>
        <w:t>,</w:t>
      </w:r>
      <w:r w:rsidR="00A638C1" w:rsidRPr="00CD6C1D">
        <w:t xml:space="preserve"> </w:t>
      </w:r>
      <w:r w:rsidR="00EF3BE5">
        <w:t>not</w:t>
      </w:r>
      <w:r w:rsidR="00A638C1" w:rsidRPr="00CD6C1D">
        <w:t xml:space="preserve"> </w:t>
      </w:r>
      <w:r w:rsidR="00663F92" w:rsidRPr="00663F92">
        <w:t xml:space="preserve">been </w:t>
      </w:r>
      <w:r>
        <w:t xml:space="preserve">able to resolve their disputes </w:t>
      </w:r>
      <w:r w:rsidR="00663F92" w:rsidRPr="007911B6">
        <w:t>to date</w:t>
      </w:r>
      <w:r w:rsidR="00A638C1" w:rsidRPr="00CD6C1D">
        <w:t>.</w:t>
      </w:r>
      <w:r>
        <w:t xml:space="preserve"> However the Panel is interested in views about the proposed scope.</w:t>
      </w:r>
    </w:p>
    <w:p w:rsidR="0030530D" w:rsidRPr="000C3BAE" w:rsidRDefault="0030530D">
      <w:pPr>
        <w:pStyle w:val="OutlineNumbered1"/>
      </w:pPr>
      <w:r w:rsidRPr="000C3BAE">
        <w:t xml:space="preserve">The Panel </w:t>
      </w:r>
      <w:r w:rsidR="008C1B8B" w:rsidRPr="000C3BAE">
        <w:t xml:space="preserve">considers </w:t>
      </w:r>
      <w:r w:rsidR="009A0E57" w:rsidRPr="000C3BAE">
        <w:t xml:space="preserve">that </w:t>
      </w:r>
      <w:r w:rsidR="00AD1489">
        <w:t>potential</w:t>
      </w:r>
      <w:r w:rsidR="001C4A96">
        <w:t xml:space="preserve"> </w:t>
      </w:r>
      <w:r w:rsidR="008C1B8B" w:rsidRPr="000C3BAE">
        <w:t xml:space="preserve">scenarios </w:t>
      </w:r>
      <w:r w:rsidR="009158D7">
        <w:t xml:space="preserve">could </w:t>
      </w:r>
      <w:r w:rsidR="001C4A96">
        <w:t xml:space="preserve">include </w:t>
      </w:r>
      <w:r w:rsidR="008C1B8B" w:rsidRPr="000C3BAE">
        <w:t>where:</w:t>
      </w:r>
    </w:p>
    <w:p w:rsidR="008C1B8B" w:rsidRPr="008C1B8B" w:rsidRDefault="008C1B8B">
      <w:pPr>
        <w:pStyle w:val="Bullet"/>
      </w:pPr>
      <w:r w:rsidRPr="008C1B8B">
        <w:t>the financial firm no longer exists</w:t>
      </w:r>
      <w:r w:rsidRPr="008C1B8B" w:rsidDel="004172B2">
        <w:t xml:space="preserve"> </w:t>
      </w:r>
      <w:r w:rsidRPr="008C1B8B">
        <w:t>(for example, because of insolvency) and therefore the dispute was either never lodge</w:t>
      </w:r>
      <w:r>
        <w:t xml:space="preserve">d </w:t>
      </w:r>
      <w:r w:rsidR="001C4A96">
        <w:t xml:space="preserve">with an EDR scheme </w:t>
      </w:r>
      <w:r>
        <w:t>or was lodged but unable to proceed to determination</w:t>
      </w:r>
      <w:r w:rsidR="00A20FA0">
        <w:t>;</w:t>
      </w:r>
    </w:p>
    <w:p w:rsidR="008C1B8B" w:rsidRPr="008C1B8B" w:rsidRDefault="008C1B8B">
      <w:pPr>
        <w:pStyle w:val="Bullet"/>
      </w:pPr>
      <w:r>
        <w:t>t</w:t>
      </w:r>
      <w:r w:rsidRPr="008C1B8B">
        <w:t xml:space="preserve">he monetary value of the dispute exceeded the EDR </w:t>
      </w:r>
      <w:r w:rsidR="00D5425D">
        <w:t>s</w:t>
      </w:r>
      <w:r w:rsidRPr="008C1B8B">
        <w:t>cheme</w:t>
      </w:r>
      <w:r w:rsidR="009F688A">
        <w:t>’</w:t>
      </w:r>
      <w:r w:rsidRPr="008C1B8B">
        <w:t>s monetary limits</w:t>
      </w:r>
      <w:r w:rsidR="00D5145A">
        <w:t xml:space="preserve"> at the time</w:t>
      </w:r>
      <w:r w:rsidR="00EF3BE5">
        <w:t xml:space="preserve">, but </w:t>
      </w:r>
      <w:r w:rsidR="0054780B">
        <w:t>c</w:t>
      </w:r>
      <w:r w:rsidR="00EF3BE5">
        <w:t xml:space="preserve">ould </w:t>
      </w:r>
      <w:r w:rsidR="0054780B">
        <w:t>potentially</w:t>
      </w:r>
      <w:r w:rsidR="00EF3BE5">
        <w:t xml:space="preserve"> fall within the monetary limits of the </w:t>
      </w:r>
      <w:r w:rsidR="00EF3BE5" w:rsidDel="0086095C">
        <w:t>new</w:t>
      </w:r>
      <w:r w:rsidR="0086095C">
        <w:t> </w:t>
      </w:r>
      <w:r w:rsidR="00D5425D">
        <w:t>Australian Financial Complaints Authority (once established)</w:t>
      </w:r>
      <w:r w:rsidR="0054780B">
        <w:t>;</w:t>
      </w:r>
      <w:r w:rsidR="0054780B">
        <w:rPr>
          <w:rStyle w:val="FootnoteReference"/>
        </w:rPr>
        <w:footnoteReference w:id="9"/>
      </w:r>
    </w:p>
    <w:p w:rsidR="0030530D" w:rsidRDefault="000C3BAE">
      <w:pPr>
        <w:pStyle w:val="Bullet"/>
      </w:pPr>
      <w:r>
        <w:t>t</w:t>
      </w:r>
      <w:r w:rsidR="008C1B8B">
        <w:t xml:space="preserve">he dispute was outside </w:t>
      </w:r>
      <w:r>
        <w:t>of the EDR scheme</w:t>
      </w:r>
      <w:r w:rsidR="009F688A">
        <w:t>’</w:t>
      </w:r>
      <w:r>
        <w:t>s time limits; or</w:t>
      </w:r>
    </w:p>
    <w:p w:rsidR="00B52BFD" w:rsidRDefault="00B52BFD">
      <w:pPr>
        <w:pStyle w:val="Bullet"/>
      </w:pPr>
      <w:r>
        <w:t>the consumer or small business did not pursue their dispute with the EDR scheme for other unspecified reasons (for example</w:t>
      </w:r>
      <w:r w:rsidR="0086095C">
        <w:t>,</w:t>
      </w:r>
      <w:r>
        <w:t xml:space="preserve"> because of personal circumstances</w:t>
      </w:r>
      <w:r w:rsidR="00A20FA0">
        <w:t xml:space="preserve">, the </w:t>
      </w:r>
      <w:r>
        <w:t>cost</w:t>
      </w:r>
      <w:r w:rsidR="00A20FA0">
        <w:t>s of pursuing the dispute</w:t>
      </w:r>
      <w:r>
        <w:t xml:space="preserve"> or emotional distress).</w:t>
      </w:r>
    </w:p>
    <w:p w:rsidR="0030530D" w:rsidRDefault="0030530D">
      <w:pPr>
        <w:pStyle w:val="OutlineNumbered1"/>
      </w:pPr>
      <w:r w:rsidRPr="000237A1">
        <w:t xml:space="preserve">These matters are discussed in more detail in the </w:t>
      </w:r>
      <w:r w:rsidR="009F688A">
        <w:t>‘</w:t>
      </w:r>
      <w:r w:rsidRPr="000237A1">
        <w:t>Providing access</w:t>
      </w:r>
      <w:r w:rsidRPr="0024713F">
        <w:t xml:space="preserve"> to redress for past disputes</w:t>
      </w:r>
      <w:r w:rsidR="009F688A">
        <w:t>’</w:t>
      </w:r>
      <w:r w:rsidRPr="0024713F">
        <w:t xml:space="preserve"> section of this </w:t>
      </w:r>
      <w:r w:rsidR="000135C3">
        <w:t xml:space="preserve">Issues </w:t>
      </w:r>
      <w:r w:rsidRPr="0024713F">
        <w:t>Paper.</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E80FE1" w:rsidTr="003E06B4">
        <w:tc>
          <w:tcPr>
            <w:tcW w:w="9072" w:type="dxa"/>
          </w:tcPr>
          <w:p w:rsidR="00E80FE1" w:rsidRPr="00052286" w:rsidRDefault="00E80FE1" w:rsidP="005F72F7">
            <w:pPr>
              <w:pStyle w:val="BoxHeading"/>
            </w:pPr>
            <w:r>
              <w:t>Q</w:t>
            </w:r>
            <w:r w:rsidRPr="00696035">
              <w:t>uestion</w:t>
            </w:r>
            <w:r w:rsidR="00D56D9A">
              <w:t>s</w:t>
            </w:r>
            <w:r>
              <w:t xml:space="preserve"> </w:t>
            </w:r>
            <w:r w:rsidR="005870C8">
              <w:t>— Scope and principles</w:t>
            </w:r>
          </w:p>
          <w:p w:rsidR="00E80FE1" w:rsidRPr="00ED702E" w:rsidRDefault="00E80FE1" w:rsidP="00F159DD">
            <w:pPr>
              <w:pStyle w:val="BoxNumberedQuestions"/>
            </w:pPr>
            <w:r w:rsidRPr="00E80FE1">
              <w:t xml:space="preserve">Is the </w:t>
            </w:r>
            <w:r w:rsidR="005C046A">
              <w:t>P</w:t>
            </w:r>
            <w:r w:rsidRPr="00E80FE1">
              <w:t>anel</w:t>
            </w:r>
            <w:r w:rsidR="009F688A">
              <w:t>’</w:t>
            </w:r>
            <w:r w:rsidRPr="00E80FE1">
              <w:t xml:space="preserve">s </w:t>
            </w:r>
            <w:r w:rsidR="007E010C">
              <w:t>approach to</w:t>
            </w:r>
            <w:r w:rsidRPr="00E80FE1">
              <w:t xml:space="preserve"> the scope of these issues appropriate? Are there any additional issues that should be considered?</w:t>
            </w:r>
          </w:p>
          <w:p w:rsidR="00E80FE1" w:rsidRDefault="007E5D36" w:rsidP="00253395">
            <w:pPr>
              <w:pStyle w:val="BoxNumberedQuestions"/>
              <w:spacing w:line="240" w:lineRule="exact"/>
            </w:pPr>
            <w:r w:rsidRPr="0010211A">
              <w:t>Do you agree with the way in which the Panel has defined the principles outlined in the Review</w:t>
            </w:r>
            <w:r w:rsidR="009F688A">
              <w:t>’</w:t>
            </w:r>
            <w:r w:rsidRPr="0010211A">
              <w:t>s Terms of Reference? Are there other principles that should be considered?</w:t>
            </w:r>
          </w:p>
        </w:tc>
      </w:tr>
    </w:tbl>
    <w:p w:rsidR="0030530D" w:rsidRDefault="0030530D">
      <w:pPr>
        <w:spacing w:after="0" w:line="240" w:lineRule="auto"/>
        <w:jc w:val="left"/>
      </w:pPr>
      <w:r>
        <w:br w:type="page"/>
      </w:r>
    </w:p>
    <w:p w:rsidR="00C66219" w:rsidRPr="00C946B7" w:rsidRDefault="00636198" w:rsidP="00C946B7">
      <w:pPr>
        <w:pStyle w:val="Heading1"/>
      </w:pPr>
      <w:bookmarkStart w:id="94" w:name="_Toc481418012"/>
      <w:bookmarkStart w:id="95" w:name="_Toc481420153"/>
      <w:bookmarkStart w:id="96" w:name="_Toc482188899"/>
      <w:bookmarkStart w:id="97" w:name="_Toc482197206"/>
      <w:bookmarkStart w:id="98" w:name="_Toc482198296"/>
      <w:bookmarkStart w:id="99" w:name="_Toc482779538"/>
      <w:bookmarkStart w:id="100" w:name="_Toc482781313"/>
      <w:bookmarkStart w:id="101" w:name="_Toc482873867"/>
      <w:bookmarkStart w:id="102" w:name="_Toc483229136"/>
      <w:bookmarkStart w:id="103" w:name="_Toc483230251"/>
      <w:bookmarkStart w:id="104" w:name="_Toc483398630"/>
      <w:bookmarkStart w:id="105" w:name="_Toc483485317"/>
      <w:bookmarkStart w:id="106" w:name="_Toc483988905"/>
      <w:r>
        <w:t>C</w:t>
      </w:r>
      <w:r w:rsidR="007B6996" w:rsidRPr="007B6996">
        <w:t>ompensation scheme of last resort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C66219" w:rsidRPr="005850A8" w:rsidRDefault="002F694B">
      <w:pPr>
        <w:pStyle w:val="OutlineNumbered1"/>
      </w:pPr>
      <w:r>
        <w:t xml:space="preserve">The amended Terms of Reference require the </w:t>
      </w:r>
      <w:r w:rsidR="00C52A83">
        <w:t>P</w:t>
      </w:r>
      <w:r>
        <w:t xml:space="preserve">anel to make recommendations on the </w:t>
      </w:r>
      <w:r w:rsidR="00371BF9" w:rsidRPr="005850A8">
        <w:t xml:space="preserve">establishment, </w:t>
      </w:r>
      <w:r w:rsidRPr="005850A8">
        <w:t xml:space="preserve">merits </w:t>
      </w:r>
      <w:r w:rsidR="00371BF9" w:rsidRPr="005850A8">
        <w:t xml:space="preserve">and potential design of a </w:t>
      </w:r>
      <w:r w:rsidRPr="005850A8">
        <w:t>compensation scheme of last resort</w:t>
      </w:r>
      <w:r w:rsidR="00371BF9" w:rsidRPr="005850A8">
        <w:t>.</w:t>
      </w:r>
    </w:p>
    <w:p w:rsidR="001B5CC3" w:rsidRDefault="00590F69">
      <w:pPr>
        <w:pStyle w:val="OutlineNumbered1"/>
      </w:pPr>
      <w:r>
        <w:t xml:space="preserve">In its Interim Report, the Panel </w:t>
      </w:r>
      <w:r w:rsidR="00471E25">
        <w:t>expressed</w:t>
      </w:r>
      <w:r>
        <w:t xml:space="preserve"> the view that i</w:t>
      </w:r>
      <w:r w:rsidR="00014978">
        <w:t>n c</w:t>
      </w:r>
      <w:r w:rsidR="002A21D5">
        <w:t xml:space="preserve">ircumstances where the market </w:t>
      </w:r>
      <w:r w:rsidR="00471E25">
        <w:t xml:space="preserve">is </w:t>
      </w:r>
      <w:r w:rsidR="00014978">
        <w:t>unab</w:t>
      </w:r>
      <w:r w:rsidR="00764793">
        <w:t>le to provide a solution to the</w:t>
      </w:r>
      <w:r w:rsidR="00014978">
        <w:t xml:space="preserve"> problem</w:t>
      </w:r>
      <w:r w:rsidR="00764793">
        <w:t xml:space="preserve"> of uncompensated consumer losses</w:t>
      </w:r>
      <w:r w:rsidR="00014978">
        <w:t xml:space="preserve">, there </w:t>
      </w:r>
      <w:r w:rsidR="00471E25">
        <w:t xml:space="preserve">is </w:t>
      </w:r>
      <w:r w:rsidR="00014978">
        <w:t>considerable merit in introducing an industry</w:t>
      </w:r>
      <w:r w:rsidR="009F688A">
        <w:noBreakHyphen/>
      </w:r>
      <w:r w:rsidR="00014978">
        <w:t>funded compensation scheme of last resort.</w:t>
      </w:r>
      <w:r w:rsidR="00014978">
        <w:rPr>
          <w:rStyle w:val="FootnoteReference"/>
        </w:rPr>
        <w:footnoteReference w:id="10"/>
      </w:r>
      <w:r w:rsidR="00ED4256">
        <w:t xml:space="preserve"> </w:t>
      </w:r>
      <w:r w:rsidR="00014978">
        <w:t>In light of the amend</w:t>
      </w:r>
      <w:r w:rsidR="004F3B64">
        <w:t>ment</w:t>
      </w:r>
      <w:r w:rsidR="00014978">
        <w:t xml:space="preserve"> to </w:t>
      </w:r>
      <w:r>
        <w:t>the</w:t>
      </w:r>
      <w:r w:rsidR="00014978">
        <w:t xml:space="preserve"> Terms of Reference, the Panel is seeking additional information f</w:t>
      </w:r>
      <w:r w:rsidR="00465FAA">
        <w:t>rom stakeholders on these</w:t>
      </w:r>
      <w:r w:rsidR="001B5CC3">
        <w:t xml:space="preserve"> issue</w:t>
      </w:r>
      <w:r w:rsidR="00465FAA">
        <w:t>s</w:t>
      </w:r>
      <w:r w:rsidR="001B5CC3">
        <w:t>.</w:t>
      </w:r>
    </w:p>
    <w:p w:rsidR="003B6DA9" w:rsidRDefault="00BF33BA">
      <w:pPr>
        <w:pStyle w:val="OutlineNumbered1"/>
      </w:pPr>
      <w:r>
        <w:t>In this section of the Issues Paper, the Panel first considers the</w:t>
      </w:r>
      <w:r w:rsidR="00CA435B">
        <w:t xml:space="preserve"> problem which a compensation scheme of last resort seeks to address</w:t>
      </w:r>
      <w:r w:rsidR="00FF1AE9">
        <w:t>:</w:t>
      </w:r>
      <w:r w:rsidR="0057128D">
        <w:t xml:space="preserve"> the issue of </w:t>
      </w:r>
      <w:r>
        <w:t>uncompensated consumer losses. This is followed by a discussion of the financial system</w:t>
      </w:r>
      <w:r w:rsidR="009F688A">
        <w:t>’</w:t>
      </w:r>
      <w:r>
        <w:t xml:space="preserve">s existing framework for compensating consumer losses and </w:t>
      </w:r>
      <w:r w:rsidR="00AC6DD3">
        <w:t xml:space="preserve">the </w:t>
      </w:r>
      <w:r>
        <w:t>compensation arrangements in other sectors and internationally. The</w:t>
      </w:r>
      <w:r w:rsidR="00CA435B">
        <w:t xml:space="preserve"> Issues</w:t>
      </w:r>
      <w:r>
        <w:t xml:space="preserve"> Paper then describes </w:t>
      </w:r>
      <w:r w:rsidR="00CA435B">
        <w:t xml:space="preserve">the </w:t>
      </w:r>
      <w:r>
        <w:t>arguments which are made for and against a compensation scheme of last resort</w:t>
      </w:r>
      <w:r w:rsidR="00CA435B">
        <w:t>, and discusses the potential design issues with such a scheme</w:t>
      </w:r>
      <w:r>
        <w:t xml:space="preserve">. </w:t>
      </w:r>
      <w:r w:rsidR="00CA435B">
        <w:t>Finally, the issue of legacy unpaid determinations is considered.</w:t>
      </w:r>
    </w:p>
    <w:p w:rsidR="002A21D5" w:rsidRDefault="00505F0D" w:rsidP="00C103C5">
      <w:pPr>
        <w:pStyle w:val="Heading2"/>
      </w:pPr>
      <w:bookmarkStart w:id="107" w:name="_Toc482779539"/>
      <w:bookmarkStart w:id="108" w:name="_Toc482781314"/>
      <w:bookmarkStart w:id="109" w:name="_Toc482873868"/>
      <w:bookmarkStart w:id="110" w:name="_Toc483229137"/>
      <w:bookmarkStart w:id="111" w:name="_Toc483230252"/>
      <w:bookmarkStart w:id="112" w:name="_Toc483398631"/>
      <w:bookmarkStart w:id="113" w:name="_Toc483485318"/>
      <w:bookmarkStart w:id="114" w:name="_Toc483988906"/>
      <w:r>
        <w:t xml:space="preserve">Problem being addressed </w:t>
      </w:r>
      <w:r w:rsidR="00644724">
        <w:t>—</w:t>
      </w:r>
      <w:r>
        <w:t xml:space="preserve"> </w:t>
      </w:r>
      <w:r w:rsidR="00235282">
        <w:t>uncompensated consumer losses</w:t>
      </w:r>
      <w:bookmarkEnd w:id="107"/>
      <w:bookmarkEnd w:id="108"/>
      <w:bookmarkEnd w:id="109"/>
      <w:bookmarkEnd w:id="110"/>
      <w:bookmarkEnd w:id="111"/>
      <w:bookmarkEnd w:id="112"/>
      <w:bookmarkEnd w:id="113"/>
      <w:bookmarkEnd w:id="114"/>
    </w:p>
    <w:p w:rsidR="00CB685D" w:rsidRDefault="006D273D">
      <w:pPr>
        <w:pStyle w:val="OutlineNumbered1"/>
      </w:pPr>
      <w:r>
        <w:t>U</w:t>
      </w:r>
      <w:r w:rsidR="00505F0D">
        <w:t>nder th</w:t>
      </w:r>
      <w:r w:rsidR="00EC3612">
        <w:t>e existing EDR</w:t>
      </w:r>
      <w:r w:rsidR="00505F0D">
        <w:t xml:space="preserve"> f</w:t>
      </w:r>
      <w:r w:rsidR="00CB685D">
        <w:t xml:space="preserve">ramework, </w:t>
      </w:r>
      <w:r w:rsidR="009478BC">
        <w:t>there are situations where an EDR body orders that a claimant be paid compensation, but that compensation is not paid.</w:t>
      </w:r>
    </w:p>
    <w:p w:rsidR="008A60B5" w:rsidRDefault="008A60B5">
      <w:pPr>
        <w:pStyle w:val="OutlineNumbered1"/>
      </w:pPr>
      <w:r>
        <w:t xml:space="preserve">As at </w:t>
      </w:r>
      <w:r w:rsidR="00BE78C8" w:rsidRPr="009B373D">
        <w:t>2 May</w:t>
      </w:r>
      <w:r w:rsidRPr="009B373D">
        <w:t xml:space="preserve"> 2017</w:t>
      </w:r>
      <w:r>
        <w:t xml:space="preserve">, </w:t>
      </w:r>
      <w:r w:rsidRPr="008A60B5">
        <w:t>$13,909,635.50</w:t>
      </w:r>
      <w:r>
        <w:t xml:space="preserve"> </w:t>
      </w:r>
      <w:r w:rsidRPr="009803D0">
        <w:t>(excluding interest)</w:t>
      </w:r>
      <w:r>
        <w:t xml:space="preserve"> </w:t>
      </w:r>
      <w:r w:rsidR="00BE78C8">
        <w:t xml:space="preserve">and $399,862 (excluding interest) </w:t>
      </w:r>
      <w:r>
        <w:t>in determinations made in favour of complainants by FOS</w:t>
      </w:r>
      <w:r w:rsidR="00BE78C8">
        <w:t xml:space="preserve"> and CIO, respectively,</w:t>
      </w:r>
      <w:r>
        <w:t xml:space="preserve"> </w:t>
      </w:r>
      <w:r w:rsidR="00BE78C8">
        <w:t>had not bee</w:t>
      </w:r>
      <w:r>
        <w:t>n paid</w:t>
      </w:r>
      <w:r w:rsidR="00BE78C8">
        <w:t>.</w:t>
      </w:r>
    </w:p>
    <w:p w:rsidR="007806ED" w:rsidRDefault="0057128D">
      <w:pPr>
        <w:pStyle w:val="OutlineNumbered1"/>
      </w:pPr>
      <w:r>
        <w:t>These uncompensated losses are relevant to the Panel</w:t>
      </w:r>
      <w:r w:rsidR="009F688A">
        <w:t>’</w:t>
      </w:r>
      <w:r>
        <w:t>s Terms of Reference in two</w:t>
      </w:r>
      <w:r w:rsidR="007F5CBC">
        <w:t> </w:t>
      </w:r>
      <w:r>
        <w:t xml:space="preserve">ways. First, </w:t>
      </w:r>
      <w:r w:rsidR="00351CC5">
        <w:t>they</w:t>
      </w:r>
      <w:r>
        <w:t xml:space="preserve"> indicate a problem that is likely to recur, creating further unpaid determinations in the future (which is the focus of most of this </w:t>
      </w:r>
      <w:r w:rsidR="00957BB3">
        <w:t>section</w:t>
      </w:r>
      <w:r>
        <w:t xml:space="preserve">). Secondly, it raises the question of whether complainants </w:t>
      </w:r>
      <w:r w:rsidR="00AD6243">
        <w:t>who have an exi</w:t>
      </w:r>
      <w:r>
        <w:t xml:space="preserve">sting unpaid determination should be compensated (which is considered in more detail at </w:t>
      </w:r>
      <w:r w:rsidR="001B7F92">
        <w:t>paragraph</w:t>
      </w:r>
      <w:r w:rsidR="001C3E9D">
        <w:t>s</w:t>
      </w:r>
      <w:r w:rsidR="001B7F92">
        <w:t xml:space="preserve"> [</w:t>
      </w:r>
      <w:r w:rsidR="00520040">
        <w:fldChar w:fldCharType="begin"/>
      </w:r>
      <w:r w:rsidR="00520040">
        <w:instrText xml:space="preserve"> REF _Ref483483058 \r \h </w:instrText>
      </w:r>
      <w:r w:rsidR="00520040">
        <w:fldChar w:fldCharType="separate"/>
      </w:r>
      <w:r w:rsidR="00520040">
        <w:t>116</w:t>
      </w:r>
      <w:r w:rsidR="00520040">
        <w:fldChar w:fldCharType="end"/>
      </w:r>
      <w:r w:rsidR="00AE01B4">
        <w:t>]</w:t>
      </w:r>
      <w:r w:rsidR="001C3E9D">
        <w:t>-[</w:t>
      </w:r>
      <w:r w:rsidR="00520040">
        <w:fldChar w:fldCharType="begin"/>
      </w:r>
      <w:r w:rsidR="00520040">
        <w:instrText xml:space="preserve"> REF _Ref483483083 \r \h </w:instrText>
      </w:r>
      <w:r w:rsidR="00520040">
        <w:fldChar w:fldCharType="separate"/>
      </w:r>
      <w:r w:rsidR="00520040">
        <w:t>123</w:t>
      </w:r>
      <w:r w:rsidR="00520040">
        <w:fldChar w:fldCharType="end"/>
      </w:r>
      <w:r w:rsidR="00AE01B4">
        <w:t>]</w:t>
      </w:r>
      <w:r>
        <w:t>).</w:t>
      </w:r>
    </w:p>
    <w:p w:rsidR="007806ED" w:rsidRDefault="007806ED">
      <w:pPr>
        <w:widowControl/>
        <w:adjustRightInd/>
        <w:spacing w:after="0" w:line="240" w:lineRule="auto"/>
        <w:jc w:val="left"/>
        <w:textAlignment w:val="auto"/>
      </w:pPr>
      <w:r>
        <w:br w:type="page"/>
      </w:r>
    </w:p>
    <w:p w:rsidR="00A76194" w:rsidRDefault="00A76194">
      <w:pPr>
        <w:pStyle w:val="OutlineNumbered1"/>
      </w:pPr>
      <w:r>
        <w:t>The impact of u</w:t>
      </w:r>
      <w:r w:rsidR="008E26D2">
        <w:t xml:space="preserve">ncompensated </w:t>
      </w:r>
      <w:r w:rsidR="00292699">
        <w:t>consumer</w:t>
      </w:r>
      <w:r w:rsidR="008E26D2">
        <w:t xml:space="preserve"> losses </w:t>
      </w:r>
      <w:r>
        <w:t>can be significant and wide</w:t>
      </w:r>
      <w:r w:rsidR="009F688A">
        <w:noBreakHyphen/>
      </w:r>
      <w:r>
        <w:t>ranging, including:</w:t>
      </w:r>
    </w:p>
    <w:p w:rsidR="00A76194" w:rsidRDefault="00A76194">
      <w:pPr>
        <w:pStyle w:val="Bullet"/>
      </w:pPr>
      <w:r>
        <w:t>individuals will often experience severe emotional distress and financial hardship;</w:t>
      </w:r>
    </w:p>
    <w:p w:rsidR="00A76194" w:rsidRDefault="00A76194">
      <w:pPr>
        <w:pStyle w:val="Bullet"/>
      </w:pPr>
      <w:r>
        <w:t xml:space="preserve">costs </w:t>
      </w:r>
      <w:r w:rsidR="00471E25">
        <w:t xml:space="preserve">may be </w:t>
      </w:r>
      <w:r>
        <w:t>imposed on the wider Australian community as individuals are forced to rely on</w:t>
      </w:r>
      <w:r w:rsidR="00D9136B">
        <w:t xml:space="preserve"> other forms of support, including</w:t>
      </w:r>
      <w:r>
        <w:t xml:space="preserve"> the social security system; and</w:t>
      </w:r>
    </w:p>
    <w:p w:rsidR="00535AA7" w:rsidRDefault="00A76194">
      <w:pPr>
        <w:pStyle w:val="Bullet"/>
      </w:pPr>
      <w:r>
        <w:t xml:space="preserve">there is an </w:t>
      </w:r>
      <w:r w:rsidR="003B6228">
        <w:t>undermin</w:t>
      </w:r>
      <w:r>
        <w:t>ing of</w:t>
      </w:r>
      <w:r w:rsidR="003B6228">
        <w:t xml:space="preserve"> trust and confidence in the EDR framework and</w:t>
      </w:r>
      <w:r>
        <w:t xml:space="preserve"> </w:t>
      </w:r>
      <w:r w:rsidR="003B6228">
        <w:t>the financial services sector more generally.</w:t>
      </w:r>
      <w:r w:rsidR="00433B08">
        <w:rPr>
          <w:rStyle w:val="FootnoteReference"/>
        </w:rPr>
        <w:footnoteReference w:id="11"/>
      </w:r>
    </w:p>
    <w:p w:rsidR="00691256" w:rsidRDefault="007E010C">
      <w:pPr>
        <w:pStyle w:val="OutlineNumbered1"/>
      </w:pPr>
      <w:r>
        <w:t>The wide</w:t>
      </w:r>
      <w:r w:rsidR="00FF1AE9">
        <w:t>-</w:t>
      </w:r>
      <w:r>
        <w:t xml:space="preserve">ranging nature of these losses </w:t>
      </w:r>
      <w:r w:rsidR="00887987">
        <w:t>is</w:t>
      </w:r>
      <w:r>
        <w:t xml:space="preserve"> relevant when considering how to define </w:t>
      </w:r>
      <w:r w:rsidR="009F688A">
        <w:t>‘</w:t>
      </w:r>
      <w:r>
        <w:t>compensation</w:t>
      </w:r>
      <w:r w:rsidR="009F688A">
        <w:t>’</w:t>
      </w:r>
      <w:r>
        <w:t>. For example, t</w:t>
      </w:r>
      <w:r w:rsidR="00EC5A71">
        <w:t xml:space="preserve">he Panel has </w:t>
      </w:r>
      <w:r>
        <w:t xml:space="preserve">heard </w:t>
      </w:r>
      <w:r w:rsidR="007A330B">
        <w:t xml:space="preserve">from </w:t>
      </w:r>
      <w:r w:rsidR="00D9136B">
        <w:t xml:space="preserve">a </w:t>
      </w:r>
      <w:r w:rsidR="007A330B">
        <w:t xml:space="preserve">stakeholder that </w:t>
      </w:r>
      <w:r w:rsidR="00EC5A71">
        <w:t xml:space="preserve">compensation should include </w:t>
      </w:r>
      <w:r w:rsidR="00EC5A71" w:rsidRPr="00EC5A71">
        <w:t>restitution and compensation for non</w:t>
      </w:r>
      <w:r w:rsidR="009F688A">
        <w:noBreakHyphen/>
      </w:r>
      <w:r w:rsidR="00EC5A71" w:rsidRPr="00EC5A71">
        <w:t>economic impacts</w:t>
      </w:r>
      <w:r>
        <w:t>,</w:t>
      </w:r>
      <w:r w:rsidR="00EC5A71" w:rsidRPr="00EC5A71">
        <w:t xml:space="preserve"> as well as direct financial losses</w:t>
      </w:r>
      <w:r w:rsidR="00EC5A71">
        <w:t>.</w:t>
      </w:r>
      <w:r w:rsidR="00FC055E">
        <w:rPr>
          <w:rStyle w:val="FootnoteReference"/>
        </w:rPr>
        <w:footnoteReference w:id="12"/>
      </w:r>
    </w:p>
    <w:p w:rsidR="009A69AC" w:rsidRPr="005F6415" w:rsidRDefault="005F1BAE" w:rsidP="00120092">
      <w:pPr>
        <w:pStyle w:val="Heading2"/>
      </w:pPr>
      <w:bookmarkStart w:id="115" w:name="_Toc483229138"/>
      <w:bookmarkStart w:id="116" w:name="_Toc483230253"/>
      <w:bookmarkStart w:id="117" w:name="_Toc483398632"/>
      <w:bookmarkStart w:id="118" w:name="_Toc483485319"/>
      <w:bookmarkStart w:id="119" w:name="_Toc483988907"/>
      <w:r>
        <w:t xml:space="preserve">Existing </w:t>
      </w:r>
      <w:r w:rsidR="00B5598F">
        <w:t xml:space="preserve">framework for </w:t>
      </w:r>
      <w:r>
        <w:t>compensati</w:t>
      </w:r>
      <w:r w:rsidR="00B5598F">
        <w:t>ng losses in the financial system</w:t>
      </w:r>
      <w:bookmarkEnd w:id="115"/>
      <w:bookmarkEnd w:id="116"/>
      <w:bookmarkEnd w:id="117"/>
      <w:bookmarkEnd w:id="118"/>
      <w:bookmarkEnd w:id="119"/>
    </w:p>
    <w:p w:rsidR="005B427C" w:rsidRDefault="004E7078">
      <w:pPr>
        <w:pStyle w:val="OutlineNumbered1"/>
      </w:pPr>
      <w:r>
        <w:t xml:space="preserve">Where an individual </w:t>
      </w:r>
      <w:r w:rsidR="0074303D">
        <w:t>suffer</w:t>
      </w:r>
      <w:r>
        <w:t>s</w:t>
      </w:r>
      <w:r w:rsidR="0074303D">
        <w:t xml:space="preserve"> financial loss, </w:t>
      </w:r>
      <w:r>
        <w:t>they</w:t>
      </w:r>
      <w:r w:rsidR="007D0E26">
        <w:t xml:space="preserve"> can seek compensation</w:t>
      </w:r>
      <w:r w:rsidR="00323F2D">
        <w:t xml:space="preserve"> from the relevant firm and, in certain circumstances, from targeted compensation schemes</w:t>
      </w:r>
      <w:r w:rsidR="005B427C">
        <w:t>. These schemes</w:t>
      </w:r>
      <w:r w:rsidR="00023039">
        <w:t xml:space="preserve">, which are considered in further detail </w:t>
      </w:r>
      <w:r w:rsidR="00B87B5B">
        <w:t>at paragraphs [</w:t>
      </w:r>
      <w:r w:rsidR="00B87B5B">
        <w:fldChar w:fldCharType="begin"/>
      </w:r>
      <w:r w:rsidR="00B87B5B">
        <w:instrText xml:space="preserve"> REF _Ref482615861 \r \h </w:instrText>
      </w:r>
      <w:r w:rsidR="00B87B5B">
        <w:fldChar w:fldCharType="separate"/>
      </w:r>
      <w:r w:rsidR="00660EAF">
        <w:t>64</w:t>
      </w:r>
      <w:r w:rsidR="00B87B5B">
        <w:fldChar w:fldCharType="end"/>
      </w:r>
      <w:r w:rsidR="00B87B5B">
        <w:t>]</w:t>
      </w:r>
      <w:r w:rsidR="009F688A">
        <w:noBreakHyphen/>
      </w:r>
      <w:r w:rsidR="00B87B5B">
        <w:t>[</w:t>
      </w:r>
      <w:r w:rsidR="00B87B5B">
        <w:fldChar w:fldCharType="begin"/>
      </w:r>
      <w:r w:rsidR="00B87B5B">
        <w:instrText xml:space="preserve"> REF _Ref482615892 \r \h </w:instrText>
      </w:r>
      <w:r w:rsidR="00B87B5B">
        <w:fldChar w:fldCharType="separate"/>
      </w:r>
      <w:r w:rsidR="00660EAF">
        <w:t>72</w:t>
      </w:r>
      <w:r w:rsidR="00B87B5B">
        <w:fldChar w:fldCharType="end"/>
      </w:r>
      <w:r w:rsidR="00B87B5B">
        <w:t>]</w:t>
      </w:r>
      <w:r w:rsidR="00023039">
        <w:t>,</w:t>
      </w:r>
      <w:r w:rsidR="005B427C">
        <w:t xml:space="preserve"> cover</w:t>
      </w:r>
      <w:r w:rsidR="00323F2D">
        <w:t xml:space="preserve"> losses </w:t>
      </w:r>
      <w:r w:rsidR="005B427C">
        <w:t>associated with:</w:t>
      </w:r>
    </w:p>
    <w:p w:rsidR="005B427C" w:rsidRDefault="0057128D">
      <w:pPr>
        <w:pStyle w:val="Bullet"/>
      </w:pPr>
      <w:r>
        <w:t xml:space="preserve">where </w:t>
      </w:r>
      <w:r w:rsidR="005B427C" w:rsidRPr="005B427C">
        <w:t xml:space="preserve">a market participant </w:t>
      </w:r>
      <w:r w:rsidR="005B427C">
        <w:t xml:space="preserve">of the Australian Securities Exchange </w:t>
      </w:r>
      <w:r w:rsidR="005B427C" w:rsidRPr="005B427C">
        <w:t xml:space="preserve">becomes insolvent and fails to meet its obligations to a person who had previously entrusted property to </w:t>
      </w:r>
      <w:r w:rsidR="005B427C">
        <w:t>it;</w:t>
      </w:r>
    </w:p>
    <w:p w:rsidR="005B427C" w:rsidRDefault="00323F2D">
      <w:pPr>
        <w:pStyle w:val="Bullet"/>
      </w:pPr>
      <w:r>
        <w:t xml:space="preserve">bank deposits </w:t>
      </w:r>
      <w:r w:rsidR="005B427C">
        <w:t xml:space="preserve">and general insurance policies </w:t>
      </w:r>
      <w:r w:rsidR="007E010C">
        <w:t>related to</w:t>
      </w:r>
      <w:r>
        <w:t xml:space="preserve"> an</w:t>
      </w:r>
      <w:r w:rsidR="007D0E26">
        <w:t xml:space="preserve"> Australian Prudential Regulation</w:t>
      </w:r>
      <w:r>
        <w:t xml:space="preserve"> Authority </w:t>
      </w:r>
      <w:r w:rsidR="005B427C">
        <w:t xml:space="preserve">(APRA) </w:t>
      </w:r>
      <w:r>
        <w:t>regulated entity in the event of insolvency</w:t>
      </w:r>
      <w:r w:rsidR="005B427C">
        <w:t>; and</w:t>
      </w:r>
    </w:p>
    <w:p w:rsidR="005B427C" w:rsidRDefault="00A7557A">
      <w:pPr>
        <w:pStyle w:val="Bullet"/>
      </w:pPr>
      <w:r>
        <w:t xml:space="preserve">fraudulent conduct or theft related to </w:t>
      </w:r>
      <w:r w:rsidR="005B427C">
        <w:t>APRA</w:t>
      </w:r>
      <w:r w:rsidR="009F688A">
        <w:noBreakHyphen/>
      </w:r>
      <w:r w:rsidR="005B427C">
        <w:t>regulated superannuation funds.</w:t>
      </w:r>
    </w:p>
    <w:p w:rsidR="00957D61" w:rsidRDefault="00433B08">
      <w:pPr>
        <w:pStyle w:val="OutlineNumbered1"/>
      </w:pPr>
      <w:r>
        <w:t>G</w:t>
      </w:r>
      <w:r w:rsidR="00395D5D">
        <w:t xml:space="preserve">iven the </w:t>
      </w:r>
      <w:r w:rsidR="00023039">
        <w:t>existence of</w:t>
      </w:r>
      <w:r w:rsidR="00395D5D">
        <w:t xml:space="preserve"> unpaid EDR determination</w:t>
      </w:r>
      <w:r w:rsidR="004D0A5A">
        <w:t>s</w:t>
      </w:r>
      <w:r w:rsidR="00395D5D">
        <w:t xml:space="preserve">, </w:t>
      </w:r>
      <w:r w:rsidR="00A462D3">
        <w:t xml:space="preserve">it is clear </w:t>
      </w:r>
      <w:r w:rsidR="004F7C97">
        <w:t>this</w:t>
      </w:r>
      <w:r w:rsidR="00775F52">
        <w:t xml:space="preserve"> </w:t>
      </w:r>
      <w:r w:rsidR="004F7C97">
        <w:t>framework</w:t>
      </w:r>
      <w:r w:rsidR="00775F52">
        <w:t xml:space="preserve"> is not delivering </w:t>
      </w:r>
      <w:r w:rsidR="004E7078">
        <w:t>effective outcomes for some of its users</w:t>
      </w:r>
      <w:r w:rsidR="009F688A">
        <w:t>.</w:t>
      </w:r>
    </w:p>
    <w:p w:rsidR="000636E0" w:rsidRDefault="000636E0">
      <w:pPr>
        <w:widowControl/>
        <w:adjustRightInd/>
        <w:spacing w:after="0" w:line="240" w:lineRule="auto"/>
        <w:jc w:val="left"/>
        <w:textAlignment w:val="auto"/>
        <w:rPr>
          <w:rFonts w:ascii="Century Gothic" w:hAnsi="Century Gothic" w:cs="Arial"/>
          <w:b/>
          <w:bCs/>
          <w:color w:val="1F497D" w:themeColor="text2"/>
          <w:sz w:val="26"/>
          <w:szCs w:val="26"/>
        </w:rPr>
      </w:pPr>
      <w:r>
        <w:br w:type="page"/>
      </w:r>
    </w:p>
    <w:p w:rsidR="005B427C" w:rsidRDefault="005B427C" w:rsidP="000E30F6">
      <w:pPr>
        <w:pStyle w:val="Heading3"/>
        <w:spacing w:before="0"/>
      </w:pPr>
      <w:r>
        <w:t>Firm level compensation arrangements</w:t>
      </w:r>
    </w:p>
    <w:p w:rsidR="000E09DC" w:rsidRDefault="00B6568B" w:rsidP="00253395">
      <w:pPr>
        <w:pStyle w:val="OutlineNumbered1"/>
        <w:spacing w:after="196"/>
      </w:pPr>
      <w:r>
        <w:t xml:space="preserve">The </w:t>
      </w:r>
      <w:r>
        <w:rPr>
          <w:i/>
        </w:rPr>
        <w:t>Corporat</w:t>
      </w:r>
      <w:r w:rsidR="004E7078">
        <w:rPr>
          <w:i/>
        </w:rPr>
        <w:t>ions Act 2001</w:t>
      </w:r>
      <w:r>
        <w:t xml:space="preserve"> </w:t>
      </w:r>
      <w:r w:rsidR="004F7C97">
        <w:t>requires</w:t>
      </w:r>
      <w:r w:rsidR="000E09DC">
        <w:t xml:space="preserve"> that if</w:t>
      </w:r>
      <w:r w:rsidR="000E09DC" w:rsidRPr="000E09DC">
        <w:t xml:space="preserve"> a financial services licensee provides a financial service to </w:t>
      </w:r>
      <w:r w:rsidR="004E7078">
        <w:t xml:space="preserve">a </w:t>
      </w:r>
      <w:r w:rsidR="000E09DC" w:rsidRPr="000E09DC">
        <w:t xml:space="preserve">person as </w:t>
      </w:r>
      <w:r w:rsidR="004E7078">
        <w:t xml:space="preserve">a </w:t>
      </w:r>
      <w:r w:rsidR="000E09DC" w:rsidRPr="000E09DC">
        <w:t>retail client, the licensee must hav</w:t>
      </w:r>
      <w:r w:rsidR="004E7078">
        <w:t xml:space="preserve">e arrangements for compensating the person </w:t>
      </w:r>
      <w:r w:rsidR="000E09DC" w:rsidRPr="000E09DC">
        <w:t>for loss or damage suffered because of breaches of the</w:t>
      </w:r>
      <w:r w:rsidR="000E09DC">
        <w:t xml:space="preserve"> relevant obligations under</w:t>
      </w:r>
      <w:r w:rsidR="000E09DC" w:rsidRPr="000E09DC">
        <w:t xml:space="preserve"> Chapter </w:t>
      </w:r>
      <w:r w:rsidR="000E09DC">
        <w:t xml:space="preserve">7 of the Act </w:t>
      </w:r>
      <w:r w:rsidR="000E09DC" w:rsidRPr="000E09DC">
        <w:t>by the licensee or its representatives</w:t>
      </w:r>
      <w:r w:rsidR="000E09DC">
        <w:t>.</w:t>
      </w:r>
      <w:r w:rsidR="000E09DC">
        <w:rPr>
          <w:rStyle w:val="FootnoteReference"/>
        </w:rPr>
        <w:footnoteReference w:id="13"/>
      </w:r>
    </w:p>
    <w:p w:rsidR="00D90D26" w:rsidRDefault="00D90D26" w:rsidP="00253395">
      <w:pPr>
        <w:pStyle w:val="OutlineNumbered1"/>
        <w:spacing w:after="196"/>
      </w:pPr>
      <w:r>
        <w:t>Financial services cover a range of activities including:</w:t>
      </w:r>
    </w:p>
    <w:p w:rsidR="00D90D26" w:rsidRDefault="00D90D26" w:rsidP="00253395">
      <w:pPr>
        <w:pStyle w:val="Bullet"/>
        <w:spacing w:after="196"/>
      </w:pPr>
      <w:r>
        <w:t>providing financial product advice;</w:t>
      </w:r>
    </w:p>
    <w:p w:rsidR="00D90D26" w:rsidRDefault="00D90D26" w:rsidP="00253395">
      <w:pPr>
        <w:pStyle w:val="Bullet"/>
        <w:spacing w:after="196"/>
      </w:pPr>
      <w:r>
        <w:t>dealing or making a market in a financial product;</w:t>
      </w:r>
    </w:p>
    <w:p w:rsidR="00D90D26" w:rsidRDefault="00D90D26" w:rsidP="00253395">
      <w:pPr>
        <w:pStyle w:val="Bullet"/>
        <w:spacing w:after="196"/>
      </w:pPr>
      <w:r>
        <w:t>providing custodial or depository services; and</w:t>
      </w:r>
    </w:p>
    <w:p w:rsidR="00D90D26" w:rsidRDefault="00D90D26" w:rsidP="00253395">
      <w:pPr>
        <w:pStyle w:val="Bullet"/>
        <w:spacing w:after="196"/>
      </w:pPr>
      <w:r>
        <w:t>operating a registered managed investment scheme.</w:t>
      </w:r>
      <w:r>
        <w:rPr>
          <w:rStyle w:val="FootnoteReference"/>
        </w:rPr>
        <w:footnoteReference w:id="14"/>
      </w:r>
    </w:p>
    <w:p w:rsidR="000E09DC" w:rsidRDefault="000E09DC" w:rsidP="00253395">
      <w:pPr>
        <w:pStyle w:val="OutlineNumbered1"/>
        <w:spacing w:after="196"/>
      </w:pPr>
      <w:r>
        <w:t xml:space="preserve">Similarly, the </w:t>
      </w:r>
      <w:r>
        <w:rPr>
          <w:i/>
        </w:rPr>
        <w:t>National Consumer Credit Protection Act 2009</w:t>
      </w:r>
      <w:r>
        <w:t xml:space="preserve"> provides that a</w:t>
      </w:r>
      <w:r w:rsidRPr="000E09DC">
        <w:t xml:space="preserve"> licensee must have adequate arrangements for compensating persons for loss or damage suffered be</w:t>
      </w:r>
      <w:r>
        <w:t>cause of a contravention of the</w:t>
      </w:r>
      <w:r w:rsidRPr="000E09DC">
        <w:t xml:space="preserve"> Act by the licensee or its representatives</w:t>
      </w:r>
      <w:r>
        <w:t>.</w:t>
      </w:r>
    </w:p>
    <w:p w:rsidR="007806ED" w:rsidRDefault="005F1BAE" w:rsidP="00253395">
      <w:pPr>
        <w:pStyle w:val="OutlineNumbered1"/>
        <w:spacing w:after="196"/>
      </w:pPr>
      <w:r>
        <w:t xml:space="preserve">The objective </w:t>
      </w:r>
      <w:r w:rsidR="005F52E4">
        <w:t>of</w:t>
      </w:r>
      <w:r>
        <w:t xml:space="preserve"> these requirements is to r</w:t>
      </w:r>
      <w:r w:rsidR="006F5CAE">
        <w:t>educe the risk that</w:t>
      </w:r>
      <w:r>
        <w:t xml:space="preserve"> losses cannot be compensated because of a</w:t>
      </w:r>
      <w:r w:rsidR="006F5CAE">
        <w:t xml:space="preserve"> licensee</w:t>
      </w:r>
      <w:r w:rsidR="009F688A">
        <w:t>’</w:t>
      </w:r>
      <w:r w:rsidR="006F5CAE">
        <w:t>s</w:t>
      </w:r>
      <w:r>
        <w:t xml:space="preserve"> lack of financial resources.</w:t>
      </w:r>
      <w:r>
        <w:rPr>
          <w:rStyle w:val="FootnoteReference"/>
        </w:rPr>
        <w:footnoteReference w:id="15"/>
      </w:r>
    </w:p>
    <w:p w:rsidR="005F1BAE" w:rsidRDefault="006F5CAE" w:rsidP="00253395">
      <w:pPr>
        <w:pStyle w:val="OutlineNumbered1"/>
        <w:spacing w:after="196"/>
      </w:pPr>
      <w:r>
        <w:t xml:space="preserve">The </w:t>
      </w:r>
      <w:r w:rsidR="005F1BAE">
        <w:t xml:space="preserve">justification for </w:t>
      </w:r>
      <w:r>
        <w:t xml:space="preserve">these </w:t>
      </w:r>
      <w:r w:rsidR="005F1BAE">
        <w:t xml:space="preserve">compensation </w:t>
      </w:r>
      <w:r w:rsidR="00471E25">
        <w:t xml:space="preserve">requirements </w:t>
      </w:r>
      <w:r>
        <w:t>include that consumers and small bu</w:t>
      </w:r>
      <w:r w:rsidR="00A501B4">
        <w:t>sinesses</w:t>
      </w:r>
      <w:r w:rsidR="005F1BAE">
        <w:t>:</w:t>
      </w:r>
    </w:p>
    <w:p w:rsidR="005F1BAE" w:rsidRDefault="005F1BAE" w:rsidP="00253395">
      <w:pPr>
        <w:pStyle w:val="Bullet"/>
        <w:spacing w:after="196"/>
      </w:pPr>
      <w:r>
        <w:t>are not always in a position to assess the information provided by a licensee or the worth of the service provided;</w:t>
      </w:r>
    </w:p>
    <w:p w:rsidR="005F1BAE" w:rsidRDefault="005F1BAE" w:rsidP="00253395">
      <w:pPr>
        <w:pStyle w:val="Bullet"/>
        <w:spacing w:after="196"/>
      </w:pPr>
      <w:r>
        <w:t>can incur severe financial hardship through losses resulting from the licensee</w:t>
      </w:r>
      <w:r w:rsidR="009F688A">
        <w:t>’</w:t>
      </w:r>
      <w:r>
        <w:t xml:space="preserve">s conduct; </w:t>
      </w:r>
      <w:r w:rsidR="00FE5932">
        <w:t>and</w:t>
      </w:r>
    </w:p>
    <w:p w:rsidR="009A3361" w:rsidRDefault="004E7078" w:rsidP="00253395">
      <w:pPr>
        <w:pStyle w:val="Bullet"/>
        <w:spacing w:after="0"/>
      </w:pPr>
      <w:r w:rsidRPr="003F6260">
        <w:t>expect the level of comfort provided by a compensation regime</w:t>
      </w:r>
      <w:r w:rsidR="00FE5932">
        <w:t>.</w:t>
      </w:r>
      <w:r w:rsidR="005F1BAE">
        <w:rPr>
          <w:rStyle w:val="FootnoteReference"/>
        </w:rPr>
        <w:footnoteReference w:id="16"/>
      </w:r>
    </w:p>
    <w:p w:rsidR="005F1BAE" w:rsidRDefault="005F1BAE" w:rsidP="00253395">
      <w:pPr>
        <w:pStyle w:val="OutlineNumbered1"/>
        <w:spacing w:after="216"/>
      </w:pPr>
      <w:r>
        <w:t xml:space="preserve">ASIC has stated in its regulatory guidance </w:t>
      </w:r>
      <w:r w:rsidR="00153351">
        <w:t>on the c</w:t>
      </w:r>
      <w:r w:rsidR="00153351" w:rsidRPr="00153351">
        <w:t xml:space="preserve">ompensation and insurance arrangements for </w:t>
      </w:r>
      <w:r w:rsidR="00153351">
        <w:t xml:space="preserve">financial services licensees </w:t>
      </w:r>
      <w:r>
        <w:t>that the compensation requirements</w:t>
      </w:r>
      <w:r w:rsidR="00153351">
        <w:t xml:space="preserve"> imposed by the </w:t>
      </w:r>
      <w:r w:rsidR="00153351" w:rsidRPr="00C81F56">
        <w:rPr>
          <w:i/>
        </w:rPr>
        <w:t>Corporations Act</w:t>
      </w:r>
      <w:r w:rsidRPr="00C81F56">
        <w:rPr>
          <w:i/>
        </w:rPr>
        <w:t xml:space="preserve"> </w:t>
      </w:r>
      <w:r w:rsidR="00B7086B" w:rsidRPr="00C81F56">
        <w:rPr>
          <w:i/>
        </w:rPr>
        <w:t>2001</w:t>
      </w:r>
      <w:r w:rsidR="00B7086B">
        <w:t xml:space="preserve"> </w:t>
      </w:r>
      <w:r>
        <w:t>are not intended to cover:</w:t>
      </w:r>
    </w:p>
    <w:p w:rsidR="005F1BAE" w:rsidRDefault="005F1BAE" w:rsidP="00253395">
      <w:pPr>
        <w:pStyle w:val="Bullet"/>
        <w:spacing w:after="216"/>
      </w:pPr>
      <w:r w:rsidRPr="007D0601">
        <w:t>product failure or general investment losses</w:t>
      </w:r>
      <w:r>
        <w:t>;</w:t>
      </w:r>
    </w:p>
    <w:p w:rsidR="005F1BAE" w:rsidRDefault="005F1BAE" w:rsidP="00253395">
      <w:pPr>
        <w:pStyle w:val="Bullet"/>
        <w:spacing w:after="216"/>
      </w:pPr>
      <w:r w:rsidRPr="007D0601">
        <w:t>all possible consumer losses relating to financial services</w:t>
      </w:r>
      <w:r>
        <w:t>;</w:t>
      </w:r>
    </w:p>
    <w:p w:rsidR="005F1BAE" w:rsidRDefault="005F1BAE" w:rsidP="00253395">
      <w:pPr>
        <w:pStyle w:val="Bullet"/>
        <w:spacing w:after="216"/>
      </w:pPr>
      <w:r w:rsidRPr="007D0601">
        <w:t>claims for loss solely as a result of the failure (</w:t>
      </w:r>
      <w:r w:rsidR="004558F2">
        <w:t>for example,</w:t>
      </w:r>
      <w:r w:rsidRPr="007D0601">
        <w:t xml:space="preserve"> through insolvency) of a product issuer (</w:t>
      </w:r>
      <w:r w:rsidR="004558F2">
        <w:t>that is,</w:t>
      </w:r>
      <w:r w:rsidRPr="007D0601">
        <w:t xml:space="preserve"> it is not intended to underwrite the products of a product issuer); or</w:t>
      </w:r>
    </w:p>
    <w:p w:rsidR="005F1BAE" w:rsidRDefault="005F1BAE" w:rsidP="00253395">
      <w:pPr>
        <w:pStyle w:val="Bullet"/>
        <w:spacing w:after="216"/>
      </w:pPr>
      <w:r w:rsidRPr="007D0601">
        <w:t>a return on a financial product that has not met expectations</w:t>
      </w:r>
      <w:r>
        <w:t>.</w:t>
      </w:r>
      <w:r>
        <w:rPr>
          <w:rStyle w:val="FootnoteReference"/>
        </w:rPr>
        <w:footnoteReference w:id="17"/>
      </w:r>
    </w:p>
    <w:p w:rsidR="00A501B4" w:rsidRPr="004558F2" w:rsidRDefault="00A501B4" w:rsidP="009F688A">
      <w:pPr>
        <w:pStyle w:val="Heading3"/>
        <w:rPr>
          <w:spacing w:val="-2"/>
        </w:rPr>
      </w:pPr>
      <w:r w:rsidRPr="004558F2">
        <w:rPr>
          <w:spacing w:val="-2"/>
        </w:rPr>
        <w:t>Compensation arrangements involving professional indemnity insurance</w:t>
      </w:r>
    </w:p>
    <w:p w:rsidR="007874B4" w:rsidRDefault="005F1BAE" w:rsidP="00253395">
      <w:pPr>
        <w:pStyle w:val="OutlineNumbered1"/>
        <w:spacing w:after="216"/>
      </w:pPr>
      <w:r>
        <w:t xml:space="preserve">The requirement to have </w:t>
      </w:r>
      <w:r w:rsidRPr="00963093">
        <w:t xml:space="preserve">arrangements </w:t>
      </w:r>
      <w:r>
        <w:t xml:space="preserve">in place to compensate consumers </w:t>
      </w:r>
      <w:r w:rsidR="007874B4">
        <w:t>is</w:t>
      </w:r>
      <w:r w:rsidR="007874B4" w:rsidRPr="007874B4">
        <w:t xml:space="preserve">, unless the financial services licensee is an exempt licensee, subject to the requirement that the licensee hold </w:t>
      </w:r>
      <w:r w:rsidR="009F688A">
        <w:t>‘</w:t>
      </w:r>
      <w:r w:rsidR="007874B4">
        <w:t>adequate</w:t>
      </w:r>
      <w:r w:rsidR="009F688A">
        <w:t>’</w:t>
      </w:r>
      <w:r w:rsidR="007874B4">
        <w:t xml:space="preserve"> </w:t>
      </w:r>
      <w:r w:rsidR="007874B4" w:rsidRPr="007874B4">
        <w:t>professional indemnity insurance cover</w:t>
      </w:r>
      <w:r w:rsidR="007874B4">
        <w:t>.</w:t>
      </w:r>
      <w:r>
        <w:rPr>
          <w:rStyle w:val="FootnoteReference"/>
        </w:rPr>
        <w:footnoteReference w:id="18"/>
      </w:r>
      <w:r w:rsidR="007874B4">
        <w:t xml:space="preserve"> Exempt licensees include:</w:t>
      </w:r>
    </w:p>
    <w:p w:rsidR="00A501B4" w:rsidRDefault="007874B4" w:rsidP="00253395">
      <w:pPr>
        <w:pStyle w:val="Bullet"/>
        <w:spacing w:after="216"/>
      </w:pPr>
      <w:r w:rsidRPr="007874B4">
        <w:t xml:space="preserve">a general insurance company regulated by APRA under </w:t>
      </w:r>
      <w:r w:rsidRPr="00442ACC">
        <w:t xml:space="preserve">the </w:t>
      </w:r>
      <w:r w:rsidRPr="007874B4">
        <w:rPr>
          <w:i/>
        </w:rPr>
        <w:t>Insurance Act 1973</w:t>
      </w:r>
      <w:r>
        <w:t>;</w:t>
      </w:r>
    </w:p>
    <w:p w:rsidR="007874B4" w:rsidRDefault="007874B4" w:rsidP="00253395">
      <w:pPr>
        <w:pStyle w:val="Bullet"/>
        <w:spacing w:after="216"/>
      </w:pPr>
      <w:r w:rsidRPr="007874B4">
        <w:t xml:space="preserve">a life insurance company regulated by APRA under the </w:t>
      </w:r>
      <w:r w:rsidRPr="00670F53">
        <w:rPr>
          <w:i/>
        </w:rPr>
        <w:t>Life Insurance Act 1995</w:t>
      </w:r>
      <w:r w:rsidR="00670F53">
        <w:t>; and</w:t>
      </w:r>
    </w:p>
    <w:p w:rsidR="007806ED" w:rsidRDefault="00670F53" w:rsidP="00253395">
      <w:pPr>
        <w:pStyle w:val="Bullet"/>
        <w:spacing w:after="216"/>
      </w:pPr>
      <w:r w:rsidRPr="00670F53">
        <w:t>an authorised deposit</w:t>
      </w:r>
      <w:r w:rsidR="009F688A">
        <w:noBreakHyphen/>
      </w:r>
      <w:r w:rsidRPr="00670F53">
        <w:t xml:space="preserve">taking institution regulated by APRA under the </w:t>
      </w:r>
      <w:r w:rsidRPr="00670F53">
        <w:rPr>
          <w:i/>
        </w:rPr>
        <w:t>Banking Act 1959</w:t>
      </w:r>
      <w:r>
        <w:t>.</w:t>
      </w:r>
      <w:r w:rsidR="00026A5B">
        <w:rPr>
          <w:rStyle w:val="FootnoteReference"/>
        </w:rPr>
        <w:footnoteReference w:id="19"/>
      </w:r>
    </w:p>
    <w:p w:rsidR="00C241A3" w:rsidRDefault="00C241A3" w:rsidP="00253395">
      <w:pPr>
        <w:pStyle w:val="OutlineNumbered1"/>
        <w:spacing w:after="216"/>
      </w:pPr>
      <w:r>
        <w:t xml:space="preserve">This </w:t>
      </w:r>
      <w:r w:rsidR="00153351">
        <w:t>exemption results in</w:t>
      </w:r>
      <w:r>
        <w:t xml:space="preserve"> a large number of</w:t>
      </w:r>
      <w:r w:rsidR="0095783F">
        <w:t xml:space="preserve"> EDR scheme member firms</w:t>
      </w:r>
      <w:r>
        <w:t xml:space="preserve"> not rely</w:t>
      </w:r>
      <w:r w:rsidR="0095783F">
        <w:t>ing</w:t>
      </w:r>
      <w:r>
        <w:t xml:space="preserve"> on professional indemnity insurance to compensate their customers where they suffer financial loss.</w:t>
      </w:r>
    </w:p>
    <w:p w:rsidR="005F03DA" w:rsidRDefault="006638EA" w:rsidP="00253395">
      <w:pPr>
        <w:pStyle w:val="OutlineNumbered1"/>
        <w:spacing w:after="216"/>
      </w:pPr>
      <w:r>
        <w:t xml:space="preserve">For those firms required to hold professional indemnity insurance, the question of whether </w:t>
      </w:r>
      <w:r w:rsidR="005F1BAE">
        <w:t>an insurance policy is adequate depends on a number of factors, including:</w:t>
      </w:r>
    </w:p>
    <w:p w:rsidR="005F03DA" w:rsidRDefault="005F1BAE" w:rsidP="00253395">
      <w:pPr>
        <w:pStyle w:val="Bullet"/>
        <w:spacing w:after="216"/>
      </w:pPr>
      <w:r>
        <w:t>the amount and scope of cover;</w:t>
      </w:r>
    </w:p>
    <w:p w:rsidR="005F03DA" w:rsidRDefault="005F1BAE" w:rsidP="00253395">
      <w:pPr>
        <w:pStyle w:val="Bullet"/>
        <w:spacing w:after="216"/>
      </w:pPr>
      <w:r>
        <w:t>whether the terms and conditions of the cover undermine the objective of providing compensation; and</w:t>
      </w:r>
    </w:p>
    <w:p w:rsidR="005F1BAE" w:rsidRDefault="005F1BAE" w:rsidP="00253395">
      <w:pPr>
        <w:pStyle w:val="Bullet"/>
        <w:spacing w:after="216"/>
      </w:pPr>
      <w:r>
        <w:t xml:space="preserve">whether the licensee has sufficient financial resources to enable the </w:t>
      </w:r>
      <w:r w:rsidR="00894891" w:rsidRPr="00963093">
        <w:t xml:space="preserve">professional indemnity </w:t>
      </w:r>
      <w:r w:rsidR="00894891">
        <w:t>i</w:t>
      </w:r>
      <w:r>
        <w:t>nsurance policy to work in practice.</w:t>
      </w:r>
      <w:r>
        <w:rPr>
          <w:rStyle w:val="FootnoteReference"/>
        </w:rPr>
        <w:footnoteReference w:id="20"/>
      </w:r>
    </w:p>
    <w:p w:rsidR="00A501B4" w:rsidRDefault="005F1BAE">
      <w:pPr>
        <w:pStyle w:val="OutlineNumbered1"/>
      </w:pPr>
      <w:r>
        <w:t xml:space="preserve">In relation to having sufficient financial resources available, ASIC has observed that firms should assess what </w:t>
      </w:r>
      <w:r w:rsidRPr="007D0601">
        <w:t xml:space="preserve">financial resources are required (to cover the excess and gaps in cover due to various exclusions) and ensure </w:t>
      </w:r>
      <w:r>
        <w:t>they have</w:t>
      </w:r>
      <w:r w:rsidRPr="007D0601">
        <w:t xml:space="preserve"> </w:t>
      </w:r>
      <w:r>
        <w:t xml:space="preserve">appropriate </w:t>
      </w:r>
      <w:r w:rsidRPr="007D0601">
        <w:t>financial resources</w:t>
      </w:r>
      <w:r>
        <w:t xml:space="preserve"> available</w:t>
      </w:r>
      <w:r w:rsidRPr="007D0601">
        <w:t>.</w:t>
      </w:r>
      <w:r>
        <w:rPr>
          <w:rStyle w:val="FootnoteReference"/>
        </w:rPr>
        <w:footnoteReference w:id="21"/>
      </w:r>
    </w:p>
    <w:p w:rsidR="00026A5B" w:rsidRDefault="00F96D23">
      <w:pPr>
        <w:pStyle w:val="OutlineNumbered1"/>
      </w:pPr>
      <w:r w:rsidRPr="00F96D23">
        <w:t>Before granting an A</w:t>
      </w:r>
      <w:r w:rsidR="00F93C36">
        <w:t xml:space="preserve">ustralian </w:t>
      </w:r>
      <w:r w:rsidRPr="00F96D23">
        <w:t>F</w:t>
      </w:r>
      <w:r w:rsidR="00F93C36">
        <w:t xml:space="preserve">inancial </w:t>
      </w:r>
      <w:r w:rsidRPr="00F96D23">
        <w:t>S</w:t>
      </w:r>
      <w:r w:rsidR="00026A5B">
        <w:t xml:space="preserve">ervice </w:t>
      </w:r>
      <w:r w:rsidR="00471E25">
        <w:t xml:space="preserve">(AFS) </w:t>
      </w:r>
      <w:r w:rsidR="00026A5B">
        <w:t>Licence</w:t>
      </w:r>
      <w:r w:rsidRPr="00F96D23">
        <w:t xml:space="preserve">, </w:t>
      </w:r>
      <w:r>
        <w:t xml:space="preserve">ASIC </w:t>
      </w:r>
      <w:r w:rsidRPr="00F96D23">
        <w:t>ask</w:t>
      </w:r>
      <w:r>
        <w:t>s</w:t>
      </w:r>
      <w:r w:rsidRPr="00F96D23">
        <w:t xml:space="preserve"> licence applicants about their </w:t>
      </w:r>
      <w:r>
        <w:t xml:space="preserve">professional indemnity </w:t>
      </w:r>
      <w:r w:rsidRPr="00F96D23">
        <w:t>insurance arrangements</w:t>
      </w:r>
      <w:r>
        <w:t xml:space="preserve"> and will </w:t>
      </w:r>
      <w:r w:rsidR="00026A5B">
        <w:t>not grant a</w:t>
      </w:r>
      <w:r w:rsidRPr="00F96D23">
        <w:t xml:space="preserve"> licence until </w:t>
      </w:r>
      <w:r>
        <w:t xml:space="preserve">it is satisfied </w:t>
      </w:r>
      <w:r w:rsidRPr="00F96D23">
        <w:t xml:space="preserve">that the applicant has the necessary arrangements in place. However, ASIC does not approve </w:t>
      </w:r>
      <w:r>
        <w:t>professional indemnity</w:t>
      </w:r>
      <w:r w:rsidRPr="00F96D23">
        <w:t xml:space="preserve"> insurance arrangements, nor do</w:t>
      </w:r>
      <w:r>
        <w:t>es</w:t>
      </w:r>
      <w:r w:rsidRPr="00F96D23">
        <w:t xml:space="preserve"> </w:t>
      </w:r>
      <w:r>
        <w:t>it have d</w:t>
      </w:r>
      <w:r w:rsidRPr="00F96D23">
        <w:t>ata about the</w:t>
      </w:r>
      <w:r w:rsidR="00C4588B">
        <w:t xml:space="preserve"> renewal of advice licensees</w:t>
      </w:r>
      <w:r w:rsidR="009F688A">
        <w:t>’</w:t>
      </w:r>
      <w:r w:rsidR="00C4588B">
        <w:t xml:space="preserve"> professional indemnity</w:t>
      </w:r>
      <w:r w:rsidRPr="00F96D23">
        <w:t xml:space="preserve"> insurance cover</w:t>
      </w:r>
      <w:r w:rsidR="005F1BAE">
        <w:t>.</w:t>
      </w:r>
      <w:r w:rsidR="005F1BAE">
        <w:rPr>
          <w:rStyle w:val="FootnoteReference"/>
        </w:rPr>
        <w:footnoteReference w:id="22"/>
      </w:r>
    </w:p>
    <w:p w:rsidR="005F1BAE" w:rsidRDefault="00026A5B">
      <w:pPr>
        <w:pStyle w:val="OutlineNumbered1"/>
      </w:pPr>
      <w:r w:rsidRPr="00026A5B">
        <w:t>The Panel notes there is currently a paucity of data about the professional indemnity insurance market</w:t>
      </w:r>
      <w:r>
        <w:t xml:space="preserve">, in particular, </w:t>
      </w:r>
      <w:r w:rsidRPr="00026A5B">
        <w:t>the policies held by financial services licensees and credit licensees. This</w:t>
      </w:r>
      <w:r w:rsidR="006638EA">
        <w:t xml:space="preserve"> raises particular challenges for </w:t>
      </w:r>
      <w:r w:rsidR="00C549EF">
        <w:t>the Panel</w:t>
      </w:r>
      <w:r w:rsidR="009F688A">
        <w:t>.</w:t>
      </w:r>
    </w:p>
    <w:p w:rsidR="0034190E" w:rsidRDefault="0080572C">
      <w:pPr>
        <w:pStyle w:val="OutlineNumbered1"/>
      </w:pPr>
      <w:r>
        <w:t>T</w:t>
      </w:r>
      <w:r w:rsidR="005F1BAE" w:rsidRPr="00963093">
        <w:t xml:space="preserve">he objective underpinning the </w:t>
      </w:r>
      <w:r w:rsidR="00465296" w:rsidRPr="00963093">
        <w:t xml:space="preserve">professional indemnity </w:t>
      </w:r>
      <w:r w:rsidR="005F1BAE" w:rsidRPr="00963093">
        <w:t xml:space="preserve">insurance requirement is to reduce the risk </w:t>
      </w:r>
      <w:r w:rsidR="005F1BAE">
        <w:t xml:space="preserve">to a firm </w:t>
      </w:r>
      <w:r w:rsidR="005F1BAE" w:rsidRPr="00963093">
        <w:t xml:space="preserve">that compensation claims cannot be satisfied by </w:t>
      </w:r>
      <w:r w:rsidR="005F1BAE">
        <w:t>the</w:t>
      </w:r>
      <w:r w:rsidR="005F1BAE" w:rsidRPr="00963093">
        <w:t xml:space="preserve"> firm due to</w:t>
      </w:r>
      <w:r w:rsidR="005F1BAE">
        <w:t xml:space="preserve"> a lack of financial resources.</w:t>
      </w:r>
      <w:r w:rsidR="005F1BAE" w:rsidRPr="00963093">
        <w:t xml:space="preserve"> It is not to provide comp</w:t>
      </w:r>
      <w:r w:rsidR="005F1BAE">
        <w:t>ensation directly to consumers.</w:t>
      </w:r>
      <w:r w:rsidR="005F1BAE">
        <w:rPr>
          <w:rStyle w:val="FootnoteReference"/>
        </w:rPr>
        <w:footnoteReference w:id="23"/>
      </w:r>
    </w:p>
    <w:p w:rsidR="0027479F" w:rsidRDefault="0027479F">
      <w:pPr>
        <w:pStyle w:val="OutlineNumbered1"/>
      </w:pPr>
      <w:r>
        <w:t xml:space="preserve">ASIC, in its December 2015 report, </w:t>
      </w:r>
      <w:r w:rsidRPr="0027479F">
        <w:rPr>
          <w:i/>
        </w:rPr>
        <w:t>Professional indemnity insurance market for AFS licensees providing financial product advice</w:t>
      </w:r>
      <w:r>
        <w:t>, identified a number of the inherent limitations of using professional indemnity insurance as a compensation mechanism, including:</w:t>
      </w:r>
    </w:p>
    <w:p w:rsidR="0027479F" w:rsidRDefault="009F688A">
      <w:pPr>
        <w:pStyle w:val="Bullet"/>
      </w:pPr>
      <w:r>
        <w:t>‘</w:t>
      </w:r>
      <w:r w:rsidR="0027479F">
        <w:t>[professional indemnity]</w:t>
      </w:r>
      <w:r w:rsidR="0027479F" w:rsidRPr="0027479F">
        <w:t xml:space="preserve"> insurance is designed to protect AFS licensees against business risk. It is neither intended nor designed to provide compensation directly to consumers. Therefore, even if a consumer is successful in their claim made to an EDR scheme, it is the AFS licensee that must make a claim on its PI</w:t>
      </w:r>
      <w:r w:rsidR="007E0A20">
        <w:t> </w:t>
      </w:r>
      <w:r w:rsidR="0027479F" w:rsidRPr="0027479F">
        <w:t>insurance to compensate the consumer as required. The consumer cannot claim directly on the PI insurance</w:t>
      </w:r>
      <w:r>
        <w:t>’</w:t>
      </w:r>
      <w:r w:rsidR="0027479F">
        <w:t>; and</w:t>
      </w:r>
    </w:p>
    <w:p w:rsidR="0027479F" w:rsidRDefault="009F688A">
      <w:pPr>
        <w:pStyle w:val="Bullet"/>
      </w:pPr>
      <w:r>
        <w:t>‘</w:t>
      </w:r>
      <w:r w:rsidR="0027479F">
        <w:t>[w]</w:t>
      </w:r>
      <w:r w:rsidR="0027479F" w:rsidRPr="0027479F">
        <w:t xml:space="preserve">hile ASIC provides detailed guidance to AFS licensees, </w:t>
      </w:r>
      <w:r w:rsidR="0027479F">
        <w:t>[it]</w:t>
      </w:r>
      <w:r w:rsidR="0027479F" w:rsidRPr="0027479F">
        <w:t xml:space="preserve"> cannot regulate for a market</w:t>
      </w:r>
      <w:r>
        <w:noBreakHyphen/>
      </w:r>
      <w:r w:rsidR="0027479F" w:rsidRPr="0027479F">
        <w:t xml:space="preserve">driven product. </w:t>
      </w:r>
      <w:r w:rsidR="0027479F">
        <w:t>[It]</w:t>
      </w:r>
      <w:r w:rsidR="0027479F" w:rsidRPr="0027479F">
        <w:t xml:space="preserve"> cannot require insurers to extend or limit cover, nor can </w:t>
      </w:r>
      <w:r w:rsidR="0027479F">
        <w:t>[it]</w:t>
      </w:r>
      <w:r w:rsidR="0027479F" w:rsidRPr="0027479F">
        <w:t xml:space="preserve"> prescribe key product features or policy terms, or influence price or the operation of exclusions and excesses</w:t>
      </w:r>
      <w:r>
        <w:t>’</w:t>
      </w:r>
      <w:r w:rsidR="0027479F" w:rsidRPr="0027479F">
        <w:t>.</w:t>
      </w:r>
      <w:r w:rsidR="0027479F">
        <w:rPr>
          <w:rStyle w:val="FootnoteReference"/>
        </w:rPr>
        <w:footnoteReference w:id="24"/>
      </w:r>
    </w:p>
    <w:p w:rsidR="005F019C" w:rsidRDefault="00A71214">
      <w:pPr>
        <w:pStyle w:val="OutlineNumbered1"/>
      </w:pPr>
      <w:r>
        <w:t xml:space="preserve">Submissions to </w:t>
      </w:r>
      <w:r w:rsidR="00F93C36">
        <w:t>the</w:t>
      </w:r>
      <w:r>
        <w:t xml:space="preserve"> </w:t>
      </w:r>
      <w:r w:rsidRPr="00056AAC">
        <w:t>Panel</w:t>
      </w:r>
      <w:r w:rsidR="009F688A">
        <w:t>’</w:t>
      </w:r>
      <w:r w:rsidRPr="00056AAC">
        <w:t xml:space="preserve">s Issues Paper of 9 September 2016 </w:t>
      </w:r>
      <w:r w:rsidR="00552523">
        <w:t xml:space="preserve">also </w:t>
      </w:r>
      <w:r w:rsidRPr="00056AAC">
        <w:t xml:space="preserve">indicated there are significant limitations in </w:t>
      </w:r>
      <w:r w:rsidR="00C549EF">
        <w:t xml:space="preserve">relying upon </w:t>
      </w:r>
      <w:r w:rsidRPr="00056AAC">
        <w:t>professional indemnity insurance</w:t>
      </w:r>
      <w:r w:rsidR="00C549EF">
        <w:t xml:space="preserve"> to provide compensation to consumers</w:t>
      </w:r>
      <w:r w:rsidR="00552523">
        <w:t xml:space="preserve">, which are </w:t>
      </w:r>
      <w:r>
        <w:t>outlined below.</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DC5536" w:rsidRPr="007B6996" w:rsidTr="003E06B4">
        <w:trPr>
          <w:trHeight w:val="1413"/>
        </w:trPr>
        <w:tc>
          <w:tcPr>
            <w:tcW w:w="9072" w:type="dxa"/>
          </w:tcPr>
          <w:p w:rsidR="00DC5536" w:rsidRPr="00C13AF0" w:rsidRDefault="007E010C" w:rsidP="00253395">
            <w:pPr>
              <w:pStyle w:val="BoxHeading"/>
              <w:spacing w:before="180" w:after="180"/>
            </w:pPr>
            <w:r>
              <w:t>L</w:t>
            </w:r>
            <w:r w:rsidR="00D03728">
              <w:t xml:space="preserve">imitations of using </w:t>
            </w:r>
            <w:r w:rsidR="00DC5536" w:rsidRPr="00C13AF0">
              <w:t>professional indemnity insurance as a compensation mechanism</w:t>
            </w:r>
          </w:p>
          <w:p w:rsidR="00DC5536" w:rsidRPr="002B724B" w:rsidRDefault="00DC5536" w:rsidP="00253395">
            <w:pPr>
              <w:pStyle w:val="BoxText"/>
              <w:spacing w:before="180"/>
              <w:rPr>
                <w:color w:val="000000" w:themeColor="text1"/>
              </w:rPr>
            </w:pPr>
            <w:r w:rsidRPr="002B724B">
              <w:rPr>
                <w:color w:val="000000" w:themeColor="text1"/>
              </w:rPr>
              <w:t>Stakeholders responding to the Panel</w:t>
            </w:r>
            <w:r w:rsidR="009F688A" w:rsidRPr="002B724B">
              <w:rPr>
                <w:color w:val="000000" w:themeColor="text1"/>
              </w:rPr>
              <w:t>’</w:t>
            </w:r>
            <w:r w:rsidRPr="002B724B">
              <w:rPr>
                <w:color w:val="000000" w:themeColor="text1"/>
              </w:rPr>
              <w:t>s Issues Paper indicated there are significant limitations in using professional indemnity insurance as a compensation mechanism, including:</w:t>
            </w:r>
          </w:p>
          <w:p w:rsidR="00DC5536" w:rsidRPr="002B724B" w:rsidRDefault="00DC5536" w:rsidP="00253395">
            <w:pPr>
              <w:pStyle w:val="BoxBullet-NoIndent"/>
              <w:spacing w:before="180"/>
            </w:pPr>
            <w:r w:rsidRPr="002B724B">
              <w:t>the total funds available under a policy may not cover all of the compensation awarded against the insured;</w:t>
            </w:r>
          </w:p>
          <w:p w:rsidR="00DC5536" w:rsidRPr="002B724B" w:rsidRDefault="00DC5536" w:rsidP="00253395">
            <w:pPr>
              <w:pStyle w:val="BoxBullet-NoIndent"/>
              <w:spacing w:before="180"/>
            </w:pPr>
            <w:r w:rsidRPr="002B724B">
              <w:t xml:space="preserve">the policy may not cover the conduct which gave rise to the order for compensation </w:t>
            </w:r>
            <w:r w:rsidR="00471E25" w:rsidRPr="002B724B">
              <w:t>(</w:t>
            </w:r>
            <w:r w:rsidRPr="002B724B">
              <w:t>for example, fraud</w:t>
            </w:r>
            <w:r w:rsidR="00471E25" w:rsidRPr="002B724B">
              <w:t>)</w:t>
            </w:r>
            <w:r w:rsidRPr="002B724B">
              <w:t>;</w:t>
            </w:r>
          </w:p>
          <w:p w:rsidR="00DC5536" w:rsidRPr="002B724B" w:rsidRDefault="00DC5536" w:rsidP="00253395">
            <w:pPr>
              <w:pStyle w:val="BoxBullet-NoIndent"/>
              <w:spacing w:before="180"/>
            </w:pPr>
            <w:r w:rsidRPr="002B724B">
              <w:t>the amount of compensation payable may be less than the policy</w:t>
            </w:r>
            <w:r w:rsidR="009F688A" w:rsidRPr="002B724B">
              <w:t>’</w:t>
            </w:r>
            <w:r w:rsidRPr="002B724B">
              <w:t>s excess;</w:t>
            </w:r>
            <w:r w:rsidR="0027479F" w:rsidRPr="002B724B">
              <w:t xml:space="preserve"> and</w:t>
            </w:r>
          </w:p>
          <w:p w:rsidR="00DC5536" w:rsidRPr="0027479F" w:rsidRDefault="00DC5536" w:rsidP="00253395">
            <w:pPr>
              <w:pStyle w:val="BoxBullet-NoIndent"/>
              <w:spacing w:before="180"/>
            </w:pPr>
            <w:r w:rsidRPr="002B724B">
              <w:t>cover may not have been taken out at all and self</w:t>
            </w:r>
            <w:r w:rsidR="009F688A" w:rsidRPr="002B724B">
              <w:noBreakHyphen/>
            </w:r>
            <w:r w:rsidRPr="002B724B">
              <w:t>certification often means this is only discovered after the firm is insolvent.</w:t>
            </w:r>
            <w:r w:rsidRPr="002B724B">
              <w:rPr>
                <w:rStyle w:val="FootnoteReference"/>
              </w:rPr>
              <w:footnoteReference w:id="25"/>
            </w:r>
          </w:p>
        </w:tc>
      </w:tr>
    </w:tbl>
    <w:p w:rsidR="004558F2" w:rsidRPr="00013038" w:rsidRDefault="004558F2" w:rsidP="00013038">
      <w:pPr>
        <w:pStyle w:val="SingleParagraph"/>
      </w:pPr>
    </w:p>
    <w:p w:rsidR="00DF5F44" w:rsidRPr="005B7000" w:rsidRDefault="00DF5F44" w:rsidP="00253395">
      <w:pPr>
        <w:pStyle w:val="Heading3"/>
      </w:pPr>
      <w:r w:rsidRPr="005B7000">
        <w:t xml:space="preserve">Compensation </w:t>
      </w:r>
      <w:r w:rsidR="0043470A" w:rsidRPr="005B7000">
        <w:t>schemes</w:t>
      </w:r>
      <w:r w:rsidRPr="005B7000">
        <w:t xml:space="preserve"> for specific losses</w:t>
      </w:r>
      <w:r w:rsidR="00E75D1A" w:rsidRPr="005B7000">
        <w:t xml:space="preserve"> in the financial </w:t>
      </w:r>
      <w:r w:rsidR="00351CC5">
        <w:t>system</w:t>
      </w:r>
    </w:p>
    <w:p w:rsidR="00DF5F44" w:rsidRDefault="00430A39" w:rsidP="00253395">
      <w:pPr>
        <w:pStyle w:val="OutlineNumbered1"/>
      </w:pPr>
      <w:bookmarkStart w:id="120" w:name="_Ref482615861"/>
      <w:r>
        <w:t xml:space="preserve">A number of targeted compensation schemes currently operate in the financial </w:t>
      </w:r>
      <w:r w:rsidR="00351CC5">
        <w:t xml:space="preserve">system </w:t>
      </w:r>
      <w:r>
        <w:t xml:space="preserve">to protect consumers from </w:t>
      </w:r>
      <w:r w:rsidR="00DF5F44">
        <w:t xml:space="preserve">specific types of </w:t>
      </w:r>
      <w:r>
        <w:t>loss</w:t>
      </w:r>
      <w:r w:rsidR="00351CC5">
        <w:t>es</w:t>
      </w:r>
      <w:r w:rsidR="00DF5F44">
        <w:t>.</w:t>
      </w:r>
      <w:bookmarkEnd w:id="120"/>
    </w:p>
    <w:p w:rsidR="00DF5F44" w:rsidRPr="001E696F" w:rsidRDefault="00DF5F44">
      <w:pPr>
        <w:pStyle w:val="Heading4"/>
      </w:pPr>
      <w:r w:rsidRPr="001E696F">
        <w:t>National Guarantee Fund</w:t>
      </w:r>
    </w:p>
    <w:p w:rsidR="00DF5F44" w:rsidRDefault="00DF5F44" w:rsidP="00253395">
      <w:pPr>
        <w:pStyle w:val="OutlineNumbered1"/>
      </w:pPr>
      <w:r w:rsidRPr="00B00828">
        <w:t xml:space="preserve">The National Guarantee Fund </w:t>
      </w:r>
      <w:r>
        <w:t xml:space="preserve">(NGF) </w:t>
      </w:r>
      <w:r w:rsidRPr="00B00828">
        <w:t xml:space="preserve">is a compensation fund available to meet certain claims which arise from dealings with participants of </w:t>
      </w:r>
      <w:r w:rsidR="00FC329E">
        <w:t>the Australian Securities Exchange (ASX)</w:t>
      </w:r>
      <w:r w:rsidRPr="00B00828">
        <w:t xml:space="preserve"> and, in limited circumstances, participants of ASX</w:t>
      </w:r>
      <w:r w:rsidR="007E0A20">
        <w:t> </w:t>
      </w:r>
      <w:r w:rsidRPr="00B00828">
        <w:t>Clear</w:t>
      </w:r>
      <w:r w:rsidR="007E0A20">
        <w:t> </w:t>
      </w:r>
      <w:r w:rsidRPr="00B00828">
        <w:t>Pty Limited</w:t>
      </w:r>
      <w:r w:rsidR="00FC329E">
        <w:t>, which provides clearing and settlement services</w:t>
      </w:r>
      <w:r w:rsidRPr="00B00828">
        <w:t>.</w:t>
      </w:r>
      <w:r>
        <w:t xml:space="preserve"> A range of claims can be paid under the NGF, but of particular relevance are claims relating to </w:t>
      </w:r>
      <w:r w:rsidRPr="00B00828">
        <w:t xml:space="preserve">compensation for loss that results if a </w:t>
      </w:r>
      <w:r>
        <w:t>market participant</w:t>
      </w:r>
      <w:r w:rsidRPr="00B00828">
        <w:t xml:space="preserve"> becomes insolvent</w:t>
      </w:r>
      <w:r>
        <w:t xml:space="preserve"> </w:t>
      </w:r>
      <w:r w:rsidRPr="00B00828">
        <w:t>and fails to meet its obligations to a person who had previously entrusted</w:t>
      </w:r>
      <w:r>
        <w:t xml:space="preserve"> </w:t>
      </w:r>
      <w:r w:rsidRPr="00B00828">
        <w:t>property to it</w:t>
      </w:r>
      <w:r w:rsidR="009F688A">
        <w:t>.</w:t>
      </w:r>
    </w:p>
    <w:p w:rsidR="00DF5F44" w:rsidRDefault="00DF5F44" w:rsidP="00253395">
      <w:pPr>
        <w:pStyle w:val="OutlineNumbered1"/>
      </w:pPr>
      <w:r>
        <w:t xml:space="preserve">The </w:t>
      </w:r>
      <w:r w:rsidR="007E010C">
        <w:t>NGF</w:t>
      </w:r>
      <w:r>
        <w:t xml:space="preserve"> is open to both wholesale and retail clients. There is no cap on claims of compensation for loss arising where a market participant fails to complete a sale or purchase of securities, makes an unauthorised transfer of securities</w:t>
      </w:r>
      <w:r w:rsidR="0043470A">
        <w:t>,</w:t>
      </w:r>
      <w:r>
        <w:t xml:space="preserve"> or cancels or fails to cancel a certificate of title to quoted securities. The scheme is funded by ASX</w:t>
      </w:r>
      <w:r w:rsidR="007E0A20">
        <w:t> </w:t>
      </w:r>
      <w:r>
        <w:t>participants.</w:t>
      </w:r>
    </w:p>
    <w:p w:rsidR="00DF5F44" w:rsidRDefault="00DF5F44">
      <w:pPr>
        <w:pStyle w:val="Heading4"/>
      </w:pPr>
      <w:r>
        <w:t>Financial Claims Scheme</w:t>
      </w:r>
    </w:p>
    <w:p w:rsidR="00DF5F44" w:rsidRDefault="00442ACC" w:rsidP="00253395">
      <w:pPr>
        <w:pStyle w:val="OutlineNumbered1"/>
      </w:pPr>
      <w:r>
        <w:t>The Financial Claims S</w:t>
      </w:r>
      <w:r w:rsidR="00DF5F44" w:rsidRPr="00807AA5">
        <w:t>cheme</w:t>
      </w:r>
      <w:r w:rsidR="00DF5F44">
        <w:t xml:space="preserve"> is </w:t>
      </w:r>
      <w:r w:rsidR="00DF5F44" w:rsidRPr="00180980">
        <w:t>an Australian Government scheme that protects</w:t>
      </w:r>
      <w:r w:rsidR="00DF5F44">
        <w:t xml:space="preserve"> retail clients of authorised deposit</w:t>
      </w:r>
      <w:r w:rsidR="009F688A">
        <w:noBreakHyphen/>
      </w:r>
      <w:r w:rsidR="00DF5F44">
        <w:t>taking institutions (A</w:t>
      </w:r>
      <w:r>
        <w:t>DIs) and policy holders of APRA</w:t>
      </w:r>
      <w:r w:rsidR="009F688A">
        <w:noBreakHyphen/>
      </w:r>
      <w:r w:rsidR="00DF5F44">
        <w:t xml:space="preserve">regulated general insurance companies </w:t>
      </w:r>
      <w:r w:rsidR="00DF5F44" w:rsidRPr="00180980">
        <w:t xml:space="preserve">from potential loss due to </w:t>
      </w:r>
      <w:r w:rsidR="00DF5F44">
        <w:t xml:space="preserve">the </w:t>
      </w:r>
      <w:r w:rsidR="00DF5F44" w:rsidRPr="00180980">
        <w:t>failure</w:t>
      </w:r>
      <w:r w:rsidR="00DF5F44">
        <w:t xml:space="preserve"> of </w:t>
      </w:r>
      <w:r w:rsidR="00DF5F44" w:rsidRPr="00180980">
        <w:t>these institutions</w:t>
      </w:r>
      <w:r w:rsidR="009F688A">
        <w:t>.</w:t>
      </w:r>
    </w:p>
    <w:p w:rsidR="00FE5932" w:rsidRDefault="00FE5932">
      <w:pPr>
        <w:pStyle w:val="OutlineNumbered1"/>
      </w:pPr>
      <w:r w:rsidRPr="00FE5932">
        <w:t>For banks, building societies and credit unions in</w:t>
      </w:r>
      <w:r w:rsidR="00526648">
        <w:t>corporated in Australia, the Scheme</w:t>
      </w:r>
      <w:r w:rsidRPr="00FE5932">
        <w:t xml:space="preserve"> provides protection to depositors up to $250,000 per account</w:t>
      </w:r>
      <w:r w:rsidR="00FF1AE9">
        <w:t xml:space="preserve"> </w:t>
      </w:r>
      <w:r w:rsidRPr="00FE5932">
        <w:t>holder per</w:t>
      </w:r>
      <w:r w:rsidR="007E0A20">
        <w:t> </w:t>
      </w:r>
      <w:r w:rsidRPr="00FE5932">
        <w:t>ADI. The Scheme seeks to provide depositors with timely access to their protected deposits in the unlikely event of the failure of their ADI</w:t>
      </w:r>
      <w:r w:rsidR="009F688A">
        <w:t>.</w:t>
      </w:r>
    </w:p>
    <w:p w:rsidR="00FE5932" w:rsidRDefault="00FE5932">
      <w:pPr>
        <w:pStyle w:val="OutlineNumbered1"/>
      </w:pPr>
      <w:r w:rsidRPr="00FE5932">
        <w:t>For general insurers, the Scheme provides compensation to eligible policyholders with valid claims against a faile</w:t>
      </w:r>
      <w:r w:rsidR="00526648">
        <w:t>d general insurer. Under the Scheme</w:t>
      </w:r>
      <w:r w:rsidRPr="00FE5932">
        <w:t>, most policyholders with the affected general insurer are covered for valid claims up to</w:t>
      </w:r>
      <w:r w:rsidR="007E0A20">
        <w:t> </w:t>
      </w:r>
      <w:r w:rsidRPr="00FE5932">
        <w:t>$5,000. For any valid claims of $5,000 and over, the policyholder or claimant must be eligible under certain criteria.</w:t>
      </w:r>
    </w:p>
    <w:p w:rsidR="00DF5F44" w:rsidRPr="00807AA5" w:rsidRDefault="00DF5F44">
      <w:pPr>
        <w:pStyle w:val="OutlineNumbered1"/>
      </w:pPr>
      <w:r>
        <w:t xml:space="preserve">The </w:t>
      </w:r>
      <w:r w:rsidR="004B0522">
        <w:t>S</w:t>
      </w:r>
      <w:r>
        <w:t>cheme is funded by recovery action through insolvency proceedings, and if the assets are insufficient, through an industry levy on other ADIs or general insurers.</w:t>
      </w:r>
    </w:p>
    <w:p w:rsidR="00DF5F44" w:rsidRPr="00535AA7" w:rsidRDefault="00DF5F44">
      <w:pPr>
        <w:pStyle w:val="Heading4"/>
      </w:pPr>
      <w:r w:rsidRPr="0010513E">
        <w:t xml:space="preserve">Part 23 of the </w:t>
      </w:r>
      <w:r w:rsidRPr="00F57463">
        <w:rPr>
          <w:i/>
        </w:rPr>
        <w:t>Superannuation Industry (Supervision) Act 1993</w:t>
      </w:r>
    </w:p>
    <w:p w:rsidR="00DF5F44" w:rsidRDefault="00DF5F44">
      <w:pPr>
        <w:pStyle w:val="OutlineNumbered1"/>
      </w:pPr>
      <w:r>
        <w:t xml:space="preserve">Part 23 of the </w:t>
      </w:r>
      <w:r w:rsidRPr="002050D3">
        <w:rPr>
          <w:i/>
        </w:rPr>
        <w:t>Superannuation Industry (Supervision) Act 1993</w:t>
      </w:r>
      <w:r>
        <w:t xml:space="preserve"> makes provision for the grant of financial assistance to APRA</w:t>
      </w:r>
      <w:r w:rsidR="009F688A">
        <w:noBreakHyphen/>
      </w:r>
      <w:r>
        <w:t>regulated superannuation funds that have suffered loss as a result of fraudulent conduct or theft. The loss must also have caused a substantial diminution of the superannuation fund leading to difficulties in the payment of benefits.</w:t>
      </w:r>
    </w:p>
    <w:p w:rsidR="00DF5F44" w:rsidRDefault="00DF5F44">
      <w:pPr>
        <w:pStyle w:val="OutlineNumbered1"/>
      </w:pPr>
      <w:bookmarkStart w:id="121" w:name="_Ref482615892"/>
      <w:r>
        <w:t>Compensation limits are at the Minister</w:t>
      </w:r>
      <w:r w:rsidR="009F688A">
        <w:t>’</w:t>
      </w:r>
      <w:r>
        <w:t xml:space="preserve">s discretion with previous grants ranging from 90 to 100 per cent of the eligible loss. If the Minister, after seeking the advice of APRA, is satisfied that the loss has caused </w:t>
      </w:r>
      <w:r w:rsidR="00FC329E">
        <w:t xml:space="preserve">a </w:t>
      </w:r>
      <w:r>
        <w:t xml:space="preserve">substantial diminution of the superannuation fund and that the public interest requires action, a financial grant may be </w:t>
      </w:r>
      <w:r w:rsidR="00FC329E">
        <w:t>made by government to the fund.</w:t>
      </w:r>
      <w:r>
        <w:t xml:space="preserve"> The scheme is industr</w:t>
      </w:r>
      <w:r w:rsidR="008F5A3B">
        <w:t>y funded through a levy on APRA</w:t>
      </w:r>
      <w:r w:rsidR="009F688A">
        <w:noBreakHyphen/>
      </w:r>
      <w:r>
        <w:t>regulated superannuation funds and approved deposit funds.</w:t>
      </w:r>
      <w:bookmarkEnd w:id="121"/>
    </w:p>
    <w:p w:rsidR="009B04E2" w:rsidRDefault="009B04E2" w:rsidP="00F53396">
      <w:pPr>
        <w:pStyle w:val="Heading2"/>
      </w:pPr>
      <w:bookmarkStart w:id="122" w:name="_Toc483229139"/>
      <w:bookmarkStart w:id="123" w:name="_Toc483230254"/>
      <w:bookmarkStart w:id="124" w:name="_Toc483398633"/>
      <w:bookmarkStart w:id="125" w:name="_Toc483485320"/>
      <w:bookmarkStart w:id="126" w:name="_Toc483988908"/>
      <w:r>
        <w:t>C</w:t>
      </w:r>
      <w:r w:rsidR="007F7180">
        <w:t>ompensation arrangements</w:t>
      </w:r>
      <w:r w:rsidR="003B075E">
        <w:t xml:space="preserve"> outside of the financial services industry</w:t>
      </w:r>
      <w:bookmarkEnd w:id="122"/>
      <w:bookmarkEnd w:id="123"/>
      <w:bookmarkEnd w:id="124"/>
      <w:bookmarkEnd w:id="125"/>
      <w:bookmarkEnd w:id="126"/>
    </w:p>
    <w:p w:rsidR="006638EA" w:rsidRDefault="00526648">
      <w:pPr>
        <w:pStyle w:val="OutlineNumbered1"/>
      </w:pPr>
      <w:r>
        <w:t xml:space="preserve">Compensation schemes for particular types of losses </w:t>
      </w:r>
      <w:r w:rsidR="00351CC5">
        <w:t xml:space="preserve">have </w:t>
      </w:r>
      <w:r>
        <w:t xml:space="preserve">also </w:t>
      </w:r>
      <w:r w:rsidR="00351CC5">
        <w:t xml:space="preserve">been established from time to time </w:t>
      </w:r>
      <w:r>
        <w:t>in other sectors. Several examples are described below</w:t>
      </w:r>
      <w:r w:rsidR="003B075E">
        <w:t>.</w:t>
      </w:r>
    </w:p>
    <w:p w:rsidR="006638EA" w:rsidRPr="002E01B0" w:rsidRDefault="006638EA" w:rsidP="007F5CBC">
      <w:pPr>
        <w:pStyle w:val="Heading3"/>
      </w:pPr>
      <w:r>
        <w:t>Fair Entitlements Guarantee</w:t>
      </w:r>
    </w:p>
    <w:p w:rsidR="00E75D1A" w:rsidRDefault="004B0522">
      <w:pPr>
        <w:pStyle w:val="OutlineNumbered1"/>
      </w:pPr>
      <w:r>
        <w:t>T</w:t>
      </w:r>
      <w:r w:rsidR="00E75D1A">
        <w:t>he</w:t>
      </w:r>
      <w:r w:rsidR="00E75D1A" w:rsidRPr="001E5D5D">
        <w:t xml:space="preserve"> Fair Entitlements Guarantee</w:t>
      </w:r>
      <w:r w:rsidR="00E75D1A">
        <w:t xml:space="preserve"> is a</w:t>
      </w:r>
      <w:r w:rsidR="00FC329E">
        <w:t>n Australian G</w:t>
      </w:r>
      <w:r w:rsidR="00E75D1A">
        <w:t xml:space="preserve">overnment funded scheme of last resort that provides financial assistance for unpaid employee entitlements to eligible employees who lose their job due to the liquidation or bankruptcy of their employer. To be eligible, employees </w:t>
      </w:r>
      <w:r w:rsidR="00FC329E">
        <w:t>need to lodge a claim with the G</w:t>
      </w:r>
      <w:r w:rsidR="00E75D1A">
        <w:t xml:space="preserve">overnment within </w:t>
      </w:r>
      <w:r w:rsidR="00574340">
        <w:t xml:space="preserve">either </w:t>
      </w:r>
      <w:r w:rsidR="00E75D1A">
        <w:t>12</w:t>
      </w:r>
      <w:r w:rsidR="00F950D0">
        <w:t> </w:t>
      </w:r>
      <w:r w:rsidR="00E75D1A">
        <w:t xml:space="preserve">months of losing their job or the liquidation </w:t>
      </w:r>
      <w:r w:rsidR="002E01B0">
        <w:t>or bankruptcy of their former employer</w:t>
      </w:r>
      <w:r w:rsidR="00E75D1A">
        <w:t>, whichever is later. Directors of companies (and their spouses or relatives) and contractors are excluded from the scheme.</w:t>
      </w:r>
    </w:p>
    <w:p w:rsidR="00B800FE" w:rsidRPr="00B800FE" w:rsidRDefault="00B800FE" w:rsidP="00253395">
      <w:r w:rsidRPr="00B800FE">
        <w:br w:type="page"/>
      </w:r>
    </w:p>
    <w:p w:rsidR="00E75D1A" w:rsidRDefault="00E75D1A" w:rsidP="00253395">
      <w:pPr>
        <w:pStyle w:val="OutlineNumbered1"/>
      </w:pPr>
      <w:r>
        <w:t>Once entitlements are paid to an emp</w:t>
      </w:r>
      <w:r w:rsidR="00FC329E">
        <w:t xml:space="preserve">loyee under the Guarantee, the </w:t>
      </w:r>
      <w:r w:rsidR="003C1066">
        <w:t>G</w:t>
      </w:r>
      <w:r>
        <w:t>overnment stands in the shoes of the employee as a subrogated creditor and is entitled to claim the amount</w:t>
      </w:r>
      <w:r w:rsidR="00FC329E">
        <w:t xml:space="preserve"> paid</w:t>
      </w:r>
      <w:r>
        <w:t>, and is given priority over other unsecured creditors. The Government may also provide funds to liquidators to enable recovery efforts of the Guarantee from entities, including initiating legal pro</w:t>
      </w:r>
      <w:r w:rsidR="003C1066">
        <w:t>ceedings to recoup any funds paid</w:t>
      </w:r>
      <w:r>
        <w:t>.</w:t>
      </w:r>
      <w:r w:rsidR="005A6BFC">
        <w:rPr>
          <w:rStyle w:val="FootnoteReference"/>
        </w:rPr>
        <w:footnoteReference w:id="26"/>
      </w:r>
    </w:p>
    <w:p w:rsidR="006638EA" w:rsidRDefault="006638EA" w:rsidP="007F5CBC">
      <w:pPr>
        <w:pStyle w:val="Heading3"/>
      </w:pPr>
      <w:r>
        <w:t>Travel Compensation Fund</w:t>
      </w:r>
    </w:p>
    <w:p w:rsidR="00B24AE2" w:rsidRDefault="00B24AE2" w:rsidP="00253395">
      <w:pPr>
        <w:pStyle w:val="OutlineNumbered1"/>
      </w:pPr>
      <w:r>
        <w:t>The national licensing rules for travel agents</w:t>
      </w:r>
      <w:r w:rsidR="004D0A5A">
        <w:t xml:space="preserve">, which </w:t>
      </w:r>
      <w:r w:rsidR="0065330C">
        <w:t xml:space="preserve">were in place until 30 June 2014, </w:t>
      </w:r>
      <w:r>
        <w:t xml:space="preserve">required participation in the Travel Compensation Fund </w:t>
      </w:r>
      <w:r w:rsidR="00887987">
        <w:t xml:space="preserve">(TCF) </w:t>
      </w:r>
      <w:r>
        <w:t>as a precondition for being licensed. The TCF</w:t>
      </w:r>
      <w:r w:rsidR="009F688A">
        <w:t>’</w:t>
      </w:r>
      <w:r>
        <w:t>s purposes were to:</w:t>
      </w:r>
    </w:p>
    <w:p w:rsidR="00B24AE2" w:rsidRDefault="00B24AE2">
      <w:pPr>
        <w:pStyle w:val="Bullet"/>
      </w:pPr>
      <w:r>
        <w:t>ensure that only persons who ha</w:t>
      </w:r>
      <w:r w:rsidR="0065330C">
        <w:t>d</w:t>
      </w:r>
      <w:r>
        <w:t xml:space="preserve"> sufficient financial resources </w:t>
      </w:r>
      <w:r w:rsidR="0065330C">
        <w:t>could</w:t>
      </w:r>
      <w:r>
        <w:t xml:space="preserve"> join, or continue to participate in, the fund and therefore carry on business as a </w:t>
      </w:r>
      <w:r w:rsidDel="0086095C">
        <w:t>travel</w:t>
      </w:r>
      <w:r w:rsidR="0086095C">
        <w:t> </w:t>
      </w:r>
      <w:r>
        <w:t>agent; and</w:t>
      </w:r>
    </w:p>
    <w:p w:rsidR="00B24AE2" w:rsidRDefault="00B24AE2">
      <w:pPr>
        <w:pStyle w:val="Bullet"/>
      </w:pPr>
      <w:r>
        <w:t>provide compensation to eligible consumers who ha</w:t>
      </w:r>
      <w:r w:rsidR="004029C7">
        <w:t>d</w:t>
      </w:r>
      <w:r>
        <w:t xml:space="preserve"> suffered financial loss as a result of the bankruptcy </w:t>
      </w:r>
      <w:r w:rsidR="004D0A5A">
        <w:t xml:space="preserve">or insolvency </w:t>
      </w:r>
      <w:r>
        <w:t xml:space="preserve">of </w:t>
      </w:r>
      <w:r w:rsidR="004029C7">
        <w:t xml:space="preserve">a </w:t>
      </w:r>
      <w:r>
        <w:t>registered travel agent.</w:t>
      </w:r>
    </w:p>
    <w:p w:rsidR="00B24AE2" w:rsidRDefault="00B24AE2" w:rsidP="00253395">
      <w:pPr>
        <w:pStyle w:val="OutlineNumbered1"/>
      </w:pPr>
      <w:r>
        <w:t xml:space="preserve">The TCF, which closed at the end of 2015, </w:t>
      </w:r>
      <w:r w:rsidRPr="00477912">
        <w:t>provide</w:t>
      </w:r>
      <w:r>
        <w:t>d</w:t>
      </w:r>
      <w:r w:rsidRPr="00477912">
        <w:t xml:space="preserve"> for compe</w:t>
      </w:r>
      <w:r>
        <w:t>nsation to be paid to consumers</w:t>
      </w:r>
      <w:r w:rsidRPr="00477912">
        <w:t xml:space="preserve"> in </w:t>
      </w:r>
      <w:r>
        <w:t>circumstances</w:t>
      </w:r>
      <w:r w:rsidRPr="00477912">
        <w:t xml:space="preserve"> where they ha</w:t>
      </w:r>
      <w:r>
        <w:t>d</w:t>
      </w:r>
      <w:r w:rsidRPr="00477912">
        <w:t xml:space="preserve"> paid a licensed travel agent for travel or travel</w:t>
      </w:r>
      <w:r w:rsidR="009F688A">
        <w:noBreakHyphen/>
      </w:r>
      <w:r w:rsidRPr="00477912">
        <w:t>related services, and that agent subsequently fail</w:t>
      </w:r>
      <w:r>
        <w:t>ed</w:t>
      </w:r>
      <w:r w:rsidRPr="00477912">
        <w:t xml:space="preserve"> to arrange the services requested by the consumer</w:t>
      </w:r>
      <w:r>
        <w:t>.</w:t>
      </w:r>
    </w:p>
    <w:p w:rsidR="00A913F6" w:rsidRDefault="00A913F6" w:rsidP="00253395">
      <w:pPr>
        <w:pStyle w:val="OutlineNumbered1"/>
      </w:pPr>
      <w:r>
        <w:t xml:space="preserve">The TCF was funded, relevantly, through: </w:t>
      </w:r>
      <w:r w:rsidRPr="00A913F6">
        <w:t>initial contributions by new participants</w:t>
      </w:r>
      <w:r>
        <w:t xml:space="preserve">; </w:t>
      </w:r>
      <w:r w:rsidRPr="00A913F6">
        <w:t>initial administration fees by new participants</w:t>
      </w:r>
      <w:r>
        <w:t xml:space="preserve">; and </w:t>
      </w:r>
      <w:r w:rsidRPr="00A913F6">
        <w:t>ongoing annual renewal fees</w:t>
      </w:r>
      <w:r>
        <w:t>.</w:t>
      </w:r>
      <w:r>
        <w:rPr>
          <w:rStyle w:val="FootnoteReference"/>
        </w:rPr>
        <w:footnoteReference w:id="27"/>
      </w:r>
    </w:p>
    <w:p w:rsidR="006638EA" w:rsidRDefault="00BD2249" w:rsidP="000E30F6">
      <w:pPr>
        <w:pStyle w:val="Heading3"/>
        <w:spacing w:before="0"/>
      </w:pPr>
      <w:r>
        <w:t xml:space="preserve">NSW Law Society </w:t>
      </w:r>
      <w:r w:rsidR="006638EA">
        <w:t>Fidelity Fund</w:t>
      </w:r>
    </w:p>
    <w:p w:rsidR="00647CA1" w:rsidRDefault="00647CA1" w:rsidP="00253395">
      <w:pPr>
        <w:pStyle w:val="OutlineNumbered1"/>
        <w:spacing w:after="210"/>
      </w:pPr>
      <w:r w:rsidRPr="00647CA1">
        <w:t xml:space="preserve">Administered by the </w:t>
      </w:r>
      <w:r>
        <w:t xml:space="preserve">NSW </w:t>
      </w:r>
      <w:r w:rsidRPr="00647CA1">
        <w:t xml:space="preserve">Law Society, the </w:t>
      </w:r>
      <w:r w:rsidR="00787FDC">
        <w:t xml:space="preserve">Fidelity </w:t>
      </w:r>
      <w:r w:rsidRPr="00647CA1">
        <w:t>Fund receives annual contributions from solicitors as part of their Practising Certificate requirements. The money received is used to pay compensation to members of the public who successfully claim financial loss due to a solicitor</w:t>
      </w:r>
      <w:r w:rsidR="009F688A">
        <w:t>’</w:t>
      </w:r>
      <w:r w:rsidRPr="00647CA1">
        <w:t>s or firm</w:t>
      </w:r>
      <w:r w:rsidR="009F688A">
        <w:t>’</w:t>
      </w:r>
      <w:r w:rsidRPr="00647CA1">
        <w:t>s dishonest failure to pay or deliver trust money or property.</w:t>
      </w:r>
    </w:p>
    <w:p w:rsidR="00B800FE" w:rsidRPr="00B800FE" w:rsidRDefault="00B800FE" w:rsidP="00253395">
      <w:r w:rsidRPr="00B800FE">
        <w:br w:type="page"/>
      </w:r>
    </w:p>
    <w:p w:rsidR="006638EA" w:rsidRPr="00715C09" w:rsidRDefault="00787FDC" w:rsidP="00253395">
      <w:pPr>
        <w:pStyle w:val="OutlineNumbered1"/>
        <w:spacing w:after="210"/>
      </w:pPr>
      <w:r>
        <w:t>Upon receipt of a claim, the Law Society may make further enquiries. The Fidelity Fund Management Committee decides the claim and it can allow, disallow, compromise or settle it.</w:t>
      </w:r>
      <w:r w:rsidRPr="00647CA1">
        <w:t xml:space="preserve"> </w:t>
      </w:r>
      <w:r w:rsidR="00647CA1" w:rsidRPr="00647CA1">
        <w:t xml:space="preserve">For almost all </w:t>
      </w:r>
      <w:r w:rsidR="00647CA1">
        <w:t>c</w:t>
      </w:r>
      <w:r w:rsidR="00647CA1" w:rsidRPr="00647CA1">
        <w:t xml:space="preserve">laims, there is a limit on payments of a total of $1,000,000 for all claims against a particular solicitor or firm. The Law Society may increase this </w:t>
      </w:r>
      <w:r w:rsidR="00647CA1">
        <w:t>amount</w:t>
      </w:r>
      <w:r w:rsidR="00647CA1" w:rsidRPr="00647CA1">
        <w:t>, but is not obliged to do so.</w:t>
      </w:r>
    </w:p>
    <w:p w:rsidR="00A107C6" w:rsidRDefault="00A107C6" w:rsidP="007F5CBC">
      <w:pPr>
        <w:pStyle w:val="Heading3"/>
      </w:pPr>
      <w:r>
        <w:t>Motor Car Traders Guarantee Fund</w:t>
      </w:r>
    </w:p>
    <w:p w:rsidR="00A107C6" w:rsidRDefault="00A107C6" w:rsidP="00253395">
      <w:pPr>
        <w:pStyle w:val="OutlineNumbered1"/>
        <w:spacing w:after="210"/>
      </w:pPr>
      <w:r>
        <w:t>The Motor Car Traders Guarantee Fund operates in Victoria to</w:t>
      </w:r>
      <w:r w:rsidR="00BD2249">
        <w:t>, relevantly,</w:t>
      </w:r>
      <w:r>
        <w:t xml:space="preserve"> meet the cost of</w:t>
      </w:r>
      <w:r w:rsidR="00BD2249">
        <w:t xml:space="preserve"> </w:t>
      </w:r>
      <w:r>
        <w:t xml:space="preserve">successful claims made by consumers who have suffered a loss after purchasing a car, motorcycle or commercial vehicle, as a result of the trader failing to comply with certain conditions of the </w:t>
      </w:r>
      <w:r w:rsidRPr="00661609">
        <w:rPr>
          <w:i/>
        </w:rPr>
        <w:t>Motor Car Traders Act 1986</w:t>
      </w:r>
      <w:r>
        <w:t xml:space="preserve"> (</w:t>
      </w:r>
      <w:r w:rsidR="00BA2678">
        <w:t xml:space="preserve">Vic) </w:t>
      </w:r>
      <w:r>
        <w:t>(such as compliance with warranty provisions or transferring title to the car</w:t>
      </w:r>
      <w:r w:rsidR="00BD2249">
        <w:t>).</w:t>
      </w:r>
      <w:r w:rsidR="00BA2678">
        <w:rPr>
          <w:rStyle w:val="FootnoteReference"/>
        </w:rPr>
        <w:footnoteReference w:id="28"/>
      </w:r>
    </w:p>
    <w:p w:rsidR="00A107C6" w:rsidRDefault="00A107C6" w:rsidP="00253395">
      <w:pPr>
        <w:pStyle w:val="OutlineNumbered1"/>
        <w:spacing w:after="210"/>
      </w:pPr>
      <w:r>
        <w:t>Claims for compensation from the Fund are heard by the Motor Car Traders Claims Committee. Attempts must have first been made to resolve the complaint directly with the motor car trader (IDR). Making a claim is free of charge, with the maximum amount awarded being $40,000. The Fund is funded through motor car traders</w:t>
      </w:r>
      <w:r w:rsidR="009F688A">
        <w:t>’</w:t>
      </w:r>
      <w:r>
        <w:t xml:space="preserve"> licensing fees and penalties paid for breaches of the </w:t>
      </w:r>
      <w:r w:rsidRPr="00661609">
        <w:rPr>
          <w:i/>
        </w:rPr>
        <w:t>Motor Car Traders Act</w:t>
      </w:r>
      <w:r w:rsidR="007E0A20">
        <w:rPr>
          <w:i/>
        </w:rPr>
        <w:t> </w:t>
      </w:r>
      <w:r w:rsidRPr="00661609">
        <w:rPr>
          <w:i/>
        </w:rPr>
        <w:t>1986</w:t>
      </w:r>
      <w:r w:rsidR="00BA2678">
        <w:rPr>
          <w:i/>
        </w:rPr>
        <w:t xml:space="preserve"> </w:t>
      </w:r>
      <w:r w:rsidR="00BA2678" w:rsidRPr="00661609">
        <w:t>(Vic)</w:t>
      </w:r>
      <w:r w:rsidRPr="00BA2678">
        <w:t>.</w:t>
      </w:r>
      <w:r>
        <w:t xml:space="preserve"> The </w:t>
      </w:r>
      <w:r w:rsidR="007863AB">
        <w:t>F</w:t>
      </w:r>
      <w:r>
        <w:t>und seeks to recover amounts paid out against the licensee.</w:t>
      </w:r>
      <w:r w:rsidR="00BA2678">
        <w:rPr>
          <w:rStyle w:val="FootnoteReference"/>
        </w:rPr>
        <w:footnoteReference w:id="29"/>
      </w:r>
    </w:p>
    <w:p w:rsidR="00880A5C" w:rsidRDefault="00E75D1A" w:rsidP="00F53396">
      <w:pPr>
        <w:pStyle w:val="Heading2"/>
      </w:pPr>
      <w:bookmarkStart w:id="127" w:name="_Toc483229140"/>
      <w:bookmarkStart w:id="128" w:name="_Toc483230255"/>
      <w:bookmarkStart w:id="129" w:name="_Toc483398634"/>
      <w:bookmarkStart w:id="130" w:name="_Toc483485321"/>
      <w:bookmarkStart w:id="131" w:name="_Toc483988909"/>
      <w:r>
        <w:t xml:space="preserve">International </w:t>
      </w:r>
      <w:r w:rsidR="0043470A">
        <w:t xml:space="preserve">financial services industry </w:t>
      </w:r>
      <w:r>
        <w:t>compensation schemes</w:t>
      </w:r>
      <w:bookmarkEnd w:id="127"/>
      <w:bookmarkEnd w:id="128"/>
      <w:bookmarkEnd w:id="129"/>
      <w:bookmarkEnd w:id="130"/>
      <w:bookmarkEnd w:id="131"/>
    </w:p>
    <w:p w:rsidR="003C1066" w:rsidRDefault="00DF5F44" w:rsidP="00253395">
      <w:pPr>
        <w:pStyle w:val="OutlineNumbered1"/>
        <w:spacing w:after="210"/>
      </w:pPr>
      <w:r>
        <w:t>C</w:t>
      </w:r>
      <w:r w:rsidRPr="00DE6FF3">
        <w:t xml:space="preserve">ompensation schemes have been established in the financial services </w:t>
      </w:r>
      <w:r w:rsidR="00E75D1A">
        <w:t>industry</w:t>
      </w:r>
      <w:r w:rsidRPr="00DE6FF3">
        <w:t xml:space="preserve"> </w:t>
      </w:r>
      <w:r w:rsidR="008E0074">
        <w:t>in other jurisdictions</w:t>
      </w:r>
      <w:r w:rsidR="008E0074" w:rsidRPr="00DE6FF3">
        <w:t xml:space="preserve"> </w:t>
      </w:r>
      <w:r>
        <w:t>to address issues associated with</w:t>
      </w:r>
      <w:r w:rsidR="00E75D1A">
        <w:t xml:space="preserve"> consumers who have suffered </w:t>
      </w:r>
      <w:r w:rsidR="003C1066">
        <w:t>financial losses</w:t>
      </w:r>
      <w:r w:rsidR="0036035F">
        <w:t xml:space="preserve"> (see </w:t>
      </w:r>
      <w:r w:rsidR="002E01B0">
        <w:t xml:space="preserve">table </w:t>
      </w:r>
      <w:r w:rsidR="0036035F">
        <w:t>below)</w:t>
      </w:r>
      <w:r w:rsidR="003C1066">
        <w:t>.</w:t>
      </w:r>
    </w:p>
    <w:p w:rsidR="00DF5F44" w:rsidRDefault="00DF5F44" w:rsidP="00253395">
      <w:pPr>
        <w:pStyle w:val="OutlineNumbered1"/>
        <w:spacing w:after="0"/>
      </w:pPr>
      <w:r>
        <w:t xml:space="preserve">While a number of the schemes in these jurisdictions are targeted </w:t>
      </w:r>
      <w:r w:rsidR="0036035F">
        <w:t>at</w:t>
      </w:r>
      <w:r>
        <w:t xml:space="preserve"> specific types of loss, similar to the existing approach in Australia, the U</w:t>
      </w:r>
      <w:r w:rsidR="0036035F">
        <w:t xml:space="preserve">nited </w:t>
      </w:r>
      <w:r>
        <w:t>K</w:t>
      </w:r>
      <w:r w:rsidR="0036035F">
        <w:t>ingdom</w:t>
      </w:r>
      <w:r>
        <w:t xml:space="preserve"> has introduced a single, comprehensive scheme covering a broad range of losses</w:t>
      </w:r>
      <w:r w:rsidR="00224B58">
        <w:t>,</w:t>
      </w:r>
      <w:r>
        <w:t xml:space="preserve"> including </w:t>
      </w:r>
      <w:r w:rsidR="00E75D1A">
        <w:t xml:space="preserve">those not currently covered by </w:t>
      </w:r>
      <w:r w:rsidR="006B6E6E">
        <w:t>Australia</w:t>
      </w:r>
      <w:r w:rsidR="009F688A">
        <w:t>’</w:t>
      </w:r>
      <w:r w:rsidR="006B6E6E">
        <w:t>s</w:t>
      </w:r>
      <w:r w:rsidR="00E75D1A">
        <w:t xml:space="preserve"> targeted</w:t>
      </w:r>
      <w:r>
        <w:t xml:space="preserve"> compensation scheme</w:t>
      </w:r>
      <w:r w:rsidR="00E75D1A">
        <w:t xml:space="preserve">s, such as </w:t>
      </w:r>
      <w:r>
        <w:t>losses associated with poor quality financial advice.</w:t>
      </w:r>
    </w:p>
    <w:p w:rsidR="009B04E2" w:rsidRDefault="009B04E2" w:rsidP="00253395">
      <w:pPr>
        <w:pStyle w:val="OutlineNumbered1"/>
        <w:numPr>
          <w:ilvl w:val="0"/>
          <w:numId w:val="0"/>
        </w:numPr>
        <w:spacing w:after="0"/>
        <w:ind w:left="567"/>
        <w:sectPr w:rsidR="009B04E2" w:rsidSect="00857652">
          <w:headerReference w:type="default" r:id="rId40"/>
          <w:footerReference w:type="default" r:id="rId41"/>
          <w:footerReference w:type="first" r:id="rId42"/>
          <w:pgSz w:w="11906" w:h="16838" w:code="9"/>
          <w:pgMar w:top="1418" w:right="1418" w:bottom="1418" w:left="1418" w:header="709" w:footer="709" w:gutter="0"/>
          <w:pgNumType w:start="1"/>
          <w:cols w:space="708"/>
          <w:titlePg/>
          <w:docGrid w:linePitch="360"/>
        </w:sectPr>
      </w:pPr>
    </w:p>
    <w:p w:rsidR="00AB4675" w:rsidRDefault="00F85F7B" w:rsidP="009F688A">
      <w:pPr>
        <w:pStyle w:val="TableMainHeading"/>
      </w:pPr>
      <w:r>
        <w:t xml:space="preserve">Table: </w:t>
      </w:r>
      <w:r w:rsidR="00AB4675" w:rsidRPr="00C13AF0">
        <w:t xml:space="preserve">International </w:t>
      </w:r>
      <w:r w:rsidR="00351CC5">
        <w:t xml:space="preserve">financial services industry </w:t>
      </w:r>
      <w:r w:rsidR="00AB4675" w:rsidRPr="00C13AF0">
        <w:t>compensation schemes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891"/>
        <w:gridCol w:w="2891"/>
        <w:gridCol w:w="2891"/>
        <w:gridCol w:w="2891"/>
      </w:tblGrid>
      <w:tr w:rsidR="00AB4675" w:rsidTr="006E3399">
        <w:trPr>
          <w:trHeight w:val="175"/>
        </w:trPr>
        <w:tc>
          <w:tcPr>
            <w:tcW w:w="2381" w:type="dxa"/>
            <w:shd w:val="clear" w:color="auto" w:fill="17365D" w:themeFill="text2" w:themeFillShade="BF"/>
          </w:tcPr>
          <w:p w:rsidR="00AB4675" w:rsidRPr="002B724B" w:rsidRDefault="00AB4675" w:rsidP="006E3399">
            <w:pPr>
              <w:spacing w:before="120" w:after="120"/>
              <w:jc w:val="left"/>
              <w:rPr>
                <w:color w:val="FFFFFF" w:themeColor="background1"/>
                <w:sz w:val="18"/>
              </w:rPr>
            </w:pPr>
          </w:p>
        </w:tc>
        <w:tc>
          <w:tcPr>
            <w:tcW w:w="2891" w:type="dxa"/>
            <w:shd w:val="clear" w:color="auto" w:fill="17365D" w:themeFill="text2" w:themeFillShade="BF"/>
          </w:tcPr>
          <w:p w:rsidR="00AB4675" w:rsidRPr="002B724B" w:rsidRDefault="00AB4675" w:rsidP="006E3399">
            <w:pPr>
              <w:pStyle w:val="TableColumnHeadingLeft-White"/>
              <w:spacing w:before="120" w:after="120"/>
            </w:pPr>
            <w:r w:rsidRPr="002B724B">
              <w:t>United Kingdom</w:t>
            </w:r>
            <w:r w:rsidRPr="002B724B">
              <w:rPr>
                <w:rStyle w:val="FootnoteReference"/>
                <w:b w:val="0"/>
                <w:sz w:val="18"/>
              </w:rPr>
              <w:footnoteReference w:id="30"/>
            </w:r>
          </w:p>
        </w:tc>
        <w:tc>
          <w:tcPr>
            <w:tcW w:w="2891" w:type="dxa"/>
            <w:shd w:val="clear" w:color="auto" w:fill="17365D" w:themeFill="text2" w:themeFillShade="BF"/>
          </w:tcPr>
          <w:p w:rsidR="00AB4675" w:rsidRPr="002B724B" w:rsidRDefault="00AB4675" w:rsidP="006E3399">
            <w:pPr>
              <w:pStyle w:val="TableColumnHeadingLeft-White"/>
              <w:spacing w:before="120" w:after="120"/>
            </w:pPr>
            <w:r w:rsidRPr="002B724B">
              <w:t>Canada</w:t>
            </w:r>
            <w:r w:rsidRPr="002B724B">
              <w:rPr>
                <w:rStyle w:val="FootnoteReference"/>
                <w:b w:val="0"/>
                <w:sz w:val="18"/>
              </w:rPr>
              <w:footnoteReference w:id="31"/>
            </w:r>
          </w:p>
        </w:tc>
        <w:tc>
          <w:tcPr>
            <w:tcW w:w="2891" w:type="dxa"/>
            <w:shd w:val="clear" w:color="auto" w:fill="17365D" w:themeFill="text2" w:themeFillShade="BF"/>
          </w:tcPr>
          <w:p w:rsidR="00AB4675" w:rsidRPr="002B724B" w:rsidRDefault="00AB4675" w:rsidP="006E3399">
            <w:pPr>
              <w:pStyle w:val="TableColumnHeadingLeft-White"/>
              <w:spacing w:before="120" w:after="120"/>
            </w:pPr>
            <w:r w:rsidRPr="002B724B">
              <w:t>United States</w:t>
            </w:r>
            <w:r w:rsidRPr="002B724B">
              <w:rPr>
                <w:rStyle w:val="FootnoteReference"/>
                <w:b w:val="0"/>
                <w:sz w:val="18"/>
              </w:rPr>
              <w:footnoteReference w:id="32"/>
            </w:r>
          </w:p>
        </w:tc>
        <w:tc>
          <w:tcPr>
            <w:tcW w:w="2891" w:type="dxa"/>
            <w:shd w:val="clear" w:color="auto" w:fill="17365D" w:themeFill="text2" w:themeFillShade="BF"/>
          </w:tcPr>
          <w:p w:rsidR="00AB4675" w:rsidRPr="002B724B" w:rsidRDefault="00AB4675" w:rsidP="006E3399">
            <w:pPr>
              <w:pStyle w:val="TableColumnHeadingLeft-White"/>
              <w:spacing w:before="120" w:after="120"/>
            </w:pPr>
            <w:r w:rsidRPr="002B724B">
              <w:t>European Union</w:t>
            </w:r>
            <w:r w:rsidRPr="002B724B">
              <w:rPr>
                <w:rStyle w:val="FootnoteReference"/>
                <w:b w:val="0"/>
                <w:sz w:val="18"/>
                <w:szCs w:val="18"/>
              </w:rPr>
              <w:footnoteReference w:id="33"/>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Range of claims covered</w:t>
            </w:r>
          </w:p>
        </w:tc>
        <w:tc>
          <w:tcPr>
            <w:tcW w:w="2891" w:type="dxa"/>
            <w:shd w:val="clear" w:color="auto" w:fill="auto"/>
          </w:tcPr>
          <w:p w:rsidR="00AB4675" w:rsidRPr="00056AAC" w:rsidRDefault="00AB4675" w:rsidP="004558F2">
            <w:pPr>
              <w:pStyle w:val="TableTextLeft"/>
            </w:pPr>
            <w:r w:rsidRPr="00056AAC">
              <w:t xml:space="preserve">The </w:t>
            </w:r>
            <w:r w:rsidR="00DB2067">
              <w:t>s</w:t>
            </w:r>
            <w:r w:rsidRPr="00056AAC">
              <w:t>cheme covers banks and building societies, credit unions, insurance, home finance, investments, pensions and endowments</w:t>
            </w:r>
          </w:p>
        </w:tc>
        <w:tc>
          <w:tcPr>
            <w:tcW w:w="2891" w:type="dxa"/>
            <w:shd w:val="clear" w:color="auto" w:fill="auto"/>
          </w:tcPr>
          <w:p w:rsidR="00AB4675" w:rsidRPr="00056AAC" w:rsidRDefault="00AB4675" w:rsidP="004558F2">
            <w:pPr>
              <w:pStyle w:val="TableTextLeft"/>
            </w:pPr>
            <w:r w:rsidRPr="00056AAC">
              <w:t>Provides protection for cash, securities and other property held by investment firms on behalf of clients</w:t>
            </w:r>
          </w:p>
        </w:tc>
        <w:tc>
          <w:tcPr>
            <w:tcW w:w="2891" w:type="dxa"/>
            <w:shd w:val="clear" w:color="auto" w:fill="auto"/>
          </w:tcPr>
          <w:p w:rsidR="00AB4675" w:rsidRPr="00056AAC" w:rsidRDefault="00AB4675" w:rsidP="004558F2">
            <w:pPr>
              <w:pStyle w:val="TableTextLeft"/>
            </w:pPr>
            <w:r w:rsidRPr="00056AAC">
              <w:t>Protects against the loss of cash and securities held by clients of a brokerage firm</w:t>
            </w:r>
          </w:p>
        </w:tc>
        <w:tc>
          <w:tcPr>
            <w:tcW w:w="2891" w:type="dxa"/>
            <w:shd w:val="clear" w:color="auto" w:fill="auto"/>
          </w:tcPr>
          <w:p w:rsidR="00AB4675" w:rsidRPr="00056AAC" w:rsidRDefault="00AB4675" w:rsidP="004558F2">
            <w:pPr>
              <w:pStyle w:val="TableTextLeft"/>
            </w:pPr>
            <w:r>
              <w:rPr>
                <w:szCs w:val="18"/>
              </w:rPr>
              <w:t>Provides protection where an investment firm is unable to return money or instruments belonging to its investors</w:t>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When can an applicant apply?</w:t>
            </w:r>
          </w:p>
        </w:tc>
        <w:tc>
          <w:tcPr>
            <w:tcW w:w="2891" w:type="dxa"/>
            <w:shd w:val="clear" w:color="auto" w:fill="auto"/>
          </w:tcPr>
          <w:p w:rsidR="00AB4675" w:rsidRPr="00056AAC" w:rsidRDefault="00AB4675" w:rsidP="004558F2">
            <w:pPr>
              <w:pStyle w:val="TableTextLeft"/>
            </w:pPr>
            <w:r w:rsidRPr="00056AAC">
              <w:t>When</w:t>
            </w:r>
            <w:r w:rsidRPr="00056AAC">
              <w:rPr>
                <w:szCs w:val="18"/>
              </w:rPr>
              <w:t xml:space="preserve"> </w:t>
            </w:r>
            <w:r>
              <w:rPr>
                <w:szCs w:val="18"/>
              </w:rPr>
              <w:t>the</w:t>
            </w:r>
            <w:r>
              <w:t xml:space="preserve"> </w:t>
            </w:r>
            <w:r w:rsidRPr="00056AAC">
              <w:t>scheme is satisfied the firm is unable, or likely to be unable, to pay claims against it</w:t>
            </w:r>
          </w:p>
        </w:tc>
        <w:tc>
          <w:tcPr>
            <w:tcW w:w="2891" w:type="dxa"/>
            <w:shd w:val="clear" w:color="auto" w:fill="auto"/>
          </w:tcPr>
          <w:p w:rsidR="00AB4675" w:rsidRPr="00056AAC" w:rsidRDefault="00AB4675" w:rsidP="004558F2">
            <w:pPr>
              <w:pStyle w:val="TableTextLeft"/>
            </w:pPr>
            <w:r w:rsidRPr="00056AAC">
              <w:t>When the firm becomes insolvent</w:t>
            </w:r>
          </w:p>
        </w:tc>
        <w:tc>
          <w:tcPr>
            <w:tcW w:w="2891" w:type="dxa"/>
            <w:shd w:val="clear" w:color="auto" w:fill="auto"/>
          </w:tcPr>
          <w:p w:rsidR="00AB4675" w:rsidRPr="00056AAC" w:rsidRDefault="00AB4675" w:rsidP="004558F2">
            <w:pPr>
              <w:pStyle w:val="TableTextLeft"/>
            </w:pPr>
            <w:r w:rsidRPr="00056AAC">
              <w:t>When the firm becomes insolvent</w:t>
            </w:r>
          </w:p>
        </w:tc>
        <w:tc>
          <w:tcPr>
            <w:tcW w:w="2891" w:type="dxa"/>
            <w:shd w:val="clear" w:color="auto" w:fill="auto"/>
          </w:tcPr>
          <w:p w:rsidR="00AB4675" w:rsidRPr="00056AAC" w:rsidRDefault="00AB4675" w:rsidP="004558F2">
            <w:pPr>
              <w:pStyle w:val="TableTextLeft"/>
            </w:pPr>
            <w:r>
              <w:rPr>
                <w:szCs w:val="18"/>
              </w:rPr>
              <w:t>When the authorities have determined the firm is unable to meet its obligations arising out of investor claims</w:t>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Who can apply?</w:t>
            </w:r>
          </w:p>
        </w:tc>
        <w:tc>
          <w:tcPr>
            <w:tcW w:w="2891" w:type="dxa"/>
            <w:shd w:val="clear" w:color="auto" w:fill="auto"/>
          </w:tcPr>
          <w:p w:rsidR="00AB4675" w:rsidRPr="00056AAC" w:rsidRDefault="00AB4675" w:rsidP="004558F2">
            <w:pPr>
              <w:pStyle w:val="TableTextLeft"/>
            </w:pPr>
            <w:r>
              <w:rPr>
                <w:szCs w:val="18"/>
              </w:rPr>
              <w:t>Individuals and small businesses</w:t>
            </w:r>
          </w:p>
        </w:tc>
        <w:tc>
          <w:tcPr>
            <w:tcW w:w="2891" w:type="dxa"/>
            <w:shd w:val="clear" w:color="auto" w:fill="auto"/>
          </w:tcPr>
          <w:p w:rsidR="00AB4675" w:rsidRPr="00056AAC" w:rsidRDefault="00AB4675" w:rsidP="004558F2">
            <w:pPr>
              <w:pStyle w:val="TableTextLeft"/>
            </w:pPr>
            <w:r w:rsidRPr="00056AAC">
              <w:t>All investors are eligible</w:t>
            </w:r>
          </w:p>
        </w:tc>
        <w:tc>
          <w:tcPr>
            <w:tcW w:w="2891" w:type="dxa"/>
            <w:shd w:val="clear" w:color="auto" w:fill="auto"/>
          </w:tcPr>
          <w:p w:rsidR="00AB4675" w:rsidRPr="00056AAC" w:rsidRDefault="00AB4675" w:rsidP="004558F2">
            <w:pPr>
              <w:pStyle w:val="TableTextLeft"/>
            </w:pPr>
            <w:r w:rsidRPr="00056AAC">
              <w:t>All investors (with limited exceptions)</w:t>
            </w:r>
          </w:p>
        </w:tc>
        <w:tc>
          <w:tcPr>
            <w:tcW w:w="2891" w:type="dxa"/>
            <w:shd w:val="clear" w:color="auto" w:fill="auto"/>
          </w:tcPr>
          <w:p w:rsidR="00AB4675" w:rsidRPr="00056AAC" w:rsidRDefault="00AB4675" w:rsidP="004558F2">
            <w:pPr>
              <w:pStyle w:val="TableTextLeft"/>
            </w:pPr>
            <w:r>
              <w:rPr>
                <w:szCs w:val="18"/>
              </w:rPr>
              <w:t>Normally retail investors</w:t>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Level of compensation awarded</w:t>
            </w:r>
          </w:p>
        </w:tc>
        <w:tc>
          <w:tcPr>
            <w:tcW w:w="2891" w:type="dxa"/>
            <w:shd w:val="clear" w:color="auto" w:fill="auto"/>
          </w:tcPr>
          <w:p w:rsidR="00AB4675" w:rsidRPr="00056AAC" w:rsidRDefault="00AB4675" w:rsidP="004558F2">
            <w:pPr>
              <w:pStyle w:val="TableTextLeft"/>
            </w:pPr>
            <w:r w:rsidRPr="00056AAC">
              <w:t>For investment claims, up to £50,000 per person per firm</w:t>
            </w:r>
          </w:p>
        </w:tc>
        <w:tc>
          <w:tcPr>
            <w:tcW w:w="2891" w:type="dxa"/>
            <w:shd w:val="clear" w:color="auto" w:fill="auto"/>
          </w:tcPr>
          <w:p w:rsidR="00AB4675" w:rsidRPr="00056AAC" w:rsidRDefault="00AB4675" w:rsidP="004558F2">
            <w:pPr>
              <w:pStyle w:val="TableTextLeft"/>
            </w:pPr>
            <w:r w:rsidRPr="00056AAC">
              <w:t>Up to C$1 million</w:t>
            </w:r>
          </w:p>
        </w:tc>
        <w:tc>
          <w:tcPr>
            <w:tcW w:w="2891" w:type="dxa"/>
            <w:shd w:val="clear" w:color="auto" w:fill="auto"/>
          </w:tcPr>
          <w:p w:rsidR="00AB4675" w:rsidRPr="00056AAC" w:rsidRDefault="00AB4675" w:rsidP="004558F2">
            <w:pPr>
              <w:pStyle w:val="TableTextLeft"/>
            </w:pPr>
            <w:r w:rsidRPr="00056AAC">
              <w:t xml:space="preserve">Up to </w:t>
            </w:r>
            <w:r>
              <w:t>US</w:t>
            </w:r>
            <w:r w:rsidRPr="00056AAC">
              <w:t>$500,000 for securities and cash (including a $250,000 limit for cash only)</w:t>
            </w:r>
          </w:p>
        </w:tc>
        <w:tc>
          <w:tcPr>
            <w:tcW w:w="2891" w:type="dxa"/>
            <w:shd w:val="clear" w:color="auto" w:fill="auto"/>
          </w:tcPr>
          <w:p w:rsidR="00AB4675" w:rsidRPr="00056AAC" w:rsidRDefault="003C1066" w:rsidP="004558F2">
            <w:pPr>
              <w:pStyle w:val="TableTextLeft"/>
            </w:pPr>
            <w:r>
              <w:rPr>
                <w:szCs w:val="18"/>
              </w:rPr>
              <w:t xml:space="preserve">The Directive requires minimum </w:t>
            </w:r>
            <w:r w:rsidR="00AB4675">
              <w:rPr>
                <w:szCs w:val="18"/>
              </w:rPr>
              <w:t xml:space="preserve">compensation </w:t>
            </w:r>
            <w:r>
              <w:rPr>
                <w:szCs w:val="18"/>
              </w:rPr>
              <w:t>of</w:t>
            </w:r>
            <w:r w:rsidR="00AB4675">
              <w:rPr>
                <w:szCs w:val="18"/>
              </w:rPr>
              <w:t xml:space="preserve"> </w:t>
            </w:r>
            <w:r w:rsidR="00AB4675" w:rsidRPr="004615CD">
              <w:rPr>
                <w:szCs w:val="18"/>
              </w:rPr>
              <w:t>€</w:t>
            </w:r>
            <w:r w:rsidR="00AB4675">
              <w:rPr>
                <w:szCs w:val="18"/>
              </w:rPr>
              <w:t>20,000</w:t>
            </w:r>
            <w:r>
              <w:rPr>
                <w:szCs w:val="18"/>
              </w:rPr>
              <w:t xml:space="preserve"> per inve</w:t>
            </w:r>
            <w:r w:rsidR="002800CC">
              <w:rPr>
                <w:szCs w:val="18"/>
              </w:rPr>
              <w:t>stor, but Member States can provide</w:t>
            </w:r>
            <w:r>
              <w:rPr>
                <w:szCs w:val="18"/>
              </w:rPr>
              <w:t xml:space="preserve"> higher levels</w:t>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Funding</w:t>
            </w:r>
          </w:p>
        </w:tc>
        <w:tc>
          <w:tcPr>
            <w:tcW w:w="2891" w:type="dxa"/>
            <w:shd w:val="clear" w:color="auto" w:fill="auto"/>
          </w:tcPr>
          <w:p w:rsidR="00AB4675" w:rsidRPr="00056AAC" w:rsidRDefault="00AB4675" w:rsidP="004558F2">
            <w:pPr>
              <w:pStyle w:val="TableTextLeft"/>
            </w:pPr>
            <w:r w:rsidRPr="00056AAC">
              <w:t>Industry</w:t>
            </w:r>
            <w:r w:rsidR="009F688A">
              <w:noBreakHyphen/>
            </w:r>
            <w:r w:rsidRPr="00056AAC">
              <w:t>funded</w:t>
            </w:r>
          </w:p>
        </w:tc>
        <w:tc>
          <w:tcPr>
            <w:tcW w:w="2891" w:type="dxa"/>
            <w:shd w:val="clear" w:color="auto" w:fill="auto"/>
          </w:tcPr>
          <w:p w:rsidR="00AB4675" w:rsidRPr="00056AAC" w:rsidRDefault="00AB4675" w:rsidP="004558F2">
            <w:pPr>
              <w:pStyle w:val="TableTextLeft"/>
            </w:pPr>
            <w:r w:rsidRPr="00056AAC">
              <w:t>Industry</w:t>
            </w:r>
            <w:r w:rsidR="009F688A">
              <w:noBreakHyphen/>
            </w:r>
            <w:r w:rsidRPr="00056AAC">
              <w:t>funded</w:t>
            </w:r>
          </w:p>
        </w:tc>
        <w:tc>
          <w:tcPr>
            <w:tcW w:w="2891" w:type="dxa"/>
            <w:shd w:val="clear" w:color="auto" w:fill="auto"/>
          </w:tcPr>
          <w:p w:rsidR="00AB4675" w:rsidRPr="00056AAC" w:rsidRDefault="00AB4675" w:rsidP="004558F2">
            <w:pPr>
              <w:pStyle w:val="TableTextLeft"/>
            </w:pPr>
            <w:r w:rsidRPr="00056AAC">
              <w:t>Industry</w:t>
            </w:r>
            <w:r w:rsidR="009F688A">
              <w:noBreakHyphen/>
            </w:r>
            <w:r w:rsidRPr="00056AAC">
              <w:t>funded</w:t>
            </w:r>
          </w:p>
        </w:tc>
        <w:tc>
          <w:tcPr>
            <w:tcW w:w="2891" w:type="dxa"/>
            <w:shd w:val="clear" w:color="auto" w:fill="auto"/>
          </w:tcPr>
          <w:p w:rsidR="00AB4675" w:rsidRPr="00056AAC" w:rsidRDefault="00AB4675" w:rsidP="004558F2">
            <w:pPr>
              <w:pStyle w:val="TableTextLeft"/>
            </w:pPr>
            <w:r>
              <w:rPr>
                <w:szCs w:val="18"/>
              </w:rPr>
              <w:t>Industry</w:t>
            </w:r>
            <w:r w:rsidR="009F688A">
              <w:rPr>
                <w:szCs w:val="18"/>
              </w:rPr>
              <w:noBreakHyphen/>
            </w:r>
            <w:r>
              <w:rPr>
                <w:szCs w:val="18"/>
              </w:rPr>
              <w:t>funded</w:t>
            </w:r>
          </w:p>
        </w:tc>
      </w:tr>
      <w:tr w:rsidR="00AB4675" w:rsidTr="006E3399">
        <w:tc>
          <w:tcPr>
            <w:tcW w:w="2381" w:type="dxa"/>
            <w:shd w:val="clear" w:color="auto" w:fill="auto"/>
          </w:tcPr>
          <w:p w:rsidR="00AB4675" w:rsidRPr="004558F2" w:rsidRDefault="00AB4675" w:rsidP="004558F2">
            <w:pPr>
              <w:pStyle w:val="TableTextLeft"/>
              <w:rPr>
                <w:b/>
                <w:i/>
              </w:rPr>
            </w:pPr>
            <w:r w:rsidRPr="004558F2">
              <w:rPr>
                <w:b/>
                <w:i/>
              </w:rPr>
              <w:t>Administration</w:t>
            </w:r>
          </w:p>
        </w:tc>
        <w:tc>
          <w:tcPr>
            <w:tcW w:w="2891" w:type="dxa"/>
            <w:shd w:val="clear" w:color="auto" w:fill="auto"/>
          </w:tcPr>
          <w:p w:rsidR="00AB4675" w:rsidRPr="00056AAC" w:rsidRDefault="00AB4675" w:rsidP="004558F2">
            <w:pPr>
              <w:pStyle w:val="TableTextLeft"/>
            </w:pPr>
            <w:r>
              <w:rPr>
                <w:szCs w:val="18"/>
              </w:rPr>
              <w:t>Independent scheme but accountable to the regulators</w:t>
            </w:r>
          </w:p>
        </w:tc>
        <w:tc>
          <w:tcPr>
            <w:tcW w:w="2891" w:type="dxa"/>
            <w:shd w:val="clear" w:color="auto" w:fill="auto"/>
          </w:tcPr>
          <w:p w:rsidR="00AB4675" w:rsidRPr="00056AAC" w:rsidRDefault="00AB4675" w:rsidP="004558F2">
            <w:pPr>
              <w:pStyle w:val="TableTextLeft"/>
            </w:pPr>
            <w:r w:rsidRPr="00056AAC">
              <w:t>Independent scheme</w:t>
            </w:r>
          </w:p>
        </w:tc>
        <w:tc>
          <w:tcPr>
            <w:tcW w:w="2891" w:type="dxa"/>
            <w:shd w:val="clear" w:color="auto" w:fill="auto"/>
          </w:tcPr>
          <w:p w:rsidR="00AB4675" w:rsidRPr="00056AAC" w:rsidRDefault="00AB4675" w:rsidP="004558F2">
            <w:pPr>
              <w:pStyle w:val="TableTextLeft"/>
            </w:pPr>
            <w:r w:rsidRPr="00056AAC">
              <w:t>Independent scheme</w:t>
            </w:r>
          </w:p>
        </w:tc>
        <w:tc>
          <w:tcPr>
            <w:tcW w:w="2891" w:type="dxa"/>
            <w:shd w:val="clear" w:color="auto" w:fill="auto"/>
          </w:tcPr>
          <w:p w:rsidR="00AB4675" w:rsidRPr="00056AAC" w:rsidRDefault="00AB4675" w:rsidP="004558F2">
            <w:pPr>
              <w:pStyle w:val="TableTextLeft"/>
            </w:pPr>
            <w:r>
              <w:rPr>
                <w:szCs w:val="18"/>
              </w:rPr>
              <w:t>Independent schemes</w:t>
            </w:r>
          </w:p>
        </w:tc>
      </w:tr>
    </w:tbl>
    <w:p w:rsidR="00AB4675" w:rsidRDefault="00AB4675" w:rsidP="003E06B4">
      <w:pPr>
        <w:sectPr w:rsidR="00AB4675" w:rsidSect="009B04E2">
          <w:headerReference w:type="first" r:id="rId43"/>
          <w:footerReference w:type="first" r:id="rId44"/>
          <w:pgSz w:w="16838" w:h="11906" w:orient="landscape" w:code="9"/>
          <w:pgMar w:top="1418" w:right="1418" w:bottom="1418" w:left="1418" w:header="709" w:footer="709" w:gutter="0"/>
          <w:cols w:space="708"/>
          <w:titlePg/>
          <w:docGrid w:linePitch="360"/>
        </w:sectPr>
      </w:pP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A7188F" w:rsidRPr="007B6996" w:rsidTr="003E06B4">
        <w:trPr>
          <w:trHeight w:val="2417"/>
        </w:trPr>
        <w:tc>
          <w:tcPr>
            <w:tcW w:w="9072" w:type="dxa"/>
          </w:tcPr>
          <w:p w:rsidR="00A7188F" w:rsidRDefault="00A7188F" w:rsidP="009F688A">
            <w:pPr>
              <w:pStyle w:val="BoxHeading"/>
            </w:pPr>
            <w:r>
              <w:t>Q</w:t>
            </w:r>
            <w:r w:rsidRPr="007B6996">
              <w:t>uestion</w:t>
            </w:r>
            <w:r>
              <w:t>s</w:t>
            </w:r>
            <w:r w:rsidR="009F688A">
              <w:t xml:space="preserve"> — </w:t>
            </w:r>
            <w:r>
              <w:t>Existing compensation arrangements</w:t>
            </w:r>
          </w:p>
          <w:p w:rsidR="00EE10B0" w:rsidRDefault="009F688A" w:rsidP="00993864">
            <w:pPr>
              <w:pStyle w:val="BoxNumberedQuestions"/>
            </w:pPr>
            <w:r>
              <w:t>W</w:t>
            </w:r>
            <w:r w:rsidR="00D960F6" w:rsidRPr="00870D78">
              <w:t>hat are the strengths and weaknesses of the existing compensation arrangements</w:t>
            </w:r>
            <w:r w:rsidR="00323AF8">
              <w:t xml:space="preserve"> </w:t>
            </w:r>
            <w:r w:rsidR="00B36C61">
              <w:t>contained in</w:t>
            </w:r>
            <w:r w:rsidR="00323AF8">
              <w:t xml:space="preserve"> the </w:t>
            </w:r>
            <w:r w:rsidR="00323AF8" w:rsidRPr="009F688A">
              <w:rPr>
                <w:i/>
              </w:rPr>
              <w:t xml:space="preserve">Corporations Act 2001 </w:t>
            </w:r>
            <w:r w:rsidR="00323AF8">
              <w:t xml:space="preserve">and </w:t>
            </w:r>
            <w:r w:rsidR="00323AF8" w:rsidRPr="009F688A">
              <w:rPr>
                <w:i/>
              </w:rPr>
              <w:t xml:space="preserve">National Consumer Credit Protection Act </w:t>
            </w:r>
            <w:r w:rsidR="00323AF8" w:rsidRPr="00B75794">
              <w:rPr>
                <w:i/>
              </w:rPr>
              <w:t>2009</w:t>
            </w:r>
            <w:r w:rsidR="00323AF8">
              <w:t>?</w:t>
            </w:r>
          </w:p>
          <w:p w:rsidR="00323AF8" w:rsidRPr="00880A5C" w:rsidRDefault="00323AF8" w:rsidP="009F688A">
            <w:pPr>
              <w:pStyle w:val="BoxNumberedQuestions"/>
            </w:pPr>
            <w:r>
              <w:t xml:space="preserve">What are the strengths and weaknesses of the National Guarantee Fund, </w:t>
            </w:r>
            <w:r w:rsidR="00AF1941">
              <w:t xml:space="preserve">the </w:t>
            </w:r>
            <w:r>
              <w:t xml:space="preserve">Financial Claims Scheme and Part 23 of the </w:t>
            </w:r>
            <w:r>
              <w:rPr>
                <w:i/>
              </w:rPr>
              <w:t>Superannuation Industry (Supervision) Act 1993</w:t>
            </w:r>
            <w:r>
              <w:t>?</w:t>
            </w:r>
          </w:p>
          <w:p w:rsidR="00361C9C" w:rsidRPr="007B6996" w:rsidRDefault="005A152E" w:rsidP="009F688A">
            <w:pPr>
              <w:pStyle w:val="BoxNumberedQuestions"/>
            </w:pPr>
            <w:r>
              <w:t>Are there other examples of compensation schemes of last resort that the Panel should be considering</w:t>
            </w:r>
            <w:r w:rsidR="0036035F">
              <w:t>?</w:t>
            </w:r>
          </w:p>
        </w:tc>
      </w:tr>
    </w:tbl>
    <w:p w:rsidR="006E3399" w:rsidRDefault="006E3399" w:rsidP="006E3399">
      <w:pPr>
        <w:pStyle w:val="SingleParagraph"/>
      </w:pPr>
    </w:p>
    <w:p w:rsidR="00A7188F" w:rsidRPr="005F6415" w:rsidRDefault="00811466" w:rsidP="00F53396">
      <w:pPr>
        <w:pStyle w:val="Heading2"/>
      </w:pPr>
      <w:bookmarkStart w:id="132" w:name="_Toc483229141"/>
      <w:bookmarkStart w:id="133" w:name="_Toc483230256"/>
      <w:bookmarkStart w:id="134" w:name="_Toc483398635"/>
      <w:bookmarkStart w:id="135" w:name="_Toc483485322"/>
      <w:bookmarkStart w:id="136" w:name="_Toc483988910"/>
      <w:r>
        <w:t xml:space="preserve">Evaluation of a compensation </w:t>
      </w:r>
      <w:r w:rsidR="00A7188F">
        <w:t>scheme of last resort</w:t>
      </w:r>
      <w:bookmarkEnd w:id="132"/>
      <w:bookmarkEnd w:id="133"/>
      <w:bookmarkEnd w:id="134"/>
      <w:bookmarkEnd w:id="135"/>
      <w:bookmarkEnd w:id="136"/>
    </w:p>
    <w:p w:rsidR="008C0B4F" w:rsidRPr="008C0B4F" w:rsidRDefault="00AE4045">
      <w:pPr>
        <w:pStyle w:val="OutlineNumbered1"/>
      </w:pPr>
      <w:r>
        <w:t>In response to the Panel</w:t>
      </w:r>
      <w:r w:rsidR="009F688A">
        <w:t>’</w:t>
      </w:r>
      <w:r>
        <w:t xml:space="preserve">s Issues Paper </w:t>
      </w:r>
      <w:r w:rsidR="003633DE">
        <w:t xml:space="preserve">of 9 September 2016 </w:t>
      </w:r>
      <w:r>
        <w:t>and Interim Report</w:t>
      </w:r>
      <w:r w:rsidR="00703D30">
        <w:t xml:space="preserve"> of </w:t>
      </w:r>
      <w:r w:rsidR="00380052">
        <w:t>6</w:t>
      </w:r>
      <w:r w:rsidR="00703D30">
        <w:t> December 2016</w:t>
      </w:r>
      <w:r w:rsidR="00471E25">
        <w:t>,</w:t>
      </w:r>
      <w:r>
        <w:t xml:space="preserve"> t</w:t>
      </w:r>
      <w:r w:rsidR="00E66451" w:rsidRPr="00E66451">
        <w:t xml:space="preserve">he Panel received a large number of submissions which supported establishing </w:t>
      </w:r>
      <w:r w:rsidR="0043185D">
        <w:t>a</w:t>
      </w:r>
      <w:r w:rsidR="00E66451" w:rsidRPr="00E66451">
        <w:t xml:space="preserve"> compensation scheme of last resort, although there were </w:t>
      </w:r>
      <w:r w:rsidR="00703D30">
        <w:t>different views expressed in relation to</w:t>
      </w:r>
      <w:r w:rsidR="00E66451" w:rsidRPr="00E66451">
        <w:t xml:space="preserve"> the scheme</w:t>
      </w:r>
      <w:r w:rsidR="009F688A">
        <w:t>’</w:t>
      </w:r>
      <w:r w:rsidR="00E66451" w:rsidRPr="00E66451">
        <w:t>s design. Stakeholders submitted that the current compensation arrangements for consumers were inadequate and that a scheme was important to</w:t>
      </w:r>
      <w:r w:rsidR="008C0B4F">
        <w:t>:</w:t>
      </w:r>
    </w:p>
    <w:p w:rsidR="00C96811" w:rsidRDefault="00C96811">
      <w:pPr>
        <w:pStyle w:val="Bullet"/>
      </w:pPr>
      <w:r>
        <w:t>ensure that consumers who suffer loss from misconduct are compensated;</w:t>
      </w:r>
      <w:r>
        <w:rPr>
          <w:rStyle w:val="FootnoteReference"/>
        </w:rPr>
        <w:footnoteReference w:id="34"/>
      </w:r>
    </w:p>
    <w:p w:rsidR="00C96811" w:rsidRDefault="00E66451">
      <w:pPr>
        <w:pStyle w:val="Bullet"/>
      </w:pPr>
      <w:r w:rsidRPr="00E66451">
        <w:t xml:space="preserve">build trust and confidence in </w:t>
      </w:r>
      <w:r w:rsidR="00C96811">
        <w:t>the current EDR arrangements;</w:t>
      </w:r>
      <w:r w:rsidR="00C96811">
        <w:rPr>
          <w:rStyle w:val="FootnoteReference"/>
        </w:rPr>
        <w:footnoteReference w:id="35"/>
      </w:r>
      <w:r w:rsidRPr="00E66451">
        <w:t xml:space="preserve"> </w:t>
      </w:r>
      <w:r w:rsidR="00820ECA">
        <w:t>and</w:t>
      </w:r>
    </w:p>
    <w:p w:rsidR="00E66451" w:rsidRPr="00E66451" w:rsidRDefault="002C11EE">
      <w:pPr>
        <w:pStyle w:val="Bullet"/>
      </w:pPr>
      <w:r>
        <w:t>ensure trust</w:t>
      </w:r>
      <w:r w:rsidR="00E66451">
        <w:t xml:space="preserve"> and </w:t>
      </w:r>
      <w:r>
        <w:t xml:space="preserve">confidence in </w:t>
      </w:r>
      <w:r w:rsidR="00E66451" w:rsidRPr="00E66451">
        <w:t xml:space="preserve">the financial </w:t>
      </w:r>
      <w:r>
        <w:t>services sector</w:t>
      </w:r>
      <w:r w:rsidR="00E66451" w:rsidRPr="00E66451">
        <w:t xml:space="preserve"> more generally</w:t>
      </w:r>
      <w:r w:rsidR="00820ECA">
        <w:t>.</w:t>
      </w:r>
      <w:r w:rsidR="00C96811">
        <w:rPr>
          <w:rStyle w:val="FootnoteReference"/>
        </w:rPr>
        <w:footnoteReference w:id="36"/>
      </w:r>
    </w:p>
    <w:p w:rsidR="007E0A20" w:rsidRDefault="004F5126">
      <w:pPr>
        <w:pStyle w:val="OutlineNumbered1"/>
      </w:pPr>
      <w:r>
        <w:t>Consistent with the view that the existing compensation requirements should be strengthened, t</w:t>
      </w:r>
      <w:r w:rsidRPr="005757CA">
        <w:t>he Austra</w:t>
      </w:r>
      <w:r>
        <w:t>lian Bankers</w:t>
      </w:r>
      <w:r w:rsidR="009F688A">
        <w:t>’</w:t>
      </w:r>
      <w:r>
        <w:t xml:space="preserve"> Association </w:t>
      </w:r>
      <w:r w:rsidR="003E7542">
        <w:t xml:space="preserve">(ABA) </w:t>
      </w:r>
      <w:r w:rsidRPr="005757CA">
        <w:t xml:space="preserve">submitted </w:t>
      </w:r>
      <w:r>
        <w:t>that it supported establishing a mandatory, prospective compensation fund that covers individuals and small businesses who have received poor financial advice, and have not been paid a determination made by an ASIC</w:t>
      </w:r>
      <w:r w:rsidR="009F688A">
        <w:noBreakHyphen/>
      </w:r>
      <w:r>
        <w:t xml:space="preserve">approved EDR scheme due to the validated insolvency or wind up </w:t>
      </w:r>
      <w:r w:rsidR="00AD1D3D">
        <w:t>o</w:t>
      </w:r>
      <w:r w:rsidR="00810D5E">
        <w:t>f a</w:t>
      </w:r>
      <w:r w:rsidR="00AD1D3D">
        <w:t xml:space="preserve"> </w:t>
      </w:r>
      <w:r>
        <w:t>financial advice busines</w:t>
      </w:r>
      <w:r w:rsidR="00810D5E">
        <w:t>s</w:t>
      </w:r>
      <w:r>
        <w:t>, where all other redress avenues have been exhausted.</w:t>
      </w:r>
      <w:r>
        <w:rPr>
          <w:rStyle w:val="FootnoteReference"/>
        </w:rPr>
        <w:footnoteReference w:id="37"/>
      </w:r>
      <w:r w:rsidR="001F23C9">
        <w:t xml:space="preserve"> Further information on the ABA</w:t>
      </w:r>
      <w:r w:rsidR="009F688A">
        <w:t>’</w:t>
      </w:r>
      <w:r w:rsidR="001F23C9">
        <w:t xml:space="preserve">s proposal is set out </w:t>
      </w:r>
      <w:r w:rsidR="00810D5E">
        <w:t xml:space="preserve">later </w:t>
      </w:r>
      <w:r w:rsidR="001F23C9">
        <w:t>in th</w:t>
      </w:r>
      <w:r w:rsidR="00810D5E">
        <w:t xml:space="preserve">is </w:t>
      </w:r>
      <w:r w:rsidR="001F23C9">
        <w:t>section.</w:t>
      </w:r>
    </w:p>
    <w:p w:rsidR="007E0A20" w:rsidRDefault="007E0A20">
      <w:pPr>
        <w:widowControl/>
        <w:adjustRightInd/>
        <w:spacing w:after="0" w:line="240" w:lineRule="auto"/>
        <w:jc w:val="left"/>
        <w:textAlignment w:val="auto"/>
      </w:pPr>
      <w:r>
        <w:br w:type="page"/>
      </w:r>
    </w:p>
    <w:p w:rsidR="004F5126" w:rsidRPr="005757CA" w:rsidRDefault="004F5126">
      <w:pPr>
        <w:pStyle w:val="OutlineNumbered1"/>
      </w:pPr>
      <w:r>
        <w:t xml:space="preserve">The ABA also stated </w:t>
      </w:r>
      <w:r w:rsidRPr="005757CA">
        <w:t xml:space="preserve">that a scheme should be accompanied by other reforms to </w:t>
      </w:r>
      <w:r>
        <w:t>reduce the likelihood</w:t>
      </w:r>
      <w:r w:rsidRPr="005757CA">
        <w:t xml:space="preserve"> of </w:t>
      </w:r>
      <w:r>
        <w:t>unpaid determinations</w:t>
      </w:r>
      <w:r w:rsidRPr="005757CA">
        <w:t>, including:</w:t>
      </w:r>
    </w:p>
    <w:p w:rsidR="004F5126" w:rsidRPr="005757CA" w:rsidRDefault="004F5126">
      <w:pPr>
        <w:pStyle w:val="Bullet"/>
      </w:pPr>
      <w:r w:rsidRPr="005757CA">
        <w:t xml:space="preserve">a greater </w:t>
      </w:r>
      <w:r w:rsidRPr="00056AAC">
        <w:t>professionalisation</w:t>
      </w:r>
      <w:r w:rsidRPr="005757CA">
        <w:t xml:space="preserve"> of financial advice</w:t>
      </w:r>
      <w:r>
        <w:t xml:space="preserve"> (the Panel notes the Government</w:t>
      </w:r>
      <w:r w:rsidR="009F688A">
        <w:t>’</w:t>
      </w:r>
      <w:r>
        <w:t>s recent reforms to</w:t>
      </w:r>
      <w:r w:rsidRPr="00845715">
        <w:t xml:space="preserve"> lift the professional, education and ethical standards of financial advisers</w:t>
      </w:r>
      <w:r w:rsidR="00EC50F3">
        <w:t>);</w:t>
      </w:r>
      <w:r w:rsidR="005A152E">
        <w:rPr>
          <w:rStyle w:val="FootnoteReference"/>
        </w:rPr>
        <w:footnoteReference w:id="38"/>
      </w:r>
    </w:p>
    <w:p w:rsidR="004F5126" w:rsidRPr="005757CA" w:rsidRDefault="004F5126">
      <w:pPr>
        <w:pStyle w:val="Bullet"/>
        <w:rPr>
          <w:rFonts w:cs="Book Antiqua"/>
          <w:color w:val="auto"/>
          <w:szCs w:val="22"/>
        </w:rPr>
      </w:pPr>
      <w:r w:rsidRPr="005757CA">
        <w:t xml:space="preserve">expanding </w:t>
      </w:r>
      <w:r w:rsidRPr="00056AAC">
        <w:t>the</w:t>
      </w:r>
      <w:r w:rsidRPr="005757CA">
        <w:t xml:space="preserve"> availability and coverage of </w:t>
      </w:r>
      <w:r>
        <w:t>professional indemnity</w:t>
      </w:r>
      <w:r w:rsidRPr="005757CA">
        <w:t xml:space="preserve"> </w:t>
      </w:r>
      <w:r>
        <w:t>i</w:t>
      </w:r>
      <w:r w:rsidRPr="005757CA">
        <w:t>nsurance, including run</w:t>
      </w:r>
      <w:r w:rsidR="009F688A">
        <w:noBreakHyphen/>
      </w:r>
      <w:r w:rsidRPr="005757CA">
        <w:t>off cover, insolvency,</w:t>
      </w:r>
      <w:r w:rsidRPr="005757CA">
        <w:rPr>
          <w:rFonts w:eastAsiaTheme="minorHAnsi" w:cstheme="minorBidi"/>
          <w:color w:val="auto"/>
          <w:szCs w:val="22"/>
          <w:lang w:eastAsia="en-US"/>
        </w:rPr>
        <w:t xml:space="preserve"> </w:t>
      </w:r>
      <w:r w:rsidRPr="005757CA">
        <w:t>fraud and other misconduct;</w:t>
      </w:r>
    </w:p>
    <w:p w:rsidR="004F5126" w:rsidRPr="005757CA" w:rsidRDefault="004F5126">
      <w:pPr>
        <w:pStyle w:val="Bullet"/>
      </w:pPr>
      <w:r w:rsidRPr="005757CA">
        <w:t>ensuring the scheme is well understood by consumers of financial products so that it is clear it is a last resort scheme, and not intended to cover investment losses; and</w:t>
      </w:r>
    </w:p>
    <w:p w:rsidR="004F5126" w:rsidRDefault="004F5126">
      <w:pPr>
        <w:pStyle w:val="Bullet"/>
      </w:pPr>
      <w:r w:rsidRPr="005757CA">
        <w:t xml:space="preserve">ASIC requiring an annual </w:t>
      </w:r>
      <w:r w:rsidRPr="005757CA">
        <w:rPr>
          <w:rFonts w:cs="Book Antiqua"/>
          <w:color w:val="auto"/>
          <w:szCs w:val="22"/>
        </w:rPr>
        <w:t>assurance</w:t>
      </w:r>
      <w:r w:rsidRPr="005757CA">
        <w:t xml:space="preserve"> statement from all AFS licensees that they have met their licence obligations, including co</w:t>
      </w:r>
      <w:r w:rsidR="003E7542">
        <w:t>mpliance with ASIC</w:t>
      </w:r>
      <w:r w:rsidR="009F688A">
        <w:t>’</w:t>
      </w:r>
      <w:r w:rsidRPr="005757CA">
        <w:t xml:space="preserve">s </w:t>
      </w:r>
      <w:r w:rsidRPr="005757CA">
        <w:rPr>
          <w:rFonts w:cs="Book Antiqua,Italic"/>
          <w:i/>
          <w:iCs/>
        </w:rPr>
        <w:t xml:space="preserve">Regulatory Guide 126: Compensation and insurance arrangements for AFS licensees </w:t>
      </w:r>
      <w:r w:rsidRPr="005757CA">
        <w:t xml:space="preserve">and </w:t>
      </w:r>
      <w:r w:rsidRPr="005757CA">
        <w:rPr>
          <w:rFonts w:cs="Book Antiqua,Italic"/>
          <w:i/>
          <w:iCs/>
        </w:rPr>
        <w:t>Regulatory Guide 166: Licensing: Financial requirements</w:t>
      </w:r>
      <w:r w:rsidRPr="005757CA">
        <w:t>.</w:t>
      </w:r>
      <w:r w:rsidRPr="005757CA">
        <w:rPr>
          <w:rStyle w:val="FootnoteReference"/>
        </w:rPr>
        <w:footnoteReference w:id="39"/>
      </w:r>
    </w:p>
    <w:p w:rsidR="005F1BAE" w:rsidRDefault="00E12D78">
      <w:pPr>
        <w:pStyle w:val="OutlineNumbered1"/>
      </w:pPr>
      <w:r>
        <w:t>T</w:t>
      </w:r>
      <w:r w:rsidR="005F1BAE">
        <w:t xml:space="preserve">he </w:t>
      </w:r>
      <w:r w:rsidR="00C52A83">
        <w:t>P</w:t>
      </w:r>
      <w:r w:rsidR="005F1BAE">
        <w:t>anel</w:t>
      </w:r>
      <w:r w:rsidR="005A401D">
        <w:t xml:space="preserve"> also </w:t>
      </w:r>
      <w:r w:rsidR="005F1BAE">
        <w:t xml:space="preserve">received submissions from stakeholders who </w:t>
      </w:r>
      <w:r w:rsidR="0021166F">
        <w:t xml:space="preserve">held </w:t>
      </w:r>
      <w:r w:rsidR="005F1BAE">
        <w:t xml:space="preserve">concerns about a compensation scheme of last resort, </w:t>
      </w:r>
      <w:r w:rsidR="00462AFB">
        <w:t>stating amongst other matters</w:t>
      </w:r>
      <w:r w:rsidR="00351CC5">
        <w:t xml:space="preserve"> that</w:t>
      </w:r>
      <w:r w:rsidR="005F1BAE">
        <w:t>:</w:t>
      </w:r>
    </w:p>
    <w:p w:rsidR="00B127E3" w:rsidRDefault="005F1BAE">
      <w:pPr>
        <w:pStyle w:val="Bullet"/>
      </w:pPr>
      <w:r>
        <w:t xml:space="preserve">all taxpayers would be required to subsidise the scheme, as even with risk </w:t>
      </w:r>
      <w:r w:rsidRPr="002257C0">
        <w:t>mitigation strategies, risk would</w:t>
      </w:r>
      <w:r w:rsidR="002675F7">
        <w:t xml:space="preserve"> not</w:t>
      </w:r>
      <w:r w:rsidRPr="002257C0">
        <w:t xml:space="preserve"> be fully priced into the market</w:t>
      </w:r>
      <w:r w:rsidR="00FC7E58">
        <w:t>, with</w:t>
      </w:r>
      <w:r w:rsidR="00C96811">
        <w:t xml:space="preserve"> market participants and </w:t>
      </w:r>
      <w:r w:rsidR="00FC7E58">
        <w:t>regulators taking on extra risk</w:t>
      </w:r>
      <w:r w:rsidRPr="002257C0">
        <w:t>;</w:t>
      </w:r>
      <w:r w:rsidR="00CE342D">
        <w:rPr>
          <w:rStyle w:val="FootnoteReference"/>
        </w:rPr>
        <w:footnoteReference w:id="40"/>
      </w:r>
    </w:p>
    <w:p w:rsidR="00B127E3" w:rsidRDefault="005F1BAE">
      <w:pPr>
        <w:pStyle w:val="Bullet"/>
      </w:pPr>
      <w:r w:rsidRPr="002257C0">
        <w:t>it wou</w:t>
      </w:r>
      <w:r w:rsidR="00C13E10">
        <w:t xml:space="preserve">ld be inequitable to impose the costs associated with a compensation scheme of last resort </w:t>
      </w:r>
      <w:r w:rsidRPr="002257C0">
        <w:t>on compliant financial firms</w:t>
      </w:r>
      <w:r w:rsidR="00B127E3">
        <w:t>;</w:t>
      </w:r>
      <w:r w:rsidR="00B127E3">
        <w:rPr>
          <w:rStyle w:val="FootnoteReference"/>
        </w:rPr>
        <w:footnoteReference w:id="41"/>
      </w:r>
    </w:p>
    <w:p w:rsidR="008B1FB1" w:rsidRDefault="00B127E3">
      <w:pPr>
        <w:pStyle w:val="Bullet"/>
      </w:pPr>
      <w:r>
        <w:t xml:space="preserve">appropriate professional indemnity and capital requirements </w:t>
      </w:r>
      <w:r w:rsidR="00E67A29">
        <w:t>would</w:t>
      </w:r>
      <w:r>
        <w:t xml:space="preserve"> reduce the likelihood of unpaid FOS determinations in the first place and these should take priority</w:t>
      </w:r>
      <w:r w:rsidR="008B1FB1">
        <w:t>;</w:t>
      </w:r>
      <w:r>
        <w:rPr>
          <w:rStyle w:val="FootnoteReference"/>
        </w:rPr>
        <w:footnoteReference w:id="42"/>
      </w:r>
      <w:r w:rsidR="00934662">
        <w:t xml:space="preserve"> and</w:t>
      </w:r>
    </w:p>
    <w:p w:rsidR="005F1BAE" w:rsidRDefault="008B1FB1">
      <w:pPr>
        <w:pStyle w:val="Bullet"/>
      </w:pPr>
      <w:r>
        <w:t xml:space="preserve">any increase in levies or other </w:t>
      </w:r>
      <w:r w:rsidR="00A95893">
        <w:t xml:space="preserve">funding would increase the costs for firms, </w:t>
      </w:r>
      <w:r w:rsidR="004F5126">
        <w:t xml:space="preserve">with </w:t>
      </w:r>
      <w:r w:rsidR="00A95893">
        <w:t xml:space="preserve">many of </w:t>
      </w:r>
      <w:r w:rsidR="004F5126">
        <w:t>those costs</w:t>
      </w:r>
      <w:r w:rsidR="00934662">
        <w:t xml:space="preserve"> ultimately borne by consumers</w:t>
      </w:r>
      <w:r w:rsidR="005F1BAE" w:rsidRPr="002257C0">
        <w:t>.</w:t>
      </w:r>
      <w:r w:rsidR="00B127E3">
        <w:rPr>
          <w:rStyle w:val="FootnoteReference"/>
        </w:rPr>
        <w:footnoteReference w:id="43"/>
      </w:r>
    </w:p>
    <w:p w:rsidR="005A401D" w:rsidRDefault="004F5126">
      <w:pPr>
        <w:pStyle w:val="OutlineNumbered1"/>
      </w:pPr>
      <w:r>
        <w:t xml:space="preserve">A number of submissions also referred the Panel to </w:t>
      </w:r>
      <w:r w:rsidR="004D1C26">
        <w:t xml:space="preserve">the </w:t>
      </w:r>
      <w:r w:rsidR="009F586F">
        <w:t>2012 report</w:t>
      </w:r>
      <w:r w:rsidR="00797689">
        <w:t xml:space="preserve"> </w:t>
      </w:r>
      <w:r w:rsidR="009F586F">
        <w:t>prepared</w:t>
      </w:r>
      <w:r w:rsidR="00797689">
        <w:t xml:space="preserve"> by </w:t>
      </w:r>
      <w:r w:rsidR="009F586F">
        <w:t>Mr </w:t>
      </w:r>
      <w:r w:rsidR="004D1C26">
        <w:t>Richard St</w:t>
      </w:r>
      <w:r w:rsidR="004632AF">
        <w:t>.</w:t>
      </w:r>
      <w:r w:rsidR="004D1C26">
        <w:t xml:space="preserve"> John</w:t>
      </w:r>
      <w:r w:rsidR="00797689">
        <w:t xml:space="preserve">, </w:t>
      </w:r>
      <w:r w:rsidR="00797689" w:rsidRPr="00797689">
        <w:rPr>
          <w:i/>
        </w:rPr>
        <w:t>Compensation arrangements for consumers of financial services</w:t>
      </w:r>
      <w:r w:rsidR="00E33664">
        <w:t>.</w:t>
      </w:r>
    </w:p>
    <w:p w:rsidR="004F5126" w:rsidRDefault="004F5126" w:rsidP="006E3399">
      <w:pPr>
        <w:pStyle w:val="Zero"/>
      </w:pP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C103C5" w:rsidTr="003E06B4">
        <w:tc>
          <w:tcPr>
            <w:tcW w:w="5000" w:type="pct"/>
            <w:shd w:val="clear" w:color="auto" w:fill="E6E6E6"/>
          </w:tcPr>
          <w:p w:rsidR="00C103C5" w:rsidRDefault="000945B1" w:rsidP="006A3FAB">
            <w:pPr>
              <w:pStyle w:val="BoxHeading"/>
            </w:pPr>
            <w:r>
              <w:t>Richard St</w:t>
            </w:r>
            <w:r w:rsidR="004632AF">
              <w:t>.</w:t>
            </w:r>
            <w:r>
              <w:t xml:space="preserve"> John report: </w:t>
            </w:r>
            <w:r w:rsidR="00C103C5" w:rsidRPr="006A3FAB">
              <w:rPr>
                <w:i/>
              </w:rPr>
              <w:t>Compensation arrangements for consumers of financial services</w:t>
            </w:r>
          </w:p>
          <w:p w:rsidR="00C103C5" w:rsidRPr="006A3FAB" w:rsidRDefault="00C103C5" w:rsidP="006A3FAB">
            <w:pPr>
              <w:pStyle w:val="BoxText"/>
            </w:pPr>
            <w:r w:rsidRPr="006A3FAB">
              <w:t>In April 2010, Mr Richard St</w:t>
            </w:r>
            <w:r w:rsidR="004632AF">
              <w:t>.</w:t>
            </w:r>
            <w:r w:rsidRPr="006A3FAB">
              <w:t xml:space="preserve"> John was asked by the Australian Government to consider the need for, and costs and benefits of, a statutory compensation scheme for financial services.</w:t>
            </w:r>
          </w:p>
          <w:p w:rsidR="00C103C5" w:rsidRPr="006A3FAB" w:rsidRDefault="00C103C5" w:rsidP="006A3FAB">
            <w:pPr>
              <w:pStyle w:val="BoxText"/>
            </w:pPr>
            <w:r w:rsidRPr="006A3FAB">
              <w:t>In April 2012, the report was published and it concluded that it would be inappropriate, and possibly counter</w:t>
            </w:r>
            <w:r w:rsidR="009F688A" w:rsidRPr="006A3FAB">
              <w:noBreakHyphen/>
            </w:r>
            <w:r w:rsidRPr="006A3FAB">
              <w:t>productive, to introduce a more comprehensive last resort compensation scheme to underpin the current relatively light compensation regime for financial advisers and other providers of financial services. Given the limited regulatory measures to protect retail clients from the risk of licensee insolvency, it was found that it would be inappropriate to require more responsible and financially secure licensees to underwrite the ability of other licensees to meet claims against them for compensation.</w:t>
            </w:r>
          </w:p>
          <w:p w:rsidR="00C103C5" w:rsidRPr="006A3FAB" w:rsidRDefault="00C103C5" w:rsidP="006A3FAB">
            <w:pPr>
              <w:pStyle w:val="BoxText"/>
            </w:pPr>
            <w:r w:rsidRPr="006A3FAB">
              <w:t>The report made a number of recommendations aimed at strengthening the existing compensation requirements, including:</w:t>
            </w:r>
          </w:p>
          <w:p w:rsidR="00C103C5" w:rsidRPr="002B724B" w:rsidRDefault="00C103C5" w:rsidP="002B724B">
            <w:pPr>
              <w:pStyle w:val="BoxBullet-NoIndent"/>
            </w:pPr>
            <w:r w:rsidRPr="002B724B">
              <w:t>licensees providing additional assurances to ASIC in relation to their professional indemnity insurance cover; and</w:t>
            </w:r>
          </w:p>
          <w:p w:rsidR="00C103C5" w:rsidRPr="002B724B" w:rsidRDefault="00C103C5" w:rsidP="002B724B">
            <w:pPr>
              <w:pStyle w:val="BoxBullet-NoIndent"/>
            </w:pPr>
            <w:r w:rsidRPr="002B724B">
              <w:t>for ASIC to take a more proactive stance on monitoring licensee compliance with compensation requirements.</w:t>
            </w:r>
          </w:p>
          <w:p w:rsidR="00C103C5" w:rsidRPr="006A3FAB" w:rsidRDefault="00C103C5" w:rsidP="006A3FAB">
            <w:pPr>
              <w:pStyle w:val="BoxText"/>
            </w:pPr>
            <w:r w:rsidRPr="006A3FAB">
              <w:t>In April 2013, the then Australian Government released its response accepting the report</w:t>
            </w:r>
            <w:r w:rsidR="009F688A" w:rsidRPr="006A3FAB">
              <w:t>’</w:t>
            </w:r>
            <w:r w:rsidRPr="006A3FAB">
              <w:t>s recommendations.</w:t>
            </w:r>
          </w:p>
        </w:tc>
      </w:tr>
    </w:tbl>
    <w:p w:rsidR="004F5126" w:rsidRPr="00013038" w:rsidRDefault="004F5126" w:rsidP="00013038">
      <w:pPr>
        <w:pStyle w:val="SingleParagraph"/>
      </w:pPr>
    </w:p>
    <w:p w:rsidR="004F5126" w:rsidRDefault="00ED4256">
      <w:pPr>
        <w:pStyle w:val="OutlineNumbered1"/>
      </w:pPr>
      <w:r>
        <w:t>The Panel is also aware that</w:t>
      </w:r>
      <w:r w:rsidR="00120ADE">
        <w:t xml:space="preserve"> there are claims that</w:t>
      </w:r>
      <w:r>
        <w:t xml:space="preserve"> moral hazard issues may arise with the existence of a compensation scheme of last resort. </w:t>
      </w:r>
      <w:r w:rsidRPr="00682690">
        <w:t xml:space="preserve">Moral hazard </w:t>
      </w:r>
      <w:r>
        <w:t xml:space="preserve">can arise where </w:t>
      </w:r>
      <w:r w:rsidR="00A90830">
        <w:t>individuals</w:t>
      </w:r>
      <w:r w:rsidR="00A90830" w:rsidRPr="00682690">
        <w:t xml:space="preserve"> </w:t>
      </w:r>
      <w:r>
        <w:t>assume</w:t>
      </w:r>
      <w:r w:rsidRPr="00682690">
        <w:t xml:space="preserve"> risks </w:t>
      </w:r>
      <w:r>
        <w:t>as</w:t>
      </w:r>
      <w:r w:rsidRPr="00682690">
        <w:t xml:space="preserve"> they know someone else is protecting them against </w:t>
      </w:r>
      <w:r>
        <w:t>possible</w:t>
      </w:r>
      <w:r w:rsidRPr="00682690">
        <w:t xml:space="preserve"> financial loss.</w:t>
      </w:r>
      <w:r>
        <w:rPr>
          <w:rStyle w:val="FootnoteReference"/>
        </w:rPr>
        <w:footnoteReference w:id="44"/>
      </w:r>
    </w:p>
    <w:p w:rsidR="00ED4256" w:rsidRPr="005757CA" w:rsidRDefault="004F5126">
      <w:pPr>
        <w:pStyle w:val="OutlineNumbered1"/>
      </w:pPr>
      <w:r>
        <w:t>T</w:t>
      </w:r>
      <w:r w:rsidR="00ED4256">
        <w:t>he introduction of a scheme may</w:t>
      </w:r>
      <w:r>
        <w:t>, for example,</w:t>
      </w:r>
      <w:r w:rsidR="00ED4256">
        <w:t xml:space="preserve"> encourage consumers to become complacent about the risks of dealing in the market and induce riskier behaviour by financial firms. Further, it may reduce the incentive for stringent regulation or rigorous administration of the </w:t>
      </w:r>
      <w:r w:rsidR="00120ADE">
        <w:t xml:space="preserve">existing </w:t>
      </w:r>
      <w:r w:rsidR="00ED4256">
        <w:t>compensation arrangements.</w:t>
      </w:r>
      <w:r w:rsidR="00ED4256">
        <w:rPr>
          <w:rStyle w:val="FootnoteReference"/>
        </w:rPr>
        <w:footnoteReference w:id="45"/>
      </w:r>
    </w:p>
    <w:p w:rsidR="00602010" w:rsidRPr="00B51483" w:rsidRDefault="00602010" w:rsidP="003E06B4"/>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5F1BAE" w:rsidRPr="007B6996" w:rsidTr="00BE6F47">
        <w:trPr>
          <w:cantSplit/>
          <w:trHeight w:val="846"/>
        </w:trPr>
        <w:tc>
          <w:tcPr>
            <w:tcW w:w="9072" w:type="dxa"/>
          </w:tcPr>
          <w:p w:rsidR="005F1BAE" w:rsidRDefault="005F1BAE" w:rsidP="009F688A">
            <w:pPr>
              <w:pStyle w:val="BoxHeading"/>
            </w:pPr>
            <w:r>
              <w:t>Q</w:t>
            </w:r>
            <w:r w:rsidRPr="007B6996">
              <w:t>uestion</w:t>
            </w:r>
            <w:r>
              <w:t>s</w:t>
            </w:r>
            <w:r w:rsidR="009F688A">
              <w:t xml:space="preserve"> — </w:t>
            </w:r>
            <w:r w:rsidR="00811466">
              <w:t>Evaluation of a c</w:t>
            </w:r>
            <w:r w:rsidR="00811466" w:rsidRPr="004D1C26">
              <w:t xml:space="preserve">ompensation </w:t>
            </w:r>
            <w:r w:rsidR="004D1C26" w:rsidRPr="004D1C26">
              <w:t>scheme of last resort</w:t>
            </w:r>
          </w:p>
          <w:p w:rsidR="005F1BAE" w:rsidRDefault="005F1BAE" w:rsidP="00993864">
            <w:pPr>
              <w:pStyle w:val="BoxNumberedQuestions"/>
            </w:pPr>
            <w:r>
              <w:t xml:space="preserve">What are the </w:t>
            </w:r>
            <w:r w:rsidR="00760600">
              <w:t>benefits and costs</w:t>
            </w:r>
            <w:r w:rsidR="00DB4059">
              <w:t xml:space="preserve"> of </w:t>
            </w:r>
            <w:r>
              <w:t>establishing a compensation scheme</w:t>
            </w:r>
            <w:r w:rsidR="00C8785D">
              <w:t xml:space="preserve"> of last resort</w:t>
            </w:r>
            <w:r>
              <w:t>?</w:t>
            </w:r>
          </w:p>
          <w:p w:rsidR="007F1C5E" w:rsidRPr="002852E0" w:rsidRDefault="007F1C5E" w:rsidP="009F688A">
            <w:pPr>
              <w:pStyle w:val="BoxNumberedQuestions"/>
            </w:pPr>
            <w:r w:rsidRPr="00EE10B0">
              <w:t>Are the</w:t>
            </w:r>
            <w:r w:rsidR="00C23BE3">
              <w:t>re</w:t>
            </w:r>
            <w:r w:rsidRPr="00EE10B0">
              <w:t xml:space="preserve"> any impediments in the existing regulatory framework </w:t>
            </w:r>
            <w:r w:rsidR="00351CC5">
              <w:t>to</w:t>
            </w:r>
            <w:r w:rsidRPr="00EE10B0">
              <w:t xml:space="preserve"> the introduction of a compensati</w:t>
            </w:r>
            <w:r w:rsidRPr="002852E0">
              <w:t>on scheme of last resort?</w:t>
            </w:r>
          </w:p>
          <w:p w:rsidR="007F1C5E" w:rsidRDefault="007F1C5E" w:rsidP="009F688A">
            <w:pPr>
              <w:pStyle w:val="BoxNumberedQuestions"/>
            </w:pPr>
            <w:r>
              <w:t xml:space="preserve">What </w:t>
            </w:r>
            <w:r w:rsidR="003D4B20">
              <w:t xml:space="preserve">potential </w:t>
            </w:r>
            <w:r>
              <w:t xml:space="preserve">impact would a compensation scheme of last resort have on consumer behaviour in selecting a financial </w:t>
            </w:r>
            <w:r w:rsidR="00C52A83">
              <w:t>firm</w:t>
            </w:r>
            <w:r w:rsidR="00351CC5">
              <w:t xml:space="preserve"> or making decisions about financial products</w:t>
            </w:r>
            <w:r>
              <w:t>?</w:t>
            </w:r>
          </w:p>
          <w:p w:rsidR="007F1C5E" w:rsidRDefault="007F1C5E" w:rsidP="009F688A">
            <w:pPr>
              <w:pStyle w:val="BoxNumberedQuestions"/>
            </w:pPr>
            <w:r>
              <w:t>What</w:t>
            </w:r>
            <w:r w:rsidR="00827B0A">
              <w:t xml:space="preserve"> potential</w:t>
            </w:r>
            <w:r>
              <w:t xml:space="preserve"> impact would a compensation scheme of last resort have on the operations of financial </w:t>
            </w:r>
            <w:r w:rsidR="00DB4059">
              <w:t>firms</w:t>
            </w:r>
            <w:r>
              <w:t>?</w:t>
            </w:r>
          </w:p>
          <w:p w:rsidR="003B718D" w:rsidRDefault="00B61DA4" w:rsidP="009F688A">
            <w:pPr>
              <w:pStyle w:val="BoxNumberedQuestions"/>
            </w:pPr>
            <w:r>
              <w:t>Would</w:t>
            </w:r>
            <w:r w:rsidR="003B718D">
              <w:t xml:space="preserve"> the introduction of a </w:t>
            </w:r>
            <w:r w:rsidR="00C8785D">
              <w:t xml:space="preserve">compensation scheme of </w:t>
            </w:r>
            <w:r w:rsidR="003B718D">
              <w:t xml:space="preserve">last resort </w:t>
            </w:r>
            <w:r w:rsidR="00DB4059">
              <w:t xml:space="preserve">impact on competition in the </w:t>
            </w:r>
            <w:r w:rsidR="003B718D">
              <w:t xml:space="preserve">financial services industry? </w:t>
            </w:r>
            <w:r>
              <w:t xml:space="preserve">Would it </w:t>
            </w:r>
            <w:r w:rsidR="003B718D">
              <w:t>favour one part of the industry over another?</w:t>
            </w:r>
          </w:p>
          <w:p w:rsidR="005F1BAE" w:rsidRDefault="001734B9" w:rsidP="009F688A">
            <w:pPr>
              <w:pStyle w:val="BoxNumberedQuestions"/>
            </w:pPr>
            <w:r>
              <w:t>What</w:t>
            </w:r>
            <w:r w:rsidR="007F1C5E">
              <w:t xml:space="preserve"> </w:t>
            </w:r>
            <w:r>
              <w:t>flow</w:t>
            </w:r>
            <w:r w:rsidR="009F688A">
              <w:noBreakHyphen/>
            </w:r>
            <w:r>
              <w:t>on implications might</w:t>
            </w:r>
            <w:r w:rsidR="00D90D26">
              <w:t xml:space="preserve"> be associated with </w:t>
            </w:r>
            <w:r w:rsidR="004D0A5A">
              <w:t>the</w:t>
            </w:r>
            <w:r w:rsidR="005F1BAE">
              <w:t xml:space="preserve"> introduction of a</w:t>
            </w:r>
            <w:r w:rsidR="00C8785D">
              <w:t xml:space="preserve"> compensation scheme of</w:t>
            </w:r>
            <w:r w:rsidR="005F1BAE">
              <w:t xml:space="preserve"> last resort? How could these be </w:t>
            </w:r>
            <w:r w:rsidR="00D90D26">
              <w:t>addressed to ensure effective outcomes for users</w:t>
            </w:r>
            <w:r w:rsidR="005F1BAE">
              <w:t>?</w:t>
            </w:r>
          </w:p>
          <w:p w:rsidR="005F1BAE" w:rsidRDefault="00760600" w:rsidP="009F688A">
            <w:pPr>
              <w:pStyle w:val="BoxNumberedQuestions"/>
            </w:pPr>
            <w:r>
              <w:t>What other mechanisms are available to deal with uncompensated consumer losses?</w:t>
            </w:r>
          </w:p>
          <w:p w:rsidR="004F5126" w:rsidRPr="007B6996" w:rsidRDefault="004F5126" w:rsidP="009F688A">
            <w:pPr>
              <w:pStyle w:val="BoxNumberedQuestions"/>
            </w:pPr>
            <w:r>
              <w:t xml:space="preserve">What relevant changes have occurred since the release of </w:t>
            </w:r>
            <w:r w:rsidR="00535AA7">
              <w:t>Richard St</w:t>
            </w:r>
            <w:r w:rsidR="004632AF">
              <w:t>.</w:t>
            </w:r>
            <w:r w:rsidR="00535AA7">
              <w:t xml:space="preserve"> John</w:t>
            </w:r>
            <w:r w:rsidR="009F688A">
              <w:t>’</w:t>
            </w:r>
            <w:r w:rsidR="00535AA7">
              <w:t xml:space="preserve">s report, </w:t>
            </w:r>
            <w:r w:rsidR="00535AA7" w:rsidRPr="00535AA7">
              <w:rPr>
                <w:i/>
              </w:rPr>
              <w:t>Compensation arrangements for consumers of financial services</w:t>
            </w:r>
            <w:r w:rsidR="00535AA7">
              <w:t>?</w:t>
            </w:r>
          </w:p>
        </w:tc>
      </w:tr>
    </w:tbl>
    <w:p w:rsidR="006E3399" w:rsidRDefault="006E3399" w:rsidP="00253395">
      <w:pPr>
        <w:pStyle w:val="SingleParagraph"/>
      </w:pPr>
      <w:bookmarkStart w:id="137" w:name="_Toc481418013"/>
      <w:bookmarkStart w:id="138" w:name="_Toc481420154"/>
      <w:bookmarkStart w:id="139" w:name="_Toc482188900"/>
      <w:bookmarkStart w:id="140" w:name="_Toc482197207"/>
      <w:bookmarkStart w:id="141" w:name="_Toc482198297"/>
      <w:bookmarkStart w:id="142" w:name="_Toc482779540"/>
      <w:bookmarkStart w:id="143" w:name="_Toc482781315"/>
      <w:bookmarkStart w:id="144" w:name="_Toc482873869"/>
    </w:p>
    <w:p w:rsidR="00C66460" w:rsidRPr="00036E4C" w:rsidRDefault="00AE4045" w:rsidP="00535AA7">
      <w:pPr>
        <w:pStyle w:val="Heading2"/>
      </w:pPr>
      <w:bookmarkStart w:id="145" w:name="_Toc483229142"/>
      <w:bookmarkStart w:id="146" w:name="_Toc483230257"/>
      <w:bookmarkStart w:id="147" w:name="_Toc483398636"/>
      <w:bookmarkStart w:id="148" w:name="_Toc483485323"/>
      <w:bookmarkStart w:id="149" w:name="_Toc483988911"/>
      <w:r>
        <w:t>P</w:t>
      </w:r>
      <w:r w:rsidR="006A00CE">
        <w:t xml:space="preserve">otential </w:t>
      </w:r>
      <w:r>
        <w:t>design of a</w:t>
      </w:r>
      <w:r w:rsidR="006A00CE">
        <w:t xml:space="preserve"> </w:t>
      </w:r>
      <w:r w:rsidR="00C27029">
        <w:t>c</w:t>
      </w:r>
      <w:r w:rsidR="00C66460" w:rsidRPr="008951F1">
        <w:t xml:space="preserve">ompensation </w:t>
      </w:r>
      <w:r w:rsidR="00C27029">
        <w:t>s</w:t>
      </w:r>
      <w:r w:rsidR="00C66460" w:rsidRPr="008951F1">
        <w:t>cheme</w:t>
      </w:r>
      <w:r w:rsidR="007203AE">
        <w:t xml:space="preserve"> of last resort</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993008" w:rsidRDefault="00D324A3">
      <w:pPr>
        <w:pStyle w:val="OutlineNumbered1"/>
      </w:pPr>
      <w:r>
        <w:t xml:space="preserve">The </w:t>
      </w:r>
      <w:r w:rsidR="00810D5E">
        <w:t>Review</w:t>
      </w:r>
      <w:r w:rsidR="009F688A">
        <w:t>’</w:t>
      </w:r>
      <w:r>
        <w:t xml:space="preserve">s Terms of Reference require </w:t>
      </w:r>
      <w:r w:rsidR="00810D5E">
        <w:t>the Panel</w:t>
      </w:r>
      <w:r>
        <w:t xml:space="preserve"> to </w:t>
      </w:r>
      <w:r w:rsidR="007D107A">
        <w:t xml:space="preserve">make recommendations on the potential design of a </w:t>
      </w:r>
      <w:r w:rsidR="00FD7B1F">
        <w:t xml:space="preserve">compensation scheme </w:t>
      </w:r>
      <w:r w:rsidR="007203AE">
        <w:t>of last resort</w:t>
      </w:r>
      <w:r w:rsidR="007D107A">
        <w:t xml:space="preserve">. </w:t>
      </w:r>
      <w:r w:rsidR="00993008">
        <w:t xml:space="preserve">Some </w:t>
      </w:r>
      <w:r w:rsidR="00810D5E">
        <w:t xml:space="preserve">of the </w:t>
      </w:r>
      <w:r w:rsidR="00993008">
        <w:t>potential design features are outlined below.</w:t>
      </w:r>
    </w:p>
    <w:p w:rsidR="00993008" w:rsidRDefault="00993008" w:rsidP="00C103C5">
      <w:pPr>
        <w:pStyle w:val="Heading3"/>
      </w:pPr>
      <w:r w:rsidRPr="005F6415">
        <w:t>Types of claims covered</w:t>
      </w:r>
    </w:p>
    <w:p w:rsidR="00827B0A" w:rsidRPr="004563C5" w:rsidRDefault="00827B0A">
      <w:pPr>
        <w:pStyle w:val="Heading4"/>
      </w:pPr>
      <w:r>
        <w:t>Inclusion of small business disputes</w:t>
      </w:r>
    </w:p>
    <w:p w:rsidR="003963E7" w:rsidRPr="00827B0A" w:rsidRDefault="00993008">
      <w:pPr>
        <w:pStyle w:val="OutlineNumbered1"/>
      </w:pPr>
      <w:r>
        <w:t xml:space="preserve">The </w:t>
      </w:r>
      <w:r>
        <w:rPr>
          <w:i/>
        </w:rPr>
        <w:t>Corporations Act</w:t>
      </w:r>
      <w:r w:rsidR="004632AF">
        <w:rPr>
          <w:i/>
        </w:rPr>
        <w:t xml:space="preserve"> 2001</w:t>
      </w:r>
      <w:r>
        <w:rPr>
          <w:i/>
        </w:rPr>
        <w:t xml:space="preserve"> </w:t>
      </w:r>
      <w:r>
        <w:t xml:space="preserve">requires financial services licensees to have dispute resolution and compensation arrangements in place for financial services provided to a retail client in accordance with the </w:t>
      </w:r>
      <w:r w:rsidRPr="00383B17">
        <w:rPr>
          <w:i/>
        </w:rPr>
        <w:t>Corporations Act 2001</w:t>
      </w:r>
      <w:r>
        <w:t>.</w:t>
      </w:r>
      <w:r>
        <w:rPr>
          <w:rStyle w:val="FootnoteReference"/>
        </w:rPr>
        <w:footnoteReference w:id="46"/>
      </w:r>
      <w:r>
        <w:t xml:space="preserve"> </w:t>
      </w:r>
      <w:r w:rsidR="00C7016F">
        <w:t>A retail client, relevantly, includes consumers and small businesses.</w:t>
      </w:r>
      <w:r w:rsidR="00C7016F" w:rsidDel="004632AF">
        <w:t xml:space="preserve"> </w:t>
      </w:r>
      <w:r w:rsidR="004632AF">
        <w:t>U</w:t>
      </w:r>
      <w:r>
        <w:t xml:space="preserve">nder the </w:t>
      </w:r>
      <w:r>
        <w:rPr>
          <w:i/>
        </w:rPr>
        <w:t>National Consumer Credit Protection Act</w:t>
      </w:r>
      <w:r>
        <w:t xml:space="preserve">, licensees must be a </w:t>
      </w:r>
      <w:r w:rsidRPr="00383B17">
        <w:t>member of an approved external dispute resolution</w:t>
      </w:r>
      <w:r>
        <w:t xml:space="preserve"> </w:t>
      </w:r>
      <w:r w:rsidR="00170527">
        <w:t xml:space="preserve">scheme </w:t>
      </w:r>
      <w:r>
        <w:t>and have in place adequate compensation arrangements.</w:t>
      </w:r>
      <w:r>
        <w:rPr>
          <w:rStyle w:val="FootnoteReference"/>
        </w:rPr>
        <w:footnoteReference w:id="47"/>
      </w:r>
      <w:r>
        <w:t xml:space="preserve"> </w:t>
      </w:r>
      <w:r w:rsidR="00C7016F">
        <w:t>As a matter of principle, there are strong policy grounds for small businesses having access to any compensation scheme of last resort.</w:t>
      </w:r>
    </w:p>
    <w:p w:rsidR="00827B0A" w:rsidRDefault="00827B0A">
      <w:pPr>
        <w:pStyle w:val="Heading4"/>
      </w:pPr>
      <w:r>
        <w:t>Financial advice disputes vs all disputes</w:t>
      </w:r>
    </w:p>
    <w:p w:rsidR="00993008" w:rsidRDefault="00810D5E">
      <w:pPr>
        <w:pStyle w:val="OutlineNumbered1"/>
      </w:pPr>
      <w:r>
        <w:t>D</w:t>
      </w:r>
      <w:r w:rsidR="00993008">
        <w:t>isputes relating to the provision of financial product advice currently make up the largest proportion of unpaid FOS determinations. These are followed by disputes with operators of managed investment schemes and credit providers.</w:t>
      </w:r>
    </w:p>
    <w:p w:rsidR="00993008" w:rsidRDefault="00993008">
      <w:pPr>
        <w:pStyle w:val="OutlineNumbered1"/>
      </w:pPr>
      <w:r>
        <w:t>In terms of the types of disputes covered by a compensation scheme of last resort, a broad compensation scheme would provide the greatest possible protection for consumers and small business. However, it would also increase the potential costs for those responsible for funding the scheme, who may then seek to pass those costs on, for example, to their customers and shareholders.</w:t>
      </w:r>
    </w:p>
    <w:p w:rsidR="00993008" w:rsidRDefault="00174BE9" w:rsidP="00C103C5">
      <w:pPr>
        <w:pStyle w:val="Heading3"/>
      </w:pPr>
      <w:r>
        <w:t>A</w:t>
      </w:r>
      <w:r w:rsidR="00993008">
        <w:t>ccess</w:t>
      </w:r>
      <w:r>
        <w:t>ing the scheme</w:t>
      </w:r>
    </w:p>
    <w:p w:rsidR="005266D8" w:rsidRDefault="005266D8">
      <w:pPr>
        <w:pStyle w:val="Heading4"/>
      </w:pPr>
      <w:r>
        <w:t>Qualifying conditions</w:t>
      </w:r>
    </w:p>
    <w:p w:rsidR="0051405F" w:rsidRDefault="00993008">
      <w:pPr>
        <w:pStyle w:val="OutlineNumbered1"/>
      </w:pPr>
      <w:r>
        <w:t>Before a claimant can access a compensation scheme of last resort, there is the po</w:t>
      </w:r>
      <w:r w:rsidR="00810D5E">
        <w:t>tential for imposing</w:t>
      </w:r>
      <w:r>
        <w:t xml:space="preserve"> qualifying conditions. For example, the claimant may have to prove they have received an EDR determination in their favour and the relevant firm (wh</w:t>
      </w:r>
      <w:r w:rsidR="00630F97">
        <w:t>ich</w:t>
      </w:r>
      <w:r>
        <w:t xml:space="preserve"> is a member of the compensation scheme) is insolvent, has stopped trading or has insufficient assets to meet the claims made against it. </w:t>
      </w:r>
      <w:r w:rsidR="00C8176F">
        <w:t>Claimants</w:t>
      </w:r>
      <w:r w:rsidR="00BE4D9D">
        <w:t xml:space="preserve"> may also have to wait for a specified period of time before making a claim or prove they have taken particular steps to satisfy the </w:t>
      </w:r>
      <w:r w:rsidR="0065382B">
        <w:t>EDR determination</w:t>
      </w:r>
      <w:r w:rsidR="00BE4D9D">
        <w:t xml:space="preserve"> from the firm.</w:t>
      </w:r>
    </w:p>
    <w:p w:rsidR="00993008" w:rsidRDefault="00025AEB">
      <w:pPr>
        <w:pStyle w:val="OutlineNumbered1"/>
      </w:pPr>
      <w:r>
        <w:t>An additional issue is how an individual could access a compensation scheme of last resort where the financial firm is insolvent and unable to defend a matter which is brought before an EDR body.</w:t>
      </w:r>
      <w:r w:rsidR="006D254C">
        <w:t xml:space="preserve"> Under the existing </w:t>
      </w:r>
      <w:r w:rsidR="0051405F">
        <w:t xml:space="preserve">EDR scheme </w:t>
      </w:r>
      <w:r w:rsidR="006D254C">
        <w:t>arrangements, the</w:t>
      </w:r>
      <w:r w:rsidR="0051405F">
        <w:t>re is the potential for complaints to be closed early in the process where there is no reasonable prospect of any order for compensation being met.</w:t>
      </w:r>
      <w:r w:rsidR="0051405F">
        <w:rPr>
          <w:rStyle w:val="FootnoteReference"/>
        </w:rPr>
        <w:footnoteReference w:id="48"/>
      </w:r>
    </w:p>
    <w:p w:rsidR="005266D8" w:rsidRDefault="005266D8">
      <w:pPr>
        <w:pStyle w:val="Heading4"/>
      </w:pPr>
      <w:r>
        <w:t>Court judgments</w:t>
      </w:r>
    </w:p>
    <w:p w:rsidR="00630F97" w:rsidRDefault="00810D5E">
      <w:pPr>
        <w:pStyle w:val="OutlineNumbered1"/>
      </w:pPr>
      <w:r>
        <w:t>If a</w:t>
      </w:r>
      <w:r w:rsidR="00AA3388" w:rsidRPr="000D014F">
        <w:t xml:space="preserve"> compensation scheme of last resort was established</w:t>
      </w:r>
      <w:r w:rsidR="00630F97">
        <w:t>, it could apply only in relation to unpaid EDR determinations, or it could also apply where court-ordered compensation had not been paid. If a scheme were to include court judgments, it</w:t>
      </w:r>
      <w:r w:rsidR="00013038">
        <w:t> </w:t>
      </w:r>
      <w:r w:rsidR="00630F97">
        <w:t>would be necessary to consider whether this should be subject to any restrictions—for example, whether any payments from the scheme should be subject to the monetary limits and compensation cap</w:t>
      </w:r>
      <w:r w:rsidR="00A15F3C">
        <w:t>s that apply in the EDR system.</w:t>
      </w:r>
    </w:p>
    <w:p w:rsidR="00CC1889" w:rsidRPr="000D014F" w:rsidRDefault="00630F97">
      <w:pPr>
        <w:pStyle w:val="OutlineNumbered1"/>
      </w:pPr>
      <w:r>
        <w:t xml:space="preserve">Class action litigation would raise further questions—such as whether claimants with a right to compensation arising from a class action should have access to the scheme at all; whether payments from the scheme should include payments for legal costs or only compensation; and whether litigation funders should be able to </w:t>
      </w:r>
      <w:r w:rsidR="00997A48" w:rsidRPr="000D014F">
        <w:t xml:space="preserve">recover </w:t>
      </w:r>
      <w:r w:rsidR="00C8176F">
        <w:t>from the scheme,</w:t>
      </w:r>
      <w:r w:rsidR="00810D5E">
        <w:t xml:space="preserve"> either directly </w:t>
      </w:r>
      <w:r w:rsidR="00997A48" w:rsidRPr="000D014F">
        <w:t>or indirectly through their contracts with th</w:t>
      </w:r>
      <w:r w:rsidR="00675DB1">
        <w:t>e</w:t>
      </w:r>
      <w:r w:rsidR="00997A48" w:rsidRPr="000D014F">
        <w:t xml:space="preserve"> class of claimants.</w:t>
      </w:r>
    </w:p>
    <w:p w:rsidR="00643E57" w:rsidRPr="00F60831" w:rsidRDefault="00643E57" w:rsidP="00B75794">
      <w:pPr>
        <w:pStyle w:val="Heading3"/>
      </w:pPr>
      <w:r w:rsidRPr="00F60831">
        <w:t xml:space="preserve">Reviewing an EDR </w:t>
      </w:r>
      <w:r w:rsidR="00A970A7" w:rsidRPr="00F60831">
        <w:t>s</w:t>
      </w:r>
      <w:r w:rsidRPr="00F60831">
        <w:t>cheme’s determinations</w:t>
      </w:r>
    </w:p>
    <w:p w:rsidR="00643E57" w:rsidRPr="00F60831" w:rsidRDefault="00F60831" w:rsidP="00F60831">
      <w:pPr>
        <w:pStyle w:val="OutlineNumbered1"/>
      </w:pPr>
      <w:r w:rsidRPr="00F60831">
        <w:t>Where an individual has received an EDR determination in their favour, a question arises in relation to whether any compensation scheme of last resort is able to independently review the EDR determination or whether it should simply accept the EDR scheme’s determination of the merits of the dispute</w:t>
      </w:r>
      <w:r w:rsidR="0010730B" w:rsidRPr="00F60831">
        <w:t>.</w:t>
      </w:r>
    </w:p>
    <w:p w:rsidR="00643E57" w:rsidRPr="00AE7446" w:rsidRDefault="00AE7446" w:rsidP="00B75794">
      <w:pPr>
        <w:pStyle w:val="OutlineNumbered1"/>
      </w:pPr>
      <w:r w:rsidRPr="00AE7446">
        <w:t>I</w:t>
      </w:r>
      <w:r w:rsidR="00F3214A" w:rsidRPr="00AE7446">
        <w:t xml:space="preserve">n the United Kingdom, </w:t>
      </w:r>
      <w:r w:rsidR="00142B6C" w:rsidRPr="00AE7446">
        <w:t>after an individual has made a claim to the Financial Services Compensation scheme (FSCS), the FSCS investigate</w:t>
      </w:r>
      <w:r w:rsidR="00B23144" w:rsidRPr="00AE7446">
        <w:t>s</w:t>
      </w:r>
      <w:r w:rsidR="00142B6C" w:rsidRPr="00AE7446">
        <w:t xml:space="preserve"> and decide</w:t>
      </w:r>
      <w:r w:rsidR="00B23144" w:rsidRPr="00AE7446">
        <w:t>s</w:t>
      </w:r>
      <w:r w:rsidRPr="00AE7446">
        <w:t xml:space="preserve"> for itself, based on its own </w:t>
      </w:r>
      <w:r w:rsidR="008B70B0">
        <w:t xml:space="preserve">rules and </w:t>
      </w:r>
      <w:r w:rsidRPr="00AE7446">
        <w:t>liability standard</w:t>
      </w:r>
      <w:r w:rsidR="008B70B0">
        <w:t>s</w:t>
      </w:r>
      <w:r w:rsidRPr="00AE7446">
        <w:t>, whether an individual should be paid compensation.</w:t>
      </w:r>
      <w:r w:rsidR="005C4D79" w:rsidRPr="00AE7446">
        <w:rPr>
          <w:rStyle w:val="FootnoteReference"/>
        </w:rPr>
        <w:footnoteReference w:id="49"/>
      </w:r>
      <w:r w:rsidRPr="00AE7446">
        <w:t xml:space="preserve"> That is, it is not bound by an EDR determination.</w:t>
      </w:r>
      <w:r w:rsidR="008B70B0">
        <w:rPr>
          <w:rStyle w:val="FootnoteReference"/>
        </w:rPr>
        <w:footnoteReference w:id="50"/>
      </w:r>
      <w:r w:rsidRPr="00AE7446">
        <w:t xml:space="preserve"> For example, in relation to claims made against certain investment businesses, the FSCS may pay compensation</w:t>
      </w:r>
      <w:r w:rsidR="00142B6C" w:rsidRPr="00AE7446">
        <w:t xml:space="preserve"> </w:t>
      </w:r>
      <w:r w:rsidRPr="00AE7446">
        <w:t>“only to the extent that the FSCS considers that the payment of compensation is essential in order to provide the claimant with fair compensation”.</w:t>
      </w:r>
      <w:r>
        <w:rPr>
          <w:rStyle w:val="FootnoteReference"/>
        </w:rPr>
        <w:footnoteReference w:id="51"/>
      </w:r>
    </w:p>
    <w:p w:rsidR="00993008" w:rsidRDefault="00993008" w:rsidP="00B75794">
      <w:pPr>
        <w:pStyle w:val="Heading3"/>
      </w:pPr>
      <w:r>
        <w:t>Funding</w:t>
      </w:r>
    </w:p>
    <w:p w:rsidR="00B800FE" w:rsidRPr="00B800FE" w:rsidRDefault="00993008" w:rsidP="00B75794">
      <w:pPr>
        <w:pStyle w:val="OutlineNumbered1"/>
      </w:pPr>
      <w:r>
        <w:t xml:space="preserve">Internationally, compensation schemes of last resort in the financial sector are </w:t>
      </w:r>
      <w:r w:rsidR="00810D5E">
        <w:t xml:space="preserve">industry </w:t>
      </w:r>
      <w:r>
        <w:t>funded. However, there is also the possibility of other funding models, such as those which have a degree of government involvement.</w:t>
      </w:r>
    </w:p>
    <w:p w:rsidR="00A5267B" w:rsidRDefault="00F25777">
      <w:pPr>
        <w:pStyle w:val="OutlineNumbered1"/>
      </w:pPr>
      <w:r>
        <w:t>Un</w:t>
      </w:r>
      <w:r w:rsidR="0047004E">
        <w:t xml:space="preserve">der an </w:t>
      </w:r>
      <w:r w:rsidR="00675DB1">
        <w:t>i</w:t>
      </w:r>
      <w:r w:rsidR="0047004E">
        <w:t xml:space="preserve">ndustry </w:t>
      </w:r>
      <w:r w:rsidR="00675DB1">
        <w:t xml:space="preserve">funding </w:t>
      </w:r>
      <w:r w:rsidR="0047004E">
        <w:t>model, t</w:t>
      </w:r>
      <w:r>
        <w:t xml:space="preserve">here are </w:t>
      </w:r>
      <w:r w:rsidR="00AE1F7C">
        <w:t>a</w:t>
      </w:r>
      <w:r>
        <w:t xml:space="preserve"> </w:t>
      </w:r>
      <w:r w:rsidR="00675DB1">
        <w:t>variety of ways to allocate the scheme</w:t>
      </w:r>
      <w:r w:rsidR="009F688A">
        <w:t>’</w:t>
      </w:r>
      <w:r w:rsidR="00675DB1">
        <w:t>s cost</w:t>
      </w:r>
      <w:r w:rsidR="003243F7">
        <w:t xml:space="preserve"> amongst contributors. For example, the United Kingdom</w:t>
      </w:r>
      <w:r w:rsidR="009F688A">
        <w:t>’</w:t>
      </w:r>
      <w:r w:rsidR="003243F7">
        <w:t xml:space="preserve">s </w:t>
      </w:r>
      <w:r w:rsidR="00172936">
        <w:t xml:space="preserve">FSCS </w:t>
      </w:r>
      <w:r w:rsidR="003243F7">
        <w:t xml:space="preserve">adopts </w:t>
      </w:r>
      <w:r w:rsidR="00391C20">
        <w:t xml:space="preserve">a funding class model </w:t>
      </w:r>
      <w:r w:rsidR="00E42208">
        <w:t>to cover its compensation costs.</w:t>
      </w:r>
      <w:r w:rsidR="00E42208">
        <w:rPr>
          <w:rStyle w:val="FootnoteReference"/>
        </w:rPr>
        <w:footnoteReference w:id="52"/>
      </w:r>
      <w:r w:rsidR="009A000C">
        <w:t xml:space="preserve"> </w:t>
      </w:r>
      <w:r w:rsidR="00A5267B">
        <w:t>A participant firm</w:t>
      </w:r>
      <w:r w:rsidR="009F688A">
        <w:t>’</w:t>
      </w:r>
      <w:r w:rsidR="00A5267B">
        <w:t>s permissions to conduct activities determine which class, or classes, it belongs to. If a firm is a member of more than one funding class, they are required to contribute to both classes. Each of the relevant funding class has a threshold to try to ensure that firms</w:t>
      </w:r>
      <w:r w:rsidR="009F688A">
        <w:t>’</w:t>
      </w:r>
      <w:r w:rsidR="00A5267B">
        <w:t xml:space="preserve"> contributions to the FSCS are affordable and sustainable. If</w:t>
      </w:r>
      <w:r w:rsidR="001E2656">
        <w:t> </w:t>
      </w:r>
      <w:r w:rsidR="00A5267B">
        <w:t>compensation and specific costs in a funding class are so high that the threshold is breached, firms in other classes are called upon</w:t>
      </w:r>
      <w:r w:rsidR="00363E1E">
        <w:t xml:space="preserve"> to contribute</w:t>
      </w:r>
      <w:r w:rsidR="00A5267B">
        <w:t>.</w:t>
      </w:r>
    </w:p>
    <w:p w:rsidR="003243F7" w:rsidRDefault="0011610F">
      <w:pPr>
        <w:pStyle w:val="OutlineNumbered1"/>
      </w:pPr>
      <w:r>
        <w:t xml:space="preserve">While grouping firms based on the types of activities they carry on can create incentives for firms to work together at an industry level to improve practices, it can </w:t>
      </w:r>
      <w:r w:rsidR="00391C20">
        <w:t>result in levies being subject to high degree</w:t>
      </w:r>
      <w:r>
        <w:t>s</w:t>
      </w:r>
      <w:r w:rsidR="00391C20">
        <w:t xml:space="preserve"> of volatility</w:t>
      </w:r>
      <w:r w:rsidR="005C50F4">
        <w:t xml:space="preserve"> </w:t>
      </w:r>
      <w:r w:rsidR="00363E1E">
        <w:t>where</w:t>
      </w:r>
      <w:r w:rsidR="005C50F4">
        <w:t xml:space="preserve"> those activities are subject to a high </w:t>
      </w:r>
      <w:r>
        <w:t>number</w:t>
      </w:r>
      <w:r w:rsidR="005C50F4">
        <w:t xml:space="preserve"> of </w:t>
      </w:r>
      <w:r w:rsidR="00C8176F">
        <w:t>claims</w:t>
      </w:r>
      <w:r w:rsidR="009F688A">
        <w:t>.</w:t>
      </w:r>
    </w:p>
    <w:p w:rsidR="00013038" w:rsidRDefault="00013038">
      <w:pPr>
        <w:widowControl/>
        <w:adjustRightInd/>
        <w:spacing w:after="0" w:line="240" w:lineRule="auto"/>
        <w:jc w:val="left"/>
        <w:textAlignment w:val="auto"/>
      </w:pPr>
      <w:r>
        <w:br w:type="page"/>
      </w:r>
    </w:p>
    <w:p w:rsidR="00172936" w:rsidRDefault="00BF0A82">
      <w:pPr>
        <w:pStyle w:val="OutlineNumbered1"/>
      </w:pPr>
      <w:r>
        <w:t>By contrast, while a single class funding model may reduce volatility, it raises issues around cross</w:t>
      </w:r>
      <w:r w:rsidR="009F688A">
        <w:noBreakHyphen/>
      </w:r>
      <w:r>
        <w:t>subsidisation as firms in one sector who are operating consistent with their legal obligations are required to subsidise the actions of firms in other sectors</w:t>
      </w:r>
      <w:r w:rsidR="00C8176F">
        <w:t xml:space="preserve"> who are not</w:t>
      </w:r>
      <w:r w:rsidR="009F688A">
        <w:t>.</w:t>
      </w:r>
      <w:r w:rsidR="007C7ECC">
        <w:rPr>
          <w:rStyle w:val="FootnoteReference"/>
        </w:rPr>
        <w:footnoteReference w:id="53"/>
      </w:r>
    </w:p>
    <w:p w:rsidR="00BF0A82" w:rsidRDefault="00172936">
      <w:pPr>
        <w:pStyle w:val="OutlineNumbered1"/>
      </w:pPr>
      <w:r>
        <w:t>The Panel notes that t</w:t>
      </w:r>
      <w:r w:rsidRPr="00172936">
        <w:t xml:space="preserve">he United Kingdom’s Financial Conduct Authority is currently consulting on options for changing the funding of the </w:t>
      </w:r>
      <w:r>
        <w:t>FSCS</w:t>
      </w:r>
      <w:r w:rsidRPr="00172936">
        <w:t xml:space="preserve"> and the coverage it provides to consumers, and specific proposals to change rules around the scope and operation of FSCS funding</w:t>
      </w:r>
      <w:r>
        <w:t>.</w:t>
      </w:r>
      <w:r>
        <w:rPr>
          <w:rStyle w:val="FootnoteReference"/>
        </w:rPr>
        <w:footnoteReference w:id="54"/>
      </w:r>
    </w:p>
    <w:p w:rsidR="00391C20" w:rsidRDefault="00391C20" w:rsidP="003E06B4">
      <w:pPr>
        <w:pStyle w:val="Heading3"/>
      </w:pPr>
      <w:r>
        <w:t>Compensation caps</w:t>
      </w:r>
    </w:p>
    <w:p w:rsidR="00993008" w:rsidRDefault="007F5F8F">
      <w:pPr>
        <w:pStyle w:val="OutlineNumbered1"/>
      </w:pPr>
      <w:r>
        <w:t xml:space="preserve">In compensation schemes of last resort, </w:t>
      </w:r>
      <w:r w:rsidR="00993008">
        <w:t xml:space="preserve">caps are often placed on the total size of claims that can be paid in order to manage the impact on the scheme from any </w:t>
      </w:r>
      <w:r w:rsidR="00993008" w:rsidDel="002B5F30">
        <w:t>one</w:t>
      </w:r>
      <w:r w:rsidR="002B5F30">
        <w:t> </w:t>
      </w:r>
      <w:r w:rsidR="00993008">
        <w:t>event. If</w:t>
      </w:r>
      <w:r w:rsidR="00807EC6">
        <w:t xml:space="preserve"> </w:t>
      </w:r>
      <w:r w:rsidR="00993008">
        <w:t>any scheme was limited to unpaid EDR determinations, the compensation caps or monetary limits for the EDR scheme</w:t>
      </w:r>
      <w:r w:rsidR="00810D5E">
        <w:t xml:space="preserve"> could act as limits</w:t>
      </w:r>
      <w:r w:rsidR="00993008">
        <w:t xml:space="preserve"> for the scheme.</w:t>
      </w:r>
    </w:p>
    <w:p w:rsidR="00993008" w:rsidRDefault="00810D5E" w:rsidP="003E06B4">
      <w:pPr>
        <w:pStyle w:val="Heading3"/>
      </w:pPr>
      <w:r>
        <w:t>Scheme administration</w:t>
      </w:r>
    </w:p>
    <w:p w:rsidR="00993008" w:rsidRDefault="00993008">
      <w:pPr>
        <w:pStyle w:val="OutlineNumbered1"/>
      </w:pPr>
      <w:r>
        <w:t>There are a number of ways that a compensation scheme of last resort could be administered. For example, the scheme could be administered by Government with appropriate legislative backing (similar to the Fair Entitlements Guarantee, as</w:t>
      </w:r>
      <w:r w:rsidR="00013038">
        <w:t> </w:t>
      </w:r>
      <w:r>
        <w:t>described above).</w:t>
      </w:r>
    </w:p>
    <w:p w:rsidR="00993008" w:rsidRDefault="00993008">
      <w:pPr>
        <w:pStyle w:val="OutlineNumbered1"/>
      </w:pPr>
      <w:r>
        <w:t>Alternatively, the scheme could be industry administered with regulatory oversight. For example, an industry administered scheme, including its terms of reference, could be introduced by legislation. Similarly to the current provisions which require particular firms to be a m</w:t>
      </w:r>
      <w:r w:rsidR="00810D5E">
        <w:t>ember of an approved EDR</w:t>
      </w:r>
      <w:r>
        <w:t xml:space="preserve"> scheme, legislation could require particular firms also to be members of a compensation scheme of last resort.</w:t>
      </w:r>
    </w:p>
    <w:p w:rsidR="00993008" w:rsidRDefault="00993008">
      <w:pPr>
        <w:pStyle w:val="OutlineNumbered1"/>
      </w:pPr>
      <w:r>
        <w:t>Any compensation scheme of last resort could form a part of the existing industry EDR arrangements, or operate as a stand</w:t>
      </w:r>
      <w:r w:rsidR="009F688A">
        <w:noBreakHyphen/>
      </w:r>
      <w:r>
        <w:t>alone scheme</w:t>
      </w:r>
      <w:r w:rsidR="009F688A">
        <w:t>.</w:t>
      </w:r>
    </w:p>
    <w:p w:rsidR="00174BE9" w:rsidRDefault="005E4275" w:rsidP="003E06B4">
      <w:pPr>
        <w:pStyle w:val="Heading3"/>
      </w:pPr>
      <w:r>
        <w:t>A scheme</w:t>
      </w:r>
      <w:r w:rsidR="009F688A">
        <w:t>’</w:t>
      </w:r>
      <w:r>
        <w:t>s ability to recover compensation</w:t>
      </w:r>
    </w:p>
    <w:p w:rsidR="00174BE9" w:rsidRPr="0009372F" w:rsidRDefault="0022745D">
      <w:pPr>
        <w:pStyle w:val="OutlineNumbered1"/>
      </w:pPr>
      <w:r>
        <w:t xml:space="preserve">In circumstances where a compensation scheme of last resort makes </w:t>
      </w:r>
      <w:r w:rsidR="00810D5E">
        <w:t>a payment to a claimant</w:t>
      </w:r>
      <w:r w:rsidR="008D5576">
        <w:t xml:space="preserve">, the scheme may seek to recover this compensation from the firm </w:t>
      </w:r>
      <w:r w:rsidR="004B49C0">
        <w:t>that</w:t>
      </w:r>
      <w:r w:rsidR="008D5576">
        <w:t xml:space="preserve"> failed to </w:t>
      </w:r>
      <w:r w:rsidR="00810D5E">
        <w:t>satisfy the EDR determination</w:t>
      </w:r>
      <w:r w:rsidR="008D5576">
        <w:t xml:space="preserve">. </w:t>
      </w:r>
      <w:r w:rsidR="00CB11C9">
        <w:t xml:space="preserve">For example, </w:t>
      </w:r>
      <w:r w:rsidR="00810D5E">
        <w:t xml:space="preserve">as described earlier in this section of the Issues Paper, </w:t>
      </w:r>
      <w:r w:rsidR="00CB11C9">
        <w:t xml:space="preserve">under the Fair Entitlements Guarantee program, once entitlements are paid to the employee, the Commonwealth stands in the shoes of the employee as a subrogated creditor and is entitled to claim in the liquidation and is given priority over other unsecured creditors under the </w:t>
      </w:r>
      <w:r w:rsidR="00CB11C9" w:rsidRPr="00C81F56">
        <w:rPr>
          <w:i/>
        </w:rPr>
        <w:t>Corporations Act</w:t>
      </w:r>
      <w:r w:rsidR="004B49C0" w:rsidRPr="00C81F56">
        <w:rPr>
          <w:i/>
        </w:rPr>
        <w:t xml:space="preserve"> 2001</w:t>
      </w:r>
      <w:r w:rsidR="00CB11C9">
        <w:t>.</w:t>
      </w:r>
    </w:p>
    <w:p w:rsidR="00CB11C9" w:rsidRPr="00DA2ED1" w:rsidRDefault="00C8176F">
      <w:pPr>
        <w:pStyle w:val="OutlineNumbered1"/>
      </w:pPr>
      <w:r>
        <w:t>A</w:t>
      </w:r>
      <w:r w:rsidR="00691418">
        <w:t xml:space="preserve"> related</w:t>
      </w:r>
      <w:r>
        <w:t xml:space="preserve"> issue is the role played by ASIC </w:t>
      </w:r>
      <w:r w:rsidR="00810D5E">
        <w:t>where an EDR scheme member fails to pay a determination</w:t>
      </w:r>
      <w:r>
        <w:t>. For example</w:t>
      </w:r>
      <w:r w:rsidR="00810D5E">
        <w:t xml:space="preserve">, </w:t>
      </w:r>
      <w:r w:rsidR="0034306A">
        <w:t xml:space="preserve">ASIC may have </w:t>
      </w:r>
      <w:r>
        <w:t xml:space="preserve">a </w:t>
      </w:r>
      <w:r w:rsidR="0034306A">
        <w:t>role in bringing regulatory action against the firm and those who control it.</w:t>
      </w:r>
    </w:p>
    <w:p w:rsidR="00993008" w:rsidRDefault="00993008" w:rsidP="003E06B4">
      <w:pPr>
        <w:pStyle w:val="Heading3"/>
      </w:pPr>
      <w:r>
        <w:t>Interaction with other compensation schemes</w:t>
      </w:r>
    </w:p>
    <w:p w:rsidR="0094638B" w:rsidRDefault="00DD2D8E">
      <w:pPr>
        <w:pStyle w:val="OutlineNumbered1"/>
      </w:pPr>
      <w:r>
        <w:t>A</w:t>
      </w:r>
      <w:r w:rsidR="00993008">
        <w:t xml:space="preserve"> number of compensation schemes already operate within the financial services sector. For example, the </w:t>
      </w:r>
      <w:r w:rsidR="00993008" w:rsidRPr="00056AAC">
        <w:rPr>
          <w:i/>
        </w:rPr>
        <w:t>Superannuation Industry (Supervision) Act 1993</w:t>
      </w:r>
      <w:r w:rsidR="00993008">
        <w:t xml:space="preserve"> provides for compensation dealing with losses from fraudulent conduct or theft in an APRA</w:t>
      </w:r>
      <w:r w:rsidR="009F688A">
        <w:noBreakHyphen/>
      </w:r>
      <w:r w:rsidR="00A15F3C">
        <w:t>regulated superannuation fund.</w:t>
      </w:r>
    </w:p>
    <w:p w:rsidR="00993008" w:rsidRDefault="00993008">
      <w:pPr>
        <w:pStyle w:val="OutlineNumbered1"/>
      </w:pPr>
      <w:r>
        <w:t>The introduction of a compensation scheme of last resort would raise issues about how the new sche</w:t>
      </w:r>
      <w:r w:rsidR="00DD2D8E">
        <w:t>me would interact with existing</w:t>
      </w:r>
      <w:r>
        <w:t xml:space="preserve"> schemes. </w:t>
      </w:r>
      <w:r w:rsidR="00273BE9">
        <w:t xml:space="preserve">It </w:t>
      </w:r>
      <w:r w:rsidR="0094638B">
        <w:t>would</w:t>
      </w:r>
      <w:r w:rsidR="00273BE9">
        <w:t xml:space="preserve"> be important</w:t>
      </w:r>
      <w:r>
        <w:t xml:space="preserve"> to ensure that consumers kn</w:t>
      </w:r>
      <w:r w:rsidR="0094638B">
        <w:t>e</w:t>
      </w:r>
      <w:r>
        <w:t xml:space="preserve">w which scheme to access depending on the circumstances and </w:t>
      </w:r>
      <w:r w:rsidR="0094638B">
        <w:t xml:space="preserve">that </w:t>
      </w:r>
      <w:r>
        <w:t xml:space="preserve">firms </w:t>
      </w:r>
      <w:r w:rsidR="0094638B">
        <w:t>we</w:t>
      </w:r>
      <w:r>
        <w:t>re making appropriate financial contributions.</w:t>
      </w:r>
    </w:p>
    <w:p w:rsidR="00C96629" w:rsidRDefault="001074B9" w:rsidP="00661609">
      <w:pPr>
        <w:pStyle w:val="Heading3"/>
      </w:pPr>
      <w:r>
        <w:t>Stakeholder proposals for a compensation scheme of last resort</w:t>
      </w:r>
    </w:p>
    <w:p w:rsidR="00284588" w:rsidRDefault="00536D53" w:rsidP="003E06B4">
      <w:pPr>
        <w:pStyle w:val="OutlineNumbered1"/>
        <w:spacing w:after="360"/>
      </w:pPr>
      <w:r>
        <w:t>In response to the Panel</w:t>
      </w:r>
      <w:r w:rsidR="009F688A">
        <w:t>’</w:t>
      </w:r>
      <w:r>
        <w:t>s initial Issues Paper and Interim Report, submissions were</w:t>
      </w:r>
      <w:r w:rsidR="00FF4A51">
        <w:t xml:space="preserve"> received from a number of stakeholders on this issue, with the ABA and FOS providing detailed </w:t>
      </w:r>
      <w:r w:rsidR="005850A8">
        <w:t>comments.</w:t>
      </w:r>
      <w:r w:rsidR="00D55492">
        <w:rPr>
          <w:rStyle w:val="FootnoteReference"/>
        </w:rPr>
        <w:footnoteReference w:id="55"/>
      </w:r>
      <w:r w:rsidR="005850A8">
        <w:t xml:space="preserve"> </w:t>
      </w:r>
      <w:r>
        <w:t xml:space="preserve">The Panel has highlighted these proposals to assist stakeholders in responding to design issues, but they do not represent a preferred view of the Panel. </w:t>
      </w:r>
      <w:r w:rsidR="005850A8">
        <w:t>A summary of these two proposals is contained below</w:t>
      </w:r>
      <w:r w:rsidR="00D55492">
        <w:t>.</w:t>
      </w: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D14DD0" w:rsidTr="00046180">
        <w:tc>
          <w:tcPr>
            <w:tcW w:w="5000" w:type="pct"/>
            <w:shd w:val="clear" w:color="auto" w:fill="E6E6E6"/>
          </w:tcPr>
          <w:p w:rsidR="00D14DD0" w:rsidRDefault="00D14DD0" w:rsidP="003E06B4">
            <w:pPr>
              <w:pStyle w:val="BoxHeading"/>
              <w:keepNext w:val="0"/>
            </w:pPr>
            <w:r w:rsidRPr="0039629B">
              <w:t>Australian Bankers</w:t>
            </w:r>
            <w:r>
              <w:t>’</w:t>
            </w:r>
            <w:r w:rsidRPr="0039629B">
              <w:t xml:space="preserve"> Association proposal</w:t>
            </w:r>
          </w:p>
          <w:p w:rsidR="00D14DD0" w:rsidRPr="006A3FAB" w:rsidRDefault="00D14DD0" w:rsidP="003E06B4">
            <w:pPr>
              <w:pStyle w:val="BoxText"/>
            </w:pPr>
            <w:r w:rsidRPr="006A3FAB">
              <w:t>The ABA supports establishing a mandatory, prospective compensation fund that covers individuals and small businesses who have received poor financial advice, and have not been paid a determination made by an ASIC</w:t>
            </w:r>
            <w:r w:rsidRPr="006A3FAB">
              <w:noBreakHyphen/>
              <w:t>approved EDR scheme due to the validated insolvency or wind up of the financial advice business, where all other redress avenues have been exhausted.</w:t>
            </w:r>
          </w:p>
          <w:p w:rsidR="00D14DD0" w:rsidRPr="0039629B" w:rsidRDefault="00D14DD0" w:rsidP="003E06B4">
            <w:pPr>
              <w:pStyle w:val="BoxText"/>
            </w:pPr>
            <w:r w:rsidRPr="006A3FAB">
              <w:t>However, the ABA believes that managing the risk to consumers of unpaid determinations requires a multifaceted response. The introduction of a last resort compensation scheme must be accompanied by other measures and reforms to reduce the likelihood of unpaid EDR determinations, both to ensure the scheme is truly a last resort, and promote the long term viability and success of a scheme. These measures include reforms relating to professional indemnity insurance, AFS licensing criteria, enhanced enforcement ASIC powers, and the professionalisation of financial advice.</w:t>
            </w:r>
          </w:p>
        </w:tc>
      </w:tr>
      <w:tr w:rsidR="006A3FAB" w:rsidTr="003E06B4">
        <w:tc>
          <w:tcPr>
            <w:tcW w:w="5000" w:type="pct"/>
            <w:shd w:val="clear" w:color="auto" w:fill="E6E6E6"/>
          </w:tcPr>
          <w:p w:rsidR="00D14DD0" w:rsidRPr="00013038" w:rsidRDefault="00D14DD0" w:rsidP="00013038">
            <w:pPr>
              <w:pStyle w:val="BoxHeading-Continued"/>
            </w:pPr>
            <w:r w:rsidRPr="00013038">
              <w:t>Australian Bankers’ Association proposal (continued)</w:t>
            </w:r>
          </w:p>
          <w:p w:rsidR="006A3FAB" w:rsidRDefault="006A3FAB" w:rsidP="006A3FAB">
            <w:pPr>
              <w:pStyle w:val="BoxHeading-Sub"/>
            </w:pPr>
            <w:r>
              <w:t>Types of claims covered</w:t>
            </w:r>
          </w:p>
          <w:p w:rsidR="006A3FAB" w:rsidRPr="006A3FAB" w:rsidRDefault="006A3FAB" w:rsidP="006A3FAB">
            <w:pPr>
              <w:pStyle w:val="BoxText"/>
            </w:pPr>
            <w:r w:rsidRPr="006A3FAB">
              <w:t>The scheme should cover failures that arise in the context of a relationship where personal advice on Tier 1 products,</w:t>
            </w:r>
            <w:r w:rsidRPr="006A3FAB">
              <w:rPr>
                <w:rStyle w:val="FootnoteReference"/>
              </w:rPr>
              <w:footnoteReference w:id="56"/>
            </w:r>
            <w:r w:rsidRPr="006A3FAB">
              <w:t xml:space="preserve"> and/or general advice on Tier 1 products is provided to retail customers. Tier 1 products are all financial products except those listed under Tier 2. Tier 2 products are generally simpler and better understood than Tier 1 products.</w:t>
            </w:r>
            <w:r w:rsidRPr="006A3FAB">
              <w:rPr>
                <w:rStyle w:val="FootnoteReference"/>
              </w:rPr>
              <w:footnoteReference w:id="57"/>
            </w:r>
            <w:r w:rsidRPr="006A3FAB">
              <w:t xml:space="preserve"> The failure could relate to </w:t>
            </w:r>
            <w:r w:rsidRPr="004C13CE">
              <w:rPr>
                <w:i/>
              </w:rPr>
              <w:t>Corporations Act 2001</w:t>
            </w:r>
            <w:r w:rsidRPr="006A3FAB">
              <w:t xml:space="preserve"> breaches, fraud, negligence, misrepresentation and administrative errors connected with the advice relationship.</w:t>
            </w:r>
          </w:p>
          <w:p w:rsidR="006A3FAB" w:rsidRPr="006A3FAB" w:rsidRDefault="006A3FAB" w:rsidP="006A3FAB">
            <w:pPr>
              <w:pStyle w:val="BoxText"/>
            </w:pPr>
            <w:r w:rsidRPr="006A3FAB">
              <w:t>The scheme should cover general advice provided by financial advisers, product manufacturers and robo</w:t>
            </w:r>
            <w:r w:rsidRPr="006A3FAB">
              <w:noBreakHyphen/>
              <w:t>advisers (who deliver financial advice online using algorithms and technology), as well as personal advice to avoid market distortions and take account of the low level of consumer understanding of the difference between personal and general advice. The scheme is not intended to cover retail bank staff providing retail banking services.</w:t>
            </w:r>
          </w:p>
          <w:p w:rsidR="006A3FAB" w:rsidRDefault="006A3FAB" w:rsidP="006A3FAB">
            <w:pPr>
              <w:pStyle w:val="BoxText"/>
            </w:pPr>
            <w:r w:rsidRPr="006A3FAB">
              <w:t>The scheme should not cover businesses that only provide dealing or arranging services, such as securities dealers or derivatives dealers, nor should it cover research houses that publish reports containing general advice.</w:t>
            </w:r>
          </w:p>
          <w:p w:rsidR="00D14DD0" w:rsidRPr="006A3FAB" w:rsidRDefault="00D14DD0" w:rsidP="00D14DD0">
            <w:pPr>
              <w:pStyle w:val="BoxHeading-Sub"/>
            </w:pPr>
            <w:r w:rsidRPr="006A3FAB">
              <w:t>Scheme membership</w:t>
            </w:r>
          </w:p>
          <w:p w:rsidR="00D14DD0" w:rsidRPr="006A3FAB" w:rsidRDefault="00D14DD0" w:rsidP="00D14DD0">
            <w:pPr>
              <w:pStyle w:val="BoxText"/>
            </w:pPr>
            <w:r w:rsidRPr="006A3FAB">
              <w:t>The scheme should require all AFS licensees who offer personal financial product advice and certain general advice to a retail client to be a member and contribute to the scheme. The scheme should be mandatory, with compulsion underpinned by a legislative or regulatory requirement.</w:t>
            </w:r>
          </w:p>
          <w:p w:rsidR="00D14DD0" w:rsidRDefault="00D14DD0" w:rsidP="00D14DD0">
            <w:pPr>
              <w:pStyle w:val="BoxHeading-Sub"/>
            </w:pPr>
            <w:r>
              <w:t>Access to the scheme</w:t>
            </w:r>
          </w:p>
          <w:p w:rsidR="00D14DD0" w:rsidRPr="006A3FAB" w:rsidRDefault="00D14DD0" w:rsidP="00D14DD0">
            <w:pPr>
              <w:pStyle w:val="BoxText"/>
            </w:pPr>
            <w:r w:rsidRPr="006A3FAB">
              <w:t>There should be a validated insolvency or wind up of the financial advice business, and all other redress avenues should have been exhausted.</w:t>
            </w:r>
          </w:p>
          <w:p w:rsidR="00D14DD0" w:rsidRPr="0039629B" w:rsidRDefault="00D14DD0" w:rsidP="006A3FAB">
            <w:pPr>
              <w:pStyle w:val="BoxText"/>
            </w:pPr>
            <w:r w:rsidRPr="006A3FAB">
              <w:t>Generally, there would be an expectation that a customer would resort to the financial adviser (and through the financial adviser the professional indemnity insurer), the financial resources of the financial adviser, and would have explored legal enforcement options. Evidence will be required (possibly from a registered liquidator or administrator) that the assets of the financial advice business will not cover the determination.</w:t>
            </w:r>
          </w:p>
        </w:tc>
      </w:tr>
    </w:tbl>
    <w:p w:rsidR="006A3FAB" w:rsidRDefault="006A3FAB">
      <w:r>
        <w:rPr>
          <w:b/>
        </w:rPr>
        <w:br w:type="page"/>
      </w: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6A3FAB" w:rsidTr="003E06B4">
        <w:tc>
          <w:tcPr>
            <w:tcW w:w="5000" w:type="pct"/>
            <w:shd w:val="clear" w:color="auto" w:fill="E6E6E6"/>
          </w:tcPr>
          <w:p w:rsidR="006A3FAB" w:rsidRPr="00013038" w:rsidRDefault="006A3FAB" w:rsidP="00013038">
            <w:pPr>
              <w:pStyle w:val="BoxHeading-Continued"/>
            </w:pPr>
            <w:r w:rsidRPr="00013038">
              <w:t>Australian Bankers’ Association proposal (continued)</w:t>
            </w:r>
          </w:p>
          <w:p w:rsidR="006A3FAB" w:rsidRDefault="006A3FAB" w:rsidP="006A3FAB">
            <w:pPr>
              <w:pStyle w:val="BoxHeading-Sub"/>
            </w:pPr>
            <w:r>
              <w:t>Funding</w:t>
            </w:r>
          </w:p>
          <w:p w:rsidR="006A3FAB" w:rsidRPr="006A3FAB" w:rsidRDefault="006A3FAB" w:rsidP="006A3FAB">
            <w:pPr>
              <w:pStyle w:val="BoxText"/>
            </w:pPr>
            <w:r w:rsidRPr="006A3FAB">
              <w:t>Broadly, the ABA supports a levy structure comprising:</w:t>
            </w:r>
          </w:p>
          <w:p w:rsidR="006A3FAB" w:rsidRPr="006A3FAB" w:rsidRDefault="006A3FAB" w:rsidP="006A3FAB">
            <w:pPr>
              <w:pStyle w:val="BoxBullet-NoIndent"/>
            </w:pPr>
            <w:r w:rsidRPr="006A3FAB">
              <w:t>a prefunded establishment levy, based on borrowings from industry;</w:t>
            </w:r>
          </w:p>
          <w:p w:rsidR="006A3FAB" w:rsidRPr="006A3FAB" w:rsidRDefault="006A3FAB" w:rsidP="006A3FAB">
            <w:pPr>
              <w:pStyle w:val="BoxBullet-NoIndent"/>
            </w:pPr>
            <w:r w:rsidRPr="006A3FAB">
              <w:t>prefunded management levies to support the operation of the compensation scheme of last resort and repay establishment levies; and</w:t>
            </w:r>
          </w:p>
          <w:p w:rsidR="006A3FAB" w:rsidRPr="006A3FAB" w:rsidRDefault="006A3FAB" w:rsidP="006A3FAB">
            <w:pPr>
              <w:pStyle w:val="BoxBullet-NoIndent"/>
            </w:pPr>
            <w:r w:rsidRPr="006A3FAB">
              <w:t>prefunded compensation levies.</w:t>
            </w:r>
          </w:p>
          <w:p w:rsidR="006A3FAB" w:rsidRPr="006A3FAB" w:rsidRDefault="006A3FAB" w:rsidP="006A3FAB">
            <w:pPr>
              <w:pStyle w:val="BoxText"/>
            </w:pPr>
            <w:r w:rsidRPr="006A3FAB">
              <w:t>Funding contributions need to be calculated taking into account different advice models, such as general advice representative models, product manufacturers that provide financial advice, and robo</w:t>
            </w:r>
            <w:r w:rsidRPr="006A3FAB">
              <w:noBreakHyphen/>
              <w:t>advice businesses. The calculation would need to balance appropriate risk weightings with the cost of administering the contributions.</w:t>
            </w:r>
          </w:p>
          <w:p w:rsidR="006A3FAB" w:rsidRPr="006A3FAB" w:rsidRDefault="006A3FAB" w:rsidP="006A3FAB">
            <w:pPr>
              <w:pStyle w:val="BoxText"/>
            </w:pPr>
            <w:r w:rsidRPr="006A3FAB">
              <w:t>The introduction of a scheme should work in an integrated way with other regulatory, professional and risk management structures, so as to actively encourage improved practice and professionalism at the level of individual advisers and practices.</w:t>
            </w:r>
          </w:p>
          <w:p w:rsidR="006A3FAB" w:rsidRDefault="006A3FAB" w:rsidP="006A3FAB">
            <w:pPr>
              <w:pStyle w:val="BoxHeading-Sub"/>
            </w:pPr>
            <w:r>
              <w:t>Compensation caps</w:t>
            </w:r>
          </w:p>
          <w:p w:rsidR="00BF3978" w:rsidRDefault="006A3FAB" w:rsidP="006A3FAB">
            <w:pPr>
              <w:pStyle w:val="BoxText"/>
            </w:pPr>
            <w:r w:rsidRPr="006A3FAB">
              <w:t>The ABA is of the view that the size of disputes and the quantum of compensation awards considered by the scheme should align with or be no greater than that provided by the EDR scheme.</w:t>
            </w:r>
          </w:p>
          <w:p w:rsidR="00BF3978" w:rsidRPr="001B25DC" w:rsidRDefault="00BF3978" w:rsidP="00BF3978">
            <w:pPr>
              <w:pStyle w:val="BoxHeading-Sub"/>
            </w:pPr>
            <w:r>
              <w:t>Scheme administration</w:t>
            </w:r>
          </w:p>
          <w:p w:rsidR="006A3FAB" w:rsidRDefault="00BF3978" w:rsidP="006A3FAB">
            <w:pPr>
              <w:pStyle w:val="BoxText"/>
            </w:pPr>
            <w:r w:rsidRPr="006A3FAB">
              <w:t>The structure of the scheme should be developed through flexible, industry based processes, with appropriate legislative underpinning to ensure all financial advisers contribute to the scheme. A largely industry based process will ensure the scheme can be established in a timely way, and to enable flexibility to adjust its remit, terms of reference and processes over time.</w:t>
            </w:r>
          </w:p>
          <w:p w:rsidR="00D14DD0" w:rsidRPr="006A3FAB" w:rsidRDefault="00D14DD0" w:rsidP="00D14DD0">
            <w:pPr>
              <w:pStyle w:val="BoxText"/>
            </w:pPr>
            <w:r w:rsidRPr="006A3FAB">
              <w:t>The governance arrangements should include:</w:t>
            </w:r>
          </w:p>
          <w:p w:rsidR="00D14DD0" w:rsidRDefault="00D14DD0" w:rsidP="00D14DD0">
            <w:pPr>
              <w:pStyle w:val="BoxBullet-NoIndent"/>
            </w:pPr>
            <w:r>
              <w:t>a board, with representation including an independent chair, a legal expert and an equal number of industry and consumer representatives;</w:t>
            </w:r>
          </w:p>
          <w:p w:rsidR="00D14DD0" w:rsidRDefault="00D14DD0" w:rsidP="00D14DD0">
            <w:pPr>
              <w:pStyle w:val="BoxBullet-NoIndent"/>
            </w:pPr>
            <w:r>
              <w:t>a claims management/assessment panel; and</w:t>
            </w:r>
          </w:p>
          <w:p w:rsidR="00D14DD0" w:rsidRDefault="00D14DD0" w:rsidP="00D14DD0">
            <w:pPr>
              <w:pStyle w:val="BoxBullet-NoIndent"/>
            </w:pPr>
            <w:r>
              <w:t>sufficient resources to respond to claims as they arise, but not to operate on a full time basis or be required to undertake additional tasks.</w:t>
            </w:r>
          </w:p>
          <w:p w:rsidR="006D1416" w:rsidRDefault="002051DC" w:rsidP="002051DC">
            <w:pPr>
              <w:pStyle w:val="BoxText"/>
            </w:pPr>
            <w:r w:rsidRPr="002051DC">
              <w:t>Where the EDR framework moves to one ASIC approved EDR scheme, there should be further investigation of the EDR scheme providing the administrative services for the scheme and collecting funding levies.</w:t>
            </w:r>
          </w:p>
        </w:tc>
      </w:tr>
    </w:tbl>
    <w:p w:rsidR="00013038" w:rsidRPr="00013038" w:rsidRDefault="00013038" w:rsidP="00013038">
      <w:r w:rsidRPr="00013038">
        <w:br w:type="page"/>
      </w: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911D4F" w:rsidTr="003E06B4">
        <w:tc>
          <w:tcPr>
            <w:tcW w:w="5000" w:type="pct"/>
            <w:shd w:val="clear" w:color="auto" w:fill="E6E6E6"/>
          </w:tcPr>
          <w:p w:rsidR="00911D4F" w:rsidRDefault="00911D4F" w:rsidP="00911D4F">
            <w:pPr>
              <w:pStyle w:val="BoxHeading-Continued"/>
            </w:pPr>
            <w:r w:rsidRPr="0039629B">
              <w:t>Australian Bankers</w:t>
            </w:r>
            <w:r>
              <w:t>’</w:t>
            </w:r>
            <w:r w:rsidRPr="0039629B">
              <w:t xml:space="preserve"> Association proposal</w:t>
            </w:r>
            <w:r>
              <w:t xml:space="preserve"> (continued)</w:t>
            </w:r>
          </w:p>
          <w:p w:rsidR="00911D4F" w:rsidRDefault="00911D4F" w:rsidP="00911D4F">
            <w:pPr>
              <w:pStyle w:val="BoxHeading-Sub"/>
            </w:pPr>
            <w:r>
              <w:t>Prospective claims</w:t>
            </w:r>
          </w:p>
          <w:p w:rsidR="00911D4F" w:rsidRDefault="00911D4F" w:rsidP="00911D4F">
            <w:pPr>
              <w:pStyle w:val="BoxText"/>
            </w:pPr>
            <w:r>
              <w:t>The scheme should be prospective, with the design process considering the timing of the effective date of the scheme and appropriate event and cut-off dates for claims, to minimise distortions in consumer and financial adviser behaviour.</w:t>
            </w:r>
          </w:p>
          <w:p w:rsidR="00911D4F" w:rsidRPr="0039629B" w:rsidRDefault="00911D4F" w:rsidP="00911D4F">
            <w:pPr>
              <w:pStyle w:val="BoxText"/>
            </w:pPr>
            <w:r>
              <w:t>The scheme should not cover unpaid determinations made before the effective date, including the current unpaid FOS determinations. These determinations are the result of a combination of regulatory and conduct failures which are being addressed through the new professional standards framework and not a direct result of the absence of a last resort compensation scheme.</w:t>
            </w:r>
          </w:p>
        </w:tc>
      </w:tr>
    </w:tbl>
    <w:p w:rsidR="00911D4F" w:rsidRDefault="00911D4F" w:rsidP="00911D4F"/>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013038" w:rsidTr="003E06B4">
        <w:tc>
          <w:tcPr>
            <w:tcW w:w="5000" w:type="pct"/>
            <w:shd w:val="clear" w:color="auto" w:fill="E6E6E6"/>
          </w:tcPr>
          <w:p w:rsidR="00013038" w:rsidRDefault="00013038" w:rsidP="00013038">
            <w:pPr>
              <w:pStyle w:val="BoxHeading"/>
              <w:keepNext w:val="0"/>
            </w:pPr>
            <w:r w:rsidRPr="0039629B">
              <w:t>Financial Ombudsman Service proposal</w:t>
            </w:r>
          </w:p>
          <w:p w:rsidR="00013038" w:rsidRPr="00BF3978" w:rsidRDefault="00013038" w:rsidP="00013038">
            <w:pPr>
              <w:pStyle w:val="BoxText"/>
            </w:pPr>
            <w:r w:rsidRPr="00BF3978">
              <w:t>FOS also supports the creation of an industry funded compensation scheme of last resort with legislative backing modelled on current industry based EDR arrangements.</w:t>
            </w:r>
            <w:r w:rsidRPr="00BF3978">
              <w:rPr>
                <w:rStyle w:val="FootnoteReference"/>
              </w:rPr>
              <w:footnoteReference w:id="58"/>
            </w:r>
            <w:r w:rsidRPr="00BF3978">
              <w:t xml:space="preserve"> In FOS’s submission to the Panel’s Issues Paper of 9 September 2016, it identified that its most recent documents dealing with a compensation scheme of last resort proposal included its submission to the Interim Report of the Financial System Inquiry and ‘An Updated Proposal to establish a Financial Services Compensation Scheme’ released in June 2015.</w:t>
            </w:r>
            <w:r w:rsidRPr="00BF3978">
              <w:rPr>
                <w:rStyle w:val="FootnoteReference"/>
              </w:rPr>
              <w:footnoteReference w:id="59"/>
            </w:r>
          </w:p>
          <w:p w:rsidR="00013038" w:rsidRPr="00BF3978" w:rsidRDefault="00013038" w:rsidP="00013038">
            <w:pPr>
              <w:pStyle w:val="BoxText"/>
            </w:pPr>
            <w:r w:rsidRPr="00BF3978">
              <w:t>A summary of the Updated Proposal released in June 2015 is set out below.</w:t>
            </w:r>
          </w:p>
          <w:p w:rsidR="00013038" w:rsidRDefault="00013038" w:rsidP="00013038">
            <w:pPr>
              <w:pStyle w:val="BoxHeading-Sub"/>
            </w:pPr>
            <w:r>
              <w:t>Types of claims covered</w:t>
            </w:r>
          </w:p>
          <w:p w:rsidR="00013038" w:rsidRPr="00BF3978" w:rsidRDefault="00013038" w:rsidP="00013038">
            <w:pPr>
              <w:pStyle w:val="BoxText"/>
            </w:pPr>
            <w:r w:rsidRPr="00BF3978">
              <w:t>The scheme should cover claims by retail clients</w:t>
            </w:r>
            <w:r w:rsidRPr="00BF3978">
              <w:rPr>
                <w:rStyle w:val="FootnoteReference"/>
              </w:rPr>
              <w:footnoteReference w:id="60"/>
            </w:r>
            <w:r w:rsidRPr="00BF3978">
              <w:t xml:space="preserve"> of AFS licensees who have unpaid determinations or awards by an EDR scheme, court or relevant tribunal with appropriate caps on </w:t>
            </w:r>
            <w:r w:rsidR="00A15F3C">
              <w:t>the amount paid for each claim.</w:t>
            </w:r>
          </w:p>
          <w:p w:rsidR="00013038" w:rsidRDefault="00013038" w:rsidP="00013038">
            <w:pPr>
              <w:pStyle w:val="BoxHeading-Sub"/>
            </w:pPr>
            <w:r>
              <w:t>Scheme membership</w:t>
            </w:r>
          </w:p>
          <w:p w:rsidR="00013038" w:rsidRPr="0039629B" w:rsidRDefault="00013038" w:rsidP="00013038">
            <w:pPr>
              <w:pStyle w:val="BoxText"/>
            </w:pPr>
            <w:r w:rsidRPr="00BF3978">
              <w:t xml:space="preserve">All AFS licensees that provide financial services to retail clients would be required to become a member of the scheme, in order to meet the obligation to have ‘compensation arrangements’ under the </w:t>
            </w:r>
            <w:r w:rsidRPr="00BF3978">
              <w:rPr>
                <w:i/>
              </w:rPr>
              <w:t>Corporations Act 2001</w:t>
            </w:r>
            <w:r w:rsidRPr="00BF3978">
              <w:t>.</w:t>
            </w:r>
            <w:r w:rsidRPr="00BF3978">
              <w:rPr>
                <w:rStyle w:val="FootnoteReference"/>
              </w:rPr>
              <w:footnoteReference w:id="61"/>
            </w:r>
          </w:p>
        </w:tc>
      </w:tr>
      <w:tr w:rsidR="007E0A20" w:rsidTr="003E06B4">
        <w:tc>
          <w:tcPr>
            <w:tcW w:w="5000" w:type="pct"/>
            <w:shd w:val="clear" w:color="auto" w:fill="E6E6E6"/>
          </w:tcPr>
          <w:p w:rsidR="00BF3978" w:rsidRPr="00013038" w:rsidRDefault="00BF3978" w:rsidP="00013038">
            <w:pPr>
              <w:pStyle w:val="BoxHeading-Continued"/>
            </w:pPr>
            <w:r w:rsidRPr="00013038">
              <w:t>Financial Ombudsman Service proposal (continued)</w:t>
            </w:r>
          </w:p>
          <w:p w:rsidR="006C4DCB" w:rsidRDefault="006C4DCB" w:rsidP="006C4DCB">
            <w:pPr>
              <w:pStyle w:val="BoxHeading-Sub"/>
            </w:pPr>
            <w:r>
              <w:t>Access to the scheme</w:t>
            </w:r>
          </w:p>
          <w:p w:rsidR="00013038" w:rsidRPr="00BF3978" w:rsidRDefault="00013038" w:rsidP="00013038">
            <w:pPr>
              <w:pStyle w:val="BoxText"/>
            </w:pPr>
            <w:r w:rsidRPr="00BF3978">
              <w:t>There are five elements required for a successful claim:</w:t>
            </w:r>
          </w:p>
          <w:p w:rsidR="00013038" w:rsidRPr="00013038" w:rsidRDefault="00013038" w:rsidP="00013038">
            <w:pPr>
              <w:pStyle w:val="BoxBullet-NoIndent"/>
            </w:pPr>
            <w:r w:rsidRPr="00013038">
              <w:t>The claimant must be a retail client;</w:t>
            </w:r>
          </w:p>
          <w:p w:rsidR="00013038" w:rsidRPr="00013038" w:rsidRDefault="00013038" w:rsidP="00013038">
            <w:pPr>
              <w:pStyle w:val="BoxBullet-NoIndent"/>
            </w:pPr>
            <w:r w:rsidRPr="00013038">
              <w:t>The claim must be against an AFS licensee that has agreed to pay levies to the scheme;</w:t>
            </w:r>
          </w:p>
          <w:p w:rsidR="00D14DD0" w:rsidRPr="00013038" w:rsidRDefault="00D14DD0" w:rsidP="00013038">
            <w:pPr>
              <w:pStyle w:val="BoxBullet-NoIndent"/>
            </w:pPr>
            <w:r w:rsidRPr="00013038">
              <w:t>The claimant must have received a determination in their favour by an EDR scheme, a court or tribunal of competent jurisdiction.</w:t>
            </w:r>
            <w:r w:rsidRPr="00013038">
              <w:rPr>
                <w:rStyle w:val="FootnoteReference"/>
              </w:rPr>
              <w:footnoteReference w:id="62"/>
            </w:r>
          </w:p>
          <w:p w:rsidR="006C4DCB" w:rsidRPr="00013038" w:rsidRDefault="006C4DCB" w:rsidP="00013038">
            <w:pPr>
              <w:pStyle w:val="BoxBullet-NoIndent"/>
            </w:pPr>
            <w:r w:rsidRPr="00013038">
              <w:t xml:space="preserve">The determination must relate to the provision of a financial service no more than </w:t>
            </w:r>
            <w:r w:rsidR="0012574C" w:rsidRPr="00013038">
              <w:t>six</w:t>
            </w:r>
            <w:r w:rsidR="003219CC" w:rsidRPr="00013038">
              <w:t> </w:t>
            </w:r>
            <w:r w:rsidRPr="00013038">
              <w:t>years prior to the commencement date; and</w:t>
            </w:r>
          </w:p>
          <w:p w:rsidR="006C4DCB" w:rsidRPr="00013038" w:rsidRDefault="006C4DCB" w:rsidP="00013038">
            <w:pPr>
              <w:pStyle w:val="BoxBullet-NoIndent"/>
            </w:pPr>
            <w:r w:rsidRPr="00013038">
              <w:t>The scheme has declared that the AFS licensee is in default.</w:t>
            </w:r>
          </w:p>
          <w:p w:rsidR="006C4DCB" w:rsidRDefault="006C4DCB" w:rsidP="006C4DCB">
            <w:pPr>
              <w:pStyle w:val="BoxHeading-Sub"/>
            </w:pPr>
            <w:r>
              <w:t>Funding</w:t>
            </w:r>
          </w:p>
          <w:p w:rsidR="006C4DCB" w:rsidRPr="00BF3978" w:rsidRDefault="006C4DCB" w:rsidP="00BF3978">
            <w:pPr>
              <w:pStyle w:val="BoxText"/>
            </w:pPr>
            <w:r w:rsidRPr="00BF3978">
              <w:t>The scheme would be pre</w:t>
            </w:r>
            <w:r w:rsidRPr="00BF3978">
              <w:noBreakHyphen/>
              <w:t>funded by AFS licensees through a levy either collected by Government for distribution to the scheme or paid directly to the scheme.</w:t>
            </w:r>
          </w:p>
          <w:p w:rsidR="006C4DCB" w:rsidRDefault="006C4DCB" w:rsidP="006C4DCB">
            <w:pPr>
              <w:pStyle w:val="BoxHeading-Sub"/>
            </w:pPr>
            <w:r>
              <w:t>Compensation caps</w:t>
            </w:r>
          </w:p>
          <w:p w:rsidR="006C4DCB" w:rsidRPr="00BF3978" w:rsidRDefault="006C4DCB" w:rsidP="00BF3978">
            <w:pPr>
              <w:pStyle w:val="BoxText"/>
            </w:pPr>
            <w:r w:rsidRPr="00BF3978">
              <w:t>Retail clients could receive compensation up to a portion of the EDR scheme limits with the ability to spread payments over a few years.</w:t>
            </w:r>
          </w:p>
          <w:p w:rsidR="006C4DCB" w:rsidRDefault="006C4DCB" w:rsidP="006C4DCB">
            <w:pPr>
              <w:pStyle w:val="BoxHeading-Sub"/>
            </w:pPr>
            <w:r>
              <w:t>Scheme administration</w:t>
            </w:r>
          </w:p>
          <w:p w:rsidR="006C4DCB" w:rsidRPr="00BF3978" w:rsidRDefault="006C4DCB" w:rsidP="00BF3978">
            <w:pPr>
              <w:pStyle w:val="BoxText"/>
            </w:pPr>
            <w:r w:rsidRPr="00BF3978">
              <w:t>The scheme would be subject to ASIC approval and industry based.</w:t>
            </w:r>
            <w:r w:rsidRPr="00BF3978">
              <w:rPr>
                <w:rStyle w:val="FootnoteReference"/>
              </w:rPr>
              <w:footnoteReference w:id="63"/>
            </w:r>
            <w:r w:rsidRPr="00BF3978">
              <w:t xml:space="preserve"> The scheme would be operated by an independent entity governed according to its constitution by a board of directors representing both industry and consumers with an independent chair.</w:t>
            </w:r>
            <w:r w:rsidRPr="00BF3978">
              <w:rPr>
                <w:rStyle w:val="FootnoteReference"/>
              </w:rPr>
              <w:footnoteReference w:id="64"/>
            </w:r>
          </w:p>
          <w:p w:rsidR="00D14DD0" w:rsidRPr="00BF3978" w:rsidRDefault="006C4DCB" w:rsidP="00D14DD0">
            <w:pPr>
              <w:pStyle w:val="BoxText"/>
            </w:pPr>
            <w:r w:rsidRPr="00BF3978">
              <w:t>The scheme would be supported by the Australian Government through a legislative requirement on AFS licensees to become members of the scheme.</w:t>
            </w:r>
          </w:p>
        </w:tc>
      </w:tr>
    </w:tbl>
    <w:p w:rsidR="00013038" w:rsidRDefault="00013038">
      <w:r>
        <w:rPr>
          <w:b/>
        </w:rPr>
        <w:br w:type="page"/>
      </w:r>
    </w:p>
    <w:tbl>
      <w:tblPr>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E6E6E6"/>
        <w:tblCellMar>
          <w:right w:w="142" w:type="dxa"/>
        </w:tblCellMar>
        <w:tblLook w:val="01E0" w:firstRow="1" w:lastRow="1" w:firstColumn="1" w:lastColumn="1" w:noHBand="0" w:noVBand="0"/>
      </w:tblPr>
      <w:tblGrid>
        <w:gridCol w:w="9072"/>
      </w:tblGrid>
      <w:tr w:rsidR="00013038" w:rsidTr="003E06B4">
        <w:tc>
          <w:tcPr>
            <w:tcW w:w="5000" w:type="pct"/>
            <w:shd w:val="clear" w:color="auto" w:fill="E6E6E6"/>
          </w:tcPr>
          <w:p w:rsidR="00013038" w:rsidRDefault="00013038" w:rsidP="00013038">
            <w:pPr>
              <w:pStyle w:val="BoxHeading-Continued"/>
            </w:pPr>
            <w:r w:rsidRPr="0039629B">
              <w:t>Financial Ombudsman Service proposal</w:t>
            </w:r>
            <w:r>
              <w:t xml:space="preserve"> (continued)</w:t>
            </w:r>
          </w:p>
          <w:p w:rsidR="00013038" w:rsidRPr="00013038" w:rsidRDefault="00013038" w:rsidP="00013038">
            <w:pPr>
              <w:pStyle w:val="BoxHeading-Sub"/>
            </w:pPr>
            <w:r w:rsidRPr="00013038">
              <w:t>Prospective claims</w:t>
            </w:r>
          </w:p>
          <w:p w:rsidR="00013038" w:rsidRPr="0039629B" w:rsidRDefault="00013038" w:rsidP="00013038">
            <w:pPr>
              <w:pStyle w:val="BoxText"/>
            </w:pPr>
            <w:r w:rsidRPr="00BF3978">
              <w:t>FOS proposes a period of transition to capture unpaid determinations where, at the time the scheme is established, there is a clear legal liability for payment of compensation which is clearly and readily identifiable, without further investigation and merits assessment. FOS considers that unpaid determinations since 1 July 2008 (when FOS was established) in favour of a retail client should be included.</w:t>
            </w:r>
          </w:p>
        </w:tc>
      </w:tr>
    </w:tbl>
    <w:p w:rsidR="00D20490" w:rsidRPr="00013038" w:rsidRDefault="00D20490" w:rsidP="00013038"/>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CellMar>
          <w:right w:w="142" w:type="dxa"/>
        </w:tblCellMar>
        <w:tblLook w:val="04A0" w:firstRow="1" w:lastRow="0" w:firstColumn="1" w:lastColumn="0" w:noHBand="0" w:noVBand="1"/>
      </w:tblPr>
      <w:tblGrid>
        <w:gridCol w:w="9072"/>
      </w:tblGrid>
      <w:tr w:rsidR="00430E9A" w:rsidRPr="007B6996" w:rsidTr="003E06B4">
        <w:tc>
          <w:tcPr>
            <w:tcW w:w="9072" w:type="dxa"/>
          </w:tcPr>
          <w:p w:rsidR="00430E9A" w:rsidRPr="00262660" w:rsidRDefault="00430E9A" w:rsidP="003219CC">
            <w:pPr>
              <w:pStyle w:val="BoxHeading"/>
              <w:keepNext w:val="0"/>
            </w:pPr>
            <w:r>
              <w:t>Q</w:t>
            </w:r>
            <w:r w:rsidRPr="007B6996">
              <w:t>uestion</w:t>
            </w:r>
            <w:r>
              <w:t>s</w:t>
            </w:r>
            <w:r w:rsidR="009F688A">
              <w:t xml:space="preserve"> — </w:t>
            </w:r>
            <w:r w:rsidR="00196947">
              <w:t>P</w:t>
            </w:r>
            <w:r>
              <w:t xml:space="preserve">otential </w:t>
            </w:r>
            <w:r w:rsidR="00196947">
              <w:t>design of a</w:t>
            </w:r>
            <w:r>
              <w:t xml:space="preserve"> c</w:t>
            </w:r>
            <w:r w:rsidRPr="00262660">
              <w:t xml:space="preserve">ompensation </w:t>
            </w:r>
            <w:r>
              <w:t>s</w:t>
            </w:r>
            <w:r w:rsidRPr="00262660">
              <w:t>cheme</w:t>
            </w:r>
            <w:r>
              <w:t xml:space="preserve"> of last resort</w:t>
            </w:r>
          </w:p>
          <w:p w:rsidR="0022314E" w:rsidRDefault="0022314E" w:rsidP="005D6DE9">
            <w:pPr>
              <w:pStyle w:val="BoxNumberedQuestions"/>
            </w:pPr>
            <w:r>
              <w:t>What are the strengths and weaknesse</w:t>
            </w:r>
            <w:r w:rsidR="00027781">
              <w:t>s of the ABA and FOS proposals?</w:t>
            </w:r>
          </w:p>
          <w:p w:rsidR="002B60AC" w:rsidRDefault="002B60AC" w:rsidP="005D6DE9">
            <w:pPr>
              <w:pStyle w:val="BoxNumberedQuestions"/>
            </w:pPr>
            <w:r>
              <w:t>What are the arguments for and against extending a</w:t>
            </w:r>
            <w:r w:rsidR="001444B8">
              <w:t>ny</w:t>
            </w:r>
            <w:r>
              <w:t xml:space="preserve"> compensation scheme of last resort beyond financial advi</w:t>
            </w:r>
            <w:r w:rsidR="00DC1FEC">
              <w:t>ce</w:t>
            </w:r>
            <w:r>
              <w:t>?</w:t>
            </w:r>
          </w:p>
          <w:p w:rsidR="00294EC1" w:rsidRPr="00AD3FE0" w:rsidRDefault="00294EC1" w:rsidP="005D6DE9">
            <w:pPr>
              <w:pStyle w:val="BoxNumberedQuestions"/>
            </w:pPr>
            <w:r>
              <w:t>Who should be able to access a</w:t>
            </w:r>
            <w:r w:rsidR="00B80051">
              <w:t>ny</w:t>
            </w:r>
            <w:r>
              <w:t xml:space="preserve"> compensation scheme of last resort?</w:t>
            </w:r>
            <w:r w:rsidR="00170527">
              <w:t xml:space="preserve"> Should this include small business?</w:t>
            </w:r>
          </w:p>
          <w:p w:rsidR="00430E9A" w:rsidRDefault="00430E9A" w:rsidP="005D6DE9">
            <w:pPr>
              <w:pStyle w:val="BoxNumberedQuestions"/>
            </w:pPr>
            <w:r>
              <w:t xml:space="preserve">What </w:t>
            </w:r>
            <w:r w:rsidR="00BA15C6">
              <w:t>types</w:t>
            </w:r>
            <w:r>
              <w:t xml:space="preserve"> of claims should be covered by a</w:t>
            </w:r>
            <w:r w:rsidR="00665CB8">
              <w:t>ny</w:t>
            </w:r>
            <w:r>
              <w:t xml:space="preserve"> compensation scheme of last resort?</w:t>
            </w:r>
          </w:p>
          <w:p w:rsidR="00C12154" w:rsidRDefault="007715A4" w:rsidP="005D6DE9">
            <w:pPr>
              <w:pStyle w:val="BoxNumberedQuestions"/>
            </w:pPr>
            <w:r>
              <w:t xml:space="preserve">Should </w:t>
            </w:r>
            <w:r w:rsidR="001444B8">
              <w:t>any</w:t>
            </w:r>
            <w:r>
              <w:t xml:space="preserve"> </w:t>
            </w:r>
            <w:r w:rsidR="001444B8">
              <w:t>compensation scheme of last resort</w:t>
            </w:r>
            <w:r>
              <w:t xml:space="preserve"> </w:t>
            </w:r>
            <w:r w:rsidR="00AD3FE0">
              <w:t xml:space="preserve">only </w:t>
            </w:r>
            <w:r>
              <w:t>cover claims relating to unpaid EDR determinations</w:t>
            </w:r>
            <w:r w:rsidR="00C12154">
              <w:t xml:space="preserve"> or should it include court </w:t>
            </w:r>
            <w:r w:rsidR="00170527">
              <w:t xml:space="preserve">judgments </w:t>
            </w:r>
            <w:r w:rsidR="00C12154">
              <w:t xml:space="preserve">and tribunal </w:t>
            </w:r>
            <w:r w:rsidR="00170527">
              <w:t>decisions</w:t>
            </w:r>
            <w:r w:rsidR="00027781">
              <w:t>?</w:t>
            </w:r>
          </w:p>
          <w:p w:rsidR="00B95D85" w:rsidRPr="00DA216A" w:rsidRDefault="0022314E" w:rsidP="005D6DE9">
            <w:pPr>
              <w:pStyle w:val="BoxNumberedQuestions"/>
            </w:pPr>
            <w:r>
              <w:t xml:space="preserve">What steps should </w:t>
            </w:r>
            <w:r w:rsidR="00B95D85" w:rsidRPr="0022314E">
              <w:t>consumer</w:t>
            </w:r>
            <w:r>
              <w:t>s</w:t>
            </w:r>
            <w:r w:rsidR="00B95D85" w:rsidRPr="00DA216A">
              <w:t xml:space="preserve"> </w:t>
            </w:r>
            <w:r w:rsidR="00196947" w:rsidRPr="00DA216A">
              <w:t xml:space="preserve">and small </w:t>
            </w:r>
            <w:r w:rsidR="00196947" w:rsidRPr="0022314E">
              <w:t>business</w:t>
            </w:r>
            <w:r>
              <w:t>es be required to take before</w:t>
            </w:r>
            <w:r w:rsidR="00196947" w:rsidRPr="00DA216A">
              <w:t xml:space="preserve"> </w:t>
            </w:r>
            <w:r>
              <w:t>a</w:t>
            </w:r>
            <w:r w:rsidR="00B95D85" w:rsidRPr="0022314E">
              <w:t>ccess</w:t>
            </w:r>
            <w:r>
              <w:t>ing</w:t>
            </w:r>
            <w:r w:rsidR="00B95D85" w:rsidRPr="00DA216A">
              <w:t xml:space="preserve"> </w:t>
            </w:r>
            <w:r w:rsidR="001444B8">
              <w:t>any</w:t>
            </w:r>
            <w:r w:rsidR="00B95D85" w:rsidRPr="00DA216A">
              <w:t xml:space="preserve"> </w:t>
            </w:r>
            <w:r w:rsidR="001444B8">
              <w:t>compensation</w:t>
            </w:r>
            <w:r w:rsidR="00B95D85" w:rsidRPr="00DA216A">
              <w:t xml:space="preserve"> scheme</w:t>
            </w:r>
            <w:r w:rsidR="001444B8">
              <w:t xml:space="preserve"> of last resort</w:t>
            </w:r>
            <w:r w:rsidR="00B95D85" w:rsidRPr="00DA216A">
              <w:t>?</w:t>
            </w:r>
          </w:p>
          <w:p w:rsidR="00F84412" w:rsidRDefault="000A7F01" w:rsidP="000A7F01">
            <w:pPr>
              <w:pStyle w:val="BoxNumberedQuestions"/>
            </w:pPr>
            <w:r w:rsidRPr="000A7F01">
              <w:t xml:space="preserve">Where an individual has received an EDR determination in their favour, </w:t>
            </w:r>
            <w:r>
              <w:t>should</w:t>
            </w:r>
            <w:r w:rsidRPr="000A7F01">
              <w:t xml:space="preserve"> any compensation scheme of last resort </w:t>
            </w:r>
            <w:r>
              <w:t>be</w:t>
            </w:r>
            <w:r w:rsidRPr="000A7F01">
              <w:t xml:space="preserve"> able to independently review the EDR determination or should</w:t>
            </w:r>
            <w:r>
              <w:t xml:space="preserve"> it</w:t>
            </w:r>
            <w:r w:rsidRPr="000A7F01">
              <w:t xml:space="preserve"> simply accept the EDR scheme’s determinati</w:t>
            </w:r>
            <w:r>
              <w:t>on of the merits of the dispute</w:t>
            </w:r>
            <w:r w:rsidR="00027781">
              <w:t>?</w:t>
            </w:r>
          </w:p>
          <w:p w:rsidR="005266D8" w:rsidRDefault="005266D8" w:rsidP="005D6DE9">
            <w:pPr>
              <w:pStyle w:val="BoxNumberedQuestions"/>
            </w:pPr>
            <w:r w:rsidRPr="005266D8">
              <w:t xml:space="preserve">If a compensation scheme of last resort was established and it allowed individuals with a court judgment to access the scheme, </w:t>
            </w:r>
            <w:r>
              <w:t xml:space="preserve">what types of </w:t>
            </w:r>
            <w:r w:rsidRPr="005266D8">
              <w:t>losses or costs</w:t>
            </w:r>
            <w:r>
              <w:t xml:space="preserve"> (for example, legal costs) </w:t>
            </w:r>
            <w:r w:rsidR="00027781">
              <w:t>should they be able to recover?</w:t>
            </w:r>
          </w:p>
          <w:p w:rsidR="005266D8" w:rsidRPr="00DA216A" w:rsidRDefault="005266D8" w:rsidP="005D6DE9">
            <w:pPr>
              <w:pStyle w:val="BoxNumberedQuestions"/>
            </w:pPr>
            <w:r>
              <w:t>Should litigation funders</w:t>
            </w:r>
            <w:r w:rsidRPr="005266D8">
              <w:t xml:space="preserve"> </w:t>
            </w:r>
            <w:r>
              <w:t>be able to</w:t>
            </w:r>
            <w:r w:rsidRPr="005266D8">
              <w:t xml:space="preserve"> recover from </w:t>
            </w:r>
            <w:r>
              <w:t>any compensation</w:t>
            </w:r>
            <w:r w:rsidRPr="005266D8">
              <w:t xml:space="preserve"> scheme</w:t>
            </w:r>
            <w:r>
              <w:t xml:space="preserve"> of last resort</w:t>
            </w:r>
            <w:r w:rsidRPr="005266D8">
              <w:t>, either directly or indirectly through their contracts with the class of claimants</w:t>
            </w:r>
            <w:r>
              <w:t>?</w:t>
            </w:r>
          </w:p>
          <w:p w:rsidR="00430E9A" w:rsidRDefault="00430E9A" w:rsidP="005D6DE9">
            <w:pPr>
              <w:pStyle w:val="BoxNumberedQuestions"/>
            </w:pPr>
            <w:r>
              <w:t xml:space="preserve">What compensation caps should apply to claims under </w:t>
            </w:r>
            <w:r w:rsidR="001444B8">
              <w:t>any compensation</w:t>
            </w:r>
            <w:r>
              <w:t xml:space="preserve"> scheme</w:t>
            </w:r>
            <w:r w:rsidR="001444B8">
              <w:t xml:space="preserve"> of last resort</w:t>
            </w:r>
            <w:r>
              <w:t>?</w:t>
            </w:r>
          </w:p>
          <w:p w:rsidR="008E76B7" w:rsidRDefault="00430E9A" w:rsidP="005D6DE9">
            <w:pPr>
              <w:pStyle w:val="BoxNumberedQuestions"/>
            </w:pPr>
            <w:r>
              <w:t xml:space="preserve">Who should fund </w:t>
            </w:r>
            <w:r w:rsidR="001444B8">
              <w:t>any compensation</w:t>
            </w:r>
            <w:r>
              <w:t xml:space="preserve"> scheme</w:t>
            </w:r>
            <w:r w:rsidR="001444B8">
              <w:t xml:space="preserve"> of last resort</w:t>
            </w:r>
            <w:r w:rsidR="00027781">
              <w:t>?</w:t>
            </w:r>
          </w:p>
          <w:p w:rsidR="00430E9A" w:rsidRDefault="008E76B7" w:rsidP="005D6DE9">
            <w:pPr>
              <w:pStyle w:val="BoxNumberedQuestions"/>
            </w:pPr>
            <w:r>
              <w:t xml:space="preserve">Where </w:t>
            </w:r>
            <w:r w:rsidR="001444B8">
              <w:t>any compensation</w:t>
            </w:r>
            <w:r>
              <w:t xml:space="preserve"> scheme </w:t>
            </w:r>
            <w:r w:rsidR="001444B8">
              <w:t>of last resort</w:t>
            </w:r>
            <w:r>
              <w:t xml:space="preserve"> is industry funded, how should </w:t>
            </w:r>
            <w:r w:rsidR="001444B8">
              <w:t xml:space="preserve">the </w:t>
            </w:r>
            <w:r>
              <w:t>levies be designed?</w:t>
            </w:r>
          </w:p>
          <w:p w:rsidR="00D14DD0" w:rsidRPr="007B6996" w:rsidRDefault="00CB11C9" w:rsidP="00013038">
            <w:pPr>
              <w:pStyle w:val="BoxNumberedQuestions"/>
            </w:pPr>
            <w:r>
              <w:t xml:space="preserve">Following the payment of compensation to an individual, what rights should a </w:t>
            </w:r>
            <w:r w:rsidR="001444B8">
              <w:t xml:space="preserve">compensation </w:t>
            </w:r>
            <w:r>
              <w:t xml:space="preserve">scheme </w:t>
            </w:r>
            <w:r w:rsidR="001444B8">
              <w:t xml:space="preserve">of last resort </w:t>
            </w:r>
            <w:r>
              <w:t>have against the firm who failed to pay the EDR determi</w:t>
            </w:r>
            <w:r w:rsidR="003219CC">
              <w:t>nation?</w:t>
            </w:r>
          </w:p>
        </w:tc>
      </w:tr>
      <w:tr w:rsidR="00013038" w:rsidRPr="007B6996" w:rsidTr="003E06B4">
        <w:tc>
          <w:tcPr>
            <w:tcW w:w="9072" w:type="dxa"/>
          </w:tcPr>
          <w:p w:rsidR="00013038" w:rsidRPr="00262660" w:rsidRDefault="00013038" w:rsidP="00013038">
            <w:pPr>
              <w:pStyle w:val="BoxHeading"/>
              <w:keepNext w:val="0"/>
            </w:pPr>
            <w:r>
              <w:t>Q</w:t>
            </w:r>
            <w:r w:rsidRPr="007B6996">
              <w:t>uestion</w:t>
            </w:r>
            <w:r>
              <w:t>s — Potential design of a c</w:t>
            </w:r>
            <w:r w:rsidRPr="00262660">
              <w:t xml:space="preserve">ompensation </w:t>
            </w:r>
            <w:r>
              <w:t>s</w:t>
            </w:r>
            <w:r w:rsidRPr="00262660">
              <w:t>cheme</w:t>
            </w:r>
            <w:r>
              <w:t xml:space="preserve"> of last resort</w:t>
            </w:r>
          </w:p>
          <w:p w:rsidR="00013038" w:rsidRDefault="00013038" w:rsidP="00013038">
            <w:pPr>
              <w:pStyle w:val="BoxNumberedQuestions"/>
              <w:spacing w:after="120"/>
            </w:pPr>
            <w:r>
              <w:t>What actions should ASIC take against a firm that fails to pay an EDR determination or its directors or officers?</w:t>
            </w:r>
          </w:p>
          <w:p w:rsidR="00013038" w:rsidRDefault="00013038" w:rsidP="00013038">
            <w:pPr>
              <w:pStyle w:val="BoxNumberedQuestions"/>
            </w:pPr>
            <w:r>
              <w:t>Should any compensation scheme of last resort be administered by government or industry? What other administrative arrangements should apply?</w:t>
            </w:r>
          </w:p>
          <w:p w:rsidR="00013038" w:rsidRDefault="00013038" w:rsidP="00013038">
            <w:pPr>
              <w:pStyle w:val="BoxNumberedQuestions"/>
            </w:pPr>
            <w:r>
              <w:t>Should time limits apply to any compensation scheme of last resort?</w:t>
            </w:r>
          </w:p>
          <w:p w:rsidR="00013038" w:rsidRPr="00D14DD0" w:rsidRDefault="00013038" w:rsidP="00013038">
            <w:pPr>
              <w:pStyle w:val="BoxNumberedQuestions"/>
            </w:pPr>
            <w:r w:rsidRPr="00D14DD0">
              <w:t>How should any compensation scheme of last resort interact with other compensation schemes?</w:t>
            </w:r>
          </w:p>
          <w:p w:rsidR="00013038" w:rsidRDefault="00013038" w:rsidP="00013038">
            <w:pPr>
              <w:pStyle w:val="BoxNumberedQuestions"/>
            </w:pPr>
            <w:r w:rsidRPr="00D14DD0">
              <w:t>Are there any aspects of compensation schemes of last resort in other sectors and jurisdictions that should be considered in the design of any compensation scheme of last resort?</w:t>
            </w:r>
          </w:p>
        </w:tc>
      </w:tr>
    </w:tbl>
    <w:p w:rsidR="00013038" w:rsidRDefault="00013038" w:rsidP="00013038">
      <w:pPr>
        <w:pStyle w:val="SingleParagraph"/>
      </w:pPr>
      <w:bookmarkStart w:id="150" w:name="_Toc483398637"/>
      <w:bookmarkStart w:id="151" w:name="_Toc483485324"/>
      <w:bookmarkStart w:id="152" w:name="_Ref482629296"/>
    </w:p>
    <w:p w:rsidR="006E6857" w:rsidRDefault="006E6857" w:rsidP="006E6857">
      <w:pPr>
        <w:pStyle w:val="Heading2"/>
      </w:pPr>
      <w:bookmarkStart w:id="153" w:name="_Toc483988912"/>
      <w:r>
        <w:t>Legacy unpaid EDR determinations</w:t>
      </w:r>
      <w:bookmarkEnd w:id="150"/>
      <w:bookmarkEnd w:id="151"/>
      <w:bookmarkEnd w:id="153"/>
    </w:p>
    <w:p w:rsidR="007E0A20" w:rsidRPr="003219CC" w:rsidRDefault="0028024B">
      <w:pPr>
        <w:pStyle w:val="OutlineNumbered1"/>
      </w:pPr>
      <w:bookmarkStart w:id="154" w:name="_Ref483483058"/>
      <w:r w:rsidRPr="003219CC">
        <w:t>Under the existing EDR framework, there have been circumstances where claimants have received an EDR determination in their favour, but that determination has not been paid.</w:t>
      </w:r>
      <w:bookmarkEnd w:id="152"/>
      <w:bookmarkEnd w:id="154"/>
    </w:p>
    <w:p w:rsidR="006E6857" w:rsidRPr="003E3A45" w:rsidRDefault="008A60B1">
      <w:pPr>
        <w:pStyle w:val="OutlineNumbered1"/>
      </w:pPr>
      <w:r w:rsidRPr="009803D0">
        <w:t xml:space="preserve">As at </w:t>
      </w:r>
      <w:r w:rsidR="00BE78C8">
        <w:t>2 May</w:t>
      </w:r>
      <w:r>
        <w:t xml:space="preserve"> </w:t>
      </w:r>
      <w:r w:rsidRPr="009803D0">
        <w:t>201</w:t>
      </w:r>
      <w:r>
        <w:t>7</w:t>
      </w:r>
      <w:r w:rsidRPr="009803D0">
        <w:t>, $13,</w:t>
      </w:r>
      <w:r>
        <w:t xml:space="preserve">909,635.50 </w:t>
      </w:r>
      <w:r w:rsidRPr="009803D0">
        <w:t>(excluding interest) in determinations that FOS has made in favour of complainants has not been paid</w:t>
      </w:r>
      <w:r>
        <w:t xml:space="preserve">. </w:t>
      </w:r>
      <w:r w:rsidR="006E6857">
        <w:t>Although the over</w:t>
      </w:r>
      <w:r w:rsidR="006E6857" w:rsidRPr="003E3A45">
        <w:t xml:space="preserve">all </w:t>
      </w:r>
      <w:r w:rsidR="006E6857">
        <w:t xml:space="preserve">amount of EDR </w:t>
      </w:r>
      <w:r w:rsidR="006E6857" w:rsidRPr="003E3A45">
        <w:t xml:space="preserve">determinations </w:t>
      </w:r>
      <w:r w:rsidR="006E6857">
        <w:t>exceeds</w:t>
      </w:r>
      <w:r w:rsidR="006E6857" w:rsidRPr="00056AAC">
        <w:t xml:space="preserve"> </w:t>
      </w:r>
      <w:r w:rsidR="006E6857" w:rsidRPr="003E3A45">
        <w:t>$</w:t>
      </w:r>
      <w:r w:rsidR="006E6857">
        <w:t xml:space="preserve">169,000,000, which means </w:t>
      </w:r>
      <w:r w:rsidR="006E6857" w:rsidRPr="00F132FE">
        <w:t>th</w:t>
      </w:r>
      <w:r w:rsidR="006E6857">
        <w:t>e level of unpaid determinations</w:t>
      </w:r>
      <w:r w:rsidR="006E6857" w:rsidRPr="003E3A45">
        <w:t xml:space="preserve"> </w:t>
      </w:r>
      <w:r w:rsidR="006E6857" w:rsidRPr="00056AAC">
        <w:t>represents</w:t>
      </w:r>
      <w:r w:rsidR="006E6857" w:rsidRPr="003E3A45">
        <w:t xml:space="preserve"> a small amount in terms of </w:t>
      </w:r>
      <w:r w:rsidR="006E6857" w:rsidRPr="00056AAC">
        <w:t xml:space="preserve">the </w:t>
      </w:r>
      <w:r w:rsidR="006E6857" w:rsidRPr="003E3A45">
        <w:t>overall system, the effect on individuals can be devastating.</w:t>
      </w:r>
      <w:r w:rsidR="006E6857" w:rsidRPr="00056AAC">
        <w:rPr>
          <w:rStyle w:val="FootnoteReference"/>
        </w:rPr>
        <w:footnoteReference w:id="65"/>
      </w:r>
    </w:p>
    <w:p w:rsidR="006E6857" w:rsidRDefault="00DA216A">
      <w:pPr>
        <w:pStyle w:val="OutlineNumbered1"/>
      </w:pPr>
      <w:r>
        <w:t xml:space="preserve">According to FOS, </w:t>
      </w:r>
      <w:r w:rsidR="009059D3">
        <w:t xml:space="preserve">since 1 January 2010, </w:t>
      </w:r>
      <w:r>
        <w:t>3</w:t>
      </w:r>
      <w:r w:rsidR="00DD2D8E">
        <w:t>8</w:t>
      </w:r>
      <w:r w:rsidR="006E6857">
        <w:t xml:space="preserve"> financial firms have been unable to comply with 1</w:t>
      </w:r>
      <w:r w:rsidR="00DD2D8E">
        <w:t>51</w:t>
      </w:r>
      <w:r w:rsidR="006E6857">
        <w:t xml:space="preserve"> determinations, affecting 2</w:t>
      </w:r>
      <w:r w:rsidR="00DD2D8E">
        <w:t>1</w:t>
      </w:r>
      <w:r w:rsidR="007A3815">
        <w:t>4</w:t>
      </w:r>
      <w:r w:rsidR="006E6857">
        <w:t xml:space="preserve"> consumers.</w:t>
      </w:r>
      <w:r w:rsidR="006E6857">
        <w:rPr>
          <w:rStyle w:val="FootnoteReference"/>
        </w:rPr>
        <w:footnoteReference w:id="66"/>
      </w:r>
    </w:p>
    <w:p w:rsidR="006E6857" w:rsidRDefault="006E6857" w:rsidP="00253395">
      <w:pPr>
        <w:pStyle w:val="OutlineNumbered1"/>
      </w:pPr>
      <w:r>
        <w:t>FOS notes only a very small percentage of all FOS members are involved with non</w:t>
      </w:r>
      <w:r w:rsidR="009F688A">
        <w:noBreakHyphen/>
      </w:r>
      <w:r>
        <w:t>compliance and these are not spread evenly throughout different sectors of the financial services industry. The top three categories of non</w:t>
      </w:r>
      <w:r w:rsidR="009F688A">
        <w:noBreakHyphen/>
      </w:r>
      <w:r w:rsidR="005D6DE9">
        <w:t>compliant financial firms are:</w:t>
      </w:r>
    </w:p>
    <w:p w:rsidR="006E6857" w:rsidRDefault="006E6857">
      <w:pPr>
        <w:pStyle w:val="Bullet"/>
      </w:pPr>
      <w:r>
        <w:t>financial planners and advisors (5</w:t>
      </w:r>
      <w:r w:rsidR="007A3815">
        <w:t>3</w:t>
      </w:r>
      <w:r w:rsidR="007E0A20">
        <w:t xml:space="preserve"> per cent</w:t>
      </w:r>
      <w:r w:rsidR="005D6DE9">
        <w:t>);</w:t>
      </w:r>
    </w:p>
    <w:p w:rsidR="006E6857" w:rsidRDefault="006E6857">
      <w:pPr>
        <w:pStyle w:val="Bullet"/>
      </w:pPr>
      <w:r>
        <w:t>operators of managed investment schemes (1</w:t>
      </w:r>
      <w:r w:rsidR="007A3815">
        <w:t>3</w:t>
      </w:r>
      <w:r w:rsidR="007E0A20">
        <w:t xml:space="preserve"> per cent</w:t>
      </w:r>
      <w:r w:rsidR="005D6DE9">
        <w:t>); and</w:t>
      </w:r>
    </w:p>
    <w:p w:rsidR="00D20490" w:rsidRDefault="006E6857" w:rsidP="00253395">
      <w:pPr>
        <w:pStyle w:val="Bullet"/>
      </w:pPr>
      <w:r>
        <w:t>credit providers (</w:t>
      </w:r>
      <w:r w:rsidR="007A3815">
        <w:t>11</w:t>
      </w:r>
      <w:r w:rsidR="007E0A20">
        <w:t xml:space="preserve"> per cent</w:t>
      </w:r>
      <w:r>
        <w:t>).</w:t>
      </w:r>
      <w:r>
        <w:rPr>
          <w:rStyle w:val="FootnoteReference"/>
        </w:rPr>
        <w:footnoteReference w:id="67"/>
      </w:r>
    </w:p>
    <w:p w:rsidR="00013038" w:rsidRPr="00013038" w:rsidRDefault="00013038" w:rsidP="00013038">
      <w:r w:rsidRPr="00013038">
        <w:br w:type="page"/>
      </w:r>
    </w:p>
    <w:p w:rsidR="006E6857" w:rsidRDefault="006E6857">
      <w:pPr>
        <w:pStyle w:val="OutlineNumbered1"/>
      </w:pPr>
      <w:r>
        <w:t xml:space="preserve">For </w:t>
      </w:r>
      <w:r w:rsidRPr="002F3F27">
        <w:t>CIO, since 1</w:t>
      </w:r>
      <w:r>
        <w:t> </w:t>
      </w:r>
      <w:r w:rsidRPr="002F3F27">
        <w:t>December 2014</w:t>
      </w:r>
      <w:r>
        <w:t>,</w:t>
      </w:r>
      <w:r w:rsidRPr="002F3F27">
        <w:t xml:space="preserve"> four financial firms have not complied with five</w:t>
      </w:r>
      <w:r w:rsidR="0008462E">
        <w:t> </w:t>
      </w:r>
      <w:r w:rsidRPr="002F3F27">
        <w:t xml:space="preserve">CIO determinations made in favour of seven consumers. </w:t>
      </w:r>
      <w:r>
        <w:t>A</w:t>
      </w:r>
      <w:r w:rsidRPr="002F3F27">
        <w:t xml:space="preserve">s at </w:t>
      </w:r>
      <w:r w:rsidR="007A3815">
        <w:t>2 May 2017</w:t>
      </w:r>
      <w:r>
        <w:t>, t</w:t>
      </w:r>
      <w:r w:rsidRPr="002F3F27">
        <w:t xml:space="preserve">he value of these outstanding determinations was approximately </w:t>
      </w:r>
      <w:r w:rsidRPr="00C81F56">
        <w:t>$</w:t>
      </w:r>
      <w:r w:rsidR="007A3815">
        <w:t>399,862 (excluding interest)</w:t>
      </w:r>
      <w:r w:rsidRPr="002F3F27">
        <w:t>.</w:t>
      </w:r>
      <w:r w:rsidRPr="002F3F27">
        <w:rPr>
          <w:rStyle w:val="FootnoteReference"/>
        </w:rPr>
        <w:footnoteReference w:id="68"/>
      </w:r>
    </w:p>
    <w:p w:rsidR="006E6857" w:rsidRDefault="006E6857">
      <w:pPr>
        <w:pStyle w:val="OutlineNumbered1"/>
      </w:pPr>
      <w:r w:rsidRPr="00056AAC">
        <w:t xml:space="preserve">The difference in unpaid determinations between FOS and CIO </w:t>
      </w:r>
      <w:r>
        <w:t>can largely be</w:t>
      </w:r>
      <w:r w:rsidRPr="00056AAC">
        <w:t xml:space="preserve"> explained by the significantly higher volume of disputes received by FOS (34,095</w:t>
      </w:r>
      <w:r w:rsidR="007E0A20">
        <w:t> </w:t>
      </w:r>
      <w:r w:rsidRPr="00056AAC">
        <w:t>disputes in 2015</w:t>
      </w:r>
      <w:r w:rsidR="009F688A">
        <w:noBreakHyphen/>
      </w:r>
      <w:r w:rsidRPr="00056AAC">
        <w:t>16, representing 83 per cent of all EDR disputes in total) compared to CIO (4,760 disputes in 2015</w:t>
      </w:r>
      <w:r w:rsidR="009F688A">
        <w:noBreakHyphen/>
      </w:r>
      <w:r w:rsidRPr="00056AAC">
        <w:t>16, representing 12 per cent</w:t>
      </w:r>
      <w:r w:rsidR="005D6DE9">
        <w:t xml:space="preserve"> of all EDR disputes in total).</w:t>
      </w:r>
    </w:p>
    <w:p w:rsidR="00301E50" w:rsidRDefault="006E6857">
      <w:pPr>
        <w:pStyle w:val="OutlineNumbered1"/>
      </w:pPr>
      <w:r>
        <w:t xml:space="preserve">In the case of superannuation disputes, </w:t>
      </w:r>
      <w:r w:rsidR="00396F6F">
        <w:t>a</w:t>
      </w:r>
      <w:r w:rsidR="00CC0034">
        <w:t xml:space="preserve">s at 2 </w:t>
      </w:r>
      <w:r w:rsidR="00EB1A11">
        <w:t>May</w:t>
      </w:r>
      <w:r w:rsidR="00CC0034">
        <w:t xml:space="preserve"> 2017, the SCT had no </w:t>
      </w:r>
      <w:r>
        <w:t xml:space="preserve">outstanding </w:t>
      </w:r>
      <w:r w:rsidRPr="00301E50">
        <w:t>unpaid</w:t>
      </w:r>
      <w:r>
        <w:t xml:space="preserve"> determinations. </w:t>
      </w:r>
      <w:r w:rsidR="00E86F49">
        <w:t>This is d</w:t>
      </w:r>
      <w:r w:rsidR="00E86F49" w:rsidRPr="00E86F49">
        <w:t>ue to the nature of prudential regulation in the superannuation system</w:t>
      </w:r>
      <w:r w:rsidR="002B6F96">
        <w:t>, which means it would be rare for a superannuation fund to be unable to pay its obligations</w:t>
      </w:r>
      <w:r w:rsidR="00E86F49">
        <w:t>.</w:t>
      </w:r>
    </w:p>
    <w:p w:rsidR="00B4011B" w:rsidRDefault="003D637A">
      <w:pPr>
        <w:pStyle w:val="OutlineNumbered1"/>
      </w:pPr>
      <w:bookmarkStart w:id="155" w:name="_Ref483307748"/>
      <w:bookmarkStart w:id="156" w:name="_Ref483483083"/>
      <w:r>
        <w:t>In response to the Panel</w:t>
      </w:r>
      <w:r w:rsidR="009F688A">
        <w:t>’</w:t>
      </w:r>
      <w:r>
        <w:t>s Issues Paper of 9 September 2016 and Interim Report</w:t>
      </w:r>
      <w:r w:rsidR="00170527">
        <w:t xml:space="preserve"> of 6</w:t>
      </w:r>
      <w:r w:rsidR="009961C6">
        <w:t> </w:t>
      </w:r>
      <w:r w:rsidR="00170527">
        <w:t>December 2016</w:t>
      </w:r>
      <w:r>
        <w:t xml:space="preserve">, </w:t>
      </w:r>
      <w:r w:rsidRPr="00301E50">
        <w:t>s</w:t>
      </w:r>
      <w:r w:rsidR="00B4011B" w:rsidRPr="00301E50">
        <w:t>takeholders</w:t>
      </w:r>
      <w:r w:rsidR="00B4011B">
        <w:t xml:space="preserve"> </w:t>
      </w:r>
      <w:r>
        <w:t xml:space="preserve">expressed </w:t>
      </w:r>
      <w:r w:rsidR="00B4011B">
        <w:t xml:space="preserve">a range of views on whether a compensation scheme of last resort should provide compensation for </w:t>
      </w:r>
      <w:r w:rsidR="00752277">
        <w:t>past cases</w:t>
      </w:r>
      <w:r w:rsidR="00B4011B">
        <w:t>.</w:t>
      </w:r>
      <w:r w:rsidR="00752277">
        <w:t xml:space="preserve"> For example, the Joint</w:t>
      </w:r>
      <w:r w:rsidR="00D779A4">
        <w:t> </w:t>
      </w:r>
      <w:r w:rsidR="00752277">
        <w:t>Consumer Group submitted a scheme should be retrospective to allow consumers with a compensation claim arising from behaviour before the scheme is implemented to make a claim.</w:t>
      </w:r>
      <w:r w:rsidR="00752277">
        <w:rPr>
          <w:rStyle w:val="FootnoteReference"/>
        </w:rPr>
        <w:footnoteReference w:id="69"/>
      </w:r>
      <w:r w:rsidR="00752277">
        <w:t xml:space="preserve"> </w:t>
      </w:r>
      <w:r w:rsidR="00543423">
        <w:t xml:space="preserve">Similarly, </w:t>
      </w:r>
      <w:r w:rsidR="00752277">
        <w:t>FOS</w:t>
      </w:r>
      <w:r w:rsidR="009F688A">
        <w:t>’</w:t>
      </w:r>
      <w:r w:rsidR="00752277">
        <w:t xml:space="preserve">s proposal would allow retail clients to receive compensation for </w:t>
      </w:r>
      <w:r w:rsidR="00B4011B">
        <w:t>existing unpaid EDR determinations.</w:t>
      </w:r>
      <w:r>
        <w:t xml:space="preserve"> </w:t>
      </w:r>
      <w:r w:rsidR="00543423">
        <w:t xml:space="preserve">In contrast, the ABA </w:t>
      </w:r>
      <w:r w:rsidR="00752277">
        <w:t xml:space="preserve">has submitted </w:t>
      </w:r>
      <w:r w:rsidR="00543423">
        <w:t>that unpaid determinations made before any scheme commences should not be covered.</w:t>
      </w:r>
      <w:bookmarkEnd w:id="155"/>
      <w:bookmarkEnd w:id="156"/>
    </w:p>
    <w:tbl>
      <w:tblPr>
        <w:tblW w:w="9072" w:type="dxa"/>
        <w:tblInd w:w="108" w:type="dxa"/>
        <w:shd w:val="clear" w:color="auto" w:fill="E6E6E6"/>
        <w:tblCellMar>
          <w:right w:w="142" w:type="dxa"/>
        </w:tblCellMar>
        <w:tblLook w:val="01E0" w:firstRow="1" w:lastRow="1" w:firstColumn="1" w:lastColumn="1" w:noHBand="0" w:noVBand="0"/>
      </w:tblPr>
      <w:tblGrid>
        <w:gridCol w:w="9072"/>
      </w:tblGrid>
      <w:tr w:rsidR="001C32E2" w:rsidTr="005430C6">
        <w:tc>
          <w:tcPr>
            <w:tcW w:w="5000" w:type="pct"/>
            <w:tcBorders>
              <w:top w:val="single" w:sz="4" w:space="0" w:color="auto"/>
              <w:left w:val="single" w:sz="4" w:space="0" w:color="auto"/>
              <w:bottom w:val="single" w:sz="4" w:space="0" w:color="auto"/>
              <w:right w:val="single" w:sz="4" w:space="0" w:color="auto"/>
            </w:tcBorders>
            <w:shd w:val="clear" w:color="auto" w:fill="E6E6E6"/>
          </w:tcPr>
          <w:p w:rsidR="001C32E2" w:rsidRDefault="001C32E2" w:rsidP="009F688A">
            <w:pPr>
              <w:pStyle w:val="BoxHeading"/>
            </w:pPr>
            <w:r>
              <w:t>Q</w:t>
            </w:r>
            <w:r w:rsidRPr="007B6996">
              <w:t>uestion</w:t>
            </w:r>
            <w:r>
              <w:t>s</w:t>
            </w:r>
            <w:r w:rsidR="009F688A">
              <w:t xml:space="preserve"> — </w:t>
            </w:r>
            <w:r>
              <w:t xml:space="preserve">Legacy </w:t>
            </w:r>
            <w:r w:rsidRPr="009F688A">
              <w:t>unpaid</w:t>
            </w:r>
            <w:r>
              <w:t xml:space="preserve"> EDR determinations</w:t>
            </w:r>
          </w:p>
          <w:p w:rsidR="001C32E2" w:rsidRPr="00B95605" w:rsidRDefault="001C32E2" w:rsidP="00993864">
            <w:pPr>
              <w:pStyle w:val="BoxNumberedQuestions"/>
            </w:pPr>
            <w:r w:rsidRPr="00661609">
              <w:t>What</w:t>
            </w:r>
            <w:r w:rsidRPr="00B95605">
              <w:t xml:space="preserve"> existing mechanisms are available for individuals who have legacy unpaid EDR determinations to receive compensation?</w:t>
            </w:r>
          </w:p>
          <w:p w:rsidR="001C32E2" w:rsidRPr="001C32E2" w:rsidRDefault="001C32E2">
            <w:pPr>
              <w:pStyle w:val="BoxNumberedQuestions"/>
            </w:pPr>
            <w:r w:rsidRPr="00B95605">
              <w:t>Is there a need for an additional mechanism for those with legacy unpaid EDR determinations to receive compensation</w:t>
            </w:r>
            <w:r w:rsidRPr="00B95605" w:rsidDel="004172B2">
              <w:t xml:space="preserve">? </w:t>
            </w:r>
            <w:r w:rsidRPr="00B95605">
              <w:t>If so, who should fund the payment of the legacy unpaid EDR determinations?</w:t>
            </w:r>
          </w:p>
        </w:tc>
      </w:tr>
    </w:tbl>
    <w:p w:rsidR="003D09D7" w:rsidRPr="006014E4" w:rsidRDefault="002E66CA" w:rsidP="001C32E2">
      <w:r>
        <w:br w:type="page"/>
      </w:r>
    </w:p>
    <w:p w:rsidR="00B823A5" w:rsidRPr="00280B9A" w:rsidRDefault="00636198" w:rsidP="00B823A5">
      <w:pPr>
        <w:pStyle w:val="Heading1"/>
      </w:pPr>
      <w:bookmarkStart w:id="157" w:name="_Toc479074203"/>
      <w:bookmarkStart w:id="158" w:name="_Toc479079306"/>
      <w:bookmarkStart w:id="159" w:name="_Toc479600661"/>
      <w:bookmarkStart w:id="160" w:name="_Toc479692331"/>
      <w:bookmarkStart w:id="161" w:name="_Toc479761650"/>
      <w:bookmarkStart w:id="162" w:name="_Toc481418015"/>
      <w:bookmarkStart w:id="163" w:name="_Toc481420156"/>
      <w:bookmarkStart w:id="164" w:name="_Toc482188902"/>
      <w:bookmarkStart w:id="165" w:name="_Toc482197209"/>
      <w:bookmarkStart w:id="166" w:name="_Toc482198299"/>
      <w:bookmarkStart w:id="167" w:name="_Toc482779542"/>
      <w:bookmarkStart w:id="168" w:name="_Toc482781317"/>
      <w:bookmarkStart w:id="169" w:name="_Toc482873871"/>
      <w:bookmarkStart w:id="170" w:name="_Toc483229144"/>
      <w:bookmarkStart w:id="171" w:name="_Toc483230259"/>
      <w:bookmarkStart w:id="172" w:name="_Toc483398638"/>
      <w:bookmarkStart w:id="173" w:name="_Toc483485325"/>
      <w:bookmarkStart w:id="174" w:name="_Toc483988913"/>
      <w:r>
        <w:t>P</w:t>
      </w:r>
      <w:r w:rsidR="00D24567">
        <w:t xml:space="preserve">roviding </w:t>
      </w:r>
      <w:r w:rsidR="00FE3BAD">
        <w:t xml:space="preserve">access to </w:t>
      </w:r>
      <w:r w:rsidR="00D24567">
        <w:t xml:space="preserve">redress for </w:t>
      </w:r>
      <w:r w:rsidR="004D6898">
        <w:t>p</w:t>
      </w:r>
      <w:r w:rsidR="00B823A5" w:rsidRPr="004B31B8">
        <w:t>ast disputes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DE6FF3" w:rsidRPr="00906A19" w:rsidRDefault="00D0286F">
      <w:pPr>
        <w:pStyle w:val="OutlineNumbered1"/>
        <w:rPr>
          <w:lang w:val="en-US"/>
        </w:rPr>
      </w:pPr>
      <w:r>
        <w:rPr>
          <w:rFonts w:cs="Arial"/>
          <w:lang w:val="en-US"/>
        </w:rPr>
        <w:t xml:space="preserve">The </w:t>
      </w:r>
      <w:r w:rsidR="00C7426E">
        <w:rPr>
          <w:rFonts w:cs="Arial"/>
          <w:lang w:val="en-US"/>
        </w:rPr>
        <w:t>amended</w:t>
      </w:r>
      <w:r>
        <w:rPr>
          <w:rFonts w:cs="Arial"/>
          <w:lang w:val="en-US"/>
        </w:rPr>
        <w:t xml:space="preserve"> </w:t>
      </w:r>
      <w:r w:rsidR="00C7426E">
        <w:rPr>
          <w:rFonts w:cs="Arial"/>
          <w:lang w:val="en-US"/>
        </w:rPr>
        <w:t>T</w:t>
      </w:r>
      <w:r>
        <w:rPr>
          <w:rFonts w:cs="Arial"/>
          <w:lang w:val="en-US"/>
        </w:rPr>
        <w:t xml:space="preserve">erms of </w:t>
      </w:r>
      <w:r w:rsidR="00C7426E">
        <w:rPr>
          <w:rFonts w:cs="Arial"/>
          <w:lang w:val="en-US"/>
        </w:rPr>
        <w:t>R</w:t>
      </w:r>
      <w:r>
        <w:rPr>
          <w:rFonts w:cs="Arial"/>
          <w:lang w:val="en-US"/>
        </w:rPr>
        <w:t xml:space="preserve">eference require the </w:t>
      </w:r>
      <w:r w:rsidR="00C52A83">
        <w:rPr>
          <w:rFonts w:cs="Arial"/>
          <w:lang w:val="en-US"/>
        </w:rPr>
        <w:t>P</w:t>
      </w:r>
      <w:r>
        <w:rPr>
          <w:rFonts w:cs="Arial"/>
          <w:lang w:val="en-US"/>
        </w:rPr>
        <w:t xml:space="preserve">anel to consider </w:t>
      </w:r>
      <w:r w:rsidR="00B823A5">
        <w:t>the merits and issues involved in providing access to redress for past disputes</w:t>
      </w:r>
      <w:r w:rsidR="00C56781">
        <w:t xml:space="preserve"> in the financial sector</w:t>
      </w:r>
      <w:r w:rsidR="00B823A5">
        <w:t>.</w:t>
      </w:r>
    </w:p>
    <w:p w:rsidR="008E3202" w:rsidRDefault="00525967">
      <w:pPr>
        <w:pStyle w:val="OutlineNumbered1"/>
      </w:pPr>
      <w:r w:rsidRPr="005F5AAD">
        <w:rPr>
          <w:lang w:val="en-US"/>
        </w:rPr>
        <w:t>G</w:t>
      </w:r>
      <w:r w:rsidR="008E3202" w:rsidRPr="00525967">
        <w:t>iven</w:t>
      </w:r>
      <w:r w:rsidR="00462AFB">
        <w:t xml:space="preserve"> </w:t>
      </w:r>
      <w:r w:rsidR="00E9059B">
        <w:t>that the Panel</w:t>
      </w:r>
      <w:r w:rsidR="009F688A">
        <w:t>’</w:t>
      </w:r>
      <w:r w:rsidR="00A413DB">
        <w:t>s Terms of R</w:t>
      </w:r>
      <w:r w:rsidR="00E9059B">
        <w:t>eference</w:t>
      </w:r>
      <w:r w:rsidR="009A543F">
        <w:t xml:space="preserve"> </w:t>
      </w:r>
      <w:r w:rsidR="00EE2F97">
        <w:t xml:space="preserve">are </w:t>
      </w:r>
      <w:r w:rsidR="004116D8">
        <w:t>centred</w:t>
      </w:r>
      <w:r w:rsidR="00EE2F97">
        <w:t xml:space="preserve"> on </w:t>
      </w:r>
      <w:r w:rsidR="00E9059B">
        <w:t>the EDR system</w:t>
      </w:r>
      <w:r>
        <w:t xml:space="preserve">, </w:t>
      </w:r>
      <w:r w:rsidRPr="005F5AAD">
        <w:rPr>
          <w:lang w:val="en-US"/>
        </w:rPr>
        <w:t>th</w:t>
      </w:r>
      <w:r w:rsidRPr="00525967">
        <w:t xml:space="preserve">e </w:t>
      </w:r>
      <w:r w:rsidR="005F5AAD">
        <w:t xml:space="preserve">Panel proposes to </w:t>
      </w:r>
      <w:r w:rsidR="006879E8">
        <w:t xml:space="preserve">focus </w:t>
      </w:r>
      <w:r w:rsidR="005F5AAD">
        <w:t xml:space="preserve">its analysis and any observations </w:t>
      </w:r>
      <w:r w:rsidR="00D15201">
        <w:t>on this</w:t>
      </w:r>
      <w:r w:rsidR="008E074A">
        <w:t xml:space="preserve"> issue</w:t>
      </w:r>
      <w:r w:rsidR="005F5AAD">
        <w:t xml:space="preserve"> to </w:t>
      </w:r>
      <w:r w:rsidR="008E074A">
        <w:t xml:space="preserve">circumstances </w:t>
      </w:r>
      <w:r w:rsidR="005F5AAD">
        <w:t xml:space="preserve">where </w:t>
      </w:r>
      <w:r w:rsidR="008E074A">
        <w:t>a consumer or small business</w:t>
      </w:r>
      <w:r w:rsidR="005F5AAD" w:rsidRPr="00E9749A">
        <w:t xml:space="preserve"> </w:t>
      </w:r>
      <w:r w:rsidR="005F5AAD" w:rsidRPr="00215C60">
        <w:t>had a dispute</w:t>
      </w:r>
      <w:r w:rsidR="005F5AAD" w:rsidRPr="00215C60" w:rsidDel="004172B2">
        <w:t xml:space="preserve"> </w:t>
      </w:r>
      <w:r w:rsidR="0043191A">
        <w:t xml:space="preserve">which </w:t>
      </w:r>
      <w:r w:rsidR="005F5AAD" w:rsidRPr="00215C60">
        <w:t>for various reasons ha</w:t>
      </w:r>
      <w:r w:rsidR="008E074A">
        <w:t>s</w:t>
      </w:r>
      <w:r w:rsidR="005F5AAD" w:rsidRPr="00215C60">
        <w:t xml:space="preserve"> not been</w:t>
      </w:r>
      <w:r w:rsidR="008E074A">
        <w:t xml:space="preserve"> </w:t>
      </w:r>
      <w:r w:rsidR="00FD5FE0">
        <w:t xml:space="preserve">resolved </w:t>
      </w:r>
      <w:r w:rsidR="005F5AAD" w:rsidRPr="00215C60">
        <w:t>to date</w:t>
      </w:r>
      <w:r w:rsidR="0092203C">
        <w:t xml:space="preserve"> through EDR</w:t>
      </w:r>
      <w:r w:rsidR="005F5AAD" w:rsidRPr="00215C60">
        <w:t>.</w:t>
      </w:r>
      <w:r w:rsidR="00EE2F97">
        <w:t xml:space="preserve"> However, the Panel is interested in whether other types of disputes should also be considered.</w:t>
      </w:r>
    </w:p>
    <w:p w:rsidR="00DA795A" w:rsidRDefault="00DA795A">
      <w:pPr>
        <w:pStyle w:val="OutlineNumbered1"/>
      </w:pPr>
      <w:r>
        <w:t>The Panel has attempted to set out the range of issues involved in this complex area.</w:t>
      </w:r>
      <w:r w:rsidR="00907364">
        <w:t xml:space="preserve"> However, the Panel is aware that individual cases will have characteristics that cannot be captured in general terms. Submissions with specific examples will assist the Panel in better understanding the issues.</w:t>
      </w:r>
    </w:p>
    <w:p w:rsidR="008E3202" w:rsidRPr="00525967" w:rsidRDefault="008E3202">
      <w:pPr>
        <w:pStyle w:val="OutlineNumbered1"/>
      </w:pPr>
      <w:r w:rsidRPr="00525967">
        <w:t xml:space="preserve">The Panel has not formed a </w:t>
      </w:r>
      <w:r w:rsidR="00F21671">
        <w:t>preliminary</w:t>
      </w:r>
      <w:r w:rsidR="00F21671" w:rsidRPr="00525967">
        <w:t xml:space="preserve"> </w:t>
      </w:r>
      <w:r w:rsidRPr="00525967">
        <w:t>view or made a final decision on any of the issues contained in this section. The Panel welcomes all stakeholder comments and feedback.</w:t>
      </w:r>
    </w:p>
    <w:p w:rsidR="00FD5FE0" w:rsidRDefault="00FD5FE0">
      <w:pPr>
        <w:pStyle w:val="OutlineNumbered1"/>
      </w:pPr>
      <w:r>
        <w:t xml:space="preserve">In this section of the Issues Paper, the Panel first considers </w:t>
      </w:r>
      <w:r w:rsidR="007F4AA3">
        <w:t>the issue of access</w:t>
      </w:r>
      <w:r w:rsidR="00E32609">
        <w:t xml:space="preserve"> to redress for past disputes </w:t>
      </w:r>
      <w:r w:rsidR="007F4AA3">
        <w:t xml:space="preserve">and the </w:t>
      </w:r>
      <w:r w:rsidR="001256F3">
        <w:t>circumstances</w:t>
      </w:r>
      <w:r w:rsidR="00E32609">
        <w:t xml:space="preserve"> that prevent</w:t>
      </w:r>
      <w:r w:rsidR="001256F3">
        <w:t>ed</w:t>
      </w:r>
      <w:r w:rsidR="00E32609">
        <w:t xml:space="preserve"> </w:t>
      </w:r>
      <w:r w:rsidR="00181B10">
        <w:t xml:space="preserve">some individuals and small businesses from </w:t>
      </w:r>
      <w:r w:rsidR="001256F3">
        <w:t>access</w:t>
      </w:r>
      <w:r w:rsidR="00181B10">
        <w:t>ing</w:t>
      </w:r>
      <w:r w:rsidR="001256F3">
        <w:t xml:space="preserve"> </w:t>
      </w:r>
      <w:r>
        <w:t>redress.</w:t>
      </w:r>
      <w:r w:rsidRPr="00FD5FE0">
        <w:t xml:space="preserve"> </w:t>
      </w:r>
      <w:r w:rsidR="00EF7448" w:rsidRPr="00E32609">
        <w:t>Following thi</w:t>
      </w:r>
      <w:r w:rsidR="00E32609">
        <w:t>s</w:t>
      </w:r>
      <w:r w:rsidR="00DA07C6">
        <w:t>,</w:t>
      </w:r>
      <w:r w:rsidR="00EF7448" w:rsidRPr="00E32609">
        <w:t xml:space="preserve"> is </w:t>
      </w:r>
      <w:r w:rsidRPr="00E32609">
        <w:t xml:space="preserve">discussion </w:t>
      </w:r>
      <w:r w:rsidR="00E32609" w:rsidRPr="00661609">
        <w:t xml:space="preserve">on how other sectors have </w:t>
      </w:r>
      <w:r w:rsidR="00BB0BCE" w:rsidRPr="00E32609">
        <w:t>approache</w:t>
      </w:r>
      <w:r w:rsidR="00E32609">
        <w:t xml:space="preserve">d </w:t>
      </w:r>
      <w:r w:rsidR="00181B10">
        <w:t xml:space="preserve">the matter of </w:t>
      </w:r>
      <w:r w:rsidR="00E32609">
        <w:t>access to redress</w:t>
      </w:r>
      <w:r w:rsidR="00BB0BCE" w:rsidRPr="00E32609">
        <w:t>.</w:t>
      </w:r>
      <w:r w:rsidRPr="00E32609">
        <w:t xml:space="preserve"> The </w:t>
      </w:r>
      <w:r w:rsidR="00BB0BCE" w:rsidRPr="00E32609">
        <w:t xml:space="preserve">section </w:t>
      </w:r>
      <w:r w:rsidRPr="00E32609">
        <w:t xml:space="preserve">then </w:t>
      </w:r>
      <w:r w:rsidR="00836CC7">
        <w:t xml:space="preserve">considers the </w:t>
      </w:r>
      <w:r w:rsidR="00DA07C6" w:rsidRPr="00661609">
        <w:t>mechanics</w:t>
      </w:r>
      <w:r w:rsidR="00BB0BCE" w:rsidRPr="00DA07C6">
        <w:t xml:space="preserve"> </w:t>
      </w:r>
      <w:r w:rsidR="00836CC7" w:rsidRPr="00DA07C6">
        <w:t xml:space="preserve">of, </w:t>
      </w:r>
      <w:r w:rsidR="00EF7448" w:rsidRPr="00DA07C6">
        <w:t>and</w:t>
      </w:r>
      <w:r w:rsidR="00EF7448" w:rsidRPr="00E32609">
        <w:t xml:space="preserve"> design </w:t>
      </w:r>
      <w:r w:rsidR="0051697B">
        <w:t>issues</w:t>
      </w:r>
      <w:r w:rsidR="00EF7448" w:rsidRPr="00E32609">
        <w:t xml:space="preserve"> </w:t>
      </w:r>
      <w:r w:rsidR="0051697B">
        <w:t>involved</w:t>
      </w:r>
      <w:r w:rsidR="00BB0BCE" w:rsidRPr="00E32609">
        <w:t xml:space="preserve"> with</w:t>
      </w:r>
      <w:r w:rsidR="00276626">
        <w:t>,</w:t>
      </w:r>
      <w:r w:rsidR="00BB0BCE">
        <w:t xml:space="preserve"> providing access to redress for past disputes</w:t>
      </w:r>
      <w:r>
        <w:t>.</w:t>
      </w:r>
    </w:p>
    <w:p w:rsidR="00F478ED" w:rsidRDefault="005512BF" w:rsidP="001C32E2">
      <w:pPr>
        <w:pStyle w:val="Heading2"/>
      </w:pPr>
      <w:bookmarkStart w:id="175" w:name="_Toc482779543"/>
      <w:bookmarkStart w:id="176" w:name="_Toc482781318"/>
      <w:bookmarkStart w:id="177" w:name="_Toc482873872"/>
      <w:bookmarkStart w:id="178" w:name="_Toc483229145"/>
      <w:bookmarkStart w:id="179" w:name="_Toc483230260"/>
      <w:bookmarkStart w:id="180" w:name="_Toc483398639"/>
      <w:bookmarkStart w:id="181" w:name="_Toc483485326"/>
      <w:bookmarkStart w:id="182" w:name="_Toc483988914"/>
      <w:r>
        <w:t>Problem being addressed</w:t>
      </w:r>
      <w:r w:rsidR="009F688A">
        <w:t xml:space="preserve"> — </w:t>
      </w:r>
      <w:r>
        <w:t>access to redress</w:t>
      </w:r>
      <w:bookmarkEnd w:id="175"/>
      <w:bookmarkEnd w:id="176"/>
      <w:bookmarkEnd w:id="177"/>
      <w:bookmarkEnd w:id="178"/>
      <w:bookmarkEnd w:id="179"/>
      <w:bookmarkEnd w:id="180"/>
      <w:bookmarkEnd w:id="181"/>
      <w:bookmarkEnd w:id="182"/>
    </w:p>
    <w:p w:rsidR="009A3917" w:rsidRDefault="00560916">
      <w:pPr>
        <w:pStyle w:val="OutlineNumbered1"/>
      </w:pPr>
      <w:r>
        <w:t xml:space="preserve">A </w:t>
      </w:r>
      <w:r w:rsidR="009A3917">
        <w:t>range</w:t>
      </w:r>
      <w:r>
        <w:t xml:space="preserve"> </w:t>
      </w:r>
      <w:r w:rsidR="00685262">
        <w:t>of</w:t>
      </w:r>
      <w:r w:rsidR="00E73153">
        <w:t xml:space="preserve"> </w:t>
      </w:r>
      <w:r w:rsidR="00685262">
        <w:t>government</w:t>
      </w:r>
      <w:r w:rsidR="007A670B" w:rsidRPr="00E73153">
        <w:t xml:space="preserve"> inquir</w:t>
      </w:r>
      <w:r w:rsidR="00E73153" w:rsidRPr="00E73153">
        <w:t>i</w:t>
      </w:r>
      <w:r w:rsidR="007A670B" w:rsidRPr="00E73153">
        <w:t>es</w:t>
      </w:r>
      <w:r w:rsidR="00685262">
        <w:t xml:space="preserve"> have identified </w:t>
      </w:r>
      <w:r w:rsidR="009A3917">
        <w:t>a number of past disputes where consumers or small businesses have been unable to access redress.</w:t>
      </w:r>
    </w:p>
    <w:p w:rsidR="0060614B" w:rsidRDefault="009A3917">
      <w:pPr>
        <w:pStyle w:val="OutlineNumbered1"/>
      </w:pPr>
      <w:r>
        <w:t>These included</w:t>
      </w:r>
      <w:r w:rsidR="00067073">
        <w:t xml:space="preserve"> the </w:t>
      </w:r>
      <w:r w:rsidR="0060614B">
        <w:t xml:space="preserve">Parliamentary Joint Committee on Corporations and Financial Services Report, </w:t>
      </w:r>
      <w:r w:rsidR="0060614B" w:rsidRPr="00FF31AB">
        <w:rPr>
          <w:i/>
        </w:rPr>
        <w:t>Inquiry into financial products and services</w:t>
      </w:r>
      <w:r w:rsidR="005E0760">
        <w:rPr>
          <w:i/>
        </w:rPr>
        <w:t xml:space="preserve"> in Australia</w:t>
      </w:r>
      <w:r w:rsidR="0060614B" w:rsidRPr="00FF31AB">
        <w:rPr>
          <w:i/>
        </w:rPr>
        <w:t xml:space="preserve"> </w:t>
      </w:r>
      <w:r w:rsidR="0060614B">
        <w:t>(November</w:t>
      </w:r>
      <w:r w:rsidR="0095768D">
        <w:t> </w:t>
      </w:r>
      <w:r w:rsidR="0060614B">
        <w:t xml:space="preserve">2009), the Senate Economics References Committee Report, </w:t>
      </w:r>
      <w:r w:rsidR="0060614B" w:rsidRPr="00FF31AB">
        <w:rPr>
          <w:i/>
        </w:rPr>
        <w:t xml:space="preserve">Agribusiness </w:t>
      </w:r>
      <w:r w:rsidR="005E0760">
        <w:rPr>
          <w:i/>
        </w:rPr>
        <w:t>m</w:t>
      </w:r>
      <w:r w:rsidR="0060614B" w:rsidRPr="00FF31AB">
        <w:rPr>
          <w:i/>
        </w:rPr>
        <w:t xml:space="preserve">anaged </w:t>
      </w:r>
      <w:r w:rsidR="005E0760">
        <w:rPr>
          <w:i/>
        </w:rPr>
        <w:t>i</w:t>
      </w:r>
      <w:r w:rsidR="0060614B" w:rsidRPr="00FF31AB">
        <w:rPr>
          <w:i/>
        </w:rPr>
        <w:t xml:space="preserve">nvestment </w:t>
      </w:r>
      <w:r w:rsidR="005E0760">
        <w:rPr>
          <w:i/>
        </w:rPr>
        <w:t>s</w:t>
      </w:r>
      <w:r w:rsidR="0060614B" w:rsidRPr="00FF31AB">
        <w:rPr>
          <w:i/>
        </w:rPr>
        <w:t xml:space="preserve">chemes: Bitter </w:t>
      </w:r>
      <w:r w:rsidR="005E0760">
        <w:rPr>
          <w:i/>
        </w:rPr>
        <w:t>h</w:t>
      </w:r>
      <w:r w:rsidR="0060614B" w:rsidRPr="00FF31AB">
        <w:rPr>
          <w:i/>
        </w:rPr>
        <w:t xml:space="preserve">arvest </w:t>
      </w:r>
      <w:r w:rsidR="0060614B">
        <w:t xml:space="preserve">(March 2016), the Parliamentary Joint Committee on Corporations and Financial Services Report, </w:t>
      </w:r>
      <w:r w:rsidR="0060614B" w:rsidRPr="00FF31AB">
        <w:rPr>
          <w:i/>
        </w:rPr>
        <w:t xml:space="preserve">Impairment of </w:t>
      </w:r>
      <w:r w:rsidR="005E0760">
        <w:rPr>
          <w:i/>
        </w:rPr>
        <w:t>c</w:t>
      </w:r>
      <w:r w:rsidR="0060614B" w:rsidRPr="00FF31AB">
        <w:rPr>
          <w:i/>
        </w:rPr>
        <w:t xml:space="preserve">ustomer loans </w:t>
      </w:r>
      <w:r w:rsidR="0060614B">
        <w:t>(May 2016) and t</w:t>
      </w:r>
      <w:r w:rsidR="0060614B" w:rsidRPr="00FF31AB">
        <w:rPr>
          <w:lang w:val="en-US"/>
        </w:rPr>
        <w:t xml:space="preserve">he Australian Small Business and Family Enterprise Ombudsman Report, </w:t>
      </w:r>
      <w:r w:rsidR="0060614B" w:rsidRPr="00FF31AB">
        <w:rPr>
          <w:i/>
          <w:lang w:val="en-US"/>
        </w:rPr>
        <w:t xml:space="preserve">Inquiry into small business loans </w:t>
      </w:r>
      <w:r w:rsidR="0060614B" w:rsidRPr="00FF31AB">
        <w:rPr>
          <w:lang w:val="en-US"/>
        </w:rPr>
        <w:t>(December 2016).</w:t>
      </w:r>
    </w:p>
    <w:p w:rsidR="002E66CA" w:rsidRDefault="00D9450A">
      <w:pPr>
        <w:pStyle w:val="OutlineNumbered1"/>
      </w:pPr>
      <w:r w:rsidRPr="00486E6F">
        <w:t xml:space="preserve">If consumers and small businesses are unable to </w:t>
      </w:r>
      <w:r w:rsidR="00185333">
        <w:t>access redress</w:t>
      </w:r>
      <w:r w:rsidRPr="00486E6F">
        <w:t>, then this can lead to se</w:t>
      </w:r>
      <w:r w:rsidR="0010211A">
        <w:t>vere</w:t>
      </w:r>
      <w:r w:rsidRPr="00486E6F">
        <w:t xml:space="preserve"> financial hardship and</w:t>
      </w:r>
      <w:r w:rsidR="000A569B">
        <w:t>,</w:t>
      </w:r>
      <w:r w:rsidRPr="00486E6F">
        <w:t xml:space="preserve"> more broadly, subsequent loss of trust and confidence in the </w:t>
      </w:r>
      <w:r w:rsidR="0010211A">
        <w:t xml:space="preserve">EDR framework and the </w:t>
      </w:r>
      <w:r w:rsidRPr="00486E6F">
        <w:t>financial system</w:t>
      </w:r>
      <w:r w:rsidR="0010211A">
        <w:t xml:space="preserve"> more generally</w:t>
      </w:r>
      <w:r w:rsidRPr="00486E6F">
        <w:t>.</w:t>
      </w:r>
    </w:p>
    <w:p w:rsidR="00685262" w:rsidRDefault="00685262">
      <w:pPr>
        <w:pStyle w:val="OutlineNumbered1"/>
      </w:pPr>
      <w:r>
        <w:t xml:space="preserve">In addition to the severe emotional distress and financial hardship experienced by affected consumers, failure to provide access to redress may also impose further costs on the wider </w:t>
      </w:r>
      <w:r w:rsidR="00EA0465">
        <w:t>public</w:t>
      </w:r>
      <w:r>
        <w:t xml:space="preserve"> as </w:t>
      </w:r>
      <w:r w:rsidR="00EA0465">
        <w:t>consumers</w:t>
      </w:r>
      <w:r>
        <w:t xml:space="preserve"> are forced to rely on </w:t>
      </w:r>
      <w:r w:rsidR="00E9059B">
        <w:t xml:space="preserve">other forms of support, including </w:t>
      </w:r>
      <w:r>
        <w:t>the social security system</w:t>
      </w:r>
      <w:r w:rsidR="00EA0465">
        <w:t>.</w:t>
      </w:r>
    </w:p>
    <w:p w:rsidR="00281FE7" w:rsidRDefault="00281FE7" w:rsidP="00A23924">
      <w:pPr>
        <w:pStyle w:val="Heading3"/>
      </w:pPr>
      <w:r>
        <w:t>Wh</w:t>
      </w:r>
      <w:r w:rsidR="00E32609">
        <w:t xml:space="preserve">at </w:t>
      </w:r>
      <w:r w:rsidR="00F9228E">
        <w:t>circumstances</w:t>
      </w:r>
      <w:r w:rsidR="00E32609">
        <w:t xml:space="preserve"> </w:t>
      </w:r>
      <w:r w:rsidR="007747D6">
        <w:t xml:space="preserve">have </w:t>
      </w:r>
      <w:r w:rsidR="00E9059B">
        <w:t>prevented access to redress</w:t>
      </w:r>
      <w:r>
        <w:t>?</w:t>
      </w:r>
    </w:p>
    <w:p w:rsidR="00AB5ED4" w:rsidRPr="002F6690" w:rsidRDefault="00F9228E">
      <w:pPr>
        <w:pStyle w:val="OutlineNumbered1"/>
      </w:pPr>
      <w:r>
        <w:t>T</w:t>
      </w:r>
      <w:r w:rsidR="00A44190">
        <w:t xml:space="preserve">he diagram below </w:t>
      </w:r>
      <w:r>
        <w:t xml:space="preserve">depicts the range of </w:t>
      </w:r>
      <w:r w:rsidR="00336A4A">
        <w:t xml:space="preserve">scenarios </w:t>
      </w:r>
      <w:r w:rsidR="00462AFB">
        <w:t>that</w:t>
      </w:r>
      <w:r w:rsidR="001256F3">
        <w:t xml:space="preserve"> </w:t>
      </w:r>
      <w:r w:rsidR="00A44190">
        <w:t>t</w:t>
      </w:r>
      <w:r w:rsidR="00AB5ED4" w:rsidRPr="002F6690">
        <w:t>he</w:t>
      </w:r>
      <w:r w:rsidR="000C3BAE" w:rsidRPr="002F6690">
        <w:t xml:space="preserve"> Panel considers </w:t>
      </w:r>
      <w:r w:rsidR="00181B10">
        <w:t xml:space="preserve">could </w:t>
      </w:r>
      <w:r w:rsidR="001256F3">
        <w:t xml:space="preserve">lead to </w:t>
      </w:r>
      <w:r w:rsidR="00181B10">
        <w:t xml:space="preserve">circumstances </w:t>
      </w:r>
      <w:r w:rsidR="001256F3">
        <w:t>where</w:t>
      </w:r>
      <w:r w:rsidR="001256F3" w:rsidRPr="00DA07C6">
        <w:t xml:space="preserve"> </w:t>
      </w:r>
      <w:r w:rsidR="002F6690" w:rsidRPr="007911B6">
        <w:t>consumer</w:t>
      </w:r>
      <w:r w:rsidR="00181B10">
        <w:t>s</w:t>
      </w:r>
      <w:r w:rsidR="002F6690" w:rsidRPr="007911B6">
        <w:t xml:space="preserve"> or small business</w:t>
      </w:r>
      <w:r w:rsidR="00181B10" w:rsidRPr="00DA07C6">
        <w:t xml:space="preserve">es </w:t>
      </w:r>
      <w:r w:rsidR="00181B10">
        <w:t>are</w:t>
      </w:r>
      <w:r w:rsidR="002F6690" w:rsidRPr="007911B6" w:rsidDel="00181B10">
        <w:t xml:space="preserve"> </w:t>
      </w:r>
      <w:r w:rsidR="002F6690" w:rsidRPr="007911B6">
        <w:t>unable to access redress through EDR</w:t>
      </w:r>
      <w:r w:rsidR="00AB5ED4" w:rsidRPr="002F6690">
        <w:t>:</w:t>
      </w:r>
    </w:p>
    <w:p w:rsidR="00AB5ED4" w:rsidRPr="008C1B8B" w:rsidRDefault="00AB5ED4">
      <w:pPr>
        <w:pStyle w:val="Bullet"/>
      </w:pPr>
      <w:r w:rsidRPr="008C1B8B">
        <w:t xml:space="preserve">the financial firm </w:t>
      </w:r>
      <w:r w:rsidR="006C4AEE">
        <w:t>was insolvent or otherwise unable to pay</w:t>
      </w:r>
      <w:r w:rsidR="002D035A">
        <w:t>;</w:t>
      </w:r>
    </w:p>
    <w:p w:rsidR="00B04C19" w:rsidRPr="008C1B8B" w:rsidRDefault="00B04C19">
      <w:pPr>
        <w:pStyle w:val="Bullet"/>
      </w:pPr>
      <w:r>
        <w:t>t</w:t>
      </w:r>
      <w:r w:rsidRPr="008C1B8B">
        <w:t xml:space="preserve">he monetary value of the dispute exceeded the EDR </w:t>
      </w:r>
      <w:r w:rsidR="00182D10">
        <w:t>s</w:t>
      </w:r>
      <w:r w:rsidRPr="008C1B8B">
        <w:t>cheme</w:t>
      </w:r>
      <w:r w:rsidR="009F688A">
        <w:t>’</w:t>
      </w:r>
      <w:r w:rsidRPr="008C1B8B">
        <w:t>s monetary limits;</w:t>
      </w:r>
    </w:p>
    <w:p w:rsidR="00FF5C34" w:rsidRDefault="00FF5C34">
      <w:pPr>
        <w:pStyle w:val="Bullet"/>
      </w:pPr>
      <w:r>
        <w:t>the dispute was outside of the EDR scheme</w:t>
      </w:r>
      <w:r w:rsidR="009F688A">
        <w:t>’</w:t>
      </w:r>
      <w:r>
        <w:t>s time limits; or</w:t>
      </w:r>
    </w:p>
    <w:p w:rsidR="005B7000" w:rsidRPr="005B7000" w:rsidRDefault="00AB5ED4">
      <w:pPr>
        <w:pStyle w:val="Bullet"/>
      </w:pPr>
      <w:r>
        <w:t xml:space="preserve">the consumer or small business did not pursue their dispute with the EDR scheme for </w:t>
      </w:r>
      <w:r w:rsidR="007F0210">
        <w:t xml:space="preserve">other </w:t>
      </w:r>
      <w:r>
        <w:t>unspecified reasons (for example</w:t>
      </w:r>
      <w:r w:rsidR="00A95965">
        <w:t>,</w:t>
      </w:r>
      <w:r>
        <w:t xml:space="preserve"> </w:t>
      </w:r>
      <w:r w:rsidR="00A44190">
        <w:t>because of person</w:t>
      </w:r>
      <w:r w:rsidR="003E446C">
        <w:t>al</w:t>
      </w:r>
      <w:r w:rsidR="00A44190">
        <w:t xml:space="preserve"> circumstances</w:t>
      </w:r>
      <w:r>
        <w:t xml:space="preserve"> or cost involved</w:t>
      </w:r>
      <w:r w:rsidR="00BE48CE">
        <w:t>, dispute fatigue or emotional distress</w:t>
      </w:r>
      <w:r>
        <w:t>)</w:t>
      </w:r>
      <w:r w:rsidR="00FF5C34">
        <w:t>.</w:t>
      </w:r>
    </w:p>
    <w:p w:rsidR="003E06B4" w:rsidRPr="003E06B4" w:rsidRDefault="003E06B4" w:rsidP="005430C6">
      <w:pPr>
        <w:pStyle w:val="ChartGraphic"/>
        <w:ind w:left="851"/>
      </w:pPr>
      <w:r w:rsidRPr="00253395">
        <w:rPr>
          <w:noProof/>
        </w:rPr>
        <w:drawing>
          <wp:inline distT="0" distB="0" distL="0" distR="0" wp14:anchorId="2CF61830" wp14:editId="79ED381D">
            <wp:extent cx="5115600" cy="1760400"/>
            <wp:effectExtent l="38100" t="0" r="2794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5B7000" w:rsidRPr="000E30F6" w:rsidRDefault="00A95965" w:rsidP="005430C6">
      <w:pPr>
        <w:pStyle w:val="OutlineNumbered1"/>
      </w:pPr>
      <w:r w:rsidRPr="000E30F6" w:rsidDel="005B7000">
        <w:t>These circumstances are discussed in detail below.</w:t>
      </w:r>
    </w:p>
    <w:p w:rsidR="00FE2A30" w:rsidRPr="00CA267D" w:rsidRDefault="00FE2A30">
      <w:pPr>
        <w:pStyle w:val="Heading4"/>
      </w:pPr>
      <w:r w:rsidRPr="00B74176">
        <w:t>Financial firm</w:t>
      </w:r>
      <w:r>
        <w:t xml:space="preserve"> </w:t>
      </w:r>
      <w:r w:rsidR="006C4AEE">
        <w:t>was</w:t>
      </w:r>
      <w:r w:rsidRPr="00CA267D">
        <w:t xml:space="preserve"> insolvent or otherwise unable to pay</w:t>
      </w:r>
    </w:p>
    <w:p w:rsidR="00BC02CD" w:rsidRPr="00A242D7" w:rsidRDefault="00BC02CD">
      <w:pPr>
        <w:pStyle w:val="OutlineNumbered1"/>
      </w:pPr>
      <w:r w:rsidRPr="00CA267D">
        <w:t xml:space="preserve">Some disputes may not have been </w:t>
      </w:r>
      <w:r w:rsidRPr="00BC02CD">
        <w:t xml:space="preserve">resolved because the </w:t>
      </w:r>
      <w:r w:rsidR="00914B87">
        <w:t>financial firm</w:t>
      </w:r>
      <w:r w:rsidR="00914B87" w:rsidRPr="00BC02CD">
        <w:t xml:space="preserve"> </w:t>
      </w:r>
      <w:r w:rsidRPr="00BC02CD">
        <w:t xml:space="preserve">was either insolvent or otherwise </w:t>
      </w:r>
      <w:r w:rsidR="00914B87">
        <w:t>unable</w:t>
      </w:r>
      <w:r w:rsidR="00914B87" w:rsidRPr="00BC02CD">
        <w:t xml:space="preserve"> </w:t>
      </w:r>
      <w:r w:rsidRPr="00BC02CD">
        <w:t xml:space="preserve">to pay. For example, </w:t>
      </w:r>
      <w:r w:rsidRPr="00CA267D">
        <w:t xml:space="preserve">the </w:t>
      </w:r>
      <w:r w:rsidR="00914B87">
        <w:t>financial</w:t>
      </w:r>
      <w:r w:rsidRPr="00CA267D">
        <w:t xml:space="preserve"> firm</w:t>
      </w:r>
      <w:r w:rsidR="009F688A">
        <w:t>’</w:t>
      </w:r>
      <w:r w:rsidRPr="00CA267D">
        <w:t xml:space="preserve">s </w:t>
      </w:r>
      <w:r w:rsidRPr="00BC02CD">
        <w:t xml:space="preserve">professional indemnity insurance </w:t>
      </w:r>
      <w:r w:rsidR="00914B87">
        <w:t>may have</w:t>
      </w:r>
      <w:r w:rsidRPr="00BC02CD">
        <w:t xml:space="preserve"> failed to cover claims, </w:t>
      </w:r>
      <w:r w:rsidR="00914B87">
        <w:t>either</w:t>
      </w:r>
      <w:r w:rsidR="00914B87" w:rsidRPr="00BC02CD">
        <w:t xml:space="preserve"> </w:t>
      </w:r>
      <w:r w:rsidRPr="00BC02CD">
        <w:t>as a result of the policy being exhausted or</w:t>
      </w:r>
      <w:r w:rsidR="00E9059B">
        <w:t xml:space="preserve"> because</w:t>
      </w:r>
      <w:r w:rsidRPr="00BC02CD">
        <w:t xml:space="preserve"> the insurer rel</w:t>
      </w:r>
      <w:r w:rsidR="00181B10">
        <w:t>ied</w:t>
      </w:r>
      <w:r w:rsidRPr="00BC02CD">
        <w:t xml:space="preserve"> on an exclusion clause to refuse </w:t>
      </w:r>
      <w:r w:rsidRPr="00660B3B">
        <w:t>indemni</w:t>
      </w:r>
      <w:r w:rsidR="00181B10" w:rsidRPr="00660B3B">
        <w:t>ty</w:t>
      </w:r>
      <w:r w:rsidRPr="00660B3B">
        <w:t>.</w:t>
      </w:r>
    </w:p>
    <w:p w:rsidR="003C00DA" w:rsidRPr="00660B3B" w:rsidRDefault="00166682">
      <w:pPr>
        <w:pStyle w:val="OutlineNumbered1"/>
      </w:pPr>
      <w:r w:rsidRPr="00660B3B">
        <w:t xml:space="preserve">This </w:t>
      </w:r>
      <w:r w:rsidR="00443F6F" w:rsidRPr="00660B3B">
        <w:t>may</w:t>
      </w:r>
      <w:r w:rsidRPr="00660B3B">
        <w:t xml:space="preserve"> have occurred</w:t>
      </w:r>
      <w:r w:rsidR="003C46B8" w:rsidRPr="00660B3B">
        <w:t xml:space="preserve"> before the consumer could lodge their dispute with an EDR scheme meaning the dispute was never heard.</w:t>
      </w:r>
      <w:r w:rsidRPr="00660B3B">
        <w:t xml:space="preserve"> Alternatively, the </w:t>
      </w:r>
      <w:r w:rsidR="00A41ADB" w:rsidRPr="00660B3B">
        <w:t xml:space="preserve">EDR scheme may have closed the dispute after </w:t>
      </w:r>
      <w:r w:rsidR="00A242D7">
        <w:t xml:space="preserve">its </w:t>
      </w:r>
      <w:r w:rsidR="00A41ADB" w:rsidRPr="00660B3B">
        <w:t xml:space="preserve">lodgement </w:t>
      </w:r>
      <w:r w:rsidR="00A242D7">
        <w:t xml:space="preserve">because the financial firm </w:t>
      </w:r>
      <w:r w:rsidR="00063E1A">
        <w:t xml:space="preserve">became </w:t>
      </w:r>
      <w:r w:rsidR="00A242D7">
        <w:t xml:space="preserve">insolvent </w:t>
      </w:r>
      <w:r w:rsidR="00A242D7" w:rsidRPr="00660B3B">
        <w:t>before a determination could be made</w:t>
      </w:r>
      <w:r w:rsidR="00A242D7">
        <w:t>.</w:t>
      </w:r>
    </w:p>
    <w:p w:rsidR="00B21515" w:rsidRDefault="00B21515">
      <w:pPr>
        <w:widowControl/>
        <w:adjustRightInd/>
        <w:spacing w:after="0" w:line="240" w:lineRule="auto"/>
        <w:jc w:val="left"/>
        <w:textAlignment w:val="auto"/>
        <w:rPr>
          <w:rFonts w:ascii="Century Gothic" w:hAnsi="Century Gothic"/>
          <w:b/>
          <w:bCs/>
          <w:color w:val="1F497D" w:themeColor="text2"/>
          <w:szCs w:val="22"/>
        </w:rPr>
      </w:pPr>
      <w:r>
        <w:br w:type="page"/>
      </w:r>
    </w:p>
    <w:p w:rsidR="00EA42E0" w:rsidRPr="00BD4B39" w:rsidRDefault="00B04C19">
      <w:pPr>
        <w:pStyle w:val="Heading4"/>
      </w:pPr>
      <w:r w:rsidRPr="00BD4B39">
        <w:t>Monetary value of the dispute</w:t>
      </w:r>
    </w:p>
    <w:p w:rsidR="00D84DD4" w:rsidRPr="00D84DD4" w:rsidRDefault="00EB1FB2">
      <w:pPr>
        <w:pStyle w:val="OutlineNumbered1"/>
      </w:pPr>
      <w:r w:rsidRPr="00E10F69">
        <w:t>Under the existing framework, a dispute may fall outside of an EDR scheme</w:t>
      </w:r>
      <w:r w:rsidR="009F688A">
        <w:t>’</w:t>
      </w:r>
      <w:r w:rsidRPr="00E10F69">
        <w:t xml:space="preserve">s </w:t>
      </w:r>
      <w:r w:rsidRPr="00D84DD4">
        <w:t>jurisdiction</w:t>
      </w:r>
      <w:r w:rsidR="006F29C6" w:rsidRPr="00D84DD4">
        <w:t xml:space="preserve"> </w:t>
      </w:r>
      <w:r w:rsidR="002F6514" w:rsidRPr="00D84DD4">
        <w:t>if</w:t>
      </w:r>
      <w:r w:rsidR="006F29C6" w:rsidRPr="00D84DD4">
        <w:t xml:space="preserve"> the </w:t>
      </w:r>
      <w:r w:rsidR="00063E1A">
        <w:t>value of the dispute</w:t>
      </w:r>
      <w:r w:rsidR="00063E1A" w:rsidRPr="00D84DD4">
        <w:t xml:space="preserve"> </w:t>
      </w:r>
      <w:r w:rsidR="00DA5B13" w:rsidRPr="00D84DD4">
        <w:t>is above</w:t>
      </w:r>
      <w:r w:rsidR="006F29C6" w:rsidRPr="00D84DD4">
        <w:t xml:space="preserve"> </w:t>
      </w:r>
      <w:r w:rsidR="002F6514" w:rsidRPr="00D84DD4">
        <w:t>the</w:t>
      </w:r>
      <w:r w:rsidR="006F29C6" w:rsidRPr="00D84DD4">
        <w:t xml:space="preserve"> scheme</w:t>
      </w:r>
      <w:r w:rsidR="009F688A">
        <w:t>’</w:t>
      </w:r>
      <w:r w:rsidR="006F29C6" w:rsidRPr="00D84DD4">
        <w:t xml:space="preserve">s </w:t>
      </w:r>
      <w:r w:rsidRPr="00D84DD4">
        <w:t>monetary limits</w:t>
      </w:r>
      <w:r w:rsidR="00DA5B13" w:rsidRPr="00D84DD4">
        <w:t>. As a result, consumers</w:t>
      </w:r>
      <w:r w:rsidR="006F29C6" w:rsidRPr="00D84DD4">
        <w:t xml:space="preserve"> and </w:t>
      </w:r>
      <w:r w:rsidR="00DA5B13" w:rsidRPr="00D84DD4">
        <w:t>small business may either have</w:t>
      </w:r>
      <w:r w:rsidR="00D84DD4" w:rsidRPr="00D84DD4">
        <w:t>:</w:t>
      </w:r>
    </w:p>
    <w:p w:rsidR="00D84DD4" w:rsidRPr="00D84DD4" w:rsidRDefault="00DA5B13">
      <w:pPr>
        <w:pStyle w:val="Bullet"/>
      </w:pPr>
      <w:r w:rsidRPr="00D84DD4">
        <w:t>never lodged their dispute</w:t>
      </w:r>
      <w:r w:rsidR="00D84DD4" w:rsidRPr="00D84DD4">
        <w:t xml:space="preserve"> with an EDR scheme because the monetary value of their dispute was higher than the scheme</w:t>
      </w:r>
      <w:r w:rsidR="009F688A">
        <w:t>’</w:t>
      </w:r>
      <w:r w:rsidR="00D84DD4" w:rsidRPr="00D84DD4">
        <w:t>s monetary limits; or</w:t>
      </w:r>
    </w:p>
    <w:p w:rsidR="00803449" w:rsidRPr="00336A4A" w:rsidRDefault="00DA5B13">
      <w:pPr>
        <w:pStyle w:val="Bullet"/>
      </w:pPr>
      <w:r w:rsidRPr="00336A4A">
        <w:t xml:space="preserve">lodged their dispute but the </w:t>
      </w:r>
      <w:r w:rsidR="00D84DD4" w:rsidRPr="00336A4A">
        <w:t xml:space="preserve">EDR </w:t>
      </w:r>
      <w:r w:rsidRPr="00336A4A">
        <w:t xml:space="preserve">scheme refused to hear it as </w:t>
      </w:r>
      <w:r w:rsidR="00D84DD4" w:rsidRPr="00336A4A">
        <w:t>the monetary value of the dispute exceeded</w:t>
      </w:r>
      <w:r w:rsidRPr="00336A4A">
        <w:t xml:space="preserve"> the monetary limits.</w:t>
      </w:r>
      <w:r w:rsidR="0028032B">
        <w:rPr>
          <w:rStyle w:val="FootnoteReference"/>
        </w:rPr>
        <w:footnoteReference w:id="70"/>
      </w:r>
    </w:p>
    <w:p w:rsidR="00063E1A" w:rsidRPr="004A458D" w:rsidRDefault="00722112" w:rsidP="00253395">
      <w:pPr>
        <w:pStyle w:val="OutlineNumbered1"/>
      </w:pPr>
      <w:r w:rsidRPr="00336A4A">
        <w:t xml:space="preserve">In </w:t>
      </w:r>
      <w:r w:rsidR="00FD79A4" w:rsidRPr="00336A4A">
        <w:t xml:space="preserve">these </w:t>
      </w:r>
      <w:r w:rsidRPr="00336A4A">
        <w:t>circumstances</w:t>
      </w:r>
      <w:r w:rsidR="00FD79A4" w:rsidRPr="00336A4A">
        <w:t xml:space="preserve">, </w:t>
      </w:r>
      <w:r w:rsidRPr="00336A4A">
        <w:t>consumer</w:t>
      </w:r>
      <w:r w:rsidR="00FD79A4" w:rsidRPr="00336A4A">
        <w:t>s</w:t>
      </w:r>
      <w:r w:rsidRPr="00336A4A">
        <w:t xml:space="preserve"> </w:t>
      </w:r>
      <w:r w:rsidR="00FD79A4" w:rsidRPr="00336A4A">
        <w:t>are</w:t>
      </w:r>
      <w:r w:rsidRPr="00336A4A">
        <w:t xml:space="preserve"> unable to access EDR and</w:t>
      </w:r>
      <w:r w:rsidR="00DA07C6" w:rsidRPr="00336A4A">
        <w:t>,</w:t>
      </w:r>
      <w:r w:rsidRPr="00336A4A">
        <w:t xml:space="preserve"> </w:t>
      </w:r>
      <w:r w:rsidR="00FD79A4" w:rsidRPr="00336A4A">
        <w:t>other than t</w:t>
      </w:r>
      <w:r w:rsidR="00DA07C6" w:rsidRPr="00336A4A">
        <w:t>aking matters through the courts, have been</w:t>
      </w:r>
      <w:r w:rsidR="00FD79A4" w:rsidRPr="00336A4A">
        <w:t xml:space="preserve"> l</w:t>
      </w:r>
      <w:r w:rsidRPr="00336A4A">
        <w:t xml:space="preserve">eft with few other </w:t>
      </w:r>
      <w:r w:rsidR="00FD79A4" w:rsidRPr="00336A4A">
        <w:t>low cost</w:t>
      </w:r>
      <w:r w:rsidRPr="00336A4A">
        <w:t xml:space="preserve"> avenues</w:t>
      </w:r>
      <w:r w:rsidR="00DA07C6" w:rsidRPr="00336A4A">
        <w:t xml:space="preserve"> </w:t>
      </w:r>
      <w:r w:rsidR="0028032B">
        <w:t>through</w:t>
      </w:r>
      <w:r w:rsidR="0028032B" w:rsidRPr="00336A4A">
        <w:t xml:space="preserve"> </w:t>
      </w:r>
      <w:r w:rsidR="00DA07C6" w:rsidRPr="00336A4A">
        <w:t xml:space="preserve">which to seek </w:t>
      </w:r>
      <w:r w:rsidRPr="00336A4A">
        <w:t>redress.</w:t>
      </w:r>
    </w:p>
    <w:p w:rsidR="00102844" w:rsidRPr="00336A4A" w:rsidRDefault="00102844">
      <w:pPr>
        <w:pStyle w:val="Heading4"/>
      </w:pPr>
      <w:r w:rsidRPr="00336A4A">
        <w:t>Time limits</w:t>
      </w:r>
    </w:p>
    <w:p w:rsidR="003C5350" w:rsidRPr="00336A4A" w:rsidRDefault="00DA07C6">
      <w:pPr>
        <w:pStyle w:val="OutlineNumbered1"/>
      </w:pPr>
      <w:r w:rsidRPr="00336A4A">
        <w:t xml:space="preserve">If a consumer or small business did not bring their dispute to an EDR scheme for resolution within the </w:t>
      </w:r>
      <w:r w:rsidR="003C5350" w:rsidRPr="00336A4A">
        <w:t>scheme</w:t>
      </w:r>
      <w:r w:rsidR="009F688A">
        <w:t>’</w:t>
      </w:r>
      <w:r w:rsidR="003C5350" w:rsidRPr="00336A4A">
        <w:t xml:space="preserve">s </w:t>
      </w:r>
      <w:r w:rsidRPr="00336A4A">
        <w:t>pre</w:t>
      </w:r>
      <w:r w:rsidR="003C5350" w:rsidRPr="00336A4A">
        <w:t xml:space="preserve">scribed timeframe for lodgement of a dispute, this may mean that they </w:t>
      </w:r>
      <w:r w:rsidR="00724E20" w:rsidRPr="00336A4A">
        <w:t xml:space="preserve">are </w:t>
      </w:r>
      <w:r w:rsidR="00462AFB" w:rsidRPr="00336A4A">
        <w:t xml:space="preserve">later </w:t>
      </w:r>
      <w:r w:rsidR="00724E20" w:rsidRPr="00336A4A">
        <w:t xml:space="preserve">unable to </w:t>
      </w:r>
      <w:r w:rsidR="003C5350" w:rsidRPr="00336A4A">
        <w:t>access redress.</w:t>
      </w:r>
    </w:p>
    <w:p w:rsidR="00C20D27" w:rsidRPr="00336A4A" w:rsidRDefault="00102844">
      <w:pPr>
        <w:pStyle w:val="OutlineNumbered1"/>
      </w:pPr>
      <w:r w:rsidRPr="00336A4A">
        <w:t>Under the existing framework,</w:t>
      </w:r>
      <w:r w:rsidR="00FF7A80" w:rsidRPr="00336A4A">
        <w:t xml:space="preserve"> disputes can generally be heard </w:t>
      </w:r>
      <w:r w:rsidR="00784A0C" w:rsidRPr="00336A4A">
        <w:t>by an EDR scheme if</w:t>
      </w:r>
      <w:r w:rsidR="00FF7A80" w:rsidRPr="00336A4A">
        <w:t xml:space="preserve"> the dispute was lodged within </w:t>
      </w:r>
      <w:r w:rsidR="00A413DB">
        <w:t>six</w:t>
      </w:r>
      <w:r w:rsidR="00FF7A80" w:rsidRPr="00336A4A">
        <w:t xml:space="preserve"> years of when the consumer first became aware that they had suffered a loss or within two years of receiving an IDR response</w:t>
      </w:r>
      <w:r w:rsidR="00784A0C" w:rsidRPr="00336A4A">
        <w:t xml:space="preserve"> from</w:t>
      </w:r>
      <w:r w:rsidR="00DA07C6" w:rsidRPr="00336A4A">
        <w:t xml:space="preserve"> a financial</w:t>
      </w:r>
      <w:r w:rsidR="00784A0C" w:rsidRPr="00336A4A">
        <w:t xml:space="preserve"> firm.</w:t>
      </w:r>
    </w:p>
    <w:p w:rsidR="00FF7A80" w:rsidRDefault="00FF7A80">
      <w:pPr>
        <w:pStyle w:val="OutlineNumbered1"/>
      </w:pPr>
      <w:r w:rsidRPr="00666AC5">
        <w:t xml:space="preserve">EDR schemes may </w:t>
      </w:r>
      <w:r w:rsidRPr="00721716">
        <w:t xml:space="preserve">waive these time limits in exceptional circumstances or where member firms consent to a waiver. Other than </w:t>
      </w:r>
      <w:r w:rsidR="00AE1CA4">
        <w:t>for death benefit and t</w:t>
      </w:r>
      <w:r w:rsidRPr="00721716">
        <w:t xml:space="preserve">otal </w:t>
      </w:r>
      <w:r w:rsidR="00AE1CA4">
        <w:t>p</w:t>
      </w:r>
      <w:r w:rsidRPr="00721716">
        <w:t xml:space="preserve">ermanent </w:t>
      </w:r>
      <w:r w:rsidR="00AE1CA4">
        <w:t>d</w:t>
      </w:r>
      <w:r w:rsidRPr="00721716">
        <w:t>isability disputes</w:t>
      </w:r>
      <w:r w:rsidR="00666AC5" w:rsidRPr="00CA267D">
        <w:t>,</w:t>
      </w:r>
      <w:r w:rsidRPr="00721716">
        <w:t xml:space="preserve"> no limits apply to superannuation disputes.</w:t>
      </w:r>
    </w:p>
    <w:p w:rsidR="00803449" w:rsidRDefault="000125A8">
      <w:pPr>
        <w:pStyle w:val="Heading4"/>
      </w:pPr>
      <w:r>
        <w:t xml:space="preserve">Other </w:t>
      </w:r>
      <w:r w:rsidR="00D83016">
        <w:t>reasons</w:t>
      </w:r>
    </w:p>
    <w:p w:rsidR="00D44E66" w:rsidRPr="00695653" w:rsidRDefault="0048578C">
      <w:pPr>
        <w:pStyle w:val="OutlineNumbered1"/>
        <w:rPr>
          <w:b/>
        </w:rPr>
      </w:pPr>
      <w:r w:rsidRPr="00CA267D">
        <w:t xml:space="preserve">There may </w:t>
      </w:r>
      <w:r w:rsidR="003C5350">
        <w:t xml:space="preserve">be </w:t>
      </w:r>
      <w:r w:rsidRPr="00CA267D">
        <w:t xml:space="preserve">other </w:t>
      </w:r>
      <w:r w:rsidR="003C5350">
        <w:t xml:space="preserve">situations which create the </w:t>
      </w:r>
      <w:r w:rsidRPr="00CA267D">
        <w:t>circumstances where</w:t>
      </w:r>
      <w:r w:rsidR="003C5350">
        <w:t>by</w:t>
      </w:r>
      <w:r w:rsidRPr="00CA267D">
        <w:t xml:space="preserve"> a consumer or small business </w:t>
      </w:r>
      <w:r w:rsidR="003C5350">
        <w:t xml:space="preserve">does </w:t>
      </w:r>
      <w:r w:rsidRPr="00CA267D">
        <w:t xml:space="preserve">not bring their dispute to </w:t>
      </w:r>
      <w:r w:rsidRPr="007D5478">
        <w:t>an EDR scheme for resolution.</w:t>
      </w:r>
      <w:r w:rsidR="00D44E66">
        <w:t xml:space="preserve"> </w:t>
      </w:r>
      <w:r w:rsidR="00D20490">
        <w:t>For </w:t>
      </w:r>
      <w:r w:rsidR="00EA4885">
        <w:t>example, t</w:t>
      </w:r>
      <w:r w:rsidR="00D44E66" w:rsidRPr="00695653">
        <w:t xml:space="preserve">his category </w:t>
      </w:r>
      <w:r w:rsidR="00D44E66">
        <w:t>could</w:t>
      </w:r>
      <w:r w:rsidR="00D44E66" w:rsidRPr="00695653">
        <w:t xml:space="preserve"> also include disputes that were not pursued because of a lack of knowledge about the EDR process or the perceived complexity, difficulty or costs involved (dispute fatigue).</w:t>
      </w:r>
    </w:p>
    <w:p w:rsidR="00063E1A" w:rsidRPr="00B74176" w:rsidRDefault="0048578C" w:rsidP="00253395">
      <w:pPr>
        <w:pStyle w:val="OutlineNumbered1"/>
        <w:rPr>
          <w:b/>
        </w:rPr>
      </w:pPr>
      <w:r w:rsidRPr="00B74176">
        <w:t>The Panel</w:t>
      </w:r>
      <w:r w:rsidR="00E16EC6">
        <w:t>,</w:t>
      </w:r>
      <w:r w:rsidRPr="00B74176">
        <w:t xml:space="preserve"> t</w:t>
      </w:r>
      <w:r w:rsidR="00D83016" w:rsidRPr="00B74176">
        <w:t xml:space="preserve">hrough the course of its </w:t>
      </w:r>
      <w:r w:rsidR="0028032B">
        <w:t>research for its</w:t>
      </w:r>
      <w:r w:rsidR="00D83016" w:rsidRPr="00B74176">
        <w:t xml:space="preserve"> </w:t>
      </w:r>
      <w:r w:rsidRPr="00B74176">
        <w:t xml:space="preserve">Report </w:t>
      </w:r>
      <w:r w:rsidR="0028032B">
        <w:t>of 3 April 2017</w:t>
      </w:r>
      <w:r w:rsidR="00E16EC6">
        <w:t>,</w:t>
      </w:r>
      <w:r w:rsidR="0028032B">
        <w:t xml:space="preserve"> </w:t>
      </w:r>
      <w:r w:rsidR="00D83016" w:rsidRPr="00B74176">
        <w:t xml:space="preserve">heard directly from individuals and groups who had </w:t>
      </w:r>
      <w:r w:rsidRPr="00B74176">
        <w:t>suffered severe financial loss</w:t>
      </w:r>
      <w:r w:rsidR="003C5350">
        <w:t>, resulting in</w:t>
      </w:r>
      <w:r w:rsidRPr="00B74176">
        <w:t xml:space="preserve"> serious </w:t>
      </w:r>
      <w:r w:rsidR="00B93E7F">
        <w:t>impacts on their lives</w:t>
      </w:r>
      <w:r w:rsidRPr="00B74176">
        <w:t>.</w:t>
      </w:r>
      <w:r w:rsidR="00D83016" w:rsidRPr="00B74176">
        <w:t xml:space="preserve"> </w:t>
      </w:r>
      <w:r w:rsidR="00063E1A" w:rsidRPr="00B74176">
        <w:t xml:space="preserve">In many cases participants advised the Panel that having to take a matter through a claims process </w:t>
      </w:r>
      <w:r w:rsidR="00063E1A">
        <w:t xml:space="preserve">could potentially add to the </w:t>
      </w:r>
      <w:r w:rsidR="00063E1A" w:rsidRPr="00B74176">
        <w:t>traumatic</w:t>
      </w:r>
      <w:r w:rsidR="00063E1A">
        <w:t xml:space="preserve"> experiences associated with the dispute</w:t>
      </w:r>
      <w:r w:rsidR="00063E1A" w:rsidRPr="00B74176">
        <w:t>.</w:t>
      </w:r>
    </w:p>
    <w:p w:rsidR="00D20490" w:rsidRPr="00D20490" w:rsidRDefault="00D20490" w:rsidP="005430C6">
      <w:r w:rsidRPr="00D20490">
        <w:br w:type="page"/>
      </w:r>
    </w:p>
    <w:p w:rsidR="007218EA" w:rsidRPr="001A13E8" w:rsidRDefault="007218EA" w:rsidP="00253395">
      <w:pPr>
        <w:pStyle w:val="OutlineNumbered1"/>
        <w:rPr>
          <w:b/>
        </w:rPr>
      </w:pPr>
      <w:r w:rsidRPr="00CA267D">
        <w:t xml:space="preserve">In some cases the Panel was told that </w:t>
      </w:r>
      <w:r>
        <w:t xml:space="preserve">consumers </w:t>
      </w:r>
      <w:r w:rsidRPr="00CA267D">
        <w:t xml:space="preserve">were unable to take action </w:t>
      </w:r>
      <w:r>
        <w:t xml:space="preserve">because </w:t>
      </w:r>
      <w:r w:rsidRPr="00CA267D">
        <w:t>the</w:t>
      </w:r>
      <w:r w:rsidRPr="00B74176">
        <w:t xml:space="preserve"> circumstances of </w:t>
      </w:r>
      <w:r w:rsidRPr="00CA267D">
        <w:t>the</w:t>
      </w:r>
      <w:r>
        <w:t>ir</w:t>
      </w:r>
      <w:r w:rsidRPr="00CA267D">
        <w:t xml:space="preserve"> loss</w:t>
      </w:r>
      <w:r>
        <w:t>es</w:t>
      </w:r>
      <w:r w:rsidRPr="00CA267D">
        <w:t xml:space="preserve"> were unclear</w:t>
      </w:r>
      <w:r>
        <w:t xml:space="preserve"> or because the complexity of the issues meant that they were unable to pursue a dispute without professional assistance, which may have been unaffordable</w:t>
      </w:r>
      <w:r w:rsidRPr="00984011">
        <w:t>.</w:t>
      </w:r>
      <w:r w:rsidRPr="00EA4885">
        <w:t xml:space="preserve"> Complicating </w:t>
      </w:r>
      <w:r w:rsidRPr="00CA267D">
        <w:t>this</w:t>
      </w:r>
      <w:r w:rsidRPr="00EA4885">
        <w:t xml:space="preserve"> further were cases of incomplete or missing documentation </w:t>
      </w:r>
      <w:r w:rsidRPr="00CA267D">
        <w:t>that</w:t>
      </w:r>
      <w:r w:rsidRPr="00EA4885">
        <w:t xml:space="preserve"> </w:t>
      </w:r>
      <w:r w:rsidRPr="00CA267D">
        <w:t xml:space="preserve">had </w:t>
      </w:r>
      <w:r w:rsidRPr="00EA4885">
        <w:t xml:space="preserve">made it </w:t>
      </w:r>
      <w:r w:rsidRPr="00CA267D">
        <w:t xml:space="preserve">even </w:t>
      </w:r>
      <w:r w:rsidRPr="00EA4885">
        <w:t>harder for consumer</w:t>
      </w:r>
      <w:r w:rsidRPr="00CA267D">
        <w:t>s</w:t>
      </w:r>
      <w:r w:rsidRPr="00EA4885">
        <w:t xml:space="preserve"> to progress their claim.</w:t>
      </w:r>
    </w:p>
    <w:p w:rsidR="001A13E8" w:rsidRPr="00EC4B12" w:rsidRDefault="001A13E8" w:rsidP="005430C6">
      <w:pPr>
        <w:pStyle w:val="Heading4"/>
      </w:pPr>
      <w:r w:rsidRPr="00EC4B12">
        <w:t>Circumstances preventing access to redress may arise in the future</w:t>
      </w:r>
    </w:p>
    <w:p w:rsidR="00063E1A" w:rsidRPr="00EC4B12" w:rsidRDefault="001A13E8">
      <w:pPr>
        <w:pStyle w:val="OutlineNumbered1"/>
      </w:pPr>
      <w:r w:rsidRPr="00EC4B12">
        <w:t xml:space="preserve">The Panel notes that </w:t>
      </w:r>
      <w:r w:rsidR="00CD5888" w:rsidRPr="00EC4B12">
        <w:t>situations preventing access to redress</w:t>
      </w:r>
      <w:r w:rsidRPr="00EC4B12">
        <w:t xml:space="preserve"> may continue to arise in the future, so although the Panel’s </w:t>
      </w:r>
      <w:r w:rsidR="007A1B92" w:rsidRPr="00EC4B12">
        <w:t>T</w:t>
      </w:r>
      <w:r w:rsidRPr="00EC4B12">
        <w:t xml:space="preserve">erms of </w:t>
      </w:r>
      <w:r w:rsidR="007A1B92" w:rsidRPr="00EC4B12">
        <w:t>R</w:t>
      </w:r>
      <w:r w:rsidRPr="00EC4B12">
        <w:t>eference focus on access to redress for past disputes, it may be necessary to co</w:t>
      </w:r>
      <w:r w:rsidR="00BE1B5B" w:rsidRPr="00EC4B12">
        <w:t>nsider how to address some of the circumstances that prevent access to redress in relation to future disputes.</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0E1ADC" w:rsidTr="005430C6">
        <w:tc>
          <w:tcPr>
            <w:tcW w:w="9072" w:type="dxa"/>
          </w:tcPr>
          <w:p w:rsidR="000E1ADC" w:rsidRPr="00052286" w:rsidRDefault="000E1ADC" w:rsidP="002F36F1">
            <w:pPr>
              <w:pStyle w:val="BoxHeading"/>
            </w:pPr>
            <w:r w:rsidRPr="002F36F1">
              <w:t>Question</w:t>
            </w:r>
            <w:r>
              <w:t xml:space="preserve"> </w:t>
            </w:r>
            <w:r w:rsidR="005870C8">
              <w:t>— C</w:t>
            </w:r>
            <w:r w:rsidR="00A413DB">
              <w:t>ircumstances which have prevented access to redress</w:t>
            </w:r>
          </w:p>
          <w:p w:rsidR="00052B5A" w:rsidRDefault="00D83016" w:rsidP="00993864">
            <w:pPr>
              <w:pStyle w:val="BoxNumberedQuestions"/>
            </w:pPr>
            <w:r w:rsidRPr="002A0644">
              <w:t xml:space="preserve">Other than </w:t>
            </w:r>
            <w:r>
              <w:t>circumstances</w:t>
            </w:r>
            <w:r w:rsidRPr="002A0644">
              <w:t xml:space="preserve"> that </w:t>
            </w:r>
            <w:r>
              <w:t xml:space="preserve">may </w:t>
            </w:r>
            <w:r w:rsidRPr="002A0644">
              <w:t>be covered by a compensation scheme of last resort (such as outstanding unpaid determinations), what kinds of circumstances have given rise to past disputes for which there has not been redress?</w:t>
            </w:r>
            <w:r>
              <w:t xml:space="preserve"> Are there any other classes besides those identified by the Panel?</w:t>
            </w:r>
          </w:p>
          <w:p w:rsidR="00052B5A" w:rsidRPr="002F36F1" w:rsidRDefault="00735E39" w:rsidP="00735E39">
            <w:pPr>
              <w:pStyle w:val="BoxNumberedQuestions"/>
            </w:pPr>
            <w:r w:rsidRPr="00EC4B12">
              <w:t>What</w:t>
            </w:r>
            <w:r w:rsidR="0028032B" w:rsidRPr="00EC4B12">
              <w:t xml:space="preserve"> evidence</w:t>
            </w:r>
            <w:r w:rsidRPr="00EC4B12">
              <w:t xml:space="preserve"> is there about the extent to which</w:t>
            </w:r>
            <w:r w:rsidR="0028032B" w:rsidRPr="00EC4B12">
              <w:t xml:space="preserve"> lack of access to redress for past disputes is a major problem?</w:t>
            </w:r>
          </w:p>
        </w:tc>
      </w:tr>
    </w:tbl>
    <w:p w:rsidR="00BD4B39" w:rsidRDefault="00BD4B39" w:rsidP="00253395">
      <w:pPr>
        <w:pStyle w:val="SingleParagraph"/>
      </w:pPr>
    </w:p>
    <w:p w:rsidR="00220672" w:rsidRPr="00F619F3" w:rsidRDefault="009B01ED" w:rsidP="005430C6">
      <w:pPr>
        <w:pStyle w:val="Heading2"/>
      </w:pPr>
      <w:bookmarkStart w:id="183" w:name="_Toc483398640"/>
      <w:bookmarkStart w:id="184" w:name="_Toc483485327"/>
      <w:bookmarkStart w:id="185" w:name="_Toc483988915"/>
      <w:r>
        <w:t>A</w:t>
      </w:r>
      <w:r w:rsidR="00220672" w:rsidRPr="00F619F3">
        <w:t xml:space="preserve">pproaches to </w:t>
      </w:r>
      <w:r w:rsidR="00340AE1">
        <w:t xml:space="preserve">providing access to </w:t>
      </w:r>
      <w:r w:rsidR="00220672" w:rsidRPr="00F619F3">
        <w:t>redress</w:t>
      </w:r>
      <w:r w:rsidR="00220672">
        <w:t xml:space="preserve"> </w:t>
      </w:r>
      <w:r w:rsidR="00DF05EC">
        <w:t>for past matters</w:t>
      </w:r>
      <w:bookmarkEnd w:id="183"/>
      <w:bookmarkEnd w:id="184"/>
      <w:bookmarkEnd w:id="185"/>
    </w:p>
    <w:p w:rsidR="007054C8" w:rsidRDefault="007054C8">
      <w:pPr>
        <w:pStyle w:val="OutlineNumbered1"/>
      </w:pPr>
      <w:r>
        <w:t xml:space="preserve">The </w:t>
      </w:r>
      <w:r w:rsidR="007C1CBD">
        <w:t>problem</w:t>
      </w:r>
      <w:r>
        <w:t xml:space="preserve"> of how to provide redress for past matters arises in a number of policy areas</w:t>
      </w:r>
      <w:r w:rsidR="00B25D4A">
        <w:t>. S</w:t>
      </w:r>
      <w:r>
        <w:t>ome relate to the activities of government</w:t>
      </w:r>
      <w:r w:rsidR="00B25D4A">
        <w:t>; in other cases, g</w:t>
      </w:r>
      <w:r>
        <w:t>overnments assume responsibility for compensation although there is no legal liability to do so.</w:t>
      </w:r>
    </w:p>
    <w:p w:rsidR="00E963F5" w:rsidRDefault="00E963F5">
      <w:pPr>
        <w:pStyle w:val="OutlineNumbered1"/>
      </w:pPr>
      <w:r>
        <w:t xml:space="preserve">Commonwealth and state and territory governments use a variety of mechanisms to provide discretionary payments in particular circumstances, including ex gratia </w:t>
      </w:r>
      <w:r w:rsidR="00D97EA5">
        <w:t>and act of grace</w:t>
      </w:r>
      <w:r>
        <w:t xml:space="preserve"> payments and statutory</w:t>
      </w:r>
      <w:r w:rsidR="000C3BAE">
        <w:t xml:space="preserve"> redress schemes</w:t>
      </w:r>
      <w:r>
        <w:t>.</w:t>
      </w:r>
      <w:r w:rsidR="007C6B98">
        <w:rPr>
          <w:rStyle w:val="FootnoteReference"/>
        </w:rPr>
        <w:footnoteReference w:id="71"/>
      </w:r>
      <w:r w:rsidRPr="00E963F5">
        <w:t xml:space="preserve"> </w:t>
      </w:r>
      <w:r w:rsidRPr="00EB330C">
        <w:t>Th</w:t>
      </w:r>
      <w:r>
        <w:t>e range of mechanisms allows governments to offer the most appropriate compensation remedy to suit the individual circumstance.</w:t>
      </w:r>
    </w:p>
    <w:p w:rsidR="00D22E26" w:rsidRDefault="00D22E26">
      <w:pPr>
        <w:pStyle w:val="OutlineNumbered1"/>
      </w:pPr>
      <w:r>
        <w:t>However, given funding constraints, whatever mechanism is employed, it may be considered inequitable by some consumers and small businesses, unless all past disputes are able to be compensated.</w:t>
      </w:r>
    </w:p>
    <w:p w:rsidR="00182B29" w:rsidRDefault="00182B29">
      <w:pPr>
        <w:widowControl/>
        <w:adjustRightInd/>
        <w:spacing w:after="0" w:line="240" w:lineRule="auto"/>
        <w:jc w:val="left"/>
        <w:textAlignment w:val="auto"/>
        <w:rPr>
          <w:rFonts w:ascii="Century Gothic" w:hAnsi="Century Gothic"/>
          <w:b/>
          <w:bCs/>
          <w:color w:val="1F497D" w:themeColor="text2"/>
          <w:szCs w:val="22"/>
        </w:rPr>
      </w:pPr>
      <w:r>
        <w:br w:type="page"/>
      </w:r>
    </w:p>
    <w:p w:rsidR="005C046A" w:rsidRDefault="00E3795F">
      <w:pPr>
        <w:pStyle w:val="Heading4"/>
      </w:pPr>
      <w:r>
        <w:t>Ex gratia payments</w:t>
      </w:r>
    </w:p>
    <w:p w:rsidR="00B25D4A" w:rsidRDefault="00DC2286">
      <w:pPr>
        <w:pStyle w:val="OutlineNumbered1"/>
      </w:pPr>
      <w:r>
        <w:t>There are a range of circumstances in which the Australian Government makes ex</w:t>
      </w:r>
      <w:r w:rsidR="00DB6B06">
        <w:t> </w:t>
      </w:r>
      <w:r>
        <w:t>gratia payments. T</w:t>
      </w:r>
      <w:r w:rsidR="00B25D4A">
        <w:t>he Australian National Audit Office notes that:</w:t>
      </w:r>
    </w:p>
    <w:p w:rsidR="00B25D4A" w:rsidRPr="00182B29" w:rsidRDefault="00DB6B06" w:rsidP="00253395">
      <w:pPr>
        <w:pStyle w:val="Quote"/>
      </w:pPr>
      <w:r w:rsidRPr="00182B29">
        <w:t>‘</w:t>
      </w:r>
      <w:r w:rsidR="00B25D4A" w:rsidRPr="00182B29">
        <w:t>Ex gratia payments are made, usually</w:t>
      </w:r>
      <w:r w:rsidR="008F2A3A" w:rsidRPr="00182B29">
        <w:t>,</w:t>
      </w:r>
      <w:r w:rsidR="00B25D4A" w:rsidRPr="00182B29">
        <w:t xml:space="preserve"> to restore equity to a group of persons, irrespective of whether the Commonwealth has any direct moral responsibility for the losses the group </w:t>
      </w:r>
      <w:r w:rsidR="008F2A3A" w:rsidRPr="00182B29">
        <w:t xml:space="preserve">has </w:t>
      </w:r>
      <w:r w:rsidR="00B25D4A" w:rsidRPr="00182B29">
        <w:t>sustained</w:t>
      </w:r>
      <w:r w:rsidR="008F2A3A" w:rsidRPr="00182B29">
        <w:t>. (T</w:t>
      </w:r>
      <w:r w:rsidR="00B25D4A" w:rsidRPr="00182B29">
        <w:t>he provision of relief for the effects of flood and drought are examples of this type of assistance). On the other hand, act of grace payments ar</w:t>
      </w:r>
      <w:r w:rsidR="00331070" w:rsidRPr="00182B29">
        <w:t>e made, usually</w:t>
      </w:r>
      <w:r w:rsidR="008F2A3A" w:rsidRPr="00182B29">
        <w:t>,</w:t>
      </w:r>
      <w:r w:rsidR="00331070" w:rsidRPr="00182B29">
        <w:t xml:space="preserve"> to effectively </w:t>
      </w:r>
      <w:r w:rsidR="00B25D4A" w:rsidRPr="00182B29">
        <w:t>compensate individuals, in special cir</w:t>
      </w:r>
      <w:r w:rsidR="00331070" w:rsidRPr="00182B29">
        <w:t>cumstances, where the decision</w:t>
      </w:r>
      <w:r w:rsidR="009F688A" w:rsidRPr="00182B29">
        <w:noBreakHyphen/>
      </w:r>
      <w:r w:rsidR="00B25D4A" w:rsidRPr="00182B29">
        <w:t>maker determines that the Commonwealth has a direct moral responsibility to provide recompense.</w:t>
      </w:r>
      <w:r w:rsidRPr="00182B29">
        <w:t>’</w:t>
      </w:r>
      <w:r w:rsidR="00F6197B" w:rsidRPr="00182B29">
        <w:rPr>
          <w:rStyle w:val="FootnoteReference"/>
        </w:rPr>
        <w:footnoteReference w:id="72"/>
      </w:r>
    </w:p>
    <w:p w:rsidR="007C6B98" w:rsidRDefault="00E963F5">
      <w:pPr>
        <w:pStyle w:val="OutlineNumbered1"/>
      </w:pPr>
      <w:r>
        <w:t xml:space="preserve">The authority for Commonwealth ex gratia payments comes from the </w:t>
      </w:r>
      <w:r w:rsidDel="0086095C">
        <w:t>Executive</w:t>
      </w:r>
      <w:r w:rsidR="0086095C">
        <w:t> </w:t>
      </w:r>
      <w:r>
        <w:t xml:space="preserve">Power under section 61 of the Constitution. </w:t>
      </w:r>
      <w:r w:rsidR="00FC1C53">
        <w:t>An</w:t>
      </w:r>
      <w:r>
        <w:t xml:space="preserve"> ex gratia </w:t>
      </w:r>
      <w:r w:rsidR="00FC1C53">
        <w:t xml:space="preserve">payment </w:t>
      </w:r>
      <w:r>
        <w:t>can deliver financial relief quickly and at short notice. Approval for ex gratia payments is sought from the Prime Minister and/or Cabinet and the Finance Minister after all other possible alternative avenues for redress have been explored.</w:t>
      </w:r>
      <w:r>
        <w:rPr>
          <w:rStyle w:val="FootnoteReference"/>
        </w:rPr>
        <w:footnoteReference w:id="73"/>
      </w:r>
    </w:p>
    <w:p w:rsidR="00E963F5" w:rsidRDefault="007C6B98">
      <w:pPr>
        <w:pStyle w:val="OutlineNumbered1"/>
      </w:pPr>
      <w:r>
        <w:t>States and territories also provide ex gratia payments. In some cases specific legislation provides for such payments; in others payments are made in reliance on the inherent executive power to make such payments.</w:t>
      </w:r>
      <w:r>
        <w:rPr>
          <w:rStyle w:val="FootnoteReference"/>
        </w:rPr>
        <w:footnoteReference w:id="74"/>
      </w:r>
    </w:p>
    <w:p w:rsidR="00E3795F" w:rsidRDefault="00E3795F">
      <w:pPr>
        <w:pStyle w:val="Heading4"/>
      </w:pPr>
      <w:r>
        <w:t>Examples of schemes in other sectors</w:t>
      </w:r>
    </w:p>
    <w:p w:rsidR="00D535EA" w:rsidRDefault="005B5BC0">
      <w:pPr>
        <w:pStyle w:val="OutlineNumbered1"/>
      </w:pPr>
      <w:r>
        <w:t>Some examples of schemes in other sectors which have been</w:t>
      </w:r>
      <w:r w:rsidR="0036552C">
        <w:t xml:space="preserve"> (or are proposed to be)</w:t>
      </w:r>
      <w:r>
        <w:t xml:space="preserve"> established to provide redress </w:t>
      </w:r>
      <w:r w:rsidR="00922431" w:rsidRPr="00922431">
        <w:t>for past matters</w:t>
      </w:r>
      <w:r>
        <w:t xml:space="preserve"> </w:t>
      </w:r>
      <w:r w:rsidR="0007510C">
        <w:t>include:</w:t>
      </w:r>
    </w:p>
    <w:p w:rsidR="00E3795F" w:rsidRPr="00044A55" w:rsidRDefault="00E3795F">
      <w:pPr>
        <w:pStyle w:val="Bullet"/>
      </w:pPr>
      <w:r>
        <w:t>t</w:t>
      </w:r>
      <w:r w:rsidRPr="00044A55">
        <w:t>he Asbestos Injuries Compensation Fund (</w:t>
      </w:r>
      <w:r>
        <w:t xml:space="preserve">also known as the </w:t>
      </w:r>
      <w:r w:rsidR="009F688A">
        <w:t>‘</w:t>
      </w:r>
      <w:r w:rsidRPr="00044A55">
        <w:t xml:space="preserve">James Hardie </w:t>
      </w:r>
      <w:r w:rsidR="002B2846">
        <w:t>f</w:t>
      </w:r>
      <w:r w:rsidRPr="00044A55">
        <w:t>und</w:t>
      </w:r>
      <w:r w:rsidR="009F688A">
        <w:t>’</w:t>
      </w:r>
      <w:r w:rsidRPr="00044A55">
        <w:t>)</w:t>
      </w:r>
      <w:r>
        <w:t>;</w:t>
      </w:r>
    </w:p>
    <w:p w:rsidR="00E3795F" w:rsidRPr="00AB62E7" w:rsidRDefault="00E3795F">
      <w:pPr>
        <w:pStyle w:val="Bullet"/>
      </w:pPr>
      <w:r>
        <w:t xml:space="preserve">the </w:t>
      </w:r>
      <w:r w:rsidRPr="0036552C">
        <w:t xml:space="preserve">redress scheme </w:t>
      </w:r>
      <w:r w:rsidR="007C2F02">
        <w:t>being</w:t>
      </w:r>
      <w:r w:rsidR="00761672">
        <w:t xml:space="preserve"> delivered in response to </w:t>
      </w:r>
      <w:r>
        <w:t xml:space="preserve">the </w:t>
      </w:r>
      <w:r w:rsidRPr="0036552C">
        <w:t>Royal Commission into Institutional Responses to Child Sexual Abuse</w:t>
      </w:r>
      <w:r>
        <w:t>;</w:t>
      </w:r>
    </w:p>
    <w:p w:rsidR="005A15D1" w:rsidRPr="00AB62E7" w:rsidRDefault="005A15D1">
      <w:pPr>
        <w:pStyle w:val="Bullet"/>
      </w:pPr>
      <w:r w:rsidRPr="005A15D1">
        <w:t>the Aboriginal Trust Fund Repayment Scheme</w:t>
      </w:r>
      <w:r>
        <w:t>, established by the</w:t>
      </w:r>
      <w:r w:rsidRPr="005A15D1">
        <w:t xml:space="preserve"> N</w:t>
      </w:r>
      <w:r w:rsidR="00DB6B06">
        <w:t>ew </w:t>
      </w:r>
      <w:r>
        <w:t>South</w:t>
      </w:r>
      <w:r w:rsidR="00DB6B06">
        <w:t> </w:t>
      </w:r>
      <w:r>
        <w:t>Wales</w:t>
      </w:r>
      <w:r w:rsidRPr="005A15D1">
        <w:t xml:space="preserve"> Government</w:t>
      </w:r>
      <w:r w:rsidR="00AB62E7">
        <w:t>;</w:t>
      </w:r>
    </w:p>
    <w:p w:rsidR="00182B29" w:rsidRDefault="00182B29">
      <w:pPr>
        <w:widowControl/>
        <w:adjustRightInd/>
        <w:spacing w:after="0" w:line="240" w:lineRule="auto"/>
        <w:jc w:val="left"/>
        <w:textAlignment w:val="auto"/>
      </w:pPr>
      <w:r>
        <w:br w:type="page"/>
      </w:r>
    </w:p>
    <w:p w:rsidR="008C4512" w:rsidRPr="0036552C" w:rsidRDefault="00AB62E7">
      <w:pPr>
        <w:pStyle w:val="Bullet"/>
      </w:pPr>
      <w:r w:rsidRPr="00AB62E7">
        <w:t>t</w:t>
      </w:r>
      <w:r w:rsidR="008C4512" w:rsidRPr="00AB62E7">
        <w:t xml:space="preserve">he </w:t>
      </w:r>
      <w:r w:rsidR="008C4512" w:rsidRPr="00AB62E7">
        <w:rPr>
          <w:szCs w:val="22"/>
        </w:rPr>
        <w:t>Forde Fo</w:t>
      </w:r>
      <w:r w:rsidRPr="00AB62E7">
        <w:rPr>
          <w:szCs w:val="22"/>
        </w:rPr>
        <w:t>u</w:t>
      </w:r>
      <w:r w:rsidR="008C4512" w:rsidRPr="00AB62E7">
        <w:rPr>
          <w:szCs w:val="22"/>
        </w:rPr>
        <w:t>ndation</w:t>
      </w:r>
      <w:r w:rsidRPr="00AB62E7">
        <w:rPr>
          <w:szCs w:val="22"/>
        </w:rPr>
        <w:t>,</w:t>
      </w:r>
      <w:r w:rsidR="00220672" w:rsidRPr="00AB62E7">
        <w:t xml:space="preserve"> established in response to the </w:t>
      </w:r>
      <w:r w:rsidR="008C4512" w:rsidRPr="00C81F56">
        <w:rPr>
          <w:lang w:val="en"/>
        </w:rPr>
        <w:t>Commission of Inquiry into Abuse of Children in Queensland Institutions</w:t>
      </w:r>
      <w:r w:rsidRPr="00C81F56">
        <w:rPr>
          <w:szCs w:val="22"/>
          <w:lang w:val="en"/>
        </w:rPr>
        <w:t>;</w:t>
      </w:r>
      <w:r w:rsidR="00E3795F">
        <w:rPr>
          <w:color w:val="333333"/>
          <w:szCs w:val="22"/>
          <w:lang w:val="en"/>
        </w:rPr>
        <w:t xml:space="preserve"> </w:t>
      </w:r>
      <w:r w:rsidR="00E3795F" w:rsidRPr="00DB6B06">
        <w:rPr>
          <w:color w:val="000000" w:themeColor="text1"/>
          <w:szCs w:val="22"/>
          <w:lang w:val="en"/>
        </w:rPr>
        <w:t>and</w:t>
      </w:r>
    </w:p>
    <w:p w:rsidR="002E3111" w:rsidRPr="00940320" w:rsidRDefault="00940320">
      <w:pPr>
        <w:pStyle w:val="Bullet"/>
      </w:pPr>
      <w:r>
        <w:t>r</w:t>
      </w:r>
      <w:r w:rsidRPr="00940320">
        <w:t xml:space="preserve">eparation schemes for the </w:t>
      </w:r>
      <w:r w:rsidR="00F619F3" w:rsidRPr="00940320">
        <w:t>Stolen Generation</w:t>
      </w:r>
      <w:r w:rsidRPr="00940320">
        <w:t>s</w:t>
      </w:r>
      <w:r>
        <w:t>, which operate (or have been announced) in Tasmania, South Australia and New South Wales.</w:t>
      </w:r>
    </w:p>
    <w:p w:rsidR="00220672" w:rsidRPr="00DF05EC" w:rsidRDefault="00F619F3">
      <w:pPr>
        <w:pStyle w:val="OutlineNumbered1"/>
      </w:pPr>
      <w:r w:rsidRPr="00DF05EC">
        <w:t>While some of these approaches</w:t>
      </w:r>
      <w:r w:rsidR="00044A55" w:rsidRPr="00DF05EC">
        <w:t xml:space="preserve"> have</w:t>
      </w:r>
      <w:r w:rsidRPr="00DF05EC">
        <w:t xml:space="preserve"> </w:t>
      </w:r>
      <w:r w:rsidR="00D535EA" w:rsidRPr="00DF05EC">
        <w:t xml:space="preserve">typically focused </w:t>
      </w:r>
      <w:r w:rsidRPr="00DF05EC">
        <w:t xml:space="preserve">on redress for past wrongs rather than necessarily past disputes, they may possess features </w:t>
      </w:r>
      <w:r w:rsidR="00940320">
        <w:t>worthy of consideration</w:t>
      </w:r>
      <w:r w:rsidR="00D535EA" w:rsidRPr="00DF05EC">
        <w:t xml:space="preserve"> in the context of providing redress for past disputes</w:t>
      </w:r>
      <w:r w:rsidR="00940320">
        <w:t xml:space="preserve"> in the financial system</w:t>
      </w:r>
      <w:r w:rsidRPr="00DF05EC">
        <w:t xml:space="preserve">. Further </w:t>
      </w:r>
      <w:r w:rsidR="00B57C1D">
        <w:t>background</w:t>
      </w:r>
      <w:r w:rsidRPr="00DF05EC">
        <w:t xml:space="preserve"> on </w:t>
      </w:r>
      <w:r w:rsidRPr="00DF05EC">
        <w:rPr>
          <w:lang w:val="en-US"/>
        </w:rPr>
        <w:t>these</w:t>
      </w:r>
      <w:r w:rsidRPr="00DF05EC">
        <w:t xml:space="preserve"> schemes can be found in </w:t>
      </w:r>
      <w:r w:rsidRPr="00787FDC">
        <w:t xml:space="preserve">Appendix </w:t>
      </w:r>
      <w:r w:rsidR="009D0279" w:rsidRPr="00787FDC">
        <w:t>B</w:t>
      </w:r>
      <w:r w:rsidRPr="00787FDC">
        <w:t>.</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4D6898" w:rsidTr="005430C6">
        <w:tc>
          <w:tcPr>
            <w:tcW w:w="9072" w:type="dxa"/>
          </w:tcPr>
          <w:p w:rsidR="004D6898" w:rsidRPr="00052286" w:rsidRDefault="004D6898" w:rsidP="00BA2362">
            <w:pPr>
              <w:pStyle w:val="BoxHeading"/>
            </w:pPr>
            <w:r>
              <w:t>Q</w:t>
            </w:r>
            <w:r w:rsidRPr="00696035">
              <w:t>uestion</w:t>
            </w:r>
            <w:r>
              <w:t xml:space="preserve"> </w:t>
            </w:r>
            <w:r w:rsidR="005870C8">
              <w:t>— A</w:t>
            </w:r>
            <w:r w:rsidR="005870C8" w:rsidRPr="00F619F3">
              <w:t xml:space="preserve">pproaches to </w:t>
            </w:r>
            <w:r w:rsidR="005870C8">
              <w:t xml:space="preserve">providing access to </w:t>
            </w:r>
            <w:r w:rsidR="005870C8" w:rsidRPr="00F619F3">
              <w:t>redress</w:t>
            </w:r>
            <w:r w:rsidR="005870C8">
              <w:t xml:space="preserve"> for past matter</w:t>
            </w:r>
            <w:r w:rsidR="000B4C5D">
              <w:t>s</w:t>
            </w:r>
          </w:p>
          <w:p w:rsidR="004D6898" w:rsidRDefault="00BB1794" w:rsidP="00993864">
            <w:pPr>
              <w:pStyle w:val="BoxNumberedQuestions"/>
            </w:pPr>
            <w:r>
              <w:t>Wh</w:t>
            </w:r>
            <w:r w:rsidR="00DA5D8C">
              <w:t xml:space="preserve">ich features </w:t>
            </w:r>
            <w:r>
              <w:t xml:space="preserve">of </w:t>
            </w:r>
            <w:r w:rsidR="00DA5D8C">
              <w:t>other</w:t>
            </w:r>
            <w:r>
              <w:t xml:space="preserve"> </w:t>
            </w:r>
            <w:r w:rsidR="00240996">
              <w:t>approaches</w:t>
            </w:r>
            <w:r w:rsidR="004D6898" w:rsidRPr="003B03CE">
              <w:t xml:space="preserve"> established to resolve </w:t>
            </w:r>
            <w:r w:rsidR="001A4478">
              <w:t>past</w:t>
            </w:r>
            <w:r w:rsidR="001A4478" w:rsidRPr="003B03CE">
              <w:t xml:space="preserve"> </w:t>
            </w:r>
            <w:r w:rsidR="004D6898" w:rsidRPr="003B03CE">
              <w:t>disputes outside of the courts</w:t>
            </w:r>
            <w:r>
              <w:t xml:space="preserve"> (whether initiated by industry or government</w:t>
            </w:r>
            <w:r w:rsidRPr="002A0644">
              <w:t>)</w:t>
            </w:r>
            <w:r w:rsidR="00220672" w:rsidRPr="002A0644">
              <w:t xml:space="preserve"> might provide useful models when considering options for providing </w:t>
            </w:r>
            <w:r w:rsidR="002A0644" w:rsidRPr="002A0644">
              <w:t>access to redress for past disputes in the financial system</w:t>
            </w:r>
            <w:r w:rsidR="004D6898" w:rsidRPr="002A0644">
              <w:t>?</w:t>
            </w:r>
          </w:p>
        </w:tc>
      </w:tr>
    </w:tbl>
    <w:p w:rsidR="004D6898" w:rsidRDefault="004D6898" w:rsidP="00314B3F">
      <w:pPr>
        <w:pStyle w:val="SingleParagraph"/>
        <w:rPr>
          <w:lang w:val="en-US"/>
        </w:rPr>
      </w:pPr>
    </w:p>
    <w:p w:rsidR="004D6898" w:rsidRDefault="00531287" w:rsidP="002B3889">
      <w:pPr>
        <w:pStyle w:val="Heading2"/>
      </w:pPr>
      <w:bookmarkStart w:id="186" w:name="_Toc483988916"/>
      <w:r>
        <w:t>Evaluation of</w:t>
      </w:r>
      <w:r w:rsidR="004D6898">
        <w:t xml:space="preserve"> </w:t>
      </w:r>
      <w:r w:rsidR="00240996">
        <w:t xml:space="preserve">providing </w:t>
      </w:r>
      <w:r w:rsidR="001A4478">
        <w:t xml:space="preserve">access to </w:t>
      </w:r>
      <w:r w:rsidR="00240996">
        <w:t xml:space="preserve">redress for </w:t>
      </w:r>
      <w:r w:rsidR="004D6898">
        <w:t>past disputes</w:t>
      </w:r>
      <w:bookmarkEnd w:id="186"/>
    </w:p>
    <w:p w:rsidR="00F826D0" w:rsidRPr="00056AAC" w:rsidRDefault="00331070" w:rsidP="002B3889">
      <w:pPr>
        <w:pStyle w:val="Heading3"/>
      </w:pPr>
      <w:r>
        <w:t>Policy considerations</w:t>
      </w:r>
    </w:p>
    <w:p w:rsidR="00F826D0" w:rsidRDefault="00F826D0">
      <w:pPr>
        <w:pStyle w:val="OutlineNumbered1"/>
      </w:pPr>
      <w:r>
        <w:t>Although it is common for regulatory changes to affect future conduct, providing access to redress for past disputes would involve consideration of events occurring prior to the introduction of a new system. Particular care must be taken when introducing policies that relate to past matters to ensure that they are justified and that there are no unintended negative consequences.</w:t>
      </w:r>
    </w:p>
    <w:p w:rsidR="00D2134C" w:rsidRDefault="00F826D0">
      <w:pPr>
        <w:pStyle w:val="OutlineNumbered1"/>
      </w:pPr>
      <w:r>
        <w:t xml:space="preserve">It </w:t>
      </w:r>
      <w:r w:rsidR="00724E20">
        <w:t>would be</w:t>
      </w:r>
      <w:r>
        <w:t xml:space="preserve"> necessary to consider the potential impacts of any </w:t>
      </w:r>
      <w:r w:rsidR="0054434A">
        <w:t xml:space="preserve">mechanism </w:t>
      </w:r>
      <w:r>
        <w:t xml:space="preserve">on the relevant parties. </w:t>
      </w:r>
      <w:r w:rsidR="00D2134C">
        <w:t xml:space="preserve">While allowing access to redress through EDR for past disputes can </w:t>
      </w:r>
      <w:r w:rsidR="00D2134C" w:rsidRPr="005F6415">
        <w:rPr>
          <w:i/>
        </w:rPr>
        <w:t>prima facie</w:t>
      </w:r>
      <w:r w:rsidR="00D2134C">
        <w:t xml:space="preserve"> only confer a benefit on consumers and small business complainants, retrospective application may alter obligations of financial firms with respect to past events. </w:t>
      </w:r>
      <w:r>
        <w:t>The desirability of extending additional benefits or rights to a party who would not otherwise have been entitled to it would need to be considered against any adverse effects on other parties (other than the Commonwealth).</w:t>
      </w:r>
      <w:r w:rsidR="00803320">
        <w:rPr>
          <w:rStyle w:val="FootnoteReference"/>
        </w:rPr>
        <w:footnoteReference w:id="75"/>
      </w:r>
    </w:p>
    <w:p w:rsidR="00C53CA7" w:rsidRDefault="00C53CA7">
      <w:pPr>
        <w:pStyle w:val="OutlineNumbered1"/>
      </w:pPr>
      <w:r>
        <w:t xml:space="preserve">The Panel notes that in many of the classes of cases identified the value of losses is unquantifiable. This creates challenges in </w:t>
      </w:r>
      <w:r w:rsidR="00DC2286">
        <w:t xml:space="preserve">determining </w:t>
      </w:r>
      <w:r w:rsidR="007F373D">
        <w:t>how such a scheme could be funded</w:t>
      </w:r>
      <w:r>
        <w:t>.</w:t>
      </w:r>
    </w:p>
    <w:p w:rsidR="00182B29" w:rsidRDefault="00182B29">
      <w:pPr>
        <w:widowControl/>
        <w:adjustRightInd/>
        <w:spacing w:after="0" w:line="240" w:lineRule="auto"/>
        <w:jc w:val="left"/>
        <w:textAlignment w:val="auto"/>
        <w:rPr>
          <w:rFonts w:ascii="Century Gothic" w:hAnsi="Century Gothic"/>
          <w:b/>
          <w:bCs/>
          <w:color w:val="1F497D" w:themeColor="text2"/>
          <w:szCs w:val="22"/>
        </w:rPr>
      </w:pPr>
      <w:r>
        <w:br w:type="page"/>
      </w:r>
    </w:p>
    <w:p w:rsidR="001970CB" w:rsidRPr="00056AAC" w:rsidRDefault="001970CB" w:rsidP="002B3889">
      <w:pPr>
        <w:pStyle w:val="Heading3"/>
      </w:pPr>
      <w:r>
        <w:t>Consequences for consumers and small business</w:t>
      </w:r>
    </w:p>
    <w:p w:rsidR="007F1BCA" w:rsidRPr="00EC4B12" w:rsidRDefault="007F1BCA" w:rsidP="005430C6">
      <w:pPr>
        <w:pStyle w:val="OutlineNumbered1"/>
        <w:spacing w:after="210"/>
      </w:pPr>
      <w:r w:rsidRPr="00EC4B12">
        <w:t xml:space="preserve">An inability to access redress can have devastating consequences for consumers and small businesses. ASIC identifies in its </w:t>
      </w:r>
      <w:r w:rsidRPr="00EC4B12">
        <w:rPr>
          <w:i/>
        </w:rPr>
        <w:t xml:space="preserve">Report 240: </w:t>
      </w:r>
      <w:r w:rsidR="005E0760" w:rsidRPr="00EC4B12">
        <w:rPr>
          <w:i/>
        </w:rPr>
        <w:t>Compensation for retail investors: t</w:t>
      </w:r>
      <w:r w:rsidRPr="00EC4B12">
        <w:rPr>
          <w:i/>
        </w:rPr>
        <w:t>he social impact of monetary loss</w:t>
      </w:r>
      <w:r w:rsidR="001F6FED" w:rsidRPr="00EC4B12">
        <w:rPr>
          <w:i/>
        </w:rPr>
        <w:t xml:space="preserve"> </w:t>
      </w:r>
      <w:r w:rsidR="001F6FED" w:rsidRPr="00EC4B12">
        <w:t>that</w:t>
      </w:r>
      <w:r w:rsidRPr="00EC4B12">
        <w:t>:</w:t>
      </w:r>
    </w:p>
    <w:p w:rsidR="007F1BCA" w:rsidRDefault="001F6FED" w:rsidP="005430C6">
      <w:pPr>
        <w:pStyle w:val="Quote"/>
        <w:spacing w:after="210"/>
      </w:pPr>
      <w:r w:rsidRPr="00EC4B12">
        <w:t>‘f</w:t>
      </w:r>
      <w:r w:rsidR="007F1BCA" w:rsidRPr="00EC4B12">
        <w:t xml:space="preserve">ailure to fully compensate investors who lost money because of the conduct of their managed investment scheme or financial planner can cause the investor severe </w:t>
      </w:r>
      <w:r w:rsidRPr="00EC4B12">
        <w:t xml:space="preserve">emotional and </w:t>
      </w:r>
      <w:r w:rsidR="007F1BCA" w:rsidRPr="00EC4B12">
        <w:t>financial distress.</w:t>
      </w:r>
      <w:r w:rsidRPr="00EC4B12">
        <w:t xml:space="preserve"> [.</w:t>
      </w:r>
      <w:r w:rsidR="007F1BCA" w:rsidRPr="00EC4B12">
        <w:t>..</w:t>
      </w:r>
      <w:r w:rsidRPr="00EC4B12">
        <w:t>] [T]</w:t>
      </w:r>
      <w:r w:rsidR="007F1BCA" w:rsidRPr="00EC4B12">
        <w:t>he loss experience can have a corrosive effect on trust in the financial system.’</w:t>
      </w:r>
      <w:r w:rsidR="00F14B3D" w:rsidRPr="00EC4B12">
        <w:rPr>
          <w:rStyle w:val="FootnoteReference"/>
          <w:i w:val="0"/>
        </w:rPr>
        <w:footnoteReference w:id="76"/>
      </w:r>
    </w:p>
    <w:p w:rsidR="00903692" w:rsidRPr="00262660" w:rsidRDefault="0095768D" w:rsidP="005430C6">
      <w:pPr>
        <w:pStyle w:val="OutlineNumbered1"/>
        <w:spacing w:after="210"/>
      </w:pPr>
      <w:r w:rsidRPr="005430C6">
        <w:t>In relation to small businesses, t</w:t>
      </w:r>
      <w:r w:rsidR="00E800D7" w:rsidRPr="005430C6">
        <w:t>he A</w:t>
      </w:r>
      <w:r w:rsidR="001C2AD8" w:rsidRPr="005430C6">
        <w:t xml:space="preserve">ustralian </w:t>
      </w:r>
      <w:r w:rsidR="00E800D7" w:rsidRPr="005430C6">
        <w:t>S</w:t>
      </w:r>
      <w:r w:rsidR="001C2AD8" w:rsidRPr="005430C6">
        <w:t xml:space="preserve">mall </w:t>
      </w:r>
      <w:r w:rsidR="00E800D7" w:rsidRPr="005430C6">
        <w:t>B</w:t>
      </w:r>
      <w:r w:rsidR="001C2AD8" w:rsidRPr="005430C6">
        <w:t xml:space="preserve">usiness and </w:t>
      </w:r>
      <w:r w:rsidR="00E800D7" w:rsidRPr="005430C6">
        <w:t>F</w:t>
      </w:r>
      <w:r w:rsidR="001C2AD8" w:rsidRPr="005430C6">
        <w:t xml:space="preserve">amily </w:t>
      </w:r>
      <w:r w:rsidR="00E800D7" w:rsidRPr="005430C6">
        <w:t>E</w:t>
      </w:r>
      <w:r w:rsidR="001C2AD8" w:rsidRPr="005430C6">
        <w:t xml:space="preserve">nterprise </w:t>
      </w:r>
      <w:r w:rsidR="00E800D7" w:rsidRPr="005430C6">
        <w:t>O</w:t>
      </w:r>
      <w:r w:rsidR="001C2AD8" w:rsidRPr="005430C6">
        <w:t>mbudsman</w:t>
      </w:r>
      <w:r w:rsidR="009F688A" w:rsidRPr="005430C6">
        <w:t>’</w:t>
      </w:r>
      <w:r w:rsidR="00E800D7" w:rsidRPr="005430C6">
        <w:t xml:space="preserve">s </w:t>
      </w:r>
      <w:r w:rsidR="004B4B7F" w:rsidRPr="005430C6">
        <w:rPr>
          <w:i/>
        </w:rPr>
        <w:t>Inquiry into small business loans</w:t>
      </w:r>
      <w:r w:rsidR="00E800D7" w:rsidRPr="005430C6">
        <w:rPr>
          <w:i/>
        </w:rPr>
        <w:t xml:space="preserve"> </w:t>
      </w:r>
      <w:r w:rsidR="00E800D7" w:rsidRPr="005430C6">
        <w:t xml:space="preserve">report identified a number of cases </w:t>
      </w:r>
      <w:r w:rsidR="00AB084A" w:rsidRPr="005430C6">
        <w:t xml:space="preserve">where it considered there were </w:t>
      </w:r>
      <w:r w:rsidR="009F688A" w:rsidRPr="005430C6">
        <w:t>‘</w:t>
      </w:r>
      <w:r w:rsidR="00AB084A" w:rsidRPr="005430C6">
        <w:t>very real issues where bank conduct is unacceptable and possibly unconscionable</w:t>
      </w:r>
      <w:r w:rsidR="009F688A" w:rsidRPr="005430C6">
        <w:t>’</w:t>
      </w:r>
      <w:r w:rsidR="00AB084A" w:rsidRPr="005430C6">
        <w:t>.</w:t>
      </w:r>
      <w:r w:rsidR="00C52A83" w:rsidRPr="005430C6">
        <w:rPr>
          <w:rStyle w:val="FootnoteReference"/>
        </w:rPr>
        <w:footnoteReference w:id="77"/>
      </w:r>
      <w:r w:rsidR="00AB084A" w:rsidRPr="005430C6">
        <w:rPr>
          <w:rStyle w:val="FootnoteReference"/>
        </w:rPr>
        <w:t xml:space="preserve"> </w:t>
      </w:r>
      <w:r w:rsidR="006665F2" w:rsidRPr="005430C6">
        <w:t xml:space="preserve">The </w:t>
      </w:r>
      <w:r w:rsidR="001A4478" w:rsidRPr="005430C6">
        <w:t xml:space="preserve">report </w:t>
      </w:r>
      <w:r w:rsidR="006665F2" w:rsidRPr="005430C6">
        <w:t xml:space="preserve">also identified </w:t>
      </w:r>
      <w:r w:rsidR="009F688A" w:rsidRPr="005430C6">
        <w:t>‘</w:t>
      </w:r>
      <w:r w:rsidR="006665F2" w:rsidRPr="005430C6">
        <w:t>significant gaps in access to justice with nowhere to go except the court system, with borrowers having limited resources and banks having overwhelming resources</w:t>
      </w:r>
      <w:r w:rsidR="009F688A" w:rsidRPr="005430C6">
        <w:t>’</w:t>
      </w:r>
      <w:r w:rsidR="006665F2" w:rsidRPr="005430C6">
        <w:t>.</w:t>
      </w:r>
      <w:r w:rsidR="00C52A83" w:rsidRPr="005430C6">
        <w:rPr>
          <w:rStyle w:val="FootnoteReference"/>
        </w:rPr>
        <w:footnoteReference w:id="78"/>
      </w:r>
    </w:p>
    <w:p w:rsidR="001970CB" w:rsidRDefault="001970CB" w:rsidP="002B3889">
      <w:pPr>
        <w:pStyle w:val="Heading3"/>
      </w:pPr>
      <w:r>
        <w:t>Consequences for financial firms</w:t>
      </w:r>
    </w:p>
    <w:p w:rsidR="00A07BC1" w:rsidRDefault="00A07BC1" w:rsidP="005430C6">
      <w:pPr>
        <w:pStyle w:val="OutlineNumbered1"/>
        <w:spacing w:after="210"/>
      </w:pPr>
      <w:r>
        <w:t>Dealing with past disputes has the potential to have significant consequences for financial firms. Firms have entered into contractual relationships with EDR schemes that specify the range of disputes that the scheme is able to consider. These limits cover the size of the dispute and the age of the dispute (for example, FOS can currently only hear disputes that have arisen in the last six years).</w:t>
      </w:r>
    </w:p>
    <w:p w:rsidR="00A07BC1" w:rsidRDefault="00A07BC1">
      <w:pPr>
        <w:pStyle w:val="OutlineNumbered1"/>
      </w:pPr>
      <w:r>
        <w:t>Financial firms may well have relied on these limitations</w:t>
      </w:r>
      <w:r w:rsidR="00E3795F">
        <w:t xml:space="preserve"> in arranging their affairs;</w:t>
      </w:r>
      <w:r>
        <w:t xml:space="preserve"> for example</w:t>
      </w:r>
      <w:r w:rsidR="00E3795F">
        <w:t>, the potential exposure of a firm may impact on their</w:t>
      </w:r>
      <w:r>
        <w:t xml:space="preserve"> professional indemnity insurance </w:t>
      </w:r>
      <w:r w:rsidR="00E3795F">
        <w:t>cover</w:t>
      </w:r>
      <w:r>
        <w:t xml:space="preserve">. Any </w:t>
      </w:r>
      <w:r w:rsidR="0054434A">
        <w:t>mechanism</w:t>
      </w:r>
      <w:r>
        <w:t xml:space="preserve"> that </w:t>
      </w:r>
      <w:r w:rsidR="00163000">
        <w:t xml:space="preserve">extends </w:t>
      </w:r>
      <w:r>
        <w:t>the scope of dispute resolution arrangements may have potential effects on the adequacy of financial firms</w:t>
      </w:r>
      <w:r w:rsidR="009F688A">
        <w:t>’</w:t>
      </w:r>
      <w:r>
        <w:t xml:space="preserve"> professional indemnity insurance in respect of those past events.</w:t>
      </w:r>
    </w:p>
    <w:p w:rsidR="00E3795F" w:rsidRDefault="00E3795F">
      <w:pPr>
        <w:pStyle w:val="OutlineNumbered1"/>
      </w:pPr>
      <w:r>
        <w:t>Depending on the scope of a potential scheme, it could create</w:t>
      </w:r>
      <w:r w:rsidR="0094699D">
        <w:t xml:space="preserve"> a</w:t>
      </w:r>
      <w:r>
        <w:t xml:space="preserve"> liability for losses that are difficult for a firm to estimate and make provision for.</w:t>
      </w:r>
    </w:p>
    <w:p w:rsidR="00331070" w:rsidRDefault="00331070">
      <w:pPr>
        <w:pStyle w:val="OutlineNumbered1"/>
      </w:pPr>
      <w:r>
        <w:t>Additionally</w:t>
      </w:r>
      <w:r w:rsidR="0094699D">
        <w:t>,</w:t>
      </w:r>
      <w:r>
        <w:t xml:space="preserve"> for prudentially regulated bodies there are issues in relation to capital adequacy and provisioning.</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4D6898" w:rsidTr="005430C6">
        <w:tc>
          <w:tcPr>
            <w:tcW w:w="9072" w:type="dxa"/>
          </w:tcPr>
          <w:p w:rsidR="004D6898" w:rsidRPr="00052286" w:rsidRDefault="004D6898" w:rsidP="00BA2362">
            <w:pPr>
              <w:pStyle w:val="BoxHeading"/>
            </w:pPr>
            <w:r>
              <w:t>Q</w:t>
            </w:r>
            <w:r w:rsidRPr="00696035">
              <w:t>uestion</w:t>
            </w:r>
            <w:r w:rsidR="00B00C09">
              <w:t>s</w:t>
            </w:r>
            <w:r w:rsidR="009F688A">
              <w:t xml:space="preserve"> — </w:t>
            </w:r>
            <w:r w:rsidR="00531287">
              <w:rPr>
                <w:bCs/>
              </w:rPr>
              <w:t xml:space="preserve">Evaluation of </w:t>
            </w:r>
            <w:r w:rsidR="00240996">
              <w:rPr>
                <w:bCs/>
              </w:rPr>
              <w:t xml:space="preserve">providing </w:t>
            </w:r>
            <w:r w:rsidR="001A4478">
              <w:rPr>
                <w:bCs/>
              </w:rPr>
              <w:t xml:space="preserve">access to </w:t>
            </w:r>
            <w:r w:rsidR="00240996">
              <w:rPr>
                <w:bCs/>
              </w:rPr>
              <w:t>redress for past disputes</w:t>
            </w:r>
          </w:p>
          <w:p w:rsidR="000C4456" w:rsidRDefault="000C4456" w:rsidP="00993864">
            <w:pPr>
              <w:pStyle w:val="BoxNumberedQuestions"/>
            </w:pPr>
            <w:r>
              <w:t xml:space="preserve">What are the </w:t>
            </w:r>
            <w:r w:rsidR="00760600">
              <w:t>benefits and costs</w:t>
            </w:r>
            <w:r w:rsidR="005576E2">
              <w:t xml:space="preserve"> </w:t>
            </w:r>
            <w:r w:rsidR="00760600">
              <w:t>associated with</w:t>
            </w:r>
            <w:r w:rsidR="005576E2">
              <w:t xml:space="preserve"> providing </w:t>
            </w:r>
            <w:r w:rsidR="002B2846">
              <w:t xml:space="preserve">access to </w:t>
            </w:r>
            <w:r w:rsidR="005576E2">
              <w:t xml:space="preserve">redress for </w:t>
            </w:r>
            <w:r w:rsidR="006A00CE">
              <w:t>past disputes</w:t>
            </w:r>
            <w:r>
              <w:t>?</w:t>
            </w:r>
          </w:p>
          <w:p w:rsidR="000C4456" w:rsidRDefault="000C4456" w:rsidP="002F36F1">
            <w:pPr>
              <w:pStyle w:val="BoxNumberedQuestions"/>
            </w:pPr>
            <w:r>
              <w:t>Are the</w:t>
            </w:r>
            <w:r w:rsidR="00513A5F">
              <w:t>re</w:t>
            </w:r>
            <w:r>
              <w:t xml:space="preserve"> any </w:t>
            </w:r>
            <w:r w:rsidR="006A00CE">
              <w:t xml:space="preserve">legal </w:t>
            </w:r>
            <w:r>
              <w:t xml:space="preserve">impediments </w:t>
            </w:r>
            <w:r w:rsidR="002B2846">
              <w:t xml:space="preserve">to providing access to redress for </w:t>
            </w:r>
            <w:r w:rsidR="006A00CE">
              <w:t>past disputes</w:t>
            </w:r>
            <w:r>
              <w:t>?</w:t>
            </w:r>
          </w:p>
          <w:p w:rsidR="000C4456" w:rsidRDefault="000C4456" w:rsidP="002F36F1">
            <w:pPr>
              <w:pStyle w:val="BoxNumberedQuestions"/>
            </w:pPr>
            <w:r>
              <w:t xml:space="preserve">What impact would </w:t>
            </w:r>
            <w:r w:rsidR="005576E2">
              <w:t xml:space="preserve">providing </w:t>
            </w:r>
            <w:r w:rsidR="002B2846">
              <w:t xml:space="preserve">access to </w:t>
            </w:r>
            <w:r w:rsidR="005576E2">
              <w:t xml:space="preserve">redress for past </w:t>
            </w:r>
            <w:r w:rsidR="006A00CE">
              <w:t xml:space="preserve">disputes </w:t>
            </w:r>
            <w:r>
              <w:t xml:space="preserve">have on the operations of financial </w:t>
            </w:r>
            <w:r w:rsidR="005576E2">
              <w:t>firms</w:t>
            </w:r>
            <w:r>
              <w:t>?</w:t>
            </w:r>
          </w:p>
          <w:p w:rsidR="006A00CE" w:rsidRDefault="006A00CE" w:rsidP="002F36F1">
            <w:pPr>
              <w:pStyle w:val="BoxNumberedQuestions"/>
            </w:pPr>
            <w:r>
              <w:t xml:space="preserve">What impact would </w:t>
            </w:r>
            <w:r w:rsidR="005576E2">
              <w:t xml:space="preserve">providing </w:t>
            </w:r>
            <w:r w:rsidR="002B2846">
              <w:t xml:space="preserve">access to </w:t>
            </w:r>
            <w:r w:rsidR="005576E2">
              <w:t xml:space="preserve">redress for </w:t>
            </w:r>
            <w:r>
              <w:t xml:space="preserve">past disputes have on the professional indemnity insurance of financial </w:t>
            </w:r>
            <w:r w:rsidR="00C52A83">
              <w:t>firms</w:t>
            </w:r>
            <w:r>
              <w:t>?</w:t>
            </w:r>
          </w:p>
          <w:p w:rsidR="00584FDA" w:rsidRPr="002A0644" w:rsidRDefault="002A0644" w:rsidP="002F36F1">
            <w:pPr>
              <w:pStyle w:val="BoxNumberedQuestions"/>
            </w:pPr>
            <w:r w:rsidRPr="002A0644">
              <w:t>Would there be any</w:t>
            </w:r>
            <w:r w:rsidR="000C4456">
              <w:t xml:space="preserve"> flow</w:t>
            </w:r>
            <w:r w:rsidR="009F688A">
              <w:noBreakHyphen/>
            </w:r>
            <w:r w:rsidR="000C4456">
              <w:t xml:space="preserve">on implications associated with </w:t>
            </w:r>
            <w:r w:rsidR="005576E2">
              <w:t xml:space="preserve">providing </w:t>
            </w:r>
            <w:r w:rsidR="002B2846">
              <w:t xml:space="preserve">access to </w:t>
            </w:r>
            <w:r w:rsidR="005576E2">
              <w:t xml:space="preserve">redress for </w:t>
            </w:r>
            <w:r w:rsidR="006A00CE">
              <w:t>past disputes</w:t>
            </w:r>
            <w:r w:rsidR="000C4456">
              <w:t xml:space="preserve">? </w:t>
            </w:r>
            <w:r w:rsidRPr="002A0644">
              <w:t>How could these be addressed in order to ensure effective outcomes for users?</w:t>
            </w:r>
          </w:p>
        </w:tc>
      </w:tr>
    </w:tbl>
    <w:p w:rsidR="004D6898" w:rsidRDefault="004D6898" w:rsidP="00314B3F">
      <w:pPr>
        <w:pStyle w:val="SingleParagraph"/>
        <w:spacing w:line="240" w:lineRule="auto"/>
      </w:pPr>
    </w:p>
    <w:p w:rsidR="00B823A5" w:rsidRDefault="006A00CE" w:rsidP="00661609">
      <w:pPr>
        <w:pStyle w:val="Heading2"/>
      </w:pPr>
      <w:bookmarkStart w:id="187" w:name="_Toc482188903"/>
      <w:bookmarkStart w:id="188" w:name="_Toc482197210"/>
      <w:bookmarkStart w:id="189" w:name="_Toc482198300"/>
      <w:bookmarkStart w:id="190" w:name="_Toc482779544"/>
      <w:bookmarkStart w:id="191" w:name="_Toc482781319"/>
      <w:bookmarkStart w:id="192" w:name="_Toc482873873"/>
      <w:bookmarkStart w:id="193" w:name="_Toc483229146"/>
      <w:bookmarkStart w:id="194" w:name="_Toc483230261"/>
      <w:bookmarkStart w:id="195" w:name="_Toc483398641"/>
      <w:bookmarkStart w:id="196" w:name="_Toc483485328"/>
      <w:bookmarkStart w:id="197" w:name="_Toc483988917"/>
      <w:r>
        <w:t>Design</w:t>
      </w:r>
      <w:r w:rsidR="0033214C">
        <w:t xml:space="preserve"> </w:t>
      </w:r>
      <w:r w:rsidR="00240996">
        <w:t xml:space="preserve">issues with providing </w:t>
      </w:r>
      <w:r w:rsidR="00675059">
        <w:t xml:space="preserve">access to </w:t>
      </w:r>
      <w:r w:rsidR="00240996">
        <w:t xml:space="preserve">redress for </w:t>
      </w:r>
      <w:r w:rsidR="0023476C">
        <w:t>past disputes</w:t>
      </w:r>
      <w:bookmarkEnd w:id="187"/>
      <w:bookmarkEnd w:id="188"/>
      <w:bookmarkEnd w:id="189"/>
      <w:bookmarkEnd w:id="190"/>
      <w:bookmarkEnd w:id="191"/>
      <w:bookmarkEnd w:id="192"/>
      <w:bookmarkEnd w:id="193"/>
      <w:bookmarkEnd w:id="194"/>
      <w:bookmarkEnd w:id="195"/>
      <w:bookmarkEnd w:id="196"/>
      <w:bookmarkEnd w:id="197"/>
    </w:p>
    <w:p w:rsidR="00F151C4" w:rsidRDefault="00A368AB">
      <w:pPr>
        <w:pStyle w:val="OutlineNumbered1"/>
      </w:pPr>
      <w:r>
        <w:t>If implemented, providing access to redress for past disputes</w:t>
      </w:r>
      <w:r w:rsidR="00B823A5">
        <w:t xml:space="preserve"> would involve </w:t>
      </w:r>
      <w:r w:rsidR="00331070">
        <w:t xml:space="preserve">consideration </w:t>
      </w:r>
      <w:r w:rsidR="00B823A5">
        <w:t xml:space="preserve">of </w:t>
      </w:r>
      <w:r w:rsidR="00331070">
        <w:t>a number of issues</w:t>
      </w:r>
      <w:r w:rsidR="00B823A5">
        <w:t xml:space="preserve">. Some of these </w:t>
      </w:r>
      <w:r w:rsidR="00B00C09">
        <w:t xml:space="preserve">issues </w:t>
      </w:r>
      <w:r w:rsidR="00B823A5">
        <w:t>are outlined below.</w:t>
      </w:r>
    </w:p>
    <w:p w:rsidR="00B278C3" w:rsidRDefault="00B278C3" w:rsidP="00A23924">
      <w:pPr>
        <w:pStyle w:val="Heading3"/>
      </w:pPr>
      <w:r>
        <w:t>Range of parties able to seek redress</w:t>
      </w:r>
    </w:p>
    <w:p w:rsidR="00B278C3" w:rsidRPr="00483CF0" w:rsidRDefault="00B278C3">
      <w:pPr>
        <w:pStyle w:val="OutlineNumbered1"/>
      </w:pPr>
      <w:r>
        <w:t xml:space="preserve">Any </w:t>
      </w:r>
      <w:r w:rsidR="00331070">
        <w:t>mechanism</w:t>
      </w:r>
      <w:r>
        <w:t xml:space="preserve"> </w:t>
      </w:r>
      <w:r w:rsidR="000D07A2" w:rsidRPr="007354C0">
        <w:t>for</w:t>
      </w:r>
      <w:r>
        <w:t xml:space="preserve"> providing redress for past disputes </w:t>
      </w:r>
      <w:r w:rsidRPr="007354C0">
        <w:t>w</w:t>
      </w:r>
      <w:r w:rsidR="007354C0" w:rsidRPr="007354C0">
        <w:t>ould</w:t>
      </w:r>
      <w:r>
        <w:t xml:space="preserve"> need to specify the range of consumers and small business that </w:t>
      </w:r>
      <w:r w:rsidR="007354C0" w:rsidRPr="00C77997">
        <w:t xml:space="preserve">would be </w:t>
      </w:r>
      <w:r>
        <w:t xml:space="preserve">eligible to seek redress. </w:t>
      </w:r>
      <w:r w:rsidR="001824E2" w:rsidRPr="00C77997">
        <w:t>As a minimum</w:t>
      </w:r>
      <w:r w:rsidR="00DC2900">
        <w:t>,</w:t>
      </w:r>
      <w:r w:rsidRPr="00C77997">
        <w:t xml:space="preserve"> it </w:t>
      </w:r>
      <w:r w:rsidR="001824E2" w:rsidRPr="00C77997">
        <w:t>would need to identify</w:t>
      </w:r>
      <w:r w:rsidRPr="00C77997">
        <w:t xml:space="preserve"> consumers and small </w:t>
      </w:r>
      <w:r w:rsidR="001824E2" w:rsidRPr="00C77997">
        <w:t>business</w:t>
      </w:r>
      <w:r w:rsidRPr="00C77997">
        <w:t xml:space="preserve"> that have </w:t>
      </w:r>
      <w:r w:rsidR="007354C0" w:rsidRPr="00C77997">
        <w:t>so far</w:t>
      </w:r>
      <w:r w:rsidRPr="00C77997">
        <w:t xml:space="preserve"> been </w:t>
      </w:r>
      <w:r w:rsidR="007354C0" w:rsidRPr="00C77997">
        <w:t>unable</w:t>
      </w:r>
      <w:r w:rsidR="00C77997">
        <w:t xml:space="preserve"> to</w:t>
      </w:r>
      <w:r w:rsidR="007354C0" w:rsidRPr="00C77997">
        <w:t xml:space="preserve"> access EDR</w:t>
      </w:r>
      <w:r w:rsidR="00C77997" w:rsidRPr="00C77997">
        <w:t xml:space="preserve"> </w:t>
      </w:r>
      <w:r w:rsidR="00C77997">
        <w:t>and</w:t>
      </w:r>
      <w:r w:rsidRPr="00C77997">
        <w:t xml:space="preserve"> have their dispute heard (for example, because of </w:t>
      </w:r>
      <w:r w:rsidR="004B4B7F" w:rsidRPr="00C77997">
        <w:t xml:space="preserve">the </w:t>
      </w:r>
      <w:r w:rsidR="004B4B7F" w:rsidRPr="00483CF0">
        <w:t>scheme</w:t>
      </w:r>
      <w:r w:rsidR="00482AD0">
        <w:t>’</w:t>
      </w:r>
      <w:r w:rsidR="004B4B7F" w:rsidRPr="00483CF0">
        <w:t>s monetary</w:t>
      </w:r>
      <w:r w:rsidRPr="00483CF0">
        <w:t xml:space="preserve"> limits</w:t>
      </w:r>
      <w:r w:rsidR="00E377F9">
        <w:t xml:space="preserve"> as</w:t>
      </w:r>
      <w:r w:rsidR="000B1FB0">
        <w:t xml:space="preserve"> discussed above.</w:t>
      </w:r>
      <w:r w:rsidR="00E377F9">
        <w:t>)</w:t>
      </w:r>
    </w:p>
    <w:p w:rsidR="00B30549" w:rsidRPr="00483CF0" w:rsidRDefault="000B1FB0" w:rsidP="002B3889">
      <w:pPr>
        <w:pStyle w:val="Heading3"/>
      </w:pPr>
      <w:r>
        <w:t>Mechani</w:t>
      </w:r>
      <w:r w:rsidR="0019172A">
        <w:t>cs</w:t>
      </w:r>
    </w:p>
    <w:p w:rsidR="007D64C0" w:rsidRPr="00483CF0" w:rsidRDefault="0019172A" w:rsidP="00253395">
      <w:pPr>
        <w:pStyle w:val="OutlineNumbered1"/>
      </w:pPr>
      <w:r>
        <w:t>Consideration would need to be given to the mechanics of considering</w:t>
      </w:r>
      <w:r w:rsidR="00221691" w:rsidRPr="00483CF0">
        <w:t xml:space="preserve"> the dispute </w:t>
      </w:r>
      <w:r w:rsidR="007D64C0" w:rsidRPr="00483CF0">
        <w:t>a</w:t>
      </w:r>
      <w:r w:rsidR="00C77997" w:rsidRPr="00483CF0">
        <w:t>nd</w:t>
      </w:r>
      <w:r w:rsidR="00221691" w:rsidRPr="00483CF0">
        <w:t xml:space="preserve"> </w:t>
      </w:r>
      <w:r w:rsidR="00E377F9">
        <w:t xml:space="preserve">to </w:t>
      </w:r>
      <w:r w:rsidR="00C77997" w:rsidRPr="00483CF0">
        <w:t>determin</w:t>
      </w:r>
      <w:r w:rsidR="00E377F9">
        <w:t>e</w:t>
      </w:r>
      <w:r w:rsidR="00C77997" w:rsidRPr="00483CF0">
        <w:t xml:space="preserve"> </w:t>
      </w:r>
      <w:r w:rsidR="00221691" w:rsidRPr="00483CF0">
        <w:t>whether redress is to be provided</w:t>
      </w:r>
      <w:r w:rsidR="007D64C0" w:rsidRPr="00483CF0">
        <w:t xml:space="preserve">. </w:t>
      </w:r>
      <w:r>
        <w:t>Relevant consideration</w:t>
      </w:r>
      <w:r w:rsidR="00720843">
        <w:t>s</w:t>
      </w:r>
      <w:r>
        <w:t xml:space="preserve"> </w:t>
      </w:r>
      <w:r w:rsidR="00E377F9">
        <w:t xml:space="preserve">could </w:t>
      </w:r>
      <w:r>
        <w:t>include</w:t>
      </w:r>
      <w:r w:rsidR="007D64C0" w:rsidRPr="00483CF0">
        <w:t>:</w:t>
      </w:r>
    </w:p>
    <w:p w:rsidR="00720843" w:rsidRDefault="00720843">
      <w:pPr>
        <w:pStyle w:val="Bullet"/>
      </w:pPr>
      <w:r w:rsidRPr="00720843">
        <w:t>who</w:t>
      </w:r>
      <w:r w:rsidRPr="00483CF0">
        <w:t xml:space="preserve"> </w:t>
      </w:r>
      <w:r w:rsidRPr="00DC2900">
        <w:t>is the decision maker;</w:t>
      </w:r>
    </w:p>
    <w:p w:rsidR="0019172A" w:rsidRDefault="0019172A">
      <w:pPr>
        <w:pStyle w:val="Bullet"/>
      </w:pPr>
      <w:r>
        <w:t xml:space="preserve">what </w:t>
      </w:r>
      <w:r w:rsidR="00EE5A3A" w:rsidRPr="00DC2900">
        <w:t>decision mak</w:t>
      </w:r>
      <w:r w:rsidR="007D64C0" w:rsidRPr="00DC2900">
        <w:t xml:space="preserve">ing </w:t>
      </w:r>
      <w:r w:rsidR="007354C0" w:rsidRPr="00DC2900">
        <w:t>criteria</w:t>
      </w:r>
      <w:r w:rsidR="00483CF0" w:rsidRPr="00DC2900">
        <w:t xml:space="preserve"> </w:t>
      </w:r>
      <w:r>
        <w:t xml:space="preserve">apply to </w:t>
      </w:r>
      <w:r w:rsidR="00090D7E">
        <w:t>provide an appropriate form of redress</w:t>
      </w:r>
      <w:r w:rsidR="00DC2286">
        <w:t>;</w:t>
      </w:r>
    </w:p>
    <w:p w:rsidR="00B44B19" w:rsidRDefault="00B44B19">
      <w:pPr>
        <w:pStyle w:val="Bullet"/>
      </w:pPr>
      <w:r>
        <w:t>what type of disputes (subject matter) may be considered;</w:t>
      </w:r>
    </w:p>
    <w:p w:rsidR="0019172A" w:rsidRDefault="00720843">
      <w:pPr>
        <w:pStyle w:val="Bullet"/>
      </w:pPr>
      <w:r>
        <w:t xml:space="preserve">what </w:t>
      </w:r>
      <w:r w:rsidR="00483CF0" w:rsidRPr="00DC2900">
        <w:t xml:space="preserve">monetary </w:t>
      </w:r>
      <w:r>
        <w:t>limit applies;</w:t>
      </w:r>
      <w:r w:rsidR="007601F0">
        <w:rPr>
          <w:rStyle w:val="FootnoteReference"/>
        </w:rPr>
        <w:footnoteReference w:id="79"/>
      </w:r>
      <w:r w:rsidR="00483CF0" w:rsidRPr="00DC2900">
        <w:t xml:space="preserve"> and</w:t>
      </w:r>
    </w:p>
    <w:p w:rsidR="00221691" w:rsidRDefault="00883D58">
      <w:pPr>
        <w:pStyle w:val="Bullet"/>
      </w:pPr>
      <w:r>
        <w:t xml:space="preserve">whether there should be any limits on the </w:t>
      </w:r>
      <w:r w:rsidR="00DC2900" w:rsidRPr="00DC2900">
        <w:t>age</w:t>
      </w:r>
      <w:r w:rsidR="00720843">
        <w:t xml:space="preserve"> of disputes </w:t>
      </w:r>
      <w:r w:rsidR="00E377F9">
        <w:t>that</w:t>
      </w:r>
      <w:r w:rsidR="00720843">
        <w:t xml:space="preserve"> are </w:t>
      </w:r>
      <w:r>
        <w:t>able to be considered</w:t>
      </w:r>
      <w:r w:rsidR="00090D7E">
        <w:t>.</w:t>
      </w:r>
    </w:p>
    <w:p w:rsidR="0093560A" w:rsidRDefault="00720843" w:rsidP="00717336">
      <w:pPr>
        <w:pStyle w:val="Heading5"/>
        <w:spacing w:line="240" w:lineRule="auto"/>
      </w:pPr>
      <w:r>
        <w:rPr>
          <w:rFonts w:cs="Arial"/>
          <w:lang w:val="en-US"/>
        </w:rPr>
        <w:t>Who is the decision maker</w:t>
      </w:r>
    </w:p>
    <w:p w:rsidR="00CC2DC0" w:rsidRDefault="00CC2DC0" w:rsidP="00D84FA9">
      <w:pPr>
        <w:pStyle w:val="OutlineNumbered1"/>
      </w:pPr>
      <w:r>
        <w:t xml:space="preserve">If any </w:t>
      </w:r>
      <w:r w:rsidR="0023148A">
        <w:t>scheme to provide redress for</w:t>
      </w:r>
      <w:r>
        <w:t xml:space="preserve"> past disputes is to be implemented, it will need to work effectively with the existing dispute resolution </w:t>
      </w:r>
      <w:r w:rsidR="009C4672">
        <w:t xml:space="preserve">and compensation </w:t>
      </w:r>
      <w:r>
        <w:t xml:space="preserve">arrangements. </w:t>
      </w:r>
      <w:r w:rsidR="009C4672">
        <w:t xml:space="preserve">This raises </w:t>
      </w:r>
      <w:r w:rsidR="0019172A">
        <w:t>an</w:t>
      </w:r>
      <w:r w:rsidR="009C4672">
        <w:t xml:space="preserve"> issue with whether any </w:t>
      </w:r>
      <w:r w:rsidR="0023148A">
        <w:t xml:space="preserve">scheme </w:t>
      </w:r>
      <w:r w:rsidR="009C4672">
        <w:t xml:space="preserve">should be </w:t>
      </w:r>
      <w:r w:rsidR="00EF3552">
        <w:t>integrated with</w:t>
      </w:r>
      <w:r w:rsidR="009C4672">
        <w:t xml:space="preserve"> existing arrangements </w:t>
      </w:r>
      <w:r w:rsidR="00161683">
        <w:t xml:space="preserve">(for example, an existing EDR scheme) </w:t>
      </w:r>
      <w:r w:rsidR="009C4672">
        <w:t xml:space="preserve">or form part of a separate </w:t>
      </w:r>
      <w:r w:rsidR="00F626BE" w:rsidRPr="005457C5">
        <w:t>program</w:t>
      </w:r>
      <w:r w:rsidR="009C4672">
        <w:t xml:space="preserve"> specifically established for the purpose of handling past disputes.</w:t>
      </w:r>
    </w:p>
    <w:p w:rsidR="00883D58" w:rsidRDefault="00883D58" w:rsidP="007911B6">
      <w:pPr>
        <w:pStyle w:val="Heading5"/>
        <w:rPr>
          <w:rFonts w:cs="Arial"/>
          <w:lang w:val="en-US"/>
        </w:rPr>
      </w:pPr>
      <w:r>
        <w:rPr>
          <w:rFonts w:cs="Arial"/>
          <w:lang w:val="en-US"/>
        </w:rPr>
        <w:t>Decision making criteria</w:t>
      </w:r>
    </w:p>
    <w:p w:rsidR="00883D58" w:rsidRPr="00436902" w:rsidRDefault="00D64325" w:rsidP="00253395">
      <w:pPr>
        <w:pStyle w:val="OutlineNumbered1"/>
        <w:rPr>
          <w:lang w:val="en-US"/>
        </w:rPr>
      </w:pPr>
      <w:r>
        <w:t>Consideration would need to be given to whether the decision making criteria should be the same as those applied by the EDR bodies (that is</w:t>
      </w:r>
      <w:r w:rsidR="00EA1621">
        <w:t>,</w:t>
      </w:r>
      <w:r>
        <w:t xml:space="preserve"> the FOS or CIO test) </w:t>
      </w:r>
      <w:r w:rsidRPr="00436902">
        <w:t>or something different.</w:t>
      </w:r>
    </w:p>
    <w:p w:rsidR="0023148A" w:rsidRPr="00436902" w:rsidRDefault="0023148A" w:rsidP="00253395">
      <w:pPr>
        <w:pStyle w:val="OutlineNumbered1"/>
        <w:rPr>
          <w:lang w:val="en-US"/>
        </w:rPr>
      </w:pPr>
      <w:r w:rsidRPr="00436902">
        <w:rPr>
          <w:lang w:val="en-US"/>
        </w:rPr>
        <w:t>FOS currentl</w:t>
      </w:r>
      <w:r w:rsidR="00255511" w:rsidRPr="00436902">
        <w:rPr>
          <w:lang w:val="en-US"/>
        </w:rPr>
        <w:t>y makes decisions based on ‘fairness in all the circumstances’ having regard to: legal principles; applicable industry codes; good industry practice; and previous FOS decisions (although FOS is not bound by these).</w:t>
      </w:r>
      <w:r w:rsidR="00255511" w:rsidRPr="00436902">
        <w:rPr>
          <w:rStyle w:val="FootnoteReference"/>
          <w:lang w:val="en-US"/>
        </w:rPr>
        <w:footnoteReference w:id="80"/>
      </w:r>
      <w:r w:rsidR="00E04C50" w:rsidRPr="00436902">
        <w:rPr>
          <w:lang w:val="en-US"/>
        </w:rPr>
        <w:t xml:space="preserve"> </w:t>
      </w:r>
      <w:r w:rsidR="00255511" w:rsidRPr="00436902">
        <w:rPr>
          <w:lang w:val="en-US"/>
        </w:rPr>
        <w:t xml:space="preserve">CIO applies </w:t>
      </w:r>
      <w:r w:rsidR="00355782" w:rsidRPr="00436902">
        <w:rPr>
          <w:lang w:val="en-US"/>
        </w:rPr>
        <w:t>the same</w:t>
      </w:r>
      <w:r w:rsidR="00255511" w:rsidRPr="00436902">
        <w:rPr>
          <w:lang w:val="en-US"/>
        </w:rPr>
        <w:t xml:space="preserve"> decision making criteria, but also has regard to rights provided by law to consumers and the independent and prompt resolution of the dispute.</w:t>
      </w:r>
    </w:p>
    <w:p w:rsidR="0023148A" w:rsidRPr="00436902" w:rsidRDefault="0023148A" w:rsidP="002B724B">
      <w:pPr>
        <w:pStyle w:val="Heading5"/>
      </w:pPr>
      <w:r w:rsidRPr="00436902">
        <w:t>Type of disputes</w:t>
      </w:r>
    </w:p>
    <w:p w:rsidR="00C44510" w:rsidRPr="00436902" w:rsidRDefault="00E04C50" w:rsidP="00690319">
      <w:pPr>
        <w:pStyle w:val="OutlineNumbered1"/>
        <w:rPr>
          <w:lang w:val="en-US"/>
        </w:rPr>
      </w:pPr>
      <w:r w:rsidRPr="00436902">
        <w:t>The question also arises as</w:t>
      </w:r>
      <w:r w:rsidR="004713D1" w:rsidRPr="00436902">
        <w:t xml:space="preserve"> to the types of disputes which may be considered by a scheme to provide redress for past disputes. </w:t>
      </w:r>
      <w:r w:rsidR="00FB3669" w:rsidRPr="00436902">
        <w:rPr>
          <w:lang w:val="en-US"/>
        </w:rPr>
        <w:t>As noted in paragraphs</w:t>
      </w:r>
      <w:r w:rsidR="0023148A" w:rsidRPr="00436902">
        <w:rPr>
          <w:lang w:val="en-US"/>
        </w:rPr>
        <w:t xml:space="preserve">  </w:t>
      </w:r>
      <w:r w:rsidR="009347B7" w:rsidRPr="00436902">
        <w:rPr>
          <w:lang w:val="en-US"/>
        </w:rPr>
        <w:t>[</w:t>
      </w:r>
      <w:r w:rsidR="0023148A" w:rsidRPr="00436902">
        <w:rPr>
          <w:lang w:val="en-US"/>
        </w:rPr>
        <w:t>13</w:t>
      </w:r>
      <w:r w:rsidR="00C44510" w:rsidRPr="00436902">
        <w:rPr>
          <w:lang w:val="en-US"/>
        </w:rPr>
        <w:t>3</w:t>
      </w:r>
      <w:r w:rsidR="009347B7" w:rsidRPr="00436902">
        <w:rPr>
          <w:lang w:val="en-US"/>
        </w:rPr>
        <w:t>]</w:t>
      </w:r>
      <w:r w:rsidR="00C44510" w:rsidRPr="00436902">
        <w:rPr>
          <w:lang w:val="en-US"/>
        </w:rPr>
        <w:t>-</w:t>
      </w:r>
      <w:r w:rsidR="009347B7" w:rsidRPr="00436902">
        <w:rPr>
          <w:lang w:val="en-US"/>
        </w:rPr>
        <w:t>[</w:t>
      </w:r>
      <w:r w:rsidR="00C44510" w:rsidRPr="00436902">
        <w:rPr>
          <w:lang w:val="en-US"/>
        </w:rPr>
        <w:t>14</w:t>
      </w:r>
      <w:r w:rsidR="009347B7" w:rsidRPr="00436902">
        <w:rPr>
          <w:lang w:val="en-US"/>
        </w:rPr>
        <w:t>4]</w:t>
      </w:r>
      <w:r w:rsidR="008E7BC1" w:rsidRPr="00436902">
        <w:rPr>
          <w:lang w:val="en-US"/>
        </w:rPr>
        <w:t>,</w:t>
      </w:r>
      <w:r w:rsidR="0023148A" w:rsidRPr="00436902">
        <w:rPr>
          <w:lang w:val="en-US"/>
        </w:rPr>
        <w:t xml:space="preserve"> </w:t>
      </w:r>
      <w:r w:rsidR="00FB3669" w:rsidRPr="00436902">
        <w:rPr>
          <w:lang w:val="en-US"/>
        </w:rPr>
        <w:t xml:space="preserve">the </w:t>
      </w:r>
      <w:r w:rsidR="00030867" w:rsidRPr="00436902">
        <w:rPr>
          <w:lang w:val="en-US"/>
        </w:rPr>
        <w:t xml:space="preserve">Panel has identified the </w:t>
      </w:r>
      <w:r w:rsidR="00FB3669" w:rsidRPr="00436902">
        <w:rPr>
          <w:lang w:val="en-US"/>
        </w:rPr>
        <w:t>following circumstances</w:t>
      </w:r>
      <w:r w:rsidR="00030867" w:rsidRPr="00436902">
        <w:rPr>
          <w:lang w:val="en-US"/>
        </w:rPr>
        <w:t xml:space="preserve"> that</w:t>
      </w:r>
      <w:r w:rsidR="00FB3669" w:rsidRPr="00436902">
        <w:rPr>
          <w:lang w:val="en-US"/>
        </w:rPr>
        <w:t xml:space="preserve"> </w:t>
      </w:r>
      <w:r w:rsidR="00165284" w:rsidRPr="00436902">
        <w:rPr>
          <w:lang w:val="en-US"/>
        </w:rPr>
        <w:t>may</w:t>
      </w:r>
      <w:r w:rsidR="00FB3669" w:rsidRPr="00436902">
        <w:rPr>
          <w:lang w:val="en-US"/>
        </w:rPr>
        <w:t xml:space="preserve"> prevent consumers from accessing redress:</w:t>
      </w:r>
    </w:p>
    <w:p w:rsidR="00C44510" w:rsidRPr="00436902" w:rsidRDefault="00C44510" w:rsidP="00C44510">
      <w:pPr>
        <w:pStyle w:val="Bullet"/>
      </w:pPr>
      <w:r w:rsidRPr="00436902">
        <w:t>the financial firm was insolvent or otherwise unable to pay;</w:t>
      </w:r>
    </w:p>
    <w:p w:rsidR="00C44510" w:rsidRPr="00436902" w:rsidRDefault="00C44510" w:rsidP="00C44510">
      <w:pPr>
        <w:pStyle w:val="Bullet"/>
      </w:pPr>
      <w:r w:rsidRPr="00436902">
        <w:t>the monetary value of the dispute exceeded the EDR scheme’s monetary limits;</w:t>
      </w:r>
    </w:p>
    <w:p w:rsidR="00C44510" w:rsidRPr="00436902" w:rsidRDefault="00C44510" w:rsidP="00C44510">
      <w:pPr>
        <w:pStyle w:val="Bullet"/>
      </w:pPr>
      <w:r w:rsidRPr="00436902">
        <w:t>the dispute was outside of the EDR scheme’s time limits; or</w:t>
      </w:r>
    </w:p>
    <w:p w:rsidR="00C44510" w:rsidRPr="00436902" w:rsidRDefault="00C44510" w:rsidP="00C44510">
      <w:pPr>
        <w:pStyle w:val="Bullet"/>
      </w:pPr>
      <w:r w:rsidRPr="00436902">
        <w:t>the consumer or small business did not pursue their dispute with the EDR scheme for other unspecified reasons (for example, because of personal circumstances or cost involved, dispute fatigue or emotional distress).</w:t>
      </w:r>
    </w:p>
    <w:p w:rsidR="00E04C50" w:rsidRPr="00436902" w:rsidRDefault="00E04C50" w:rsidP="005430C6">
      <w:pPr>
        <w:pStyle w:val="OutlineNumbered1"/>
      </w:pPr>
      <w:r w:rsidRPr="00436902">
        <w:t>Whether all or a subset of these should be included in a scheme to provide redress for past disputes would need to be considered in the design of such a scheme.</w:t>
      </w:r>
    </w:p>
    <w:p w:rsidR="00D20490" w:rsidRPr="005430C6" w:rsidRDefault="00D20490" w:rsidP="005430C6">
      <w:r w:rsidRPr="00D20490">
        <w:br w:type="page"/>
      </w:r>
    </w:p>
    <w:p w:rsidR="00516E67" w:rsidRDefault="00516E67" w:rsidP="002B724B">
      <w:pPr>
        <w:pStyle w:val="Heading5"/>
      </w:pPr>
      <w:r w:rsidRPr="002B724B">
        <w:t>Monetary</w:t>
      </w:r>
      <w:r>
        <w:t xml:space="preserve"> limits</w:t>
      </w:r>
    </w:p>
    <w:p w:rsidR="00025FE1" w:rsidRDefault="00EA1621" w:rsidP="00253395">
      <w:pPr>
        <w:pStyle w:val="OutlineNumbered1"/>
      </w:pPr>
      <w:r>
        <w:t xml:space="preserve">The existing EDR schemes operate </w:t>
      </w:r>
      <w:r w:rsidR="00885993">
        <w:t>caps on the value of disputes that they consider</w:t>
      </w:r>
      <w:r w:rsidR="00025FE1">
        <w:t xml:space="preserve"> (currently disputes up to $500,000) and the amount of compensation that may be awarded (currently up to $309,000)</w:t>
      </w:r>
      <w:r w:rsidR="00885993">
        <w:t xml:space="preserve">. </w:t>
      </w:r>
      <w:r w:rsidR="00025FE1">
        <w:t xml:space="preserve">In developing a </w:t>
      </w:r>
      <w:r w:rsidR="0023148A">
        <w:t xml:space="preserve">scheme </w:t>
      </w:r>
      <w:r w:rsidR="00025FE1">
        <w:t xml:space="preserve">to </w:t>
      </w:r>
      <w:r w:rsidR="008832B9">
        <w:t>deal with</w:t>
      </w:r>
      <w:r w:rsidR="00025FE1">
        <w:t xml:space="preserve"> past disputes, consideration would need to be given to:</w:t>
      </w:r>
    </w:p>
    <w:p w:rsidR="00025FE1" w:rsidRDefault="00025FE1">
      <w:pPr>
        <w:pStyle w:val="Bullet"/>
      </w:pPr>
      <w:r>
        <w:t xml:space="preserve">whether </w:t>
      </w:r>
      <w:r w:rsidR="0051778F">
        <w:t xml:space="preserve">any </w:t>
      </w:r>
      <w:r>
        <w:t>monetary limits should apply; and</w:t>
      </w:r>
    </w:p>
    <w:p w:rsidR="00EA1621" w:rsidRDefault="00EA1621">
      <w:pPr>
        <w:pStyle w:val="Bullet"/>
      </w:pPr>
      <w:r>
        <w:t xml:space="preserve">if </w:t>
      </w:r>
      <w:r w:rsidR="00025FE1">
        <w:t xml:space="preserve">so, whether the monetary limits that apply </w:t>
      </w:r>
      <w:r>
        <w:t xml:space="preserve">should be the EDR </w:t>
      </w:r>
      <w:r w:rsidR="00025FE1">
        <w:t>schemes</w:t>
      </w:r>
      <w:r w:rsidR="009F688A">
        <w:t>’</w:t>
      </w:r>
      <w:r w:rsidR="00025FE1">
        <w:t xml:space="preserve"> monetary limits.</w:t>
      </w:r>
    </w:p>
    <w:p w:rsidR="00516E67" w:rsidRPr="00792422" w:rsidRDefault="008832B9" w:rsidP="00253395">
      <w:pPr>
        <w:pStyle w:val="OutlineNumbered1"/>
      </w:pPr>
      <w:r>
        <w:t xml:space="preserve">If it is appropriate to apply the monetary limits of the EDR schemes, an additional consideration would include whether consumers and small businesses </w:t>
      </w:r>
      <w:r w:rsidR="0023148A">
        <w:t>whose dispute</w:t>
      </w:r>
      <w:r w:rsidDel="0023148A">
        <w:t xml:space="preserve"> </w:t>
      </w:r>
      <w:r>
        <w:t>fall</w:t>
      </w:r>
      <w:r w:rsidR="0023148A">
        <w:t>s</w:t>
      </w:r>
      <w:r>
        <w:t xml:space="preserve"> within the new</w:t>
      </w:r>
      <w:r w:rsidR="00482AD0">
        <w:t>, higher</w:t>
      </w:r>
      <w:r>
        <w:t xml:space="preserve"> limits of the proposed Australian Financial Complaints Authority </w:t>
      </w:r>
      <w:r w:rsidR="0023148A">
        <w:t xml:space="preserve">but was outside the previous limits </w:t>
      </w:r>
      <w:r>
        <w:t>should be able to apply to have their dispute considered. If so, a</w:t>
      </w:r>
      <w:r w:rsidR="00516E67" w:rsidRPr="00C8107B">
        <w:t xml:space="preserve">ccess </w:t>
      </w:r>
      <w:r w:rsidR="00516E67">
        <w:t xml:space="preserve">to redress for past disputes could be provided through a transition period whereby the </w:t>
      </w:r>
      <w:r w:rsidR="002B2846">
        <w:t xml:space="preserve">higher </w:t>
      </w:r>
      <w:r w:rsidR="00516E67">
        <w:t>monetary limits of the new EDR body are applied for</w:t>
      </w:r>
      <w:r w:rsidR="004F572C">
        <w:t xml:space="preserve"> a defined period (</w:t>
      </w:r>
      <w:r w:rsidR="00516E67">
        <w:t>for example, one year</w:t>
      </w:r>
      <w:r w:rsidR="004F572C">
        <w:t>)</w:t>
      </w:r>
      <w:r w:rsidR="00516E67">
        <w:t xml:space="preserve"> retrospectively.</w:t>
      </w:r>
    </w:p>
    <w:p w:rsidR="001C246C" w:rsidRDefault="001C246C" w:rsidP="00F0787A">
      <w:pPr>
        <w:pStyle w:val="Heading5"/>
        <w:spacing w:line="240" w:lineRule="auto"/>
      </w:pPr>
      <w:r w:rsidRPr="002B05BC">
        <w:t xml:space="preserve">Time </w:t>
      </w:r>
      <w:r w:rsidR="007601F0">
        <w:t>l</w:t>
      </w:r>
      <w:r w:rsidRPr="002B05BC">
        <w:t>imits</w:t>
      </w:r>
    </w:p>
    <w:p w:rsidR="00B44B19" w:rsidRDefault="00B44B19">
      <w:pPr>
        <w:pStyle w:val="OutlineNumbered1"/>
      </w:pPr>
      <w:r w:rsidRPr="00D64417">
        <w:t xml:space="preserve">If </w:t>
      </w:r>
      <w:r w:rsidR="0054434A">
        <w:t>a</w:t>
      </w:r>
      <w:r w:rsidRPr="00D64417">
        <w:t xml:space="preserve"> </w:t>
      </w:r>
      <w:r w:rsidR="0023148A">
        <w:t>scheme</w:t>
      </w:r>
      <w:r w:rsidR="0023148A" w:rsidRPr="00D64417">
        <w:t xml:space="preserve"> </w:t>
      </w:r>
      <w:r w:rsidRPr="00D64417">
        <w:t xml:space="preserve">to provide access to redress for past disputes was adopted, </w:t>
      </w:r>
      <w:r>
        <w:t>it would need to be subject to appropriate time limits</w:t>
      </w:r>
      <w:r w:rsidR="009F688A">
        <w:t xml:space="preserve">. </w:t>
      </w:r>
      <w:r w:rsidR="00E377F9">
        <w:t xml:space="preserve">This could include adopting a dispute </w:t>
      </w:r>
      <w:r w:rsidR="009F688A">
        <w:t>‘</w:t>
      </w:r>
      <w:r w:rsidR="00E377F9">
        <w:t>age</w:t>
      </w:r>
      <w:r w:rsidR="009F688A">
        <w:t>’</w:t>
      </w:r>
      <w:r w:rsidR="00E377F9">
        <w:t xml:space="preserve"> limit and a </w:t>
      </w:r>
      <w:r w:rsidR="009F688A">
        <w:t>‘</w:t>
      </w:r>
      <w:r w:rsidR="00E377F9">
        <w:t>window of application</w:t>
      </w:r>
      <w:r w:rsidR="009F688A">
        <w:t>’</w:t>
      </w:r>
      <w:r w:rsidR="00E377F9">
        <w:t>.</w:t>
      </w:r>
    </w:p>
    <w:p w:rsidR="00C8107B" w:rsidRPr="00B21515" w:rsidRDefault="00C8107B" w:rsidP="00B21515">
      <w:pPr>
        <w:pStyle w:val="Heading6"/>
      </w:pPr>
      <w:r w:rsidRPr="00B21515">
        <w:t>Age of eligible disputes</w:t>
      </w:r>
    </w:p>
    <w:p w:rsidR="007601F0" w:rsidRPr="007601F0" w:rsidRDefault="00DB2F41">
      <w:pPr>
        <w:pStyle w:val="OutlineNumbered1"/>
      </w:pPr>
      <w:r>
        <w:t>Placing</w:t>
      </w:r>
      <w:r w:rsidR="00B44B19">
        <w:t xml:space="preserve"> a </w:t>
      </w:r>
      <w:r w:rsidR="007601F0" w:rsidRPr="007601F0">
        <w:t xml:space="preserve">limit </w:t>
      </w:r>
      <w:r w:rsidR="00234827">
        <w:t>on</w:t>
      </w:r>
      <w:r w:rsidR="007601F0" w:rsidRPr="007601F0">
        <w:t xml:space="preserve"> the </w:t>
      </w:r>
      <w:r w:rsidR="009F688A">
        <w:t>‘</w:t>
      </w:r>
      <w:r w:rsidR="007601F0" w:rsidRPr="007601F0">
        <w:t>age</w:t>
      </w:r>
      <w:r w:rsidR="009F688A">
        <w:t>’</w:t>
      </w:r>
      <w:r w:rsidR="007601F0" w:rsidRPr="007601F0">
        <w:t xml:space="preserve"> of disputes</w:t>
      </w:r>
      <w:r w:rsidR="007601F0">
        <w:t xml:space="preserve"> which may be brought </w:t>
      </w:r>
      <w:r w:rsidR="00E377F9">
        <w:t xml:space="preserve">before such a proposed scheme </w:t>
      </w:r>
      <w:r w:rsidR="007601F0">
        <w:t>would limit:</w:t>
      </w:r>
    </w:p>
    <w:p w:rsidR="007601F0" w:rsidRPr="007601F0" w:rsidRDefault="007601F0">
      <w:pPr>
        <w:pStyle w:val="Bullet"/>
      </w:pPr>
      <w:r>
        <w:t xml:space="preserve">the </w:t>
      </w:r>
      <w:r w:rsidRPr="007601F0">
        <w:t>length of time affected parties (</w:t>
      </w:r>
      <w:r w:rsidR="00DB6B06">
        <w:t>that is,</w:t>
      </w:r>
      <w:r w:rsidRPr="007601F0">
        <w:t xml:space="preserve"> </w:t>
      </w:r>
      <w:r>
        <w:t>financial firms</w:t>
      </w:r>
      <w:r w:rsidRPr="007601F0">
        <w:t>) need to retain evidence</w:t>
      </w:r>
      <w:r>
        <w:t>; and</w:t>
      </w:r>
    </w:p>
    <w:p w:rsidR="007601F0" w:rsidRPr="007601F0" w:rsidRDefault="007601F0">
      <w:pPr>
        <w:pStyle w:val="Bullet"/>
      </w:pPr>
      <w:r w:rsidRPr="007601F0">
        <w:t>the new and increased exposure that financial firms would potentially face</w:t>
      </w:r>
      <w:r>
        <w:t xml:space="preserve"> (</w:t>
      </w:r>
      <w:r w:rsidR="00DB6B06">
        <w:t>for example,</w:t>
      </w:r>
      <w:r>
        <w:t xml:space="preserve"> in the case of increased monetary limits).</w:t>
      </w:r>
    </w:p>
    <w:p w:rsidR="007601F0" w:rsidRPr="00D64417" w:rsidRDefault="007601F0">
      <w:pPr>
        <w:pStyle w:val="OutlineNumbered1"/>
        <w:rPr>
          <w:b/>
        </w:rPr>
      </w:pPr>
      <w:r>
        <w:t>Access could be aligned</w:t>
      </w:r>
      <w:r w:rsidRPr="007601F0">
        <w:t xml:space="preserve"> with age limits administered by the </w:t>
      </w:r>
      <w:r w:rsidR="00234827" w:rsidRPr="007601F0">
        <w:t xml:space="preserve">existing </w:t>
      </w:r>
      <w:r w:rsidRPr="007601F0">
        <w:t>schemes. Currently, both FOS and CIO have time limits on the age of disputes which they will consider</w:t>
      </w:r>
      <w:r>
        <w:t xml:space="preserve">, generally </w:t>
      </w:r>
      <w:r w:rsidR="00234827">
        <w:t xml:space="preserve">being </w:t>
      </w:r>
      <w:r>
        <w:t>those up to six years old</w:t>
      </w:r>
      <w:r w:rsidRPr="007601F0">
        <w:t>.</w:t>
      </w:r>
    </w:p>
    <w:p w:rsidR="00516E67" w:rsidRPr="00182B29" w:rsidRDefault="00516E67">
      <w:pPr>
        <w:pStyle w:val="Heading6"/>
      </w:pPr>
      <w:r w:rsidRPr="00182B29">
        <w:t xml:space="preserve">Application </w:t>
      </w:r>
      <w:r w:rsidR="009F688A" w:rsidRPr="00182B29">
        <w:t>‘</w:t>
      </w:r>
      <w:r w:rsidRPr="00182B29">
        <w:t>window</w:t>
      </w:r>
      <w:r w:rsidR="009F688A" w:rsidRPr="00182B29">
        <w:t>’</w:t>
      </w:r>
    </w:p>
    <w:p w:rsidR="00516E67" w:rsidRPr="00792422" w:rsidRDefault="00516E67">
      <w:pPr>
        <w:pStyle w:val="OutlineNumbered1"/>
        <w:rPr>
          <w:b/>
        </w:rPr>
      </w:pPr>
      <w:r w:rsidRPr="00C8107B">
        <w:t>A</w:t>
      </w:r>
      <w:r>
        <w:t>nother consideration</w:t>
      </w:r>
      <w:r w:rsidRPr="00C8107B">
        <w:t xml:space="preserve"> is whether </w:t>
      </w:r>
      <w:r w:rsidRPr="009C57A8">
        <w:t>the</w:t>
      </w:r>
      <w:r>
        <w:t xml:space="preserve"> scheme should be subject to a limited application </w:t>
      </w:r>
      <w:r w:rsidR="009F688A">
        <w:t>‘</w:t>
      </w:r>
      <w:r>
        <w:t>window</w:t>
      </w:r>
      <w:r w:rsidR="009F688A">
        <w:t>’</w:t>
      </w:r>
      <w:r>
        <w:t xml:space="preserve"> during</w:t>
      </w:r>
      <w:r w:rsidRPr="00EE2DBC">
        <w:t xml:space="preserve"> which </w:t>
      </w:r>
      <w:r>
        <w:t>time eligible</w:t>
      </w:r>
      <w:r w:rsidRPr="00EE2DBC">
        <w:t xml:space="preserve"> consumers </w:t>
      </w:r>
      <w:r>
        <w:t>must</w:t>
      </w:r>
      <w:r w:rsidRPr="00EE2DBC">
        <w:t xml:space="preserve"> come forward and identify themselves to </w:t>
      </w:r>
      <w:r>
        <w:t xml:space="preserve">the relevant body (for example, </w:t>
      </w:r>
      <w:r w:rsidRPr="00EE2DBC">
        <w:t>an EDR scheme</w:t>
      </w:r>
      <w:r>
        <w:t xml:space="preserve">). In the absence of an application window, the mechanism would be available </w:t>
      </w:r>
      <w:r w:rsidR="00883D58">
        <w:t>on an ongoing basis, for any disputes within any age limits</w:t>
      </w:r>
      <w:r>
        <w:t>.</w:t>
      </w:r>
    </w:p>
    <w:p w:rsidR="00D20490" w:rsidRPr="005430C6" w:rsidRDefault="00D20490" w:rsidP="005430C6">
      <w:r w:rsidRPr="00D20490">
        <w:br w:type="page"/>
      </w:r>
    </w:p>
    <w:p w:rsidR="001C246C" w:rsidRPr="00EB330C" w:rsidRDefault="00E838CD" w:rsidP="00A23924">
      <w:pPr>
        <w:pStyle w:val="Heading3"/>
      </w:pPr>
      <w:r>
        <w:t>Compensation and f</w:t>
      </w:r>
      <w:r w:rsidR="00720843">
        <w:t>unding</w:t>
      </w:r>
    </w:p>
    <w:p w:rsidR="00792422" w:rsidRDefault="00720843">
      <w:pPr>
        <w:pStyle w:val="OutlineNumbered1"/>
      </w:pPr>
      <w:r>
        <w:t xml:space="preserve">Under normal circumstances, the financial firm must pay the compensation awarded by an EDR body. As noted </w:t>
      </w:r>
      <w:r w:rsidR="0063542C">
        <w:t>above</w:t>
      </w:r>
      <w:r>
        <w:t>, extending coverage to past disputes could have significant consequences for financial firms, particularly in relation to their professional indemnity insurance requirements.</w:t>
      </w:r>
    </w:p>
    <w:p w:rsidR="00792422" w:rsidRPr="00720843" w:rsidRDefault="00792422">
      <w:pPr>
        <w:pStyle w:val="OutlineNumbered1"/>
      </w:pPr>
      <w:r>
        <w:t xml:space="preserve">In addition, </w:t>
      </w:r>
      <w:r w:rsidR="002B2846">
        <w:t xml:space="preserve">some </w:t>
      </w:r>
      <w:r>
        <w:t>of</w:t>
      </w:r>
      <w:r w:rsidR="008E4062">
        <w:t xml:space="preserve"> the firms that would be </w:t>
      </w:r>
      <w:r w:rsidR="002B2846">
        <w:t xml:space="preserve">a </w:t>
      </w:r>
      <w:r w:rsidR="008E4062">
        <w:t xml:space="preserve">party to </w:t>
      </w:r>
      <w:r w:rsidR="002B2846">
        <w:t xml:space="preserve">past </w:t>
      </w:r>
      <w:r w:rsidR="008E4062">
        <w:t xml:space="preserve">disputes </w:t>
      </w:r>
      <w:r w:rsidR="002B2846">
        <w:t>may</w:t>
      </w:r>
      <w:r w:rsidR="008E4062">
        <w:t xml:space="preserve"> no longer exist or </w:t>
      </w:r>
      <w:r w:rsidR="002B2846">
        <w:t xml:space="preserve">may be </w:t>
      </w:r>
      <w:r w:rsidR="008E4062">
        <w:t>insolvent</w:t>
      </w:r>
      <w:r>
        <w:t>. This</w:t>
      </w:r>
      <w:r w:rsidR="008E4062">
        <w:t xml:space="preserve"> raises questions about how awards in these matters should be </w:t>
      </w:r>
      <w:r>
        <w:t xml:space="preserve">paid for </w:t>
      </w:r>
      <w:r w:rsidR="008E4062">
        <w:t xml:space="preserve">if </w:t>
      </w:r>
      <w:r w:rsidR="00EA1621">
        <w:t xml:space="preserve">such disputes </w:t>
      </w:r>
      <w:r w:rsidR="008E4062">
        <w:t>are included in a scheme.</w:t>
      </w:r>
    </w:p>
    <w:p w:rsidR="00883D58" w:rsidRDefault="00720843">
      <w:pPr>
        <w:pStyle w:val="OutlineNumbered1"/>
      </w:pPr>
      <w:r>
        <w:t xml:space="preserve">Given these issues, </w:t>
      </w:r>
      <w:r w:rsidR="00792422">
        <w:t xml:space="preserve">careful </w:t>
      </w:r>
      <w:r>
        <w:t>consideration needs to be given to the appropriate arrangements for funding any redress for past disputes.</w:t>
      </w:r>
    </w:p>
    <w:p w:rsidR="00883D58" w:rsidRDefault="00883D58">
      <w:pPr>
        <w:pStyle w:val="OutlineNumbered1"/>
      </w:pPr>
      <w:r>
        <w:t xml:space="preserve">Depending on how any compensation arising from past disputes is funded, it may not be possible to fully compensate all claimants. This may require a </w:t>
      </w:r>
      <w:r w:rsidR="009F688A">
        <w:t>‘</w:t>
      </w:r>
      <w:r>
        <w:t>rationing</w:t>
      </w:r>
      <w:r w:rsidR="009F688A">
        <w:t>’</w:t>
      </w:r>
      <w:r>
        <w:t xml:space="preserve"> mechanism</w:t>
      </w:r>
      <w:r w:rsidRPr="00AF6C66">
        <w:t xml:space="preserve"> </w:t>
      </w:r>
      <w:r>
        <w:t>to determine the amounts of compensation which are awarded. A</w:t>
      </w:r>
      <w:r w:rsidR="001E2656">
        <w:t> </w:t>
      </w:r>
      <w:r>
        <w:t>rationing mechanism could be based on hardship. For example, claims which have resulted in financial hardship may be given priority in cases where a defined pool of money is available to fund past dispute determinations.</w:t>
      </w:r>
    </w:p>
    <w:p w:rsidR="00E55958" w:rsidRDefault="00E55958" w:rsidP="00E55958">
      <w:pPr>
        <w:pStyle w:val="Heading3"/>
      </w:pPr>
      <w:r>
        <w:t>Stakeholder proposal for providing access to redress for past disputes</w:t>
      </w:r>
    </w:p>
    <w:p w:rsidR="00B7595F" w:rsidRDefault="00E55958">
      <w:pPr>
        <w:pStyle w:val="OutlineNumbered1"/>
      </w:pPr>
      <w:r>
        <w:t>The Panel has received a proposal from</w:t>
      </w:r>
      <w:r w:rsidR="001233A5">
        <w:t xml:space="preserve"> Westpac for the possible design of a </w:t>
      </w:r>
      <w:r w:rsidR="009F688A">
        <w:t>‘</w:t>
      </w:r>
      <w:r w:rsidR="00FC51F8" w:rsidRPr="009B4D26">
        <w:t>bank</w:t>
      </w:r>
      <w:r w:rsidR="009F688A">
        <w:noBreakHyphen/>
      </w:r>
      <w:r w:rsidR="00FC51F8" w:rsidRPr="009B4D26">
        <w:t>related</w:t>
      </w:r>
      <w:r w:rsidR="00FC51F8">
        <w:t xml:space="preserve"> </w:t>
      </w:r>
      <w:r w:rsidR="001233A5">
        <w:t>past issues forum</w:t>
      </w:r>
      <w:r w:rsidR="009F688A">
        <w:t>’</w:t>
      </w:r>
      <w:r w:rsidR="001233A5">
        <w:t>.</w:t>
      </w:r>
      <w:r w:rsidR="00B50E3B">
        <w:rPr>
          <w:rStyle w:val="FootnoteReference"/>
        </w:rPr>
        <w:footnoteReference w:id="81"/>
      </w:r>
      <w:r w:rsidR="001233A5">
        <w:t xml:space="preserve"> </w:t>
      </w:r>
      <w:r w:rsidR="001C2AD8">
        <w:t>An outline</w:t>
      </w:r>
      <w:r>
        <w:t xml:space="preserve"> of th</w:t>
      </w:r>
      <w:r w:rsidR="001233A5">
        <w:t xml:space="preserve">is </w:t>
      </w:r>
      <w:r>
        <w:t>proposal is provided below</w:t>
      </w:r>
      <w:r w:rsidR="001233A5">
        <w:t xml:space="preserve"> to assist stakeholders in responding to questions about design issues.</w:t>
      </w:r>
    </w:p>
    <w:p w:rsidR="00374996" w:rsidRDefault="001233A5" w:rsidP="00717336">
      <w:pPr>
        <w:pStyle w:val="OutlineNumbered1"/>
        <w:spacing w:after="360"/>
      </w:pPr>
      <w:r>
        <w:t>This proposal does not represent a preferred view of the Panel</w:t>
      </w:r>
      <w:r w:rsidR="00C53CA7">
        <w:t>, but is included to facilitate consideration of the issues</w:t>
      </w:r>
      <w:r>
        <w:t>.</w:t>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Layout w:type="fixed"/>
        <w:tblCellMar>
          <w:right w:w="142" w:type="dxa"/>
        </w:tblCellMar>
        <w:tblLook w:val="0480" w:firstRow="0" w:lastRow="0" w:firstColumn="1" w:lastColumn="0" w:noHBand="0" w:noVBand="1"/>
      </w:tblPr>
      <w:tblGrid>
        <w:gridCol w:w="9072"/>
      </w:tblGrid>
      <w:tr w:rsidR="00717336" w:rsidTr="00253395">
        <w:trPr>
          <w:trHeight w:val="1705"/>
        </w:trPr>
        <w:tc>
          <w:tcPr>
            <w:tcW w:w="9072" w:type="dxa"/>
            <w:tcBorders>
              <w:top w:val="single" w:sz="2" w:space="0" w:color="1F497D" w:themeColor="text2"/>
              <w:bottom w:val="single" w:sz="2" w:space="0" w:color="1F497D" w:themeColor="text2"/>
            </w:tcBorders>
          </w:tcPr>
          <w:p w:rsidR="00717336" w:rsidRDefault="00717336" w:rsidP="00717336">
            <w:pPr>
              <w:pStyle w:val="BoxHeading"/>
            </w:pPr>
            <w:r>
              <w:t>Westpac proposal</w:t>
            </w:r>
          </w:p>
          <w:p w:rsidR="00717336" w:rsidRPr="00C81F56" w:rsidRDefault="00717336" w:rsidP="00717336">
            <w:pPr>
              <w:pStyle w:val="BoxHeading-Sub"/>
            </w:pPr>
            <w:r w:rsidRPr="00C81F56">
              <w:t>Structure/governance</w:t>
            </w:r>
          </w:p>
          <w:p w:rsidR="00717336" w:rsidRPr="002B724B" w:rsidRDefault="00717336" w:rsidP="00717336">
            <w:pPr>
              <w:pStyle w:val="BoxBullet-NoIndent"/>
            </w:pPr>
            <w:r w:rsidRPr="002B724B">
              <w:t>Decisions of the past issues forum would be made by an ad</w:t>
            </w:r>
            <w:r w:rsidRPr="002B724B">
              <w:noBreakHyphen/>
              <w:t>hoc expert panel appointed by the single EDR body. The expert panel would be constituted based on the nature of the disputes it considers. The expert panel would have commercial and legal capability and extended jurisdiction.</w:t>
            </w:r>
          </w:p>
          <w:p w:rsidR="00717336" w:rsidRPr="000E30F6" w:rsidRDefault="00717336" w:rsidP="00717336">
            <w:pPr>
              <w:pStyle w:val="BoxBullet-NoIndent"/>
            </w:pPr>
            <w:r w:rsidRPr="002B724B">
              <w:t xml:space="preserve">The expert panel would be approved by members </w:t>
            </w:r>
            <w:r w:rsidRPr="005D1D72">
              <w:t>of the single EDR body</w:t>
            </w:r>
            <w:r w:rsidRPr="002B724B">
              <w:t>.</w:t>
            </w:r>
          </w:p>
          <w:p w:rsidR="00717336" w:rsidRPr="00C81F56" w:rsidRDefault="00717336" w:rsidP="00717336">
            <w:pPr>
              <w:pStyle w:val="BoxHeading-Sub"/>
            </w:pPr>
            <w:r w:rsidRPr="00C81F56">
              <w:t>Remit</w:t>
            </w:r>
          </w:p>
          <w:p w:rsidR="00717336" w:rsidRDefault="00717336" w:rsidP="000E30F6">
            <w:pPr>
              <w:pStyle w:val="BoxBullet-NoIndent"/>
              <w:spacing w:after="160"/>
            </w:pPr>
            <w:r w:rsidRPr="002B724B">
              <w:t>The remit of the past issues forum would be bank</w:t>
            </w:r>
            <w:r w:rsidRPr="002B724B">
              <w:noBreakHyphen/>
              <w:t>related allegations relating to poor financial advice or maladministration in lending.</w:t>
            </w:r>
          </w:p>
        </w:tc>
      </w:tr>
    </w:tbl>
    <w:p w:rsidR="00717336" w:rsidRDefault="00717336">
      <w:r>
        <w:rPr>
          <w:b/>
        </w:rPr>
        <w:br w:type="page"/>
      </w:r>
    </w:p>
    <w:tbl>
      <w:tblPr>
        <w:tblStyle w:val="TableGrid"/>
        <w:tblW w:w="9073"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Layout w:type="fixed"/>
        <w:tblCellMar>
          <w:right w:w="142" w:type="dxa"/>
        </w:tblCellMar>
        <w:tblLook w:val="0480" w:firstRow="0" w:lastRow="0" w:firstColumn="1" w:lastColumn="0" w:noHBand="0" w:noVBand="1"/>
      </w:tblPr>
      <w:tblGrid>
        <w:gridCol w:w="274"/>
        <w:gridCol w:w="2693"/>
        <w:gridCol w:w="771"/>
        <w:gridCol w:w="770"/>
        <w:gridCol w:w="2013"/>
        <w:gridCol w:w="294"/>
        <w:gridCol w:w="1988"/>
        <w:gridCol w:w="270"/>
      </w:tblGrid>
      <w:tr w:rsidR="00374996" w:rsidTr="007D17D3">
        <w:trPr>
          <w:trHeight w:val="1705"/>
        </w:trPr>
        <w:tc>
          <w:tcPr>
            <w:tcW w:w="9072" w:type="dxa"/>
            <w:gridSpan w:val="8"/>
            <w:tcBorders>
              <w:top w:val="single" w:sz="2" w:space="0" w:color="1F497D" w:themeColor="text2"/>
              <w:bottom w:val="nil"/>
            </w:tcBorders>
          </w:tcPr>
          <w:p w:rsidR="00374996" w:rsidRDefault="00374996" w:rsidP="00717336">
            <w:pPr>
              <w:pStyle w:val="BoxHeading-Continued"/>
            </w:pPr>
            <w:r>
              <w:t>Westpac proposal</w:t>
            </w:r>
            <w:r w:rsidR="00717336">
              <w:t xml:space="preserve"> (continued)</w:t>
            </w:r>
          </w:p>
          <w:p w:rsidR="00CC7027" w:rsidRPr="00C566D4" w:rsidRDefault="00CC7027" w:rsidP="009F6B31">
            <w:pPr>
              <w:tabs>
                <w:tab w:val="num" w:pos="567"/>
              </w:tabs>
              <w:spacing w:after="160"/>
              <w:rPr>
                <w:rFonts w:ascii="Century Gothic" w:hAnsi="Century Gothic"/>
                <w:b/>
                <w:color w:val="1F497D" w:themeColor="text2"/>
              </w:rPr>
            </w:pPr>
            <w:r w:rsidRPr="00C566D4">
              <w:rPr>
                <w:rFonts w:ascii="Century Gothic" w:hAnsi="Century Gothic"/>
                <w:b/>
                <w:color w:val="1F497D" w:themeColor="text2"/>
              </w:rPr>
              <w:t>Funding</w:t>
            </w:r>
          </w:p>
          <w:p w:rsidR="00CC7027" w:rsidRPr="002B724B" w:rsidRDefault="00624584" w:rsidP="009F6B31">
            <w:pPr>
              <w:pStyle w:val="BoxBullet-NoIndent"/>
              <w:spacing w:after="160"/>
            </w:pPr>
            <w:r w:rsidRPr="002B724B">
              <w:t xml:space="preserve">The </w:t>
            </w:r>
            <w:r w:rsidR="00EF5777" w:rsidRPr="002B724B">
              <w:t xml:space="preserve">past issues </w:t>
            </w:r>
            <w:r w:rsidRPr="002B724B">
              <w:t xml:space="preserve">forum would be </w:t>
            </w:r>
            <w:r w:rsidR="00CC7027" w:rsidRPr="002B724B">
              <w:t>industry</w:t>
            </w:r>
            <w:r w:rsidR="009F688A" w:rsidRPr="002B724B">
              <w:noBreakHyphen/>
            </w:r>
            <w:r w:rsidR="00CC7027" w:rsidRPr="002B724B">
              <w:t xml:space="preserve">funded via </w:t>
            </w:r>
            <w:r w:rsidRPr="002B724B">
              <w:t xml:space="preserve">a </w:t>
            </w:r>
            <w:r w:rsidR="00CC7027" w:rsidRPr="002B724B">
              <w:t>levy for potential participants</w:t>
            </w:r>
            <w:r w:rsidR="0051778F" w:rsidRPr="002B724B">
              <w:t xml:space="preserve"> </w:t>
            </w:r>
            <w:r w:rsidR="005D1D72" w:rsidRPr="005D1D72">
              <w:t>(</w:t>
            </w:r>
            <w:r w:rsidR="00DB6B06" w:rsidRPr="005D1D72">
              <w:t>that is,</w:t>
            </w:r>
            <w:r w:rsidR="0051778F" w:rsidRPr="005D1D72">
              <w:t xml:space="preserve"> banks</w:t>
            </w:r>
            <w:r w:rsidR="005D1D72" w:rsidRPr="005D1D72">
              <w:t>)</w:t>
            </w:r>
            <w:r w:rsidR="00CC7027" w:rsidRPr="002B724B">
              <w:t xml:space="preserve">, </w:t>
            </w:r>
            <w:r w:rsidRPr="002B724B">
              <w:t>with a</w:t>
            </w:r>
            <w:r w:rsidR="00CC7027" w:rsidRPr="002B724B">
              <w:t xml:space="preserve"> user</w:t>
            </w:r>
            <w:r w:rsidR="009F688A" w:rsidRPr="002B724B">
              <w:noBreakHyphen/>
            </w:r>
            <w:r w:rsidR="00CC7027" w:rsidRPr="002B724B">
              <w:t>pays element for financial firms who have determinations made against them</w:t>
            </w:r>
            <w:r w:rsidR="00EF5777" w:rsidRPr="002B724B">
              <w:t>.</w:t>
            </w:r>
          </w:p>
          <w:p w:rsidR="00CB318D" w:rsidRPr="00C566D4" w:rsidRDefault="00CB318D" w:rsidP="009F6B31">
            <w:pPr>
              <w:tabs>
                <w:tab w:val="num" w:pos="567"/>
              </w:tabs>
              <w:spacing w:after="160"/>
              <w:rPr>
                <w:rFonts w:ascii="Century Gothic" w:hAnsi="Century Gothic"/>
                <w:b/>
                <w:color w:val="1F497D" w:themeColor="text2"/>
              </w:rPr>
            </w:pPr>
            <w:r w:rsidRPr="00C566D4">
              <w:rPr>
                <w:rFonts w:ascii="Century Gothic" w:hAnsi="Century Gothic"/>
                <w:b/>
                <w:color w:val="1F497D" w:themeColor="text2"/>
              </w:rPr>
              <w:t>Eligibility criteria</w:t>
            </w:r>
          </w:p>
          <w:p w:rsidR="00F85342" w:rsidRPr="002B724B" w:rsidRDefault="00F85342" w:rsidP="009F6B31">
            <w:pPr>
              <w:tabs>
                <w:tab w:val="num" w:pos="567"/>
              </w:tabs>
              <w:spacing w:after="160"/>
              <w:rPr>
                <w:rFonts w:ascii="Century Gothic" w:hAnsi="Century Gothic"/>
                <w:b/>
                <w:color w:val="000000" w:themeColor="text1"/>
                <w:sz w:val="21"/>
              </w:rPr>
            </w:pPr>
            <w:r w:rsidRPr="002B724B">
              <w:rPr>
                <w:rFonts w:ascii="Century Gothic" w:hAnsi="Century Gothic"/>
                <w:color w:val="000000" w:themeColor="text1"/>
                <w:sz w:val="21"/>
              </w:rPr>
              <w:t>Consumers or small businesses would have to satisfy the following eligibility criteria to access the past issues forum:</w:t>
            </w:r>
          </w:p>
          <w:p w:rsidR="00CB318D" w:rsidRPr="002B724B" w:rsidRDefault="00F85342" w:rsidP="009F6B31">
            <w:pPr>
              <w:pStyle w:val="BoxBullet-NoIndent"/>
              <w:spacing w:after="160"/>
            </w:pPr>
            <w:r w:rsidRPr="002B724B">
              <w:t xml:space="preserve">Their dispute must come within </w:t>
            </w:r>
            <w:r w:rsidR="00EF5777" w:rsidRPr="002B724B">
              <w:t xml:space="preserve">stated </w:t>
            </w:r>
            <w:r w:rsidR="00445FB2" w:rsidRPr="002B724B">
              <w:t>time limit</w:t>
            </w:r>
            <w:r w:rsidRPr="002B724B">
              <w:t>s</w:t>
            </w:r>
            <w:r w:rsidR="00445FB2" w:rsidRPr="002B724B">
              <w:t xml:space="preserve"> (</w:t>
            </w:r>
            <w:r w:rsidR="00DB6B06">
              <w:t>for example,</w:t>
            </w:r>
            <w:r w:rsidR="00EF5777" w:rsidRPr="002B724B">
              <w:t xml:space="preserve"> </w:t>
            </w:r>
            <w:r w:rsidR="00445FB2" w:rsidRPr="002B724B">
              <w:t>statute of limitations)</w:t>
            </w:r>
            <w:r w:rsidR="00EF5777" w:rsidRPr="002B724B">
              <w:t>.</w:t>
            </w:r>
          </w:p>
          <w:p w:rsidR="00445FB2" w:rsidRPr="002B724B" w:rsidRDefault="00F85342" w:rsidP="009F6B31">
            <w:pPr>
              <w:pStyle w:val="BoxBullet-NoIndent"/>
              <w:spacing w:after="160"/>
            </w:pPr>
            <w:r w:rsidRPr="002B724B">
              <w:t xml:space="preserve">The </w:t>
            </w:r>
            <w:r w:rsidR="00445FB2" w:rsidRPr="002B724B">
              <w:t xml:space="preserve">dispute </w:t>
            </w:r>
            <w:r w:rsidRPr="002B724B">
              <w:t xml:space="preserve">must </w:t>
            </w:r>
            <w:r w:rsidR="00445FB2" w:rsidRPr="002B724B">
              <w:t xml:space="preserve">not </w:t>
            </w:r>
            <w:r w:rsidRPr="002B724B">
              <w:t xml:space="preserve">have been </w:t>
            </w:r>
            <w:r w:rsidR="00445FB2" w:rsidRPr="002B724B">
              <w:t>previously heard (</w:t>
            </w:r>
            <w:r w:rsidR="00DB6B06">
              <w:t>for example,</w:t>
            </w:r>
            <w:r w:rsidR="00445FB2" w:rsidRPr="002B724B">
              <w:t xml:space="preserve"> by FOS or a court)</w:t>
            </w:r>
            <w:r w:rsidR="00EF5777" w:rsidRPr="002B724B">
              <w:t>.</w:t>
            </w:r>
          </w:p>
          <w:p w:rsidR="00182B29" w:rsidRPr="002B724B" w:rsidRDefault="00F85342" w:rsidP="009F6B31">
            <w:pPr>
              <w:pStyle w:val="BoxBullet-NoIndent"/>
              <w:spacing w:after="160"/>
            </w:pPr>
            <w:r w:rsidRPr="002B724B">
              <w:t xml:space="preserve">The </w:t>
            </w:r>
            <w:r w:rsidR="00445FB2" w:rsidRPr="002B724B">
              <w:t xml:space="preserve">dispute </w:t>
            </w:r>
            <w:r w:rsidR="00EF5777" w:rsidRPr="002B724B">
              <w:t xml:space="preserve">must be </w:t>
            </w:r>
            <w:r w:rsidR="00445FB2" w:rsidRPr="002B724B">
              <w:t>outside the terms of reference of the EDR body</w:t>
            </w:r>
            <w:r w:rsidR="00B50E3B" w:rsidRPr="002B724B">
              <w:t xml:space="preserve"> (</w:t>
            </w:r>
            <w:r w:rsidR="00DB6B06">
              <w:t>for example,</w:t>
            </w:r>
            <w:r w:rsidR="00B50E3B" w:rsidRPr="002B724B">
              <w:t xml:space="preserve"> </w:t>
            </w:r>
            <w:r w:rsidRPr="002B724B">
              <w:t xml:space="preserve">the </w:t>
            </w:r>
            <w:r w:rsidR="00B50E3B" w:rsidRPr="002B724B">
              <w:t>claim exceeded FOS</w:t>
            </w:r>
            <w:r w:rsidR="009F688A" w:rsidRPr="002B724B">
              <w:t>’</w:t>
            </w:r>
            <w:r w:rsidR="00B50E3B" w:rsidRPr="002B724B">
              <w:t>s monetary limit)</w:t>
            </w:r>
            <w:r w:rsidR="00EF5777" w:rsidRPr="002B724B">
              <w:t>.</w:t>
            </w:r>
          </w:p>
          <w:p w:rsidR="00182B29" w:rsidRPr="00162332" w:rsidRDefault="00182B29" w:rsidP="00182B29">
            <w:pPr>
              <w:pStyle w:val="BoxBullet-NoIndent"/>
              <w:spacing w:before="180"/>
            </w:pPr>
            <w:r w:rsidRPr="00162332">
              <w:t>If the customer is a ‘larger business’ customer, then it must not have resources to take its dispute to court (for example, it must be insolvent).</w:t>
            </w:r>
          </w:p>
          <w:p w:rsidR="00182B29" w:rsidRPr="00C566D4" w:rsidRDefault="00182B29" w:rsidP="00182B29">
            <w:pPr>
              <w:tabs>
                <w:tab w:val="num" w:pos="567"/>
              </w:tabs>
              <w:spacing w:after="160"/>
              <w:rPr>
                <w:rFonts w:ascii="Century Gothic" w:hAnsi="Century Gothic"/>
                <w:b/>
                <w:color w:val="1F497D" w:themeColor="text2"/>
              </w:rPr>
            </w:pPr>
            <w:r w:rsidRPr="00C566D4">
              <w:rPr>
                <w:rFonts w:ascii="Century Gothic" w:hAnsi="Century Gothic"/>
                <w:b/>
                <w:color w:val="1F497D" w:themeColor="text2"/>
              </w:rPr>
              <w:t>Payment of compensation</w:t>
            </w:r>
          </w:p>
          <w:p w:rsidR="00182B29" w:rsidRDefault="00182B29" w:rsidP="00253395">
            <w:pPr>
              <w:pStyle w:val="BoxBullet-NoIndent"/>
            </w:pPr>
            <w:r w:rsidRPr="002B724B">
              <w:t>Determinations of the expert panel made in favour of the customer would be paid by the bank.</w:t>
            </w:r>
          </w:p>
          <w:p w:rsidR="00182B29" w:rsidRPr="00C566D4" w:rsidRDefault="00182B29" w:rsidP="00182B29">
            <w:pPr>
              <w:tabs>
                <w:tab w:val="num" w:pos="567"/>
              </w:tabs>
              <w:spacing w:before="120" w:after="180"/>
              <w:rPr>
                <w:rFonts w:ascii="Century Gothic" w:hAnsi="Century Gothic"/>
                <w:b/>
                <w:color w:val="1F497D" w:themeColor="text2"/>
              </w:rPr>
            </w:pPr>
            <w:r w:rsidRPr="00C566D4">
              <w:rPr>
                <w:rFonts w:ascii="Century Gothic" w:hAnsi="Century Gothic"/>
                <w:b/>
                <w:color w:val="1F497D" w:themeColor="text2"/>
              </w:rPr>
              <w:t>Appeals</w:t>
            </w:r>
          </w:p>
          <w:p w:rsidR="00DB6B06" w:rsidRPr="009F6B31" w:rsidRDefault="00182B29" w:rsidP="00D84FA9">
            <w:pPr>
              <w:pStyle w:val="BoxText"/>
            </w:pPr>
            <w:r w:rsidRPr="002B724B">
              <w:t>Both the customer and the bank would be able to appeal decisions to the Supreme/Federal Court.</w:t>
            </w:r>
          </w:p>
        </w:tc>
      </w:tr>
      <w:tr w:rsidR="00B21515" w:rsidTr="007D17D3">
        <w:trPr>
          <w:trHeight w:val="194"/>
        </w:trPr>
        <w:tc>
          <w:tcPr>
            <w:tcW w:w="9072" w:type="dxa"/>
            <w:gridSpan w:val="8"/>
            <w:tcBorders>
              <w:top w:val="nil"/>
              <w:bottom w:val="nil"/>
            </w:tcBorders>
          </w:tcPr>
          <w:p w:rsidR="00B21515" w:rsidRDefault="009F6B31" w:rsidP="00717336">
            <w:pPr>
              <w:pStyle w:val="BoxHeading-Sub"/>
              <w:spacing w:before="0"/>
            </w:pPr>
            <w:r w:rsidRPr="00DB6B06">
              <w:t>Disputes within scope of proposal</w:t>
            </w:r>
          </w:p>
        </w:tc>
      </w:tr>
      <w:tr w:rsidR="009F6B31" w:rsidTr="007D17D3">
        <w:trPr>
          <w:trHeight w:val="563"/>
        </w:trPr>
        <w:tc>
          <w:tcPr>
            <w:tcW w:w="274" w:type="dxa"/>
            <w:tcBorders>
              <w:top w:val="nil"/>
              <w:bottom w:val="nil"/>
              <w:right w:val="single" w:sz="2" w:space="0" w:color="1F497D" w:themeColor="text2"/>
            </w:tcBorders>
            <w:tcMar>
              <w:left w:w="0" w:type="dxa"/>
              <w:right w:w="0" w:type="dxa"/>
            </w:tcMar>
          </w:tcPr>
          <w:p w:rsidR="00B21515" w:rsidRPr="009F6B31" w:rsidRDefault="00B21515" w:rsidP="009F6B31">
            <w:pPr>
              <w:pStyle w:val="BoxText"/>
              <w:spacing w:after="0" w:line="240" w:lineRule="auto"/>
              <w:rPr>
                <w:sz w:val="2"/>
                <w:szCs w:val="2"/>
              </w:rPr>
            </w:pPr>
          </w:p>
        </w:tc>
        <w:tc>
          <w:tcPr>
            <w:tcW w:w="2693" w:type="dxa"/>
            <w:tcBorders>
              <w:top w:val="single" w:sz="2" w:space="0" w:color="1F497D" w:themeColor="text2"/>
              <w:left w:val="single" w:sz="2" w:space="0" w:color="1F497D" w:themeColor="text2"/>
              <w:bottom w:val="single" w:sz="2" w:space="0" w:color="1F497D" w:themeColor="text2"/>
              <w:right w:val="single" w:sz="2" w:space="0" w:color="1F497D" w:themeColor="text2"/>
            </w:tcBorders>
          </w:tcPr>
          <w:p w:rsidR="009F6B31" w:rsidRPr="009F6B31" w:rsidRDefault="009F6B31" w:rsidP="00717336">
            <w:pPr>
              <w:pStyle w:val="BoxText"/>
              <w:spacing w:before="110" w:after="110"/>
              <w:jc w:val="left"/>
            </w:pPr>
            <w:r w:rsidRPr="009F6B31">
              <w:t>Past dispute relates to a bank</w:t>
            </w:r>
          </w:p>
          <w:p w:rsidR="009F6B31" w:rsidRPr="005430C6" w:rsidRDefault="009F6B31" w:rsidP="00717336">
            <w:pPr>
              <w:pStyle w:val="BoxText"/>
              <w:spacing w:before="110" w:after="110"/>
              <w:jc w:val="left"/>
              <w:rPr>
                <w:b/>
              </w:rPr>
            </w:pPr>
            <w:r w:rsidRPr="005430C6">
              <w:rPr>
                <w:b/>
              </w:rPr>
              <w:t>AND</w:t>
            </w:r>
          </w:p>
          <w:p w:rsidR="009F6B31" w:rsidRPr="009F6B31" w:rsidRDefault="009F6B31" w:rsidP="00717336">
            <w:pPr>
              <w:pStyle w:val="BoxText"/>
              <w:spacing w:before="110" w:after="110"/>
              <w:jc w:val="left"/>
            </w:pPr>
            <w:r w:rsidRPr="009F6B31">
              <w:t>Customer lacked resources to take bank to court (for example</w:t>
            </w:r>
            <w:r w:rsidRPr="009F6B31" w:rsidDel="004172B2">
              <w:t xml:space="preserve">, </w:t>
            </w:r>
            <w:r w:rsidRPr="009F6B31">
              <w:t>bankrupt)</w:t>
            </w:r>
          </w:p>
          <w:p w:rsidR="009F6B31" w:rsidRPr="005430C6" w:rsidRDefault="009F6B31" w:rsidP="00717336">
            <w:pPr>
              <w:pStyle w:val="BoxText"/>
              <w:spacing w:before="110" w:after="110"/>
              <w:jc w:val="left"/>
              <w:rPr>
                <w:b/>
              </w:rPr>
            </w:pPr>
            <w:r w:rsidRPr="005430C6">
              <w:rPr>
                <w:b/>
              </w:rPr>
              <w:t>OR</w:t>
            </w:r>
          </w:p>
          <w:p w:rsidR="009F6B31" w:rsidRPr="009F6B31" w:rsidRDefault="009F6B31" w:rsidP="00717336">
            <w:pPr>
              <w:pStyle w:val="BoxText"/>
              <w:spacing w:before="110" w:after="110"/>
              <w:jc w:val="left"/>
            </w:pPr>
            <w:r w:rsidRPr="009F6B31">
              <w:t>Dispute was outside FOS’s terms of reference</w:t>
            </w:r>
          </w:p>
          <w:p w:rsidR="009F6B31" w:rsidRPr="005430C6" w:rsidRDefault="009F6B31" w:rsidP="00717336">
            <w:pPr>
              <w:pStyle w:val="BoxText"/>
              <w:spacing w:before="110" w:after="110"/>
              <w:jc w:val="left"/>
              <w:rPr>
                <w:b/>
              </w:rPr>
            </w:pPr>
            <w:r w:rsidRPr="005430C6">
              <w:rPr>
                <w:b/>
              </w:rPr>
              <w:t>AND</w:t>
            </w:r>
          </w:p>
          <w:p w:rsidR="00B21515" w:rsidRPr="009F6B31" w:rsidRDefault="009F6B31" w:rsidP="00717336">
            <w:pPr>
              <w:pStyle w:val="BoxText"/>
              <w:spacing w:before="110" w:after="110"/>
              <w:jc w:val="left"/>
            </w:pPr>
            <w:r w:rsidRPr="009F6B31">
              <w:t>Dispute and consumer meet relevant eligibility criteria</w:t>
            </w:r>
          </w:p>
        </w:tc>
        <w:tc>
          <w:tcPr>
            <w:tcW w:w="771" w:type="dxa"/>
            <w:tcBorders>
              <w:top w:val="nil"/>
              <w:left w:val="single" w:sz="2" w:space="0" w:color="1F497D" w:themeColor="text2"/>
              <w:bottom w:val="nil"/>
              <w:right w:val="single" w:sz="18" w:space="0" w:color="1F497D" w:themeColor="text2"/>
            </w:tcBorders>
          </w:tcPr>
          <w:p w:rsidR="00B21515" w:rsidRPr="009F6B31" w:rsidRDefault="009F6B31" w:rsidP="00717336">
            <w:pPr>
              <w:pStyle w:val="BoxText"/>
              <w:spacing w:before="120"/>
              <w:jc w:val="center"/>
              <w:rPr>
                <w:b/>
              </w:rPr>
            </w:pPr>
            <w:r w:rsidRPr="009F6B31">
              <w:rPr>
                <w:b/>
              </w:rPr>
              <w:t>IN</w:t>
            </w:r>
          </w:p>
        </w:tc>
        <w:tc>
          <w:tcPr>
            <w:tcW w:w="770" w:type="dxa"/>
            <w:tcBorders>
              <w:top w:val="nil"/>
              <w:left w:val="single" w:sz="18" w:space="0" w:color="1F497D" w:themeColor="text2"/>
              <w:bottom w:val="nil"/>
              <w:right w:val="single" w:sz="2" w:space="0" w:color="1F497D" w:themeColor="text2"/>
            </w:tcBorders>
          </w:tcPr>
          <w:p w:rsidR="00B21515" w:rsidRPr="009F6B31" w:rsidRDefault="009F6B31" w:rsidP="00717336">
            <w:pPr>
              <w:pStyle w:val="BoxText"/>
              <w:spacing w:before="120"/>
              <w:jc w:val="center"/>
              <w:rPr>
                <w:b/>
              </w:rPr>
            </w:pPr>
            <w:r w:rsidRPr="009F6B31">
              <w:rPr>
                <w:b/>
              </w:rPr>
              <w:t>OUT</w:t>
            </w:r>
          </w:p>
        </w:tc>
        <w:tc>
          <w:tcPr>
            <w:tcW w:w="2013" w:type="dxa"/>
            <w:tcBorders>
              <w:top w:val="single" w:sz="2" w:space="0" w:color="1F497D" w:themeColor="text2"/>
              <w:left w:val="single" w:sz="2" w:space="0" w:color="1F497D" w:themeColor="text2"/>
              <w:bottom w:val="single" w:sz="2" w:space="0" w:color="1F497D" w:themeColor="text2"/>
              <w:right w:val="single" w:sz="2" w:space="0" w:color="1F497D" w:themeColor="text2"/>
            </w:tcBorders>
          </w:tcPr>
          <w:p w:rsidR="009F6B31" w:rsidRPr="009F6B31" w:rsidRDefault="009F6B31" w:rsidP="00717336">
            <w:pPr>
              <w:pStyle w:val="BoxText"/>
              <w:spacing w:before="110" w:after="110"/>
              <w:jc w:val="left"/>
            </w:pPr>
            <w:r w:rsidRPr="009F6B31">
              <w:t>Past dispute is not bank</w:t>
            </w:r>
            <w:r w:rsidRPr="009F6B31">
              <w:noBreakHyphen/>
              <w:t xml:space="preserve">related (for example, dispute relates to a failed financial planner </w:t>
            </w:r>
            <w:r w:rsidRPr="005D1D72">
              <w:t>not associated with a bank</w:t>
            </w:r>
            <w:r w:rsidRPr="009F6B31">
              <w:t>)</w:t>
            </w:r>
          </w:p>
          <w:p w:rsidR="009F6B31" w:rsidRPr="005430C6" w:rsidRDefault="009F6B31" w:rsidP="00717336">
            <w:pPr>
              <w:pStyle w:val="BoxText"/>
              <w:spacing w:before="110" w:after="110"/>
              <w:jc w:val="left"/>
              <w:rPr>
                <w:b/>
              </w:rPr>
            </w:pPr>
            <w:r w:rsidRPr="005430C6">
              <w:rPr>
                <w:b/>
              </w:rPr>
              <w:t>AND</w:t>
            </w:r>
          </w:p>
          <w:p w:rsidR="00B21515" w:rsidRPr="009F6B31" w:rsidRDefault="009F6B31" w:rsidP="00717336">
            <w:pPr>
              <w:pStyle w:val="BoxText"/>
              <w:spacing w:before="110" w:after="110"/>
              <w:jc w:val="left"/>
            </w:pPr>
            <w:r w:rsidRPr="009F6B31">
              <w:t>outstanding unpaid EDR determination</w:t>
            </w:r>
          </w:p>
        </w:tc>
        <w:tc>
          <w:tcPr>
            <w:tcW w:w="294" w:type="dxa"/>
            <w:tcBorders>
              <w:top w:val="nil"/>
              <w:left w:val="single" w:sz="2" w:space="0" w:color="1F497D" w:themeColor="text2"/>
              <w:bottom w:val="nil"/>
              <w:right w:val="single" w:sz="2" w:space="0" w:color="1F497D" w:themeColor="text2"/>
            </w:tcBorders>
          </w:tcPr>
          <w:p w:rsidR="00B21515" w:rsidRDefault="00B21515" w:rsidP="00B21515">
            <w:pPr>
              <w:pStyle w:val="BoxText"/>
            </w:pPr>
          </w:p>
        </w:tc>
        <w:tc>
          <w:tcPr>
            <w:tcW w:w="1988" w:type="dxa"/>
            <w:tcBorders>
              <w:top w:val="single" w:sz="2" w:space="0" w:color="1F497D" w:themeColor="text2"/>
              <w:left w:val="single" w:sz="2" w:space="0" w:color="1F497D" w:themeColor="text2"/>
              <w:bottom w:val="single" w:sz="2" w:space="0" w:color="1F497D" w:themeColor="text2"/>
              <w:right w:val="single" w:sz="2" w:space="0" w:color="1F497D" w:themeColor="text2"/>
            </w:tcBorders>
          </w:tcPr>
          <w:p w:rsidR="009F6B31" w:rsidRPr="009F6B31" w:rsidRDefault="009F6B31" w:rsidP="00717336">
            <w:pPr>
              <w:pStyle w:val="BoxText"/>
              <w:spacing w:before="110" w:after="110"/>
              <w:jc w:val="left"/>
            </w:pPr>
            <w:r w:rsidRPr="009F6B31">
              <w:t>Past dispute is not bank</w:t>
            </w:r>
            <w:r w:rsidRPr="009F6B31">
              <w:noBreakHyphen/>
              <w:t>related</w:t>
            </w:r>
          </w:p>
          <w:p w:rsidR="009F6B31" w:rsidRPr="005430C6" w:rsidRDefault="009F6B31" w:rsidP="00717336">
            <w:pPr>
              <w:pStyle w:val="BoxText"/>
              <w:spacing w:before="110" w:after="110"/>
              <w:jc w:val="left"/>
              <w:rPr>
                <w:b/>
              </w:rPr>
            </w:pPr>
            <w:r w:rsidRPr="005430C6">
              <w:rPr>
                <w:b/>
              </w:rPr>
              <w:t>AND</w:t>
            </w:r>
          </w:p>
          <w:p w:rsidR="00B21515" w:rsidRPr="009F6B31" w:rsidRDefault="009F6B31" w:rsidP="00717336">
            <w:pPr>
              <w:pStyle w:val="BoxText"/>
              <w:spacing w:before="110" w:after="110"/>
              <w:jc w:val="left"/>
            </w:pPr>
            <w:r w:rsidRPr="009F6B31">
              <w:t>Losses are uncompensated or dispute has not been prosecuted (for example, MIS collapses)</w:t>
            </w:r>
          </w:p>
        </w:tc>
        <w:tc>
          <w:tcPr>
            <w:tcW w:w="270" w:type="dxa"/>
            <w:tcBorders>
              <w:top w:val="nil"/>
              <w:left w:val="single" w:sz="2" w:space="0" w:color="1F497D" w:themeColor="text2"/>
              <w:bottom w:val="nil"/>
            </w:tcBorders>
          </w:tcPr>
          <w:p w:rsidR="00B21515" w:rsidRPr="009F6B31" w:rsidRDefault="00B21515" w:rsidP="009F6B31">
            <w:pPr>
              <w:pStyle w:val="BoxText"/>
              <w:spacing w:after="0" w:line="240" w:lineRule="auto"/>
              <w:rPr>
                <w:sz w:val="2"/>
                <w:szCs w:val="2"/>
              </w:rPr>
            </w:pPr>
          </w:p>
        </w:tc>
      </w:tr>
      <w:tr w:rsidR="009F6B31" w:rsidRPr="00717336" w:rsidTr="007D17D3">
        <w:trPr>
          <w:trHeight w:val="150"/>
        </w:trPr>
        <w:tc>
          <w:tcPr>
            <w:tcW w:w="9072" w:type="dxa"/>
            <w:gridSpan w:val="8"/>
            <w:tcBorders>
              <w:top w:val="nil"/>
              <w:bottom w:val="single" w:sz="2" w:space="0" w:color="1F497D" w:themeColor="text2"/>
            </w:tcBorders>
          </w:tcPr>
          <w:p w:rsidR="009F6B31" w:rsidRPr="00717336" w:rsidRDefault="009F6B31" w:rsidP="009F6B31">
            <w:pPr>
              <w:pStyle w:val="BoxText"/>
              <w:spacing w:after="0" w:line="240" w:lineRule="auto"/>
              <w:rPr>
                <w:sz w:val="8"/>
                <w:szCs w:val="8"/>
              </w:rPr>
            </w:pPr>
          </w:p>
          <w:p w:rsidR="009F6B31" w:rsidRPr="00717336" w:rsidRDefault="009F6B31" w:rsidP="009F6B31">
            <w:pPr>
              <w:pStyle w:val="BoxText"/>
              <w:spacing w:after="0" w:line="240" w:lineRule="auto"/>
              <w:rPr>
                <w:sz w:val="8"/>
                <w:szCs w:val="8"/>
              </w:rPr>
            </w:pPr>
          </w:p>
        </w:tc>
      </w:tr>
      <w:tr w:rsidR="001E2656" w:rsidTr="007D17D3">
        <w:tblPrEx>
          <w:tblBorders>
            <w:insideH w:val="single" w:sz="2" w:space="0" w:color="1F497D" w:themeColor="text2"/>
            <w:insideV w:val="single" w:sz="2" w:space="0" w:color="1F497D" w:themeColor="text2"/>
          </w:tblBorders>
          <w:tblLook w:val="04A0" w:firstRow="1" w:lastRow="0" w:firstColumn="1" w:lastColumn="0" w:noHBand="0" w:noVBand="1"/>
        </w:tblPrEx>
        <w:tc>
          <w:tcPr>
            <w:tcW w:w="9072" w:type="dxa"/>
            <w:gridSpan w:val="8"/>
          </w:tcPr>
          <w:p w:rsidR="001E2656" w:rsidRDefault="001E2656" w:rsidP="001E2656">
            <w:pPr>
              <w:pStyle w:val="BoxHeading"/>
            </w:pPr>
            <w:r>
              <w:t>Q</w:t>
            </w:r>
            <w:r w:rsidRPr="00696035">
              <w:t>uestions</w:t>
            </w:r>
            <w:r>
              <w:t xml:space="preserve"> — Design issues for providing access to redress for past disputes</w:t>
            </w:r>
          </w:p>
          <w:p w:rsidR="00573A96" w:rsidRPr="00436902" w:rsidRDefault="00573A96" w:rsidP="001E2656">
            <w:pPr>
              <w:pStyle w:val="BoxNumberedQuestions"/>
            </w:pPr>
            <w:r w:rsidRPr="00436902">
              <w:t>What are the strengths and weaknesses of the Westpac proposal?</w:t>
            </w:r>
          </w:p>
          <w:p w:rsidR="001E2656" w:rsidRPr="00436902" w:rsidRDefault="001E2656" w:rsidP="001E2656">
            <w:pPr>
              <w:pStyle w:val="BoxNumberedQuestions"/>
            </w:pPr>
            <w:r>
              <w:t xml:space="preserve">What range of parties should be provided with access to redress for past </w:t>
            </w:r>
            <w:r w:rsidRPr="00436902">
              <w:t>disputes?</w:t>
            </w:r>
            <w:r w:rsidRPr="00436902" w:rsidDel="005D36EE">
              <w:t xml:space="preserve"> </w:t>
            </w:r>
            <w:r w:rsidR="00A74FE4" w:rsidRPr="00436902">
              <w:t xml:space="preserve">Should all of the circumstances described in paragraphs </w:t>
            </w:r>
            <w:r w:rsidR="00C566D4" w:rsidRPr="00436902">
              <w:t>13</w:t>
            </w:r>
            <w:r w:rsidR="009347B7" w:rsidRPr="00436902">
              <w:t>3</w:t>
            </w:r>
            <w:r w:rsidR="00A74FE4" w:rsidRPr="00436902">
              <w:t>-14</w:t>
            </w:r>
            <w:r w:rsidR="009347B7" w:rsidRPr="00436902">
              <w:t>4</w:t>
            </w:r>
            <w:r w:rsidR="00A74FE4" w:rsidRPr="00436902">
              <w:t xml:space="preserve"> be included?</w:t>
            </w:r>
          </w:p>
          <w:p w:rsidR="001E2656" w:rsidRDefault="001E2656" w:rsidP="001E2656">
            <w:pPr>
              <w:pStyle w:val="BoxNumberedQuestions"/>
            </w:pPr>
            <w:r>
              <w:t>What mechanism should be used to resolve the dispute and what criteria should be used to determine which disputes can be brought forward?</w:t>
            </w:r>
          </w:p>
          <w:p w:rsidR="001E2656" w:rsidDel="00D20490" w:rsidRDefault="001E2656">
            <w:pPr>
              <w:pStyle w:val="BoxNumberedQuestions"/>
            </w:pPr>
            <w:r w:rsidRPr="00940EA2">
              <w:t>What time limits should apply?</w:t>
            </w:r>
          </w:p>
          <w:p w:rsidR="00D20490" w:rsidRDefault="00182B29" w:rsidP="00450DA4">
            <w:pPr>
              <w:pStyle w:val="BoxNumberedQuestions"/>
            </w:pPr>
            <w:r>
              <w:t xml:space="preserve">Should any </w:t>
            </w:r>
            <w:r w:rsidRPr="00C81F56">
              <w:t>mechanism</w:t>
            </w:r>
            <w:r>
              <w:t xml:space="preserve"> for dealing with past disputes be integrated into</w:t>
            </w:r>
            <w:r w:rsidRPr="00792422">
              <w:t xml:space="preserve"> the new </w:t>
            </w:r>
            <w:r>
              <w:t>Australian Financial Complaints Authority (once established)</w:t>
            </w:r>
            <w:r w:rsidRPr="00792422">
              <w:t xml:space="preserve"> </w:t>
            </w:r>
            <w:r>
              <w:t>or should it be independent of that body?</w:t>
            </w:r>
          </w:p>
          <w:p w:rsidR="007705D0" w:rsidRDefault="00182B29">
            <w:pPr>
              <w:pStyle w:val="BoxNumberedQuestions"/>
            </w:pPr>
            <w:r w:rsidRPr="00381395">
              <w:t>Who should be responsible for funding redress for past disputes? Is there a role for an ex gratia payment scheme (that is, payment by the Government)?</w:t>
            </w:r>
          </w:p>
          <w:p w:rsidR="001E2656" w:rsidRDefault="00182B29">
            <w:pPr>
              <w:pStyle w:val="BoxNumberedQuestions"/>
            </w:pPr>
            <w:r w:rsidRPr="00381395">
              <w:t xml:space="preserve">Should there be any monetary limits? If so, should the monetary limits that apply be </w:t>
            </w:r>
            <w:r w:rsidR="00717336">
              <w:t>the EDR scheme monetary limits?</w:t>
            </w:r>
          </w:p>
          <w:p w:rsidR="00717336" w:rsidRPr="00792422" w:rsidRDefault="00717336" w:rsidP="00717336">
            <w:pPr>
              <w:pStyle w:val="BoxNumberedQuestions"/>
            </w:pPr>
            <w:r w:rsidRPr="006F67DE">
              <w:t xml:space="preserve">Should consumers and small businesses </w:t>
            </w:r>
            <w:r>
              <w:t>whose dispute</w:t>
            </w:r>
            <w:r w:rsidRPr="006F67DE">
              <w:t xml:space="preserve"> fall</w:t>
            </w:r>
            <w:r>
              <w:t>s</w:t>
            </w:r>
            <w:r w:rsidRPr="006F67DE">
              <w:t xml:space="preserve"> within the</w:t>
            </w:r>
            <w:r>
              <w:t xml:space="preserve"> new</w:t>
            </w:r>
            <w:r w:rsidRPr="00792422">
              <w:t xml:space="preserve"> </w:t>
            </w:r>
            <w:r>
              <w:t>(</w:t>
            </w:r>
            <w:r w:rsidRPr="006F67DE">
              <w:t>higher</w:t>
            </w:r>
            <w:r>
              <w:t>)</w:t>
            </w:r>
            <w:r w:rsidRPr="006F67DE">
              <w:t xml:space="preserve"> </w:t>
            </w:r>
            <w:r w:rsidRPr="00792422">
              <w:t xml:space="preserve">monetary limits of the </w:t>
            </w:r>
            <w:r>
              <w:t>proposed</w:t>
            </w:r>
            <w:r w:rsidRPr="00792422">
              <w:t xml:space="preserve"> </w:t>
            </w:r>
            <w:r>
              <w:t xml:space="preserve">Australian Financial Complaints Authority but was outside the previous limits </w:t>
            </w:r>
            <w:r w:rsidRPr="006F67DE">
              <w:t>be able to apply</w:t>
            </w:r>
            <w:r>
              <w:t xml:space="preserve"> to have their dispute considered</w:t>
            </w:r>
            <w:r w:rsidRPr="006F67DE">
              <w:t xml:space="preserve">? Should access </w:t>
            </w:r>
            <w:r>
              <w:t xml:space="preserve">to redress for past disputes </w:t>
            </w:r>
            <w:r w:rsidRPr="006F67DE">
              <w:t xml:space="preserve">be provided through a transition period whereby the higher </w:t>
            </w:r>
            <w:r>
              <w:t xml:space="preserve">monetary </w:t>
            </w:r>
            <w:r w:rsidRPr="006F67DE">
              <w:t xml:space="preserve">limits </w:t>
            </w:r>
            <w:r w:rsidRPr="00792422">
              <w:t>are applied for</w:t>
            </w:r>
            <w:r>
              <w:t xml:space="preserve"> a defined period retrospectively?</w:t>
            </w:r>
            <w:r w:rsidRPr="00792422">
              <w:t xml:space="preserve"> </w:t>
            </w:r>
            <w:r>
              <w:t>If so, what would be an appropriate transition period?</w:t>
            </w:r>
          </w:p>
          <w:p w:rsidR="00717336" w:rsidRPr="00436902" w:rsidRDefault="00717336" w:rsidP="00717336">
            <w:pPr>
              <w:pStyle w:val="BoxNumberedQuestions"/>
            </w:pPr>
            <w:r w:rsidRPr="00436902">
              <w:t>If it is not possible to fully compensate all claimants, should a ‘rationing’ mechanism be used to determine the amounts of compensation which are awarded? Should such mechanism be based on hardship or on some other measure?</w:t>
            </w:r>
          </w:p>
          <w:p w:rsidR="00717336" w:rsidRDefault="00717336" w:rsidP="00717336">
            <w:pPr>
              <w:pStyle w:val="BoxNumberedQuestions"/>
            </w:pPr>
            <w:r>
              <w:t>Are there any other issues that would need to be considered in providing access to redress for past disputes?</w:t>
            </w:r>
          </w:p>
        </w:tc>
      </w:tr>
    </w:tbl>
    <w:p w:rsidR="00655B51" w:rsidRDefault="00655B51" w:rsidP="00253395">
      <w:pPr>
        <w:pStyle w:val="Zero"/>
      </w:pPr>
    </w:p>
    <w:p w:rsidR="00E55958" w:rsidRPr="00717336" w:rsidRDefault="00E55958" w:rsidP="00717336"/>
    <w:p w:rsidR="00B278C3" w:rsidRPr="00717336" w:rsidRDefault="00B278C3" w:rsidP="00717336">
      <w:r w:rsidRPr="00717336">
        <w:br w:type="page"/>
      </w:r>
    </w:p>
    <w:p w:rsidR="00E45FFE" w:rsidRDefault="00656BD8" w:rsidP="00A23924">
      <w:pPr>
        <w:pStyle w:val="Heading1"/>
      </w:pPr>
      <w:bookmarkStart w:id="198" w:name="_Toc482779545"/>
      <w:bookmarkStart w:id="199" w:name="_Toc482781320"/>
      <w:bookmarkStart w:id="200" w:name="_Toc482873874"/>
      <w:bookmarkStart w:id="201" w:name="_Toc483398642"/>
      <w:bookmarkStart w:id="202" w:name="_Toc483485329"/>
      <w:bookmarkStart w:id="203" w:name="_Toc483988918"/>
      <w:bookmarkStart w:id="204" w:name="_Toc483229147"/>
      <w:bookmarkStart w:id="205" w:name="_Toc483230262"/>
      <w:bookmarkStart w:id="206" w:name="_Toc460325156"/>
      <w:r>
        <w:t>Consultation</w:t>
      </w:r>
      <w:r w:rsidRPr="005457C5">
        <w:t xml:space="preserve"> questions</w:t>
      </w:r>
      <w:bookmarkEnd w:id="198"/>
      <w:bookmarkEnd w:id="199"/>
      <w:bookmarkEnd w:id="200"/>
      <w:bookmarkEnd w:id="201"/>
      <w:bookmarkEnd w:id="202"/>
      <w:bookmarkEnd w:id="203"/>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CellMar>
          <w:right w:w="142" w:type="dxa"/>
        </w:tblCellMar>
        <w:tblLook w:val="04A0" w:firstRow="1" w:lastRow="0" w:firstColumn="1" w:lastColumn="0" w:noHBand="0" w:noVBand="1"/>
      </w:tblPr>
      <w:tblGrid>
        <w:gridCol w:w="9072"/>
      </w:tblGrid>
      <w:tr w:rsidR="003622A8" w:rsidTr="005430C6">
        <w:tc>
          <w:tcPr>
            <w:tcW w:w="9072" w:type="dxa"/>
          </w:tcPr>
          <w:p w:rsidR="003622A8" w:rsidRDefault="003622A8" w:rsidP="003622A8">
            <w:pPr>
              <w:pStyle w:val="BoxHeading"/>
            </w:pPr>
            <w:bookmarkStart w:id="207" w:name="_Toc482188904"/>
            <w:bookmarkStart w:id="208" w:name="_Toc482197211"/>
            <w:bookmarkStart w:id="209" w:name="_Toc482198301"/>
            <w:bookmarkStart w:id="210" w:name="_Toc481418017"/>
            <w:bookmarkStart w:id="211" w:name="_Toc481420158"/>
            <w:bookmarkEnd w:id="204"/>
            <w:bookmarkEnd w:id="205"/>
            <w:r>
              <w:t>General instructions</w:t>
            </w:r>
          </w:p>
          <w:p w:rsidR="003622A8" w:rsidRPr="006D1032" w:rsidRDefault="003622A8" w:rsidP="003622A8">
            <w:pPr>
              <w:pStyle w:val="BoxText"/>
            </w:pPr>
            <w:r w:rsidRPr="006D1032">
              <w:t>Please include relevant statistics and/or case examples, and a discussion of the costs and benefits, in responses.</w:t>
            </w:r>
          </w:p>
          <w:p w:rsidR="003622A8" w:rsidRPr="006D1032" w:rsidRDefault="003622A8" w:rsidP="003622A8">
            <w:pPr>
              <w:pStyle w:val="BoxText"/>
            </w:pPr>
            <w:r w:rsidRPr="006D1032">
              <w:t>Please consider the following when making a submission: efficiency; equity; complexity; transparency; accountability; comparability of outcomes; and regulatory costs.</w:t>
            </w:r>
          </w:p>
          <w:p w:rsidR="003622A8" w:rsidRDefault="003622A8" w:rsidP="003622A8">
            <w:pPr>
              <w:pStyle w:val="BoxHeading"/>
            </w:pPr>
            <w:bookmarkStart w:id="212" w:name="_Toc482873875"/>
            <w:r>
              <w:t>Scope and principles</w:t>
            </w:r>
            <w:bookmarkEnd w:id="212"/>
          </w:p>
          <w:p w:rsidR="003622A8" w:rsidRPr="00ED702E" w:rsidRDefault="003622A8" w:rsidP="003622A8">
            <w:pPr>
              <w:pStyle w:val="BoxNumberedQuestions"/>
              <w:numPr>
                <w:ilvl w:val="0"/>
                <w:numId w:val="26"/>
              </w:numPr>
            </w:pPr>
            <w:r w:rsidRPr="00E80FE1">
              <w:t xml:space="preserve">Is the </w:t>
            </w:r>
            <w:r>
              <w:t>P</w:t>
            </w:r>
            <w:r w:rsidRPr="00E80FE1">
              <w:t>anel</w:t>
            </w:r>
            <w:r>
              <w:t>’</w:t>
            </w:r>
            <w:r w:rsidRPr="00E80FE1">
              <w:t xml:space="preserve">s </w:t>
            </w:r>
            <w:r>
              <w:t>approach to</w:t>
            </w:r>
            <w:r w:rsidRPr="00E80FE1">
              <w:t xml:space="preserve"> the scope of these issues appropriate? Are there any additional issues that should be considered?</w:t>
            </w:r>
          </w:p>
          <w:p w:rsidR="003622A8" w:rsidRDefault="003622A8" w:rsidP="003622A8">
            <w:pPr>
              <w:pStyle w:val="BoxNumberedQuestions"/>
            </w:pPr>
            <w:r w:rsidRPr="0010211A">
              <w:t>Do you agree with the way in which the Panel has defined the principles outlined in the Review</w:t>
            </w:r>
            <w:r>
              <w:t>’</w:t>
            </w:r>
            <w:r w:rsidRPr="0010211A">
              <w:t>s Terms of Reference? Are there other principles that should be considered?</w:t>
            </w:r>
          </w:p>
          <w:p w:rsidR="003622A8" w:rsidRDefault="003622A8" w:rsidP="003622A8">
            <w:pPr>
              <w:pStyle w:val="BoxHeading"/>
            </w:pPr>
            <w:bookmarkStart w:id="213" w:name="_Toc482873876"/>
            <w:r>
              <w:t>Compensation scheme of last resort</w:t>
            </w:r>
            <w:bookmarkEnd w:id="213"/>
          </w:p>
          <w:p w:rsidR="003622A8" w:rsidRPr="00465C53" w:rsidRDefault="003622A8" w:rsidP="003622A8">
            <w:pPr>
              <w:pStyle w:val="BoxHeading-Sub"/>
            </w:pPr>
            <w:r>
              <w:t>Existing compensation arrangements</w:t>
            </w:r>
          </w:p>
          <w:p w:rsidR="003622A8" w:rsidRDefault="003622A8" w:rsidP="003622A8">
            <w:pPr>
              <w:pStyle w:val="BoxNumberedQuestions"/>
            </w:pPr>
            <w:r w:rsidRPr="00870D78">
              <w:t>What are the strengths and weaknesses of the existing compensation arrangements</w:t>
            </w:r>
            <w:r>
              <w:t xml:space="preserve"> contained in the </w:t>
            </w:r>
            <w:r w:rsidRPr="00000F14">
              <w:rPr>
                <w:i/>
              </w:rPr>
              <w:t xml:space="preserve">Corporations Act 2001 </w:t>
            </w:r>
            <w:r>
              <w:t xml:space="preserve">and </w:t>
            </w:r>
            <w:r w:rsidRPr="00000F14">
              <w:rPr>
                <w:i/>
              </w:rPr>
              <w:t xml:space="preserve">National Consumer Credit Protection Act </w:t>
            </w:r>
            <w:r w:rsidRPr="00C81F56">
              <w:t>2009</w:t>
            </w:r>
            <w:r>
              <w:t>?</w:t>
            </w:r>
          </w:p>
          <w:p w:rsidR="003622A8" w:rsidRPr="00880A5C" w:rsidRDefault="003622A8" w:rsidP="003622A8">
            <w:pPr>
              <w:pStyle w:val="BoxNumberedQuestions"/>
            </w:pPr>
            <w:r>
              <w:t xml:space="preserve">What are the strengths and weaknesses of the National Guarantee Fund, the Financial Claims Scheme and Part 23 of the </w:t>
            </w:r>
            <w:r>
              <w:rPr>
                <w:i/>
              </w:rPr>
              <w:t>Superannuation Industry (Supervision) Act 1993</w:t>
            </w:r>
            <w:r>
              <w:t>?</w:t>
            </w:r>
          </w:p>
          <w:p w:rsidR="003622A8" w:rsidRDefault="003622A8" w:rsidP="003622A8">
            <w:pPr>
              <w:pStyle w:val="BoxNumberedQuestions"/>
            </w:pPr>
            <w:r>
              <w:t>Are there other examples of compensation schemes of last resort that the Panel should be considering?</w:t>
            </w:r>
          </w:p>
          <w:p w:rsidR="003622A8" w:rsidRDefault="003622A8" w:rsidP="003622A8">
            <w:pPr>
              <w:pStyle w:val="BoxHeading-Sub"/>
            </w:pPr>
            <w:r>
              <w:t>Evaluation of a c</w:t>
            </w:r>
            <w:r w:rsidRPr="004D1C26">
              <w:t>ompensation scheme of last resort</w:t>
            </w:r>
          </w:p>
          <w:p w:rsidR="003622A8" w:rsidRDefault="003622A8" w:rsidP="003622A8">
            <w:pPr>
              <w:pStyle w:val="BoxNumberedQuestions"/>
            </w:pPr>
            <w:r>
              <w:t>What are the benefits and costs of establishing a compensation scheme of last resort?</w:t>
            </w:r>
          </w:p>
          <w:p w:rsidR="003622A8" w:rsidRPr="002852E0" w:rsidRDefault="003622A8" w:rsidP="003622A8">
            <w:pPr>
              <w:pStyle w:val="BoxNumberedQuestions"/>
            </w:pPr>
            <w:r w:rsidRPr="00EE10B0">
              <w:t>Are the</w:t>
            </w:r>
            <w:r>
              <w:t>re</w:t>
            </w:r>
            <w:r w:rsidRPr="00EE10B0">
              <w:t xml:space="preserve"> any impediments in the existing regulatory framework </w:t>
            </w:r>
            <w:r w:rsidR="00351CC5">
              <w:t>to</w:t>
            </w:r>
            <w:r w:rsidRPr="00EE10B0">
              <w:t xml:space="preserve"> the introduction of a compensati</w:t>
            </w:r>
            <w:r w:rsidRPr="002852E0">
              <w:t>on scheme of last resort?</w:t>
            </w:r>
          </w:p>
          <w:p w:rsidR="003622A8" w:rsidRDefault="003622A8" w:rsidP="003622A8">
            <w:pPr>
              <w:pStyle w:val="BoxNumberedQuestions"/>
            </w:pPr>
            <w:r>
              <w:t>What potential impact would a compensation scheme of last resort have on consumer behaviour in selecting a financial firm</w:t>
            </w:r>
            <w:r w:rsidR="00351CC5">
              <w:t xml:space="preserve"> or making decisions about financial products</w:t>
            </w:r>
            <w:r>
              <w:t>?</w:t>
            </w:r>
          </w:p>
          <w:p w:rsidR="003622A8" w:rsidRDefault="003622A8" w:rsidP="003622A8">
            <w:pPr>
              <w:pStyle w:val="BoxNumberedQuestions"/>
            </w:pPr>
            <w:r>
              <w:t>What potential impact would a compensation scheme of last resort have on the operations of financial firms?</w:t>
            </w:r>
          </w:p>
          <w:p w:rsidR="003622A8" w:rsidRDefault="003622A8" w:rsidP="003622A8">
            <w:pPr>
              <w:pStyle w:val="BoxNumberedQuestions"/>
            </w:pPr>
            <w:r>
              <w:t>Would the introduction of a compensation scheme of last resort impact on competition in the financial services industry? Would it favour one part of the industry over another?</w:t>
            </w:r>
          </w:p>
        </w:tc>
      </w:tr>
    </w:tbl>
    <w:p w:rsidR="00381395" w:rsidRDefault="00381395">
      <w:r>
        <w:rPr>
          <w:b/>
        </w:rPr>
        <w:br w:type="page"/>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CellMar>
          <w:right w:w="142" w:type="dxa"/>
        </w:tblCellMar>
        <w:tblLook w:val="04A0" w:firstRow="1" w:lastRow="0" w:firstColumn="1" w:lastColumn="0" w:noHBand="0" w:noVBand="1"/>
      </w:tblPr>
      <w:tblGrid>
        <w:gridCol w:w="9072"/>
      </w:tblGrid>
      <w:tr w:rsidR="003622A8" w:rsidTr="005430C6">
        <w:tc>
          <w:tcPr>
            <w:tcW w:w="9072" w:type="dxa"/>
          </w:tcPr>
          <w:p w:rsidR="003622A8" w:rsidRDefault="003622A8" w:rsidP="003622A8">
            <w:pPr>
              <w:pStyle w:val="BoxHeading-Sub"/>
            </w:pPr>
            <w:r>
              <w:t>Evaluation of a c</w:t>
            </w:r>
            <w:r w:rsidRPr="004D1C26">
              <w:t>ompensation scheme of last resort</w:t>
            </w:r>
            <w:r>
              <w:t xml:space="preserve"> (continued)</w:t>
            </w:r>
          </w:p>
          <w:p w:rsidR="003622A8" w:rsidRDefault="003622A8" w:rsidP="003622A8">
            <w:pPr>
              <w:pStyle w:val="BoxNumberedQuestions"/>
            </w:pPr>
            <w:r>
              <w:t>What flow</w:t>
            </w:r>
            <w:r>
              <w:noBreakHyphen/>
              <w:t xml:space="preserve">on implications might be associated with </w:t>
            </w:r>
            <w:r w:rsidR="004D0A5A">
              <w:t>the</w:t>
            </w:r>
            <w:r>
              <w:t xml:space="preserve"> introduction of a compensation scheme of last resort? How could these be addressed to ensure effective outcomes for users?</w:t>
            </w:r>
          </w:p>
          <w:p w:rsidR="003622A8" w:rsidRDefault="003622A8" w:rsidP="003622A8">
            <w:pPr>
              <w:pStyle w:val="BoxNumberedQuestions"/>
            </w:pPr>
            <w:r>
              <w:t>What other mechanisms are available to deal with uncompensated consumer losses?</w:t>
            </w:r>
          </w:p>
          <w:p w:rsidR="003622A8" w:rsidRPr="00F851CD" w:rsidRDefault="003622A8" w:rsidP="003622A8">
            <w:pPr>
              <w:pStyle w:val="BoxNumberedQuestions"/>
            </w:pPr>
            <w:r>
              <w:t>What relevant changes have occurred since the release of Richard St</w:t>
            </w:r>
            <w:r w:rsidR="00FF42EA">
              <w:t>.</w:t>
            </w:r>
            <w:r>
              <w:t xml:space="preserve"> John’s report, </w:t>
            </w:r>
            <w:r w:rsidRPr="00535AA7">
              <w:rPr>
                <w:i/>
              </w:rPr>
              <w:t>Compensation arrangements for consumers of financial services</w:t>
            </w:r>
            <w:r>
              <w:t>?</w:t>
            </w:r>
          </w:p>
          <w:p w:rsidR="003622A8" w:rsidRPr="00262660" w:rsidRDefault="003622A8" w:rsidP="003622A8">
            <w:pPr>
              <w:numPr>
                <w:ilvl w:val="1"/>
                <w:numId w:val="0"/>
              </w:numPr>
              <w:tabs>
                <w:tab w:val="num" w:pos="1701"/>
              </w:tabs>
              <w:spacing w:before="180" w:after="180" w:line="260" w:lineRule="exact"/>
              <w:rPr>
                <w:sz w:val="23"/>
                <w:szCs w:val="23"/>
              </w:rPr>
            </w:pPr>
            <w:r>
              <w:rPr>
                <w:rFonts w:ascii="Century Gothic" w:hAnsi="Century Gothic"/>
                <w:b/>
                <w:color w:val="1F497D" w:themeColor="text2"/>
                <w:sz w:val="23"/>
                <w:szCs w:val="23"/>
              </w:rPr>
              <w:t>Potential design of a c</w:t>
            </w:r>
            <w:r w:rsidRPr="00262660">
              <w:rPr>
                <w:rFonts w:ascii="Century Gothic" w:hAnsi="Century Gothic"/>
                <w:b/>
                <w:color w:val="1F497D" w:themeColor="text2"/>
                <w:sz w:val="23"/>
                <w:szCs w:val="23"/>
              </w:rPr>
              <w:t xml:space="preserve">ompensation </w:t>
            </w:r>
            <w:r>
              <w:rPr>
                <w:rFonts w:ascii="Century Gothic" w:hAnsi="Century Gothic"/>
                <w:b/>
                <w:color w:val="1F497D" w:themeColor="text2"/>
                <w:sz w:val="23"/>
                <w:szCs w:val="23"/>
              </w:rPr>
              <w:t>s</w:t>
            </w:r>
            <w:r w:rsidRPr="00262660">
              <w:rPr>
                <w:rFonts w:ascii="Century Gothic" w:hAnsi="Century Gothic"/>
                <w:b/>
                <w:color w:val="1F497D" w:themeColor="text2"/>
                <w:sz w:val="23"/>
                <w:szCs w:val="23"/>
              </w:rPr>
              <w:t>cheme</w:t>
            </w:r>
            <w:r>
              <w:rPr>
                <w:rFonts w:ascii="Century Gothic" w:hAnsi="Century Gothic"/>
                <w:b/>
                <w:color w:val="1F497D" w:themeColor="text2"/>
                <w:sz w:val="23"/>
                <w:szCs w:val="23"/>
              </w:rPr>
              <w:t xml:space="preserve"> of last resort</w:t>
            </w:r>
          </w:p>
          <w:p w:rsidR="003622A8" w:rsidRDefault="003622A8" w:rsidP="003622A8">
            <w:pPr>
              <w:pStyle w:val="BoxNumberedQuestions"/>
            </w:pPr>
            <w:r>
              <w:t>What are the strengths and weaknesses of the ABA and FOS proposals?</w:t>
            </w:r>
          </w:p>
          <w:p w:rsidR="003622A8" w:rsidRDefault="003622A8" w:rsidP="003622A8">
            <w:pPr>
              <w:pStyle w:val="BoxNumberedQuestions"/>
            </w:pPr>
            <w:r>
              <w:t>What are the arguments for and against extending any compensation scheme of last resort beyond financial advice?</w:t>
            </w:r>
          </w:p>
          <w:p w:rsidR="003622A8" w:rsidRPr="00AD3FE0" w:rsidRDefault="003622A8" w:rsidP="003622A8">
            <w:pPr>
              <w:pStyle w:val="BoxNumberedQuestions"/>
            </w:pPr>
            <w:r>
              <w:t>Who should be able to access any compensation scheme of last resort?</w:t>
            </w:r>
            <w:r w:rsidR="00C333E8">
              <w:t xml:space="preserve"> Should this include small business?</w:t>
            </w:r>
          </w:p>
          <w:p w:rsidR="003622A8" w:rsidRDefault="003622A8" w:rsidP="003622A8">
            <w:pPr>
              <w:pStyle w:val="BoxNumberedQuestions"/>
            </w:pPr>
            <w:r>
              <w:t>What types of claims should be covered by any compensation scheme of last resort?</w:t>
            </w:r>
          </w:p>
          <w:p w:rsidR="003622A8" w:rsidRDefault="003622A8" w:rsidP="003622A8">
            <w:pPr>
              <w:pStyle w:val="BoxNumberedQuestions"/>
            </w:pPr>
            <w:r>
              <w:t xml:space="preserve">Should any compensation scheme of last resort only cover claims relating to unpaid EDR determinations or should it include court </w:t>
            </w:r>
            <w:r w:rsidR="00C333E8">
              <w:t>judgments a</w:t>
            </w:r>
            <w:r>
              <w:t xml:space="preserve">nd tribunal </w:t>
            </w:r>
            <w:r w:rsidR="00C333E8">
              <w:t>decisions</w:t>
            </w:r>
            <w:r>
              <w:t>?</w:t>
            </w:r>
          </w:p>
          <w:p w:rsidR="003622A8" w:rsidRPr="00DA216A" w:rsidRDefault="003622A8" w:rsidP="003622A8">
            <w:pPr>
              <w:pStyle w:val="BoxNumberedQuestions"/>
            </w:pPr>
            <w:r>
              <w:t xml:space="preserve">What steps should </w:t>
            </w:r>
            <w:r w:rsidRPr="0022314E">
              <w:t>consumer</w:t>
            </w:r>
            <w:r>
              <w:t>s</w:t>
            </w:r>
            <w:r w:rsidRPr="00DA216A">
              <w:t xml:space="preserve"> and small </w:t>
            </w:r>
            <w:r w:rsidRPr="0022314E">
              <w:t>business</w:t>
            </w:r>
            <w:r>
              <w:t>es be required to take before</w:t>
            </w:r>
            <w:r w:rsidRPr="00DA216A">
              <w:t xml:space="preserve"> </w:t>
            </w:r>
            <w:r>
              <w:t>a</w:t>
            </w:r>
            <w:r w:rsidRPr="0022314E">
              <w:t>ccess</w:t>
            </w:r>
            <w:r>
              <w:t>ing</w:t>
            </w:r>
            <w:r w:rsidRPr="00DA216A">
              <w:t xml:space="preserve"> </w:t>
            </w:r>
            <w:r>
              <w:t>any</w:t>
            </w:r>
            <w:r w:rsidRPr="00DA216A">
              <w:t xml:space="preserve"> </w:t>
            </w:r>
            <w:r>
              <w:t>compensation</w:t>
            </w:r>
            <w:r w:rsidRPr="00DA216A">
              <w:t xml:space="preserve"> scheme</w:t>
            </w:r>
            <w:r>
              <w:t xml:space="preserve"> of last resort</w:t>
            </w:r>
            <w:r w:rsidRPr="00DA216A">
              <w:t>?</w:t>
            </w:r>
          </w:p>
          <w:p w:rsidR="003622A8" w:rsidRPr="00DA216A" w:rsidRDefault="00D832D2" w:rsidP="003622A8">
            <w:pPr>
              <w:pStyle w:val="BoxNumberedQuestions"/>
            </w:pPr>
            <w:r w:rsidRPr="000A7F01">
              <w:t xml:space="preserve">Where an individual has received an EDR determination in their favour, </w:t>
            </w:r>
            <w:r>
              <w:t>should</w:t>
            </w:r>
            <w:r w:rsidRPr="000A7F01">
              <w:t xml:space="preserve"> any compensation scheme of last resort </w:t>
            </w:r>
            <w:r>
              <w:t>be</w:t>
            </w:r>
            <w:r w:rsidRPr="000A7F01">
              <w:t xml:space="preserve"> able to independently review the EDR determination or should</w:t>
            </w:r>
            <w:r>
              <w:t xml:space="preserve"> it</w:t>
            </w:r>
            <w:r w:rsidRPr="000A7F01">
              <w:t xml:space="preserve"> simply accept the EDR scheme’s determinati</w:t>
            </w:r>
            <w:r>
              <w:t>on of the merits of the dispute?</w:t>
            </w:r>
          </w:p>
          <w:p w:rsidR="003622A8" w:rsidRDefault="003622A8" w:rsidP="003622A8">
            <w:pPr>
              <w:pStyle w:val="BoxNumberedQuestions"/>
            </w:pPr>
            <w:r w:rsidRPr="005266D8">
              <w:t xml:space="preserve">If a compensation scheme of last resort was established and it allowed individuals with a court judgment to access the scheme, </w:t>
            </w:r>
            <w:r>
              <w:t xml:space="preserve">what types of </w:t>
            </w:r>
            <w:r w:rsidRPr="005266D8">
              <w:t>losses or costs</w:t>
            </w:r>
            <w:r>
              <w:t xml:space="preserve"> (for example, legal costs) should they be able to recover?</w:t>
            </w:r>
          </w:p>
          <w:p w:rsidR="003622A8" w:rsidRPr="00DA216A" w:rsidRDefault="003622A8" w:rsidP="003622A8">
            <w:pPr>
              <w:pStyle w:val="BoxNumberedQuestions"/>
            </w:pPr>
            <w:r>
              <w:t>Should litigation funders</w:t>
            </w:r>
            <w:r w:rsidRPr="005266D8">
              <w:t xml:space="preserve"> </w:t>
            </w:r>
            <w:r>
              <w:t>be able to</w:t>
            </w:r>
            <w:r w:rsidRPr="005266D8">
              <w:t xml:space="preserve"> recover from </w:t>
            </w:r>
            <w:r>
              <w:t>any compensation</w:t>
            </w:r>
            <w:r w:rsidRPr="005266D8">
              <w:t xml:space="preserve"> scheme</w:t>
            </w:r>
            <w:r>
              <w:t xml:space="preserve"> of last resort</w:t>
            </w:r>
            <w:r w:rsidRPr="005266D8">
              <w:t>, either directly or indirectly through their contracts with the class of claimants</w:t>
            </w:r>
            <w:r>
              <w:t>?</w:t>
            </w:r>
          </w:p>
          <w:p w:rsidR="003622A8" w:rsidRDefault="003622A8" w:rsidP="003622A8">
            <w:pPr>
              <w:pStyle w:val="BoxNumberedQuestions"/>
            </w:pPr>
            <w:r>
              <w:t>What compensation caps should apply to claims under any compensation scheme of last resort?</w:t>
            </w:r>
          </w:p>
          <w:p w:rsidR="003622A8" w:rsidRDefault="003622A8" w:rsidP="003622A8">
            <w:pPr>
              <w:pStyle w:val="BoxNumberedQuestions"/>
            </w:pPr>
            <w:r>
              <w:t>Who should fund any compensation scheme of last resort?</w:t>
            </w:r>
          </w:p>
          <w:p w:rsidR="003622A8" w:rsidRDefault="003622A8" w:rsidP="003622A8">
            <w:pPr>
              <w:pStyle w:val="BoxNumberedQuestions"/>
            </w:pPr>
            <w:r>
              <w:t>Where any compensation scheme of last resort is industry funded, how should the levies be designed?</w:t>
            </w:r>
          </w:p>
          <w:p w:rsidR="003622A8" w:rsidRDefault="003622A8" w:rsidP="003622A8">
            <w:pPr>
              <w:pStyle w:val="BoxNumberedQuestions"/>
            </w:pPr>
            <w:r>
              <w:t>Following the payment of compensation to an individual, what rights should a compensation scheme of last resort have against the firm who failed to pay the EDR determination?</w:t>
            </w:r>
          </w:p>
        </w:tc>
      </w:tr>
    </w:tbl>
    <w:p w:rsidR="00381395" w:rsidRDefault="00381395">
      <w:r>
        <w:br w:type="page"/>
      </w: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CellMar>
          <w:right w:w="142" w:type="dxa"/>
        </w:tblCellMar>
        <w:tblLook w:val="04A0" w:firstRow="1" w:lastRow="0" w:firstColumn="1" w:lastColumn="0" w:noHBand="0" w:noVBand="1"/>
      </w:tblPr>
      <w:tblGrid>
        <w:gridCol w:w="9072"/>
      </w:tblGrid>
      <w:tr w:rsidR="00656BD8" w:rsidTr="005430C6">
        <w:tc>
          <w:tcPr>
            <w:tcW w:w="9072" w:type="dxa"/>
          </w:tcPr>
          <w:p w:rsidR="003622A8" w:rsidRPr="00262660" w:rsidRDefault="003622A8" w:rsidP="003622A8">
            <w:pPr>
              <w:numPr>
                <w:ilvl w:val="1"/>
                <w:numId w:val="0"/>
              </w:numPr>
              <w:tabs>
                <w:tab w:val="num" w:pos="1701"/>
              </w:tabs>
              <w:spacing w:before="180" w:after="180" w:line="260" w:lineRule="exact"/>
              <w:rPr>
                <w:sz w:val="23"/>
                <w:szCs w:val="23"/>
              </w:rPr>
            </w:pPr>
            <w:r>
              <w:rPr>
                <w:rFonts w:ascii="Century Gothic" w:hAnsi="Century Gothic"/>
                <w:b/>
                <w:color w:val="1F497D" w:themeColor="text2"/>
                <w:sz w:val="23"/>
                <w:szCs w:val="23"/>
              </w:rPr>
              <w:t>Potential design of a c</w:t>
            </w:r>
            <w:r w:rsidRPr="00262660">
              <w:rPr>
                <w:rFonts w:ascii="Century Gothic" w:hAnsi="Century Gothic"/>
                <w:b/>
                <w:color w:val="1F497D" w:themeColor="text2"/>
                <w:sz w:val="23"/>
                <w:szCs w:val="23"/>
              </w:rPr>
              <w:t xml:space="preserve">ompensation </w:t>
            </w:r>
            <w:r>
              <w:rPr>
                <w:rFonts w:ascii="Century Gothic" w:hAnsi="Century Gothic"/>
                <w:b/>
                <w:color w:val="1F497D" w:themeColor="text2"/>
                <w:sz w:val="23"/>
                <w:szCs w:val="23"/>
              </w:rPr>
              <w:t>s</w:t>
            </w:r>
            <w:r w:rsidRPr="00262660">
              <w:rPr>
                <w:rFonts w:ascii="Century Gothic" w:hAnsi="Century Gothic"/>
                <w:b/>
                <w:color w:val="1F497D" w:themeColor="text2"/>
                <w:sz w:val="23"/>
                <w:szCs w:val="23"/>
              </w:rPr>
              <w:t>cheme</w:t>
            </w:r>
            <w:r>
              <w:rPr>
                <w:rFonts w:ascii="Century Gothic" w:hAnsi="Century Gothic"/>
                <w:b/>
                <w:color w:val="1F497D" w:themeColor="text2"/>
                <w:sz w:val="23"/>
                <w:szCs w:val="23"/>
              </w:rPr>
              <w:t xml:space="preserve"> of last resort (continued)</w:t>
            </w:r>
          </w:p>
          <w:p w:rsidR="0075564D" w:rsidRDefault="0075564D" w:rsidP="0075564D">
            <w:pPr>
              <w:pStyle w:val="BoxNumberedQuestions"/>
            </w:pPr>
            <w:r>
              <w:t>What actions should ASIC take against a firm that fails to pay an EDR determination or its directors or officers?</w:t>
            </w:r>
          </w:p>
          <w:p w:rsidR="0075564D" w:rsidRDefault="0075564D" w:rsidP="0075564D">
            <w:pPr>
              <w:pStyle w:val="BoxNumberedQuestions"/>
            </w:pPr>
            <w:r>
              <w:t>Should any compensation scheme of last resort be administered by government or industry?</w:t>
            </w:r>
            <w:r w:rsidR="00C333E8">
              <w:t xml:space="preserve"> What other administrative arrangements should apply?</w:t>
            </w:r>
          </w:p>
          <w:p w:rsidR="0075564D" w:rsidRDefault="0075564D" w:rsidP="0075564D">
            <w:pPr>
              <w:pStyle w:val="BoxNumberedQuestions"/>
            </w:pPr>
            <w:r>
              <w:t>Should time limits apply to any compensation scheme of last resort?</w:t>
            </w:r>
          </w:p>
          <w:p w:rsidR="0075564D" w:rsidRDefault="0075564D" w:rsidP="0075564D">
            <w:pPr>
              <w:pStyle w:val="BoxNumberedQuestions"/>
            </w:pPr>
            <w:r>
              <w:t>How should any compensation scheme of last resort interact with other compensation schemes?</w:t>
            </w:r>
          </w:p>
          <w:p w:rsidR="0075564D" w:rsidRDefault="0075564D" w:rsidP="0075564D">
            <w:pPr>
              <w:pStyle w:val="BoxNumberedQuestions"/>
            </w:pPr>
            <w:r w:rsidRPr="009B04E2">
              <w:t xml:space="preserve">Are there any </w:t>
            </w:r>
            <w:r>
              <w:t xml:space="preserve">aspects of </w:t>
            </w:r>
            <w:r w:rsidRPr="009B04E2">
              <w:t xml:space="preserve">compensation schemes </w:t>
            </w:r>
            <w:r>
              <w:t>of last resort</w:t>
            </w:r>
            <w:r w:rsidRPr="009B04E2">
              <w:t xml:space="preserve"> </w:t>
            </w:r>
            <w:r>
              <w:t xml:space="preserve">in other sectors and jurisdictions that should be considered </w:t>
            </w:r>
            <w:r w:rsidRPr="009B04E2">
              <w:t xml:space="preserve">in the design of </w:t>
            </w:r>
            <w:r>
              <w:t>any</w:t>
            </w:r>
            <w:r w:rsidRPr="009B04E2">
              <w:t xml:space="preserve"> compensation scheme</w:t>
            </w:r>
            <w:r>
              <w:t xml:space="preserve"> of last resort?</w:t>
            </w:r>
          </w:p>
          <w:p w:rsidR="00D971BC" w:rsidRDefault="00D971BC" w:rsidP="003622A8">
            <w:pPr>
              <w:pStyle w:val="BoxHeading-Sub"/>
            </w:pPr>
            <w:r>
              <w:t>Legacy unpaid EDR determinations</w:t>
            </w:r>
          </w:p>
          <w:p w:rsidR="00D971BC" w:rsidRPr="00B95605" w:rsidRDefault="00D971BC" w:rsidP="00993864">
            <w:pPr>
              <w:pStyle w:val="BoxNumberedQuestions"/>
            </w:pPr>
            <w:r w:rsidRPr="00661609">
              <w:t>What</w:t>
            </w:r>
            <w:r w:rsidRPr="00B95605">
              <w:t xml:space="preserve"> existing mechanisms are available for individuals who have legacy unpaid EDR determinations to receive compensation?</w:t>
            </w:r>
          </w:p>
          <w:p w:rsidR="00D971BC" w:rsidRPr="00F851CD" w:rsidRDefault="00D971BC" w:rsidP="00000F14">
            <w:pPr>
              <w:pStyle w:val="BoxNumberedQuestions"/>
            </w:pPr>
            <w:r w:rsidRPr="00B95605">
              <w:t>Is there a need for an additional mechanism for those with legacy unpaid EDR determinations to receive compensation</w:t>
            </w:r>
            <w:r w:rsidRPr="00B95605" w:rsidDel="004172B2">
              <w:t xml:space="preserve">? </w:t>
            </w:r>
            <w:r w:rsidRPr="00B95605">
              <w:t>If so, who should fund the payment of the legacy unpaid EDR determinations?</w:t>
            </w:r>
          </w:p>
          <w:p w:rsidR="00656BD8" w:rsidRDefault="00656BD8" w:rsidP="003622A8">
            <w:pPr>
              <w:pStyle w:val="BoxHeading"/>
            </w:pPr>
            <w:bookmarkStart w:id="214" w:name="_Toc482873877"/>
            <w:r>
              <w:t>Providing access to redress for past disputes</w:t>
            </w:r>
            <w:bookmarkEnd w:id="214"/>
          </w:p>
          <w:p w:rsidR="00A413DB" w:rsidRPr="00A413DB" w:rsidRDefault="00A413DB" w:rsidP="003622A8">
            <w:pPr>
              <w:pStyle w:val="BoxHeading-Sub"/>
            </w:pPr>
            <w:r>
              <w:t>C</w:t>
            </w:r>
            <w:r w:rsidRPr="00A413DB">
              <w:t>ircumstances which have prevented access to redress</w:t>
            </w:r>
          </w:p>
          <w:p w:rsidR="00A413DB" w:rsidRDefault="00BF555E" w:rsidP="00993864">
            <w:pPr>
              <w:pStyle w:val="BoxNumberedQuestions"/>
            </w:pPr>
            <w:r w:rsidRPr="002A0644">
              <w:t xml:space="preserve">Other than </w:t>
            </w:r>
            <w:r>
              <w:t>circumstances</w:t>
            </w:r>
            <w:r w:rsidRPr="002A0644">
              <w:t xml:space="preserve"> that </w:t>
            </w:r>
            <w:r>
              <w:t xml:space="preserve">may </w:t>
            </w:r>
            <w:r w:rsidRPr="002A0644">
              <w:t>be covered by a compensation scheme of last resort (such as outstanding unpaid determinations), what kinds of circumstances have given rise to past disputes for which there has not been redress?</w:t>
            </w:r>
            <w:r>
              <w:t xml:space="preserve"> Are there any other classes besides those identified by the Panel?</w:t>
            </w:r>
          </w:p>
          <w:p w:rsidR="00E33A20" w:rsidRDefault="00AC6D76" w:rsidP="00993864">
            <w:pPr>
              <w:pStyle w:val="BoxNumberedQuestions"/>
            </w:pPr>
            <w:r>
              <w:t>What</w:t>
            </w:r>
            <w:r w:rsidR="00E33A20">
              <w:t xml:space="preserve"> evidence </w:t>
            </w:r>
            <w:r>
              <w:t>is there about the extent to which</w:t>
            </w:r>
            <w:r w:rsidR="00E33A20">
              <w:t xml:space="preserve"> lack of access to redress for past disputes is a major problem?</w:t>
            </w:r>
          </w:p>
          <w:p w:rsidR="005870C8" w:rsidRPr="005870C8" w:rsidRDefault="005870C8" w:rsidP="003622A8">
            <w:pPr>
              <w:pStyle w:val="BoxHeading-Sub"/>
            </w:pPr>
            <w:r w:rsidRPr="005870C8">
              <w:t>Approaches to providing access to redress for past matter</w:t>
            </w:r>
            <w:r>
              <w:t>s</w:t>
            </w:r>
          </w:p>
          <w:p w:rsidR="00656BD8" w:rsidRDefault="00BF555E" w:rsidP="00993864">
            <w:pPr>
              <w:pStyle w:val="BoxNumberedQuestions"/>
            </w:pPr>
            <w:r>
              <w:t>Which features of other approaches</w:t>
            </w:r>
            <w:r w:rsidRPr="003B03CE">
              <w:t xml:space="preserve"> established to resolve </w:t>
            </w:r>
            <w:r>
              <w:t>past</w:t>
            </w:r>
            <w:r w:rsidRPr="003B03CE">
              <w:t xml:space="preserve"> disputes outside of the courts</w:t>
            </w:r>
            <w:r>
              <w:t xml:space="preserve"> (whether initiated by industry or government</w:t>
            </w:r>
            <w:r w:rsidRPr="002A0644">
              <w:t>) might provide useful models when considering options for providing access to redress for past disputes in the financial system?</w:t>
            </w:r>
          </w:p>
          <w:p w:rsidR="00BF555E" w:rsidRPr="00052286" w:rsidRDefault="00BF555E" w:rsidP="003622A8">
            <w:pPr>
              <w:pStyle w:val="BoxHeading-Sub"/>
            </w:pPr>
            <w:r>
              <w:t>Evaluation of providing access to redress for past disputes</w:t>
            </w:r>
          </w:p>
          <w:p w:rsidR="00BF555E" w:rsidRDefault="00BF555E" w:rsidP="00993864">
            <w:pPr>
              <w:pStyle w:val="BoxNumberedQuestions"/>
            </w:pPr>
            <w:r>
              <w:t>What are the benefits and costs associated with providing access to redress for past disputes?</w:t>
            </w:r>
          </w:p>
          <w:p w:rsidR="00BF555E" w:rsidRDefault="00BF555E" w:rsidP="00BF555E">
            <w:pPr>
              <w:pStyle w:val="BoxNumberedQuestions"/>
            </w:pPr>
            <w:r>
              <w:t>Are there any legal impediments to providing access to redress for past disputes?</w:t>
            </w:r>
          </w:p>
          <w:p w:rsidR="00656BD8" w:rsidRDefault="00BF555E" w:rsidP="003622A8">
            <w:pPr>
              <w:pStyle w:val="BoxNumberedQuestions"/>
            </w:pPr>
            <w:r>
              <w:t>What impact would providing access to redress for past disputes have on the operations of financial firms?</w:t>
            </w:r>
          </w:p>
        </w:tc>
      </w:tr>
      <w:tr w:rsidR="003622A8" w:rsidTr="005430C6">
        <w:tc>
          <w:tcPr>
            <w:tcW w:w="9072" w:type="dxa"/>
          </w:tcPr>
          <w:p w:rsidR="003622A8" w:rsidRPr="00052286" w:rsidRDefault="003622A8" w:rsidP="003622A8">
            <w:pPr>
              <w:pStyle w:val="BoxHeading-Sub"/>
            </w:pPr>
            <w:r>
              <w:t>Evaluation of providing access to redress for past disputes (continued)</w:t>
            </w:r>
          </w:p>
          <w:p w:rsidR="003622A8" w:rsidRDefault="003622A8" w:rsidP="003622A8">
            <w:pPr>
              <w:pStyle w:val="BoxNumberedQuestions"/>
            </w:pPr>
            <w:r>
              <w:t>What impact would providing access to redress for past disputes have on the professional indemnity insurance of financial firms?</w:t>
            </w:r>
          </w:p>
          <w:p w:rsidR="003622A8" w:rsidRDefault="003622A8" w:rsidP="003622A8">
            <w:pPr>
              <w:pStyle w:val="BoxNumberedQuestions"/>
            </w:pPr>
            <w:r w:rsidRPr="002A0644">
              <w:t>Would there be any</w:t>
            </w:r>
            <w:r>
              <w:t xml:space="preserve"> flow</w:t>
            </w:r>
            <w:r>
              <w:noBreakHyphen/>
              <w:t xml:space="preserve">on implications associated with providing access to redress for past disputes? </w:t>
            </w:r>
            <w:r w:rsidRPr="002A0644">
              <w:t>How could these be addressed in order to ensure effective outcomes for users?</w:t>
            </w:r>
          </w:p>
          <w:p w:rsidR="003622A8" w:rsidRDefault="003622A8" w:rsidP="003622A8">
            <w:pPr>
              <w:pStyle w:val="BoxHeading-Sub"/>
            </w:pPr>
            <w:r>
              <w:t>Design issues for providing access to redress for past disputes</w:t>
            </w:r>
          </w:p>
          <w:p w:rsidR="00565447" w:rsidRDefault="00565447" w:rsidP="003622A8">
            <w:pPr>
              <w:pStyle w:val="BoxNumberedQuestions"/>
            </w:pPr>
            <w:r>
              <w:t>What are the strengths and weaknesses of the Westpac proposal?</w:t>
            </w:r>
          </w:p>
          <w:p w:rsidR="00A74FE4" w:rsidRDefault="003622A8" w:rsidP="00A74FE4">
            <w:pPr>
              <w:pStyle w:val="BoxNumberedQuestions"/>
            </w:pPr>
            <w:r>
              <w:t>What range of parties should be provided with access to redress for past disputes?</w:t>
            </w:r>
            <w:r w:rsidDel="005D36EE">
              <w:t xml:space="preserve"> </w:t>
            </w:r>
            <w:r w:rsidR="00A74FE4" w:rsidRPr="0080677E">
              <w:t>Should all of the circumstances described in paragraphs 13</w:t>
            </w:r>
            <w:r w:rsidR="009347B7">
              <w:t>3</w:t>
            </w:r>
            <w:r w:rsidR="00A74FE4" w:rsidRPr="0080677E">
              <w:t>-14</w:t>
            </w:r>
            <w:r w:rsidR="009347B7">
              <w:t>4</w:t>
            </w:r>
            <w:r w:rsidR="00A74FE4" w:rsidRPr="0080677E">
              <w:t xml:space="preserve"> be included?</w:t>
            </w:r>
          </w:p>
          <w:p w:rsidR="003622A8" w:rsidRDefault="003622A8" w:rsidP="003622A8">
            <w:pPr>
              <w:pStyle w:val="BoxNumberedQuestions"/>
            </w:pPr>
            <w:r>
              <w:t>What mechanism should be used to resolve the dispute and what criteria should be used to determine which disputes can be brought forward?</w:t>
            </w:r>
          </w:p>
          <w:p w:rsidR="003622A8" w:rsidRPr="00940EA2" w:rsidRDefault="003622A8" w:rsidP="003622A8">
            <w:pPr>
              <w:pStyle w:val="BoxNumberedQuestions"/>
            </w:pPr>
            <w:r w:rsidRPr="00940EA2">
              <w:t>What time limits should apply?</w:t>
            </w:r>
          </w:p>
          <w:p w:rsidR="003622A8" w:rsidRDefault="003622A8" w:rsidP="003622A8">
            <w:pPr>
              <w:pStyle w:val="BoxNumberedQuestions"/>
            </w:pPr>
            <w:r>
              <w:t xml:space="preserve">Should any </w:t>
            </w:r>
            <w:r w:rsidRPr="00C81F56">
              <w:t>mechanism</w:t>
            </w:r>
            <w:r>
              <w:t xml:space="preserve"> </w:t>
            </w:r>
            <w:r w:rsidR="00624C86">
              <w:t>for</w:t>
            </w:r>
            <w:r>
              <w:t xml:space="preserve"> dealing with past disputes be integrated into the new Australian Financial Complaints Authority (once established) or should it be independent of that body?</w:t>
            </w:r>
          </w:p>
          <w:p w:rsidR="00624C86" w:rsidRDefault="00624C86" w:rsidP="003622A8">
            <w:pPr>
              <w:pStyle w:val="BoxNumberedQuestions"/>
            </w:pPr>
            <w:r>
              <w:t>Who should be responsible for funding redress for past disputes?</w:t>
            </w:r>
            <w:r w:rsidDel="004172B2">
              <w:t xml:space="preserve"> </w:t>
            </w:r>
            <w:r>
              <w:t>Is there a role for an ex gratia payment scheme (that is, payment by the Government)?</w:t>
            </w:r>
          </w:p>
          <w:p w:rsidR="003622A8" w:rsidRPr="006F67DE" w:rsidRDefault="003622A8" w:rsidP="003622A8">
            <w:pPr>
              <w:pStyle w:val="BoxNumberedQuestions"/>
            </w:pPr>
            <w:r w:rsidRPr="006F67DE">
              <w:t>Should there be any monetary limits?</w:t>
            </w:r>
            <w:r>
              <w:t xml:space="preserve"> If so, </w:t>
            </w:r>
            <w:r w:rsidRPr="006F67DE">
              <w:t>should the monetary limits that apply be the EDR scheme monetary limits?</w:t>
            </w:r>
          </w:p>
          <w:p w:rsidR="003622A8" w:rsidRDefault="003622A8" w:rsidP="003622A8">
            <w:pPr>
              <w:pStyle w:val="BoxNumberedQuestions"/>
            </w:pPr>
            <w:r w:rsidRPr="006F67DE">
              <w:t xml:space="preserve">Should consumers and small businesses </w:t>
            </w:r>
            <w:r w:rsidR="00624C86">
              <w:t>whose dispute</w:t>
            </w:r>
            <w:r w:rsidRPr="006F67DE">
              <w:t xml:space="preserve"> fall</w:t>
            </w:r>
            <w:r w:rsidR="00E758A7">
              <w:t>s</w:t>
            </w:r>
            <w:r w:rsidRPr="006F67DE">
              <w:t xml:space="preserve"> within the</w:t>
            </w:r>
            <w:r w:rsidR="00624C86">
              <w:t xml:space="preserve"> new</w:t>
            </w:r>
            <w:r w:rsidRPr="00792422">
              <w:t xml:space="preserve"> </w:t>
            </w:r>
            <w:r w:rsidR="00624C86">
              <w:t>(</w:t>
            </w:r>
            <w:r w:rsidRPr="006F67DE">
              <w:t>higher</w:t>
            </w:r>
            <w:r w:rsidR="00624C86">
              <w:t>)</w:t>
            </w:r>
            <w:r w:rsidRPr="006F67DE">
              <w:t xml:space="preserve"> </w:t>
            </w:r>
            <w:r w:rsidRPr="00792422">
              <w:t xml:space="preserve">monetary limits of the </w:t>
            </w:r>
            <w:r w:rsidR="00624C86">
              <w:t>proposed</w:t>
            </w:r>
            <w:r w:rsidR="00624C86" w:rsidRPr="00792422">
              <w:t xml:space="preserve"> </w:t>
            </w:r>
            <w:r>
              <w:t>Australian Financial Complaints Authority</w:t>
            </w:r>
            <w:r w:rsidR="008A3474">
              <w:t xml:space="preserve"> </w:t>
            </w:r>
            <w:r w:rsidR="00624C86">
              <w:t>but was outside the previous limits</w:t>
            </w:r>
            <w:r w:rsidRPr="00792422">
              <w:t xml:space="preserve"> </w:t>
            </w:r>
            <w:r w:rsidRPr="006F67DE">
              <w:t>be able to apply</w:t>
            </w:r>
            <w:r w:rsidR="00624C86">
              <w:t xml:space="preserve"> to have their dispute considered</w:t>
            </w:r>
            <w:r w:rsidRPr="006F67DE">
              <w:t>? Should access</w:t>
            </w:r>
            <w:r w:rsidR="00624C86">
              <w:t xml:space="preserve"> to redress for past disputes</w:t>
            </w:r>
            <w:r w:rsidRPr="006F67DE">
              <w:t xml:space="preserve"> be provided through a transition period whereby the higher</w:t>
            </w:r>
            <w:r w:rsidR="00624C86">
              <w:t xml:space="preserve"> monetary</w:t>
            </w:r>
            <w:r w:rsidRPr="006F67DE">
              <w:t xml:space="preserve"> limits </w:t>
            </w:r>
            <w:r w:rsidRPr="00792422">
              <w:t>are applied for</w:t>
            </w:r>
            <w:r>
              <w:t xml:space="preserve"> a defined period retrospectively?</w:t>
            </w:r>
            <w:r w:rsidRPr="00792422">
              <w:t xml:space="preserve"> </w:t>
            </w:r>
            <w:r>
              <w:t>If so, what would be an appropriate transition period?</w:t>
            </w:r>
          </w:p>
          <w:p w:rsidR="00624C86" w:rsidRPr="00792422" w:rsidRDefault="00624C86" w:rsidP="003622A8">
            <w:pPr>
              <w:pStyle w:val="BoxNumberedQuestions"/>
            </w:pPr>
            <w:r>
              <w:t>If it is not possible to fully compensate all claimants, should a ‘rationing’</w:t>
            </w:r>
            <w:r w:rsidR="00765D7C">
              <w:t xml:space="preserve"> </w:t>
            </w:r>
            <w:r>
              <w:t>mechanism be used to determine the amounts of compensation which are awarded? Should such mechanism be based on hardship or on some other measure?</w:t>
            </w:r>
          </w:p>
          <w:p w:rsidR="003622A8" w:rsidRDefault="003622A8" w:rsidP="003622A8">
            <w:pPr>
              <w:pStyle w:val="BoxNumberedQuestions"/>
            </w:pPr>
            <w:r>
              <w:t>Are there any other issues that would need to be considered in providing access to redress for past disputes?</w:t>
            </w:r>
          </w:p>
        </w:tc>
      </w:tr>
    </w:tbl>
    <w:p w:rsidR="00D17505" w:rsidRDefault="00D17505" w:rsidP="00253395">
      <w:pPr>
        <w:pStyle w:val="OutlineNumbered1"/>
        <w:numPr>
          <w:ilvl w:val="0"/>
          <w:numId w:val="0"/>
        </w:numPr>
        <w:ind w:left="851"/>
        <w:sectPr w:rsidR="00D17505" w:rsidSect="009B62AB">
          <w:headerReference w:type="first" r:id="rId50"/>
          <w:footerReference w:type="first" r:id="rId51"/>
          <w:pgSz w:w="11906" w:h="16838" w:code="9"/>
          <w:pgMar w:top="1418" w:right="1418" w:bottom="1418" w:left="1418" w:header="709" w:footer="709" w:gutter="0"/>
          <w:cols w:space="708"/>
          <w:titlePg/>
          <w:docGrid w:linePitch="360"/>
        </w:sectPr>
      </w:pPr>
    </w:p>
    <w:p w:rsidR="00F97F46" w:rsidRPr="00674EAF" w:rsidRDefault="00F97F46" w:rsidP="00000F14">
      <w:pPr>
        <w:pStyle w:val="Heading1"/>
        <w:spacing w:after="360"/>
      </w:pPr>
      <w:bookmarkStart w:id="215" w:name="_Toc482779546"/>
      <w:bookmarkStart w:id="216" w:name="_Toc482781321"/>
      <w:bookmarkStart w:id="217" w:name="_Toc482873878"/>
      <w:bookmarkStart w:id="218" w:name="_Toc483229148"/>
      <w:bookmarkStart w:id="219" w:name="_Toc483230263"/>
      <w:bookmarkStart w:id="220" w:name="_Toc483398643"/>
      <w:bookmarkStart w:id="221" w:name="_Toc483485330"/>
      <w:bookmarkStart w:id="222" w:name="_Toc483988919"/>
      <w:r>
        <w:t>Appendix A</w:t>
      </w:r>
      <w:r w:rsidR="009F688A">
        <w:t xml:space="preserve"> — </w:t>
      </w:r>
      <w:r>
        <w:t>Amended Terms of Reference</w:t>
      </w:r>
      <w:bookmarkEnd w:id="207"/>
      <w:bookmarkEnd w:id="208"/>
      <w:bookmarkEnd w:id="209"/>
      <w:bookmarkEnd w:id="215"/>
      <w:bookmarkEnd w:id="216"/>
      <w:bookmarkEnd w:id="217"/>
      <w:bookmarkEnd w:id="218"/>
      <w:bookmarkEnd w:id="219"/>
      <w:bookmarkEnd w:id="220"/>
      <w:bookmarkEnd w:id="221"/>
      <w:bookmarkEnd w:id="222"/>
      <w:r>
        <w:t xml:space="preserve"> </w:t>
      </w:r>
    </w:p>
    <w:p w:rsidR="00F97F46" w:rsidRDefault="00F97F46" w:rsidP="00537F62">
      <w:r>
        <w:t>The amen</w:t>
      </w:r>
      <w:r w:rsidR="00500623">
        <w:t>ded Terms of Reference for the R</w:t>
      </w:r>
      <w:r>
        <w:t>eview, issued on 2 February 2017, are outlined below.</w:t>
      </w:r>
    </w:p>
    <w:tbl>
      <w:tblPr>
        <w:tblW w:w="9072" w:type="dxa"/>
        <w:tblInd w:w="108" w:type="dxa"/>
        <w:shd w:val="clear" w:color="auto" w:fill="E6E6E6"/>
        <w:tblCellMar>
          <w:right w:w="142" w:type="dxa"/>
        </w:tblCellMar>
        <w:tblLook w:val="01E0" w:firstRow="1" w:lastRow="1" w:firstColumn="1" w:lastColumn="1" w:noHBand="0" w:noVBand="0"/>
      </w:tblPr>
      <w:tblGrid>
        <w:gridCol w:w="9072"/>
      </w:tblGrid>
      <w:tr w:rsidR="00301E50" w:rsidTr="005430C6">
        <w:tc>
          <w:tcPr>
            <w:tcW w:w="5000" w:type="pct"/>
            <w:tcBorders>
              <w:top w:val="single" w:sz="4" w:space="0" w:color="auto"/>
              <w:left w:val="single" w:sz="4" w:space="0" w:color="auto"/>
              <w:bottom w:val="single" w:sz="4" w:space="0" w:color="auto"/>
              <w:right w:val="single" w:sz="4" w:space="0" w:color="auto"/>
            </w:tcBorders>
            <w:shd w:val="clear" w:color="auto" w:fill="E6E6E6"/>
          </w:tcPr>
          <w:p w:rsidR="00301E50" w:rsidRPr="0054274C" w:rsidRDefault="00301E50" w:rsidP="00301E50">
            <w:pPr>
              <w:pStyle w:val="BoxHeading"/>
            </w:pPr>
            <w:r w:rsidRPr="00301E50">
              <w:t>Terms</w:t>
            </w:r>
            <w:r w:rsidRPr="0054274C">
              <w:t xml:space="preserve"> of reference for the review into dispute resolution and complaints framework</w:t>
            </w:r>
          </w:p>
          <w:p w:rsidR="00301E50" w:rsidRPr="002F2693" w:rsidRDefault="00301E50" w:rsidP="00301E50">
            <w:pPr>
              <w:pStyle w:val="BoxHeading-Sub"/>
            </w:pPr>
            <w:r w:rsidRPr="002F2693">
              <w:t>Purpose of the review</w:t>
            </w:r>
          </w:p>
          <w:p w:rsidR="00301E50" w:rsidRPr="00000F14" w:rsidRDefault="00301E50" w:rsidP="00301E50">
            <w:pPr>
              <w:pStyle w:val="BoxText"/>
              <w:rPr>
                <w:color w:val="000000" w:themeColor="text1"/>
              </w:rPr>
            </w:pPr>
            <w:r w:rsidRPr="00000F14">
              <w:rPr>
                <w:color w:val="000000" w:themeColor="text1"/>
              </w:rPr>
              <w:t>The Financial Ombudsman Service, Superannuation Complaints Tribunal and Credit and Investments Ombudsman help Australians to resolve disputes with financial services providers. The Government is committed to ensuring that these bodies are working effectively to meet the needs of users, including consumers and industry.</w:t>
            </w:r>
          </w:p>
          <w:p w:rsidR="00301E50" w:rsidRPr="002F2693" w:rsidRDefault="00301E50" w:rsidP="00301E50">
            <w:pPr>
              <w:pStyle w:val="BoxHeading-Sub"/>
            </w:pPr>
            <w:r w:rsidRPr="002F2693">
              <w:t>Terms of reference</w:t>
            </w:r>
          </w:p>
          <w:p w:rsidR="00301E50" w:rsidRPr="00000F14" w:rsidRDefault="00301E50" w:rsidP="00301E50">
            <w:pPr>
              <w:pStyle w:val="BoxNumberedQuestions"/>
              <w:numPr>
                <w:ilvl w:val="0"/>
                <w:numId w:val="34"/>
              </w:numPr>
              <w:rPr>
                <w:color w:val="000000" w:themeColor="text1"/>
              </w:rPr>
            </w:pPr>
            <w:r w:rsidRPr="00000F14">
              <w:rPr>
                <w:color w:val="000000" w:themeColor="text1"/>
              </w:rPr>
              <w:t>The review will examine the following dispute resolution and complaints arrangements to consider whether changes to current dispute resolution and complaints bodies in the financial sector are necessary to deliver effective outcomes for users in a rapidly changing and dynamic financial system:</w:t>
            </w:r>
          </w:p>
          <w:p w:rsidR="00301E50" w:rsidRPr="00000F14" w:rsidRDefault="00537F62" w:rsidP="00253395">
            <w:pPr>
              <w:pStyle w:val="BoxText"/>
              <w:tabs>
                <w:tab w:val="left" w:pos="1134"/>
              </w:tabs>
              <w:spacing w:after="160"/>
              <w:ind w:left="1134" w:hanging="567"/>
            </w:pPr>
            <w:r>
              <w:t>1.1.</w:t>
            </w:r>
            <w:r>
              <w:tab/>
            </w:r>
            <w:r w:rsidR="00301E50" w:rsidRPr="00000F14">
              <w:t>the Financial Ombudsman Service (FOS);</w:t>
            </w:r>
          </w:p>
          <w:p w:rsidR="00301E50" w:rsidRPr="00000F14" w:rsidRDefault="00537F62" w:rsidP="00253395">
            <w:pPr>
              <w:pStyle w:val="BoxText"/>
              <w:tabs>
                <w:tab w:val="left" w:pos="1134"/>
              </w:tabs>
              <w:spacing w:after="160"/>
              <w:ind w:left="1134" w:hanging="567"/>
            </w:pPr>
            <w:r>
              <w:t>1.2.</w:t>
            </w:r>
            <w:r>
              <w:tab/>
            </w:r>
            <w:r w:rsidR="00301E50" w:rsidRPr="00000F14">
              <w:t>the Superannuation Complaints Tribunal; and</w:t>
            </w:r>
          </w:p>
          <w:p w:rsidR="00301E50" w:rsidRPr="00000F14" w:rsidRDefault="00537F62" w:rsidP="00253395">
            <w:pPr>
              <w:pStyle w:val="BoxText"/>
              <w:tabs>
                <w:tab w:val="left" w:pos="1134"/>
              </w:tabs>
              <w:spacing w:after="160"/>
              <w:ind w:left="1134" w:hanging="567"/>
            </w:pPr>
            <w:r>
              <w:t>1.3.</w:t>
            </w:r>
            <w:r>
              <w:tab/>
            </w:r>
            <w:r w:rsidR="00301E50" w:rsidRPr="00000F14">
              <w:t>the Credit and Investments Ombudsman.</w:t>
            </w:r>
          </w:p>
          <w:p w:rsidR="00301E50" w:rsidRPr="00000F14" w:rsidRDefault="00301E50" w:rsidP="00301E50">
            <w:pPr>
              <w:pStyle w:val="BoxNumberedQuestions"/>
              <w:rPr>
                <w:color w:val="000000" w:themeColor="text1"/>
              </w:rPr>
            </w:pPr>
            <w:r w:rsidRPr="00000F14">
              <w:rPr>
                <w:color w:val="000000" w:themeColor="text1"/>
              </w:rPr>
              <w:t>The review will have regard to: efficiency; equity; complexity; transparency; accountability; comparability of outcomes; and regulatory costs.</w:t>
            </w:r>
          </w:p>
          <w:p w:rsidR="00301E50" w:rsidRPr="00000F14" w:rsidRDefault="00301E50" w:rsidP="00301E50">
            <w:pPr>
              <w:pStyle w:val="BoxNumberedQuestions"/>
              <w:rPr>
                <w:color w:val="000000" w:themeColor="text1"/>
              </w:rPr>
            </w:pPr>
            <w:r w:rsidRPr="00000F14">
              <w:rPr>
                <w:color w:val="000000" w:themeColor="text1"/>
              </w:rPr>
              <w:t>The review will make recommendations on:</w:t>
            </w:r>
          </w:p>
          <w:p w:rsidR="00301E50" w:rsidRPr="00000F14" w:rsidRDefault="00301E50" w:rsidP="00301E50">
            <w:pPr>
              <w:pStyle w:val="ListParagraph"/>
              <w:numPr>
                <w:ilvl w:val="0"/>
                <w:numId w:val="16"/>
              </w:numPr>
              <w:spacing w:line="240" w:lineRule="auto"/>
              <w:contextualSpacing w:val="0"/>
              <w:rPr>
                <w:rFonts w:ascii="Century Gothic" w:eastAsia="Times New Roman" w:hAnsi="Century Gothic" w:cs="Times New Roman"/>
                <w:vanish/>
                <w:color w:val="000000" w:themeColor="text1"/>
                <w:sz w:val="21"/>
                <w:szCs w:val="20"/>
                <w:lang w:eastAsia="en-AU"/>
              </w:rPr>
            </w:pPr>
          </w:p>
          <w:p w:rsidR="00301E50" w:rsidRPr="00000F14" w:rsidRDefault="00301E50" w:rsidP="00301E50">
            <w:pPr>
              <w:pStyle w:val="ListParagraph"/>
              <w:numPr>
                <w:ilvl w:val="0"/>
                <w:numId w:val="16"/>
              </w:numPr>
              <w:spacing w:line="240" w:lineRule="auto"/>
              <w:contextualSpacing w:val="0"/>
              <w:rPr>
                <w:rFonts w:ascii="Century Gothic" w:eastAsia="Times New Roman" w:hAnsi="Century Gothic" w:cs="Times New Roman"/>
                <w:vanish/>
                <w:color w:val="000000" w:themeColor="text1"/>
                <w:sz w:val="21"/>
                <w:szCs w:val="20"/>
                <w:lang w:eastAsia="en-AU"/>
              </w:rPr>
            </w:pPr>
          </w:p>
          <w:p w:rsidR="00301E50" w:rsidRPr="00537F62" w:rsidRDefault="0080117B" w:rsidP="00253395">
            <w:pPr>
              <w:pStyle w:val="BoxText"/>
              <w:tabs>
                <w:tab w:val="left" w:pos="1134"/>
              </w:tabs>
              <w:spacing w:after="160"/>
              <w:ind w:left="1134" w:hanging="567"/>
            </w:pPr>
            <w:r>
              <w:t>3</w:t>
            </w:r>
            <w:r w:rsidR="00537F62">
              <w:t>.1.</w:t>
            </w:r>
            <w:r w:rsidR="00537F62">
              <w:tab/>
            </w:r>
            <w:r w:rsidR="00301E50" w:rsidRPr="00537F62">
              <w:t>the role, powers, governance and funding arrangements of the dispute resolution and complaints framework in providing effective complaints handling processes for users, including linkages with internal dispute resolution;</w:t>
            </w:r>
          </w:p>
          <w:p w:rsidR="00301E50" w:rsidRPr="00537F62" w:rsidRDefault="0080117B" w:rsidP="00253395">
            <w:pPr>
              <w:pStyle w:val="BoxText"/>
              <w:tabs>
                <w:tab w:val="left" w:pos="1134"/>
              </w:tabs>
              <w:spacing w:after="160"/>
              <w:ind w:left="1134" w:hanging="567"/>
            </w:pPr>
            <w:r>
              <w:t>3</w:t>
            </w:r>
            <w:r w:rsidR="00537F62">
              <w:t>.2.</w:t>
            </w:r>
            <w:r w:rsidR="00537F62">
              <w:tab/>
            </w:r>
            <w:r w:rsidR="00301E50" w:rsidRPr="00537F62">
              <w:t>the extent of gaps and overlaps between each of the bodies (including consideration of legislative limits on the matters each body can consider) and their impacts on the effectiveness, utility and comparability of outcomes for users;</w:t>
            </w:r>
          </w:p>
          <w:p w:rsidR="00381395" w:rsidRDefault="0080117B" w:rsidP="00253395">
            <w:pPr>
              <w:pStyle w:val="BoxText"/>
              <w:tabs>
                <w:tab w:val="left" w:pos="1134"/>
              </w:tabs>
              <w:spacing w:after="160"/>
              <w:ind w:left="1134" w:hanging="567"/>
              <w:rPr>
                <w:color w:val="000000" w:themeColor="text1"/>
              </w:rPr>
            </w:pPr>
            <w:r>
              <w:t>3</w:t>
            </w:r>
            <w:r w:rsidR="00537F62">
              <w:t>.3.</w:t>
            </w:r>
            <w:r w:rsidR="00537F62">
              <w:tab/>
            </w:r>
            <w:r w:rsidR="00301E50" w:rsidRPr="00537F62">
              <w:t>the role of the bodies in working with government, regulators, consumers, industry and other stakeholders to improve the legal and regulatory framework to deliver better outcomes for users;</w:t>
            </w:r>
          </w:p>
          <w:p w:rsidR="00381395" w:rsidRPr="00537F62" w:rsidRDefault="00381395" w:rsidP="00253395">
            <w:pPr>
              <w:pStyle w:val="BoxText"/>
              <w:tabs>
                <w:tab w:val="left" w:pos="1134"/>
              </w:tabs>
              <w:spacing w:after="160"/>
              <w:ind w:left="1134" w:hanging="567"/>
            </w:pPr>
            <w:r>
              <w:t>3.4.</w:t>
            </w:r>
            <w:r>
              <w:tab/>
            </w:r>
            <w:r w:rsidRPr="00537F62">
              <w:t>the relative merits, and any issues that would need to be considered (including implementation considerations), of different models in providing effective avenues for resolving disputes; and</w:t>
            </w:r>
          </w:p>
          <w:p w:rsidR="00301E50" w:rsidRPr="00253395" w:rsidRDefault="00381395" w:rsidP="00253395">
            <w:pPr>
              <w:pStyle w:val="BoxText"/>
              <w:tabs>
                <w:tab w:val="left" w:pos="1134"/>
              </w:tabs>
              <w:spacing w:after="160"/>
              <w:ind w:left="1134" w:hanging="567"/>
            </w:pPr>
            <w:r>
              <w:t>3.5.</w:t>
            </w:r>
            <w:r>
              <w:tab/>
            </w:r>
            <w:r w:rsidRPr="00537F62">
              <w:t>the establishment, merits and potential design of a comp</w:t>
            </w:r>
            <w:r>
              <w:t>ensation scheme of last resort.</w:t>
            </w:r>
          </w:p>
        </w:tc>
      </w:tr>
    </w:tbl>
    <w:p w:rsidR="00301E50" w:rsidRDefault="00301E50">
      <w:pPr>
        <w:pStyle w:val="OutlineNumbered1"/>
        <w:numPr>
          <w:ilvl w:val="0"/>
          <w:numId w:val="0"/>
        </w:numPr>
        <w:ind w:left="284"/>
      </w:pPr>
    </w:p>
    <w:tbl>
      <w:tblPr>
        <w:tblStyle w:val="TableGrid"/>
        <w:tblW w:w="907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tblCellMar>
          <w:right w:w="142" w:type="dxa"/>
        </w:tblCellMar>
        <w:tblLook w:val="04A0" w:firstRow="1" w:lastRow="0" w:firstColumn="1" w:lastColumn="0" w:noHBand="0" w:noVBand="1"/>
      </w:tblPr>
      <w:tblGrid>
        <w:gridCol w:w="9072"/>
      </w:tblGrid>
      <w:tr w:rsidR="00F97F46" w:rsidTr="005430C6">
        <w:tc>
          <w:tcPr>
            <w:tcW w:w="9072" w:type="dxa"/>
          </w:tcPr>
          <w:p w:rsidR="00F97F46" w:rsidRPr="0054274C" w:rsidRDefault="00000F14" w:rsidP="00301E50">
            <w:pPr>
              <w:pStyle w:val="BoxHeading"/>
            </w:pPr>
            <w:r w:rsidRPr="00301E50">
              <w:t>Terms</w:t>
            </w:r>
            <w:r w:rsidRPr="0054274C">
              <w:t xml:space="preserve"> of reference for the review into dispute resolution and complaints framework</w:t>
            </w:r>
            <w:r w:rsidR="00301E50">
              <w:t xml:space="preserve"> (continued)</w:t>
            </w:r>
          </w:p>
          <w:p w:rsidR="00F97F46" w:rsidRPr="00537F62" w:rsidRDefault="00F97F46" w:rsidP="00537F62">
            <w:pPr>
              <w:pStyle w:val="BoxNumberedQuestions"/>
              <w:rPr>
                <w:color w:val="auto"/>
              </w:rPr>
            </w:pPr>
            <w:r w:rsidRPr="00537F62">
              <w:rPr>
                <w:color w:val="auto"/>
              </w:rPr>
              <w:t>In making its recommendations, the review will, to the extent relevant, take into account best practice developments in dispute resolution arrangements in overseas jurisdictions and other sectors.</w:t>
            </w:r>
          </w:p>
          <w:p w:rsidR="00F97F46" w:rsidRPr="00537F62" w:rsidRDefault="00F97F46" w:rsidP="00537F62">
            <w:pPr>
              <w:pStyle w:val="BoxNumberedQuestions"/>
              <w:rPr>
                <w:color w:val="auto"/>
              </w:rPr>
            </w:pPr>
            <w:r w:rsidRPr="00537F62">
              <w:rPr>
                <w:color w:val="auto"/>
              </w:rPr>
              <w:t>The review will take into consideration, and consult with ASIC, on the concurrent review of the FOS</w:t>
            </w:r>
            <w:r w:rsidR="009F688A" w:rsidRPr="00537F62">
              <w:rPr>
                <w:color w:val="auto"/>
              </w:rPr>
              <w:t>’</w:t>
            </w:r>
            <w:r w:rsidRPr="00537F62">
              <w:rPr>
                <w:color w:val="auto"/>
              </w:rPr>
              <w:t>s small business jurisdiction.</w:t>
            </w:r>
          </w:p>
          <w:p w:rsidR="00F97F46" w:rsidRPr="00537F62" w:rsidRDefault="00F97F46" w:rsidP="00537F62">
            <w:pPr>
              <w:pStyle w:val="BoxNumberedQuestions"/>
              <w:rPr>
                <w:color w:val="auto"/>
              </w:rPr>
            </w:pPr>
            <w:r w:rsidRPr="00537F62">
              <w:rPr>
                <w:color w:val="auto"/>
              </w:rPr>
              <w:t>The review will consider the merits and issues involved in providing access to redress for past disputes.</w:t>
            </w:r>
          </w:p>
          <w:p w:rsidR="00F97F46" w:rsidRPr="00B76E05" w:rsidRDefault="00F97F46" w:rsidP="00000F14">
            <w:pPr>
              <w:pStyle w:val="BoxHeading-Sub"/>
            </w:pPr>
            <w:r>
              <w:t>Process</w:t>
            </w:r>
          </w:p>
          <w:p w:rsidR="00F97F46" w:rsidRPr="00000F14" w:rsidRDefault="00F97F46" w:rsidP="00000F14">
            <w:pPr>
              <w:pStyle w:val="BoxText"/>
              <w:rPr>
                <w:color w:val="000000" w:themeColor="text1"/>
              </w:rPr>
            </w:pPr>
            <w:r w:rsidRPr="00000F14">
              <w:rPr>
                <w:color w:val="000000" w:themeColor="text1"/>
              </w:rPr>
              <w:t>The review will be led by an independent expert panel, consisting of a Chair and two</w:t>
            </w:r>
            <w:r w:rsidR="00D779A4">
              <w:rPr>
                <w:color w:val="000000" w:themeColor="text1"/>
              </w:rPr>
              <w:t> </w:t>
            </w:r>
            <w:r w:rsidRPr="00000F14">
              <w:rPr>
                <w:color w:val="000000" w:themeColor="text1"/>
              </w:rPr>
              <w:t>members, and be supported by a secretariat from Treasury.</w:t>
            </w:r>
          </w:p>
          <w:p w:rsidR="00F97F46" w:rsidRPr="00000F14" w:rsidRDefault="00F97F46" w:rsidP="00000F14">
            <w:pPr>
              <w:pStyle w:val="BoxText"/>
              <w:rPr>
                <w:rFonts w:ascii="Arial" w:hAnsi="Arial" w:cs="Arial"/>
                <w:color w:val="000000" w:themeColor="text1"/>
                <w:sz w:val="18"/>
                <w:szCs w:val="18"/>
                <w:lang w:val="en"/>
              </w:rPr>
            </w:pPr>
            <w:r w:rsidRPr="00000F14">
              <w:rPr>
                <w:color w:val="000000" w:themeColor="text1"/>
              </w:rPr>
              <w:t xml:space="preserve">A final report is to be provided to the Minister for Revenue and Financial Services by the end of March 2017 (with the exception of issues contained in clauses 3.5 and 6 which will be provided to the Minister </w:t>
            </w:r>
            <w:r w:rsidRPr="00000F14" w:rsidDel="00A41229">
              <w:rPr>
                <w:color w:val="000000" w:themeColor="text1"/>
              </w:rPr>
              <w:t>by the end of June 2017</w:t>
            </w:r>
            <w:r w:rsidRPr="00000F14">
              <w:rPr>
                <w:color w:val="000000" w:themeColor="text1"/>
              </w:rPr>
              <w:t>).</w:t>
            </w:r>
            <w:r w:rsidR="003F40F1" w:rsidRPr="00000F14">
              <w:rPr>
                <w:rStyle w:val="FootnoteReference"/>
                <w:color w:val="000000" w:themeColor="text1"/>
              </w:rPr>
              <w:footnoteReference w:id="82"/>
            </w:r>
          </w:p>
          <w:p w:rsidR="00F97F46" w:rsidRDefault="00F97F46" w:rsidP="00000F14">
            <w:pPr>
              <w:pStyle w:val="BoxText"/>
            </w:pPr>
            <w:r w:rsidRPr="00000F14">
              <w:rPr>
                <w:color w:val="000000" w:themeColor="text1"/>
              </w:rPr>
              <w:t>The review will invite submissions from the public and consult with a range of stakeholders, in</w:t>
            </w:r>
            <w:r w:rsidR="00A15F3C">
              <w:rPr>
                <w:color w:val="000000" w:themeColor="text1"/>
              </w:rPr>
              <w:t>cluding consumers and industry.</w:t>
            </w:r>
          </w:p>
        </w:tc>
      </w:tr>
    </w:tbl>
    <w:p w:rsidR="001D0CF8" w:rsidRDefault="001D0CF8" w:rsidP="00253395">
      <w:pPr>
        <w:pStyle w:val="OutlineNumbered1"/>
        <w:numPr>
          <w:ilvl w:val="0"/>
          <w:numId w:val="0"/>
        </w:numPr>
      </w:pPr>
    </w:p>
    <w:p w:rsidR="001D0CF8" w:rsidRDefault="001D0CF8">
      <w:pPr>
        <w:spacing w:after="0" w:line="240" w:lineRule="auto"/>
        <w:jc w:val="left"/>
      </w:pPr>
      <w:r>
        <w:br w:type="page"/>
      </w:r>
    </w:p>
    <w:p w:rsidR="00F90BD0" w:rsidRDefault="00BD4089" w:rsidP="00F90BD0">
      <w:pPr>
        <w:pStyle w:val="Heading1"/>
      </w:pPr>
      <w:bookmarkStart w:id="223" w:name="_Toc482188906"/>
      <w:bookmarkStart w:id="224" w:name="_Toc482197212"/>
      <w:bookmarkStart w:id="225" w:name="_Toc482198302"/>
      <w:bookmarkStart w:id="226" w:name="_Toc482779547"/>
      <w:bookmarkStart w:id="227" w:name="_Toc482781322"/>
      <w:bookmarkStart w:id="228" w:name="_Toc482873879"/>
      <w:bookmarkStart w:id="229" w:name="_Toc483229149"/>
      <w:bookmarkStart w:id="230" w:name="_Toc483230264"/>
      <w:bookmarkStart w:id="231" w:name="_Toc483398644"/>
      <w:bookmarkStart w:id="232" w:name="_Toc483485331"/>
      <w:bookmarkStart w:id="233" w:name="_Toc483988920"/>
      <w:bookmarkStart w:id="234" w:name="_Toc461014549"/>
      <w:bookmarkStart w:id="235" w:name="_Toc461031622"/>
      <w:bookmarkStart w:id="236" w:name="_Toc461032028"/>
      <w:bookmarkStart w:id="237" w:name="_Toc461105732"/>
      <w:bookmarkStart w:id="238" w:name="_Toc479074204"/>
      <w:bookmarkStart w:id="239" w:name="_Toc479079307"/>
      <w:bookmarkStart w:id="240" w:name="_Toc479600664"/>
      <w:bookmarkStart w:id="241" w:name="_Toc479692334"/>
      <w:bookmarkStart w:id="242" w:name="_Toc479761653"/>
      <w:bookmarkEnd w:id="210"/>
      <w:bookmarkEnd w:id="211"/>
      <w:r w:rsidRPr="00CB49AF">
        <w:t xml:space="preserve">Appendix </w:t>
      </w:r>
      <w:r w:rsidR="003516BE">
        <w:t>B</w:t>
      </w:r>
      <w:r w:rsidR="009F688A">
        <w:t xml:space="preserve"> — </w:t>
      </w:r>
      <w:r w:rsidR="00C56781">
        <w:t xml:space="preserve">Examples of schemes outside the financial sector that provide </w:t>
      </w:r>
      <w:r w:rsidR="00F90BD0">
        <w:t>for past matters</w:t>
      </w:r>
      <w:bookmarkEnd w:id="223"/>
      <w:bookmarkEnd w:id="224"/>
      <w:bookmarkEnd w:id="225"/>
      <w:bookmarkEnd w:id="226"/>
      <w:bookmarkEnd w:id="227"/>
      <w:bookmarkEnd w:id="228"/>
      <w:bookmarkEnd w:id="229"/>
      <w:bookmarkEnd w:id="230"/>
      <w:bookmarkEnd w:id="231"/>
      <w:bookmarkEnd w:id="232"/>
      <w:bookmarkEnd w:id="233"/>
    </w:p>
    <w:p w:rsidR="003516BE" w:rsidRDefault="003516BE" w:rsidP="00993864">
      <w:pPr>
        <w:pStyle w:val="Heading2NotNumbered"/>
      </w:pPr>
      <w:r w:rsidRPr="00044A55">
        <w:t>Asbestos Injuries Compensation Fund (</w:t>
      </w:r>
      <w:r w:rsidR="009F688A">
        <w:t>‘</w:t>
      </w:r>
      <w:r>
        <w:t xml:space="preserve">the </w:t>
      </w:r>
      <w:r w:rsidRPr="00044A55">
        <w:t xml:space="preserve">James Hardie </w:t>
      </w:r>
      <w:r w:rsidR="00883D58">
        <w:t>f</w:t>
      </w:r>
      <w:r w:rsidR="00883D58" w:rsidRPr="00044A55">
        <w:t>und</w:t>
      </w:r>
      <w:r w:rsidR="009F688A">
        <w:t>’</w:t>
      </w:r>
      <w:r w:rsidRPr="00044A55">
        <w:t>)</w:t>
      </w:r>
    </w:p>
    <w:p w:rsidR="003516BE" w:rsidRPr="00537F62" w:rsidRDefault="003516BE" w:rsidP="00253395">
      <w:pPr>
        <w:pStyle w:val="OutlineNumbered1"/>
        <w:numPr>
          <w:ilvl w:val="0"/>
          <w:numId w:val="17"/>
        </w:numPr>
      </w:pPr>
      <w:r w:rsidRPr="00537F62">
        <w:t>The A</w:t>
      </w:r>
      <w:r w:rsidR="002A638B" w:rsidRPr="00537F62">
        <w:t xml:space="preserve">sbestos </w:t>
      </w:r>
      <w:r w:rsidRPr="00537F62">
        <w:t>I</w:t>
      </w:r>
      <w:r w:rsidR="002A638B" w:rsidRPr="00537F62">
        <w:t xml:space="preserve">njuries </w:t>
      </w:r>
      <w:r w:rsidRPr="00537F62">
        <w:t>C</w:t>
      </w:r>
      <w:r w:rsidR="002A638B" w:rsidRPr="00537F62">
        <w:t xml:space="preserve">ompensation </w:t>
      </w:r>
      <w:r w:rsidRPr="00537F62">
        <w:t>F</w:t>
      </w:r>
      <w:r w:rsidR="002A638B" w:rsidRPr="00537F62">
        <w:t>und</w:t>
      </w:r>
      <w:r w:rsidRPr="00537F62">
        <w:t xml:space="preserve"> </w:t>
      </w:r>
      <w:r w:rsidR="00A4441F" w:rsidRPr="00537F62">
        <w:t xml:space="preserve">(AICF) </w:t>
      </w:r>
      <w:r w:rsidRPr="00537F62">
        <w:t>was created in February 2007 as an independent, special purpose vehicle to provide compensation for Australian asbestos related claims against former subsidiaries of the James Hardie Group.</w:t>
      </w:r>
      <w:r w:rsidRPr="00D779A4">
        <w:rPr>
          <w:rStyle w:val="FootnoteReference"/>
        </w:rPr>
        <w:footnoteReference w:id="83"/>
      </w:r>
      <w:r w:rsidRPr="00537F62">
        <w:t xml:space="preserve"> </w:t>
      </w:r>
      <w:r w:rsidR="00A4441F" w:rsidRPr="00537F62">
        <w:t xml:space="preserve">James Hardie provides funding for the AICF in accordance with an agreement </w:t>
      </w:r>
      <w:r w:rsidR="00CB7EF9" w:rsidRPr="00537F62">
        <w:t xml:space="preserve">entered into </w:t>
      </w:r>
      <w:r w:rsidR="00A4441F" w:rsidRPr="00537F62">
        <w:t>with the NSW Government.</w:t>
      </w:r>
      <w:r w:rsidR="00657873" w:rsidRPr="00537F62">
        <w:t xml:space="preserve"> The AICF operates as the trustee for two</w:t>
      </w:r>
      <w:r w:rsidR="00301E50" w:rsidRPr="00537F62">
        <w:t> </w:t>
      </w:r>
      <w:r w:rsidR="00657873" w:rsidRPr="00537F62">
        <w:t>trust funds.</w:t>
      </w:r>
    </w:p>
    <w:p w:rsidR="00CB7EF9" w:rsidRDefault="006F1A8A">
      <w:pPr>
        <w:pStyle w:val="OutlineNumbered1"/>
      </w:pPr>
      <w:r w:rsidRPr="007911B6">
        <w:t>James Hardie</w:t>
      </w:r>
      <w:r w:rsidR="009F688A">
        <w:t>’</w:t>
      </w:r>
      <w:r w:rsidRPr="007911B6">
        <w:t>s former subsidiaries</w:t>
      </w:r>
      <w:r w:rsidR="00CB7EF9" w:rsidRPr="007911B6">
        <w:t xml:space="preserve"> are insolvent, and are under NSW administered winding up</w:t>
      </w:r>
      <w:r w:rsidRPr="007911B6">
        <w:t>, re</w:t>
      </w:r>
      <w:r w:rsidR="00CB7EF9" w:rsidRPr="007911B6">
        <w:t xml:space="preserve">gulated by the </w:t>
      </w:r>
      <w:r w:rsidR="00CB7EF9" w:rsidRPr="007911B6">
        <w:rPr>
          <w:i/>
        </w:rPr>
        <w:t xml:space="preserve">James Hardie Former Subsidiaries (Winding up and Administration) Act 2005 </w:t>
      </w:r>
      <w:r w:rsidR="00CB7EF9" w:rsidRPr="007911B6">
        <w:t>(NSW).</w:t>
      </w:r>
      <w:r w:rsidRPr="007911B6">
        <w:t xml:space="preserve"> This legislation also governs the p</w:t>
      </w:r>
      <w:r w:rsidR="00CB7EF9" w:rsidRPr="007911B6">
        <w:t xml:space="preserve">roceedings </w:t>
      </w:r>
      <w:r w:rsidRPr="007911B6">
        <w:t xml:space="preserve">which </w:t>
      </w:r>
      <w:r w:rsidR="00CB7EF9" w:rsidRPr="007911B6">
        <w:t xml:space="preserve">can </w:t>
      </w:r>
      <w:r w:rsidRPr="007911B6">
        <w:t>be taken against the former subsidiaries</w:t>
      </w:r>
      <w:r w:rsidR="00CB7EF9" w:rsidRPr="007911B6">
        <w:t xml:space="preserve"> and </w:t>
      </w:r>
      <w:r w:rsidRPr="007911B6">
        <w:t xml:space="preserve">the </w:t>
      </w:r>
      <w:r w:rsidR="00CB7EF9" w:rsidRPr="007911B6">
        <w:t xml:space="preserve">payments </w:t>
      </w:r>
      <w:r w:rsidRPr="007911B6">
        <w:t>which can</w:t>
      </w:r>
      <w:r w:rsidR="00CB7EF9" w:rsidRPr="007911B6">
        <w:t xml:space="preserve"> be made by</w:t>
      </w:r>
      <w:r w:rsidRPr="007911B6">
        <w:t xml:space="preserve"> the AICF t</w:t>
      </w:r>
      <w:r w:rsidR="00CB7EF9" w:rsidRPr="007911B6">
        <w:t xml:space="preserve">rust on behalf of the </w:t>
      </w:r>
      <w:r w:rsidRPr="007911B6">
        <w:t>former subsidiaries</w:t>
      </w:r>
      <w:r w:rsidR="00CB7EF9" w:rsidRPr="007911B6">
        <w:t>.</w:t>
      </w:r>
      <w:r w:rsidRPr="007911B6">
        <w:rPr>
          <w:rStyle w:val="FootnoteReference"/>
        </w:rPr>
        <w:footnoteReference w:id="84"/>
      </w:r>
    </w:p>
    <w:p w:rsidR="00A4441F" w:rsidRDefault="00A4441F">
      <w:pPr>
        <w:pStyle w:val="OutlineNumbered1"/>
      </w:pPr>
      <w:r>
        <w:t>The primary activities of the AICF are to: receive and assess claims against James</w:t>
      </w:r>
      <w:r w:rsidR="00EC50F3">
        <w:t> </w:t>
      </w:r>
      <w:r>
        <w:t>Hardie</w:t>
      </w:r>
      <w:r w:rsidR="009F688A">
        <w:t>’</w:t>
      </w:r>
      <w:r>
        <w:t xml:space="preserve">s former subsidiaries and pay those claims </w:t>
      </w:r>
      <w:r w:rsidR="00657873">
        <w:t xml:space="preserve">using company funds or AICF trust funds </w:t>
      </w:r>
      <w:r>
        <w:t>as appropriate; pursue insurance and other recoveries on behalf of James Hardie</w:t>
      </w:r>
      <w:r w:rsidR="009F688A">
        <w:t>’</w:t>
      </w:r>
      <w:r>
        <w:t xml:space="preserve">s former subsidiaries; </w:t>
      </w:r>
      <w:r w:rsidR="00657873">
        <w:t>receive and manage the funding paid into the AICF by James Hardie; and manage and administer the role of trustee.</w:t>
      </w:r>
      <w:r w:rsidR="00657873">
        <w:rPr>
          <w:rStyle w:val="FootnoteReference"/>
        </w:rPr>
        <w:footnoteReference w:id="85"/>
      </w:r>
    </w:p>
    <w:p w:rsidR="001A2325" w:rsidRDefault="001A2325">
      <w:pPr>
        <w:pStyle w:val="OutlineNumbered1"/>
      </w:pPr>
      <w:r>
        <w:t>James Hardie paid initial funding of $184.3 million into the AICF in 2007. Additional annual contributions are made on 1 July each year based on relevant financial information. Total contributions to 1 July 2015 are $799.238 million.</w:t>
      </w:r>
      <w:r>
        <w:rPr>
          <w:rStyle w:val="FootnoteReference"/>
        </w:rPr>
        <w:footnoteReference w:id="86"/>
      </w:r>
    </w:p>
    <w:p w:rsidR="0099577A" w:rsidRDefault="0099577A">
      <w:pPr>
        <w:pStyle w:val="OutlineNumbered1"/>
      </w:pPr>
      <w:r>
        <w:t xml:space="preserve">The Fund received 577 claims in the year ending 31 March 2016 (665 in </w:t>
      </w:r>
      <w:r w:rsidR="00005A34">
        <w:t xml:space="preserve">the </w:t>
      </w:r>
      <w:r>
        <w:t>prior</w:t>
      </w:r>
      <w:r w:rsidR="00000F14">
        <w:t> </w:t>
      </w:r>
      <w:r>
        <w:t xml:space="preserve">year), and made gross payments of $146.749 million ($142.014 million in </w:t>
      </w:r>
      <w:r w:rsidR="00005A34">
        <w:t>the</w:t>
      </w:r>
      <w:r w:rsidR="00AB073D">
        <w:t xml:space="preserve"> </w:t>
      </w:r>
      <w:r>
        <w:t>prior year) in respect of asbestos claims.</w:t>
      </w:r>
      <w:r>
        <w:rPr>
          <w:rStyle w:val="FootnoteReference"/>
        </w:rPr>
        <w:footnoteReference w:id="87"/>
      </w:r>
    </w:p>
    <w:p w:rsidR="00537F62" w:rsidRDefault="00537F62">
      <w:pPr>
        <w:widowControl/>
        <w:adjustRightInd/>
        <w:spacing w:after="0" w:line="240" w:lineRule="auto"/>
        <w:jc w:val="left"/>
        <w:textAlignment w:val="auto"/>
      </w:pPr>
      <w:r>
        <w:br w:type="page"/>
      </w:r>
    </w:p>
    <w:p w:rsidR="00D26123" w:rsidRDefault="00A4441F">
      <w:pPr>
        <w:pStyle w:val="OutlineNumbered1"/>
      </w:pPr>
      <w:r>
        <w:t>According to James Hardie, no proven compensation claim against it or its former subsidiaries has been unpaid.</w:t>
      </w:r>
      <w:r>
        <w:rPr>
          <w:rStyle w:val="FootnoteReference"/>
        </w:rPr>
        <w:footnoteReference w:id="88"/>
      </w:r>
      <w:r w:rsidR="00D26123" w:rsidRPr="00D26123">
        <w:t xml:space="preserve"> </w:t>
      </w:r>
      <w:r w:rsidR="00D26123">
        <w:t xml:space="preserve">Since 2010, the State of New South Wales has provided </w:t>
      </w:r>
      <w:r w:rsidR="009F688A">
        <w:t>‘</w:t>
      </w:r>
      <w:r w:rsidR="00D26123">
        <w:t>financial accommodation</w:t>
      </w:r>
      <w:r w:rsidR="009F688A">
        <w:t>’</w:t>
      </w:r>
      <w:r w:rsidR="00D26123">
        <w:t xml:space="preserve"> to the AICF to assist in paying liabilities (an</w:t>
      </w:r>
      <w:r w:rsidR="009E0CCA">
        <w:t> </w:t>
      </w:r>
      <w:r w:rsidR="00D26123">
        <w:t>AICF Loan Facility agreement).</w:t>
      </w:r>
      <w:r w:rsidR="00D26123">
        <w:rPr>
          <w:rStyle w:val="FootnoteReference"/>
        </w:rPr>
        <w:footnoteReference w:id="89"/>
      </w:r>
    </w:p>
    <w:p w:rsidR="003516BE" w:rsidRPr="000516CF" w:rsidRDefault="003516BE" w:rsidP="00993864">
      <w:pPr>
        <w:pStyle w:val="Heading2NotNumbered"/>
      </w:pPr>
      <w:r w:rsidRPr="000516CF">
        <w:t>Royal Commission into Institutional Responses to Child Sexual Abuse</w:t>
      </w:r>
      <w:r w:rsidR="009F688A">
        <w:t xml:space="preserve"> — </w:t>
      </w:r>
      <w:r w:rsidRPr="000516CF">
        <w:t>providing</w:t>
      </w:r>
      <w:r>
        <w:t xml:space="preserve"> a</w:t>
      </w:r>
      <w:r w:rsidRPr="000516CF">
        <w:t xml:space="preserve"> redress</w:t>
      </w:r>
      <w:r>
        <w:t xml:space="preserve"> scheme</w:t>
      </w:r>
    </w:p>
    <w:p w:rsidR="003516BE" w:rsidRDefault="003516BE">
      <w:pPr>
        <w:pStyle w:val="OutlineNumbered1"/>
      </w:pPr>
      <w:r w:rsidRPr="000516CF">
        <w:t xml:space="preserve">The Royal Commission published its </w:t>
      </w:r>
      <w:r w:rsidR="009F688A">
        <w:t>‘</w:t>
      </w:r>
      <w:r w:rsidRPr="000516CF">
        <w:t>Redress and civil litigation</w:t>
      </w:r>
      <w:r w:rsidR="009F688A">
        <w:t>’</w:t>
      </w:r>
      <w:r w:rsidRPr="000516CF">
        <w:t xml:space="preserve"> report in 2015.</w:t>
      </w:r>
      <w:r w:rsidR="00B63775">
        <w:rPr>
          <w:rStyle w:val="FootnoteReference"/>
        </w:rPr>
        <w:footnoteReference w:id="90"/>
      </w:r>
      <w:r w:rsidRPr="000516CF">
        <w:t xml:space="preserve"> The report states that monetary payments as a tangible means of recognising the wrongs suffered is one element of appropriate redress for survivors, as is funding for unlimited counselling and psychological care throughout survivors</w:t>
      </w:r>
      <w:r w:rsidR="009F688A">
        <w:t>’</w:t>
      </w:r>
      <w:r w:rsidRPr="000516CF">
        <w:t xml:space="preserve"> lives (recommendations 2</w:t>
      </w:r>
      <w:r>
        <w:t xml:space="preserve"> and 9</w:t>
      </w:r>
      <w:r w:rsidRPr="000516CF">
        <w:t>).</w:t>
      </w:r>
      <w:r>
        <w:t xml:space="preserve"> The redress scheme should have no fixed closing date (rec</w:t>
      </w:r>
      <w:r w:rsidR="00005A34">
        <w:t>ommendation</w:t>
      </w:r>
      <w:r>
        <w:t xml:space="preserve"> 48) and applications should not be subject to usual limitation periods (rec</w:t>
      </w:r>
      <w:r w:rsidR="00005A34">
        <w:t>ommendation</w:t>
      </w:r>
      <w:r w:rsidR="00537F62">
        <w:t> </w:t>
      </w:r>
      <w:r>
        <w:t>85).</w:t>
      </w:r>
    </w:p>
    <w:p w:rsidR="003516BE" w:rsidRDefault="003516BE">
      <w:pPr>
        <w:pStyle w:val="OutlineNumbered1"/>
      </w:pPr>
      <w:r>
        <w:t>The purpose of monetary payments should be to provide a tangible recognition of the seriousness of the hurt and injury suffered by survivors (recommendation 15) and payments should be provided based on the severity and impact of abuse (recommendation 16). Monetary payments under redress should be a minimum payment of $10,000, a maximum payment of $200,000 and an average payment of</w:t>
      </w:r>
      <w:r w:rsidR="00000F14">
        <w:t> </w:t>
      </w:r>
      <w:r>
        <w:t>$65,000 (recommendation 19).</w:t>
      </w:r>
    </w:p>
    <w:p w:rsidR="003516BE" w:rsidRDefault="003516BE">
      <w:pPr>
        <w:pStyle w:val="OutlineNumbered1"/>
      </w:pPr>
      <w:r>
        <w:t>C</w:t>
      </w:r>
      <w:r w:rsidRPr="000516CF">
        <w:t xml:space="preserve">ounselling and psychological care </w:t>
      </w:r>
      <w:r>
        <w:t>should be provided to</w:t>
      </w:r>
      <w:r w:rsidRPr="000516CF">
        <w:t xml:space="preserve"> survivors, both through increasing access to Medicare funded services and providing for other gaps in care</w:t>
      </w:r>
      <w:r>
        <w:t>, funded by the Government.</w:t>
      </w:r>
      <w:r w:rsidRPr="000516CF">
        <w:t xml:space="preserve"> </w:t>
      </w:r>
      <w:r>
        <w:t>A trust fund should be established to receive funding for counselling and psychological care (rec</w:t>
      </w:r>
      <w:r w:rsidR="00005A34">
        <w:t>ommendation</w:t>
      </w:r>
      <w:r>
        <w:t xml:space="preserve"> 40)</w:t>
      </w:r>
      <w:r w:rsidRPr="000516CF">
        <w:t>.</w:t>
      </w:r>
    </w:p>
    <w:p w:rsidR="003516BE" w:rsidRDefault="003516BE">
      <w:pPr>
        <w:pStyle w:val="OutlineNumbered1"/>
      </w:pPr>
      <w:r>
        <w:t xml:space="preserve">The redress scheme should be established as a single national scheme by the Australian Government (recommendation 26) but funded by the institutions in which the abuse is alleged to have occurred, with the Australian Government and state/territory governments being </w:t>
      </w:r>
      <w:r w:rsidR="009F688A">
        <w:t>‘</w:t>
      </w:r>
      <w:r>
        <w:t>funders of last resort</w:t>
      </w:r>
      <w:r w:rsidR="009F688A">
        <w:t>’</w:t>
      </w:r>
      <w:r>
        <w:t xml:space="preserve"> (rec</w:t>
      </w:r>
      <w:r w:rsidR="00005A34">
        <w:t>ommendation</w:t>
      </w:r>
      <w:r>
        <w:t>s 35 and</w:t>
      </w:r>
      <w:r w:rsidR="00000F14">
        <w:t> </w:t>
      </w:r>
      <w:r>
        <w:t>36).</w:t>
      </w:r>
    </w:p>
    <w:p w:rsidR="00537F62" w:rsidRDefault="00537F62">
      <w:pPr>
        <w:widowControl/>
        <w:adjustRightInd/>
        <w:spacing w:after="0" w:line="240" w:lineRule="auto"/>
        <w:jc w:val="left"/>
        <w:textAlignment w:val="auto"/>
        <w:rPr>
          <w:rFonts w:ascii="Century Gothic" w:hAnsi="Century Gothic" w:cs="Arial"/>
          <w:b/>
          <w:bCs/>
          <w:color w:val="1F497D" w:themeColor="text2"/>
          <w:sz w:val="26"/>
          <w:szCs w:val="26"/>
        </w:rPr>
      </w:pPr>
      <w:r>
        <w:br w:type="page"/>
      </w:r>
    </w:p>
    <w:p w:rsidR="003B38FD" w:rsidRDefault="003B38FD" w:rsidP="003B400B">
      <w:pPr>
        <w:pStyle w:val="Heading3"/>
      </w:pPr>
      <w:r>
        <w:t>Government announcement</w:t>
      </w:r>
    </w:p>
    <w:p w:rsidR="005B5518" w:rsidRDefault="005B5518">
      <w:pPr>
        <w:pStyle w:val="OutlineNumbered1"/>
      </w:pPr>
      <w:r>
        <w:t xml:space="preserve">On 9 May 2017 as part of the Federal Budget, the Commonwealth Government announced </w:t>
      </w:r>
      <w:r w:rsidR="00463379">
        <w:t xml:space="preserve">that it will establish </w:t>
      </w:r>
      <w:r>
        <w:t>a Commonwealth Redress Scheme for survivors of institutional child sexual abuse. The scheme will provide redress to survivors who were sexually abused as children in Commonwealth institutions.</w:t>
      </w:r>
      <w:r w:rsidR="00FD657B">
        <w:t xml:space="preserve"> Survivors will be able to claim a monetary payment </w:t>
      </w:r>
      <w:r w:rsidR="00463379">
        <w:t>of up to $150,000,</w:t>
      </w:r>
      <w:r w:rsidR="00FD657B">
        <w:t xml:space="preserve"> based on the severity and impact of the abuse experienced.</w:t>
      </w:r>
      <w:r w:rsidR="0064517D">
        <w:t xml:space="preserve"> Survivors will also be able to access psychological counselling.</w:t>
      </w:r>
      <w:r w:rsidR="0005636F">
        <w:t xml:space="preserve"> The scheme will </w:t>
      </w:r>
      <w:r w:rsidR="00463379">
        <w:t xml:space="preserve">accept claims from </w:t>
      </w:r>
      <w:r w:rsidR="0005636F">
        <w:t xml:space="preserve">1 July 2018 and will end </w:t>
      </w:r>
      <w:r w:rsidR="00000F14">
        <w:t>on 30 </w:t>
      </w:r>
      <w:r w:rsidR="0005636F">
        <w:t>June</w:t>
      </w:r>
      <w:r w:rsidR="00000F14">
        <w:t> </w:t>
      </w:r>
      <w:r w:rsidR="0005636F">
        <w:t>2028.</w:t>
      </w:r>
      <w:r w:rsidR="00FD657B">
        <w:rPr>
          <w:rStyle w:val="FootnoteReference"/>
        </w:rPr>
        <w:footnoteReference w:id="91"/>
      </w:r>
    </w:p>
    <w:p w:rsidR="00F90BD0" w:rsidRDefault="00F90BD0" w:rsidP="00993864">
      <w:pPr>
        <w:pStyle w:val="Heading2NotNumbered"/>
      </w:pPr>
      <w:r w:rsidRPr="005A15D1">
        <w:t>Aborigi</w:t>
      </w:r>
      <w:r>
        <w:t>nal Trust Fund Repayment Scheme</w:t>
      </w:r>
    </w:p>
    <w:p w:rsidR="00F90BD0" w:rsidRDefault="00F90BD0">
      <w:pPr>
        <w:pStyle w:val="OutlineNumbered1"/>
      </w:pPr>
      <w:r>
        <w:t>T</w:t>
      </w:r>
      <w:r w:rsidRPr="005A15D1">
        <w:t>he Aboriginal Trus</w:t>
      </w:r>
      <w:r>
        <w:t>t Fund Repayment Scheme (ATFRS) was</w:t>
      </w:r>
      <w:r w:rsidRPr="005A15D1">
        <w:t xml:space="preserve"> established </w:t>
      </w:r>
      <w:r>
        <w:t xml:space="preserve">in 2004 </w:t>
      </w:r>
      <w:r w:rsidRPr="005A15D1">
        <w:t>by the New South Wales Government</w:t>
      </w:r>
      <w:r w:rsidR="00A807C5">
        <w:t xml:space="preserve"> to provide a mechanism for </w:t>
      </w:r>
      <w:r w:rsidRPr="005A15D1">
        <w:t xml:space="preserve">Aboriginal people in NSW to recover </w:t>
      </w:r>
      <w:r w:rsidR="009F688A">
        <w:t>‘</w:t>
      </w:r>
      <w:r w:rsidRPr="005A15D1">
        <w:t>stolen wages</w:t>
      </w:r>
      <w:r w:rsidR="009F688A">
        <w:t>’</w:t>
      </w:r>
      <w:r w:rsidRPr="005A15D1">
        <w:t>: wages, allowances and pensions held in trust by the NSW</w:t>
      </w:r>
      <w:r w:rsidR="00EC50F3">
        <w:t> </w:t>
      </w:r>
      <w:r w:rsidRPr="005A15D1">
        <w:t>Government between 1900 and 1969 but never paid out.</w:t>
      </w:r>
    </w:p>
    <w:p w:rsidR="00F90BD0" w:rsidRDefault="00F90BD0">
      <w:pPr>
        <w:pStyle w:val="OutlineNumbered1"/>
      </w:pPr>
      <w:r>
        <w:t>Reparation schemes also operated in Queensland</w:t>
      </w:r>
      <w:r w:rsidR="009F688A">
        <w:t xml:space="preserve"> — </w:t>
      </w:r>
      <w:r>
        <w:rPr>
          <w:lang w:val="en"/>
        </w:rPr>
        <w:t>under the Underpayment of Award Wages Process introduced in 1999 one</w:t>
      </w:r>
      <w:r w:rsidR="009F688A">
        <w:rPr>
          <w:lang w:val="en"/>
        </w:rPr>
        <w:noBreakHyphen/>
      </w:r>
      <w:r>
        <w:rPr>
          <w:lang w:val="en"/>
        </w:rPr>
        <w:t>off payments of $7,000 were provided to workers employed on Aboriginal reserves; the Indigenous Wages and Savings Reparations Offer introduced in 2002 provided for payments of $2,000 or $4,000, depending on the date of birth of the Indigenous worker.</w:t>
      </w:r>
      <w:r>
        <w:rPr>
          <w:rStyle w:val="FootnoteReference"/>
          <w:lang w:val="en"/>
        </w:rPr>
        <w:footnoteReference w:id="92"/>
      </w:r>
    </w:p>
    <w:p w:rsidR="00F90BD0" w:rsidRPr="000E47BF" w:rsidRDefault="00F90BD0" w:rsidP="00993864">
      <w:pPr>
        <w:pStyle w:val="Heading2NotNumbered"/>
        <w:rPr>
          <w:lang w:val="en"/>
        </w:rPr>
      </w:pPr>
      <w:r w:rsidRPr="006249BE">
        <w:t>The Forde Foundation:</w:t>
      </w:r>
      <w:r>
        <w:t xml:space="preserve"> response to the </w:t>
      </w:r>
      <w:r w:rsidRPr="004B5AF4">
        <w:t>Commission of Inquiry into Abuse of Children in Queensland Institutions</w:t>
      </w:r>
    </w:p>
    <w:p w:rsidR="00F90BD0" w:rsidRPr="004B5AF4" w:rsidRDefault="00F90BD0">
      <w:pPr>
        <w:pStyle w:val="OutlineNumbered1"/>
        <w:rPr>
          <w:color w:val="auto"/>
          <w:szCs w:val="22"/>
          <w:lang w:val="en"/>
        </w:rPr>
      </w:pPr>
      <w:r w:rsidRPr="004B5AF4">
        <w:rPr>
          <w:lang w:val="en"/>
        </w:rPr>
        <w:t xml:space="preserve">The Forde Foundation was established in August 2000 </w:t>
      </w:r>
      <w:r w:rsidR="009F688A">
        <w:rPr>
          <w:lang w:val="en"/>
        </w:rPr>
        <w:t>‘</w:t>
      </w:r>
      <w:r w:rsidRPr="004B5AF4">
        <w:t>for the relief of poverty, for the advancement of education, training or development, personal and social support, relief of sickness, suffering distress, general enhancement of social and economic wellbeing or for any other purposes beneficial to persons who have been wards of the State or under guardianship of the State or have been resident, as a child, in a Queensland institution.</w:t>
      </w:r>
      <w:r w:rsidR="009F688A">
        <w:t>’</w:t>
      </w:r>
      <w:r w:rsidRPr="004B5AF4">
        <w:t xml:space="preserve"> The Foundation was established in response to the</w:t>
      </w:r>
      <w:r w:rsidRPr="004B5AF4">
        <w:rPr>
          <w:lang w:val="en"/>
        </w:rPr>
        <w:t xml:space="preserve"> 1999 report of the Commission of Inquiry into Abuse of Children in Queensland Institutions (the Forde Inquiry), which </w:t>
      </w:r>
      <w:r>
        <w:rPr>
          <w:lang w:val="en"/>
        </w:rPr>
        <w:t xml:space="preserve">recommended </w:t>
      </w:r>
      <w:r w:rsidR="00E816E8">
        <w:rPr>
          <w:lang w:val="en"/>
        </w:rPr>
        <w:t xml:space="preserve">that </w:t>
      </w:r>
      <w:r w:rsidR="009F688A">
        <w:rPr>
          <w:lang w:val="en"/>
        </w:rPr>
        <w:t>‘</w:t>
      </w:r>
      <w:r w:rsidR="00E816E8">
        <w:rPr>
          <w:lang w:val="en"/>
        </w:rPr>
        <w:t>[t]he Queensland</w:t>
      </w:r>
      <w:r w:rsidR="00000F14">
        <w:rPr>
          <w:lang w:val="en"/>
        </w:rPr>
        <w:t> </w:t>
      </w:r>
      <w:r w:rsidR="00E816E8">
        <w:rPr>
          <w:lang w:val="en"/>
        </w:rPr>
        <w:t xml:space="preserve">Government and responsible religious authorities </w:t>
      </w:r>
      <w:r w:rsidRPr="004B5AF4">
        <w:rPr>
          <w:color w:val="auto"/>
          <w:szCs w:val="22"/>
          <w:lang w:val="en"/>
        </w:rPr>
        <w:t>establish</w:t>
      </w:r>
      <w:r w:rsidR="00AF5E9F">
        <w:rPr>
          <w:color w:val="auto"/>
          <w:szCs w:val="22"/>
          <w:lang w:val="en"/>
        </w:rPr>
        <w:t xml:space="preserve"> </w:t>
      </w:r>
      <w:r w:rsidRPr="004B5AF4">
        <w:rPr>
          <w:iCs/>
          <w:color w:val="auto"/>
          <w:szCs w:val="22"/>
          <w:lang w:val="en"/>
        </w:rPr>
        <w:t>principles of compensation in dialogue with victims of institutional abuse and strike a balance between individual monetary compensation and provision of services</w:t>
      </w:r>
      <w:r w:rsidR="009F688A">
        <w:rPr>
          <w:iCs/>
          <w:color w:val="auto"/>
          <w:szCs w:val="22"/>
          <w:lang w:val="en"/>
        </w:rPr>
        <w:t>’</w:t>
      </w:r>
      <w:r w:rsidRPr="004B5AF4">
        <w:rPr>
          <w:iCs/>
          <w:color w:val="auto"/>
          <w:szCs w:val="22"/>
          <w:lang w:val="en"/>
        </w:rPr>
        <w:t xml:space="preserve"> (recommendation 39).</w:t>
      </w:r>
    </w:p>
    <w:p w:rsidR="00F90BD0" w:rsidRPr="004B5AF4" w:rsidRDefault="00F90BD0">
      <w:pPr>
        <w:pStyle w:val="OutlineNumbered1"/>
        <w:rPr>
          <w:lang w:val="en"/>
        </w:rPr>
      </w:pPr>
      <w:r>
        <w:rPr>
          <w:lang w:val="en"/>
        </w:rPr>
        <w:t>The Queensland Government has contributed $4.15 million to the Forde Foundation since its establishment. Income generated by the investment of these monies is distributed via a grants process to both individuals and to certain non</w:t>
      </w:r>
      <w:r w:rsidR="009F688A">
        <w:rPr>
          <w:lang w:val="en"/>
        </w:rPr>
        <w:noBreakHyphen/>
      </w:r>
      <w:r>
        <w:rPr>
          <w:lang w:val="en"/>
        </w:rPr>
        <w:t>government organisations. Grant monies must be used within six months.</w:t>
      </w:r>
      <w:r>
        <w:rPr>
          <w:rStyle w:val="FootnoteReference"/>
          <w:color w:val="auto"/>
          <w:szCs w:val="22"/>
          <w:lang w:val="en"/>
        </w:rPr>
        <w:footnoteReference w:id="93"/>
      </w:r>
    </w:p>
    <w:p w:rsidR="00F90BD0" w:rsidRPr="00D371FE" w:rsidRDefault="00F90BD0" w:rsidP="00993864">
      <w:pPr>
        <w:pStyle w:val="Heading2NotNumbered"/>
      </w:pPr>
      <w:r w:rsidRPr="00D371FE">
        <w:t>Reparation for members of the Stolen Generation</w:t>
      </w:r>
      <w:r>
        <w:t>s</w:t>
      </w:r>
    </w:p>
    <w:p w:rsidR="00F90BD0" w:rsidRDefault="00F90BD0">
      <w:pPr>
        <w:pStyle w:val="OutlineNumbered1"/>
      </w:pPr>
      <w:r>
        <w:t>Reparation schemes for members of the Stolen Generations operate in some States. The provision of monetary compensation was a key recommendation of the Human</w:t>
      </w:r>
      <w:r w:rsidR="00F71DEE">
        <w:t> </w:t>
      </w:r>
      <w:r>
        <w:t>Rights and Equal Opportunities Commission</w:t>
      </w:r>
      <w:r w:rsidR="009F688A">
        <w:t>’</w:t>
      </w:r>
      <w:r>
        <w:t xml:space="preserve">s 1997 Report, </w:t>
      </w:r>
      <w:r w:rsidRPr="00A8468F">
        <w:rPr>
          <w:i/>
        </w:rPr>
        <w:t>Bringing Them Home</w:t>
      </w:r>
      <w:r>
        <w:t>. These schemes provide one</w:t>
      </w:r>
      <w:r w:rsidR="009F688A">
        <w:noBreakHyphen/>
      </w:r>
      <w:r>
        <w:t>off lump sum compensation to eligible individuals for the pain and suffering endured as a result of government policy.</w:t>
      </w:r>
    </w:p>
    <w:p w:rsidR="00F90BD0" w:rsidRDefault="00F90BD0">
      <w:pPr>
        <w:pStyle w:val="OutlineNumbered1"/>
      </w:pPr>
      <w:r>
        <w:t>The first Stolen Generation reparation scheme (the Stolen Generations Fund) was established by legisl</w:t>
      </w:r>
      <w:r w:rsidR="00396D88">
        <w:t>ation in 2006 by the Tasmanian G</w:t>
      </w:r>
      <w:r>
        <w:t xml:space="preserve">overnment, with $5 million allocated for ex gratia payments, administered by the Department of Premier and Cabinet. Applications were accepted for a period of six months </w:t>
      </w:r>
      <w:r w:rsidR="00092192">
        <w:t xml:space="preserve">in 2007 </w:t>
      </w:r>
      <w:r>
        <w:t>and applicant eligibility was assessed by an independent assessor in accordance with legislation. A</w:t>
      </w:r>
      <w:r w:rsidR="00EC50F3">
        <w:t> </w:t>
      </w:r>
      <w:r>
        <w:t>report of the independent assessor in February 2008 indicates that 84</w:t>
      </w:r>
      <w:r w:rsidR="00000F14">
        <w:t> </w:t>
      </w:r>
      <w:r>
        <w:t>eligible members of the stolen generations received $58,333.33 each and</w:t>
      </w:r>
      <w:r w:rsidR="00000F14">
        <w:t> </w:t>
      </w:r>
      <w:r>
        <w:t>22</w:t>
      </w:r>
      <w:r w:rsidR="00000F14">
        <w:t> </w:t>
      </w:r>
      <w:r>
        <w:t>eligible children of deceased members of the stolen generations received either $5,000 or $4,000 each.</w:t>
      </w:r>
      <w:r>
        <w:rPr>
          <w:rStyle w:val="FootnoteReference"/>
        </w:rPr>
        <w:footnoteReference w:id="94"/>
      </w:r>
    </w:p>
    <w:p w:rsidR="00F90BD0" w:rsidRDefault="00F90BD0">
      <w:pPr>
        <w:pStyle w:val="OutlineNumbered1"/>
      </w:pPr>
      <w:r>
        <w:t>In Ma</w:t>
      </w:r>
      <w:r w:rsidR="00396D88">
        <w:t>rch 2016, the South Australian G</w:t>
      </w:r>
      <w:r>
        <w:t xml:space="preserve">overnment set up a similar scheme providing a total of $11 million, $6 million of which is to be distributed </w:t>
      </w:r>
      <w:r w:rsidRPr="00280CF7">
        <w:t>as ex g</w:t>
      </w:r>
      <w:r>
        <w:t>ratia payments of up to $50,000 to members of S</w:t>
      </w:r>
      <w:r w:rsidR="00396D88">
        <w:t xml:space="preserve">outh </w:t>
      </w:r>
      <w:r>
        <w:t>A</w:t>
      </w:r>
      <w:r w:rsidR="00396D88">
        <w:t>ustralia</w:t>
      </w:r>
      <w:r w:rsidR="009F688A">
        <w:t>’</w:t>
      </w:r>
      <w:r w:rsidRPr="00280CF7">
        <w:t xml:space="preserve">s Aboriginal communities who were </w:t>
      </w:r>
      <w:r>
        <w:t xml:space="preserve">forcibly </w:t>
      </w:r>
      <w:r w:rsidRPr="00280CF7">
        <w:t>removed from their families</w:t>
      </w:r>
      <w:r>
        <w:t>.</w:t>
      </w:r>
      <w:r w:rsidRPr="00280CF7">
        <w:t xml:space="preserve"> </w:t>
      </w:r>
      <w:r>
        <w:t xml:space="preserve">The scheme provided an </w:t>
      </w:r>
      <w:r w:rsidR="009F688A">
        <w:t>‘</w:t>
      </w:r>
      <w:r>
        <w:t>application window</w:t>
      </w:r>
      <w:r w:rsidR="009F688A">
        <w:t>’</w:t>
      </w:r>
      <w:r>
        <w:t xml:space="preserve"> of 12</w:t>
      </w:r>
      <w:r w:rsidR="00000F14">
        <w:t> </w:t>
      </w:r>
      <w:r>
        <w:t>months.</w:t>
      </w:r>
      <w:r>
        <w:rPr>
          <w:rStyle w:val="FootnoteReference"/>
        </w:rPr>
        <w:footnoteReference w:id="95"/>
      </w:r>
    </w:p>
    <w:p w:rsidR="00F90BD0" w:rsidRDefault="00396D88">
      <w:pPr>
        <w:pStyle w:val="OutlineNumbered1"/>
      </w:pPr>
      <w:r>
        <w:t>On 2 December 2016, the NSW G</w:t>
      </w:r>
      <w:r w:rsidR="00F90BD0">
        <w:t xml:space="preserve">overnment announced a $73.8 million package offering compensation of up to $75,000 for each claimant </w:t>
      </w:r>
      <w:r w:rsidR="009F688A">
        <w:t>‘</w:t>
      </w:r>
      <w:r w:rsidR="00F90BD0">
        <w:t>without the need for a lengthy and arduous legal process</w:t>
      </w:r>
      <w:r w:rsidR="009F688A">
        <w:t>’</w:t>
      </w:r>
      <w:r w:rsidR="00F90BD0">
        <w:t xml:space="preserve">. While the full details are not yet clear the program is expected to be operating by 1 July 2017. </w:t>
      </w:r>
      <w:r w:rsidR="00092192">
        <w:t xml:space="preserve">This program is to operate separately from the </w:t>
      </w:r>
      <w:r w:rsidR="00092192" w:rsidRPr="00092192">
        <w:t>Aboriginal Trust Fund Repayment Scheme</w:t>
      </w:r>
      <w:r w:rsidR="00F90BD0" w:rsidRPr="0007193A">
        <w:t>.</w:t>
      </w:r>
      <w:r w:rsidR="00F90BD0">
        <w:rPr>
          <w:rStyle w:val="FootnoteReference"/>
        </w:rPr>
        <w:footnoteReference w:id="96"/>
      </w:r>
    </w:p>
    <w:bookmarkEnd w:id="206"/>
    <w:bookmarkEnd w:id="234"/>
    <w:bookmarkEnd w:id="235"/>
    <w:bookmarkEnd w:id="236"/>
    <w:bookmarkEnd w:id="237"/>
    <w:bookmarkEnd w:id="238"/>
    <w:bookmarkEnd w:id="239"/>
    <w:bookmarkEnd w:id="240"/>
    <w:bookmarkEnd w:id="241"/>
    <w:bookmarkEnd w:id="242"/>
    <w:p w:rsidR="00674EAF" w:rsidRDefault="00674EAF" w:rsidP="00661609"/>
    <w:sectPr w:rsidR="00674EAF" w:rsidSect="009B62AB">
      <w:footerReference w:type="first" r:id="rId52"/>
      <w:pgSz w:w="11906" w:h="16838" w:code="9"/>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A1DFB" w15:done="0"/>
  <w15:commentEx w15:paraId="4477A519" w15:done="0"/>
  <w15:commentEx w15:paraId="1E39B5B2" w15:done="0"/>
  <w15:commentEx w15:paraId="05E9E1D6" w15:done="0"/>
  <w15:commentEx w15:paraId="77EFE795" w15:done="0"/>
  <w15:commentEx w15:paraId="521A926D" w15:done="0"/>
  <w15:commentEx w15:paraId="767A4059" w15:done="0"/>
  <w15:commentEx w15:paraId="0442E32A" w15:paraIdParent="767A4059" w15:done="0"/>
  <w15:commentEx w15:paraId="72743428" w15:done="0"/>
  <w15:commentEx w15:paraId="3CCE70AC" w15:done="0"/>
  <w15:commentEx w15:paraId="371F9777" w15:done="0"/>
  <w15:commentEx w15:paraId="6F1434EF" w15:done="0"/>
  <w15:commentEx w15:paraId="203A4DFF" w15:done="0"/>
  <w15:commentEx w15:paraId="35221156" w15:done="0"/>
  <w15:commentEx w15:paraId="64F045C6" w15:done="0"/>
  <w15:commentEx w15:paraId="22BA02C8" w15:done="0"/>
  <w15:commentEx w15:paraId="3C67498E" w15:done="0"/>
  <w15:commentEx w15:paraId="71CB354D" w15:done="0"/>
  <w15:commentEx w15:paraId="5C0E06EA" w15:done="0"/>
  <w15:commentEx w15:paraId="5082FB82" w15:paraIdParent="5C0E06EA" w15:done="0"/>
  <w15:commentEx w15:paraId="0D1A1153" w15:done="0"/>
  <w15:commentEx w15:paraId="66A08D85" w15:done="0"/>
  <w15:commentEx w15:paraId="67C21C2C" w15:done="0"/>
  <w15:commentEx w15:paraId="6C10363A" w15:done="0"/>
  <w15:commentEx w15:paraId="059B6849" w15:done="0"/>
  <w15:commentEx w15:paraId="5796051F" w15:done="0"/>
  <w15:commentEx w15:paraId="6D48F07E" w15:done="0"/>
  <w15:commentEx w15:paraId="02C7F86F" w15:done="0"/>
  <w15:commentEx w15:paraId="0662E7E2" w15:done="0"/>
  <w15:commentEx w15:paraId="2BA793CB" w15:done="0"/>
  <w15:commentEx w15:paraId="2CBC12AB" w15:done="0"/>
  <w15:commentEx w15:paraId="2929CE93" w15:done="0"/>
  <w15:commentEx w15:paraId="31C46F20" w15:paraIdParent="2929CE93" w15:done="0"/>
  <w15:commentEx w15:paraId="028CEA3F" w15:done="0"/>
  <w15:commentEx w15:paraId="625297FB" w15:done="0"/>
  <w15:commentEx w15:paraId="45F00F0D" w15:done="0"/>
  <w15:commentEx w15:paraId="24FB3EF6" w15:done="0"/>
  <w15:commentEx w15:paraId="34F24758" w15:done="0"/>
  <w15:commentEx w15:paraId="580CF920" w15:done="0"/>
  <w15:commentEx w15:paraId="46E1708E" w15:done="0"/>
  <w15:commentEx w15:paraId="6D32B71A" w15:done="0"/>
  <w15:commentEx w15:paraId="5D5BFD3A" w15:done="0"/>
  <w15:commentEx w15:paraId="4C8CAB05" w15:done="0"/>
  <w15:commentEx w15:paraId="38FFE32B" w15:done="0"/>
  <w15:commentEx w15:paraId="36F6E308" w15:done="0"/>
  <w15:commentEx w15:paraId="18ACD93A" w15:done="0"/>
  <w15:commentEx w15:paraId="14683D11" w15:done="0"/>
  <w15:commentEx w15:paraId="5EFD38AF" w15:done="0"/>
  <w15:commentEx w15:paraId="2673814D" w15:done="0"/>
  <w15:commentEx w15:paraId="41333A45" w15:done="0"/>
  <w15:commentEx w15:paraId="48D1E20C" w15:done="0"/>
  <w15:commentEx w15:paraId="326A9CFB" w15:done="0"/>
  <w15:commentEx w15:paraId="278C1F74" w15:done="0"/>
  <w15:commentEx w15:paraId="158882A5" w15:done="0"/>
  <w15:commentEx w15:paraId="2CF7EE70" w15:done="0"/>
  <w15:commentEx w15:paraId="2F7D46AF" w15:done="0"/>
  <w15:commentEx w15:paraId="7EA6E287" w15:done="0"/>
  <w15:commentEx w15:paraId="61537398" w15:done="0"/>
  <w15:commentEx w15:paraId="58A5099D" w15:done="0"/>
  <w15:commentEx w15:paraId="4D7661BC" w15:done="0"/>
  <w15:commentEx w15:paraId="0C092245" w15:done="0"/>
  <w15:commentEx w15:paraId="563188ED" w15:done="0"/>
  <w15:commentEx w15:paraId="05917654" w15:paraIdParent="563188ED" w15:done="0"/>
  <w15:commentEx w15:paraId="056B7C79" w15:done="0"/>
  <w15:commentEx w15:paraId="67988BA4" w15:done="0"/>
  <w15:commentEx w15:paraId="17145D5F" w15:done="0"/>
  <w15:commentEx w15:paraId="3F8FF90B" w15:done="0"/>
  <w15:commentEx w15:paraId="28B617B9" w15:paraIdParent="3F8FF90B" w15:done="0"/>
  <w15:commentEx w15:paraId="0409E5CC" w15:done="0"/>
  <w15:commentEx w15:paraId="6F1CF24F" w15:paraIdParent="0409E5CC" w15:done="0"/>
  <w15:commentEx w15:paraId="4488A541" w15:done="0"/>
  <w15:commentEx w15:paraId="23232D3C" w15:done="0"/>
  <w15:commentEx w15:paraId="6DD01B9F" w15:done="0"/>
  <w15:commentEx w15:paraId="729869AF" w15:done="0"/>
  <w15:commentEx w15:paraId="5FEB5CFD" w15:done="0"/>
  <w15:commentEx w15:paraId="28A84A39" w15:done="0"/>
  <w15:commentEx w15:paraId="6F1CBAF3" w15:done="0"/>
  <w15:commentEx w15:paraId="394CE35A" w15:done="0"/>
  <w15:commentEx w15:paraId="7B9F43AE" w15:done="0"/>
  <w15:commentEx w15:paraId="4E13B076" w15:done="0"/>
  <w15:commentEx w15:paraId="4910419C" w15:done="0"/>
  <w15:commentEx w15:paraId="0544BB1E" w15:done="0"/>
  <w15:commentEx w15:paraId="4ED86A4C" w15:paraIdParent="0544BB1E" w15:done="0"/>
  <w15:commentEx w15:paraId="7B72B8C9" w15:done="0"/>
  <w15:commentEx w15:paraId="41A72636" w15:done="0"/>
  <w15:commentEx w15:paraId="2D2B204D" w15:done="0"/>
  <w15:commentEx w15:paraId="7215839D" w15:paraIdParent="2D2B204D" w15:done="0"/>
  <w15:commentEx w15:paraId="2E0D5488" w15:done="0"/>
  <w15:commentEx w15:paraId="3D9CBCB8" w15:done="0"/>
  <w15:commentEx w15:paraId="02CE15CE" w15:done="0"/>
  <w15:commentEx w15:paraId="2BB19BA4" w15:done="0"/>
  <w15:commentEx w15:paraId="67C65D2C" w15:done="0"/>
  <w15:commentEx w15:paraId="7D07FBDD" w15:done="0"/>
  <w15:commentEx w15:paraId="0C9B5272" w15:paraIdParent="7D07FBDD" w15:done="0"/>
  <w15:commentEx w15:paraId="08FDCA78" w15:done="0"/>
  <w15:commentEx w15:paraId="10B0F511" w15:done="0"/>
  <w15:commentEx w15:paraId="5C4D74CF" w15:done="0"/>
  <w15:commentEx w15:paraId="7D3538AC" w15:done="0"/>
  <w15:commentEx w15:paraId="312D113A" w15:done="0"/>
  <w15:commentEx w15:paraId="19076C72" w15:done="0"/>
  <w15:commentEx w15:paraId="5B64839F" w15:done="0"/>
  <w15:commentEx w15:paraId="3E2B11CE" w15:done="0"/>
  <w15:commentEx w15:paraId="6DA74ADA" w15:done="0"/>
  <w15:commentEx w15:paraId="060C33BC" w15:done="0"/>
  <w15:commentEx w15:paraId="29F9C37A" w15:done="0"/>
  <w15:commentEx w15:paraId="3430C2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480" w:rsidRDefault="00941480">
      <w:pPr>
        <w:spacing w:after="0" w:line="240" w:lineRule="auto"/>
      </w:pPr>
      <w:r>
        <w:separator/>
      </w:r>
    </w:p>
  </w:endnote>
  <w:endnote w:type="continuationSeparator" w:id="0">
    <w:p w:rsidR="00941480" w:rsidRDefault="00941480">
      <w:pPr>
        <w:spacing w:after="0" w:line="240" w:lineRule="auto"/>
      </w:pPr>
      <w:r>
        <w:continuationSeparator/>
      </w:r>
    </w:p>
  </w:endnote>
  <w:endnote w:type="continuationNotice" w:id="1">
    <w:p w:rsidR="00941480" w:rsidRDefault="00941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Book Antiqu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3E6DDA">
    <w:pPr>
      <w:pStyle w:val="FooterEven"/>
      <w:rPr>
        <w:rStyle w:val="PageNumber"/>
        <w:rFonts w:ascii="Century Gothic" w:hAnsi="Century Gothic"/>
      </w:rPr>
    </w:pPr>
    <w:r w:rsidRPr="003E6DDA">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w:instrText>
    </w:r>
    <w:r w:rsidRPr="003E6DDA">
      <w:rPr>
        <w:rStyle w:val="PageNumber"/>
        <w:rFonts w:ascii="Century Gothic" w:hAnsi="Century Gothic"/>
      </w:rPr>
      <w:fldChar w:fldCharType="separate"/>
    </w:r>
    <w:r w:rsidR="000D59A3">
      <w:rPr>
        <w:rStyle w:val="PageNumber"/>
        <w:rFonts w:ascii="Century Gothic" w:hAnsi="Century Gothic"/>
        <w:noProof/>
      </w:rPr>
      <w:t>56</w:t>
    </w:r>
    <w:r w:rsidRPr="003E6DDA">
      <w:rPr>
        <w:rStyle w:val="PageNumber"/>
        <w:rFonts w:ascii="Century Gothic" w:hAnsi="Century Gothic"/>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145FC3">
    <w:pPr>
      <w:pStyle w:val="FooterOdd"/>
      <w:rPr>
        <w:rStyle w:val="PageNumber"/>
        <w:rFonts w:ascii="Century Gothic" w:hAnsi="Century Gothic"/>
      </w:rPr>
    </w:pPr>
    <w:r w:rsidRPr="003E6DDA">
      <w:rPr>
        <w:rStyle w:val="PageNumber"/>
        <w:rFonts w:ascii="Century Gothic" w:hAnsi="Century Gothic"/>
      </w:rPr>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 MERGEFORMAT </w:instrText>
    </w:r>
    <w:r w:rsidRPr="003E6DDA">
      <w:rPr>
        <w:rStyle w:val="PageNumber"/>
        <w:rFonts w:ascii="Century Gothic" w:hAnsi="Century Gothic"/>
      </w:rPr>
      <w:fldChar w:fldCharType="separate"/>
    </w:r>
    <w:r w:rsidR="000D59A3">
      <w:rPr>
        <w:rStyle w:val="PageNumber"/>
        <w:rFonts w:ascii="Century Gothic" w:hAnsi="Century Gothic"/>
        <w:noProof/>
      </w:rPr>
      <w:t>51</w:t>
    </w:r>
    <w:r w:rsidRPr="003E6DDA">
      <w:rPr>
        <w:rStyle w:val="PageNumber"/>
        <w:rFonts w:ascii="Century Gothic" w:hAnsi="Century Gothi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3E6DDA">
    <w:pPr>
      <w:pStyle w:val="FooterOdd"/>
      <w:rPr>
        <w:rStyle w:val="PageNumber"/>
        <w:rFonts w:ascii="Century Gothic" w:hAnsi="Century Gothic"/>
      </w:rPr>
    </w:pPr>
    <w:r w:rsidRPr="003E6DDA">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w:instrText>
    </w:r>
    <w:r w:rsidRPr="003E6DDA">
      <w:rPr>
        <w:rStyle w:val="PageNumber"/>
        <w:rFonts w:ascii="Century Gothic" w:hAnsi="Century Gothic"/>
      </w:rPr>
      <w:fldChar w:fldCharType="separate"/>
    </w:r>
    <w:r>
      <w:rPr>
        <w:rStyle w:val="PageNumber"/>
        <w:rFonts w:ascii="Century Gothic" w:hAnsi="Century Gothic"/>
        <w:noProof/>
      </w:rPr>
      <w:t>5</w:t>
    </w:r>
    <w:r w:rsidRPr="003E6DDA">
      <w:rPr>
        <w:rStyle w:val="PageNumber"/>
        <w:rFonts w:ascii="Century Gothic" w:hAnsi="Century Gothi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C01E9D" w:rsidRDefault="00A571E5" w:rsidP="00C01E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453B65">
    <w:pPr>
      <w:pStyle w:val="FooterEven"/>
    </w:pPr>
    <w:r>
      <w:t xml:space="preserve">Page </w:t>
    </w:r>
    <w:r>
      <w:fldChar w:fldCharType="begin"/>
    </w:r>
    <w:r>
      <w:instrText xml:space="preserve"> PAGE  \* roman  \* MERGEFORMAT </w:instrText>
    </w:r>
    <w:r>
      <w:fldChar w:fldCharType="separate"/>
    </w:r>
    <w:r w:rsidR="000D59A3">
      <w:rPr>
        <w:noProof/>
      </w:rPr>
      <w:t>iv</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3E6DDA">
    <w:pPr>
      <w:pStyle w:val="FooterOdd"/>
      <w:rPr>
        <w:rStyle w:val="PageNumber"/>
        <w:rFonts w:ascii="Century Gothic" w:hAnsi="Century Gothic"/>
      </w:rPr>
    </w:pPr>
    <w:r w:rsidRPr="003E6DDA">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w:instrText>
    </w:r>
    <w:r w:rsidRPr="003E6DDA">
      <w:rPr>
        <w:rStyle w:val="PageNumber"/>
        <w:rFonts w:ascii="Century Gothic" w:hAnsi="Century Gothic"/>
      </w:rPr>
      <w:fldChar w:fldCharType="separate"/>
    </w:r>
    <w:r w:rsidR="000D59A3">
      <w:rPr>
        <w:rStyle w:val="PageNumber"/>
        <w:rFonts w:ascii="Century Gothic" w:hAnsi="Century Gothic"/>
        <w:noProof/>
      </w:rPr>
      <w:t>55</w:t>
    </w:r>
    <w:r w:rsidRPr="003E6DDA">
      <w:rPr>
        <w:rStyle w:val="PageNumber"/>
        <w:rFonts w:ascii="Century Gothic" w:hAnsi="Century Gothi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857652">
    <w:pPr>
      <w:pStyle w:val="FooterOdd"/>
      <w:rPr>
        <w:rStyle w:val="PageNumber"/>
        <w:rFonts w:ascii="Century Gothic" w:hAnsi="Century Gothic"/>
      </w:rPr>
    </w:pPr>
    <w:r w:rsidRPr="003E6DDA">
      <w:rPr>
        <w:rStyle w:val="PageNumber"/>
        <w:rFonts w:ascii="Century Gothic" w:hAnsi="Century Gothic"/>
      </w:rPr>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 MERGEFORMAT </w:instrText>
    </w:r>
    <w:r w:rsidRPr="003E6DDA">
      <w:rPr>
        <w:rStyle w:val="PageNumber"/>
        <w:rFonts w:ascii="Century Gothic" w:hAnsi="Century Gothic"/>
      </w:rPr>
      <w:fldChar w:fldCharType="separate"/>
    </w:r>
    <w:r w:rsidR="000D59A3">
      <w:rPr>
        <w:rStyle w:val="PageNumber"/>
        <w:rFonts w:ascii="Century Gothic" w:hAnsi="Century Gothic"/>
        <w:noProof/>
      </w:rPr>
      <w:t>1</w:t>
    </w:r>
    <w:r w:rsidRPr="003E6DDA">
      <w:rPr>
        <w:rStyle w:val="PageNumber"/>
        <w:rFonts w:ascii="Century Gothic" w:hAnsi="Century Gothic"/>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9B62AB">
    <w:pPr>
      <w:pStyle w:val="FooterEven"/>
      <w:rPr>
        <w:rStyle w:val="PageNumber"/>
        <w:rFonts w:ascii="Century Gothic" w:hAnsi="Century Gothic"/>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rsidP="000445AD">
    <w:pPr>
      <w:pStyle w:val="FooterOdd"/>
      <w:rPr>
        <w:rStyle w:val="PageNumber"/>
        <w:rFonts w:ascii="Century Gothic" w:hAnsi="Century Gothic"/>
      </w:rPr>
    </w:pPr>
    <w:r w:rsidRPr="003E6DDA">
      <w:rPr>
        <w:rStyle w:val="PageNumber"/>
        <w:rFonts w:ascii="Century Gothic" w:hAnsi="Century Gothic"/>
      </w:rPr>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 MERGEFORMAT </w:instrText>
    </w:r>
    <w:r w:rsidRPr="003E6DDA">
      <w:rPr>
        <w:rStyle w:val="PageNumber"/>
        <w:rFonts w:ascii="Century Gothic" w:hAnsi="Century Gothic"/>
      </w:rPr>
      <w:fldChar w:fldCharType="separate"/>
    </w:r>
    <w:r w:rsidR="000D59A3">
      <w:rPr>
        <w:rStyle w:val="PageNumber"/>
        <w:rFonts w:ascii="Century Gothic" w:hAnsi="Century Gothic"/>
        <w:noProof/>
      </w:rPr>
      <w:t>19</w:t>
    </w:r>
    <w:r w:rsidRPr="003E6DDA">
      <w:rPr>
        <w:rStyle w:val="PageNumber"/>
        <w:rFonts w:ascii="Century Gothic" w:hAnsi="Century Gothi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480" w:rsidRDefault="00941480" w:rsidP="006017FA">
      <w:pPr>
        <w:pStyle w:val="SecurityClassificationHeader"/>
      </w:pPr>
      <w:r>
        <w:separator/>
      </w:r>
    </w:p>
  </w:footnote>
  <w:footnote w:type="continuationSeparator" w:id="0">
    <w:p w:rsidR="00941480" w:rsidRDefault="00941480">
      <w:pPr>
        <w:spacing w:after="0" w:line="240" w:lineRule="auto"/>
      </w:pPr>
      <w:r>
        <w:continuationSeparator/>
      </w:r>
    </w:p>
  </w:footnote>
  <w:footnote w:type="continuationNotice" w:id="1">
    <w:p w:rsidR="00941480" w:rsidRDefault="00941480">
      <w:pPr>
        <w:spacing w:after="0" w:line="240" w:lineRule="auto"/>
      </w:pPr>
    </w:p>
  </w:footnote>
  <w:footnote w:id="2">
    <w:p w:rsidR="00A571E5" w:rsidRDefault="00A571E5" w:rsidP="00813642">
      <w:pPr>
        <w:pStyle w:val="FootnoteText"/>
      </w:pPr>
      <w:r w:rsidRPr="00B9737B">
        <w:rPr>
          <w:rStyle w:val="FootnoteReference"/>
          <w:vertAlign w:val="baseline"/>
        </w:rPr>
        <w:footnoteRef/>
      </w:r>
      <w:r w:rsidRPr="00B9737B">
        <w:t xml:space="preserve"> </w:t>
      </w:r>
      <w:r>
        <w:tab/>
        <w:t xml:space="preserve">Commonwealth of Australia 2014, </w:t>
      </w:r>
      <w:r w:rsidRPr="00B9737B">
        <w:rPr>
          <w:i/>
        </w:rPr>
        <w:t>Financial System Inquiry Final Report</w:t>
      </w:r>
      <w:r>
        <w:t>, page 28.</w:t>
      </w:r>
    </w:p>
  </w:footnote>
  <w:footnote w:id="3">
    <w:p w:rsidR="00A571E5" w:rsidRDefault="00A571E5">
      <w:pPr>
        <w:pStyle w:val="FootnoteText"/>
      </w:pPr>
      <w:r w:rsidRPr="009F688A">
        <w:rPr>
          <w:rStyle w:val="FootnoteReference"/>
          <w:vertAlign w:val="baseline"/>
        </w:rPr>
        <w:footnoteRef/>
      </w:r>
      <w:r w:rsidRPr="009F688A">
        <w:t xml:space="preserve"> </w:t>
      </w:r>
      <w:r>
        <w:tab/>
        <w:t>Participating in IDR is a prerequisite for accessing EDR.</w:t>
      </w:r>
    </w:p>
  </w:footnote>
  <w:footnote w:id="4">
    <w:p w:rsidR="00A571E5" w:rsidRDefault="00A571E5">
      <w:pPr>
        <w:pStyle w:val="FootnoteText"/>
      </w:pPr>
      <w:r w:rsidRPr="009F688A">
        <w:rPr>
          <w:rStyle w:val="FootnoteReference"/>
          <w:vertAlign w:val="baseline"/>
        </w:rPr>
        <w:footnoteRef/>
      </w:r>
      <w:r w:rsidRPr="009F688A">
        <w:t xml:space="preserve"> </w:t>
      </w:r>
      <w:r>
        <w:tab/>
        <w:t xml:space="preserve">Australian Securities and Investments Commission 2011, Report 240 </w:t>
      </w:r>
      <w:r>
        <w:rPr>
          <w:i/>
        </w:rPr>
        <w:t xml:space="preserve">Compensation for retail investors: the social impact of monetary </w:t>
      </w:r>
      <w:r w:rsidRPr="00163387">
        <w:rPr>
          <w:i/>
        </w:rPr>
        <w:t>loss</w:t>
      </w:r>
      <w:r>
        <w:t xml:space="preserve">, page 15; </w:t>
      </w:r>
      <w:r w:rsidRPr="000D69D5">
        <w:t>Australian</w:t>
      </w:r>
      <w:r>
        <w:t xml:space="preserve"> Securities and Investments Commission 2014, </w:t>
      </w:r>
      <w:r w:rsidRPr="005552D4">
        <w:rPr>
          <w:i/>
        </w:rPr>
        <w:t>Senate inquiry into forestry managed investment schemes</w:t>
      </w:r>
      <w:r>
        <w:t>, page 42.</w:t>
      </w:r>
    </w:p>
  </w:footnote>
  <w:footnote w:id="5">
    <w:p w:rsidR="00A571E5" w:rsidRDefault="00A571E5">
      <w:pPr>
        <w:pStyle w:val="FootnoteText"/>
      </w:pPr>
      <w:r w:rsidRPr="009F688A">
        <w:rPr>
          <w:rStyle w:val="FootnoteReference"/>
          <w:vertAlign w:val="baseline"/>
        </w:rPr>
        <w:footnoteRef/>
      </w:r>
      <w:r w:rsidRPr="009F688A">
        <w:t xml:space="preserve"> </w:t>
      </w:r>
      <w:r>
        <w:tab/>
        <w:t xml:space="preserve">Commonwealth of Australia 2016, </w:t>
      </w:r>
      <w:r w:rsidRPr="0088799F">
        <w:rPr>
          <w:i/>
        </w:rPr>
        <w:t>Review of the financial system external dispute resolution and complaints framework Interim Report</w:t>
      </w:r>
      <w:r>
        <w:t xml:space="preserve"> (6 December 2016), page </w:t>
      </w:r>
      <w:r w:rsidRPr="00B640ED">
        <w:t>165</w:t>
      </w:r>
      <w:r>
        <w:t>.</w:t>
      </w:r>
    </w:p>
  </w:footnote>
  <w:footnote w:id="6">
    <w:p w:rsidR="00A571E5" w:rsidRDefault="00A571E5" w:rsidP="000D4083">
      <w:pPr>
        <w:pStyle w:val="FootnoteText"/>
      </w:pPr>
      <w:r w:rsidRPr="000D4083">
        <w:rPr>
          <w:rStyle w:val="FootnoteReference"/>
          <w:vertAlign w:val="baseline"/>
        </w:rPr>
        <w:footnoteRef/>
      </w:r>
      <w:r>
        <w:t xml:space="preserve"> </w:t>
      </w:r>
      <w:r>
        <w:tab/>
        <w:t xml:space="preserve">Morrison, S (Treasurer) 2017, </w:t>
      </w:r>
      <w:r>
        <w:rPr>
          <w:i/>
        </w:rPr>
        <w:t>Building an accountable and competitive banking system</w:t>
      </w:r>
      <w:r>
        <w:t>, media release,</w:t>
      </w:r>
      <w:r>
        <w:rPr>
          <w:i/>
        </w:rPr>
        <w:t xml:space="preserve"> </w:t>
      </w:r>
      <w:r>
        <w:t>9 May 2017, &lt;</w:t>
      </w:r>
      <w:hyperlink r:id="rId1" w:history="1">
        <w:r w:rsidRPr="005430C6">
          <w:rPr>
            <w:rStyle w:val="Hyperlink"/>
            <w:sz w:val="18"/>
            <w:szCs w:val="18"/>
          </w:rPr>
          <w:t>http://sjm.ministers.treasury.gov.au/media</w:t>
        </w:r>
        <w:r w:rsidRPr="005430C6">
          <w:rPr>
            <w:rStyle w:val="Hyperlink"/>
            <w:sz w:val="18"/>
            <w:szCs w:val="18"/>
          </w:rPr>
          <w:noBreakHyphen/>
          <w:t>release/044</w:t>
        </w:r>
        <w:r w:rsidRPr="005430C6">
          <w:rPr>
            <w:rStyle w:val="Hyperlink"/>
            <w:sz w:val="18"/>
            <w:szCs w:val="18"/>
          </w:rPr>
          <w:noBreakHyphen/>
          <w:t>2017</w:t>
        </w:r>
        <w:r w:rsidRPr="003E06B4">
          <w:rPr>
            <w:rStyle w:val="Hyperlink"/>
            <w:sz w:val="18"/>
            <w:szCs w:val="18"/>
          </w:rPr>
          <w:t>/</w:t>
        </w:r>
      </w:hyperlink>
      <w:r>
        <w:rPr>
          <w:rStyle w:val="Hyperlink"/>
          <w:sz w:val="18"/>
        </w:rPr>
        <w:t>&gt;</w:t>
      </w:r>
      <w:r>
        <w:t xml:space="preserve">. </w:t>
      </w:r>
    </w:p>
  </w:footnote>
  <w:footnote w:id="7">
    <w:p w:rsidR="00A571E5" w:rsidRPr="000D4083" w:rsidRDefault="00A571E5">
      <w:pPr>
        <w:pStyle w:val="FootnoteText"/>
      </w:pPr>
      <w:r w:rsidRPr="000D4083">
        <w:rPr>
          <w:rStyle w:val="FootnoteReference"/>
          <w:vertAlign w:val="baseline"/>
        </w:rPr>
        <w:footnoteRef/>
      </w:r>
      <w:r w:rsidRPr="000D4083">
        <w:t xml:space="preserve"> </w:t>
      </w:r>
      <w:r w:rsidRPr="000D4083">
        <w:tab/>
      </w:r>
      <w:r>
        <w:t>The reporting deadline was extended beyond 30 June 2017 in an announcement by the Treasurer on 9 May 2017, see &lt;</w:t>
      </w:r>
      <w:hyperlink r:id="rId2" w:history="1">
        <w:r w:rsidRPr="004172B2">
          <w:rPr>
            <w:rStyle w:val="Hyperlink"/>
            <w:sz w:val="18"/>
          </w:rPr>
          <w:t>http://sjm.ministers.treasury.gov.au/media</w:t>
        </w:r>
        <w:r w:rsidRPr="004172B2">
          <w:rPr>
            <w:rStyle w:val="Hyperlink"/>
            <w:sz w:val="18"/>
          </w:rPr>
          <w:noBreakHyphen/>
          <w:t>release/044</w:t>
        </w:r>
        <w:r w:rsidRPr="004172B2">
          <w:rPr>
            <w:rStyle w:val="Hyperlink"/>
            <w:sz w:val="18"/>
          </w:rPr>
          <w:noBreakHyphen/>
          <w:t>2017/</w:t>
        </w:r>
      </w:hyperlink>
      <w:r>
        <w:t>&gt;.</w:t>
      </w:r>
    </w:p>
  </w:footnote>
  <w:footnote w:id="8">
    <w:p w:rsidR="00A571E5" w:rsidRDefault="00A571E5" w:rsidP="00C7253F">
      <w:pPr>
        <w:pStyle w:val="FootnoteText"/>
      </w:pPr>
      <w:r w:rsidRPr="0008462E">
        <w:rPr>
          <w:rStyle w:val="FootnoteReference"/>
          <w:vertAlign w:val="baseline"/>
        </w:rPr>
        <w:footnoteRef/>
      </w:r>
      <w:r w:rsidRPr="0008462E">
        <w:t xml:space="preserve"> </w:t>
      </w:r>
      <w:r w:rsidRPr="0008462E">
        <w:tab/>
      </w:r>
      <w:r>
        <w:t>EDR Review Terms of Reference, paragraphs 3.5 and 6. See Attachment A to this Issues Paper.</w:t>
      </w:r>
    </w:p>
  </w:footnote>
  <w:footnote w:id="9">
    <w:p w:rsidR="00A571E5" w:rsidRDefault="00A571E5">
      <w:pPr>
        <w:pStyle w:val="FootnoteText"/>
      </w:pPr>
      <w:r w:rsidRPr="00D5425D">
        <w:rPr>
          <w:rStyle w:val="FootnoteReference"/>
          <w:vertAlign w:val="baseline"/>
        </w:rPr>
        <w:footnoteRef/>
      </w:r>
      <w:r>
        <w:t xml:space="preserve"> </w:t>
      </w:r>
      <w:r>
        <w:tab/>
        <w:t>T</w:t>
      </w:r>
      <w:r w:rsidRPr="006608A9">
        <w:t xml:space="preserve">he Government accepted the recommendations of this Review to increase </w:t>
      </w:r>
      <w:r>
        <w:t xml:space="preserve">the </w:t>
      </w:r>
      <w:r w:rsidRPr="006608A9">
        <w:t>monetary limits of the new</w:t>
      </w:r>
      <w:r>
        <w:t xml:space="preserve"> single </w:t>
      </w:r>
      <w:r w:rsidRPr="006608A9">
        <w:t>EDR body.</w:t>
      </w:r>
    </w:p>
  </w:footnote>
  <w:footnote w:id="10">
    <w:p w:rsidR="00A571E5" w:rsidRDefault="00A571E5" w:rsidP="00014978">
      <w:pPr>
        <w:pStyle w:val="FootnoteText"/>
      </w:pPr>
      <w:r w:rsidRPr="00895742">
        <w:rPr>
          <w:rStyle w:val="FootnoteReference"/>
          <w:vertAlign w:val="baseline"/>
        </w:rPr>
        <w:footnoteRef/>
      </w:r>
      <w:r w:rsidRPr="00895742">
        <w:t xml:space="preserve"> </w:t>
      </w:r>
      <w:r>
        <w:tab/>
        <w:t xml:space="preserve">Commonwealth of Australia 2016, </w:t>
      </w:r>
      <w:r w:rsidRPr="0088799F">
        <w:rPr>
          <w:i/>
        </w:rPr>
        <w:t>Review of the financial system external dispute resolution and complaints framework Interim Report</w:t>
      </w:r>
      <w:r>
        <w:t xml:space="preserve"> (6 December 2016), page 165. </w:t>
      </w:r>
    </w:p>
  </w:footnote>
  <w:footnote w:id="11">
    <w:p w:rsidR="00A571E5" w:rsidRDefault="00A571E5">
      <w:pPr>
        <w:pStyle w:val="FootnoteText"/>
      </w:pPr>
      <w:r w:rsidRPr="00887987">
        <w:rPr>
          <w:rStyle w:val="FootnoteReference"/>
          <w:sz w:val="20"/>
          <w:vertAlign w:val="baseline"/>
        </w:rPr>
        <w:footnoteRef/>
      </w:r>
      <w:r w:rsidRPr="00D64417">
        <w:rPr>
          <w:sz w:val="20"/>
        </w:rPr>
        <w:t xml:space="preserve"> </w:t>
      </w:r>
      <w:r>
        <w:rPr>
          <w:sz w:val="20"/>
        </w:rPr>
        <w:tab/>
      </w:r>
      <w:r>
        <w:t xml:space="preserve">Australian Securities and Investments Commission 2011, Report 240 </w:t>
      </w:r>
      <w:r>
        <w:rPr>
          <w:i/>
        </w:rPr>
        <w:t xml:space="preserve">Compensation for retail investors: the social impact of monetary </w:t>
      </w:r>
      <w:r w:rsidRPr="00D86D29">
        <w:rPr>
          <w:i/>
        </w:rPr>
        <w:t>loss</w:t>
      </w:r>
      <w:r>
        <w:t>.</w:t>
      </w:r>
    </w:p>
  </w:footnote>
  <w:footnote w:id="12">
    <w:p w:rsidR="00A571E5" w:rsidRDefault="00A571E5">
      <w:pPr>
        <w:pStyle w:val="FootnoteText"/>
      </w:pPr>
      <w:r w:rsidRPr="00887987">
        <w:rPr>
          <w:rStyle w:val="FootnoteReference"/>
          <w:vertAlign w:val="baseline"/>
        </w:rPr>
        <w:footnoteRef/>
      </w:r>
      <w:r>
        <w:t xml:space="preserve"> </w:t>
      </w:r>
      <w:r>
        <w:tab/>
        <w:t>Holt Norman Ashman Baker Action Group, submission to the EDR Review Interim Report, page 6.</w:t>
      </w:r>
    </w:p>
  </w:footnote>
  <w:footnote w:id="13">
    <w:p w:rsidR="00A571E5" w:rsidRDefault="00A571E5" w:rsidP="00765D7C">
      <w:pPr>
        <w:pStyle w:val="FootnoteText"/>
      </w:pPr>
      <w:r w:rsidRPr="00442ACC">
        <w:rPr>
          <w:rStyle w:val="FootnoteReference"/>
          <w:vertAlign w:val="baseline"/>
        </w:rPr>
        <w:footnoteRef/>
      </w:r>
      <w:r>
        <w:t xml:space="preserve"> </w:t>
      </w:r>
      <w:r>
        <w:tab/>
        <w:t xml:space="preserve">See section 912B of the </w:t>
      </w:r>
      <w:r>
        <w:rPr>
          <w:i/>
        </w:rPr>
        <w:t>Corporations Act 2001</w:t>
      </w:r>
      <w:r>
        <w:t>.</w:t>
      </w:r>
      <w:r w:rsidRPr="000E09DC">
        <w:t xml:space="preserve"> </w:t>
      </w:r>
      <w:r>
        <w:t>The</w:t>
      </w:r>
      <w:r w:rsidRPr="005E5D19">
        <w:t xml:space="preserve"> obligation extends to all fina</w:t>
      </w:r>
      <w:r>
        <w:t xml:space="preserve">ncial services covered by </w:t>
      </w:r>
      <w:r w:rsidDel="00092DCF">
        <w:t>chapter</w:t>
      </w:r>
      <w:r>
        <w:t> 7 and l</w:t>
      </w:r>
      <w:r w:rsidRPr="005E5D19">
        <w:t xml:space="preserve">osses caused by negligent, fraudulent or dishonest conduct that amounts to a breach of </w:t>
      </w:r>
      <w:r>
        <w:t xml:space="preserve">that chapter: see ASIC </w:t>
      </w:r>
      <w:r w:rsidRPr="00FC2D70">
        <w:rPr>
          <w:i/>
        </w:rPr>
        <w:t xml:space="preserve">Regulatory Guide 126: </w:t>
      </w:r>
      <w:r w:rsidRPr="000834F9">
        <w:rPr>
          <w:i/>
        </w:rPr>
        <w:t>Compensation and insurance arrangements for AFS licensees</w:t>
      </w:r>
      <w:r>
        <w:t xml:space="preserve"> at paragraph [126.44].</w:t>
      </w:r>
    </w:p>
  </w:footnote>
  <w:footnote w:id="14">
    <w:p w:rsidR="00A571E5" w:rsidRDefault="00A571E5" w:rsidP="005430C6">
      <w:pPr>
        <w:pStyle w:val="FootnoteText"/>
      </w:pPr>
      <w:r w:rsidRPr="00442ACC">
        <w:rPr>
          <w:rStyle w:val="FootnoteReference"/>
          <w:vertAlign w:val="baseline"/>
        </w:rPr>
        <w:footnoteRef/>
      </w:r>
      <w:r>
        <w:t xml:space="preserve"> </w:t>
      </w:r>
      <w:r>
        <w:tab/>
        <w:t xml:space="preserve">See section 766A of the </w:t>
      </w:r>
      <w:r w:rsidRPr="00056AAC">
        <w:rPr>
          <w:i/>
        </w:rPr>
        <w:t>Corporations Act 2001</w:t>
      </w:r>
      <w:r>
        <w:t xml:space="preserve">. Generally in a managed investment scheme: </w:t>
      </w:r>
      <w:r w:rsidRPr="009E6F8E">
        <w:t>people are brought together to contribute money to get an interest in the scheme</w:t>
      </w:r>
      <w:r>
        <w:t xml:space="preserve">; </w:t>
      </w:r>
      <w:r w:rsidRPr="009E6F8E">
        <w:t>money is pooled together with other investors (often many hundreds or thousands of investors) or used in a common enterprise</w:t>
      </w:r>
      <w:r>
        <w:t>; and a</w:t>
      </w:r>
      <w:r w:rsidRPr="009E6F8E">
        <w:t xml:space="preserve"> </w:t>
      </w:r>
      <w:r>
        <w:t>‘</w:t>
      </w:r>
      <w:r w:rsidRPr="009E6F8E">
        <w:t>responsi</w:t>
      </w:r>
      <w:r>
        <w:t>ble entity’ operates the scheme as i</w:t>
      </w:r>
      <w:r w:rsidRPr="009E6F8E">
        <w:t>nvestors do not have day to day control over the operation of the scheme</w:t>
      </w:r>
      <w:r>
        <w:t>: see Australian Securities and Investments Commission, &lt;</w:t>
      </w:r>
      <w:hyperlink r:id="rId3" w:history="1">
        <w:r w:rsidRPr="004172B2">
          <w:rPr>
            <w:rStyle w:val="Hyperlink"/>
            <w:sz w:val="18"/>
          </w:rPr>
          <w:t>http://asic.gov.au/for</w:t>
        </w:r>
        <w:r w:rsidRPr="004172B2">
          <w:rPr>
            <w:rStyle w:val="Hyperlink"/>
            <w:sz w:val="18"/>
          </w:rPr>
          <w:noBreakHyphen/>
          <w:t>finance</w:t>
        </w:r>
        <w:r w:rsidRPr="004172B2">
          <w:rPr>
            <w:rStyle w:val="Hyperlink"/>
            <w:sz w:val="18"/>
          </w:rPr>
          <w:noBreakHyphen/>
          <w:t>professionals/managed</w:t>
        </w:r>
        <w:r w:rsidRPr="004172B2">
          <w:rPr>
            <w:rStyle w:val="Hyperlink"/>
            <w:sz w:val="18"/>
          </w:rPr>
          <w:noBreakHyphen/>
        </w:r>
        <w:r w:rsidRPr="004172B2">
          <w:rPr>
            <w:rStyle w:val="Hyperlink"/>
            <w:sz w:val="18"/>
          </w:rPr>
          <w:br/>
          <w:t>investment</w:t>
        </w:r>
        <w:r w:rsidRPr="004172B2">
          <w:rPr>
            <w:rStyle w:val="Hyperlink"/>
            <w:sz w:val="18"/>
          </w:rPr>
          <w:noBreakHyphen/>
          <w:t>scheme</w:t>
        </w:r>
        <w:r w:rsidRPr="004172B2">
          <w:rPr>
            <w:rStyle w:val="Hyperlink"/>
            <w:sz w:val="18"/>
          </w:rPr>
          <w:noBreakHyphen/>
          <w:t>operators/starting</w:t>
        </w:r>
        <w:r w:rsidRPr="004172B2">
          <w:rPr>
            <w:rStyle w:val="Hyperlink"/>
            <w:sz w:val="18"/>
          </w:rPr>
          <w:noBreakHyphen/>
          <w:t>a</w:t>
        </w:r>
        <w:r w:rsidRPr="004172B2">
          <w:rPr>
            <w:rStyle w:val="Hyperlink"/>
            <w:sz w:val="18"/>
          </w:rPr>
          <w:noBreakHyphen/>
          <w:t>managed</w:t>
        </w:r>
        <w:r w:rsidRPr="004172B2">
          <w:rPr>
            <w:rStyle w:val="Hyperlink"/>
            <w:sz w:val="18"/>
          </w:rPr>
          <w:noBreakHyphen/>
          <w:t>investments</w:t>
        </w:r>
        <w:r w:rsidRPr="004172B2">
          <w:rPr>
            <w:rStyle w:val="Hyperlink"/>
            <w:sz w:val="18"/>
          </w:rPr>
          <w:noBreakHyphen/>
          <w:t>scheme/what</w:t>
        </w:r>
        <w:r w:rsidRPr="004172B2">
          <w:rPr>
            <w:rStyle w:val="Hyperlink"/>
            <w:sz w:val="18"/>
          </w:rPr>
          <w:noBreakHyphen/>
          <w:t>is</w:t>
        </w:r>
        <w:r w:rsidRPr="004172B2">
          <w:rPr>
            <w:rStyle w:val="Hyperlink"/>
            <w:sz w:val="18"/>
          </w:rPr>
          <w:noBreakHyphen/>
          <w:t>a</w:t>
        </w:r>
        <w:r w:rsidRPr="004172B2">
          <w:rPr>
            <w:rStyle w:val="Hyperlink"/>
            <w:sz w:val="18"/>
          </w:rPr>
          <w:noBreakHyphen/>
          <w:t>managed</w:t>
        </w:r>
        <w:r w:rsidRPr="004172B2">
          <w:rPr>
            <w:rStyle w:val="Hyperlink"/>
            <w:sz w:val="18"/>
          </w:rPr>
          <w:noBreakHyphen/>
          <w:t>investment</w:t>
        </w:r>
        <w:r w:rsidRPr="004172B2">
          <w:rPr>
            <w:rStyle w:val="Hyperlink"/>
            <w:sz w:val="18"/>
          </w:rPr>
          <w:noBreakHyphen/>
          <w:t>scheme/</w:t>
        </w:r>
      </w:hyperlink>
      <w:r>
        <w:t>&gt;</w:t>
      </w:r>
      <w:r w:rsidRPr="009E6F8E">
        <w:t>.</w:t>
      </w:r>
    </w:p>
  </w:footnote>
  <w:footnote w:id="15">
    <w:p w:rsidR="00A571E5" w:rsidRPr="00170E27" w:rsidRDefault="00A571E5">
      <w:pPr>
        <w:pStyle w:val="FootnoteText"/>
      </w:pPr>
      <w:r w:rsidRPr="00895742">
        <w:rPr>
          <w:rStyle w:val="FootnoteReference"/>
          <w:vertAlign w:val="baseline"/>
        </w:rPr>
        <w:footnoteRef/>
      </w:r>
      <w:r>
        <w:t xml:space="preserve"> </w:t>
      </w:r>
      <w:r>
        <w:tab/>
        <w:t xml:space="preserve">Australian Securities and Investments Commission, </w:t>
      </w:r>
      <w:r w:rsidRPr="00FC2D70">
        <w:rPr>
          <w:i/>
        </w:rPr>
        <w:t xml:space="preserve">Regulatory Guide 126: </w:t>
      </w:r>
      <w:r w:rsidRPr="000834F9">
        <w:rPr>
          <w:i/>
        </w:rPr>
        <w:t>Compensation and insurance arrangements for AFS licensees</w:t>
      </w:r>
      <w:r>
        <w:t xml:space="preserve">, paragraphs RG126.5 and RG126.19; see also Australian Securities and Investments Commission, </w:t>
      </w:r>
      <w:r w:rsidRPr="00FC2D70">
        <w:rPr>
          <w:i/>
        </w:rPr>
        <w:t xml:space="preserve">Regulatory Guide 210: </w:t>
      </w:r>
      <w:r w:rsidRPr="00170E27">
        <w:rPr>
          <w:i/>
        </w:rPr>
        <w:t>Compensation and insurance arrangements for credit licensees</w:t>
      </w:r>
      <w:r w:rsidRPr="00FC2D70">
        <w:t>, paragraph</w:t>
      </w:r>
      <w:r>
        <w:t>s</w:t>
      </w:r>
      <w:r w:rsidRPr="00FC2D70">
        <w:t xml:space="preserve"> </w:t>
      </w:r>
      <w:r>
        <w:t>210.7 and 210.8.</w:t>
      </w:r>
    </w:p>
  </w:footnote>
  <w:footnote w:id="16">
    <w:p w:rsidR="00A571E5" w:rsidRPr="003F6260" w:rsidRDefault="00A571E5">
      <w:pPr>
        <w:pStyle w:val="FootnoteText"/>
      </w:pPr>
      <w:r w:rsidRPr="00AF6B07">
        <w:rPr>
          <w:rStyle w:val="FootnoteReference"/>
          <w:vertAlign w:val="baseline"/>
        </w:rPr>
        <w:footnoteRef/>
      </w:r>
      <w:r>
        <w:t xml:space="preserve"> </w:t>
      </w:r>
      <w:r>
        <w:tab/>
        <w:t xml:space="preserve">Commonwealth of Australia </w:t>
      </w:r>
      <w:r w:rsidRPr="00034DB5">
        <w:t>2012,</w:t>
      </w:r>
      <w:r>
        <w:t xml:space="preserve"> </w:t>
      </w:r>
      <w:r w:rsidRPr="00034DB5">
        <w:rPr>
          <w:i/>
        </w:rPr>
        <w:t>Com</w:t>
      </w:r>
      <w:r w:rsidRPr="00C81F56">
        <w:rPr>
          <w:i/>
        </w:rPr>
        <w:t>pensation arrangements for consumers of financial services</w:t>
      </w:r>
      <w:r w:rsidRPr="00034DB5">
        <w:t>,</w:t>
      </w:r>
      <w:r>
        <w:t xml:space="preserve"> at paragraph [2.63] citing The Treasury 2002, </w:t>
      </w:r>
      <w:r>
        <w:rPr>
          <w:i/>
        </w:rPr>
        <w:t>Compensation for loss in the financial services sector: issues and options</w:t>
      </w:r>
      <w:r>
        <w:t xml:space="preserve"> (September 2002).</w:t>
      </w:r>
    </w:p>
  </w:footnote>
  <w:footnote w:id="17">
    <w:p w:rsidR="00A571E5" w:rsidRDefault="00A571E5" w:rsidP="005F1BAE">
      <w:pPr>
        <w:pStyle w:val="FootnoteText"/>
      </w:pPr>
      <w:r w:rsidRPr="00AF6B07">
        <w:rPr>
          <w:rStyle w:val="FootnoteReference"/>
          <w:vertAlign w:val="baseline"/>
        </w:rPr>
        <w:footnoteRef/>
      </w:r>
      <w:r w:rsidRPr="00AF6B07">
        <w:t xml:space="preserve"> </w:t>
      </w:r>
      <w:r>
        <w:tab/>
        <w:t xml:space="preserve">Australian Securities and Investments Commission, </w:t>
      </w:r>
      <w:r w:rsidRPr="00F40FD8">
        <w:rPr>
          <w:i/>
        </w:rPr>
        <w:t>Regulatory Guide 126: Compensation</w:t>
      </w:r>
      <w:r w:rsidRPr="000834F9">
        <w:rPr>
          <w:i/>
        </w:rPr>
        <w:t xml:space="preserve"> and insurance arrangements for AFS licensees</w:t>
      </w:r>
      <w:r>
        <w:t>, paragraph RG126.23.</w:t>
      </w:r>
    </w:p>
  </w:footnote>
  <w:footnote w:id="18">
    <w:p w:rsidR="00A571E5" w:rsidRPr="00051780" w:rsidRDefault="00A571E5" w:rsidP="005F1BAE">
      <w:pPr>
        <w:pStyle w:val="FootnoteText"/>
      </w:pPr>
      <w:r w:rsidRPr="00AF6B07">
        <w:rPr>
          <w:rStyle w:val="FootnoteReference"/>
          <w:vertAlign w:val="baseline"/>
        </w:rPr>
        <w:footnoteRef/>
      </w:r>
      <w:r>
        <w:t xml:space="preserve"> </w:t>
      </w:r>
      <w:r>
        <w:tab/>
      </w:r>
      <w:r w:rsidRPr="00056AAC">
        <w:rPr>
          <w:i/>
        </w:rPr>
        <w:t>Corporations Regulation</w:t>
      </w:r>
      <w:r>
        <w:rPr>
          <w:i/>
        </w:rPr>
        <w:t>s 2001</w:t>
      </w:r>
      <w:r>
        <w:t xml:space="preserve">, reg 7.6.02AAA; regulation 12 of the </w:t>
      </w:r>
      <w:r>
        <w:rPr>
          <w:i/>
        </w:rPr>
        <w:t xml:space="preserve">National Consumer Credit Protection Regulations 2010 </w:t>
      </w:r>
      <w:r>
        <w:t>(Cth).</w:t>
      </w:r>
    </w:p>
  </w:footnote>
  <w:footnote w:id="19">
    <w:p w:rsidR="00A571E5" w:rsidRDefault="00A571E5">
      <w:pPr>
        <w:pStyle w:val="FootnoteText"/>
      </w:pPr>
      <w:r w:rsidRPr="00442ACC">
        <w:rPr>
          <w:rStyle w:val="FootnoteReference"/>
          <w:vertAlign w:val="baseline"/>
        </w:rPr>
        <w:footnoteRef/>
      </w:r>
      <w:r w:rsidRPr="00442ACC">
        <w:t xml:space="preserve"> </w:t>
      </w:r>
      <w:r>
        <w:tab/>
      </w:r>
      <w:r w:rsidRPr="00026A5B">
        <w:rPr>
          <w:i/>
        </w:rPr>
        <w:t>Corporations Regulations 2001</w:t>
      </w:r>
      <w:r w:rsidRPr="00026A5B">
        <w:t>, reg 7.6.02AAA(3).</w:t>
      </w:r>
    </w:p>
  </w:footnote>
  <w:footnote w:id="20">
    <w:p w:rsidR="00A571E5" w:rsidRDefault="00A571E5" w:rsidP="005F1BAE">
      <w:pPr>
        <w:pStyle w:val="FootnoteText"/>
      </w:pPr>
      <w:r w:rsidRPr="00AF6B07">
        <w:rPr>
          <w:rStyle w:val="FootnoteReference"/>
          <w:vertAlign w:val="baseline"/>
        </w:rPr>
        <w:footnoteRef/>
      </w:r>
      <w:r w:rsidRPr="00AF6B07">
        <w:t xml:space="preserve"> </w:t>
      </w:r>
      <w:r>
        <w:tab/>
        <w:t xml:space="preserve">Australian Securities and Investments Commission, </w:t>
      </w:r>
      <w:r w:rsidRPr="00F40FD8">
        <w:rPr>
          <w:i/>
        </w:rPr>
        <w:t>Regulatory Guide 126: Compensation</w:t>
      </w:r>
      <w:r w:rsidRPr="000834F9">
        <w:rPr>
          <w:i/>
        </w:rPr>
        <w:t xml:space="preserve"> and insurance arrangements for AFS licensees</w:t>
      </w:r>
      <w:r>
        <w:t>, page 13.</w:t>
      </w:r>
    </w:p>
  </w:footnote>
  <w:footnote w:id="21">
    <w:p w:rsidR="00A571E5" w:rsidRDefault="00A571E5" w:rsidP="005F1BAE">
      <w:pPr>
        <w:pStyle w:val="FootnoteText"/>
      </w:pPr>
      <w:r w:rsidRPr="00AF6B07">
        <w:rPr>
          <w:rStyle w:val="FootnoteReference"/>
          <w:vertAlign w:val="baseline"/>
        </w:rPr>
        <w:footnoteRef/>
      </w:r>
      <w:r w:rsidRPr="00AF6B07">
        <w:t xml:space="preserve"> </w:t>
      </w:r>
      <w:r>
        <w:tab/>
        <w:t xml:space="preserve">Australian Securities and Investments Commission, </w:t>
      </w:r>
      <w:r w:rsidRPr="00F40FD8">
        <w:rPr>
          <w:i/>
        </w:rPr>
        <w:t>Regulatory Guide 126: Compensation</w:t>
      </w:r>
      <w:r w:rsidRPr="000834F9">
        <w:rPr>
          <w:i/>
        </w:rPr>
        <w:t xml:space="preserve"> and insurance arrangements for AFS licensees</w:t>
      </w:r>
      <w:r>
        <w:t xml:space="preserve">, paragraph </w:t>
      </w:r>
      <w:r w:rsidRPr="007D0601">
        <w:t>RG 126.4</w:t>
      </w:r>
      <w:r>
        <w:t>8.</w:t>
      </w:r>
    </w:p>
  </w:footnote>
  <w:footnote w:id="22">
    <w:p w:rsidR="00A571E5" w:rsidRDefault="00A571E5" w:rsidP="005F1BAE">
      <w:pPr>
        <w:pStyle w:val="FootnoteText"/>
      </w:pPr>
      <w:r w:rsidRPr="00AF6B07">
        <w:rPr>
          <w:rStyle w:val="FootnoteReference"/>
          <w:vertAlign w:val="baseline"/>
        </w:rPr>
        <w:footnoteRef/>
      </w:r>
      <w:r>
        <w:t xml:space="preserve"> </w:t>
      </w:r>
      <w:r>
        <w:tab/>
        <w:t xml:space="preserve">Australian Securities and Investments Commission 2015, Report 459 </w:t>
      </w:r>
      <w:r w:rsidRPr="00FC2D70">
        <w:rPr>
          <w:i/>
        </w:rPr>
        <w:t>Professional indemnity insurance market for AFS licensees providing financial product advice</w:t>
      </w:r>
      <w:r>
        <w:t>, page 11.</w:t>
      </w:r>
    </w:p>
  </w:footnote>
  <w:footnote w:id="23">
    <w:p w:rsidR="00A571E5" w:rsidRDefault="00A571E5" w:rsidP="005F1BAE">
      <w:pPr>
        <w:pStyle w:val="FootnoteText"/>
      </w:pPr>
      <w:r w:rsidRPr="00AF6B07">
        <w:rPr>
          <w:rStyle w:val="FootnoteReference"/>
          <w:vertAlign w:val="baseline"/>
        </w:rPr>
        <w:footnoteRef/>
      </w:r>
      <w:r>
        <w:t xml:space="preserve"> </w:t>
      </w:r>
      <w:r>
        <w:tab/>
        <w:t xml:space="preserve">Australian Securities and Investments Commission 2015, Report 459 </w:t>
      </w:r>
      <w:r w:rsidRPr="00FC2D70">
        <w:rPr>
          <w:i/>
        </w:rPr>
        <w:t>Professional indemnity insurance market for AFS licensees providing financial product advice</w:t>
      </w:r>
      <w:r>
        <w:t>, page 14.</w:t>
      </w:r>
    </w:p>
  </w:footnote>
  <w:footnote w:id="24">
    <w:p w:rsidR="00A571E5" w:rsidRPr="0027479F" w:rsidRDefault="00A571E5">
      <w:pPr>
        <w:pStyle w:val="FootnoteText"/>
      </w:pPr>
      <w:r w:rsidRPr="00442ACC">
        <w:rPr>
          <w:rStyle w:val="FootnoteReference"/>
          <w:vertAlign w:val="baseline"/>
        </w:rPr>
        <w:footnoteRef/>
      </w:r>
      <w:r w:rsidRPr="00442ACC">
        <w:t xml:space="preserve"> </w:t>
      </w:r>
      <w:r>
        <w:tab/>
        <w:t xml:space="preserve">Australian Securities and Investments Commission 2015, Report 459 </w:t>
      </w:r>
      <w:r w:rsidRPr="00FC2D70">
        <w:rPr>
          <w:i/>
        </w:rPr>
        <w:t>Professional indemnity insurance market for AFS licensees providing financial product advice</w:t>
      </w:r>
      <w:r>
        <w:t>, pages 14</w:t>
      </w:r>
      <w:r>
        <w:noBreakHyphen/>
        <w:t>15.</w:t>
      </w:r>
    </w:p>
  </w:footnote>
  <w:footnote w:id="25">
    <w:p w:rsidR="00A571E5" w:rsidRDefault="00A571E5" w:rsidP="00DC5536">
      <w:pPr>
        <w:pStyle w:val="FootnoteText"/>
      </w:pPr>
      <w:r w:rsidRPr="00AF6B07">
        <w:rPr>
          <w:rStyle w:val="FootnoteReference"/>
          <w:vertAlign w:val="baseline"/>
        </w:rPr>
        <w:footnoteRef/>
      </w:r>
      <w:r>
        <w:t xml:space="preserve"> </w:t>
      </w:r>
      <w:r>
        <w:tab/>
        <w:t xml:space="preserve">Commonwealth of Australia 2016, </w:t>
      </w:r>
      <w:r w:rsidRPr="0088799F">
        <w:rPr>
          <w:i/>
        </w:rPr>
        <w:t>Review of the financial system external dispute resolution and complaints framework Interim Report</w:t>
      </w:r>
      <w:r>
        <w:t xml:space="preserve"> (6 December 2016), page 166.</w:t>
      </w:r>
    </w:p>
  </w:footnote>
  <w:footnote w:id="26">
    <w:p w:rsidR="00A571E5" w:rsidRDefault="00A571E5" w:rsidP="005430C6">
      <w:pPr>
        <w:pStyle w:val="FootnoteText"/>
      </w:pPr>
      <w:r w:rsidRPr="005A6BFC">
        <w:rPr>
          <w:rStyle w:val="FootnoteReference"/>
          <w:vertAlign w:val="baseline"/>
        </w:rPr>
        <w:footnoteRef/>
      </w:r>
      <w:r>
        <w:t xml:space="preserve"> </w:t>
      </w:r>
      <w:r>
        <w:tab/>
        <w:t xml:space="preserve">On 17 May 2017, </w:t>
      </w:r>
      <w:r w:rsidRPr="005A6BFC">
        <w:t xml:space="preserve">the Australian Government </w:t>
      </w:r>
      <w:r>
        <w:t xml:space="preserve">released a Consultation Paper </w:t>
      </w:r>
      <w:r w:rsidRPr="005A6BFC">
        <w:t>on options for targeted law reform to address corporate misuse of the F</w:t>
      </w:r>
      <w:r>
        <w:t xml:space="preserve">air </w:t>
      </w:r>
      <w:r w:rsidRPr="005A6BFC">
        <w:t>E</w:t>
      </w:r>
      <w:r>
        <w:t xml:space="preserve">ntitlements </w:t>
      </w:r>
      <w:r w:rsidRPr="005A6BFC">
        <w:t>G</w:t>
      </w:r>
      <w:r>
        <w:t>uarantee</w:t>
      </w:r>
      <w:r w:rsidRPr="005A6BFC">
        <w:t xml:space="preserve"> scheme and to improve the recovery of F</w:t>
      </w:r>
      <w:r>
        <w:t xml:space="preserve">air </w:t>
      </w:r>
      <w:r w:rsidRPr="005A6BFC">
        <w:t>E</w:t>
      </w:r>
      <w:r>
        <w:t xml:space="preserve">ntitlements </w:t>
      </w:r>
      <w:r w:rsidRPr="005A6BFC">
        <w:t>G</w:t>
      </w:r>
      <w:r>
        <w:t>uarantee</w:t>
      </w:r>
      <w:r w:rsidRPr="005A6BFC">
        <w:t xml:space="preserve"> payments</w:t>
      </w:r>
      <w:r>
        <w:t>: see &lt;</w:t>
      </w:r>
      <w:hyperlink r:id="rId4" w:history="1">
        <w:r w:rsidRPr="00EC5E5A">
          <w:rPr>
            <w:rStyle w:val="Hyperlink"/>
            <w:sz w:val="18"/>
          </w:rPr>
          <w:t>http://www.treasury.gov.au/ConsultationsandReviews/</w:t>
        </w:r>
        <w:r w:rsidRPr="00EC5E5A">
          <w:rPr>
            <w:rStyle w:val="Hyperlink"/>
            <w:sz w:val="18"/>
          </w:rPr>
          <w:br/>
          <w:t>Consultations/2017/Reforms-to-address-corporate-misuse-of-the-FEG-scheme</w:t>
        </w:r>
      </w:hyperlink>
      <w:r>
        <w:rPr>
          <w:rStyle w:val="Hyperlink"/>
          <w:b w:val="0"/>
          <w:color w:val="000000" w:themeColor="text1"/>
          <w:sz w:val="18"/>
        </w:rPr>
        <w:t>&gt;</w:t>
      </w:r>
      <w:r w:rsidRPr="00A42590">
        <w:rPr>
          <w:b/>
          <w:color w:val="000000" w:themeColor="text1"/>
        </w:rPr>
        <w:t>.</w:t>
      </w:r>
    </w:p>
  </w:footnote>
  <w:footnote w:id="27">
    <w:p w:rsidR="00A571E5" w:rsidRPr="00A913F6" w:rsidRDefault="00A571E5">
      <w:pPr>
        <w:pStyle w:val="FootnoteText"/>
      </w:pPr>
      <w:r w:rsidRPr="009F688A">
        <w:rPr>
          <w:rStyle w:val="FootnoteReference"/>
          <w:vertAlign w:val="baseline"/>
        </w:rPr>
        <w:footnoteRef/>
      </w:r>
      <w:r w:rsidRPr="009F688A">
        <w:t xml:space="preserve"> </w:t>
      </w:r>
      <w:r>
        <w:tab/>
        <w:t xml:space="preserve">PricewaterhouseCoopers (November 2010), </w:t>
      </w:r>
      <w:r w:rsidRPr="00C81F56">
        <w:rPr>
          <w:i/>
        </w:rPr>
        <w:t>Review of consumer protection in the travel and travel related services</w:t>
      </w:r>
      <w:r w:rsidRPr="00A913F6">
        <w:t xml:space="preserve"> </w:t>
      </w:r>
      <w:r w:rsidRPr="00C81F56">
        <w:rPr>
          <w:i/>
        </w:rPr>
        <w:t>market</w:t>
      </w:r>
      <w:r w:rsidRPr="00034DB5">
        <w:t>, &lt;</w:t>
      </w:r>
      <w:hyperlink r:id="rId5" w:history="1">
        <w:r w:rsidRPr="005430C6">
          <w:rPr>
            <w:rStyle w:val="Hyperlink"/>
            <w:sz w:val="18"/>
          </w:rPr>
          <w:t>http://consumerlaw.gov.au/files/2011/03/review_protection_in_travel_industry.pdf</w:t>
        </w:r>
      </w:hyperlink>
      <w:r w:rsidRPr="00034DB5">
        <w:t>&gt;.</w:t>
      </w:r>
    </w:p>
  </w:footnote>
  <w:footnote w:id="28">
    <w:p w:rsidR="00A571E5" w:rsidRDefault="00A571E5">
      <w:pPr>
        <w:pStyle w:val="FootnoteText"/>
      </w:pPr>
      <w:r w:rsidRPr="009F688A">
        <w:rPr>
          <w:rStyle w:val="FootnoteReference"/>
          <w:vertAlign w:val="baseline"/>
        </w:rPr>
        <w:footnoteRef/>
      </w:r>
      <w:r>
        <w:t xml:space="preserve"> </w:t>
      </w:r>
      <w:r>
        <w:tab/>
      </w:r>
      <w:r w:rsidRPr="006A4F1D">
        <w:t xml:space="preserve">State Government of Victoria, Consumer Affairs Victoria, </w:t>
      </w:r>
      <w:r w:rsidRPr="006A4F1D">
        <w:rPr>
          <w:i/>
        </w:rPr>
        <w:t>Motor Car Traders Guarantee Fund</w:t>
      </w:r>
      <w:r w:rsidRPr="006A4F1D">
        <w:t>, &lt;</w:t>
      </w:r>
      <w:hyperlink r:id="rId6" w:history="1">
        <w:r w:rsidRPr="009A2415">
          <w:rPr>
            <w:rStyle w:val="Hyperlink"/>
            <w:sz w:val="18"/>
          </w:rPr>
          <w:t>https://www.consumer.vic.gov.au/about</w:t>
        </w:r>
        <w:r w:rsidRPr="009A2415">
          <w:rPr>
            <w:rStyle w:val="Hyperlink"/>
            <w:sz w:val="18"/>
          </w:rPr>
          <w:noBreakHyphen/>
          <w:t>us/who</w:t>
        </w:r>
        <w:r w:rsidRPr="009A2415">
          <w:rPr>
            <w:rStyle w:val="Hyperlink"/>
            <w:sz w:val="18"/>
          </w:rPr>
          <w:noBreakHyphen/>
          <w:t>we</w:t>
        </w:r>
        <w:r w:rsidRPr="009A2415">
          <w:rPr>
            <w:rStyle w:val="Hyperlink"/>
            <w:sz w:val="18"/>
          </w:rPr>
          <w:noBreakHyphen/>
          <w:t>are</w:t>
        </w:r>
        <w:r w:rsidRPr="009A2415">
          <w:rPr>
            <w:rStyle w:val="Hyperlink"/>
            <w:sz w:val="18"/>
          </w:rPr>
          <w:noBreakHyphen/>
          <w:t>and</w:t>
        </w:r>
        <w:r w:rsidRPr="009A2415">
          <w:rPr>
            <w:rStyle w:val="Hyperlink"/>
            <w:sz w:val="18"/>
          </w:rPr>
          <w:noBreakHyphen/>
          <w:t>what</w:t>
        </w:r>
        <w:r w:rsidRPr="009A2415">
          <w:rPr>
            <w:rStyle w:val="Hyperlink"/>
            <w:sz w:val="18"/>
          </w:rPr>
          <w:noBreakHyphen/>
          <w:t>we</w:t>
        </w:r>
        <w:r w:rsidRPr="009A2415">
          <w:rPr>
            <w:rStyle w:val="Hyperlink"/>
            <w:sz w:val="18"/>
          </w:rPr>
          <w:noBreakHyphen/>
          <w:t>do/funds</w:t>
        </w:r>
        <w:r w:rsidRPr="009A2415">
          <w:rPr>
            <w:rStyle w:val="Hyperlink"/>
            <w:sz w:val="18"/>
          </w:rPr>
          <w:noBreakHyphen/>
          <w:t>we</w:t>
        </w:r>
        <w:r w:rsidRPr="009A2415">
          <w:rPr>
            <w:rStyle w:val="Hyperlink"/>
            <w:sz w:val="18"/>
          </w:rPr>
          <w:noBreakHyphen/>
          <w:t>administer/motor</w:t>
        </w:r>
        <w:r w:rsidRPr="009A2415">
          <w:rPr>
            <w:rStyle w:val="Hyperlink"/>
            <w:sz w:val="18"/>
          </w:rPr>
          <w:noBreakHyphen/>
          <w:t>car</w:t>
        </w:r>
        <w:r w:rsidRPr="009A2415">
          <w:rPr>
            <w:rStyle w:val="Hyperlink"/>
            <w:sz w:val="18"/>
          </w:rPr>
          <w:noBreakHyphen/>
          <w:t>traders</w:t>
        </w:r>
        <w:r w:rsidRPr="009A2415">
          <w:rPr>
            <w:rStyle w:val="Hyperlink"/>
            <w:sz w:val="18"/>
          </w:rPr>
          <w:noBreakHyphen/>
          <w:t>guarantee</w:t>
        </w:r>
        <w:r w:rsidRPr="009A2415">
          <w:rPr>
            <w:rStyle w:val="Hyperlink"/>
            <w:sz w:val="18"/>
          </w:rPr>
          <w:noBreakHyphen/>
          <w:t>fund</w:t>
        </w:r>
      </w:hyperlink>
      <w:r w:rsidRPr="006A4F1D">
        <w:t>&gt;.</w:t>
      </w:r>
    </w:p>
  </w:footnote>
  <w:footnote w:id="29">
    <w:p w:rsidR="00A571E5" w:rsidRDefault="00A571E5" w:rsidP="009F688A">
      <w:pPr>
        <w:pStyle w:val="FootnoteText"/>
      </w:pPr>
      <w:r w:rsidRPr="009F688A">
        <w:rPr>
          <w:rStyle w:val="FootnoteReference"/>
          <w:vertAlign w:val="baseline"/>
        </w:rPr>
        <w:footnoteRef/>
      </w:r>
      <w:r>
        <w:t xml:space="preserve"> </w:t>
      </w:r>
      <w:r>
        <w:tab/>
      </w:r>
      <w:r w:rsidRPr="006A4F1D">
        <w:t xml:space="preserve">State Government of Victoria, Consumer Affairs Victoria, </w:t>
      </w:r>
      <w:r w:rsidRPr="006A4F1D">
        <w:rPr>
          <w:i/>
        </w:rPr>
        <w:t>Compensation claims</w:t>
      </w:r>
      <w:r>
        <w:rPr>
          <w:i/>
        </w:rPr>
        <w:t xml:space="preserve"> — </w:t>
      </w:r>
      <w:r w:rsidRPr="006A4F1D">
        <w:rPr>
          <w:i/>
        </w:rPr>
        <w:t>motor cars</w:t>
      </w:r>
      <w:r w:rsidRPr="006A4F1D">
        <w:t>, &lt;</w:t>
      </w:r>
      <w:hyperlink r:id="rId7" w:history="1">
        <w:r w:rsidRPr="009A2415">
          <w:rPr>
            <w:rStyle w:val="Hyperlink"/>
            <w:sz w:val="18"/>
          </w:rPr>
          <w:t>https://www.consumer.vic.gov.au/motor</w:t>
        </w:r>
        <w:r w:rsidRPr="009A2415">
          <w:rPr>
            <w:rStyle w:val="Hyperlink"/>
            <w:sz w:val="18"/>
          </w:rPr>
          <w:noBreakHyphen/>
          <w:t>cars/compensation</w:t>
        </w:r>
        <w:r w:rsidRPr="009A2415">
          <w:rPr>
            <w:rStyle w:val="Hyperlink"/>
            <w:sz w:val="18"/>
          </w:rPr>
          <w:noBreakHyphen/>
          <w:t>claims</w:t>
        </w:r>
      </w:hyperlink>
      <w:r w:rsidRPr="006A4F1D">
        <w:t>&gt;</w:t>
      </w:r>
      <w:r>
        <w:t xml:space="preserve"> and</w:t>
      </w:r>
      <w:r w:rsidRPr="006A4F1D">
        <w:rPr>
          <w:i/>
        </w:rPr>
        <w:t xml:space="preserve"> Motor Car Traders Guarantee Fund</w:t>
      </w:r>
      <w:r w:rsidRPr="006A4F1D">
        <w:t>, &lt;</w:t>
      </w:r>
      <w:hyperlink r:id="rId8" w:history="1">
        <w:r w:rsidRPr="009A2415">
          <w:rPr>
            <w:rStyle w:val="Hyperlink"/>
            <w:sz w:val="18"/>
          </w:rPr>
          <w:t>https://www.consumer.vic.gov.au/about</w:t>
        </w:r>
        <w:r w:rsidRPr="009A2415">
          <w:rPr>
            <w:rStyle w:val="Hyperlink"/>
            <w:sz w:val="18"/>
          </w:rPr>
          <w:noBreakHyphen/>
          <w:t>us/who</w:t>
        </w:r>
        <w:r w:rsidRPr="009A2415">
          <w:rPr>
            <w:rStyle w:val="Hyperlink"/>
            <w:sz w:val="18"/>
          </w:rPr>
          <w:noBreakHyphen/>
          <w:t>we</w:t>
        </w:r>
        <w:r w:rsidRPr="009A2415">
          <w:rPr>
            <w:rStyle w:val="Hyperlink"/>
            <w:sz w:val="18"/>
          </w:rPr>
          <w:noBreakHyphen/>
          <w:t>are</w:t>
        </w:r>
        <w:r w:rsidRPr="009A2415">
          <w:rPr>
            <w:rStyle w:val="Hyperlink"/>
            <w:sz w:val="18"/>
          </w:rPr>
          <w:noBreakHyphen/>
          <w:t>and</w:t>
        </w:r>
        <w:r w:rsidRPr="009A2415">
          <w:rPr>
            <w:rStyle w:val="Hyperlink"/>
            <w:sz w:val="18"/>
          </w:rPr>
          <w:noBreakHyphen/>
          <w:t>what</w:t>
        </w:r>
        <w:r w:rsidRPr="009A2415">
          <w:rPr>
            <w:rStyle w:val="Hyperlink"/>
            <w:sz w:val="18"/>
          </w:rPr>
          <w:noBreakHyphen/>
          <w:t>we</w:t>
        </w:r>
        <w:r w:rsidRPr="009A2415">
          <w:rPr>
            <w:rStyle w:val="Hyperlink"/>
            <w:sz w:val="18"/>
          </w:rPr>
          <w:noBreakHyphen/>
          <w:t>do/funds</w:t>
        </w:r>
        <w:r w:rsidRPr="009A2415">
          <w:rPr>
            <w:rStyle w:val="Hyperlink"/>
            <w:sz w:val="18"/>
          </w:rPr>
          <w:noBreakHyphen/>
          <w:t>we</w:t>
        </w:r>
        <w:r w:rsidRPr="009A2415">
          <w:rPr>
            <w:rStyle w:val="Hyperlink"/>
            <w:sz w:val="18"/>
          </w:rPr>
          <w:noBreakHyphen/>
          <w:t>administer/ motor</w:t>
        </w:r>
        <w:r w:rsidRPr="009A2415">
          <w:rPr>
            <w:rStyle w:val="Hyperlink"/>
            <w:sz w:val="18"/>
          </w:rPr>
          <w:noBreakHyphen/>
          <w:t>car</w:t>
        </w:r>
        <w:r w:rsidRPr="009A2415">
          <w:rPr>
            <w:rStyle w:val="Hyperlink"/>
            <w:sz w:val="18"/>
          </w:rPr>
          <w:noBreakHyphen/>
          <w:t>traders</w:t>
        </w:r>
        <w:r w:rsidRPr="009A2415">
          <w:rPr>
            <w:rStyle w:val="Hyperlink"/>
            <w:sz w:val="18"/>
          </w:rPr>
          <w:noBreakHyphen/>
          <w:t>guarantee</w:t>
        </w:r>
        <w:r w:rsidRPr="009A2415">
          <w:rPr>
            <w:rStyle w:val="Hyperlink"/>
            <w:sz w:val="18"/>
          </w:rPr>
          <w:noBreakHyphen/>
          <w:t>fund</w:t>
        </w:r>
      </w:hyperlink>
      <w:r w:rsidRPr="006A4F1D">
        <w:t>&gt;.</w:t>
      </w:r>
    </w:p>
  </w:footnote>
  <w:footnote w:id="30">
    <w:p w:rsidR="00A571E5" w:rsidRPr="009A2415" w:rsidRDefault="00A571E5" w:rsidP="00AB4675">
      <w:pPr>
        <w:pStyle w:val="FootnoteText"/>
      </w:pPr>
      <w:r w:rsidRPr="00BC1A48">
        <w:rPr>
          <w:rStyle w:val="FootnoteReference"/>
          <w:vertAlign w:val="baseline"/>
        </w:rPr>
        <w:footnoteRef/>
      </w:r>
      <w:r w:rsidRPr="006332CC">
        <w:rPr>
          <w:szCs w:val="18"/>
        </w:rPr>
        <w:t xml:space="preserve"> </w:t>
      </w:r>
      <w:r w:rsidRPr="006332CC">
        <w:rPr>
          <w:szCs w:val="18"/>
        </w:rPr>
        <w:tab/>
        <w:t>Financial Services Compensation Scheme: &lt;</w:t>
      </w:r>
      <w:hyperlink r:id="rId9" w:history="1">
        <w:r w:rsidRPr="003E06B4">
          <w:rPr>
            <w:rStyle w:val="Hyperlink"/>
            <w:sz w:val="18"/>
            <w:szCs w:val="18"/>
          </w:rPr>
          <w:t>https://www.fscs.org.uk/</w:t>
        </w:r>
      </w:hyperlink>
      <w:r w:rsidRPr="006332CC">
        <w:rPr>
          <w:szCs w:val="18"/>
        </w:rPr>
        <w:t>&gt;.</w:t>
      </w:r>
    </w:p>
  </w:footnote>
  <w:footnote w:id="31">
    <w:p w:rsidR="00A571E5" w:rsidRPr="009A2415" w:rsidRDefault="00A571E5" w:rsidP="00AB4675">
      <w:pPr>
        <w:pStyle w:val="FootnoteText"/>
      </w:pPr>
      <w:r w:rsidRPr="001A13E8">
        <w:footnoteRef/>
      </w:r>
      <w:r w:rsidRPr="001A13E8">
        <w:t xml:space="preserve"> </w:t>
      </w:r>
      <w:r w:rsidRPr="001A13E8">
        <w:tab/>
        <w:t>Canadian Investor Protection Fund: &lt;</w:t>
      </w:r>
      <w:hyperlink r:id="rId10" w:history="1">
        <w:r w:rsidRPr="003E06B4">
          <w:rPr>
            <w:rStyle w:val="Hyperlink"/>
            <w:sz w:val="18"/>
          </w:rPr>
          <w:t>http://www.cipf.ca/</w:t>
        </w:r>
      </w:hyperlink>
      <w:r w:rsidRPr="00BC1A48">
        <w:t>&gt;.</w:t>
      </w:r>
    </w:p>
  </w:footnote>
  <w:footnote w:id="32">
    <w:p w:rsidR="00A571E5" w:rsidRPr="009A2415" w:rsidRDefault="00A571E5" w:rsidP="00AB4675">
      <w:pPr>
        <w:pStyle w:val="FootnoteText"/>
      </w:pPr>
      <w:r w:rsidRPr="001A13E8">
        <w:footnoteRef/>
      </w:r>
      <w:r w:rsidRPr="001A13E8">
        <w:t xml:space="preserve"> </w:t>
      </w:r>
      <w:r w:rsidRPr="001A13E8">
        <w:tab/>
        <w:t>Securities Investor Protection Corporation: &lt;</w:t>
      </w:r>
      <w:hyperlink r:id="rId11" w:history="1">
        <w:r w:rsidRPr="003E06B4">
          <w:rPr>
            <w:rStyle w:val="Hyperlink"/>
            <w:sz w:val="18"/>
          </w:rPr>
          <w:t>http://www.sipc.org/</w:t>
        </w:r>
      </w:hyperlink>
      <w:r w:rsidRPr="00BC1A48">
        <w:t>&gt;.</w:t>
      </w:r>
    </w:p>
  </w:footnote>
  <w:footnote w:id="33">
    <w:p w:rsidR="00A571E5" w:rsidRPr="009A2415" w:rsidRDefault="00A571E5" w:rsidP="00AB4675">
      <w:pPr>
        <w:pStyle w:val="FootnoteText"/>
      </w:pPr>
      <w:r w:rsidRPr="001A13E8">
        <w:footnoteRef/>
      </w:r>
      <w:r w:rsidRPr="001A13E8">
        <w:t xml:space="preserve"> </w:t>
      </w:r>
      <w:r w:rsidRPr="001A13E8">
        <w:tab/>
        <w:t xml:space="preserve">Directive </w:t>
      </w:r>
      <w:r w:rsidRPr="00CD5888">
        <w:t>97/9/EC of the European Parliament and of the Council: &lt;</w:t>
      </w:r>
      <w:hyperlink r:id="rId12" w:history="1">
        <w:r w:rsidRPr="003E06B4">
          <w:rPr>
            <w:rStyle w:val="Hyperlink"/>
            <w:sz w:val="18"/>
          </w:rPr>
          <w:t>http://eur</w:t>
        </w:r>
        <w:r w:rsidRPr="003E06B4">
          <w:rPr>
            <w:rStyle w:val="Hyperlink"/>
            <w:sz w:val="18"/>
          </w:rPr>
          <w:noBreakHyphen/>
          <w:t>lex.europa.eu/legal</w:t>
        </w:r>
        <w:r w:rsidRPr="003E06B4">
          <w:rPr>
            <w:rStyle w:val="Hyperlink"/>
            <w:sz w:val="18"/>
          </w:rPr>
          <w:noBreakHyphen/>
          <w:t>content/EN/TXT/?uri=CELEX:31997L0009</w:t>
        </w:r>
      </w:hyperlink>
      <w:r w:rsidRPr="00BC1A48">
        <w:t>&gt;.</w:t>
      </w:r>
    </w:p>
  </w:footnote>
  <w:footnote w:id="34">
    <w:p w:rsidR="00A571E5" w:rsidRDefault="00A571E5">
      <w:pPr>
        <w:pStyle w:val="FootnoteText"/>
      </w:pPr>
      <w:r w:rsidRPr="00820ECA">
        <w:rPr>
          <w:rStyle w:val="FootnoteReference"/>
          <w:vertAlign w:val="baseline"/>
        </w:rPr>
        <w:footnoteRef/>
      </w:r>
      <w:r w:rsidRPr="00820ECA">
        <w:t xml:space="preserve"> </w:t>
      </w:r>
      <w:r>
        <w:tab/>
        <w:t>Joint Consumer Group, submission to the EDR Review Issues Paper, page 75.</w:t>
      </w:r>
    </w:p>
  </w:footnote>
  <w:footnote w:id="35">
    <w:p w:rsidR="00A571E5" w:rsidRDefault="00A571E5">
      <w:pPr>
        <w:pStyle w:val="FootnoteText"/>
      </w:pPr>
      <w:r w:rsidRPr="00820ECA">
        <w:rPr>
          <w:rStyle w:val="FootnoteReference"/>
          <w:vertAlign w:val="baseline"/>
        </w:rPr>
        <w:footnoteRef/>
      </w:r>
      <w:r>
        <w:t xml:space="preserve"> </w:t>
      </w:r>
      <w:r>
        <w:tab/>
        <w:t>Financial Ombudsman Service, submission to the EDR Review Issues Paper, page 52.</w:t>
      </w:r>
    </w:p>
  </w:footnote>
  <w:footnote w:id="36">
    <w:p w:rsidR="00A571E5" w:rsidRDefault="00A571E5">
      <w:pPr>
        <w:pStyle w:val="FootnoteText"/>
      </w:pPr>
      <w:r w:rsidRPr="00820ECA">
        <w:rPr>
          <w:rStyle w:val="FootnoteReference"/>
          <w:vertAlign w:val="baseline"/>
        </w:rPr>
        <w:footnoteRef/>
      </w:r>
      <w:r>
        <w:t xml:space="preserve"> </w:t>
      </w:r>
      <w:r>
        <w:tab/>
        <w:t>Australian Securities and Investments Commission, submission to the EDR Review Interim Report, page 30.</w:t>
      </w:r>
    </w:p>
  </w:footnote>
  <w:footnote w:id="37">
    <w:p w:rsidR="00A571E5" w:rsidRDefault="00A571E5" w:rsidP="004F5126">
      <w:pPr>
        <w:pStyle w:val="FootnoteText"/>
      </w:pPr>
      <w:r w:rsidRPr="00820ECA">
        <w:rPr>
          <w:rStyle w:val="FootnoteReference"/>
          <w:vertAlign w:val="baseline"/>
        </w:rPr>
        <w:footnoteRef/>
      </w:r>
      <w:r w:rsidRPr="00820ECA">
        <w:t xml:space="preserve"> </w:t>
      </w:r>
      <w:r>
        <w:tab/>
        <w:t>Australian Bankers’ Association, submission to the EDR Review Interim Report, page 16.</w:t>
      </w:r>
    </w:p>
  </w:footnote>
  <w:footnote w:id="38">
    <w:p w:rsidR="00A571E5" w:rsidRPr="005A152E" w:rsidRDefault="00A571E5" w:rsidP="005430C6">
      <w:pPr>
        <w:pStyle w:val="FootnoteText"/>
      </w:pPr>
      <w:r w:rsidRPr="004563C5">
        <w:rPr>
          <w:rStyle w:val="FootnoteReference"/>
          <w:vertAlign w:val="baseline"/>
        </w:rPr>
        <w:footnoteRef/>
      </w:r>
      <w:r w:rsidRPr="005A152E">
        <w:t xml:space="preserve"> </w:t>
      </w:r>
      <w:r>
        <w:tab/>
        <w:t xml:space="preserve">O’Dwyer, K (Minister for Revenue and Financial Services) 2017, </w:t>
      </w:r>
      <w:r w:rsidRPr="00C81F56">
        <w:rPr>
          <w:i/>
        </w:rPr>
        <w:t>Higher standards for financial advisers to commence</w:t>
      </w:r>
      <w:r>
        <w:t>, media release,</w:t>
      </w:r>
      <w:r>
        <w:rPr>
          <w:i/>
        </w:rPr>
        <w:t xml:space="preserve"> </w:t>
      </w:r>
      <w:r>
        <w:t>9 February 2017, &lt;</w:t>
      </w:r>
      <w:hyperlink r:id="rId13" w:history="1">
        <w:r w:rsidRPr="003E06B4">
          <w:rPr>
            <w:rStyle w:val="Hyperlink"/>
            <w:sz w:val="18"/>
          </w:rPr>
          <w:t>http://kmo.ministers.treasury.gov.au/media</w:t>
        </w:r>
        <w:r w:rsidRPr="003E06B4">
          <w:rPr>
            <w:rStyle w:val="Hyperlink"/>
            <w:sz w:val="18"/>
          </w:rPr>
          <w:noBreakHyphen/>
          <w:t>release/</w:t>
        </w:r>
        <w:r w:rsidRPr="003E06B4">
          <w:rPr>
            <w:rStyle w:val="Hyperlink"/>
            <w:sz w:val="18"/>
          </w:rPr>
          <w:br/>
          <w:t>006</w:t>
        </w:r>
        <w:r w:rsidRPr="003E06B4">
          <w:rPr>
            <w:rStyle w:val="Hyperlink"/>
            <w:sz w:val="18"/>
          </w:rPr>
          <w:noBreakHyphen/>
          <w:t>2017/</w:t>
        </w:r>
      </w:hyperlink>
      <w:r w:rsidRPr="007E0A20">
        <w:rPr>
          <w:rStyle w:val="Hyperlink"/>
          <w:b w:val="0"/>
          <w:color w:val="000000" w:themeColor="text1"/>
          <w:sz w:val="18"/>
        </w:rPr>
        <w:t>&gt;</w:t>
      </w:r>
      <w:r>
        <w:t xml:space="preserve">; O’Dwyer, K (Minister for Revenue and Financial Services) 2017, </w:t>
      </w:r>
      <w:r w:rsidRPr="00C81F56">
        <w:rPr>
          <w:i/>
        </w:rPr>
        <w:t>Financial Adviser Standards and Ethics Authority appointments</w:t>
      </w:r>
      <w:r>
        <w:t>, media release, 10 April 2017, &lt;</w:t>
      </w:r>
      <w:hyperlink r:id="rId14" w:history="1">
        <w:r w:rsidRPr="00EC5E5A">
          <w:rPr>
            <w:rStyle w:val="Hyperlink"/>
            <w:sz w:val="18"/>
          </w:rPr>
          <w:t>http://kmo.ministers.treasury.gov.au/</w:t>
        </w:r>
        <w:r w:rsidRPr="00EC5E5A">
          <w:rPr>
            <w:rStyle w:val="Hyperlink"/>
            <w:sz w:val="18"/>
          </w:rPr>
          <w:br/>
          <w:t>media</w:t>
        </w:r>
        <w:r w:rsidRPr="00EC5E5A">
          <w:rPr>
            <w:rStyle w:val="Hyperlink"/>
            <w:sz w:val="18"/>
          </w:rPr>
          <w:noBreakHyphen/>
          <w:t>release/033</w:t>
        </w:r>
        <w:r w:rsidRPr="00EC5E5A">
          <w:rPr>
            <w:rStyle w:val="Hyperlink"/>
            <w:sz w:val="18"/>
          </w:rPr>
          <w:noBreakHyphen/>
          <w:t>2017/</w:t>
        </w:r>
      </w:hyperlink>
      <w:r>
        <w:t>&gt;.</w:t>
      </w:r>
    </w:p>
  </w:footnote>
  <w:footnote w:id="39">
    <w:p w:rsidR="00A571E5" w:rsidRDefault="00A571E5">
      <w:pPr>
        <w:pStyle w:val="FootnoteText"/>
      </w:pPr>
      <w:r w:rsidRPr="003E7542">
        <w:rPr>
          <w:rStyle w:val="FootnoteReference"/>
          <w:vertAlign w:val="baseline"/>
        </w:rPr>
        <w:footnoteRef/>
      </w:r>
      <w:r>
        <w:t xml:space="preserve"> </w:t>
      </w:r>
      <w:r>
        <w:tab/>
      </w:r>
      <w:r>
        <w:rPr>
          <w:rFonts w:cs="Book Antiqua"/>
          <w:color w:val="auto"/>
          <w:szCs w:val="18"/>
        </w:rPr>
        <w:t>Australian Bankers’ Association, submission to the EDR Review Issues Paper, pages 6</w:t>
      </w:r>
      <w:r>
        <w:rPr>
          <w:rFonts w:cs="Book Antiqua"/>
          <w:color w:val="auto"/>
          <w:szCs w:val="18"/>
        </w:rPr>
        <w:noBreakHyphen/>
        <w:t>7.</w:t>
      </w:r>
    </w:p>
  </w:footnote>
  <w:footnote w:id="40">
    <w:p w:rsidR="00A571E5" w:rsidRDefault="00A571E5">
      <w:pPr>
        <w:pStyle w:val="FootnoteText"/>
      </w:pPr>
      <w:r w:rsidRPr="003E7542">
        <w:rPr>
          <w:rStyle w:val="FootnoteReference"/>
          <w:vertAlign w:val="baseline"/>
        </w:rPr>
        <w:footnoteRef/>
      </w:r>
      <w:r w:rsidRPr="003E7542">
        <w:t xml:space="preserve"> </w:t>
      </w:r>
      <w:r>
        <w:tab/>
      </w:r>
      <w:r w:rsidRPr="00CE342D">
        <w:t>Financial Planning Association of Australia, submission to the EDR Review Issues Paper, page 15.</w:t>
      </w:r>
    </w:p>
  </w:footnote>
  <w:footnote w:id="41">
    <w:p w:rsidR="00A571E5" w:rsidRDefault="00A571E5">
      <w:pPr>
        <w:pStyle w:val="FootnoteText"/>
      </w:pPr>
      <w:r w:rsidRPr="00AF6B07">
        <w:rPr>
          <w:rStyle w:val="FootnoteReference"/>
          <w:vertAlign w:val="baseline"/>
        </w:rPr>
        <w:footnoteRef/>
      </w:r>
      <w:r>
        <w:t xml:space="preserve"> </w:t>
      </w:r>
      <w:r>
        <w:tab/>
      </w:r>
      <w:r w:rsidRPr="00CE342D">
        <w:t>Australian Collectors &amp; Debt Buyers Association, submission to the EDR Review Issues Paper, page 29</w:t>
      </w:r>
      <w:r>
        <w:t>; National Insurance Brokers Association, submission to the EDR Review Interim Report, page 6.</w:t>
      </w:r>
    </w:p>
  </w:footnote>
  <w:footnote w:id="42">
    <w:p w:rsidR="00A571E5" w:rsidRDefault="00A571E5">
      <w:pPr>
        <w:pStyle w:val="FootnoteText"/>
      </w:pPr>
      <w:r w:rsidRPr="003E7542">
        <w:rPr>
          <w:rStyle w:val="FootnoteReference"/>
          <w:vertAlign w:val="baseline"/>
        </w:rPr>
        <w:footnoteRef/>
      </w:r>
      <w:r w:rsidRPr="003E7542">
        <w:t xml:space="preserve"> </w:t>
      </w:r>
      <w:r>
        <w:tab/>
        <w:t xml:space="preserve">Insurance Council of Australia, </w:t>
      </w:r>
      <w:r w:rsidRPr="00CE342D">
        <w:t>submission to the EDR Review Issues Paper, page</w:t>
      </w:r>
      <w:r>
        <w:t xml:space="preserve"> 18.</w:t>
      </w:r>
    </w:p>
  </w:footnote>
  <w:footnote w:id="43">
    <w:p w:rsidR="00A571E5" w:rsidRDefault="00A571E5">
      <w:pPr>
        <w:pStyle w:val="FootnoteText"/>
      </w:pPr>
      <w:r w:rsidRPr="003E7542">
        <w:rPr>
          <w:rStyle w:val="FootnoteReference"/>
          <w:vertAlign w:val="baseline"/>
        </w:rPr>
        <w:footnoteRef/>
      </w:r>
      <w:r w:rsidRPr="003E7542">
        <w:t xml:space="preserve"> </w:t>
      </w:r>
      <w:r>
        <w:tab/>
        <w:t xml:space="preserve">Financial Services Council, </w:t>
      </w:r>
      <w:r w:rsidRPr="00CE342D">
        <w:t>submission to the EDR Review Issues Paper, page</w:t>
      </w:r>
      <w:r>
        <w:t xml:space="preserve"> 17.</w:t>
      </w:r>
    </w:p>
  </w:footnote>
  <w:footnote w:id="44">
    <w:p w:rsidR="00A571E5" w:rsidRDefault="00A571E5" w:rsidP="003E06B4">
      <w:pPr>
        <w:pStyle w:val="FootnoteText"/>
      </w:pPr>
      <w:r w:rsidRPr="005E2398">
        <w:footnoteRef/>
      </w:r>
      <w:r w:rsidRPr="00001711">
        <w:t xml:space="preserve"> </w:t>
      </w:r>
      <w:r w:rsidRPr="00001711">
        <w:tab/>
        <w:t>Australian Government</w:t>
      </w:r>
      <w:r>
        <w:t xml:space="preserve"> 2004, </w:t>
      </w:r>
      <w:r w:rsidRPr="009B3700">
        <w:rPr>
          <w:i/>
        </w:rPr>
        <w:t>Study of Financial System Guarantees</w:t>
      </w:r>
      <w:r>
        <w:t xml:space="preserve"> (March 2004),</w:t>
      </w:r>
      <w:r w:rsidRPr="00682690">
        <w:t xml:space="preserve"> </w:t>
      </w:r>
      <w:r>
        <w:t>paragraph [4.17].</w:t>
      </w:r>
    </w:p>
  </w:footnote>
  <w:footnote w:id="45">
    <w:p w:rsidR="00A571E5" w:rsidRDefault="00A571E5">
      <w:pPr>
        <w:pStyle w:val="FootnoteText"/>
      </w:pPr>
      <w:r w:rsidRPr="00AF6B07">
        <w:rPr>
          <w:rStyle w:val="FootnoteReference"/>
          <w:vertAlign w:val="baseline"/>
        </w:rPr>
        <w:footnoteRef/>
      </w:r>
      <w:r>
        <w:t xml:space="preserve"> </w:t>
      </w:r>
      <w:r>
        <w:tab/>
        <w:t xml:space="preserve">Commonwealth of Australia 2012, </w:t>
      </w:r>
      <w:r w:rsidRPr="00FB5FEA">
        <w:rPr>
          <w:i/>
        </w:rPr>
        <w:t>Compensation Arrangement</w:t>
      </w:r>
      <w:r>
        <w:rPr>
          <w:i/>
        </w:rPr>
        <w:t>s</w:t>
      </w:r>
      <w:r w:rsidRPr="00FB5FEA">
        <w:rPr>
          <w:i/>
        </w:rPr>
        <w:t xml:space="preserve"> for Consumers of Financial Services</w:t>
      </w:r>
      <w:r w:rsidRPr="009B3700">
        <w:t>,</w:t>
      </w:r>
      <w:r>
        <w:t xml:space="preserve"> page 143, &lt;</w:t>
      </w:r>
      <w:hyperlink r:id="rId15" w:history="1">
        <w:r w:rsidRPr="004172B2">
          <w:rPr>
            <w:rStyle w:val="Hyperlink"/>
            <w:sz w:val="18"/>
          </w:rPr>
          <w:t>http://futureofadvice.treasury.gov.au/content/Content.aspx?doc=consultation/compensation_</w:t>
        </w:r>
        <w:r w:rsidRPr="004172B2">
          <w:rPr>
            <w:rStyle w:val="Hyperlink"/>
            <w:sz w:val="18"/>
          </w:rPr>
          <w:br/>
          <w:t>arrangements_report/default.htm</w:t>
        </w:r>
      </w:hyperlink>
      <w:r>
        <w:t>&gt;.</w:t>
      </w:r>
    </w:p>
  </w:footnote>
  <w:footnote w:id="46">
    <w:p w:rsidR="00A571E5" w:rsidRPr="00AE4045" w:rsidRDefault="00A571E5" w:rsidP="00993008">
      <w:pPr>
        <w:pStyle w:val="FootnoteText"/>
      </w:pPr>
      <w:r w:rsidRPr="00E33414">
        <w:rPr>
          <w:rStyle w:val="FootnoteReference"/>
          <w:vertAlign w:val="baseline"/>
        </w:rPr>
        <w:footnoteRef/>
      </w:r>
      <w:r>
        <w:t xml:space="preserve"> </w:t>
      </w:r>
      <w:r>
        <w:tab/>
        <w:t xml:space="preserve">Sections 912A and 912B of the </w:t>
      </w:r>
      <w:r>
        <w:rPr>
          <w:i/>
        </w:rPr>
        <w:t>Corporations Act 2001</w:t>
      </w:r>
      <w:r>
        <w:t>.</w:t>
      </w:r>
    </w:p>
  </w:footnote>
  <w:footnote w:id="47">
    <w:p w:rsidR="00A571E5" w:rsidRPr="00383B17" w:rsidRDefault="00A571E5" w:rsidP="00993008">
      <w:pPr>
        <w:pStyle w:val="FootnoteText"/>
      </w:pPr>
      <w:r w:rsidRPr="00E33414">
        <w:rPr>
          <w:rStyle w:val="FootnoteReference"/>
          <w:vertAlign w:val="baseline"/>
        </w:rPr>
        <w:footnoteRef/>
      </w:r>
      <w:r>
        <w:t xml:space="preserve"> </w:t>
      </w:r>
      <w:r>
        <w:tab/>
        <w:t xml:space="preserve">Sections 47 and 48 of the </w:t>
      </w:r>
      <w:r>
        <w:rPr>
          <w:i/>
        </w:rPr>
        <w:t>National Consumer Credit Protection Act 2009</w:t>
      </w:r>
      <w:r>
        <w:t>.</w:t>
      </w:r>
    </w:p>
  </w:footnote>
  <w:footnote w:id="48">
    <w:p w:rsidR="00A571E5" w:rsidRDefault="00A571E5">
      <w:pPr>
        <w:pStyle w:val="FootnoteText"/>
      </w:pPr>
      <w:r w:rsidRPr="00E33414">
        <w:rPr>
          <w:rStyle w:val="FootnoteReference"/>
          <w:vertAlign w:val="baseline"/>
        </w:rPr>
        <w:footnoteRef/>
      </w:r>
      <w:r>
        <w:t xml:space="preserve"> </w:t>
      </w:r>
      <w:r>
        <w:tab/>
      </w:r>
      <w:r w:rsidRPr="0051405F">
        <w:t>Australian Securities and Investments Commission, submission to the EDR Review Issues Paper, page 44</w:t>
      </w:r>
      <w:r>
        <w:t>.</w:t>
      </w:r>
    </w:p>
  </w:footnote>
  <w:footnote w:id="49">
    <w:p w:rsidR="00A571E5" w:rsidRPr="005C4D79" w:rsidRDefault="00A571E5">
      <w:pPr>
        <w:pStyle w:val="FootnoteText"/>
      </w:pPr>
      <w:r w:rsidRPr="00C50EC5">
        <w:rPr>
          <w:rStyle w:val="FootnoteReference"/>
          <w:vertAlign w:val="baseline"/>
        </w:rPr>
        <w:footnoteRef/>
      </w:r>
      <w:r>
        <w:t xml:space="preserve">  The Financial Services Compensation Scheme, ‘</w:t>
      </w:r>
      <w:r>
        <w:rPr>
          <w:i/>
        </w:rPr>
        <w:t>Your claim</w:t>
      </w:r>
      <w:r>
        <w:t>’, &lt;</w:t>
      </w:r>
      <w:r w:rsidRPr="005C4D79">
        <w:t xml:space="preserve"> </w:t>
      </w:r>
      <w:hyperlink r:id="rId16" w:history="1">
        <w:r w:rsidRPr="00695833">
          <w:rPr>
            <w:rStyle w:val="Hyperlink"/>
            <w:sz w:val="18"/>
          </w:rPr>
          <w:t>https://www.fscs.org.uk/your-claim/</w:t>
        </w:r>
      </w:hyperlink>
      <w:r>
        <w:t>&gt;.</w:t>
      </w:r>
    </w:p>
  </w:footnote>
  <w:footnote w:id="50">
    <w:p w:rsidR="00A571E5" w:rsidRDefault="00A571E5">
      <w:pPr>
        <w:pStyle w:val="FootnoteText"/>
      </w:pPr>
      <w:r w:rsidRPr="008B70B0">
        <w:rPr>
          <w:rStyle w:val="FootnoteReference"/>
          <w:vertAlign w:val="baseline"/>
        </w:rPr>
        <w:footnoteRef/>
      </w:r>
      <w:r>
        <w:t xml:space="preserve"> United Kingdom Financial Ombudsman Service, </w:t>
      </w:r>
      <w:r w:rsidRPr="008B70B0">
        <w:rPr>
          <w:i/>
        </w:rPr>
        <w:t xml:space="preserve">Consumer </w:t>
      </w:r>
      <w:r>
        <w:rPr>
          <w:i/>
        </w:rPr>
        <w:t>f</w:t>
      </w:r>
      <w:r w:rsidRPr="008B70B0">
        <w:rPr>
          <w:i/>
        </w:rPr>
        <w:t xml:space="preserve">act </w:t>
      </w:r>
      <w:r>
        <w:rPr>
          <w:i/>
        </w:rPr>
        <w:t>s</w:t>
      </w:r>
      <w:r w:rsidRPr="008B70B0">
        <w:rPr>
          <w:i/>
        </w:rPr>
        <w:t>heet</w:t>
      </w:r>
      <w:r>
        <w:rPr>
          <w:i/>
        </w:rPr>
        <w:t xml:space="preserve"> on enforcing an ombudsman’s decision in court</w:t>
      </w:r>
      <w:r>
        <w:t>, &lt;</w:t>
      </w:r>
      <w:hyperlink r:id="rId17" w:history="1">
        <w:r w:rsidRPr="00BB0BAB">
          <w:rPr>
            <w:rStyle w:val="Hyperlink"/>
            <w:sz w:val="18"/>
          </w:rPr>
          <w:t>http://www.financial-ombudsman.org.uk/publications/factsheets/enforcing-an-ombudsmans-decision.pdf</w:t>
        </w:r>
      </w:hyperlink>
      <w:r>
        <w:t>&gt;.</w:t>
      </w:r>
    </w:p>
  </w:footnote>
  <w:footnote w:id="51">
    <w:p w:rsidR="00A571E5" w:rsidRPr="00B96BAB" w:rsidRDefault="00A571E5" w:rsidP="00B96BAB">
      <w:pPr>
        <w:pStyle w:val="FootnoteText"/>
        <w:jc w:val="left"/>
      </w:pPr>
      <w:r w:rsidRPr="00B96BAB">
        <w:rPr>
          <w:rStyle w:val="FootnoteReference"/>
          <w:vertAlign w:val="baseline"/>
        </w:rPr>
        <w:footnoteRef/>
      </w:r>
      <w:r>
        <w:t xml:space="preserve"> Financial Conduct Authority (May 2017), </w:t>
      </w:r>
      <w:r>
        <w:rPr>
          <w:i/>
        </w:rPr>
        <w:t>Compensation</w:t>
      </w:r>
      <w:r>
        <w:t>, Release 16 at [12.4.2],  &lt;</w:t>
      </w:r>
      <w:hyperlink r:id="rId18" w:history="1">
        <w:r w:rsidRPr="00BB0BAB">
          <w:rPr>
            <w:rStyle w:val="Hyperlink"/>
            <w:sz w:val="18"/>
          </w:rPr>
          <w:t>https://www.handbook.fca.org.uk/handbook/COMP.pdf</w:t>
        </w:r>
      </w:hyperlink>
      <w:r>
        <w:rPr>
          <w:b/>
        </w:rPr>
        <w:t>&gt;</w:t>
      </w:r>
      <w:r>
        <w:t>.</w:t>
      </w:r>
    </w:p>
  </w:footnote>
  <w:footnote w:id="52">
    <w:p w:rsidR="00A571E5" w:rsidRPr="00113BC7" w:rsidRDefault="00A571E5">
      <w:pPr>
        <w:pStyle w:val="FootnoteText"/>
      </w:pPr>
      <w:r w:rsidRPr="00BC1A48">
        <w:rPr>
          <w:rStyle w:val="FootnoteReference"/>
          <w:vertAlign w:val="baseline"/>
        </w:rPr>
        <w:footnoteRef/>
      </w:r>
      <w:r w:rsidRPr="00BC1A48">
        <w:t xml:space="preserve"> </w:t>
      </w:r>
      <w:r w:rsidRPr="00BC1A48">
        <w:tab/>
        <w:t xml:space="preserve">The </w:t>
      </w:r>
      <w:r w:rsidRPr="001A13E8">
        <w:t>F</w:t>
      </w:r>
      <w:r>
        <w:t xml:space="preserve">inancial </w:t>
      </w:r>
      <w:r w:rsidRPr="001A13E8">
        <w:t>S</w:t>
      </w:r>
      <w:r>
        <w:t xml:space="preserve">ervices </w:t>
      </w:r>
      <w:r w:rsidRPr="001A13E8">
        <w:t>C</w:t>
      </w:r>
      <w:r>
        <w:t xml:space="preserve">ompensation </w:t>
      </w:r>
      <w:r w:rsidRPr="001A13E8">
        <w:t>S</w:t>
      </w:r>
      <w:r>
        <w:t>cheme</w:t>
      </w:r>
      <w:r w:rsidRPr="001A13E8">
        <w:t xml:space="preserve"> </w:t>
      </w:r>
      <w:r w:rsidRPr="00BC1A48">
        <w:t>applies a different calculation method for determining the levy which is used to fund the man</w:t>
      </w:r>
      <w:r w:rsidRPr="009A2415">
        <w:t xml:space="preserve">agement expenses levy, which covers ‘base costs’, such as fixed running costs: Financial Conduct Authority, </w:t>
      </w:r>
      <w:r w:rsidRPr="001A13E8">
        <w:rPr>
          <w:i/>
        </w:rPr>
        <w:t>CP16/42:</w:t>
      </w:r>
      <w:r w:rsidRPr="00B45E4E">
        <w:t xml:space="preserve"> </w:t>
      </w:r>
      <w:r w:rsidRPr="00BD4360">
        <w:rPr>
          <w:i/>
        </w:rPr>
        <w:t>Reviewing the funding of the Financial Services Compensation Scheme (FSCS)</w:t>
      </w:r>
      <w:r w:rsidRPr="00113BC7">
        <w:t>, page 13.</w:t>
      </w:r>
    </w:p>
  </w:footnote>
  <w:footnote w:id="53">
    <w:p w:rsidR="00A571E5" w:rsidRPr="007C7ECC" w:rsidRDefault="00A571E5">
      <w:pPr>
        <w:pStyle w:val="FootnoteText"/>
      </w:pPr>
      <w:r w:rsidRPr="009A2415">
        <w:rPr>
          <w:rStyle w:val="FootnoteReference"/>
          <w:vertAlign w:val="baseline"/>
        </w:rPr>
        <w:footnoteRef/>
      </w:r>
      <w:r w:rsidRPr="00E535FE">
        <w:t xml:space="preserve"> </w:t>
      </w:r>
      <w:r w:rsidRPr="00E535FE">
        <w:tab/>
      </w:r>
      <w:r>
        <w:rPr>
          <w:szCs w:val="18"/>
        </w:rPr>
        <w:t>S</w:t>
      </w:r>
      <w:r w:rsidRPr="00BC1A48">
        <w:rPr>
          <w:szCs w:val="18"/>
        </w:rPr>
        <w:t>ee</w:t>
      </w:r>
      <w:r w:rsidRPr="00BC1A48">
        <w:t xml:space="preserve"> Financial Conduct Authority, </w:t>
      </w:r>
      <w:r w:rsidRPr="00BC1A48">
        <w:rPr>
          <w:i/>
        </w:rPr>
        <w:t>CP16/42: Reviewin</w:t>
      </w:r>
      <w:r w:rsidRPr="009A2415">
        <w:rPr>
          <w:i/>
        </w:rPr>
        <w:t>g the funding of the Financial Services Compensation Scheme (FSCS)</w:t>
      </w:r>
      <w:r w:rsidRPr="001A13E8">
        <w:t>, &lt;</w:t>
      </w:r>
      <w:hyperlink r:id="rId19" w:history="1">
        <w:r w:rsidRPr="003E06B4">
          <w:rPr>
            <w:rStyle w:val="Hyperlink"/>
            <w:sz w:val="18"/>
          </w:rPr>
          <w:t>https://www.fca.org.uk/publications/consultation-papers/cp16-42-reviewing-funding-financial-services-compensation-scheme</w:t>
        </w:r>
      </w:hyperlink>
      <w:r w:rsidRPr="00BC1A48">
        <w:rPr>
          <w:b/>
          <w:color w:val="000000" w:themeColor="text1"/>
        </w:rPr>
        <w:t>&gt;.</w:t>
      </w:r>
    </w:p>
  </w:footnote>
  <w:footnote w:id="54">
    <w:p w:rsidR="00A571E5" w:rsidRDefault="00A571E5">
      <w:pPr>
        <w:pStyle w:val="FootnoteText"/>
      </w:pPr>
      <w:r w:rsidRPr="00BC1A48">
        <w:rPr>
          <w:rStyle w:val="FootnoteReference"/>
          <w:vertAlign w:val="baseline"/>
        </w:rPr>
        <w:footnoteRef/>
      </w:r>
      <w:r>
        <w:t xml:space="preserve"> </w:t>
      </w:r>
      <w:r>
        <w:tab/>
      </w:r>
      <w:r>
        <w:rPr>
          <w:szCs w:val="18"/>
        </w:rPr>
        <w:t>S</w:t>
      </w:r>
      <w:r w:rsidRPr="004331AA">
        <w:rPr>
          <w:szCs w:val="18"/>
        </w:rPr>
        <w:t xml:space="preserve">ee Financial Conduct Authority, </w:t>
      </w:r>
      <w:r w:rsidRPr="004331AA">
        <w:rPr>
          <w:i/>
          <w:szCs w:val="18"/>
        </w:rPr>
        <w:t>CP16/42: Reviewing the funding of the Financial Services Compensation Scheme (FSCS)</w:t>
      </w:r>
      <w:r w:rsidRPr="004331AA">
        <w:rPr>
          <w:szCs w:val="18"/>
        </w:rPr>
        <w:t>, &lt;</w:t>
      </w:r>
      <w:hyperlink r:id="rId20" w:history="1">
        <w:r w:rsidRPr="004331AA">
          <w:rPr>
            <w:rStyle w:val="Hyperlink"/>
            <w:sz w:val="18"/>
            <w:szCs w:val="18"/>
          </w:rPr>
          <w:t>https://www.fca.org.uk/publications/consultation-papers/cp16-42-reviewing-funding-financial-services-compensation-scheme</w:t>
        </w:r>
      </w:hyperlink>
      <w:r w:rsidRPr="004331AA">
        <w:rPr>
          <w:b/>
          <w:color w:val="000000" w:themeColor="text1"/>
        </w:rPr>
        <w:t>&gt;</w:t>
      </w:r>
      <w:r w:rsidRPr="003E06B4">
        <w:rPr>
          <w:color w:val="000000" w:themeColor="text1"/>
        </w:rPr>
        <w:t>.</w:t>
      </w:r>
    </w:p>
  </w:footnote>
  <w:footnote w:id="55">
    <w:p w:rsidR="00A571E5" w:rsidRDefault="00A571E5">
      <w:pPr>
        <w:pStyle w:val="FootnoteText"/>
      </w:pPr>
      <w:r w:rsidRPr="00E33414">
        <w:rPr>
          <w:rStyle w:val="FootnoteReference"/>
          <w:vertAlign w:val="baseline"/>
        </w:rPr>
        <w:footnoteRef/>
      </w:r>
      <w:r>
        <w:t xml:space="preserve"> </w:t>
      </w:r>
      <w:r>
        <w:tab/>
        <w:t xml:space="preserve">Australian Bankers’ Association, submission to the EDR Review Interim Report, Appendix 3; Financial Ombudsman Service Australia, </w:t>
      </w:r>
      <w:r w:rsidRPr="00E33414">
        <w:rPr>
          <w:i/>
        </w:rPr>
        <w:t>An Updated Proposal to Establish a Financial Services Compensation Scheme</w:t>
      </w:r>
      <w:r>
        <w:t>, May 2015.</w:t>
      </w:r>
    </w:p>
  </w:footnote>
  <w:footnote w:id="56">
    <w:p w:rsidR="00A571E5" w:rsidRDefault="00A571E5" w:rsidP="006A3FAB">
      <w:pPr>
        <w:pStyle w:val="FootnoteText"/>
      </w:pPr>
      <w:r w:rsidRPr="007E0A20">
        <w:rPr>
          <w:rStyle w:val="FootnoteReference"/>
          <w:vertAlign w:val="baseline"/>
        </w:rPr>
        <w:footnoteRef/>
      </w:r>
      <w:r>
        <w:t xml:space="preserve"> </w:t>
      </w:r>
      <w:r>
        <w:tab/>
        <w:t xml:space="preserve">Tier 1 products are defined in </w:t>
      </w:r>
      <w:r w:rsidRPr="004F47D9">
        <w:t xml:space="preserve">Australian Securities and Investments Commission (2012) Regulatory Guide 146, </w:t>
      </w:r>
      <w:r w:rsidRPr="00661609">
        <w:rPr>
          <w:i/>
        </w:rPr>
        <w:t xml:space="preserve">Licensing: Training of financial product </w:t>
      </w:r>
      <w:r w:rsidRPr="007911B6">
        <w:rPr>
          <w:i/>
        </w:rPr>
        <w:t>advisers</w:t>
      </w:r>
      <w:r>
        <w:t xml:space="preserve"> as follows: Tier 1 products: All financial products except those listed under Tier 2. Tier 2 products include: General insurance products, except for personal sickness and accident (as defined in reg 7.1.14); consumer credit insurance (as defined in reg 7.1.15); basic deposit products; non</w:t>
      </w:r>
      <w:r>
        <w:noBreakHyphen/>
        <w:t>cash payment products; first home saver deposit accounts.</w:t>
      </w:r>
    </w:p>
  </w:footnote>
  <w:footnote w:id="57">
    <w:p w:rsidR="00A571E5" w:rsidRDefault="00A571E5" w:rsidP="006A3FAB">
      <w:pPr>
        <w:pStyle w:val="FootnoteText"/>
      </w:pPr>
      <w:r w:rsidRPr="007E0A20">
        <w:rPr>
          <w:rStyle w:val="FootnoteReference"/>
          <w:vertAlign w:val="baseline"/>
        </w:rPr>
        <w:footnoteRef/>
      </w:r>
      <w:r w:rsidRPr="007E0A20">
        <w:t xml:space="preserve"> </w:t>
      </w:r>
      <w:r>
        <w:tab/>
        <w:t>Australian Securities and Investments Commission (2012), Regulatory Guide 146,</w:t>
      </w:r>
      <w:r w:rsidRPr="004F47D9">
        <w:t xml:space="preserve"> </w:t>
      </w:r>
      <w:r w:rsidRPr="00661609">
        <w:rPr>
          <w:i/>
        </w:rPr>
        <w:t>Licensing: Training of financial product advisers</w:t>
      </w:r>
      <w:r>
        <w:t>, pages 15</w:t>
      </w:r>
      <w:r>
        <w:noBreakHyphen/>
        <w:t>16.</w:t>
      </w:r>
    </w:p>
  </w:footnote>
  <w:footnote w:id="58">
    <w:p w:rsidR="00A571E5" w:rsidRDefault="00A571E5" w:rsidP="00013038">
      <w:pPr>
        <w:pStyle w:val="FootnoteText"/>
      </w:pPr>
      <w:r w:rsidRPr="00D95317">
        <w:rPr>
          <w:rStyle w:val="FootnoteReference"/>
          <w:vertAlign w:val="baseline"/>
        </w:rPr>
        <w:footnoteRef/>
      </w:r>
      <w:r>
        <w:t xml:space="preserve"> </w:t>
      </w:r>
      <w:r>
        <w:tab/>
        <w:t xml:space="preserve">As set out at page 9 of FOS’s ‘An </w:t>
      </w:r>
      <w:r w:rsidRPr="00D95317">
        <w:t>Updated Proposal to establish a Financial Services Compensation Scheme’</w:t>
      </w:r>
      <w:r>
        <w:t xml:space="preserve">, FOS states that it ‘accepts </w:t>
      </w:r>
      <w:r w:rsidRPr="00D95317">
        <w:t>that a compensation scheme could be structured either as an industry scheme with legislative backing, modelled on current industry based EDR arrangements or as a standalone statutory entity. The different models would involve a number of public policy trade-offs, in particular between the scope of its operations and costs to industry and also on the extent of industry and consumer involvement in any governance arrangements</w:t>
      </w:r>
      <w:r>
        <w:t>’.</w:t>
      </w:r>
    </w:p>
  </w:footnote>
  <w:footnote w:id="59">
    <w:p w:rsidR="00A571E5" w:rsidRPr="009B373D" w:rsidRDefault="00A571E5" w:rsidP="00013038">
      <w:pPr>
        <w:pStyle w:val="FootnoteText"/>
      </w:pPr>
      <w:r w:rsidRPr="009B373D">
        <w:rPr>
          <w:rStyle w:val="FootnoteReference"/>
          <w:vertAlign w:val="baseline"/>
        </w:rPr>
        <w:footnoteRef/>
      </w:r>
      <w:r w:rsidRPr="009B373D">
        <w:t xml:space="preserve"> </w:t>
      </w:r>
      <w:r>
        <w:tab/>
        <w:t xml:space="preserve">FOS has advised the Panel that </w:t>
      </w:r>
      <w:r w:rsidRPr="009B373D">
        <w:t xml:space="preserve">these proposals were developed as a proof of concept (based on the data available to FOS) showing that a viable scheme could be designed and implemented. FOS </w:t>
      </w:r>
      <w:r>
        <w:t xml:space="preserve">states that it </w:t>
      </w:r>
      <w:r w:rsidRPr="009B373D">
        <w:t>accepts that alternative approaches may be feasible and has continued to engage with stakeholders on options for the key design elements of a workable scheme</w:t>
      </w:r>
      <w:r>
        <w:t>.</w:t>
      </w:r>
    </w:p>
  </w:footnote>
  <w:footnote w:id="60">
    <w:p w:rsidR="00A571E5" w:rsidRDefault="00A571E5" w:rsidP="00013038">
      <w:pPr>
        <w:pStyle w:val="FootnoteText"/>
      </w:pPr>
      <w:r w:rsidRPr="0008462E">
        <w:rPr>
          <w:rStyle w:val="FootnoteReference"/>
          <w:vertAlign w:val="baseline"/>
        </w:rPr>
        <w:footnoteRef/>
      </w:r>
      <w:r>
        <w:t xml:space="preserve"> </w:t>
      </w:r>
      <w:r>
        <w:tab/>
        <w:t xml:space="preserve">Any person who at any material time was a retail client, as defined in Chapter 7 of the </w:t>
      </w:r>
      <w:r w:rsidRPr="00432C3B">
        <w:rPr>
          <w:i/>
        </w:rPr>
        <w:t>Corporations Act 2001</w:t>
      </w:r>
      <w:r>
        <w:t>.</w:t>
      </w:r>
    </w:p>
  </w:footnote>
  <w:footnote w:id="61">
    <w:p w:rsidR="00A571E5" w:rsidRDefault="00A571E5" w:rsidP="00013038">
      <w:pPr>
        <w:pStyle w:val="FootnoteText"/>
      </w:pPr>
      <w:r w:rsidRPr="0008462E">
        <w:rPr>
          <w:rStyle w:val="FootnoteReference"/>
          <w:vertAlign w:val="baseline"/>
        </w:rPr>
        <w:footnoteRef/>
      </w:r>
      <w:r w:rsidRPr="0008462E">
        <w:t xml:space="preserve"> </w:t>
      </w:r>
      <w:r>
        <w:tab/>
        <w:t>FOS suggests that one way to achieve this may be to amend Corporations Regulation 7.6.02AAA to provide that the requirement to have compensation arrangements is subject to the requirement that, in addition to holding adequate professional indemnity insurance, AFS licensees participate in a compensation scheme of last resort.</w:t>
      </w:r>
    </w:p>
  </w:footnote>
  <w:footnote w:id="62">
    <w:p w:rsidR="00A571E5" w:rsidRDefault="00A571E5" w:rsidP="00D14DD0">
      <w:pPr>
        <w:pStyle w:val="FootnoteText"/>
      </w:pPr>
      <w:r w:rsidRPr="004305AE">
        <w:rPr>
          <w:rStyle w:val="FootnoteReference"/>
          <w:vertAlign w:val="baseline"/>
        </w:rPr>
        <w:footnoteRef/>
      </w:r>
      <w:r>
        <w:t xml:space="preserve"> </w:t>
      </w:r>
      <w:r>
        <w:tab/>
        <w:t>FOS states in its Updated Proposal (at page 8) that its approach ‘</w:t>
      </w:r>
      <w:r w:rsidRPr="009B373D">
        <w:t xml:space="preserve">is for reliance to be placed on the role of EDR schemes, courts or tribunals in making the assessment and determination of customers’ claim for compensation. </w:t>
      </w:r>
      <w:r>
        <w:t>[FOS]</w:t>
      </w:r>
      <w:r w:rsidRPr="009B373D">
        <w:t xml:space="preserve"> recognise</w:t>
      </w:r>
      <w:r>
        <w:t>[s]</w:t>
      </w:r>
      <w:r w:rsidRPr="009B373D">
        <w:t xml:space="preserve"> there may be claims by retail customers for compensation where the claims have not been the subject of a formal merits assessment and decision. The challenge is that these would require a separate process for acceptance and review of the claim on its merits, and assessment of any compensation.’</w:t>
      </w:r>
    </w:p>
  </w:footnote>
  <w:footnote w:id="63">
    <w:p w:rsidR="00A571E5" w:rsidRPr="004305AE" w:rsidRDefault="00A571E5" w:rsidP="006C4DCB">
      <w:pPr>
        <w:pStyle w:val="FootnoteText"/>
      </w:pPr>
      <w:r w:rsidRPr="004305AE">
        <w:rPr>
          <w:rStyle w:val="FootnoteReference"/>
          <w:vertAlign w:val="baseline"/>
        </w:rPr>
        <w:footnoteRef/>
      </w:r>
      <w:r w:rsidDel="004172B2">
        <w:t xml:space="preserve"> </w:t>
      </w:r>
      <w:r w:rsidDel="004172B2">
        <w:tab/>
      </w:r>
      <w:r>
        <w:t>Although FOS has indicated that a scheme could be either an ASIC-approved industry scheme, or a statutory based scheme.</w:t>
      </w:r>
    </w:p>
  </w:footnote>
  <w:footnote w:id="64">
    <w:p w:rsidR="00A571E5" w:rsidRDefault="00A571E5" w:rsidP="006C4DCB">
      <w:pPr>
        <w:pStyle w:val="FootnoteText"/>
      </w:pPr>
      <w:r w:rsidRPr="00A42590">
        <w:rPr>
          <w:rStyle w:val="FootnoteReference"/>
          <w:vertAlign w:val="baseline"/>
        </w:rPr>
        <w:footnoteRef/>
      </w:r>
      <w:r w:rsidDel="004172B2">
        <w:t xml:space="preserve"> </w:t>
      </w:r>
      <w:r w:rsidDel="004172B2">
        <w:tab/>
      </w:r>
      <w:r>
        <w:t>However, as FOS has noted, a compensation scheme of last resort could be structured in different ways.</w:t>
      </w:r>
    </w:p>
  </w:footnote>
  <w:footnote w:id="65">
    <w:p w:rsidR="00A571E5" w:rsidRPr="003E3A45" w:rsidRDefault="00A571E5" w:rsidP="006E6857">
      <w:pPr>
        <w:pStyle w:val="FootnoteText"/>
      </w:pPr>
      <w:r w:rsidRPr="00644724">
        <w:rPr>
          <w:rStyle w:val="FootnoteReference"/>
          <w:vertAlign w:val="baseline"/>
        </w:rPr>
        <w:footnoteRef/>
      </w:r>
      <w:r w:rsidRPr="003E3A45">
        <w:t xml:space="preserve"> </w:t>
      </w:r>
      <w:r>
        <w:tab/>
        <w:t xml:space="preserve">See </w:t>
      </w:r>
      <w:r w:rsidRPr="00056AAC">
        <w:t>Financial Ombudsman Service</w:t>
      </w:r>
      <w:r>
        <w:t xml:space="preserve">, </w:t>
      </w:r>
      <w:r>
        <w:rPr>
          <w:i/>
        </w:rPr>
        <w:t>Circular</w:t>
      </w:r>
      <w:r>
        <w:t>, Issue 27, October 2016 — the level of overall determinations has been calculated from 1 January 2010.</w:t>
      </w:r>
    </w:p>
  </w:footnote>
  <w:footnote w:id="66">
    <w:p w:rsidR="00A571E5" w:rsidRDefault="00A571E5" w:rsidP="006E6857">
      <w:pPr>
        <w:pStyle w:val="FootnoteText"/>
      </w:pPr>
      <w:r w:rsidRPr="00644724">
        <w:rPr>
          <w:rStyle w:val="FootnoteReference"/>
          <w:vertAlign w:val="baseline"/>
        </w:rPr>
        <w:footnoteRef/>
      </w:r>
      <w:r>
        <w:t xml:space="preserve"> </w:t>
      </w:r>
      <w:r>
        <w:tab/>
        <w:t xml:space="preserve">See </w:t>
      </w:r>
      <w:r w:rsidRPr="00056AAC">
        <w:t>Financial Ombudsman Service</w:t>
      </w:r>
      <w:r>
        <w:t xml:space="preserve">, </w:t>
      </w:r>
      <w:r>
        <w:rPr>
          <w:i/>
        </w:rPr>
        <w:t>Circular</w:t>
      </w:r>
      <w:r>
        <w:t>, Issue 29, April 2017.</w:t>
      </w:r>
    </w:p>
  </w:footnote>
  <w:footnote w:id="67">
    <w:p w:rsidR="00A571E5" w:rsidRDefault="00A571E5" w:rsidP="006E6857">
      <w:pPr>
        <w:pStyle w:val="FootnoteText"/>
      </w:pPr>
      <w:r w:rsidRPr="00644724">
        <w:rPr>
          <w:rStyle w:val="FootnoteReference"/>
          <w:vertAlign w:val="baseline"/>
        </w:rPr>
        <w:footnoteRef/>
      </w:r>
      <w:r>
        <w:t xml:space="preserve"> </w:t>
      </w:r>
      <w:r>
        <w:tab/>
        <w:t xml:space="preserve">Financial Ombudsman Service, </w:t>
      </w:r>
      <w:r w:rsidRPr="00C81F56">
        <w:rPr>
          <w:i/>
        </w:rPr>
        <w:t>Circular</w:t>
      </w:r>
      <w:r>
        <w:t>, Issue 29, April 2017.</w:t>
      </w:r>
    </w:p>
  </w:footnote>
  <w:footnote w:id="68">
    <w:p w:rsidR="00A571E5" w:rsidRDefault="00A571E5" w:rsidP="006E6857">
      <w:pPr>
        <w:pStyle w:val="FootnoteText"/>
      </w:pPr>
      <w:r w:rsidRPr="00AF6B07">
        <w:rPr>
          <w:rStyle w:val="FootnoteReference"/>
          <w:vertAlign w:val="baseline"/>
        </w:rPr>
        <w:footnoteRef/>
      </w:r>
      <w:r>
        <w:t xml:space="preserve"> </w:t>
      </w:r>
      <w:r>
        <w:tab/>
        <w:t xml:space="preserve">Commonwealth of Australia 2016, </w:t>
      </w:r>
      <w:r w:rsidRPr="0088799F">
        <w:rPr>
          <w:i/>
        </w:rPr>
        <w:t>Review of the financial system external dispute resolution and complaints framework Interim Report</w:t>
      </w:r>
      <w:r>
        <w:t xml:space="preserve"> (6 December 2016), page 165 (at paragraph [7.5]). </w:t>
      </w:r>
    </w:p>
  </w:footnote>
  <w:footnote w:id="69">
    <w:p w:rsidR="00A571E5" w:rsidRDefault="00A571E5">
      <w:pPr>
        <w:pStyle w:val="FootnoteText"/>
      </w:pPr>
      <w:r w:rsidRPr="0008462E">
        <w:rPr>
          <w:rStyle w:val="FootnoteReference"/>
          <w:vertAlign w:val="baseline"/>
        </w:rPr>
        <w:footnoteRef/>
      </w:r>
      <w:r w:rsidRPr="0008462E">
        <w:t xml:space="preserve"> </w:t>
      </w:r>
      <w:r>
        <w:tab/>
        <w:t xml:space="preserve">Joint Consumer Group, submission to the EDR Review Issues Paper, page 77. </w:t>
      </w:r>
    </w:p>
  </w:footnote>
  <w:footnote w:id="70">
    <w:p w:rsidR="00A571E5" w:rsidRDefault="00A571E5">
      <w:pPr>
        <w:pStyle w:val="FootnoteText"/>
      </w:pPr>
      <w:r w:rsidRPr="0028032B">
        <w:rPr>
          <w:rStyle w:val="FootnoteReference"/>
          <w:vertAlign w:val="baseline"/>
        </w:rPr>
        <w:footnoteRef/>
      </w:r>
      <w:r>
        <w:t xml:space="preserve"> </w:t>
      </w:r>
      <w:r>
        <w:tab/>
      </w:r>
      <w:r w:rsidRPr="00336A4A">
        <w:t>On 9 May 2017, the Government accepted the Panel</w:t>
      </w:r>
      <w:r>
        <w:t>’</w:t>
      </w:r>
      <w:r w:rsidRPr="00336A4A">
        <w:t>s recommendation to increase the monetary limits for the new EDR scheme.</w:t>
      </w:r>
    </w:p>
  </w:footnote>
  <w:footnote w:id="71">
    <w:p w:rsidR="00A571E5" w:rsidRDefault="00A571E5">
      <w:pPr>
        <w:pStyle w:val="FootnoteText"/>
      </w:pPr>
      <w:r w:rsidRPr="002F36F1">
        <w:rPr>
          <w:rStyle w:val="FootnoteReference"/>
          <w:vertAlign w:val="baseline"/>
        </w:rPr>
        <w:footnoteRef/>
      </w:r>
      <w:r w:rsidRPr="002F36F1">
        <w:t xml:space="preserve"> </w:t>
      </w:r>
      <w:r>
        <w:tab/>
        <w:t>Other mechanisms are the Commonwealth Scheme for Compensation for Detriment caused by Defective Administration and waiver of debt schemes.</w:t>
      </w:r>
    </w:p>
  </w:footnote>
  <w:footnote w:id="72">
    <w:p w:rsidR="00A571E5" w:rsidRDefault="00A571E5" w:rsidP="003E06B4">
      <w:pPr>
        <w:pStyle w:val="FootnoteText"/>
      </w:pPr>
      <w:r w:rsidRPr="002F36F1">
        <w:rPr>
          <w:rStyle w:val="FootnoteReference"/>
          <w:vertAlign w:val="baseline"/>
        </w:rPr>
        <w:footnoteRef/>
      </w:r>
      <w:r w:rsidRPr="002F36F1">
        <w:t xml:space="preserve"> </w:t>
      </w:r>
      <w:r>
        <w:tab/>
        <w:t xml:space="preserve">Commonwealth of Australia, Australian National Audit Office 2004, </w:t>
      </w:r>
      <w:r w:rsidRPr="00661609">
        <w:rPr>
          <w:i/>
        </w:rPr>
        <w:t>Compensation Payment and Debt Relief in Special Circumstances</w:t>
      </w:r>
      <w:r>
        <w:t>, page 44</w:t>
      </w:r>
      <w:r w:rsidRPr="004E18CB">
        <w:t xml:space="preserve"> </w:t>
      </w:r>
      <w:r>
        <w:t>at paragraph 2.27, &lt;</w:t>
      </w:r>
      <w:hyperlink r:id="rId21" w:history="1">
        <w:r w:rsidRPr="00126A45">
          <w:rPr>
            <w:rStyle w:val="Hyperlink"/>
            <w:sz w:val="18"/>
          </w:rPr>
          <w:t>https://www.anao.gov.au/work/performance</w:t>
        </w:r>
        <w:r w:rsidRPr="00126A45">
          <w:rPr>
            <w:rStyle w:val="Hyperlink"/>
            <w:sz w:val="18"/>
          </w:rPr>
          <w:noBreakHyphen/>
          <w:t>audit/ compensation</w:t>
        </w:r>
        <w:r w:rsidRPr="00126A45">
          <w:rPr>
            <w:rStyle w:val="Hyperlink"/>
            <w:sz w:val="18"/>
          </w:rPr>
          <w:noBreakHyphen/>
          <w:t>payment</w:t>
        </w:r>
        <w:r w:rsidRPr="00126A45">
          <w:rPr>
            <w:rStyle w:val="Hyperlink"/>
            <w:sz w:val="18"/>
          </w:rPr>
          <w:noBreakHyphen/>
          <w:t>and</w:t>
        </w:r>
        <w:r w:rsidRPr="00126A45">
          <w:rPr>
            <w:rStyle w:val="Hyperlink"/>
            <w:sz w:val="18"/>
          </w:rPr>
          <w:noBreakHyphen/>
          <w:t>debt</w:t>
        </w:r>
        <w:r w:rsidRPr="00126A45">
          <w:rPr>
            <w:rStyle w:val="Hyperlink"/>
            <w:sz w:val="18"/>
          </w:rPr>
          <w:noBreakHyphen/>
          <w:t>relief</w:t>
        </w:r>
        <w:r w:rsidRPr="00126A45">
          <w:rPr>
            <w:rStyle w:val="Hyperlink"/>
            <w:sz w:val="18"/>
          </w:rPr>
          <w:noBreakHyphen/>
          <w:t>special</w:t>
        </w:r>
        <w:r w:rsidRPr="00126A45">
          <w:rPr>
            <w:rStyle w:val="Hyperlink"/>
            <w:sz w:val="18"/>
          </w:rPr>
          <w:noBreakHyphen/>
          <w:t>circumstances</w:t>
        </w:r>
      </w:hyperlink>
      <w:r>
        <w:t xml:space="preserve">&gt;. (See also paragraph 3.11 of Senate Standing Committee on Legal and Constitutional Affairs, Review of Government Compensation Payments, </w:t>
      </w:r>
      <w:r w:rsidDel="00765D7C">
        <w:t>6</w:t>
      </w:r>
      <w:r>
        <w:t> December 2010, &lt;</w:t>
      </w:r>
      <w:hyperlink r:id="rId22" w:history="1">
        <w:r w:rsidRPr="00126A45">
          <w:rPr>
            <w:rStyle w:val="Hyperlink"/>
            <w:sz w:val="18"/>
          </w:rPr>
          <w:t>http://www.aph.gov.au/Parliamentary_Business/Committees/Senate/Legal_and_ Constitutional_Affairs/Completed_inquiries/2010</w:t>
        </w:r>
        <w:r w:rsidRPr="00126A45">
          <w:rPr>
            <w:rStyle w:val="Hyperlink"/>
            <w:sz w:val="18"/>
          </w:rPr>
          <w:noBreakHyphen/>
          <w:t>13/govtcomp/report/ index</w:t>
        </w:r>
      </w:hyperlink>
      <w:r>
        <w:t>&gt;.)</w:t>
      </w:r>
    </w:p>
  </w:footnote>
  <w:footnote w:id="73">
    <w:p w:rsidR="00A571E5" w:rsidRDefault="00A571E5">
      <w:pPr>
        <w:pStyle w:val="FootnoteText"/>
      </w:pPr>
      <w:r w:rsidRPr="002F36F1">
        <w:rPr>
          <w:rStyle w:val="FootnoteReference"/>
          <w:vertAlign w:val="baseline"/>
        </w:rPr>
        <w:footnoteRef/>
      </w:r>
      <w:r w:rsidRPr="002F36F1">
        <w:t xml:space="preserve"> </w:t>
      </w:r>
      <w:r>
        <w:tab/>
        <w:t>Australian Government, Department of Finance and Deregulation 2010, Submission to the Senate Standing Committee on Legal and Constitutional Affairs on its</w:t>
      </w:r>
      <w:r w:rsidRPr="00166FD7">
        <w:t xml:space="preserve"> Review of Government Compensation</w:t>
      </w:r>
      <w:r>
        <w:t xml:space="preserve"> (11 June 2010), &lt;</w:t>
      </w:r>
      <w:hyperlink r:id="rId23" w:history="1">
        <w:r w:rsidRPr="00126A45">
          <w:rPr>
            <w:rStyle w:val="Hyperlink"/>
            <w:sz w:val="18"/>
          </w:rPr>
          <w:t>https://www.finance.gov.au/sites/default/files/compensation_payments_finance_submission.pdf</w:t>
        </w:r>
      </w:hyperlink>
      <w:r>
        <w:t>&gt;.</w:t>
      </w:r>
    </w:p>
  </w:footnote>
  <w:footnote w:id="74">
    <w:p w:rsidR="00A571E5" w:rsidRDefault="00A571E5">
      <w:pPr>
        <w:pStyle w:val="FootnoteText"/>
      </w:pPr>
      <w:r w:rsidRPr="002F36F1">
        <w:rPr>
          <w:rStyle w:val="FootnoteReference"/>
          <w:vertAlign w:val="baseline"/>
        </w:rPr>
        <w:footnoteRef/>
      </w:r>
      <w:r>
        <w:t xml:space="preserve"> </w:t>
      </w:r>
      <w:r>
        <w:tab/>
        <w:t xml:space="preserve">Senate Standing Committee on Legal and Constitutional Affairs, </w:t>
      </w:r>
      <w:r w:rsidRPr="00166FD7">
        <w:rPr>
          <w:i/>
        </w:rPr>
        <w:t>Review of Government Compensation Payments</w:t>
      </w:r>
      <w:r>
        <w:t xml:space="preserve">, </w:t>
      </w:r>
      <w:r w:rsidDel="00092DCF">
        <w:t>6</w:t>
      </w:r>
      <w:r>
        <w:t> December 2010, at paragraph 3.14, &lt;</w:t>
      </w:r>
      <w:hyperlink r:id="rId24" w:history="1">
        <w:r w:rsidRPr="00126A45">
          <w:rPr>
            <w:rStyle w:val="Hyperlink"/>
            <w:sz w:val="18"/>
          </w:rPr>
          <w:t>http://www.aph.gov.au/Parliamentary_Business/Committees/ Senate/Legal_and_Constitutional_Affairs/Completed_inquiries/2010</w:t>
        </w:r>
        <w:r w:rsidRPr="00126A45">
          <w:rPr>
            <w:rStyle w:val="Hyperlink"/>
            <w:sz w:val="18"/>
          </w:rPr>
          <w:noBreakHyphen/>
          <w:t>13/govtcomp/ report/index</w:t>
        </w:r>
      </w:hyperlink>
      <w:r>
        <w:t>&gt;.</w:t>
      </w:r>
    </w:p>
  </w:footnote>
  <w:footnote w:id="75">
    <w:p w:rsidR="00A571E5" w:rsidRDefault="00A571E5">
      <w:pPr>
        <w:pStyle w:val="FootnoteText"/>
      </w:pPr>
      <w:r w:rsidRPr="0095419B">
        <w:rPr>
          <w:rStyle w:val="FootnoteReference"/>
          <w:vertAlign w:val="baseline"/>
        </w:rPr>
        <w:footnoteRef/>
      </w:r>
      <w:r w:rsidRPr="0095419B">
        <w:t xml:space="preserve"> </w:t>
      </w:r>
      <w:r>
        <w:tab/>
      </w:r>
      <w:r>
        <w:rPr>
          <w:lang w:val="en"/>
        </w:rPr>
        <w:t>Note that s</w:t>
      </w:r>
      <w:r w:rsidRPr="00484515">
        <w:rPr>
          <w:lang w:val="en"/>
        </w:rPr>
        <w:t xml:space="preserve">ubsection 12(2) of the </w:t>
      </w:r>
      <w:r w:rsidRPr="001C2AD8">
        <w:rPr>
          <w:i/>
          <w:lang w:val="en"/>
        </w:rPr>
        <w:t>Legislation Act 2003</w:t>
      </w:r>
      <w:r w:rsidRPr="00484515">
        <w:rPr>
          <w:lang w:val="en"/>
        </w:rPr>
        <w:t xml:space="preserve"> provides that an instrument which commences retrospectively, and which would disadvantage or impose a liability on any person other than the Commonwealth, is of no effect.</w:t>
      </w:r>
    </w:p>
  </w:footnote>
  <w:footnote w:id="76">
    <w:p w:rsidR="00A571E5" w:rsidRPr="00F14B3D" w:rsidRDefault="00A571E5">
      <w:pPr>
        <w:pStyle w:val="FootnoteText"/>
      </w:pPr>
      <w:r w:rsidRPr="000479F5">
        <w:rPr>
          <w:rStyle w:val="FootnoteReference"/>
          <w:vertAlign w:val="baseline"/>
        </w:rPr>
        <w:footnoteRef/>
      </w:r>
      <w:r w:rsidRPr="00F14B3D">
        <w:t xml:space="preserve"> </w:t>
      </w:r>
      <w:r w:rsidRPr="00F14B3D">
        <w:tab/>
      </w:r>
      <w:r>
        <w:t xml:space="preserve">Australian Securities and Investments Commission 2011, Report 240 </w:t>
      </w:r>
      <w:r w:rsidRPr="003E06B4">
        <w:rPr>
          <w:i/>
        </w:rPr>
        <w:t>Compensation for retail investors: the social impact of monetary loss</w:t>
      </w:r>
      <w:r>
        <w:t>, page 8.</w:t>
      </w:r>
    </w:p>
  </w:footnote>
  <w:footnote w:id="77">
    <w:p w:rsidR="00A571E5" w:rsidRDefault="00A571E5">
      <w:pPr>
        <w:pStyle w:val="FootnoteText"/>
      </w:pPr>
      <w:r w:rsidRPr="00AF6B07">
        <w:rPr>
          <w:rStyle w:val="FootnoteReference"/>
          <w:vertAlign w:val="baseline"/>
        </w:rPr>
        <w:footnoteRef/>
      </w:r>
      <w:r w:rsidRPr="00AF6B07">
        <w:t xml:space="preserve"> </w:t>
      </w:r>
      <w:r>
        <w:tab/>
        <w:t xml:space="preserve">Australian Small Business and Family Enterprise Ombudsman 2016, </w:t>
      </w:r>
      <w:r w:rsidRPr="00195562">
        <w:rPr>
          <w:i/>
        </w:rPr>
        <w:t>Inquiry into small business loans</w:t>
      </w:r>
      <w:r>
        <w:t>, page 6.</w:t>
      </w:r>
    </w:p>
  </w:footnote>
  <w:footnote w:id="78">
    <w:p w:rsidR="00A571E5" w:rsidRDefault="00A571E5">
      <w:pPr>
        <w:pStyle w:val="FootnoteText"/>
      </w:pPr>
      <w:r w:rsidRPr="00AF6B07">
        <w:rPr>
          <w:rStyle w:val="FootnoteReference"/>
          <w:vertAlign w:val="baseline"/>
        </w:rPr>
        <w:footnoteRef/>
      </w:r>
      <w:r w:rsidRPr="00AF6B07">
        <w:t xml:space="preserve"> </w:t>
      </w:r>
      <w:r>
        <w:tab/>
        <w:t xml:space="preserve">Australian Small Business and Family Enterprise Ombudsman 2016, </w:t>
      </w:r>
      <w:r w:rsidRPr="00195562">
        <w:rPr>
          <w:i/>
        </w:rPr>
        <w:t>Inquiry into small business loans</w:t>
      </w:r>
      <w:r>
        <w:t>, page 6.</w:t>
      </w:r>
    </w:p>
  </w:footnote>
  <w:footnote w:id="79">
    <w:p w:rsidR="00A571E5" w:rsidRDefault="00A571E5">
      <w:pPr>
        <w:pStyle w:val="FootnoteText"/>
      </w:pPr>
      <w:r w:rsidRPr="002F36F1">
        <w:rPr>
          <w:rStyle w:val="FootnoteReference"/>
          <w:vertAlign w:val="baseline"/>
        </w:rPr>
        <w:footnoteRef/>
      </w:r>
      <w:r>
        <w:t xml:space="preserve"> </w:t>
      </w:r>
      <w:r>
        <w:tab/>
      </w:r>
      <w:r w:rsidRPr="007601F0">
        <w:t xml:space="preserve">One </w:t>
      </w:r>
      <w:r>
        <w:t>key</w:t>
      </w:r>
      <w:r w:rsidRPr="007601F0">
        <w:t xml:space="preserve"> reason why past disputes have been </w:t>
      </w:r>
      <w:r>
        <w:t xml:space="preserve">ineligible </w:t>
      </w:r>
      <w:r w:rsidRPr="007601F0">
        <w:t>through existing EDR schemes is because of the monetary limits. Disputes that exceed these limits must be resolved through a court.</w:t>
      </w:r>
    </w:p>
  </w:footnote>
  <w:footnote w:id="80">
    <w:p w:rsidR="00A571E5" w:rsidRDefault="00A571E5">
      <w:pPr>
        <w:pStyle w:val="FootnoteText"/>
      </w:pPr>
      <w:r w:rsidRPr="000479F5">
        <w:rPr>
          <w:rStyle w:val="FootnoteReference"/>
          <w:vertAlign w:val="baseline"/>
        </w:rPr>
        <w:footnoteRef/>
      </w:r>
      <w:r>
        <w:t xml:space="preserve"> Commonwealth of Australia 2017, </w:t>
      </w:r>
      <w:r w:rsidRPr="003E06B4">
        <w:rPr>
          <w:i/>
        </w:rPr>
        <w:t>Review of the financial system external dispute resolution and complaints framework:</w:t>
      </w:r>
      <w:r>
        <w:t xml:space="preserve"> </w:t>
      </w:r>
      <w:r w:rsidRPr="003E06B4">
        <w:rPr>
          <w:i/>
        </w:rPr>
        <w:t>Final Report</w:t>
      </w:r>
      <w:r>
        <w:t xml:space="preserve"> (3 April 2017), page 38.</w:t>
      </w:r>
    </w:p>
  </w:footnote>
  <w:footnote w:id="81">
    <w:p w:rsidR="00A571E5" w:rsidRDefault="00A571E5">
      <w:pPr>
        <w:pStyle w:val="FootnoteText"/>
      </w:pPr>
      <w:r w:rsidRPr="002F36F1">
        <w:rPr>
          <w:rStyle w:val="FootnoteReference"/>
          <w:vertAlign w:val="baseline"/>
        </w:rPr>
        <w:footnoteRef/>
      </w:r>
      <w:r w:rsidRPr="002F36F1">
        <w:t xml:space="preserve"> </w:t>
      </w:r>
      <w:r>
        <w:tab/>
        <w:t>Provided to the EDR Review Panel on 4 May 2017.</w:t>
      </w:r>
    </w:p>
  </w:footnote>
  <w:footnote w:id="82">
    <w:p w:rsidR="00A571E5" w:rsidRDefault="00A571E5">
      <w:pPr>
        <w:pStyle w:val="FootnoteText"/>
      </w:pPr>
      <w:r w:rsidRPr="002F36F1">
        <w:rPr>
          <w:rStyle w:val="FootnoteReference"/>
          <w:vertAlign w:val="baseline"/>
        </w:rPr>
        <w:footnoteRef/>
      </w:r>
      <w:r w:rsidRPr="002F36F1">
        <w:t xml:space="preserve"> </w:t>
      </w:r>
      <w:r>
        <w:tab/>
        <w:t>On 9 May 2017, the Treasurer amended the date on which the Panel is to provide its report on the issues contained in clauses 3.5 and 6</w:t>
      </w:r>
      <w:r w:rsidRPr="00481DE9">
        <w:t xml:space="preserve"> </w:t>
      </w:r>
      <w:r>
        <w:t>from the end of June 2017 to the second half of this year.</w:t>
      </w:r>
    </w:p>
  </w:footnote>
  <w:footnote w:id="83">
    <w:p w:rsidR="00A571E5" w:rsidRPr="00BC1A48" w:rsidRDefault="00A571E5">
      <w:pPr>
        <w:pStyle w:val="FootnoteText"/>
      </w:pPr>
      <w:r w:rsidRPr="00BC1A48">
        <w:rPr>
          <w:rStyle w:val="FootnoteReference"/>
          <w:vertAlign w:val="baseline"/>
        </w:rPr>
        <w:footnoteRef/>
      </w:r>
      <w:r w:rsidRPr="00BC1A48">
        <w:t xml:space="preserve"> </w:t>
      </w:r>
      <w:r w:rsidRPr="00BC1A48">
        <w:tab/>
        <w:t xml:space="preserve">James Hardie, Asbestos Compensation, </w:t>
      </w:r>
      <w:r w:rsidRPr="00BC1A48">
        <w:rPr>
          <w:i/>
        </w:rPr>
        <w:t>Factsheet – How is James Hardie supporting asbestos education, medical research and contributing to asbestos disease related compensation?</w:t>
      </w:r>
      <w:r w:rsidRPr="00BC1A48">
        <w:t>, &lt;</w:t>
      </w:r>
      <w:hyperlink r:id="rId25" w:history="1">
        <w:r w:rsidRPr="003E06B4">
          <w:rPr>
            <w:rStyle w:val="Hyperlink"/>
            <w:sz w:val="18"/>
          </w:rPr>
          <w:t>http://www.ir.jameshardie.com.au/jh/ asbestos_compensation.jsp</w:t>
        </w:r>
      </w:hyperlink>
      <w:r w:rsidRPr="00BC1A48">
        <w:t>&gt;.</w:t>
      </w:r>
    </w:p>
  </w:footnote>
  <w:footnote w:id="84">
    <w:p w:rsidR="00A571E5" w:rsidRPr="00BC1A48" w:rsidRDefault="00A571E5">
      <w:pPr>
        <w:pStyle w:val="FootnoteText"/>
      </w:pPr>
      <w:r w:rsidRPr="00BC1A48">
        <w:rPr>
          <w:rStyle w:val="FootnoteReference"/>
          <w:vertAlign w:val="baseline"/>
        </w:rPr>
        <w:footnoteRef/>
      </w:r>
      <w:r w:rsidRPr="00BC1A48">
        <w:t xml:space="preserve"> </w:t>
      </w:r>
      <w:r w:rsidRPr="00BC1A48">
        <w:tab/>
        <w:t>Asbestos Injuries Compensation Fund, About Amaca, Amaba and ABN 60, &lt;</w:t>
      </w:r>
      <w:hyperlink r:id="rId26" w:history="1">
        <w:r w:rsidRPr="005430C6">
          <w:rPr>
            <w:rStyle w:val="Hyperlink"/>
            <w:sz w:val="18"/>
          </w:rPr>
          <w:t>https://www.aicf.org.au/ about_sub.php</w:t>
        </w:r>
      </w:hyperlink>
      <w:r w:rsidRPr="00BC1A48">
        <w:t>&gt;.</w:t>
      </w:r>
    </w:p>
  </w:footnote>
  <w:footnote w:id="85">
    <w:p w:rsidR="00A571E5" w:rsidRPr="00BC1A48" w:rsidRDefault="00A571E5">
      <w:pPr>
        <w:pStyle w:val="FootnoteText"/>
      </w:pPr>
      <w:r w:rsidRPr="00BC1A48">
        <w:rPr>
          <w:rStyle w:val="FootnoteReference"/>
          <w:vertAlign w:val="baseline"/>
        </w:rPr>
        <w:footnoteRef/>
      </w:r>
      <w:r w:rsidRPr="00126A45">
        <w:t xml:space="preserve"> </w:t>
      </w:r>
      <w:r w:rsidRPr="00126A45">
        <w:tab/>
        <w:t>Asbestos Injuries Compensation Fund, About us, &lt;</w:t>
      </w:r>
      <w:hyperlink r:id="rId27" w:history="1">
        <w:r w:rsidRPr="003E06B4">
          <w:rPr>
            <w:rStyle w:val="Hyperlink"/>
            <w:sz w:val="18"/>
          </w:rPr>
          <w:t>https://www.aicf.org.au/about.php</w:t>
        </w:r>
      </w:hyperlink>
      <w:r w:rsidRPr="00126A45">
        <w:t>&gt;.</w:t>
      </w:r>
    </w:p>
  </w:footnote>
  <w:footnote w:id="86">
    <w:p w:rsidR="00A571E5" w:rsidRPr="00BC1A48" w:rsidRDefault="00A571E5" w:rsidP="003E06B4">
      <w:pPr>
        <w:pStyle w:val="FootnoteText"/>
      </w:pPr>
      <w:r w:rsidRPr="00BC1A48">
        <w:rPr>
          <w:rStyle w:val="FootnoteReference"/>
          <w:vertAlign w:val="baseline"/>
        </w:rPr>
        <w:footnoteRef/>
      </w:r>
      <w:r w:rsidRPr="00BC1A48">
        <w:t xml:space="preserve"> </w:t>
      </w:r>
      <w:r w:rsidRPr="00BC1A48">
        <w:tab/>
        <w:t xml:space="preserve">Asbestos Injuries Compensation Fund, General Purpose Financial Report for the year ended 31 March 2016, </w:t>
      </w:r>
      <w:r w:rsidRPr="00BC1A48" w:rsidDel="00092DCF">
        <w:t>page</w:t>
      </w:r>
      <w:r w:rsidRPr="001A13E8">
        <w:t> </w:t>
      </w:r>
      <w:r w:rsidRPr="008751CA">
        <w:t>5, &lt;</w:t>
      </w:r>
      <w:hyperlink r:id="rId28" w:history="1">
        <w:r w:rsidRPr="003E06B4">
          <w:rPr>
            <w:rStyle w:val="Hyperlink"/>
            <w:sz w:val="18"/>
          </w:rPr>
          <w:t>https://www.aicf.org.au/docs/AICFL%202016%20Financial%20Accounts.pdf</w:t>
        </w:r>
      </w:hyperlink>
      <w:r w:rsidRPr="00BC1A48">
        <w:t>&gt;.</w:t>
      </w:r>
    </w:p>
  </w:footnote>
  <w:footnote w:id="87">
    <w:p w:rsidR="00A571E5" w:rsidRPr="00BC1A48" w:rsidRDefault="00A571E5" w:rsidP="003E06B4">
      <w:pPr>
        <w:pStyle w:val="FootnoteText"/>
      </w:pPr>
      <w:r w:rsidRPr="00BC1A48">
        <w:rPr>
          <w:rStyle w:val="FootnoteReference"/>
          <w:vertAlign w:val="baseline"/>
        </w:rPr>
        <w:footnoteRef/>
      </w:r>
      <w:r w:rsidRPr="00BC1A48">
        <w:t xml:space="preserve"> </w:t>
      </w:r>
      <w:r w:rsidRPr="00BC1A48">
        <w:tab/>
        <w:t xml:space="preserve">Asbestos Injuries Compensation Fund, General Purpose Financial Report for the year ended 31 March 2016, </w:t>
      </w:r>
      <w:r w:rsidRPr="00BC1A48" w:rsidDel="00092DCF">
        <w:t>page</w:t>
      </w:r>
      <w:r w:rsidRPr="00BC1A48">
        <w:t> </w:t>
      </w:r>
      <w:r w:rsidRPr="001A13E8">
        <w:t>5, &lt;</w:t>
      </w:r>
      <w:hyperlink r:id="rId29" w:history="1">
        <w:r w:rsidRPr="003E06B4">
          <w:rPr>
            <w:rStyle w:val="Hyperlink"/>
            <w:sz w:val="18"/>
          </w:rPr>
          <w:t>https://www.aicf.org.au/docs/AICFL%202016%20Financial%20Accounts.pdf</w:t>
        </w:r>
      </w:hyperlink>
      <w:r w:rsidRPr="00BC1A48">
        <w:t>&gt;.</w:t>
      </w:r>
    </w:p>
  </w:footnote>
  <w:footnote w:id="88">
    <w:p w:rsidR="00A571E5" w:rsidRDefault="00A571E5" w:rsidP="00A4441F">
      <w:pPr>
        <w:pStyle w:val="FootnoteText"/>
      </w:pPr>
      <w:r w:rsidRPr="002F36F1">
        <w:rPr>
          <w:rStyle w:val="FootnoteReference"/>
          <w:vertAlign w:val="baseline"/>
        </w:rPr>
        <w:footnoteRef/>
      </w:r>
      <w:r w:rsidRPr="002F36F1">
        <w:t xml:space="preserve"> </w:t>
      </w:r>
      <w:r w:rsidRPr="00000F14">
        <w:rPr>
          <w:b/>
          <w:color w:val="000000" w:themeColor="text1"/>
        </w:rPr>
        <w:tab/>
      </w:r>
      <w:r>
        <w:t xml:space="preserve">James Hardie, Asbestos Compensation, </w:t>
      </w:r>
      <w:r w:rsidRPr="00071C48">
        <w:rPr>
          <w:i/>
        </w:rPr>
        <w:t>Factsheet – How is James Hardie supporting asbestos educ</w:t>
      </w:r>
      <w:r>
        <w:rPr>
          <w:i/>
        </w:rPr>
        <w:t>a</w:t>
      </w:r>
      <w:r w:rsidRPr="00071C48">
        <w:rPr>
          <w:i/>
        </w:rPr>
        <w:t>tion, medical research and contributing to asbestos disease related compensation?</w:t>
      </w:r>
      <w:r>
        <w:t xml:space="preserve">, </w:t>
      </w:r>
      <w:r w:rsidRPr="00071C48">
        <w:t>&lt;</w:t>
      </w:r>
      <w:hyperlink r:id="rId30" w:history="1">
        <w:r w:rsidRPr="003E06B4">
          <w:rPr>
            <w:rStyle w:val="Hyperlink"/>
            <w:sz w:val="18"/>
          </w:rPr>
          <w:t>http://www.ir.jameshardie.com.au/jh/ asbestos_compensation.jsp</w:t>
        </w:r>
      </w:hyperlink>
      <w:r w:rsidRPr="00071C48">
        <w:t>&gt;.</w:t>
      </w:r>
    </w:p>
  </w:footnote>
  <w:footnote w:id="89">
    <w:p w:rsidR="00A571E5" w:rsidRDefault="00A571E5" w:rsidP="00D26123">
      <w:pPr>
        <w:pStyle w:val="FootnoteText"/>
      </w:pPr>
      <w:r w:rsidRPr="002F36F1">
        <w:rPr>
          <w:rStyle w:val="FootnoteReference"/>
          <w:vertAlign w:val="baseline"/>
        </w:rPr>
        <w:footnoteRef/>
      </w:r>
      <w:r w:rsidRPr="002F36F1">
        <w:t xml:space="preserve"> </w:t>
      </w:r>
      <w:r>
        <w:tab/>
        <w:t>Asbestos Injuries Compensation Fund, Key Documents, &lt;</w:t>
      </w:r>
      <w:hyperlink r:id="rId31" w:history="1">
        <w:r w:rsidRPr="00126A45">
          <w:rPr>
            <w:rStyle w:val="Hyperlink"/>
            <w:sz w:val="18"/>
          </w:rPr>
          <w:t>https://www.aicf.org.au/key_docs.php</w:t>
        </w:r>
      </w:hyperlink>
      <w:r>
        <w:t>&gt;.</w:t>
      </w:r>
    </w:p>
  </w:footnote>
  <w:footnote w:id="90">
    <w:p w:rsidR="00A571E5" w:rsidRDefault="00A571E5" w:rsidP="00B63775">
      <w:pPr>
        <w:pStyle w:val="FootnoteText"/>
      </w:pPr>
      <w:r w:rsidRPr="003516BE">
        <w:rPr>
          <w:rStyle w:val="FootnoteReference"/>
          <w:vertAlign w:val="baseline"/>
        </w:rPr>
        <w:footnoteRef/>
      </w:r>
      <w:r>
        <w:t xml:space="preserve"> </w:t>
      </w:r>
      <w:r>
        <w:tab/>
        <w:t xml:space="preserve">Commonwealth of Australia 2015, Royal Commission into Institutional Responses to Child Sexual Abuse, </w:t>
      </w:r>
      <w:r w:rsidRPr="00B63775">
        <w:rPr>
          <w:i/>
        </w:rPr>
        <w:t>Redress and civil litigation report</w:t>
      </w:r>
      <w:r>
        <w:t>, &lt;</w:t>
      </w:r>
      <w:hyperlink r:id="rId32" w:history="1">
        <w:r w:rsidRPr="00126A45">
          <w:rPr>
            <w:rStyle w:val="Hyperlink"/>
            <w:sz w:val="18"/>
          </w:rPr>
          <w:t>http://childabuseroyalcommission.gov.au/about-us/our-reports</w:t>
        </w:r>
      </w:hyperlink>
      <w:r>
        <w:t>&gt;.</w:t>
      </w:r>
    </w:p>
  </w:footnote>
  <w:footnote w:id="91">
    <w:p w:rsidR="00A571E5" w:rsidRPr="000604E9" w:rsidRDefault="00A571E5">
      <w:pPr>
        <w:pStyle w:val="FootnoteText"/>
        <w:rPr>
          <w:color w:val="000000" w:themeColor="text1"/>
        </w:rPr>
      </w:pPr>
      <w:r w:rsidRPr="002F36F1">
        <w:rPr>
          <w:rStyle w:val="FootnoteReference"/>
          <w:vertAlign w:val="baseline"/>
        </w:rPr>
        <w:footnoteRef/>
      </w:r>
      <w:r w:rsidRPr="002F36F1">
        <w:t xml:space="preserve"> </w:t>
      </w:r>
      <w:r w:rsidRPr="002F36F1">
        <w:rPr>
          <w:b/>
          <w:color w:val="000000" w:themeColor="text1"/>
        </w:rPr>
        <w:tab/>
      </w:r>
      <w:r w:rsidRPr="00B63775">
        <w:rPr>
          <w:color w:val="000000" w:themeColor="text1"/>
        </w:rPr>
        <w:t>Commonwealth of Australia, Department of Human Services, Commonwealth Redress Scheme for Survivors</w:t>
      </w:r>
      <w:r>
        <w:rPr>
          <w:b/>
          <w:color w:val="000000" w:themeColor="text1"/>
        </w:rPr>
        <w:t xml:space="preserve"> </w:t>
      </w:r>
      <w:r w:rsidRPr="00B63775">
        <w:rPr>
          <w:color w:val="000000" w:themeColor="text1"/>
        </w:rPr>
        <w:t>of Institutional Child Sexual Abuse,</w:t>
      </w:r>
      <w:r>
        <w:rPr>
          <w:b/>
          <w:color w:val="000000" w:themeColor="text1"/>
        </w:rPr>
        <w:t xml:space="preserve"> </w:t>
      </w:r>
      <w:r w:rsidRPr="000604E9">
        <w:rPr>
          <w:color w:val="000000" w:themeColor="text1"/>
        </w:rPr>
        <w:t>&lt;</w:t>
      </w:r>
      <w:hyperlink r:id="rId33" w:history="1">
        <w:r w:rsidRPr="003E06B4">
          <w:rPr>
            <w:rStyle w:val="Hyperlink"/>
            <w:sz w:val="18"/>
            <w:szCs w:val="18"/>
          </w:rPr>
          <w:t>https://www.humanservices.gov.au/corporate/budget/ budget</w:t>
        </w:r>
        <w:r w:rsidRPr="003E06B4">
          <w:rPr>
            <w:rStyle w:val="Hyperlink"/>
            <w:sz w:val="18"/>
            <w:szCs w:val="18"/>
          </w:rPr>
          <w:noBreakHyphen/>
          <w:t>2017</w:t>
        </w:r>
        <w:r w:rsidRPr="003E06B4">
          <w:rPr>
            <w:rStyle w:val="Hyperlink"/>
            <w:sz w:val="18"/>
            <w:szCs w:val="18"/>
          </w:rPr>
          <w:noBreakHyphen/>
          <w:t>18/improving</w:t>
        </w:r>
        <w:r w:rsidRPr="003E06B4">
          <w:rPr>
            <w:rStyle w:val="Hyperlink"/>
            <w:sz w:val="18"/>
            <w:szCs w:val="18"/>
          </w:rPr>
          <w:noBreakHyphen/>
          <w:t>services/commonwealth</w:t>
        </w:r>
        <w:r w:rsidRPr="003E06B4">
          <w:rPr>
            <w:rStyle w:val="Hyperlink"/>
            <w:sz w:val="18"/>
            <w:szCs w:val="18"/>
          </w:rPr>
          <w:noBreakHyphen/>
          <w:t>redress</w:t>
        </w:r>
        <w:r w:rsidRPr="003E06B4">
          <w:rPr>
            <w:rStyle w:val="Hyperlink"/>
            <w:sz w:val="18"/>
            <w:szCs w:val="18"/>
          </w:rPr>
          <w:noBreakHyphen/>
          <w:t>scheme</w:t>
        </w:r>
        <w:r w:rsidRPr="003E06B4">
          <w:rPr>
            <w:rStyle w:val="Hyperlink"/>
            <w:sz w:val="18"/>
            <w:szCs w:val="18"/>
          </w:rPr>
          <w:noBreakHyphen/>
          <w:t>survivors</w:t>
        </w:r>
        <w:r w:rsidRPr="003E06B4">
          <w:rPr>
            <w:rStyle w:val="Hyperlink"/>
            <w:sz w:val="18"/>
            <w:szCs w:val="18"/>
          </w:rPr>
          <w:noBreakHyphen/>
          <w:t>institutional</w:t>
        </w:r>
        <w:r w:rsidRPr="003E06B4">
          <w:rPr>
            <w:rStyle w:val="Hyperlink"/>
            <w:sz w:val="18"/>
            <w:szCs w:val="18"/>
          </w:rPr>
          <w:noBreakHyphen/>
          <w:t>child</w:t>
        </w:r>
        <w:r w:rsidRPr="003E06B4">
          <w:rPr>
            <w:rStyle w:val="Hyperlink"/>
            <w:sz w:val="18"/>
            <w:szCs w:val="18"/>
          </w:rPr>
          <w:noBreakHyphen/>
          <w:t>sexual</w:t>
        </w:r>
        <w:r w:rsidRPr="003E06B4">
          <w:rPr>
            <w:rStyle w:val="Hyperlink"/>
            <w:sz w:val="18"/>
            <w:szCs w:val="18"/>
          </w:rPr>
          <w:noBreakHyphen/>
        </w:r>
        <w:r w:rsidRPr="003E06B4">
          <w:rPr>
            <w:rStyle w:val="Hyperlink"/>
            <w:sz w:val="18"/>
            <w:szCs w:val="18"/>
          </w:rPr>
          <w:br/>
          <w:t>abuse</w:t>
        </w:r>
      </w:hyperlink>
      <w:r w:rsidRPr="00301E50">
        <w:rPr>
          <w:b/>
          <w:color w:val="000000" w:themeColor="text1"/>
        </w:rPr>
        <w:t>&gt;.</w:t>
      </w:r>
    </w:p>
  </w:footnote>
  <w:footnote w:id="92">
    <w:p w:rsidR="00A571E5" w:rsidRDefault="00A571E5">
      <w:pPr>
        <w:pStyle w:val="FootnoteText"/>
      </w:pPr>
      <w:r w:rsidRPr="003516BE">
        <w:rPr>
          <w:rStyle w:val="FootnoteReference"/>
          <w:vertAlign w:val="baseline"/>
        </w:rPr>
        <w:footnoteRef/>
      </w:r>
      <w:r>
        <w:t xml:space="preserve"> </w:t>
      </w:r>
      <w:r>
        <w:tab/>
        <w:t xml:space="preserve">Parliament of Australia, </w:t>
      </w:r>
      <w:r w:rsidRPr="002D6AEF">
        <w:rPr>
          <w:i/>
        </w:rPr>
        <w:t>Unfinished business: Indigenous stolen wages</w:t>
      </w:r>
      <w:r>
        <w:t xml:space="preserve"> (7 December 2006), Chapter 7: Repayment of monies by Governments, &lt;</w:t>
      </w:r>
      <w:hyperlink r:id="rId34" w:history="1">
        <w:r w:rsidRPr="003E06B4">
          <w:rPr>
            <w:rStyle w:val="Hyperlink"/>
            <w:sz w:val="18"/>
          </w:rPr>
          <w:t>http://www.aph.gov.au/Parliamentary_Business/Committees/ Senate/Legal_</w:t>
        </w:r>
        <w:r w:rsidRPr="003E06B4">
          <w:rPr>
            <w:rStyle w:val="Hyperlink"/>
            <w:sz w:val="18"/>
          </w:rPr>
          <w:br/>
          <w:t>and_Constitutional_Affairs/Completed_inquiries/2004</w:t>
        </w:r>
        <w:r w:rsidRPr="003E06B4">
          <w:rPr>
            <w:rStyle w:val="Hyperlink"/>
            <w:sz w:val="18"/>
          </w:rPr>
          <w:noBreakHyphen/>
          <w:t>07/stolen_wages/report/c07</w:t>
        </w:r>
      </w:hyperlink>
      <w:r>
        <w:rPr>
          <w:rStyle w:val="Hyperlink"/>
          <w:b w:val="0"/>
          <w:color w:val="000000" w:themeColor="text1"/>
          <w:sz w:val="18"/>
        </w:rPr>
        <w:t>&gt;; Parliament of New South Wales, Questions &amp; Answers Papers No. 13 and 25, 0048 – Aboriginal Trust Fund Repayment Scheme, &lt;</w:t>
      </w:r>
      <w:hyperlink r:id="rId35" w:history="1">
        <w:r w:rsidRPr="003E06B4">
          <w:rPr>
            <w:rStyle w:val="Hyperlink"/>
            <w:sz w:val="18"/>
          </w:rPr>
          <w:t>https://www.parliament.nsw.gov.au/lc/papers/Pages/qanda</w:t>
        </w:r>
        <w:r w:rsidRPr="003E06B4">
          <w:rPr>
            <w:rStyle w:val="Hyperlink"/>
            <w:sz w:val="18"/>
          </w:rPr>
          <w:noBreakHyphen/>
          <w:t>tracking</w:t>
        </w:r>
        <w:r w:rsidRPr="003E06B4">
          <w:rPr>
            <w:rStyle w:val="Hyperlink"/>
            <w:sz w:val="18"/>
          </w:rPr>
          <w:noBreakHyphen/>
          <w:t>details. aspx?pk=181823</w:t>
        </w:r>
      </w:hyperlink>
      <w:r>
        <w:rPr>
          <w:rStyle w:val="Hyperlink"/>
          <w:b w:val="0"/>
          <w:color w:val="000000" w:themeColor="text1"/>
          <w:sz w:val="18"/>
        </w:rPr>
        <w:t>&gt;.</w:t>
      </w:r>
    </w:p>
  </w:footnote>
  <w:footnote w:id="93">
    <w:p w:rsidR="00A571E5" w:rsidRDefault="00A571E5">
      <w:pPr>
        <w:pStyle w:val="FootnoteText"/>
      </w:pPr>
      <w:r w:rsidRPr="003516BE">
        <w:rPr>
          <w:rStyle w:val="FootnoteReference"/>
          <w:vertAlign w:val="baseline"/>
        </w:rPr>
        <w:footnoteRef/>
      </w:r>
      <w:r>
        <w:t xml:space="preserve"> </w:t>
      </w:r>
      <w:r>
        <w:tab/>
        <w:t>The Forde Foundation 2013, About the Forde Foundation, &lt;</w:t>
      </w:r>
      <w:r w:rsidRPr="006249BE">
        <w:t>http://fordefoundation.org.au/about/</w:t>
      </w:r>
      <w:r>
        <w:t xml:space="preserve"> </w:t>
      </w:r>
      <w:r w:rsidRPr="006249BE">
        <w:t>forde</w:t>
      </w:r>
      <w:r>
        <w:noBreakHyphen/>
      </w:r>
      <w:r w:rsidRPr="006249BE">
        <w:t>foundation</w:t>
      </w:r>
      <w:r>
        <w:t>&gt;.</w:t>
      </w:r>
    </w:p>
  </w:footnote>
  <w:footnote w:id="94">
    <w:p w:rsidR="00A571E5" w:rsidRDefault="00A571E5">
      <w:pPr>
        <w:pStyle w:val="FootnoteText"/>
      </w:pPr>
      <w:r w:rsidRPr="003516BE">
        <w:rPr>
          <w:rStyle w:val="FootnoteReference"/>
          <w:vertAlign w:val="baseline"/>
        </w:rPr>
        <w:footnoteRef/>
      </w:r>
      <w:r>
        <w:t xml:space="preserve"> </w:t>
      </w:r>
      <w:r>
        <w:tab/>
        <w:t xml:space="preserve">State of Tasmania 2008, Department of Premier and Cabinet, </w:t>
      </w:r>
      <w:r w:rsidRPr="000604E9">
        <w:rPr>
          <w:i/>
        </w:rPr>
        <w:t>Stolen Generations of Aboriginal Children Act 2006 – Report of the Stolen Generations Assessor</w:t>
      </w:r>
      <w:r>
        <w:t xml:space="preserve"> (February 2008), pages 2 and 7-8, &lt;</w:t>
      </w:r>
      <w:hyperlink r:id="rId36" w:history="1">
        <w:r w:rsidRPr="00126A45">
          <w:rPr>
            <w:rStyle w:val="Hyperlink"/>
            <w:sz w:val="18"/>
          </w:rPr>
          <w:t>http://www.dpac.tas.gov.au/ __data/assets/pdf_file/0004/53770/Stolen_Generations_Assessor_final_report.pdf</w:t>
        </w:r>
      </w:hyperlink>
      <w:r>
        <w:t>&gt;.</w:t>
      </w:r>
    </w:p>
  </w:footnote>
  <w:footnote w:id="95">
    <w:p w:rsidR="00A571E5" w:rsidRDefault="00A571E5" w:rsidP="003E06B4">
      <w:pPr>
        <w:pStyle w:val="FootnoteText"/>
      </w:pPr>
      <w:r w:rsidRPr="003516BE">
        <w:rPr>
          <w:rStyle w:val="FootnoteReference"/>
          <w:vertAlign w:val="baseline"/>
        </w:rPr>
        <w:footnoteRef/>
      </w:r>
      <w:r>
        <w:t xml:space="preserve"> </w:t>
      </w:r>
      <w:r>
        <w:tab/>
        <w:t>Government of South Australia, Department of State Development 2016, and Maher, K, Ministerial Statement</w:t>
      </w:r>
      <w:r w:rsidDel="00092DCF">
        <w:t>,</w:t>
      </w:r>
      <w:r>
        <w:br/>
        <w:t>&lt;</w:t>
      </w:r>
      <w:hyperlink r:id="rId37" w:history="1">
        <w:r w:rsidRPr="004172B2">
          <w:rPr>
            <w:rStyle w:val="Hyperlink"/>
            <w:sz w:val="18"/>
          </w:rPr>
          <w:t>http://statedevelopment.sa.gov.au/aboriginal</w:t>
        </w:r>
        <w:r w:rsidRPr="004172B2">
          <w:rPr>
            <w:rStyle w:val="Hyperlink"/>
            <w:sz w:val="18"/>
          </w:rPr>
          <w:noBreakHyphen/>
          <w:t>affairs/stolen</w:t>
        </w:r>
        <w:r w:rsidRPr="004172B2">
          <w:rPr>
            <w:rStyle w:val="Hyperlink"/>
            <w:sz w:val="18"/>
          </w:rPr>
          <w:noBreakHyphen/>
          <w:t>generations</w:t>
        </w:r>
        <w:r w:rsidRPr="004172B2">
          <w:rPr>
            <w:rStyle w:val="Hyperlink"/>
            <w:sz w:val="18"/>
          </w:rPr>
          <w:noBreakHyphen/>
          <w:t>reparations</w:t>
        </w:r>
        <w:r w:rsidRPr="004172B2">
          <w:rPr>
            <w:rStyle w:val="Hyperlink"/>
            <w:sz w:val="18"/>
          </w:rPr>
          <w:noBreakHyphen/>
          <w:t>scheme</w:t>
        </w:r>
      </w:hyperlink>
      <w:r>
        <w:t xml:space="preserve">&gt;. An ABC News report of 31 March 2017 indicated that the scheme was oversubscribed with over 350 applicants, </w:t>
      </w:r>
      <w:r w:rsidDel="00092DCF">
        <w:t>which</w:t>
      </w:r>
      <w:r>
        <w:t xml:space="preserve"> would reduce the value of each payout. See &lt;</w:t>
      </w:r>
      <w:hyperlink r:id="rId38" w:history="1">
        <w:r w:rsidRPr="00126A45">
          <w:rPr>
            <w:rStyle w:val="Hyperlink"/>
            <w:sz w:val="18"/>
          </w:rPr>
          <w:t>http://www.abc.net.au/news/2017</w:t>
        </w:r>
        <w:r w:rsidRPr="00126A45">
          <w:rPr>
            <w:rStyle w:val="Hyperlink"/>
            <w:sz w:val="18"/>
          </w:rPr>
          <w:noBreakHyphen/>
          <w:t>03</w:t>
        </w:r>
        <w:r w:rsidRPr="00126A45">
          <w:rPr>
            <w:rStyle w:val="Hyperlink"/>
            <w:sz w:val="18"/>
          </w:rPr>
          <w:noBreakHyphen/>
          <w:t>31/sa</w:t>
        </w:r>
        <w:r w:rsidRPr="00126A45">
          <w:rPr>
            <w:rStyle w:val="Hyperlink"/>
            <w:sz w:val="18"/>
          </w:rPr>
          <w:noBreakHyphen/>
          <w:t>stolen</w:t>
        </w:r>
        <w:r w:rsidRPr="00126A45">
          <w:rPr>
            <w:rStyle w:val="Hyperlink"/>
            <w:sz w:val="18"/>
          </w:rPr>
          <w:noBreakHyphen/>
        </w:r>
        <w:r w:rsidRPr="00126A45">
          <w:rPr>
            <w:rStyle w:val="Hyperlink"/>
            <w:sz w:val="18"/>
          </w:rPr>
          <w:br/>
          <w:t>generations</w:t>
        </w:r>
        <w:r w:rsidRPr="00126A45">
          <w:rPr>
            <w:rStyle w:val="Hyperlink"/>
            <w:sz w:val="18"/>
          </w:rPr>
          <w:noBreakHyphen/>
          <w:t>compensation</w:t>
        </w:r>
        <w:r w:rsidRPr="00126A45">
          <w:rPr>
            <w:rStyle w:val="Hyperlink"/>
            <w:sz w:val="18"/>
          </w:rPr>
          <w:noBreakHyphen/>
          <w:t>payment</w:t>
        </w:r>
        <w:r w:rsidRPr="00126A45">
          <w:rPr>
            <w:rStyle w:val="Hyperlink"/>
            <w:sz w:val="18"/>
          </w:rPr>
          <w:noBreakHyphen/>
          <w:t>will</w:t>
        </w:r>
        <w:r w:rsidRPr="00126A45">
          <w:rPr>
            <w:rStyle w:val="Hyperlink"/>
            <w:sz w:val="18"/>
          </w:rPr>
          <w:noBreakHyphen/>
          <w:t>be</w:t>
        </w:r>
        <w:r w:rsidRPr="00126A45">
          <w:rPr>
            <w:rStyle w:val="Hyperlink"/>
            <w:sz w:val="18"/>
          </w:rPr>
          <w:noBreakHyphen/>
          <w:t>a</w:t>
        </w:r>
        <w:r w:rsidRPr="00126A45">
          <w:rPr>
            <w:rStyle w:val="Hyperlink"/>
            <w:sz w:val="18"/>
          </w:rPr>
          <w:noBreakHyphen/>
          <w:t>bonus/8401836</w:t>
        </w:r>
      </w:hyperlink>
      <w:r>
        <w:t>&gt;.</w:t>
      </w:r>
    </w:p>
  </w:footnote>
  <w:footnote w:id="96">
    <w:p w:rsidR="00A571E5" w:rsidRDefault="00A571E5">
      <w:pPr>
        <w:pStyle w:val="FootnoteText"/>
      </w:pPr>
      <w:r w:rsidRPr="003516BE">
        <w:rPr>
          <w:rStyle w:val="FootnoteReference"/>
          <w:vertAlign w:val="baseline"/>
        </w:rPr>
        <w:footnoteRef/>
      </w:r>
      <w:r>
        <w:t xml:space="preserve"> </w:t>
      </w:r>
      <w:r>
        <w:tab/>
        <w:t xml:space="preserve">ABC News, article of 2 December 2016 by Brooke Boney, </w:t>
      </w:r>
      <w:r w:rsidRPr="00396D88">
        <w:rPr>
          <w:i/>
        </w:rPr>
        <w:t>Stolen</w:t>
      </w:r>
      <w:r>
        <w:t xml:space="preserve"> </w:t>
      </w:r>
      <w:r w:rsidRPr="00396D88">
        <w:rPr>
          <w:i/>
        </w:rPr>
        <w:t>Generations: Victims to get $73 million compensation, NSW Government says</w:t>
      </w:r>
      <w:r>
        <w:t>, &lt;</w:t>
      </w:r>
      <w:hyperlink r:id="rId39" w:history="1">
        <w:r w:rsidRPr="00126A45">
          <w:rPr>
            <w:rStyle w:val="Hyperlink"/>
            <w:sz w:val="18"/>
          </w:rPr>
          <w:t>http://www.abc.net.au/news/2016</w:t>
        </w:r>
        <w:r w:rsidRPr="00126A45">
          <w:rPr>
            <w:rStyle w:val="Hyperlink"/>
            <w:sz w:val="18"/>
          </w:rPr>
          <w:noBreakHyphen/>
          <w:t>12</w:t>
        </w:r>
        <w:r w:rsidRPr="00126A45">
          <w:rPr>
            <w:rStyle w:val="Hyperlink"/>
            <w:sz w:val="18"/>
          </w:rPr>
          <w:noBreakHyphen/>
          <w:t>02/stolen</w:t>
        </w:r>
        <w:r w:rsidRPr="00126A45">
          <w:rPr>
            <w:rStyle w:val="Hyperlink"/>
            <w:sz w:val="18"/>
          </w:rPr>
          <w:noBreakHyphen/>
          <w:t>generations</w:t>
        </w:r>
        <w:r w:rsidRPr="00126A45">
          <w:rPr>
            <w:rStyle w:val="Hyperlink"/>
            <w:sz w:val="18"/>
          </w:rPr>
          <w:noBreakHyphen/>
        </w:r>
        <w:r w:rsidRPr="00126A45">
          <w:rPr>
            <w:rStyle w:val="Hyperlink"/>
            <w:sz w:val="18"/>
          </w:rPr>
          <w:br/>
          <w:t>to</w:t>
        </w:r>
        <w:r w:rsidRPr="00126A45">
          <w:rPr>
            <w:rStyle w:val="Hyperlink"/>
            <w:sz w:val="18"/>
          </w:rPr>
          <w:noBreakHyphen/>
          <w:t>get</w:t>
        </w:r>
        <w:r w:rsidRPr="00126A45">
          <w:rPr>
            <w:rStyle w:val="Hyperlink"/>
            <w:sz w:val="18"/>
          </w:rPr>
          <w:noBreakHyphen/>
          <w:t>$73</w:t>
        </w:r>
        <w:r w:rsidRPr="00126A45">
          <w:rPr>
            <w:rStyle w:val="Hyperlink"/>
            <w:sz w:val="18"/>
          </w:rPr>
          <w:noBreakHyphen/>
          <w:t>million</w:t>
        </w:r>
        <w:r w:rsidRPr="00126A45">
          <w:rPr>
            <w:rStyle w:val="Hyperlink"/>
            <w:sz w:val="18"/>
          </w:rPr>
          <w:noBreakHyphen/>
          <w:t>compensation</w:t>
        </w:r>
        <w:r w:rsidRPr="00126A45">
          <w:rPr>
            <w:rStyle w:val="Hyperlink"/>
            <w:sz w:val="18"/>
          </w:rPr>
          <w:noBreakHyphen/>
          <w:t>package</w:t>
        </w:r>
        <w:r w:rsidRPr="00126A45">
          <w:rPr>
            <w:rStyle w:val="Hyperlink"/>
            <w:sz w:val="18"/>
          </w:rPr>
          <w:noBreakHyphen/>
          <w:t>nsw/8086126</w:t>
        </w:r>
      </w:hyperlink>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0D59A3" w:rsidP="003E6DDA">
    <w:pPr>
      <w:pStyle w:val="HeaderEven"/>
    </w:pPr>
    <w:r>
      <w:fldChar w:fldCharType="begin"/>
    </w:r>
    <w:r>
      <w:instrText xml:space="preserve"> TITLE   \* MERGEFORMAT </w:instrText>
    </w:r>
    <w:r>
      <w:fldChar w:fldCharType="separate"/>
    </w:r>
    <w:r w:rsidR="00A571E5">
      <w:t>Review of the financial system external dispute resolution framework</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6017FA" w:rsidRDefault="000D59A3" w:rsidP="00572A1A">
    <w:pPr>
      <w:pStyle w:val="HeaderOdd"/>
    </w:pPr>
    <w:r>
      <w:fldChar w:fldCharType="begin"/>
    </w:r>
    <w:r>
      <w:instrText xml:space="preserve"> STYLEREF  "Heading 1"  \* MERGEFORMAT </w:instrText>
    </w:r>
    <w:r>
      <w:fldChar w:fldCharType="separate"/>
    </w:r>
    <w:r>
      <w:rPr>
        <w:noProof/>
      </w:rPr>
      <w:t>Appendix A — Amended Terms of Reference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0D59A3" w:rsidP="00142D17">
    <w:pPr>
      <w:pStyle w:val="SecurityClassificationHeader"/>
    </w:pPr>
    <w:r>
      <w:fldChar w:fldCharType="begin"/>
    </w:r>
    <w:r>
      <w:instrText xml:space="preserve"> DOCPROPERTY SecurityClassification \* MERGEFORMAT </w:instrText>
    </w:r>
    <w:r>
      <w:fldChar w:fldCharType="separate"/>
    </w:r>
    <w:r w:rsidR="00A571E5">
      <w:t>Draft</w:t>
    </w:r>
    <w:r>
      <w:fldChar w:fldCharType="end"/>
    </w:r>
  </w:p>
  <w:p w:rsidR="00A571E5" w:rsidRDefault="000D59A3" w:rsidP="006017FA">
    <w:pPr>
      <w:pStyle w:val="SecurityClassificationHeader"/>
    </w:pPr>
    <w:r>
      <w:fldChar w:fldCharType="begin"/>
    </w:r>
    <w:r>
      <w:instrText xml:space="preserve"> DOCPROPERTY WorkingDocStatus \* MERGEFORMAT </w:instrText>
    </w:r>
    <w:r>
      <w:fldChar w:fldCharType="separate"/>
    </w:r>
    <w:r w:rsidR="00A571E5">
      <w:t>DRAFT WORKING DOCUMENT</w:t>
    </w:r>
    <w:r>
      <w:fldChar w:fldCharType="end"/>
    </w:r>
  </w:p>
  <w:p w:rsidR="00A571E5" w:rsidRDefault="00A571E5">
    <w:pPr>
      <w:pStyle w:val="HeaderOd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A571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0D59A3" w:rsidP="003E6DDA">
    <w:pPr>
      <w:pStyle w:val="HeaderOdd"/>
    </w:pPr>
    <w:r>
      <w:fldChar w:fldCharType="begin"/>
    </w:r>
    <w:r>
      <w:instrText xml:space="preserve"> STYLEREF  "Heading 1"  \* MERGEFORMAT </w:instrText>
    </w:r>
    <w:r>
      <w:fldChar w:fldCharType="separate"/>
    </w:r>
    <w:r w:rsidR="00A571E5">
      <w:rPr>
        <w:noProof/>
      </w:rPr>
      <w:t>Consultation Process</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6017FA" w:rsidRDefault="00A571E5" w:rsidP="006017F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C01E9D" w:rsidRDefault="00A571E5" w:rsidP="00C01E9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6017FA" w:rsidRDefault="00A571E5" w:rsidP="006017F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Default="000D59A3" w:rsidP="003E6DDA">
    <w:pPr>
      <w:pStyle w:val="HeaderOdd"/>
    </w:pPr>
    <w:r>
      <w:fldChar w:fldCharType="begin"/>
    </w:r>
    <w:r>
      <w:instrText xml:space="preserve"> STYLEREF  "Heading 1"  \* </w:instrText>
    </w:r>
    <w:r>
      <w:instrText xml:space="preserve">MERGEFORMAT </w:instrText>
    </w:r>
    <w:r>
      <w:fldChar w:fldCharType="separate"/>
    </w:r>
    <w:r>
      <w:rPr>
        <w:noProof/>
      </w:rPr>
      <w:t>Appendix B — Examples of schemes outside the financial sector that provide for past matters</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E5" w:rsidRPr="006017FA" w:rsidRDefault="00A571E5" w:rsidP="006017FA">
    <w:pPr>
      <w:pStyle w:val="Header"/>
    </w:pPr>
    <w:r>
      <w:rPr>
        <w:noProof/>
      </w:rPr>
      <mc:AlternateContent>
        <mc:Choice Requires="wps">
          <w:drawing>
            <wp:anchor distT="0" distB="0" distL="114300" distR="114300" simplePos="0" relativeHeight="251658241" behindDoc="0" locked="0" layoutInCell="1" allowOverlap="1" wp14:anchorId="55925ECB" wp14:editId="34D5E3DE">
              <wp:simplePos x="0" y="0"/>
              <wp:positionH relativeFrom="column">
                <wp:posOffset>8926813</wp:posOffset>
              </wp:positionH>
              <wp:positionV relativeFrom="paragraph">
                <wp:posOffset>405765</wp:posOffset>
              </wp:positionV>
              <wp:extent cx="447675" cy="577405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7675" cy="5774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71E5" w:rsidRDefault="000D59A3" w:rsidP="00572A1A">
                          <w:pPr>
                            <w:pStyle w:val="HeaderEven"/>
                          </w:pPr>
                          <w:r>
                            <w:fldChar w:fldCharType="begin"/>
                          </w:r>
                          <w:r>
                            <w:instrText xml:space="preserve"> TITLE   \* MERGEFORMAT </w:instrText>
                          </w:r>
                          <w:r>
                            <w:fldChar w:fldCharType="separate"/>
                          </w:r>
                          <w:r w:rsidR="00A571E5">
                            <w:t>Review of the financial system external dispute resolution framework</w:t>
                          </w:r>
                          <w:r>
                            <w:fldChar w:fldCharType="end"/>
                          </w:r>
                        </w:p>
                        <w:p w:rsidR="00A571E5" w:rsidRDefault="00A571E5" w:rsidP="00572A1A"/>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2.9pt;margin-top:31.95pt;width:35.25pt;height:454.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" filled="f" stroked="f" strokeweight=".5pt">
              <v:textbox style="layout-flow:vertical">
                <w:txbxContent>
                  <w:p w:rsidR="00A571E5" w:rsidRDefault="00A571E5" w:rsidP="00572A1A">
                    <w:pPr>
                      <w:pStyle w:val="HeaderEven"/>
                    </w:pPr>
                    <w:fldSimple w:instr=" TITLE   \* MERGEFORMAT ">
                      <w:r>
                        <w:t>Review of the financial system external dispute resolution framework</w:t>
                      </w:r>
                    </w:fldSimple>
                  </w:p>
                  <w:p w:rsidR="00A571E5" w:rsidRDefault="00A571E5" w:rsidP="00572A1A"/>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F45036" wp14:editId="3163A9E7">
              <wp:simplePos x="0" y="0"/>
              <wp:positionH relativeFrom="column">
                <wp:posOffset>-578485</wp:posOffset>
              </wp:positionH>
              <wp:positionV relativeFrom="paragraph">
                <wp:posOffset>412767</wp:posOffset>
              </wp:positionV>
              <wp:extent cx="447675" cy="577405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7675" cy="5774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71E5" w:rsidRDefault="00A571E5" w:rsidP="00572A1A">
                          <w:pPr>
                            <w:pStyle w:val="FooterEven"/>
                            <w:rPr>
                              <w:rStyle w:val="PageNumber"/>
                              <w:rFonts w:ascii="Century Gothic" w:hAnsi="Century Gothic"/>
                            </w:rPr>
                          </w:pPr>
                          <w:r w:rsidRPr="003E6DDA">
                            <w:rPr>
                              <w:rStyle w:val="PageNumber"/>
                              <w:rFonts w:ascii="Century Gothic" w:hAnsi="Century Gothic"/>
                            </w:rPr>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 MERGEFORMAT </w:instrText>
                          </w:r>
                          <w:r w:rsidRPr="003E6DDA">
                            <w:rPr>
                              <w:rStyle w:val="PageNumber"/>
                              <w:rFonts w:ascii="Century Gothic" w:hAnsi="Century Gothic"/>
                            </w:rPr>
                            <w:fldChar w:fldCharType="separate"/>
                          </w:r>
                          <w:r w:rsidR="000D59A3">
                            <w:rPr>
                              <w:rStyle w:val="PageNumber"/>
                              <w:rFonts w:ascii="Century Gothic" w:hAnsi="Century Gothic"/>
                              <w:noProof/>
                            </w:rPr>
                            <w:t>18</w:t>
                          </w:r>
                          <w:r w:rsidRPr="003E6DDA">
                            <w:rPr>
                              <w:rStyle w:val="PageNumber"/>
                              <w:rFonts w:ascii="Century Gothic" w:hAnsi="Century Gothic"/>
                            </w:rPr>
                            <w:fldChar w:fldCharType="end"/>
                          </w:r>
                        </w:p>
                        <w:p w:rsidR="00A571E5" w:rsidRDefault="00A571E5"/>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5.55pt;margin-top:32.5pt;width:35.25pt;height:4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" filled="f" stroked="f" strokeweight=".5pt">
              <v:textbox style="layout-flow:vertical">
                <w:txbxContent>
                  <w:p w:rsidR="00A571E5" w:rsidRDefault="00A571E5" w:rsidP="00572A1A">
                    <w:pPr>
                      <w:pStyle w:val="FooterEven"/>
                      <w:rPr>
                        <w:rStyle w:val="PageNumber"/>
                        <w:rFonts w:ascii="Century Gothic" w:hAnsi="Century Gothic"/>
                      </w:rPr>
                    </w:pPr>
                    <w:r w:rsidRPr="003E6DDA">
                      <w:rPr>
                        <w:rStyle w:val="PageNumber"/>
                        <w:rFonts w:ascii="Century Gothic" w:hAnsi="Century Gothic"/>
                      </w:rPr>
                      <w:t xml:space="preserve">Page </w:t>
                    </w:r>
                    <w:r w:rsidRPr="003E6DDA">
                      <w:rPr>
                        <w:rStyle w:val="PageNumber"/>
                        <w:rFonts w:ascii="Century Gothic" w:hAnsi="Century Gothic"/>
                      </w:rPr>
                      <w:fldChar w:fldCharType="begin"/>
                    </w:r>
                    <w:r w:rsidRPr="003E6DDA">
                      <w:rPr>
                        <w:rStyle w:val="PageNumber"/>
                        <w:rFonts w:ascii="Century Gothic" w:hAnsi="Century Gothic"/>
                      </w:rPr>
                      <w:instrText xml:space="preserve"> PAGE   \* MERGEFORMAT </w:instrText>
                    </w:r>
                    <w:r w:rsidRPr="003E6DDA">
                      <w:rPr>
                        <w:rStyle w:val="PageNumber"/>
                        <w:rFonts w:ascii="Century Gothic" w:hAnsi="Century Gothic"/>
                      </w:rPr>
                      <w:fldChar w:fldCharType="separate"/>
                    </w:r>
                    <w:r w:rsidR="000D59A3">
                      <w:rPr>
                        <w:rStyle w:val="PageNumber"/>
                        <w:rFonts w:ascii="Century Gothic" w:hAnsi="Century Gothic"/>
                        <w:noProof/>
                      </w:rPr>
                      <w:t>18</w:t>
                    </w:r>
                    <w:r w:rsidRPr="003E6DDA">
                      <w:rPr>
                        <w:rStyle w:val="PageNumber"/>
                        <w:rFonts w:ascii="Century Gothic" w:hAnsi="Century Gothic"/>
                      </w:rPr>
                      <w:fldChar w:fldCharType="end"/>
                    </w:r>
                  </w:p>
                  <w:p w:rsidR="00A571E5" w:rsidRDefault="00A571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86DAC"/>
    <w:lvl w:ilvl="0">
      <w:start w:val="1"/>
      <w:numFmt w:val="decimal"/>
      <w:lvlText w:val="%1."/>
      <w:lvlJc w:val="left"/>
      <w:pPr>
        <w:tabs>
          <w:tab w:val="num" w:pos="1492"/>
        </w:tabs>
        <w:ind w:left="1492" w:hanging="360"/>
      </w:pPr>
    </w:lvl>
  </w:abstractNum>
  <w:abstractNum w:abstractNumId="1">
    <w:nsid w:val="FFFFFF7D"/>
    <w:multiLevelType w:val="singleLevel"/>
    <w:tmpl w:val="F84C3C82"/>
    <w:lvl w:ilvl="0">
      <w:start w:val="1"/>
      <w:numFmt w:val="decimal"/>
      <w:lvlText w:val="%1."/>
      <w:lvlJc w:val="left"/>
      <w:pPr>
        <w:tabs>
          <w:tab w:val="num" w:pos="1209"/>
        </w:tabs>
        <w:ind w:left="1209" w:hanging="360"/>
      </w:pPr>
    </w:lvl>
  </w:abstractNum>
  <w:abstractNum w:abstractNumId="2">
    <w:nsid w:val="FFFFFF7E"/>
    <w:multiLevelType w:val="singleLevel"/>
    <w:tmpl w:val="BC382AB6"/>
    <w:lvl w:ilvl="0">
      <w:start w:val="1"/>
      <w:numFmt w:val="decimal"/>
      <w:lvlText w:val="%1."/>
      <w:lvlJc w:val="left"/>
      <w:pPr>
        <w:tabs>
          <w:tab w:val="num" w:pos="926"/>
        </w:tabs>
        <w:ind w:left="926" w:hanging="360"/>
      </w:pPr>
    </w:lvl>
  </w:abstractNum>
  <w:abstractNum w:abstractNumId="3">
    <w:nsid w:val="FFFFFF7F"/>
    <w:multiLevelType w:val="singleLevel"/>
    <w:tmpl w:val="155CF16E"/>
    <w:lvl w:ilvl="0">
      <w:start w:val="1"/>
      <w:numFmt w:val="decimal"/>
      <w:lvlText w:val="%1."/>
      <w:lvlJc w:val="left"/>
      <w:pPr>
        <w:tabs>
          <w:tab w:val="num" w:pos="643"/>
        </w:tabs>
        <w:ind w:left="643" w:hanging="360"/>
      </w:pPr>
    </w:lvl>
  </w:abstractNum>
  <w:abstractNum w:abstractNumId="4">
    <w:nsid w:val="FFFFFF80"/>
    <w:multiLevelType w:val="singleLevel"/>
    <w:tmpl w:val="3E56B4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8651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2CF2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044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96DDE4"/>
    <w:lvl w:ilvl="0">
      <w:start w:val="1"/>
      <w:numFmt w:val="decimal"/>
      <w:lvlText w:val="%1."/>
      <w:lvlJc w:val="left"/>
      <w:pPr>
        <w:tabs>
          <w:tab w:val="num" w:pos="360"/>
        </w:tabs>
        <w:ind w:left="360" w:hanging="360"/>
      </w:pPr>
    </w:lvl>
  </w:abstractNum>
  <w:abstractNum w:abstractNumId="9">
    <w:nsid w:val="FFFFFF89"/>
    <w:multiLevelType w:val="singleLevel"/>
    <w:tmpl w:val="CDA02E6E"/>
    <w:lvl w:ilvl="0">
      <w:start w:val="1"/>
      <w:numFmt w:val="bullet"/>
      <w:lvlText w:val=""/>
      <w:lvlJc w:val="left"/>
      <w:pPr>
        <w:tabs>
          <w:tab w:val="num" w:pos="360"/>
        </w:tabs>
        <w:ind w:left="360" w:hanging="360"/>
      </w:pPr>
      <w:rPr>
        <w:rFonts w:ascii="Symbol" w:hAnsi="Symbol" w:hint="default"/>
      </w:rPr>
    </w:lvl>
  </w:abstractNum>
  <w:abstractNum w:abstractNumId="10">
    <w:nsid w:val="030041B1"/>
    <w:multiLevelType w:val="multilevel"/>
    <w:tmpl w:val="A3D6F394"/>
    <w:styleLink w:val="Optionboxheading"/>
    <w:lvl w:ilvl="0">
      <w:start w:val="1"/>
      <w:numFmt w:val="decimal"/>
      <w:pStyle w:val="BoxNumberedQuestions"/>
      <w:lvlText w:val="%1."/>
      <w:lvlJc w:val="left"/>
      <w:pPr>
        <w:tabs>
          <w:tab w:val="num" w:pos="567"/>
        </w:tabs>
        <w:ind w:left="567" w:hanging="567"/>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392C42"/>
    <w:multiLevelType w:val="hybridMultilevel"/>
    <w:tmpl w:val="8CC26D86"/>
    <w:lvl w:ilvl="0" w:tplc="2B3AC574">
      <w:start w:val="1"/>
      <w:numFmt w:val="bullet"/>
      <w:pStyle w:val="TableTextLeft-Bullet"/>
      <w:lvlText w:val="•"/>
      <w:lvlJc w:val="left"/>
      <w:pPr>
        <w:tabs>
          <w:tab w:val="num" w:pos="284"/>
        </w:tabs>
        <w:ind w:left="284" w:hanging="284"/>
      </w:pPr>
      <w:rPr>
        <w:rFonts w:ascii="Times New Roman" w:hAnsi="Times New Roman" w:cs="Times New Roman" w:hint="default"/>
        <w:b/>
        <w:i w:val="0"/>
        <w:color w:val="1F497D" w:themeColor="text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200BEE"/>
    <w:multiLevelType w:val="multilevel"/>
    <w:tmpl w:val="7B48F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D0F269D"/>
    <w:multiLevelType w:val="hybridMultilevel"/>
    <w:tmpl w:val="2962E164"/>
    <w:lvl w:ilvl="0" w:tplc="6E72759A">
      <w:start w:val="1"/>
      <w:numFmt w:val="decimal"/>
      <w:pStyle w:val="OutlineNumbered-Chapter1"/>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C960FD"/>
    <w:multiLevelType w:val="multilevel"/>
    <w:tmpl w:val="1AE29E1C"/>
    <w:lvl w:ilvl="0">
      <w:start w:val="1"/>
      <w:numFmt w:val="decimal"/>
      <w:lvlRestart w:val="0"/>
      <w:pStyle w:val="OneLevelNumberedParagraph"/>
      <w:lvlText w:val="%1."/>
      <w:lvlJc w:val="left"/>
      <w:pPr>
        <w:tabs>
          <w:tab w:val="num" w:pos="1134"/>
        </w:tabs>
        <w:ind w:left="1134" w:hanging="567"/>
      </w:pPr>
      <w:rPr>
        <w:rFonts w:ascii="Book Antiqua" w:hAnsi="Book Antiqua" w:cs="Times New Roman" w:hint="default"/>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5">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4725C4D"/>
    <w:multiLevelType w:val="hybridMultilevel"/>
    <w:tmpl w:val="8B7C8130"/>
    <w:lvl w:ilvl="0" w:tplc="85987822">
      <w:start w:val="1"/>
      <w:numFmt w:val="bullet"/>
      <w:pStyle w:val="BoxBullet-NoIndent"/>
      <w:lvlText w:val="•"/>
      <w:lvlJc w:val="left"/>
      <w:pPr>
        <w:ind w:left="720" w:hanging="360"/>
      </w:pPr>
      <w:rPr>
        <w:rFonts w:ascii="Century Gothic" w:hAnsi="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7440C8B"/>
    <w:multiLevelType w:val="multilevel"/>
    <w:tmpl w:val="B074FF40"/>
    <w:lvl w:ilvl="0">
      <w:start w:val="1"/>
      <w:numFmt w:val="decimal"/>
      <w:lvlText w:val="%1."/>
      <w:lvlJc w:val="left"/>
      <w:pPr>
        <w:tabs>
          <w:tab w:val="num" w:pos="520"/>
        </w:tabs>
        <w:ind w:left="520" w:hanging="520"/>
      </w:pPr>
      <w:rPr>
        <w:rFonts w:hint="default"/>
        <w:b w:val="0"/>
        <w:i w:val="0"/>
        <w:color w:val="1F497D" w:themeColor="text2"/>
      </w:rPr>
    </w:lvl>
    <w:lvl w:ilvl="1">
      <w:start w:val="1"/>
      <w:numFmt w:val="bullet"/>
      <w:pStyle w:val="Dash"/>
      <w:lvlText w:val="–"/>
      <w:lvlJc w:val="left"/>
      <w:pPr>
        <w:tabs>
          <w:tab w:val="num" w:pos="1040"/>
        </w:tabs>
        <w:ind w:left="1040" w:hanging="520"/>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2007"/>
        </w:tabs>
        <w:ind w:left="2007" w:hanging="360"/>
      </w:pPr>
      <w:rPr>
        <w:rFonts w:hint="default"/>
        <w:b w:val="0"/>
        <w:i w:val="0"/>
      </w:rPr>
    </w:lvl>
    <w:lvl w:ilvl="4">
      <w:start w:val="1"/>
      <w:numFmt w:val="lowerLetter"/>
      <w:lvlText w:val="(%5)"/>
      <w:lvlJc w:val="left"/>
      <w:pPr>
        <w:tabs>
          <w:tab w:val="num" w:pos="2367"/>
        </w:tabs>
        <w:ind w:left="2367" w:hanging="360"/>
      </w:pPr>
      <w:rPr>
        <w:rFonts w:hint="default"/>
        <w:b w:val="0"/>
        <w:i w:val="0"/>
      </w:rPr>
    </w:lvl>
    <w:lvl w:ilvl="5">
      <w:start w:val="1"/>
      <w:numFmt w:val="lowerRoman"/>
      <w:lvlText w:val="(%6)"/>
      <w:lvlJc w:val="left"/>
      <w:pPr>
        <w:tabs>
          <w:tab w:val="num" w:pos="2727"/>
        </w:tabs>
        <w:ind w:left="2727" w:hanging="360"/>
      </w:pPr>
      <w:rPr>
        <w:rFonts w:hint="default"/>
        <w:b w:val="0"/>
        <w:i w:val="0"/>
      </w:rPr>
    </w:lvl>
    <w:lvl w:ilvl="6">
      <w:start w:val="1"/>
      <w:numFmt w:val="decimal"/>
      <w:lvlText w:val="%7."/>
      <w:lvlJc w:val="left"/>
      <w:pPr>
        <w:tabs>
          <w:tab w:val="num" w:pos="3087"/>
        </w:tabs>
        <w:ind w:left="3087" w:hanging="360"/>
      </w:pPr>
      <w:rPr>
        <w:rFonts w:hint="default"/>
        <w:b w:val="0"/>
        <w:i w:val="0"/>
      </w:rPr>
    </w:lvl>
    <w:lvl w:ilvl="7">
      <w:start w:val="1"/>
      <w:numFmt w:val="lowerLetter"/>
      <w:lvlText w:val="%8."/>
      <w:lvlJc w:val="left"/>
      <w:pPr>
        <w:tabs>
          <w:tab w:val="num" w:pos="3447"/>
        </w:tabs>
        <w:ind w:left="3447" w:hanging="360"/>
      </w:pPr>
      <w:rPr>
        <w:rFonts w:hint="default"/>
        <w:b w:val="0"/>
        <w:i w:val="0"/>
      </w:rPr>
    </w:lvl>
    <w:lvl w:ilvl="8">
      <w:start w:val="1"/>
      <w:numFmt w:val="lowerRoman"/>
      <w:lvlText w:val="%9."/>
      <w:lvlJc w:val="left"/>
      <w:pPr>
        <w:tabs>
          <w:tab w:val="num" w:pos="3807"/>
        </w:tabs>
        <w:ind w:left="3807" w:hanging="360"/>
      </w:pPr>
      <w:rPr>
        <w:rFonts w:hint="default"/>
        <w:b w:val="0"/>
        <w:i w:val="0"/>
      </w:rPr>
    </w:lvl>
  </w:abstractNum>
  <w:abstractNum w:abstractNumId="19">
    <w:nsid w:val="2D665DFA"/>
    <w:multiLevelType w:val="singleLevel"/>
    <w:tmpl w:val="FEEE7572"/>
    <w:name w:val="OneLevelAlphaParagraphList"/>
    <w:lvl w:ilvl="0">
      <w:start w:val="1"/>
      <w:numFmt w:val="lowerLetter"/>
      <w:lvlRestart w:val="0"/>
      <w:pStyle w:val="AlphaParagraph"/>
      <w:lvlText w:val="(%1)"/>
      <w:lvlJc w:val="left"/>
      <w:pPr>
        <w:tabs>
          <w:tab w:val="num" w:pos="1134"/>
        </w:tabs>
        <w:ind w:left="1134" w:hanging="567"/>
      </w:pPr>
      <w:rPr>
        <w:rFonts w:ascii="Book Antiqua" w:hAnsi="Book Antiqua" w:hint="default"/>
        <w:b w:val="0"/>
        <w:i w:val="0"/>
        <w:sz w:val="20"/>
      </w:rPr>
    </w:lvl>
  </w:abstractNum>
  <w:abstractNum w:abstractNumId="20">
    <w:nsid w:val="2DF54350"/>
    <w:multiLevelType w:val="multilevel"/>
    <w:tmpl w:val="E54E84E6"/>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701"/>
        </w:tabs>
        <w:ind w:left="1701"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3">
    <w:nsid w:val="57646E8B"/>
    <w:multiLevelType w:val="hybridMultilevel"/>
    <w:tmpl w:val="549EA036"/>
    <w:lvl w:ilvl="0" w:tplc="D5769B5C">
      <w:start w:val="1"/>
      <w:numFmt w:val="decimal"/>
      <w:pStyle w:val="OutlineNumbered-Chapter4"/>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8101827"/>
    <w:multiLevelType w:val="multilevel"/>
    <w:tmpl w:val="EFAC5712"/>
    <w:name w:val="BoxBulletedList"/>
    <w:lvl w:ilvl="0">
      <w:start w:val="1"/>
      <w:numFmt w:val="bullet"/>
      <w:pStyle w:val="BoxBullet"/>
      <w:lvlText w:val="•"/>
      <w:lvlJc w:val="left"/>
      <w:pPr>
        <w:tabs>
          <w:tab w:val="num" w:pos="992"/>
        </w:tabs>
        <w:ind w:left="992" w:hanging="425"/>
      </w:pPr>
      <w:rPr>
        <w:rFonts w:ascii="Times New Roman" w:hAnsi="Times New Roman" w:cs="Times New Roman" w:hint="default"/>
        <w:b w:val="0"/>
        <w:i w:val="0"/>
        <w:color w:val="000000" w:themeColor="text1"/>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60DF187C"/>
    <w:multiLevelType w:val="multilevel"/>
    <w:tmpl w:val="611CF212"/>
    <w:lvl w:ilvl="0">
      <w:start w:val="1"/>
      <w:numFmt w:val="decimal"/>
      <w:lvlRestart w:val="0"/>
      <w:pStyle w:val="OutlineNumbered1"/>
      <w:lvlText w:val="%1."/>
      <w:lvlJc w:val="left"/>
      <w:pPr>
        <w:tabs>
          <w:tab w:val="num" w:pos="851"/>
        </w:tabs>
        <w:ind w:left="851" w:hanging="567"/>
      </w:pPr>
      <w:rPr>
        <w:rFonts w:hint="default"/>
        <w:b w:val="0"/>
        <w:i w:val="0"/>
      </w:rPr>
    </w:lvl>
    <w:lvl w:ilvl="1">
      <w:start w:val="1"/>
      <w:numFmt w:val="decimal"/>
      <w:pStyle w:val="OutlineNumbered2"/>
      <w:lvlText w:val="%1.%2."/>
      <w:lvlJc w:val="left"/>
      <w:pPr>
        <w:tabs>
          <w:tab w:val="num" w:pos="1418"/>
        </w:tabs>
        <w:ind w:left="1418" w:hanging="567"/>
      </w:pPr>
      <w:rPr>
        <w:rFonts w:hint="default"/>
        <w:b w:val="0"/>
        <w:i w:val="0"/>
      </w:rPr>
    </w:lvl>
    <w:lvl w:ilvl="2">
      <w:start w:val="1"/>
      <w:numFmt w:val="decimal"/>
      <w:pStyle w:val="OutlineNumbered3"/>
      <w:lvlText w:val="%1.%2.%3."/>
      <w:lvlJc w:val="left"/>
      <w:pPr>
        <w:tabs>
          <w:tab w:val="num" w:pos="1701"/>
        </w:tabs>
        <w:ind w:left="1701" w:hanging="850"/>
      </w:pPr>
      <w:rPr>
        <w:rFonts w:hint="default"/>
        <w:b w:val="0"/>
        <w:i w:val="0"/>
      </w:rPr>
    </w:lvl>
    <w:lvl w:ilvl="3">
      <w:start w:val="1"/>
      <w:numFmt w:val="decimal"/>
      <w:lvlText w:val="(%4)"/>
      <w:lvlJc w:val="left"/>
      <w:pPr>
        <w:tabs>
          <w:tab w:val="num" w:pos="1157"/>
        </w:tabs>
        <w:ind w:left="1157" w:hanging="360"/>
      </w:pPr>
      <w:rPr>
        <w:rFonts w:hint="default"/>
        <w:b w:val="0"/>
        <w:i w:val="0"/>
      </w:rPr>
    </w:lvl>
    <w:lvl w:ilvl="4">
      <w:start w:val="1"/>
      <w:numFmt w:val="lowerLetter"/>
      <w:lvlText w:val="(%5)"/>
      <w:lvlJc w:val="left"/>
      <w:pPr>
        <w:tabs>
          <w:tab w:val="num" w:pos="1517"/>
        </w:tabs>
        <w:ind w:left="1517" w:hanging="360"/>
      </w:pPr>
      <w:rPr>
        <w:rFonts w:hint="default"/>
        <w:b w:val="0"/>
        <w:i w:val="0"/>
      </w:rPr>
    </w:lvl>
    <w:lvl w:ilvl="5">
      <w:start w:val="1"/>
      <w:numFmt w:val="lowerRoman"/>
      <w:lvlText w:val="(%6)"/>
      <w:lvlJc w:val="left"/>
      <w:pPr>
        <w:tabs>
          <w:tab w:val="num" w:pos="1877"/>
        </w:tabs>
        <w:ind w:left="1877" w:hanging="360"/>
      </w:pPr>
      <w:rPr>
        <w:rFonts w:hint="default"/>
        <w:b w:val="0"/>
        <w:i w:val="0"/>
      </w:rPr>
    </w:lvl>
    <w:lvl w:ilvl="6">
      <w:start w:val="1"/>
      <w:numFmt w:val="decimal"/>
      <w:lvlText w:val="%7."/>
      <w:lvlJc w:val="left"/>
      <w:pPr>
        <w:tabs>
          <w:tab w:val="num" w:pos="2237"/>
        </w:tabs>
        <w:ind w:left="2237" w:hanging="360"/>
      </w:pPr>
      <w:rPr>
        <w:rFonts w:hint="default"/>
        <w:b w:val="0"/>
        <w:i w:val="0"/>
      </w:rPr>
    </w:lvl>
    <w:lvl w:ilvl="7">
      <w:start w:val="1"/>
      <w:numFmt w:val="lowerLetter"/>
      <w:lvlText w:val="%8."/>
      <w:lvlJc w:val="left"/>
      <w:pPr>
        <w:tabs>
          <w:tab w:val="num" w:pos="2597"/>
        </w:tabs>
        <w:ind w:left="2597" w:hanging="360"/>
      </w:pPr>
      <w:rPr>
        <w:rFonts w:hint="default"/>
        <w:b w:val="0"/>
        <w:i w:val="0"/>
      </w:rPr>
    </w:lvl>
    <w:lvl w:ilvl="8">
      <w:start w:val="1"/>
      <w:numFmt w:val="lowerRoman"/>
      <w:lvlText w:val="%9."/>
      <w:lvlJc w:val="left"/>
      <w:pPr>
        <w:tabs>
          <w:tab w:val="num" w:pos="2957"/>
        </w:tabs>
        <w:ind w:left="2957" w:hanging="360"/>
      </w:pPr>
      <w:rPr>
        <w:rFonts w:hint="default"/>
        <w:b w:val="0"/>
        <w:i w:val="0"/>
      </w:rPr>
    </w:lvl>
  </w:abstractNum>
  <w:abstractNum w:abstractNumId="27">
    <w:nsid w:val="63E8776E"/>
    <w:multiLevelType w:val="hybridMultilevel"/>
    <w:tmpl w:val="E9284AB8"/>
    <w:lvl w:ilvl="0" w:tplc="09DC9538">
      <w:start w:val="1"/>
      <w:numFmt w:val="decimal"/>
      <w:pStyle w:val="OutlineNumbered-Chapter5"/>
      <w:lvlText w:val="5.%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F392A83"/>
    <w:multiLevelType w:val="multilevel"/>
    <w:tmpl w:val="6B0AC4F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AE74321"/>
    <w:multiLevelType w:val="multilevel"/>
    <w:tmpl w:val="89F4ED08"/>
    <w:lvl w:ilvl="0">
      <w:start w:val="1"/>
      <w:numFmt w:val="bullet"/>
      <w:pStyle w:val="Bullet"/>
      <w:lvlText w:val=""/>
      <w:lvlJc w:val="left"/>
      <w:pPr>
        <w:tabs>
          <w:tab w:val="num" w:pos="1287"/>
        </w:tabs>
        <w:ind w:left="1287" w:hanging="567"/>
      </w:pPr>
      <w:rPr>
        <w:rFonts w:ascii="Wingdings" w:hAnsi="Wingdings" w:hint="default"/>
        <w:b w:val="0"/>
        <w:i w:val="0"/>
      </w:rPr>
    </w:lvl>
    <w:lvl w:ilvl="1">
      <w:start w:val="1"/>
      <w:numFmt w:val="bullet"/>
      <w:lvlText w:val="–"/>
      <w:lvlJc w:val="left"/>
      <w:pPr>
        <w:tabs>
          <w:tab w:val="num" w:pos="1193"/>
        </w:tabs>
        <w:ind w:left="1193" w:hanging="520"/>
      </w:pPr>
      <w:rPr>
        <w:rFonts w:ascii="Times New Roman" w:hAnsi="Times New Roman" w:cs="Times New Roman" w:hint="default"/>
        <w:b w:val="0"/>
        <w:i w:val="0"/>
      </w:rPr>
    </w:lvl>
    <w:lvl w:ilvl="2">
      <w:start w:val="1"/>
      <w:numFmt w:val="bullet"/>
      <w:lvlText w:val=":"/>
      <w:lvlJc w:val="left"/>
      <w:pPr>
        <w:tabs>
          <w:tab w:val="num" w:pos="1713"/>
        </w:tabs>
        <w:ind w:left="1713" w:hanging="520"/>
      </w:pPr>
      <w:rPr>
        <w:rFonts w:ascii="Times New Roman" w:hAnsi="Times New Roman" w:cs="Times New Roman" w:hint="default"/>
        <w:b w:val="0"/>
        <w:i w:val="0"/>
      </w:rPr>
    </w:lvl>
    <w:lvl w:ilvl="3">
      <w:start w:val="1"/>
      <w:numFmt w:val="decimal"/>
      <w:lvlText w:val="(%4)"/>
      <w:lvlJc w:val="left"/>
      <w:pPr>
        <w:tabs>
          <w:tab w:val="num" w:pos="2160"/>
        </w:tabs>
        <w:ind w:left="2160" w:hanging="360"/>
      </w:pPr>
      <w:rPr>
        <w:rFonts w:hint="default"/>
        <w:b w:val="0"/>
        <w:i w:val="0"/>
      </w:rPr>
    </w:lvl>
    <w:lvl w:ilvl="4">
      <w:start w:val="1"/>
      <w:numFmt w:val="lowerLetter"/>
      <w:lvlText w:val="(%5)"/>
      <w:lvlJc w:val="left"/>
      <w:pPr>
        <w:tabs>
          <w:tab w:val="num" w:pos="2520"/>
        </w:tabs>
        <w:ind w:left="2520" w:hanging="360"/>
      </w:pPr>
      <w:rPr>
        <w:rFonts w:hint="default"/>
        <w:b w:val="0"/>
        <w:i w:val="0"/>
      </w:rPr>
    </w:lvl>
    <w:lvl w:ilvl="5">
      <w:start w:val="1"/>
      <w:numFmt w:val="lowerRoman"/>
      <w:lvlText w:val="(%6)"/>
      <w:lvlJc w:val="left"/>
      <w:pPr>
        <w:tabs>
          <w:tab w:val="num" w:pos="2880"/>
        </w:tabs>
        <w:ind w:left="2880" w:hanging="360"/>
      </w:pPr>
      <w:rPr>
        <w:rFonts w:hint="default"/>
        <w:b w:val="0"/>
        <w:i w:val="0"/>
      </w:rPr>
    </w:lvl>
    <w:lvl w:ilvl="6">
      <w:start w:val="1"/>
      <w:numFmt w:val="decimal"/>
      <w:lvlText w:val="%7."/>
      <w:lvlJc w:val="left"/>
      <w:pPr>
        <w:tabs>
          <w:tab w:val="num" w:pos="3240"/>
        </w:tabs>
        <w:ind w:left="3240" w:hanging="360"/>
      </w:pPr>
      <w:rPr>
        <w:rFonts w:hint="default"/>
        <w:b w:val="0"/>
        <w:i w:val="0"/>
      </w:rPr>
    </w:lvl>
    <w:lvl w:ilvl="7">
      <w:start w:val="1"/>
      <w:numFmt w:val="lowerLetter"/>
      <w:lvlText w:val="%8."/>
      <w:lvlJc w:val="left"/>
      <w:pPr>
        <w:tabs>
          <w:tab w:val="num" w:pos="3600"/>
        </w:tabs>
        <w:ind w:left="3600" w:hanging="360"/>
      </w:pPr>
      <w:rPr>
        <w:rFonts w:hint="default"/>
        <w:b w:val="0"/>
        <w:i w:val="0"/>
      </w:rPr>
    </w:lvl>
    <w:lvl w:ilvl="8">
      <w:start w:val="1"/>
      <w:numFmt w:val="lowerRoman"/>
      <w:lvlText w:val="%9."/>
      <w:lvlJc w:val="left"/>
      <w:pPr>
        <w:tabs>
          <w:tab w:val="num" w:pos="3960"/>
        </w:tabs>
        <w:ind w:left="3960" w:hanging="360"/>
      </w:pPr>
      <w:rPr>
        <w:rFonts w:hint="default"/>
        <w:b w:val="0"/>
        <w:i w:val="0"/>
      </w:rPr>
    </w:lvl>
  </w:abstractNum>
  <w:abstractNum w:abstractNumId="30">
    <w:nsid w:val="7DA75142"/>
    <w:multiLevelType w:val="multilevel"/>
    <w:tmpl w:val="E3E67812"/>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2"/>
  </w:num>
  <w:num w:numId="3">
    <w:abstractNumId w:val="24"/>
  </w:num>
  <w:num w:numId="4">
    <w:abstractNumId w:val="14"/>
  </w:num>
  <w:num w:numId="5">
    <w:abstractNumId w:val="15"/>
  </w:num>
  <w:num w:numId="6">
    <w:abstractNumId w:val="17"/>
  </w:num>
  <w:num w:numId="7">
    <w:abstractNumId w:val="20"/>
  </w:num>
  <w:num w:numId="8">
    <w:abstractNumId w:val="18"/>
  </w:num>
  <w:num w:numId="9">
    <w:abstractNumId w:val="10"/>
  </w:num>
  <w:num w:numId="10">
    <w:abstractNumId w:val="29"/>
  </w:num>
  <w:num w:numId="11">
    <w:abstractNumId w:val="11"/>
  </w:num>
  <w:num w:numId="12">
    <w:abstractNumId w:val="23"/>
  </w:num>
  <w:num w:numId="13">
    <w:abstractNumId w:val="27"/>
  </w:num>
  <w:num w:numId="14">
    <w:abstractNumId w:val="26"/>
  </w:num>
  <w:num w:numId="15">
    <w:abstractNumId w:val="13"/>
  </w:num>
  <w:num w:numId="16">
    <w:abstractNumId w:val="1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num>
  <w:num w:numId="37">
    <w:abstractNumId w:val="16"/>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18"/>
  </w:num>
  <w:num w:numId="49">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 Abramson">
    <w15:presenceInfo w15:providerId="Windows Live" w15:userId="0e7aa9ccd8a5d70d"/>
  </w15:person>
  <w15:person w15:author="Adrian Lovney">
    <w15:presenceInfo w15:providerId="Windows Live" w15:userId="d5a4f09316d277ce"/>
  </w15:person>
  <w15:person w15:author="Ian Ramsay">
    <w15:presenceInfo w15:providerId="AD" w15:userId="S-1-5-21-2078795561-4233005657-3261906462-14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142D17"/>
    <w:rsid w:val="0000060D"/>
    <w:rsid w:val="00000A84"/>
    <w:rsid w:val="00000F14"/>
    <w:rsid w:val="000010FA"/>
    <w:rsid w:val="0000142A"/>
    <w:rsid w:val="00001711"/>
    <w:rsid w:val="0000179F"/>
    <w:rsid w:val="00001AB1"/>
    <w:rsid w:val="00001DFB"/>
    <w:rsid w:val="00002143"/>
    <w:rsid w:val="0000290B"/>
    <w:rsid w:val="00002C03"/>
    <w:rsid w:val="00002EDE"/>
    <w:rsid w:val="000033D9"/>
    <w:rsid w:val="00003938"/>
    <w:rsid w:val="00003979"/>
    <w:rsid w:val="0000426B"/>
    <w:rsid w:val="00004B16"/>
    <w:rsid w:val="0000516B"/>
    <w:rsid w:val="00005707"/>
    <w:rsid w:val="00005A34"/>
    <w:rsid w:val="0000629C"/>
    <w:rsid w:val="0000695C"/>
    <w:rsid w:val="0000703E"/>
    <w:rsid w:val="000073D0"/>
    <w:rsid w:val="000074EB"/>
    <w:rsid w:val="00007D89"/>
    <w:rsid w:val="0001040A"/>
    <w:rsid w:val="00010600"/>
    <w:rsid w:val="000118CF"/>
    <w:rsid w:val="00011983"/>
    <w:rsid w:val="00011AF6"/>
    <w:rsid w:val="00011F3D"/>
    <w:rsid w:val="0001249E"/>
    <w:rsid w:val="000125A8"/>
    <w:rsid w:val="00012651"/>
    <w:rsid w:val="00013038"/>
    <w:rsid w:val="00013485"/>
    <w:rsid w:val="000135C3"/>
    <w:rsid w:val="00013756"/>
    <w:rsid w:val="00013DEF"/>
    <w:rsid w:val="00014978"/>
    <w:rsid w:val="000152B6"/>
    <w:rsid w:val="00015725"/>
    <w:rsid w:val="00015732"/>
    <w:rsid w:val="000158BB"/>
    <w:rsid w:val="00015E86"/>
    <w:rsid w:val="000160C7"/>
    <w:rsid w:val="00016A1C"/>
    <w:rsid w:val="000172E8"/>
    <w:rsid w:val="000200D8"/>
    <w:rsid w:val="00021ACF"/>
    <w:rsid w:val="00021CCB"/>
    <w:rsid w:val="00022444"/>
    <w:rsid w:val="00022BDA"/>
    <w:rsid w:val="00023039"/>
    <w:rsid w:val="0002325F"/>
    <w:rsid w:val="00023724"/>
    <w:rsid w:val="000240E5"/>
    <w:rsid w:val="000248F0"/>
    <w:rsid w:val="00025385"/>
    <w:rsid w:val="0002597C"/>
    <w:rsid w:val="00025A8F"/>
    <w:rsid w:val="00025AEB"/>
    <w:rsid w:val="00025BD2"/>
    <w:rsid w:val="00025FE1"/>
    <w:rsid w:val="00026120"/>
    <w:rsid w:val="00026617"/>
    <w:rsid w:val="00026A5B"/>
    <w:rsid w:val="00026FFC"/>
    <w:rsid w:val="00027781"/>
    <w:rsid w:val="0002792D"/>
    <w:rsid w:val="00027CBD"/>
    <w:rsid w:val="00030867"/>
    <w:rsid w:val="00030926"/>
    <w:rsid w:val="00030DE6"/>
    <w:rsid w:val="0003121D"/>
    <w:rsid w:val="0003130C"/>
    <w:rsid w:val="0003198D"/>
    <w:rsid w:val="00031A1F"/>
    <w:rsid w:val="00031CAA"/>
    <w:rsid w:val="0003275A"/>
    <w:rsid w:val="000334A5"/>
    <w:rsid w:val="000339DF"/>
    <w:rsid w:val="00034078"/>
    <w:rsid w:val="00034910"/>
    <w:rsid w:val="00034CE7"/>
    <w:rsid w:val="00034DB5"/>
    <w:rsid w:val="00035A98"/>
    <w:rsid w:val="00036517"/>
    <w:rsid w:val="00036518"/>
    <w:rsid w:val="00036E4C"/>
    <w:rsid w:val="0004089F"/>
    <w:rsid w:val="000409F9"/>
    <w:rsid w:val="00040B22"/>
    <w:rsid w:val="00041242"/>
    <w:rsid w:val="00041449"/>
    <w:rsid w:val="00041495"/>
    <w:rsid w:val="00041AE7"/>
    <w:rsid w:val="00041C38"/>
    <w:rsid w:val="000423C3"/>
    <w:rsid w:val="00042799"/>
    <w:rsid w:val="000430B0"/>
    <w:rsid w:val="000430E3"/>
    <w:rsid w:val="00043583"/>
    <w:rsid w:val="000435AA"/>
    <w:rsid w:val="00043ADA"/>
    <w:rsid w:val="000440BA"/>
    <w:rsid w:val="000445AD"/>
    <w:rsid w:val="00044A55"/>
    <w:rsid w:val="00044B19"/>
    <w:rsid w:val="00044D92"/>
    <w:rsid w:val="00045087"/>
    <w:rsid w:val="0004573C"/>
    <w:rsid w:val="00046180"/>
    <w:rsid w:val="0004623E"/>
    <w:rsid w:val="00046581"/>
    <w:rsid w:val="00046B40"/>
    <w:rsid w:val="00046FFD"/>
    <w:rsid w:val="00047669"/>
    <w:rsid w:val="00047913"/>
    <w:rsid w:val="000479F5"/>
    <w:rsid w:val="00047CAF"/>
    <w:rsid w:val="00047D65"/>
    <w:rsid w:val="00047E21"/>
    <w:rsid w:val="00047E62"/>
    <w:rsid w:val="00050591"/>
    <w:rsid w:val="000507CB"/>
    <w:rsid w:val="000516CF"/>
    <w:rsid w:val="00051780"/>
    <w:rsid w:val="000519A4"/>
    <w:rsid w:val="00051A41"/>
    <w:rsid w:val="00052286"/>
    <w:rsid w:val="00052326"/>
    <w:rsid w:val="00052550"/>
    <w:rsid w:val="00052B5A"/>
    <w:rsid w:val="00052BC4"/>
    <w:rsid w:val="00052C5E"/>
    <w:rsid w:val="00053384"/>
    <w:rsid w:val="0005351A"/>
    <w:rsid w:val="00053AA4"/>
    <w:rsid w:val="00054CCB"/>
    <w:rsid w:val="00055CCC"/>
    <w:rsid w:val="0005636F"/>
    <w:rsid w:val="00056A43"/>
    <w:rsid w:val="00056AAC"/>
    <w:rsid w:val="00060173"/>
    <w:rsid w:val="000601D7"/>
    <w:rsid w:val="000604E9"/>
    <w:rsid w:val="00060780"/>
    <w:rsid w:val="00060AF6"/>
    <w:rsid w:val="00060B56"/>
    <w:rsid w:val="00061516"/>
    <w:rsid w:val="00061956"/>
    <w:rsid w:val="00061EE9"/>
    <w:rsid w:val="00061FB6"/>
    <w:rsid w:val="0006244C"/>
    <w:rsid w:val="00062B84"/>
    <w:rsid w:val="00062BA9"/>
    <w:rsid w:val="00063525"/>
    <w:rsid w:val="000636E0"/>
    <w:rsid w:val="00063E1A"/>
    <w:rsid w:val="0006457F"/>
    <w:rsid w:val="0006513A"/>
    <w:rsid w:val="000651EA"/>
    <w:rsid w:val="000654CE"/>
    <w:rsid w:val="00065BFF"/>
    <w:rsid w:val="00065EEB"/>
    <w:rsid w:val="00066246"/>
    <w:rsid w:val="000664B4"/>
    <w:rsid w:val="00067073"/>
    <w:rsid w:val="00067449"/>
    <w:rsid w:val="0006784F"/>
    <w:rsid w:val="00067B66"/>
    <w:rsid w:val="00067C93"/>
    <w:rsid w:val="00067CC0"/>
    <w:rsid w:val="0007064D"/>
    <w:rsid w:val="00070853"/>
    <w:rsid w:val="00070885"/>
    <w:rsid w:val="000711BF"/>
    <w:rsid w:val="00071865"/>
    <w:rsid w:val="0007189F"/>
    <w:rsid w:val="0007193A"/>
    <w:rsid w:val="00071C48"/>
    <w:rsid w:val="00072E74"/>
    <w:rsid w:val="00072FBC"/>
    <w:rsid w:val="000736C3"/>
    <w:rsid w:val="00073E73"/>
    <w:rsid w:val="0007425B"/>
    <w:rsid w:val="00074843"/>
    <w:rsid w:val="0007510C"/>
    <w:rsid w:val="00075EF0"/>
    <w:rsid w:val="00076684"/>
    <w:rsid w:val="000767A8"/>
    <w:rsid w:val="000769D1"/>
    <w:rsid w:val="000770B8"/>
    <w:rsid w:val="000774C7"/>
    <w:rsid w:val="000774DD"/>
    <w:rsid w:val="00077E8E"/>
    <w:rsid w:val="00080011"/>
    <w:rsid w:val="00080039"/>
    <w:rsid w:val="00080D6D"/>
    <w:rsid w:val="000817C3"/>
    <w:rsid w:val="00081BAD"/>
    <w:rsid w:val="00081F61"/>
    <w:rsid w:val="00081FAB"/>
    <w:rsid w:val="000825A8"/>
    <w:rsid w:val="00082A13"/>
    <w:rsid w:val="000832C0"/>
    <w:rsid w:val="000834F9"/>
    <w:rsid w:val="00083C71"/>
    <w:rsid w:val="00083C95"/>
    <w:rsid w:val="0008462E"/>
    <w:rsid w:val="00085334"/>
    <w:rsid w:val="00085D71"/>
    <w:rsid w:val="00086091"/>
    <w:rsid w:val="000861E5"/>
    <w:rsid w:val="000865B6"/>
    <w:rsid w:val="00087060"/>
    <w:rsid w:val="00087169"/>
    <w:rsid w:val="00087179"/>
    <w:rsid w:val="00090099"/>
    <w:rsid w:val="0009054C"/>
    <w:rsid w:val="00090573"/>
    <w:rsid w:val="0009065E"/>
    <w:rsid w:val="00090D7E"/>
    <w:rsid w:val="0009112C"/>
    <w:rsid w:val="00091597"/>
    <w:rsid w:val="00091CB0"/>
    <w:rsid w:val="00092192"/>
    <w:rsid w:val="00092BFC"/>
    <w:rsid w:val="00092DCF"/>
    <w:rsid w:val="00092DE5"/>
    <w:rsid w:val="000930F1"/>
    <w:rsid w:val="0009372F"/>
    <w:rsid w:val="00093DA0"/>
    <w:rsid w:val="00094163"/>
    <w:rsid w:val="000942AA"/>
    <w:rsid w:val="000945B1"/>
    <w:rsid w:val="000948E7"/>
    <w:rsid w:val="00094FBD"/>
    <w:rsid w:val="00096161"/>
    <w:rsid w:val="000961F5"/>
    <w:rsid w:val="000965E4"/>
    <w:rsid w:val="00096850"/>
    <w:rsid w:val="0009695D"/>
    <w:rsid w:val="00096A6A"/>
    <w:rsid w:val="00096DB1"/>
    <w:rsid w:val="000975C6"/>
    <w:rsid w:val="00097A17"/>
    <w:rsid w:val="000A015B"/>
    <w:rsid w:val="000A1CA8"/>
    <w:rsid w:val="000A210F"/>
    <w:rsid w:val="000A2625"/>
    <w:rsid w:val="000A2A83"/>
    <w:rsid w:val="000A33D6"/>
    <w:rsid w:val="000A37A9"/>
    <w:rsid w:val="000A422D"/>
    <w:rsid w:val="000A4F55"/>
    <w:rsid w:val="000A569B"/>
    <w:rsid w:val="000A5814"/>
    <w:rsid w:val="000A6B36"/>
    <w:rsid w:val="000A75CE"/>
    <w:rsid w:val="000A7BCF"/>
    <w:rsid w:val="000A7E34"/>
    <w:rsid w:val="000A7F01"/>
    <w:rsid w:val="000B0B9B"/>
    <w:rsid w:val="000B0C47"/>
    <w:rsid w:val="000B15A4"/>
    <w:rsid w:val="000B1726"/>
    <w:rsid w:val="000B1798"/>
    <w:rsid w:val="000B1B9B"/>
    <w:rsid w:val="000B1FB0"/>
    <w:rsid w:val="000B2762"/>
    <w:rsid w:val="000B2EB7"/>
    <w:rsid w:val="000B4C5D"/>
    <w:rsid w:val="000B4E6E"/>
    <w:rsid w:val="000B4F91"/>
    <w:rsid w:val="000B544F"/>
    <w:rsid w:val="000B59FA"/>
    <w:rsid w:val="000B630A"/>
    <w:rsid w:val="000B64F5"/>
    <w:rsid w:val="000B7ED9"/>
    <w:rsid w:val="000C0870"/>
    <w:rsid w:val="000C0D23"/>
    <w:rsid w:val="000C0EA2"/>
    <w:rsid w:val="000C0F99"/>
    <w:rsid w:val="000C0FBF"/>
    <w:rsid w:val="000C0FE9"/>
    <w:rsid w:val="000C15B4"/>
    <w:rsid w:val="000C1835"/>
    <w:rsid w:val="000C1903"/>
    <w:rsid w:val="000C24C6"/>
    <w:rsid w:val="000C29B0"/>
    <w:rsid w:val="000C2E95"/>
    <w:rsid w:val="000C2F72"/>
    <w:rsid w:val="000C32CF"/>
    <w:rsid w:val="000C362F"/>
    <w:rsid w:val="000C3BAE"/>
    <w:rsid w:val="000C3F34"/>
    <w:rsid w:val="000C3F73"/>
    <w:rsid w:val="000C4456"/>
    <w:rsid w:val="000C449C"/>
    <w:rsid w:val="000C45A3"/>
    <w:rsid w:val="000C48C7"/>
    <w:rsid w:val="000C4F2A"/>
    <w:rsid w:val="000C580C"/>
    <w:rsid w:val="000C5D43"/>
    <w:rsid w:val="000C61D6"/>
    <w:rsid w:val="000C671C"/>
    <w:rsid w:val="000C6B31"/>
    <w:rsid w:val="000C6EE8"/>
    <w:rsid w:val="000C7272"/>
    <w:rsid w:val="000C73F6"/>
    <w:rsid w:val="000C7489"/>
    <w:rsid w:val="000D014F"/>
    <w:rsid w:val="000D0359"/>
    <w:rsid w:val="000D07A2"/>
    <w:rsid w:val="000D0BE5"/>
    <w:rsid w:val="000D0C94"/>
    <w:rsid w:val="000D101C"/>
    <w:rsid w:val="000D13E6"/>
    <w:rsid w:val="000D16A2"/>
    <w:rsid w:val="000D177F"/>
    <w:rsid w:val="000D246C"/>
    <w:rsid w:val="000D316D"/>
    <w:rsid w:val="000D36EE"/>
    <w:rsid w:val="000D395B"/>
    <w:rsid w:val="000D3B06"/>
    <w:rsid w:val="000D4083"/>
    <w:rsid w:val="000D4484"/>
    <w:rsid w:val="000D4689"/>
    <w:rsid w:val="000D5741"/>
    <w:rsid w:val="000D59A3"/>
    <w:rsid w:val="000D59E9"/>
    <w:rsid w:val="000D6727"/>
    <w:rsid w:val="000D69D5"/>
    <w:rsid w:val="000D7AD1"/>
    <w:rsid w:val="000D7B1B"/>
    <w:rsid w:val="000D7CCA"/>
    <w:rsid w:val="000D7F34"/>
    <w:rsid w:val="000E0006"/>
    <w:rsid w:val="000E09DC"/>
    <w:rsid w:val="000E1AB9"/>
    <w:rsid w:val="000E1ADC"/>
    <w:rsid w:val="000E1EF1"/>
    <w:rsid w:val="000E205D"/>
    <w:rsid w:val="000E20A7"/>
    <w:rsid w:val="000E22DF"/>
    <w:rsid w:val="000E2550"/>
    <w:rsid w:val="000E30F6"/>
    <w:rsid w:val="000E3827"/>
    <w:rsid w:val="000E39A9"/>
    <w:rsid w:val="000E4584"/>
    <w:rsid w:val="000E47BF"/>
    <w:rsid w:val="000E4D3E"/>
    <w:rsid w:val="000E4E66"/>
    <w:rsid w:val="000E59DF"/>
    <w:rsid w:val="000E5AB3"/>
    <w:rsid w:val="000E5B0B"/>
    <w:rsid w:val="000E5B91"/>
    <w:rsid w:val="000E5CF7"/>
    <w:rsid w:val="000E6407"/>
    <w:rsid w:val="000E6A9B"/>
    <w:rsid w:val="000E718C"/>
    <w:rsid w:val="000E7258"/>
    <w:rsid w:val="000E75D9"/>
    <w:rsid w:val="000E7A4A"/>
    <w:rsid w:val="000E7D4B"/>
    <w:rsid w:val="000F004A"/>
    <w:rsid w:val="000F01CE"/>
    <w:rsid w:val="000F0689"/>
    <w:rsid w:val="000F0807"/>
    <w:rsid w:val="000F0B2A"/>
    <w:rsid w:val="000F1849"/>
    <w:rsid w:val="000F1CA3"/>
    <w:rsid w:val="000F2990"/>
    <w:rsid w:val="000F3796"/>
    <w:rsid w:val="000F3FF3"/>
    <w:rsid w:val="000F4027"/>
    <w:rsid w:val="000F4628"/>
    <w:rsid w:val="000F4778"/>
    <w:rsid w:val="000F4AA4"/>
    <w:rsid w:val="000F4F96"/>
    <w:rsid w:val="000F5094"/>
    <w:rsid w:val="000F59CB"/>
    <w:rsid w:val="000F5BAE"/>
    <w:rsid w:val="000F5E92"/>
    <w:rsid w:val="000F5EF4"/>
    <w:rsid w:val="000F62EC"/>
    <w:rsid w:val="000F71EB"/>
    <w:rsid w:val="000F72BB"/>
    <w:rsid w:val="000F7545"/>
    <w:rsid w:val="000F7DFB"/>
    <w:rsid w:val="00100027"/>
    <w:rsid w:val="0010070A"/>
    <w:rsid w:val="001007E7"/>
    <w:rsid w:val="001007F8"/>
    <w:rsid w:val="00100DD4"/>
    <w:rsid w:val="001019FB"/>
    <w:rsid w:val="0010211A"/>
    <w:rsid w:val="00102191"/>
    <w:rsid w:val="0010226B"/>
    <w:rsid w:val="00102844"/>
    <w:rsid w:val="00102D00"/>
    <w:rsid w:val="0010345E"/>
    <w:rsid w:val="00104652"/>
    <w:rsid w:val="00104783"/>
    <w:rsid w:val="0010513E"/>
    <w:rsid w:val="0010537B"/>
    <w:rsid w:val="00105B85"/>
    <w:rsid w:val="001062FE"/>
    <w:rsid w:val="00106402"/>
    <w:rsid w:val="001066A5"/>
    <w:rsid w:val="00106743"/>
    <w:rsid w:val="00106850"/>
    <w:rsid w:val="00107219"/>
    <w:rsid w:val="0010730B"/>
    <w:rsid w:val="001074B9"/>
    <w:rsid w:val="00107793"/>
    <w:rsid w:val="00107844"/>
    <w:rsid w:val="00107A78"/>
    <w:rsid w:val="00107B35"/>
    <w:rsid w:val="0011041A"/>
    <w:rsid w:val="00110968"/>
    <w:rsid w:val="00110ADD"/>
    <w:rsid w:val="0011133E"/>
    <w:rsid w:val="00112126"/>
    <w:rsid w:val="0011246B"/>
    <w:rsid w:val="001125DC"/>
    <w:rsid w:val="001128F5"/>
    <w:rsid w:val="001135FD"/>
    <w:rsid w:val="001138D0"/>
    <w:rsid w:val="00113BC7"/>
    <w:rsid w:val="00113FE5"/>
    <w:rsid w:val="0011444D"/>
    <w:rsid w:val="0011462E"/>
    <w:rsid w:val="00115E03"/>
    <w:rsid w:val="001160F5"/>
    <w:rsid w:val="0011610F"/>
    <w:rsid w:val="00116330"/>
    <w:rsid w:val="001167B6"/>
    <w:rsid w:val="001173E9"/>
    <w:rsid w:val="00120092"/>
    <w:rsid w:val="0012058D"/>
    <w:rsid w:val="00120749"/>
    <w:rsid w:val="00120912"/>
    <w:rsid w:val="00120ADE"/>
    <w:rsid w:val="00120C51"/>
    <w:rsid w:val="00120D67"/>
    <w:rsid w:val="0012124A"/>
    <w:rsid w:val="00121F82"/>
    <w:rsid w:val="0012210D"/>
    <w:rsid w:val="0012234A"/>
    <w:rsid w:val="001233A5"/>
    <w:rsid w:val="00123A77"/>
    <w:rsid w:val="00123A9C"/>
    <w:rsid w:val="00123B7B"/>
    <w:rsid w:val="00123DA2"/>
    <w:rsid w:val="00124019"/>
    <w:rsid w:val="001241AD"/>
    <w:rsid w:val="001248AA"/>
    <w:rsid w:val="00124B87"/>
    <w:rsid w:val="00125401"/>
    <w:rsid w:val="001256F3"/>
    <w:rsid w:val="0012574C"/>
    <w:rsid w:val="00125B0A"/>
    <w:rsid w:val="00125BEC"/>
    <w:rsid w:val="001269AA"/>
    <w:rsid w:val="00126A45"/>
    <w:rsid w:val="00127D2C"/>
    <w:rsid w:val="00130549"/>
    <w:rsid w:val="00130B6C"/>
    <w:rsid w:val="00131D5E"/>
    <w:rsid w:val="00132334"/>
    <w:rsid w:val="0013274F"/>
    <w:rsid w:val="00132828"/>
    <w:rsid w:val="00133058"/>
    <w:rsid w:val="001337EB"/>
    <w:rsid w:val="001339F3"/>
    <w:rsid w:val="001346B0"/>
    <w:rsid w:val="00134BD4"/>
    <w:rsid w:val="00134EF6"/>
    <w:rsid w:val="00136178"/>
    <w:rsid w:val="001361A6"/>
    <w:rsid w:val="001361AA"/>
    <w:rsid w:val="001363EB"/>
    <w:rsid w:val="001365E4"/>
    <w:rsid w:val="0013689F"/>
    <w:rsid w:val="001369AA"/>
    <w:rsid w:val="00136BCA"/>
    <w:rsid w:val="00137A0D"/>
    <w:rsid w:val="00140289"/>
    <w:rsid w:val="00140452"/>
    <w:rsid w:val="0014123B"/>
    <w:rsid w:val="00141AC6"/>
    <w:rsid w:val="00142B6C"/>
    <w:rsid w:val="00142D17"/>
    <w:rsid w:val="001430FD"/>
    <w:rsid w:val="001431B3"/>
    <w:rsid w:val="00143865"/>
    <w:rsid w:val="00143BA1"/>
    <w:rsid w:val="00143F42"/>
    <w:rsid w:val="001444B8"/>
    <w:rsid w:val="001449B0"/>
    <w:rsid w:val="00144A9A"/>
    <w:rsid w:val="00144E67"/>
    <w:rsid w:val="00144E93"/>
    <w:rsid w:val="00145168"/>
    <w:rsid w:val="00145D95"/>
    <w:rsid w:val="00145FC3"/>
    <w:rsid w:val="00146373"/>
    <w:rsid w:val="0014717B"/>
    <w:rsid w:val="00147719"/>
    <w:rsid w:val="00147CA0"/>
    <w:rsid w:val="001507B8"/>
    <w:rsid w:val="00150EFE"/>
    <w:rsid w:val="0015100A"/>
    <w:rsid w:val="0015126F"/>
    <w:rsid w:val="00151326"/>
    <w:rsid w:val="00151826"/>
    <w:rsid w:val="00151C81"/>
    <w:rsid w:val="00151DB6"/>
    <w:rsid w:val="00151ED4"/>
    <w:rsid w:val="00152D95"/>
    <w:rsid w:val="00153351"/>
    <w:rsid w:val="00153379"/>
    <w:rsid w:val="00153956"/>
    <w:rsid w:val="00154EFC"/>
    <w:rsid w:val="00154F72"/>
    <w:rsid w:val="00155365"/>
    <w:rsid w:val="001561AD"/>
    <w:rsid w:val="00156681"/>
    <w:rsid w:val="00156700"/>
    <w:rsid w:val="001570B4"/>
    <w:rsid w:val="0015717A"/>
    <w:rsid w:val="001604D2"/>
    <w:rsid w:val="001604F5"/>
    <w:rsid w:val="001607C4"/>
    <w:rsid w:val="001608EA"/>
    <w:rsid w:val="001608FA"/>
    <w:rsid w:val="00160C4F"/>
    <w:rsid w:val="00161381"/>
    <w:rsid w:val="00161683"/>
    <w:rsid w:val="00161859"/>
    <w:rsid w:val="00161B63"/>
    <w:rsid w:val="00162332"/>
    <w:rsid w:val="00162342"/>
    <w:rsid w:val="0016247B"/>
    <w:rsid w:val="00162BEB"/>
    <w:rsid w:val="00163000"/>
    <w:rsid w:val="00163241"/>
    <w:rsid w:val="00163387"/>
    <w:rsid w:val="00163CB6"/>
    <w:rsid w:val="00164157"/>
    <w:rsid w:val="00164504"/>
    <w:rsid w:val="00164CC5"/>
    <w:rsid w:val="001651A2"/>
    <w:rsid w:val="00165284"/>
    <w:rsid w:val="00165AE5"/>
    <w:rsid w:val="00166109"/>
    <w:rsid w:val="00166112"/>
    <w:rsid w:val="00166488"/>
    <w:rsid w:val="00166682"/>
    <w:rsid w:val="00166E72"/>
    <w:rsid w:val="00166FD7"/>
    <w:rsid w:val="00170527"/>
    <w:rsid w:val="001707A0"/>
    <w:rsid w:val="00170820"/>
    <w:rsid w:val="00170E27"/>
    <w:rsid w:val="001713D4"/>
    <w:rsid w:val="00171941"/>
    <w:rsid w:val="00171977"/>
    <w:rsid w:val="00172276"/>
    <w:rsid w:val="00172749"/>
    <w:rsid w:val="0017290F"/>
    <w:rsid w:val="00172936"/>
    <w:rsid w:val="00172B55"/>
    <w:rsid w:val="00172CFF"/>
    <w:rsid w:val="001731A8"/>
    <w:rsid w:val="001731E4"/>
    <w:rsid w:val="00173333"/>
    <w:rsid w:val="00173488"/>
    <w:rsid w:val="001734B9"/>
    <w:rsid w:val="00173867"/>
    <w:rsid w:val="00173D71"/>
    <w:rsid w:val="00173ED4"/>
    <w:rsid w:val="00173EF7"/>
    <w:rsid w:val="0017427F"/>
    <w:rsid w:val="00174920"/>
    <w:rsid w:val="00174BE9"/>
    <w:rsid w:val="0017618D"/>
    <w:rsid w:val="00176646"/>
    <w:rsid w:val="001771BD"/>
    <w:rsid w:val="00177A1C"/>
    <w:rsid w:val="001800F8"/>
    <w:rsid w:val="00180980"/>
    <w:rsid w:val="00180E0D"/>
    <w:rsid w:val="0018152C"/>
    <w:rsid w:val="00181B10"/>
    <w:rsid w:val="00181CEE"/>
    <w:rsid w:val="001824E2"/>
    <w:rsid w:val="00182A05"/>
    <w:rsid w:val="00182B29"/>
    <w:rsid w:val="00182D10"/>
    <w:rsid w:val="001831A1"/>
    <w:rsid w:val="001831AA"/>
    <w:rsid w:val="001836F0"/>
    <w:rsid w:val="00183D88"/>
    <w:rsid w:val="00183EBC"/>
    <w:rsid w:val="00184555"/>
    <w:rsid w:val="001848C6"/>
    <w:rsid w:val="00184AF1"/>
    <w:rsid w:val="00184C90"/>
    <w:rsid w:val="00184D8C"/>
    <w:rsid w:val="00185333"/>
    <w:rsid w:val="0018585D"/>
    <w:rsid w:val="001858C0"/>
    <w:rsid w:val="00185900"/>
    <w:rsid w:val="0018590C"/>
    <w:rsid w:val="001859FF"/>
    <w:rsid w:val="00185A49"/>
    <w:rsid w:val="00185C6A"/>
    <w:rsid w:val="00185CFC"/>
    <w:rsid w:val="00186BC5"/>
    <w:rsid w:val="00186E74"/>
    <w:rsid w:val="00187499"/>
    <w:rsid w:val="00187EFF"/>
    <w:rsid w:val="0019006D"/>
    <w:rsid w:val="001903B4"/>
    <w:rsid w:val="00190F19"/>
    <w:rsid w:val="001910BA"/>
    <w:rsid w:val="00191284"/>
    <w:rsid w:val="00191572"/>
    <w:rsid w:val="0019172A"/>
    <w:rsid w:val="00191DD0"/>
    <w:rsid w:val="00192243"/>
    <w:rsid w:val="0019233D"/>
    <w:rsid w:val="00193048"/>
    <w:rsid w:val="00193275"/>
    <w:rsid w:val="00193D05"/>
    <w:rsid w:val="0019423B"/>
    <w:rsid w:val="001944C5"/>
    <w:rsid w:val="001948D6"/>
    <w:rsid w:val="00194C02"/>
    <w:rsid w:val="00195562"/>
    <w:rsid w:val="00195A84"/>
    <w:rsid w:val="00195C38"/>
    <w:rsid w:val="00195C6C"/>
    <w:rsid w:val="00196352"/>
    <w:rsid w:val="001966F3"/>
    <w:rsid w:val="00196947"/>
    <w:rsid w:val="001970CB"/>
    <w:rsid w:val="001972AD"/>
    <w:rsid w:val="0019777D"/>
    <w:rsid w:val="001A0483"/>
    <w:rsid w:val="001A08BE"/>
    <w:rsid w:val="001A0BAB"/>
    <w:rsid w:val="001A13E8"/>
    <w:rsid w:val="001A1CEE"/>
    <w:rsid w:val="001A1E13"/>
    <w:rsid w:val="001A207E"/>
    <w:rsid w:val="001A2325"/>
    <w:rsid w:val="001A2F17"/>
    <w:rsid w:val="001A32F2"/>
    <w:rsid w:val="001A3A86"/>
    <w:rsid w:val="001A4478"/>
    <w:rsid w:val="001A4979"/>
    <w:rsid w:val="001A4E6F"/>
    <w:rsid w:val="001A5AD3"/>
    <w:rsid w:val="001A6701"/>
    <w:rsid w:val="001A67D3"/>
    <w:rsid w:val="001A7A05"/>
    <w:rsid w:val="001A7EC0"/>
    <w:rsid w:val="001B05DB"/>
    <w:rsid w:val="001B07D6"/>
    <w:rsid w:val="001B1DDE"/>
    <w:rsid w:val="001B2305"/>
    <w:rsid w:val="001B2398"/>
    <w:rsid w:val="001B25DC"/>
    <w:rsid w:val="001B2908"/>
    <w:rsid w:val="001B2C49"/>
    <w:rsid w:val="001B33E2"/>
    <w:rsid w:val="001B3BB5"/>
    <w:rsid w:val="001B3E0B"/>
    <w:rsid w:val="001B4893"/>
    <w:rsid w:val="001B4D31"/>
    <w:rsid w:val="001B537F"/>
    <w:rsid w:val="001B54DA"/>
    <w:rsid w:val="001B5615"/>
    <w:rsid w:val="001B5BD7"/>
    <w:rsid w:val="001B5CC3"/>
    <w:rsid w:val="001B71C8"/>
    <w:rsid w:val="001B76B5"/>
    <w:rsid w:val="001B7874"/>
    <w:rsid w:val="001B7BD0"/>
    <w:rsid w:val="001B7F92"/>
    <w:rsid w:val="001C0291"/>
    <w:rsid w:val="001C0573"/>
    <w:rsid w:val="001C0E0E"/>
    <w:rsid w:val="001C0EAF"/>
    <w:rsid w:val="001C0FD5"/>
    <w:rsid w:val="001C10D4"/>
    <w:rsid w:val="001C1A5E"/>
    <w:rsid w:val="001C1D93"/>
    <w:rsid w:val="001C2090"/>
    <w:rsid w:val="001C246C"/>
    <w:rsid w:val="001C295A"/>
    <w:rsid w:val="001C2AD8"/>
    <w:rsid w:val="001C32E2"/>
    <w:rsid w:val="001C3E9D"/>
    <w:rsid w:val="001C4395"/>
    <w:rsid w:val="001C4A96"/>
    <w:rsid w:val="001C5756"/>
    <w:rsid w:val="001C6146"/>
    <w:rsid w:val="001C617C"/>
    <w:rsid w:val="001C667E"/>
    <w:rsid w:val="001C682C"/>
    <w:rsid w:val="001C6A01"/>
    <w:rsid w:val="001C7345"/>
    <w:rsid w:val="001C7590"/>
    <w:rsid w:val="001C7780"/>
    <w:rsid w:val="001C79D8"/>
    <w:rsid w:val="001C7B9E"/>
    <w:rsid w:val="001C7EC1"/>
    <w:rsid w:val="001D0175"/>
    <w:rsid w:val="001D0CF8"/>
    <w:rsid w:val="001D0D4D"/>
    <w:rsid w:val="001D113A"/>
    <w:rsid w:val="001D13C7"/>
    <w:rsid w:val="001D1BBF"/>
    <w:rsid w:val="001D1E00"/>
    <w:rsid w:val="001D264F"/>
    <w:rsid w:val="001D274B"/>
    <w:rsid w:val="001D27F0"/>
    <w:rsid w:val="001D297E"/>
    <w:rsid w:val="001D2D4E"/>
    <w:rsid w:val="001D2D52"/>
    <w:rsid w:val="001D37DD"/>
    <w:rsid w:val="001D3D11"/>
    <w:rsid w:val="001D3F3B"/>
    <w:rsid w:val="001D418B"/>
    <w:rsid w:val="001D471C"/>
    <w:rsid w:val="001D4D91"/>
    <w:rsid w:val="001D55EC"/>
    <w:rsid w:val="001D5632"/>
    <w:rsid w:val="001D58AB"/>
    <w:rsid w:val="001D58FA"/>
    <w:rsid w:val="001D5952"/>
    <w:rsid w:val="001D5FE9"/>
    <w:rsid w:val="001D6C45"/>
    <w:rsid w:val="001D6E55"/>
    <w:rsid w:val="001D6EA9"/>
    <w:rsid w:val="001D7454"/>
    <w:rsid w:val="001D7B56"/>
    <w:rsid w:val="001E0414"/>
    <w:rsid w:val="001E0419"/>
    <w:rsid w:val="001E0592"/>
    <w:rsid w:val="001E10BB"/>
    <w:rsid w:val="001E1273"/>
    <w:rsid w:val="001E1930"/>
    <w:rsid w:val="001E1A8A"/>
    <w:rsid w:val="001E2656"/>
    <w:rsid w:val="001E3224"/>
    <w:rsid w:val="001E34C3"/>
    <w:rsid w:val="001E35DB"/>
    <w:rsid w:val="001E39EC"/>
    <w:rsid w:val="001E424D"/>
    <w:rsid w:val="001E43D3"/>
    <w:rsid w:val="001E4927"/>
    <w:rsid w:val="001E53FD"/>
    <w:rsid w:val="001E584D"/>
    <w:rsid w:val="001E59FA"/>
    <w:rsid w:val="001E5D00"/>
    <w:rsid w:val="001E5D5D"/>
    <w:rsid w:val="001E5DBE"/>
    <w:rsid w:val="001E6183"/>
    <w:rsid w:val="001E6251"/>
    <w:rsid w:val="001E6C00"/>
    <w:rsid w:val="001E73D4"/>
    <w:rsid w:val="001E7D69"/>
    <w:rsid w:val="001F11FA"/>
    <w:rsid w:val="001F1383"/>
    <w:rsid w:val="001F1995"/>
    <w:rsid w:val="001F227E"/>
    <w:rsid w:val="001F22CF"/>
    <w:rsid w:val="001F23C9"/>
    <w:rsid w:val="001F2456"/>
    <w:rsid w:val="001F2564"/>
    <w:rsid w:val="001F2671"/>
    <w:rsid w:val="001F2A0C"/>
    <w:rsid w:val="001F2DC5"/>
    <w:rsid w:val="001F2EDE"/>
    <w:rsid w:val="001F3B5B"/>
    <w:rsid w:val="001F46CD"/>
    <w:rsid w:val="001F47E3"/>
    <w:rsid w:val="001F4829"/>
    <w:rsid w:val="001F4FD2"/>
    <w:rsid w:val="001F4FD8"/>
    <w:rsid w:val="001F51B7"/>
    <w:rsid w:val="001F532D"/>
    <w:rsid w:val="001F6051"/>
    <w:rsid w:val="001F6AC5"/>
    <w:rsid w:val="001F6B88"/>
    <w:rsid w:val="001F6F3E"/>
    <w:rsid w:val="001F6FED"/>
    <w:rsid w:val="001F74A2"/>
    <w:rsid w:val="001F78D8"/>
    <w:rsid w:val="001F7FE2"/>
    <w:rsid w:val="00200633"/>
    <w:rsid w:val="00200E87"/>
    <w:rsid w:val="00200FD5"/>
    <w:rsid w:val="00201355"/>
    <w:rsid w:val="0020199F"/>
    <w:rsid w:val="00201B02"/>
    <w:rsid w:val="00201CCF"/>
    <w:rsid w:val="0020318E"/>
    <w:rsid w:val="0020358B"/>
    <w:rsid w:val="00203786"/>
    <w:rsid w:val="00203878"/>
    <w:rsid w:val="00204258"/>
    <w:rsid w:val="002044EF"/>
    <w:rsid w:val="00204576"/>
    <w:rsid w:val="0020487D"/>
    <w:rsid w:val="002049D0"/>
    <w:rsid w:val="002049E5"/>
    <w:rsid w:val="0020505A"/>
    <w:rsid w:val="002051DC"/>
    <w:rsid w:val="002053BF"/>
    <w:rsid w:val="002053E5"/>
    <w:rsid w:val="002054A6"/>
    <w:rsid w:val="00205784"/>
    <w:rsid w:val="002063EB"/>
    <w:rsid w:val="002065E4"/>
    <w:rsid w:val="00207267"/>
    <w:rsid w:val="00207A2A"/>
    <w:rsid w:val="00207EB4"/>
    <w:rsid w:val="002110A6"/>
    <w:rsid w:val="0021125F"/>
    <w:rsid w:val="002114D8"/>
    <w:rsid w:val="0021166F"/>
    <w:rsid w:val="0021216F"/>
    <w:rsid w:val="00212646"/>
    <w:rsid w:val="002126F6"/>
    <w:rsid w:val="00213DD5"/>
    <w:rsid w:val="00214F04"/>
    <w:rsid w:val="00215010"/>
    <w:rsid w:val="002151AE"/>
    <w:rsid w:val="00215923"/>
    <w:rsid w:val="00215B76"/>
    <w:rsid w:val="00215C60"/>
    <w:rsid w:val="00216229"/>
    <w:rsid w:val="002164E3"/>
    <w:rsid w:val="00216AB5"/>
    <w:rsid w:val="00216B86"/>
    <w:rsid w:val="00217025"/>
    <w:rsid w:val="0021711E"/>
    <w:rsid w:val="00217893"/>
    <w:rsid w:val="002179D7"/>
    <w:rsid w:val="00217B92"/>
    <w:rsid w:val="00217D28"/>
    <w:rsid w:val="0022059E"/>
    <w:rsid w:val="00220672"/>
    <w:rsid w:val="0022083B"/>
    <w:rsid w:val="00220D91"/>
    <w:rsid w:val="00220DD8"/>
    <w:rsid w:val="002211FF"/>
    <w:rsid w:val="00221691"/>
    <w:rsid w:val="002217FF"/>
    <w:rsid w:val="00221EF2"/>
    <w:rsid w:val="00222342"/>
    <w:rsid w:val="0022314E"/>
    <w:rsid w:val="00223994"/>
    <w:rsid w:val="00223C30"/>
    <w:rsid w:val="00223C4E"/>
    <w:rsid w:val="00224094"/>
    <w:rsid w:val="002242CF"/>
    <w:rsid w:val="00224B58"/>
    <w:rsid w:val="00224BA3"/>
    <w:rsid w:val="00224BD1"/>
    <w:rsid w:val="002257C0"/>
    <w:rsid w:val="00225BD9"/>
    <w:rsid w:val="0022643E"/>
    <w:rsid w:val="002272CA"/>
    <w:rsid w:val="0022745D"/>
    <w:rsid w:val="00227B85"/>
    <w:rsid w:val="002301A5"/>
    <w:rsid w:val="002311CF"/>
    <w:rsid w:val="0023148A"/>
    <w:rsid w:val="00231629"/>
    <w:rsid w:val="00231935"/>
    <w:rsid w:val="00233E0E"/>
    <w:rsid w:val="00233EC5"/>
    <w:rsid w:val="002346E8"/>
    <w:rsid w:val="0023476C"/>
    <w:rsid w:val="00234827"/>
    <w:rsid w:val="00234922"/>
    <w:rsid w:val="00235282"/>
    <w:rsid w:val="0023585C"/>
    <w:rsid w:val="00235A88"/>
    <w:rsid w:val="00235EA4"/>
    <w:rsid w:val="002364BB"/>
    <w:rsid w:val="00237634"/>
    <w:rsid w:val="00237707"/>
    <w:rsid w:val="00237B35"/>
    <w:rsid w:val="00237B9F"/>
    <w:rsid w:val="00237ED7"/>
    <w:rsid w:val="00240996"/>
    <w:rsid w:val="00240BB0"/>
    <w:rsid w:val="002411EE"/>
    <w:rsid w:val="0024198D"/>
    <w:rsid w:val="0024204E"/>
    <w:rsid w:val="0024372C"/>
    <w:rsid w:val="00243ABC"/>
    <w:rsid w:val="00243FBB"/>
    <w:rsid w:val="00244869"/>
    <w:rsid w:val="00244CFC"/>
    <w:rsid w:val="002458AD"/>
    <w:rsid w:val="0024597D"/>
    <w:rsid w:val="00245ABC"/>
    <w:rsid w:val="00245D56"/>
    <w:rsid w:val="00245E00"/>
    <w:rsid w:val="00245F39"/>
    <w:rsid w:val="00245F5F"/>
    <w:rsid w:val="0024624D"/>
    <w:rsid w:val="002468C6"/>
    <w:rsid w:val="00246FFE"/>
    <w:rsid w:val="0024713F"/>
    <w:rsid w:val="002471BC"/>
    <w:rsid w:val="00247327"/>
    <w:rsid w:val="002474A1"/>
    <w:rsid w:val="002504FC"/>
    <w:rsid w:val="0025055E"/>
    <w:rsid w:val="00250BF7"/>
    <w:rsid w:val="00250E08"/>
    <w:rsid w:val="00250EB4"/>
    <w:rsid w:val="002513AE"/>
    <w:rsid w:val="002518C9"/>
    <w:rsid w:val="0025208B"/>
    <w:rsid w:val="00252268"/>
    <w:rsid w:val="00252298"/>
    <w:rsid w:val="002530BD"/>
    <w:rsid w:val="0025318C"/>
    <w:rsid w:val="00253395"/>
    <w:rsid w:val="00253B1D"/>
    <w:rsid w:val="00253DD7"/>
    <w:rsid w:val="00253E75"/>
    <w:rsid w:val="00254217"/>
    <w:rsid w:val="0025443E"/>
    <w:rsid w:val="002544A7"/>
    <w:rsid w:val="002547E7"/>
    <w:rsid w:val="0025520C"/>
    <w:rsid w:val="002554C1"/>
    <w:rsid w:val="00255511"/>
    <w:rsid w:val="00256705"/>
    <w:rsid w:val="0025674E"/>
    <w:rsid w:val="00256E0B"/>
    <w:rsid w:val="002570B1"/>
    <w:rsid w:val="00257214"/>
    <w:rsid w:val="0025798B"/>
    <w:rsid w:val="002579D4"/>
    <w:rsid w:val="00257C48"/>
    <w:rsid w:val="00260E5F"/>
    <w:rsid w:val="002619E3"/>
    <w:rsid w:val="0026223D"/>
    <w:rsid w:val="00262311"/>
    <w:rsid w:val="00262660"/>
    <w:rsid w:val="00263637"/>
    <w:rsid w:val="0026367F"/>
    <w:rsid w:val="00264694"/>
    <w:rsid w:val="00264B8F"/>
    <w:rsid w:val="00264C4E"/>
    <w:rsid w:val="00264E9E"/>
    <w:rsid w:val="0026516E"/>
    <w:rsid w:val="0026555C"/>
    <w:rsid w:val="0026610D"/>
    <w:rsid w:val="00267586"/>
    <w:rsid w:val="002675F7"/>
    <w:rsid w:val="00267AF9"/>
    <w:rsid w:val="00267FE5"/>
    <w:rsid w:val="00270507"/>
    <w:rsid w:val="00270ECE"/>
    <w:rsid w:val="00271095"/>
    <w:rsid w:val="002717AE"/>
    <w:rsid w:val="002719E4"/>
    <w:rsid w:val="00271BEA"/>
    <w:rsid w:val="00271CE5"/>
    <w:rsid w:val="00272126"/>
    <w:rsid w:val="00272B19"/>
    <w:rsid w:val="00272C3F"/>
    <w:rsid w:val="0027305D"/>
    <w:rsid w:val="00273178"/>
    <w:rsid w:val="00273648"/>
    <w:rsid w:val="00273BE9"/>
    <w:rsid w:val="0027479F"/>
    <w:rsid w:val="002757B9"/>
    <w:rsid w:val="00275858"/>
    <w:rsid w:val="00276626"/>
    <w:rsid w:val="00276C14"/>
    <w:rsid w:val="002771B2"/>
    <w:rsid w:val="002800CC"/>
    <w:rsid w:val="0028024B"/>
    <w:rsid w:val="0028032B"/>
    <w:rsid w:val="00280A16"/>
    <w:rsid w:val="00280B9A"/>
    <w:rsid w:val="00280CF7"/>
    <w:rsid w:val="00281150"/>
    <w:rsid w:val="002818BE"/>
    <w:rsid w:val="00281FE7"/>
    <w:rsid w:val="00282ABA"/>
    <w:rsid w:val="00282FB0"/>
    <w:rsid w:val="0028304E"/>
    <w:rsid w:val="00283A66"/>
    <w:rsid w:val="00284588"/>
    <w:rsid w:val="0028472D"/>
    <w:rsid w:val="002852E0"/>
    <w:rsid w:val="00285FBD"/>
    <w:rsid w:val="00287005"/>
    <w:rsid w:val="00287010"/>
    <w:rsid w:val="002871EB"/>
    <w:rsid w:val="0028766D"/>
    <w:rsid w:val="00287F00"/>
    <w:rsid w:val="00290015"/>
    <w:rsid w:val="00290285"/>
    <w:rsid w:val="002907C2"/>
    <w:rsid w:val="00290ACB"/>
    <w:rsid w:val="00291D4A"/>
    <w:rsid w:val="00291EED"/>
    <w:rsid w:val="002925EF"/>
    <w:rsid w:val="00292699"/>
    <w:rsid w:val="002926DB"/>
    <w:rsid w:val="002934F5"/>
    <w:rsid w:val="0029391B"/>
    <w:rsid w:val="002941D6"/>
    <w:rsid w:val="002942E6"/>
    <w:rsid w:val="00294EC1"/>
    <w:rsid w:val="00295338"/>
    <w:rsid w:val="0029567A"/>
    <w:rsid w:val="00296530"/>
    <w:rsid w:val="002965D3"/>
    <w:rsid w:val="00296706"/>
    <w:rsid w:val="0029739A"/>
    <w:rsid w:val="00297F84"/>
    <w:rsid w:val="002A0644"/>
    <w:rsid w:val="002A0A66"/>
    <w:rsid w:val="002A0FF3"/>
    <w:rsid w:val="002A1C72"/>
    <w:rsid w:val="002A1DDB"/>
    <w:rsid w:val="002A1DE0"/>
    <w:rsid w:val="002A2189"/>
    <w:rsid w:val="002A21D5"/>
    <w:rsid w:val="002A339C"/>
    <w:rsid w:val="002A376D"/>
    <w:rsid w:val="002A4699"/>
    <w:rsid w:val="002A502F"/>
    <w:rsid w:val="002A5499"/>
    <w:rsid w:val="002A56E7"/>
    <w:rsid w:val="002A5B97"/>
    <w:rsid w:val="002A5E7C"/>
    <w:rsid w:val="002A638B"/>
    <w:rsid w:val="002A65C6"/>
    <w:rsid w:val="002A6D78"/>
    <w:rsid w:val="002A6F04"/>
    <w:rsid w:val="002A6F6A"/>
    <w:rsid w:val="002A71D4"/>
    <w:rsid w:val="002A7236"/>
    <w:rsid w:val="002A7313"/>
    <w:rsid w:val="002B01B3"/>
    <w:rsid w:val="002B05BC"/>
    <w:rsid w:val="002B07BE"/>
    <w:rsid w:val="002B12E7"/>
    <w:rsid w:val="002B12F5"/>
    <w:rsid w:val="002B1C82"/>
    <w:rsid w:val="002B200C"/>
    <w:rsid w:val="002B23AA"/>
    <w:rsid w:val="002B2740"/>
    <w:rsid w:val="002B2846"/>
    <w:rsid w:val="002B3652"/>
    <w:rsid w:val="002B3889"/>
    <w:rsid w:val="002B3A07"/>
    <w:rsid w:val="002B4396"/>
    <w:rsid w:val="002B47F5"/>
    <w:rsid w:val="002B4962"/>
    <w:rsid w:val="002B543C"/>
    <w:rsid w:val="002B5461"/>
    <w:rsid w:val="002B5C8E"/>
    <w:rsid w:val="002B5F30"/>
    <w:rsid w:val="002B60AC"/>
    <w:rsid w:val="002B6B8E"/>
    <w:rsid w:val="002B6F96"/>
    <w:rsid w:val="002B6FB1"/>
    <w:rsid w:val="002B7217"/>
    <w:rsid w:val="002B724B"/>
    <w:rsid w:val="002B7589"/>
    <w:rsid w:val="002B7A58"/>
    <w:rsid w:val="002C051E"/>
    <w:rsid w:val="002C0597"/>
    <w:rsid w:val="002C08B1"/>
    <w:rsid w:val="002C0CBB"/>
    <w:rsid w:val="002C11EE"/>
    <w:rsid w:val="002C1A4E"/>
    <w:rsid w:val="002C1B3F"/>
    <w:rsid w:val="002C1F5F"/>
    <w:rsid w:val="002C26A1"/>
    <w:rsid w:val="002C29CE"/>
    <w:rsid w:val="002C2A3B"/>
    <w:rsid w:val="002C2DAF"/>
    <w:rsid w:val="002C2F03"/>
    <w:rsid w:val="002C3417"/>
    <w:rsid w:val="002C3692"/>
    <w:rsid w:val="002C3F72"/>
    <w:rsid w:val="002C45D5"/>
    <w:rsid w:val="002C465D"/>
    <w:rsid w:val="002C4689"/>
    <w:rsid w:val="002C4D0A"/>
    <w:rsid w:val="002C4DEF"/>
    <w:rsid w:val="002C51ED"/>
    <w:rsid w:val="002C5256"/>
    <w:rsid w:val="002C5FA1"/>
    <w:rsid w:val="002C6233"/>
    <w:rsid w:val="002C6798"/>
    <w:rsid w:val="002C6A9B"/>
    <w:rsid w:val="002C6FC4"/>
    <w:rsid w:val="002C739D"/>
    <w:rsid w:val="002C7A71"/>
    <w:rsid w:val="002D035A"/>
    <w:rsid w:val="002D06D2"/>
    <w:rsid w:val="002D1295"/>
    <w:rsid w:val="002D1570"/>
    <w:rsid w:val="002D1781"/>
    <w:rsid w:val="002D183A"/>
    <w:rsid w:val="002D1F07"/>
    <w:rsid w:val="002D1FA5"/>
    <w:rsid w:val="002D23FA"/>
    <w:rsid w:val="002D2433"/>
    <w:rsid w:val="002D2639"/>
    <w:rsid w:val="002D2EB6"/>
    <w:rsid w:val="002D30EC"/>
    <w:rsid w:val="002D317B"/>
    <w:rsid w:val="002D374F"/>
    <w:rsid w:val="002D49CB"/>
    <w:rsid w:val="002D4B13"/>
    <w:rsid w:val="002D5186"/>
    <w:rsid w:val="002D58F4"/>
    <w:rsid w:val="002D6952"/>
    <w:rsid w:val="002D6AEF"/>
    <w:rsid w:val="002D6D0C"/>
    <w:rsid w:val="002D7389"/>
    <w:rsid w:val="002D7D63"/>
    <w:rsid w:val="002D7FDC"/>
    <w:rsid w:val="002E0197"/>
    <w:rsid w:val="002E01B0"/>
    <w:rsid w:val="002E0214"/>
    <w:rsid w:val="002E0473"/>
    <w:rsid w:val="002E0EF2"/>
    <w:rsid w:val="002E11BE"/>
    <w:rsid w:val="002E13BC"/>
    <w:rsid w:val="002E1417"/>
    <w:rsid w:val="002E15AA"/>
    <w:rsid w:val="002E15D1"/>
    <w:rsid w:val="002E161A"/>
    <w:rsid w:val="002E2F44"/>
    <w:rsid w:val="002E3111"/>
    <w:rsid w:val="002E3265"/>
    <w:rsid w:val="002E3B45"/>
    <w:rsid w:val="002E44C0"/>
    <w:rsid w:val="002E4C3F"/>
    <w:rsid w:val="002E4E22"/>
    <w:rsid w:val="002E541E"/>
    <w:rsid w:val="002E5662"/>
    <w:rsid w:val="002E5A60"/>
    <w:rsid w:val="002E5B98"/>
    <w:rsid w:val="002E6002"/>
    <w:rsid w:val="002E66CA"/>
    <w:rsid w:val="002E6763"/>
    <w:rsid w:val="002E67E8"/>
    <w:rsid w:val="002E6963"/>
    <w:rsid w:val="002E6F4F"/>
    <w:rsid w:val="002E71C0"/>
    <w:rsid w:val="002E78BA"/>
    <w:rsid w:val="002E7DA0"/>
    <w:rsid w:val="002F0130"/>
    <w:rsid w:val="002F108C"/>
    <w:rsid w:val="002F1159"/>
    <w:rsid w:val="002F1351"/>
    <w:rsid w:val="002F17B1"/>
    <w:rsid w:val="002F2418"/>
    <w:rsid w:val="002F2F9B"/>
    <w:rsid w:val="002F36F1"/>
    <w:rsid w:val="002F3F27"/>
    <w:rsid w:val="002F4059"/>
    <w:rsid w:val="002F55AC"/>
    <w:rsid w:val="002F60A5"/>
    <w:rsid w:val="002F6179"/>
    <w:rsid w:val="002F6514"/>
    <w:rsid w:val="002F6690"/>
    <w:rsid w:val="002F694B"/>
    <w:rsid w:val="002F7394"/>
    <w:rsid w:val="002F757C"/>
    <w:rsid w:val="00300090"/>
    <w:rsid w:val="003002E1"/>
    <w:rsid w:val="003004E7"/>
    <w:rsid w:val="00300A22"/>
    <w:rsid w:val="003010A7"/>
    <w:rsid w:val="003010D6"/>
    <w:rsid w:val="00301E50"/>
    <w:rsid w:val="00301F79"/>
    <w:rsid w:val="003021C7"/>
    <w:rsid w:val="0030224F"/>
    <w:rsid w:val="00303043"/>
    <w:rsid w:val="00303329"/>
    <w:rsid w:val="00303B2D"/>
    <w:rsid w:val="00304D5D"/>
    <w:rsid w:val="00305180"/>
    <w:rsid w:val="0030530D"/>
    <w:rsid w:val="00305695"/>
    <w:rsid w:val="00305C76"/>
    <w:rsid w:val="003063A2"/>
    <w:rsid w:val="0030664B"/>
    <w:rsid w:val="00306813"/>
    <w:rsid w:val="00306F5A"/>
    <w:rsid w:val="00307610"/>
    <w:rsid w:val="0030761F"/>
    <w:rsid w:val="00307BFC"/>
    <w:rsid w:val="00307EFC"/>
    <w:rsid w:val="00310192"/>
    <w:rsid w:val="00311B81"/>
    <w:rsid w:val="0031237B"/>
    <w:rsid w:val="00312719"/>
    <w:rsid w:val="00314AC0"/>
    <w:rsid w:val="00314B3F"/>
    <w:rsid w:val="00314D56"/>
    <w:rsid w:val="00315049"/>
    <w:rsid w:val="003156C9"/>
    <w:rsid w:val="0031591D"/>
    <w:rsid w:val="00315A42"/>
    <w:rsid w:val="00315CC4"/>
    <w:rsid w:val="003165E7"/>
    <w:rsid w:val="00316F70"/>
    <w:rsid w:val="00317495"/>
    <w:rsid w:val="00317BCE"/>
    <w:rsid w:val="00320106"/>
    <w:rsid w:val="00320392"/>
    <w:rsid w:val="003205C1"/>
    <w:rsid w:val="003219CC"/>
    <w:rsid w:val="00322B62"/>
    <w:rsid w:val="00322DF5"/>
    <w:rsid w:val="00323510"/>
    <w:rsid w:val="00323AF8"/>
    <w:rsid w:val="00323F2D"/>
    <w:rsid w:val="00324020"/>
    <w:rsid w:val="003243F7"/>
    <w:rsid w:val="00324747"/>
    <w:rsid w:val="00324CB1"/>
    <w:rsid w:val="00325247"/>
    <w:rsid w:val="003259F1"/>
    <w:rsid w:val="00325BE3"/>
    <w:rsid w:val="0032646A"/>
    <w:rsid w:val="00326D60"/>
    <w:rsid w:val="00327598"/>
    <w:rsid w:val="003279EA"/>
    <w:rsid w:val="00327C64"/>
    <w:rsid w:val="0033016B"/>
    <w:rsid w:val="00330D20"/>
    <w:rsid w:val="00330D46"/>
    <w:rsid w:val="00331070"/>
    <w:rsid w:val="00331E5E"/>
    <w:rsid w:val="0033214C"/>
    <w:rsid w:val="003321D9"/>
    <w:rsid w:val="003322C6"/>
    <w:rsid w:val="003322F3"/>
    <w:rsid w:val="00332AD6"/>
    <w:rsid w:val="0033325C"/>
    <w:rsid w:val="003336D9"/>
    <w:rsid w:val="003338BB"/>
    <w:rsid w:val="00333923"/>
    <w:rsid w:val="00333F04"/>
    <w:rsid w:val="00335086"/>
    <w:rsid w:val="0033519C"/>
    <w:rsid w:val="0033559D"/>
    <w:rsid w:val="003357E7"/>
    <w:rsid w:val="003366B3"/>
    <w:rsid w:val="00336A4A"/>
    <w:rsid w:val="003371E0"/>
    <w:rsid w:val="00337712"/>
    <w:rsid w:val="0034051F"/>
    <w:rsid w:val="00340AE1"/>
    <w:rsid w:val="00340DC1"/>
    <w:rsid w:val="0034190E"/>
    <w:rsid w:val="00341AC0"/>
    <w:rsid w:val="003422A7"/>
    <w:rsid w:val="0034239C"/>
    <w:rsid w:val="003426FF"/>
    <w:rsid w:val="00342A82"/>
    <w:rsid w:val="00342EA4"/>
    <w:rsid w:val="00343000"/>
    <w:rsid w:val="0034306A"/>
    <w:rsid w:val="00343B33"/>
    <w:rsid w:val="003440D1"/>
    <w:rsid w:val="003443A4"/>
    <w:rsid w:val="00344774"/>
    <w:rsid w:val="00344EC6"/>
    <w:rsid w:val="00344F87"/>
    <w:rsid w:val="00345AD2"/>
    <w:rsid w:val="00345B37"/>
    <w:rsid w:val="003460FE"/>
    <w:rsid w:val="00346610"/>
    <w:rsid w:val="003466DD"/>
    <w:rsid w:val="00346863"/>
    <w:rsid w:val="003472C0"/>
    <w:rsid w:val="003473C1"/>
    <w:rsid w:val="003474F1"/>
    <w:rsid w:val="00347924"/>
    <w:rsid w:val="003479DD"/>
    <w:rsid w:val="00347C47"/>
    <w:rsid w:val="00347F90"/>
    <w:rsid w:val="0035005C"/>
    <w:rsid w:val="0035017C"/>
    <w:rsid w:val="003503EC"/>
    <w:rsid w:val="00350543"/>
    <w:rsid w:val="0035086B"/>
    <w:rsid w:val="00350BD5"/>
    <w:rsid w:val="003516BE"/>
    <w:rsid w:val="00351773"/>
    <w:rsid w:val="00351A42"/>
    <w:rsid w:val="00351ABD"/>
    <w:rsid w:val="00351CC5"/>
    <w:rsid w:val="00351DA3"/>
    <w:rsid w:val="003520D7"/>
    <w:rsid w:val="00352A35"/>
    <w:rsid w:val="00352DEC"/>
    <w:rsid w:val="00352FBD"/>
    <w:rsid w:val="00352FCF"/>
    <w:rsid w:val="00353098"/>
    <w:rsid w:val="0035313D"/>
    <w:rsid w:val="0035376A"/>
    <w:rsid w:val="00353EF1"/>
    <w:rsid w:val="00353FB1"/>
    <w:rsid w:val="0035407B"/>
    <w:rsid w:val="00354D7E"/>
    <w:rsid w:val="00354DF9"/>
    <w:rsid w:val="00355782"/>
    <w:rsid w:val="003559EF"/>
    <w:rsid w:val="00355C87"/>
    <w:rsid w:val="00355F40"/>
    <w:rsid w:val="00355FDE"/>
    <w:rsid w:val="0035665E"/>
    <w:rsid w:val="00356AC8"/>
    <w:rsid w:val="00357D17"/>
    <w:rsid w:val="0036005E"/>
    <w:rsid w:val="0036035F"/>
    <w:rsid w:val="00361959"/>
    <w:rsid w:val="00361BAC"/>
    <w:rsid w:val="00361C9C"/>
    <w:rsid w:val="0036223F"/>
    <w:rsid w:val="003622A8"/>
    <w:rsid w:val="00362D6F"/>
    <w:rsid w:val="00362EF5"/>
    <w:rsid w:val="003633DE"/>
    <w:rsid w:val="00363733"/>
    <w:rsid w:val="00363E1E"/>
    <w:rsid w:val="00364FEA"/>
    <w:rsid w:val="0036552C"/>
    <w:rsid w:val="00365805"/>
    <w:rsid w:val="00365E39"/>
    <w:rsid w:val="003666F6"/>
    <w:rsid w:val="0036689E"/>
    <w:rsid w:val="003672A5"/>
    <w:rsid w:val="003674D7"/>
    <w:rsid w:val="00367E17"/>
    <w:rsid w:val="0037074E"/>
    <w:rsid w:val="003709D3"/>
    <w:rsid w:val="00370B29"/>
    <w:rsid w:val="00370BC6"/>
    <w:rsid w:val="00370CF6"/>
    <w:rsid w:val="00371743"/>
    <w:rsid w:val="00371BF9"/>
    <w:rsid w:val="0037217B"/>
    <w:rsid w:val="00372A82"/>
    <w:rsid w:val="003730D5"/>
    <w:rsid w:val="003731E5"/>
    <w:rsid w:val="00374236"/>
    <w:rsid w:val="003744A3"/>
    <w:rsid w:val="00374996"/>
    <w:rsid w:val="00374D5D"/>
    <w:rsid w:val="00374F6F"/>
    <w:rsid w:val="0037568F"/>
    <w:rsid w:val="0037726B"/>
    <w:rsid w:val="00377E8C"/>
    <w:rsid w:val="00380052"/>
    <w:rsid w:val="003802C4"/>
    <w:rsid w:val="003803C8"/>
    <w:rsid w:val="00381395"/>
    <w:rsid w:val="0038144F"/>
    <w:rsid w:val="00381611"/>
    <w:rsid w:val="00381C82"/>
    <w:rsid w:val="00382171"/>
    <w:rsid w:val="003823CB"/>
    <w:rsid w:val="00382642"/>
    <w:rsid w:val="003834C5"/>
    <w:rsid w:val="00383710"/>
    <w:rsid w:val="00383B17"/>
    <w:rsid w:val="00383E26"/>
    <w:rsid w:val="003847B9"/>
    <w:rsid w:val="00384CA8"/>
    <w:rsid w:val="00385410"/>
    <w:rsid w:val="003854B0"/>
    <w:rsid w:val="00385595"/>
    <w:rsid w:val="00385A80"/>
    <w:rsid w:val="00386337"/>
    <w:rsid w:val="003877D0"/>
    <w:rsid w:val="00387F9C"/>
    <w:rsid w:val="00387FFE"/>
    <w:rsid w:val="003900FD"/>
    <w:rsid w:val="003901CC"/>
    <w:rsid w:val="0039030B"/>
    <w:rsid w:val="00390AAA"/>
    <w:rsid w:val="00390DF7"/>
    <w:rsid w:val="0039158E"/>
    <w:rsid w:val="00391C20"/>
    <w:rsid w:val="003921AF"/>
    <w:rsid w:val="0039287F"/>
    <w:rsid w:val="00393A4A"/>
    <w:rsid w:val="00394A59"/>
    <w:rsid w:val="00394B3A"/>
    <w:rsid w:val="00394BD3"/>
    <w:rsid w:val="00394C8D"/>
    <w:rsid w:val="00395620"/>
    <w:rsid w:val="00395D5D"/>
    <w:rsid w:val="00395DE0"/>
    <w:rsid w:val="0039629B"/>
    <w:rsid w:val="003963E7"/>
    <w:rsid w:val="003967BF"/>
    <w:rsid w:val="00396880"/>
    <w:rsid w:val="00396A73"/>
    <w:rsid w:val="00396D88"/>
    <w:rsid w:val="00396F6F"/>
    <w:rsid w:val="0039773F"/>
    <w:rsid w:val="003A08CF"/>
    <w:rsid w:val="003A0D32"/>
    <w:rsid w:val="003A0E8A"/>
    <w:rsid w:val="003A127C"/>
    <w:rsid w:val="003A135F"/>
    <w:rsid w:val="003A1361"/>
    <w:rsid w:val="003A1940"/>
    <w:rsid w:val="003A1B59"/>
    <w:rsid w:val="003A1FB8"/>
    <w:rsid w:val="003A2E8C"/>
    <w:rsid w:val="003A2FD1"/>
    <w:rsid w:val="003A3154"/>
    <w:rsid w:val="003A3788"/>
    <w:rsid w:val="003A37D3"/>
    <w:rsid w:val="003A3EC3"/>
    <w:rsid w:val="003A4610"/>
    <w:rsid w:val="003A4941"/>
    <w:rsid w:val="003A629D"/>
    <w:rsid w:val="003A65F8"/>
    <w:rsid w:val="003A6FC4"/>
    <w:rsid w:val="003A6FE2"/>
    <w:rsid w:val="003A75D8"/>
    <w:rsid w:val="003B00B4"/>
    <w:rsid w:val="003B023F"/>
    <w:rsid w:val="003B03CE"/>
    <w:rsid w:val="003B075E"/>
    <w:rsid w:val="003B08B6"/>
    <w:rsid w:val="003B0D70"/>
    <w:rsid w:val="003B1607"/>
    <w:rsid w:val="003B1686"/>
    <w:rsid w:val="003B1D07"/>
    <w:rsid w:val="003B2963"/>
    <w:rsid w:val="003B36C4"/>
    <w:rsid w:val="003B38FD"/>
    <w:rsid w:val="003B400B"/>
    <w:rsid w:val="003B581C"/>
    <w:rsid w:val="003B6228"/>
    <w:rsid w:val="003B6286"/>
    <w:rsid w:val="003B64C6"/>
    <w:rsid w:val="003B6DA9"/>
    <w:rsid w:val="003B718D"/>
    <w:rsid w:val="003B75C9"/>
    <w:rsid w:val="003C00DA"/>
    <w:rsid w:val="003C1066"/>
    <w:rsid w:val="003C1093"/>
    <w:rsid w:val="003C1CE6"/>
    <w:rsid w:val="003C22F3"/>
    <w:rsid w:val="003C2A6F"/>
    <w:rsid w:val="003C3464"/>
    <w:rsid w:val="003C3484"/>
    <w:rsid w:val="003C38AE"/>
    <w:rsid w:val="003C3A09"/>
    <w:rsid w:val="003C45CF"/>
    <w:rsid w:val="003C46B8"/>
    <w:rsid w:val="003C4730"/>
    <w:rsid w:val="003C4C8C"/>
    <w:rsid w:val="003C4FFA"/>
    <w:rsid w:val="003C50A9"/>
    <w:rsid w:val="003C52F2"/>
    <w:rsid w:val="003C5350"/>
    <w:rsid w:val="003C53A0"/>
    <w:rsid w:val="003C55B1"/>
    <w:rsid w:val="003C57FC"/>
    <w:rsid w:val="003C5BA2"/>
    <w:rsid w:val="003C5DDD"/>
    <w:rsid w:val="003C63EF"/>
    <w:rsid w:val="003C6AFE"/>
    <w:rsid w:val="003C6F41"/>
    <w:rsid w:val="003C70C3"/>
    <w:rsid w:val="003C78F6"/>
    <w:rsid w:val="003C7CB6"/>
    <w:rsid w:val="003C7D40"/>
    <w:rsid w:val="003D01FC"/>
    <w:rsid w:val="003D04C4"/>
    <w:rsid w:val="003D09D7"/>
    <w:rsid w:val="003D0C87"/>
    <w:rsid w:val="003D0E19"/>
    <w:rsid w:val="003D1267"/>
    <w:rsid w:val="003D1F5A"/>
    <w:rsid w:val="003D3846"/>
    <w:rsid w:val="003D41E5"/>
    <w:rsid w:val="003D4202"/>
    <w:rsid w:val="003D4B20"/>
    <w:rsid w:val="003D4C7E"/>
    <w:rsid w:val="003D56D1"/>
    <w:rsid w:val="003D62C8"/>
    <w:rsid w:val="003D637A"/>
    <w:rsid w:val="003D637C"/>
    <w:rsid w:val="003D69CD"/>
    <w:rsid w:val="003D75F4"/>
    <w:rsid w:val="003D78A9"/>
    <w:rsid w:val="003E06B4"/>
    <w:rsid w:val="003E0857"/>
    <w:rsid w:val="003E0CC3"/>
    <w:rsid w:val="003E150A"/>
    <w:rsid w:val="003E1E1A"/>
    <w:rsid w:val="003E2453"/>
    <w:rsid w:val="003E2565"/>
    <w:rsid w:val="003E29A4"/>
    <w:rsid w:val="003E29E9"/>
    <w:rsid w:val="003E30F6"/>
    <w:rsid w:val="003E3120"/>
    <w:rsid w:val="003E3A45"/>
    <w:rsid w:val="003E3AA7"/>
    <w:rsid w:val="003E4273"/>
    <w:rsid w:val="003E446C"/>
    <w:rsid w:val="003E6DDA"/>
    <w:rsid w:val="003E7542"/>
    <w:rsid w:val="003E7736"/>
    <w:rsid w:val="003F014D"/>
    <w:rsid w:val="003F0526"/>
    <w:rsid w:val="003F147B"/>
    <w:rsid w:val="003F14EC"/>
    <w:rsid w:val="003F1894"/>
    <w:rsid w:val="003F1F4A"/>
    <w:rsid w:val="003F1FA1"/>
    <w:rsid w:val="003F25AA"/>
    <w:rsid w:val="003F2C06"/>
    <w:rsid w:val="003F2D17"/>
    <w:rsid w:val="003F2EBC"/>
    <w:rsid w:val="003F301F"/>
    <w:rsid w:val="003F361E"/>
    <w:rsid w:val="003F388E"/>
    <w:rsid w:val="003F3BCE"/>
    <w:rsid w:val="003F40F1"/>
    <w:rsid w:val="003F4356"/>
    <w:rsid w:val="003F476C"/>
    <w:rsid w:val="003F47E8"/>
    <w:rsid w:val="003F4952"/>
    <w:rsid w:val="003F4D58"/>
    <w:rsid w:val="003F4F57"/>
    <w:rsid w:val="003F4F8B"/>
    <w:rsid w:val="003F52D6"/>
    <w:rsid w:val="003F5746"/>
    <w:rsid w:val="003F579B"/>
    <w:rsid w:val="003F5B8D"/>
    <w:rsid w:val="003F5D81"/>
    <w:rsid w:val="003F6260"/>
    <w:rsid w:val="003F64DE"/>
    <w:rsid w:val="003F74B8"/>
    <w:rsid w:val="003F77A2"/>
    <w:rsid w:val="004014E1"/>
    <w:rsid w:val="00401BF6"/>
    <w:rsid w:val="00401CD5"/>
    <w:rsid w:val="00401F17"/>
    <w:rsid w:val="004029C7"/>
    <w:rsid w:val="00402B0A"/>
    <w:rsid w:val="00402BEA"/>
    <w:rsid w:val="004033F0"/>
    <w:rsid w:val="00403515"/>
    <w:rsid w:val="00403572"/>
    <w:rsid w:val="0040376E"/>
    <w:rsid w:val="00403812"/>
    <w:rsid w:val="00403A51"/>
    <w:rsid w:val="004041BD"/>
    <w:rsid w:val="0040470B"/>
    <w:rsid w:val="004052E8"/>
    <w:rsid w:val="004055E5"/>
    <w:rsid w:val="004056BB"/>
    <w:rsid w:val="004059F5"/>
    <w:rsid w:val="00406371"/>
    <w:rsid w:val="00406466"/>
    <w:rsid w:val="00406F97"/>
    <w:rsid w:val="00407417"/>
    <w:rsid w:val="00407E58"/>
    <w:rsid w:val="00410C7D"/>
    <w:rsid w:val="004116D8"/>
    <w:rsid w:val="00412AED"/>
    <w:rsid w:val="0041359F"/>
    <w:rsid w:val="00414025"/>
    <w:rsid w:val="004144B6"/>
    <w:rsid w:val="00414815"/>
    <w:rsid w:val="00414B46"/>
    <w:rsid w:val="0041668D"/>
    <w:rsid w:val="00416B11"/>
    <w:rsid w:val="004171BB"/>
    <w:rsid w:val="004172B2"/>
    <w:rsid w:val="00417369"/>
    <w:rsid w:val="00417702"/>
    <w:rsid w:val="00420284"/>
    <w:rsid w:val="004204A3"/>
    <w:rsid w:val="00420517"/>
    <w:rsid w:val="0042090E"/>
    <w:rsid w:val="00420DE0"/>
    <w:rsid w:val="004214A2"/>
    <w:rsid w:val="00421C5F"/>
    <w:rsid w:val="00422BCF"/>
    <w:rsid w:val="00424014"/>
    <w:rsid w:val="0042444F"/>
    <w:rsid w:val="00424AA7"/>
    <w:rsid w:val="00424D63"/>
    <w:rsid w:val="00425106"/>
    <w:rsid w:val="00425F53"/>
    <w:rsid w:val="0042618F"/>
    <w:rsid w:val="00426620"/>
    <w:rsid w:val="004268FA"/>
    <w:rsid w:val="00426987"/>
    <w:rsid w:val="00426B55"/>
    <w:rsid w:val="004272F8"/>
    <w:rsid w:val="004276A3"/>
    <w:rsid w:val="00427707"/>
    <w:rsid w:val="00427DA8"/>
    <w:rsid w:val="00427DF4"/>
    <w:rsid w:val="00427F84"/>
    <w:rsid w:val="004305AE"/>
    <w:rsid w:val="00430A39"/>
    <w:rsid w:val="00430C94"/>
    <w:rsid w:val="00430E9A"/>
    <w:rsid w:val="004310DE"/>
    <w:rsid w:val="0043119D"/>
    <w:rsid w:val="004313F2"/>
    <w:rsid w:val="0043166E"/>
    <w:rsid w:val="0043185D"/>
    <w:rsid w:val="004318CD"/>
    <w:rsid w:val="0043191A"/>
    <w:rsid w:val="00431D3B"/>
    <w:rsid w:val="00431ED1"/>
    <w:rsid w:val="00431FE0"/>
    <w:rsid w:val="0043257D"/>
    <w:rsid w:val="004325C6"/>
    <w:rsid w:val="00432967"/>
    <w:rsid w:val="00432C3B"/>
    <w:rsid w:val="00433112"/>
    <w:rsid w:val="00433B08"/>
    <w:rsid w:val="00433B0D"/>
    <w:rsid w:val="00433E1C"/>
    <w:rsid w:val="00434149"/>
    <w:rsid w:val="0043430C"/>
    <w:rsid w:val="004343BF"/>
    <w:rsid w:val="00434618"/>
    <w:rsid w:val="0043470A"/>
    <w:rsid w:val="0043477A"/>
    <w:rsid w:val="0043522E"/>
    <w:rsid w:val="0043580E"/>
    <w:rsid w:val="00435982"/>
    <w:rsid w:val="00435D4C"/>
    <w:rsid w:val="00435F73"/>
    <w:rsid w:val="004365D6"/>
    <w:rsid w:val="004368E4"/>
    <w:rsid w:val="00436902"/>
    <w:rsid w:val="004369E7"/>
    <w:rsid w:val="00436DFD"/>
    <w:rsid w:val="0043718D"/>
    <w:rsid w:val="0043756F"/>
    <w:rsid w:val="004376E6"/>
    <w:rsid w:val="0044076B"/>
    <w:rsid w:val="00440878"/>
    <w:rsid w:val="00440B4C"/>
    <w:rsid w:val="00441441"/>
    <w:rsid w:val="0044149E"/>
    <w:rsid w:val="00441B02"/>
    <w:rsid w:val="00441D01"/>
    <w:rsid w:val="004426CA"/>
    <w:rsid w:val="00442ACC"/>
    <w:rsid w:val="00443804"/>
    <w:rsid w:val="00443C37"/>
    <w:rsid w:val="00443F6F"/>
    <w:rsid w:val="00444A53"/>
    <w:rsid w:val="00445251"/>
    <w:rsid w:val="00445F69"/>
    <w:rsid w:val="00445FB2"/>
    <w:rsid w:val="0044678D"/>
    <w:rsid w:val="00446FEE"/>
    <w:rsid w:val="00447234"/>
    <w:rsid w:val="004477D8"/>
    <w:rsid w:val="004479F2"/>
    <w:rsid w:val="00450480"/>
    <w:rsid w:val="00450D66"/>
    <w:rsid w:val="00450DA4"/>
    <w:rsid w:val="00451CBC"/>
    <w:rsid w:val="00451CE6"/>
    <w:rsid w:val="00451E3F"/>
    <w:rsid w:val="004520D2"/>
    <w:rsid w:val="004526EC"/>
    <w:rsid w:val="00453A5C"/>
    <w:rsid w:val="00453B65"/>
    <w:rsid w:val="00453CAD"/>
    <w:rsid w:val="0045448C"/>
    <w:rsid w:val="00454735"/>
    <w:rsid w:val="004547CD"/>
    <w:rsid w:val="00455030"/>
    <w:rsid w:val="004555D0"/>
    <w:rsid w:val="004558F2"/>
    <w:rsid w:val="00455BAA"/>
    <w:rsid w:val="00455DD5"/>
    <w:rsid w:val="00456016"/>
    <w:rsid w:val="0045631B"/>
    <w:rsid w:val="00456372"/>
    <w:rsid w:val="004563C5"/>
    <w:rsid w:val="004571A8"/>
    <w:rsid w:val="004573C3"/>
    <w:rsid w:val="004577DC"/>
    <w:rsid w:val="00457FC2"/>
    <w:rsid w:val="00460DB0"/>
    <w:rsid w:val="004610CA"/>
    <w:rsid w:val="0046124A"/>
    <w:rsid w:val="00461364"/>
    <w:rsid w:val="004615CD"/>
    <w:rsid w:val="00461937"/>
    <w:rsid w:val="00461947"/>
    <w:rsid w:val="00461BC9"/>
    <w:rsid w:val="00461F01"/>
    <w:rsid w:val="00462023"/>
    <w:rsid w:val="004620E3"/>
    <w:rsid w:val="004621BC"/>
    <w:rsid w:val="004623BE"/>
    <w:rsid w:val="00462569"/>
    <w:rsid w:val="004626F1"/>
    <w:rsid w:val="00462AFB"/>
    <w:rsid w:val="004632AF"/>
    <w:rsid w:val="00463379"/>
    <w:rsid w:val="004633CF"/>
    <w:rsid w:val="004634B2"/>
    <w:rsid w:val="00463A02"/>
    <w:rsid w:val="00463A56"/>
    <w:rsid w:val="00463BBF"/>
    <w:rsid w:val="00464133"/>
    <w:rsid w:val="004645D6"/>
    <w:rsid w:val="00464EA3"/>
    <w:rsid w:val="00465112"/>
    <w:rsid w:val="00465296"/>
    <w:rsid w:val="00465393"/>
    <w:rsid w:val="0046573A"/>
    <w:rsid w:val="004657E3"/>
    <w:rsid w:val="00465C53"/>
    <w:rsid w:val="00465CB9"/>
    <w:rsid w:val="00465F70"/>
    <w:rsid w:val="00465FAA"/>
    <w:rsid w:val="004665E5"/>
    <w:rsid w:val="00466947"/>
    <w:rsid w:val="00466B31"/>
    <w:rsid w:val="00466B5B"/>
    <w:rsid w:val="004678EE"/>
    <w:rsid w:val="00467919"/>
    <w:rsid w:val="00467BF9"/>
    <w:rsid w:val="0047004E"/>
    <w:rsid w:val="0047022A"/>
    <w:rsid w:val="004710C2"/>
    <w:rsid w:val="004713D1"/>
    <w:rsid w:val="0047186C"/>
    <w:rsid w:val="00471E25"/>
    <w:rsid w:val="0047341D"/>
    <w:rsid w:val="00473A97"/>
    <w:rsid w:val="00473BDF"/>
    <w:rsid w:val="00474D21"/>
    <w:rsid w:val="00474F23"/>
    <w:rsid w:val="00475D7D"/>
    <w:rsid w:val="00476A45"/>
    <w:rsid w:val="00476BBB"/>
    <w:rsid w:val="00476E3D"/>
    <w:rsid w:val="00477091"/>
    <w:rsid w:val="00477912"/>
    <w:rsid w:val="004808EB"/>
    <w:rsid w:val="00480C10"/>
    <w:rsid w:val="00480FA0"/>
    <w:rsid w:val="00481132"/>
    <w:rsid w:val="00481476"/>
    <w:rsid w:val="004816DD"/>
    <w:rsid w:val="004821E4"/>
    <w:rsid w:val="00482250"/>
    <w:rsid w:val="00482AD0"/>
    <w:rsid w:val="004834C0"/>
    <w:rsid w:val="00483976"/>
    <w:rsid w:val="00483CF0"/>
    <w:rsid w:val="00483CF8"/>
    <w:rsid w:val="00483D8D"/>
    <w:rsid w:val="004842D2"/>
    <w:rsid w:val="004842E4"/>
    <w:rsid w:val="0048432F"/>
    <w:rsid w:val="00484515"/>
    <w:rsid w:val="00485326"/>
    <w:rsid w:val="0048578C"/>
    <w:rsid w:val="00486125"/>
    <w:rsid w:val="0048660E"/>
    <w:rsid w:val="0048699A"/>
    <w:rsid w:val="00486E6F"/>
    <w:rsid w:val="004877CA"/>
    <w:rsid w:val="00487BEB"/>
    <w:rsid w:val="00487C1F"/>
    <w:rsid w:val="00487DEE"/>
    <w:rsid w:val="00487E5F"/>
    <w:rsid w:val="00490631"/>
    <w:rsid w:val="0049070A"/>
    <w:rsid w:val="00490A6D"/>
    <w:rsid w:val="00491982"/>
    <w:rsid w:val="00491C12"/>
    <w:rsid w:val="0049231A"/>
    <w:rsid w:val="00492383"/>
    <w:rsid w:val="0049376B"/>
    <w:rsid w:val="00493C63"/>
    <w:rsid w:val="00493EED"/>
    <w:rsid w:val="00494215"/>
    <w:rsid w:val="00494E93"/>
    <w:rsid w:val="00495035"/>
    <w:rsid w:val="004953A7"/>
    <w:rsid w:val="00496417"/>
    <w:rsid w:val="004965B8"/>
    <w:rsid w:val="004969AE"/>
    <w:rsid w:val="00496D8D"/>
    <w:rsid w:val="004A02C6"/>
    <w:rsid w:val="004A0331"/>
    <w:rsid w:val="004A0443"/>
    <w:rsid w:val="004A1454"/>
    <w:rsid w:val="004A1842"/>
    <w:rsid w:val="004A18B5"/>
    <w:rsid w:val="004A1C59"/>
    <w:rsid w:val="004A1D73"/>
    <w:rsid w:val="004A1F6A"/>
    <w:rsid w:val="004A20F2"/>
    <w:rsid w:val="004A2677"/>
    <w:rsid w:val="004A2AED"/>
    <w:rsid w:val="004A2FF9"/>
    <w:rsid w:val="004A30FD"/>
    <w:rsid w:val="004A3616"/>
    <w:rsid w:val="004A3A5D"/>
    <w:rsid w:val="004A4201"/>
    <w:rsid w:val="004A429A"/>
    <w:rsid w:val="004A458D"/>
    <w:rsid w:val="004A504B"/>
    <w:rsid w:val="004A55AC"/>
    <w:rsid w:val="004A5A43"/>
    <w:rsid w:val="004A62FE"/>
    <w:rsid w:val="004A6510"/>
    <w:rsid w:val="004A6B83"/>
    <w:rsid w:val="004A7182"/>
    <w:rsid w:val="004A7223"/>
    <w:rsid w:val="004A7533"/>
    <w:rsid w:val="004A7D20"/>
    <w:rsid w:val="004A7D8B"/>
    <w:rsid w:val="004B00BB"/>
    <w:rsid w:val="004B0522"/>
    <w:rsid w:val="004B0863"/>
    <w:rsid w:val="004B08A3"/>
    <w:rsid w:val="004B0994"/>
    <w:rsid w:val="004B1BE4"/>
    <w:rsid w:val="004B1DC4"/>
    <w:rsid w:val="004B1EA0"/>
    <w:rsid w:val="004B1FF1"/>
    <w:rsid w:val="004B2088"/>
    <w:rsid w:val="004B21BA"/>
    <w:rsid w:val="004B280D"/>
    <w:rsid w:val="004B2972"/>
    <w:rsid w:val="004B2DDF"/>
    <w:rsid w:val="004B31B8"/>
    <w:rsid w:val="004B322B"/>
    <w:rsid w:val="004B37E4"/>
    <w:rsid w:val="004B3E52"/>
    <w:rsid w:val="004B3F02"/>
    <w:rsid w:val="004B45A8"/>
    <w:rsid w:val="004B46F6"/>
    <w:rsid w:val="004B492B"/>
    <w:rsid w:val="004B49C0"/>
    <w:rsid w:val="004B4B7F"/>
    <w:rsid w:val="004B5AF4"/>
    <w:rsid w:val="004B5D70"/>
    <w:rsid w:val="004B5FE3"/>
    <w:rsid w:val="004B6312"/>
    <w:rsid w:val="004B69C5"/>
    <w:rsid w:val="004B6C2E"/>
    <w:rsid w:val="004B6FD3"/>
    <w:rsid w:val="004B701F"/>
    <w:rsid w:val="004B7487"/>
    <w:rsid w:val="004B7FBB"/>
    <w:rsid w:val="004C021B"/>
    <w:rsid w:val="004C023B"/>
    <w:rsid w:val="004C03DC"/>
    <w:rsid w:val="004C126C"/>
    <w:rsid w:val="004C13CE"/>
    <w:rsid w:val="004C1457"/>
    <w:rsid w:val="004C19CE"/>
    <w:rsid w:val="004C19D2"/>
    <w:rsid w:val="004C2347"/>
    <w:rsid w:val="004C2705"/>
    <w:rsid w:val="004C2A73"/>
    <w:rsid w:val="004C2D9A"/>
    <w:rsid w:val="004C2FBB"/>
    <w:rsid w:val="004C3105"/>
    <w:rsid w:val="004C32CC"/>
    <w:rsid w:val="004C40BE"/>
    <w:rsid w:val="004C4DF3"/>
    <w:rsid w:val="004C4EC5"/>
    <w:rsid w:val="004C50D7"/>
    <w:rsid w:val="004C544B"/>
    <w:rsid w:val="004C56AB"/>
    <w:rsid w:val="004C5A42"/>
    <w:rsid w:val="004C5B16"/>
    <w:rsid w:val="004C5D23"/>
    <w:rsid w:val="004C6068"/>
    <w:rsid w:val="004C6107"/>
    <w:rsid w:val="004C70B4"/>
    <w:rsid w:val="004C782C"/>
    <w:rsid w:val="004D002F"/>
    <w:rsid w:val="004D0353"/>
    <w:rsid w:val="004D0763"/>
    <w:rsid w:val="004D0A5A"/>
    <w:rsid w:val="004D0AD9"/>
    <w:rsid w:val="004D0C09"/>
    <w:rsid w:val="004D0C4A"/>
    <w:rsid w:val="004D0EAB"/>
    <w:rsid w:val="004D166B"/>
    <w:rsid w:val="004D1C26"/>
    <w:rsid w:val="004D243F"/>
    <w:rsid w:val="004D27D1"/>
    <w:rsid w:val="004D2967"/>
    <w:rsid w:val="004D2E0F"/>
    <w:rsid w:val="004D364B"/>
    <w:rsid w:val="004D443F"/>
    <w:rsid w:val="004D44A2"/>
    <w:rsid w:val="004D4685"/>
    <w:rsid w:val="004D4D58"/>
    <w:rsid w:val="004D53FE"/>
    <w:rsid w:val="004D5B57"/>
    <w:rsid w:val="004D5CCB"/>
    <w:rsid w:val="004D6898"/>
    <w:rsid w:val="004D6AEB"/>
    <w:rsid w:val="004D7006"/>
    <w:rsid w:val="004D71CB"/>
    <w:rsid w:val="004D7264"/>
    <w:rsid w:val="004D755F"/>
    <w:rsid w:val="004D76D1"/>
    <w:rsid w:val="004D7AEA"/>
    <w:rsid w:val="004E0634"/>
    <w:rsid w:val="004E0982"/>
    <w:rsid w:val="004E0D5D"/>
    <w:rsid w:val="004E1227"/>
    <w:rsid w:val="004E15E9"/>
    <w:rsid w:val="004E18CB"/>
    <w:rsid w:val="004E19ED"/>
    <w:rsid w:val="004E1B3C"/>
    <w:rsid w:val="004E2C05"/>
    <w:rsid w:val="004E32D1"/>
    <w:rsid w:val="004E396E"/>
    <w:rsid w:val="004E3A52"/>
    <w:rsid w:val="004E3D69"/>
    <w:rsid w:val="004E3E84"/>
    <w:rsid w:val="004E418D"/>
    <w:rsid w:val="004E59D8"/>
    <w:rsid w:val="004E5AF5"/>
    <w:rsid w:val="004E5CAA"/>
    <w:rsid w:val="004E626A"/>
    <w:rsid w:val="004E627F"/>
    <w:rsid w:val="004E6839"/>
    <w:rsid w:val="004E69ED"/>
    <w:rsid w:val="004E6AB1"/>
    <w:rsid w:val="004E7078"/>
    <w:rsid w:val="004E7568"/>
    <w:rsid w:val="004E7C83"/>
    <w:rsid w:val="004E7DA2"/>
    <w:rsid w:val="004F0733"/>
    <w:rsid w:val="004F12E3"/>
    <w:rsid w:val="004F19E6"/>
    <w:rsid w:val="004F1E40"/>
    <w:rsid w:val="004F1F16"/>
    <w:rsid w:val="004F1F52"/>
    <w:rsid w:val="004F2867"/>
    <w:rsid w:val="004F2FB3"/>
    <w:rsid w:val="004F3157"/>
    <w:rsid w:val="004F3187"/>
    <w:rsid w:val="004F36E4"/>
    <w:rsid w:val="004F3B64"/>
    <w:rsid w:val="004F3C2A"/>
    <w:rsid w:val="004F43B5"/>
    <w:rsid w:val="004F47D9"/>
    <w:rsid w:val="004F4AE4"/>
    <w:rsid w:val="004F50F2"/>
    <w:rsid w:val="004F5126"/>
    <w:rsid w:val="004F572C"/>
    <w:rsid w:val="004F5BAC"/>
    <w:rsid w:val="004F6630"/>
    <w:rsid w:val="004F6750"/>
    <w:rsid w:val="004F6F0A"/>
    <w:rsid w:val="004F72AB"/>
    <w:rsid w:val="004F759F"/>
    <w:rsid w:val="004F77A6"/>
    <w:rsid w:val="004F7C97"/>
    <w:rsid w:val="004F7CAB"/>
    <w:rsid w:val="004F7F03"/>
    <w:rsid w:val="00500623"/>
    <w:rsid w:val="00500A5A"/>
    <w:rsid w:val="00501B2E"/>
    <w:rsid w:val="00502BAC"/>
    <w:rsid w:val="00502DCB"/>
    <w:rsid w:val="00502E0D"/>
    <w:rsid w:val="00502E2A"/>
    <w:rsid w:val="00502F2B"/>
    <w:rsid w:val="00502F7F"/>
    <w:rsid w:val="0050339F"/>
    <w:rsid w:val="0050368C"/>
    <w:rsid w:val="0050375C"/>
    <w:rsid w:val="005039EE"/>
    <w:rsid w:val="0050422A"/>
    <w:rsid w:val="00504402"/>
    <w:rsid w:val="005047B6"/>
    <w:rsid w:val="00504B66"/>
    <w:rsid w:val="00504C27"/>
    <w:rsid w:val="005050F5"/>
    <w:rsid w:val="0050522B"/>
    <w:rsid w:val="00505576"/>
    <w:rsid w:val="00505D0A"/>
    <w:rsid w:val="00505F0D"/>
    <w:rsid w:val="00506116"/>
    <w:rsid w:val="005061CF"/>
    <w:rsid w:val="00506244"/>
    <w:rsid w:val="00507615"/>
    <w:rsid w:val="005078AA"/>
    <w:rsid w:val="00510276"/>
    <w:rsid w:val="005104FC"/>
    <w:rsid w:val="00510DCD"/>
    <w:rsid w:val="00512284"/>
    <w:rsid w:val="005122AD"/>
    <w:rsid w:val="00512730"/>
    <w:rsid w:val="00513A0B"/>
    <w:rsid w:val="00513A5F"/>
    <w:rsid w:val="00513EEE"/>
    <w:rsid w:val="00513F7F"/>
    <w:rsid w:val="0051405F"/>
    <w:rsid w:val="00514650"/>
    <w:rsid w:val="00514F72"/>
    <w:rsid w:val="005157E1"/>
    <w:rsid w:val="00515DDD"/>
    <w:rsid w:val="0051697B"/>
    <w:rsid w:val="00516C8F"/>
    <w:rsid w:val="00516E67"/>
    <w:rsid w:val="0051724B"/>
    <w:rsid w:val="0051733D"/>
    <w:rsid w:val="0051777C"/>
    <w:rsid w:val="0051778F"/>
    <w:rsid w:val="00517DD3"/>
    <w:rsid w:val="00520040"/>
    <w:rsid w:val="00520F7C"/>
    <w:rsid w:val="00521385"/>
    <w:rsid w:val="005217A7"/>
    <w:rsid w:val="00522A7E"/>
    <w:rsid w:val="00523847"/>
    <w:rsid w:val="00524FD8"/>
    <w:rsid w:val="0052505D"/>
    <w:rsid w:val="00525161"/>
    <w:rsid w:val="00525967"/>
    <w:rsid w:val="00525E96"/>
    <w:rsid w:val="00525EB6"/>
    <w:rsid w:val="00526126"/>
    <w:rsid w:val="00526464"/>
    <w:rsid w:val="00526648"/>
    <w:rsid w:val="005266D8"/>
    <w:rsid w:val="005269DA"/>
    <w:rsid w:val="00526A1C"/>
    <w:rsid w:val="0052708E"/>
    <w:rsid w:val="00527ED3"/>
    <w:rsid w:val="005308FF"/>
    <w:rsid w:val="00531287"/>
    <w:rsid w:val="00531D51"/>
    <w:rsid w:val="00531E65"/>
    <w:rsid w:val="00532487"/>
    <w:rsid w:val="00532EA7"/>
    <w:rsid w:val="0053315F"/>
    <w:rsid w:val="005331BB"/>
    <w:rsid w:val="0053325F"/>
    <w:rsid w:val="00533CA7"/>
    <w:rsid w:val="00533E21"/>
    <w:rsid w:val="0053420E"/>
    <w:rsid w:val="0053433A"/>
    <w:rsid w:val="00534392"/>
    <w:rsid w:val="00535AA7"/>
    <w:rsid w:val="00535D3E"/>
    <w:rsid w:val="0053608F"/>
    <w:rsid w:val="00536496"/>
    <w:rsid w:val="005365F3"/>
    <w:rsid w:val="00536D53"/>
    <w:rsid w:val="00536F8C"/>
    <w:rsid w:val="005373FC"/>
    <w:rsid w:val="0053740D"/>
    <w:rsid w:val="00537460"/>
    <w:rsid w:val="0053752D"/>
    <w:rsid w:val="005376DF"/>
    <w:rsid w:val="00537AAC"/>
    <w:rsid w:val="00537F62"/>
    <w:rsid w:val="00540F24"/>
    <w:rsid w:val="0054100C"/>
    <w:rsid w:val="005416A1"/>
    <w:rsid w:val="0054274C"/>
    <w:rsid w:val="0054295A"/>
    <w:rsid w:val="00542BDE"/>
    <w:rsid w:val="00542C1B"/>
    <w:rsid w:val="005430C6"/>
    <w:rsid w:val="00543423"/>
    <w:rsid w:val="005438AA"/>
    <w:rsid w:val="0054434A"/>
    <w:rsid w:val="0054454C"/>
    <w:rsid w:val="005451FC"/>
    <w:rsid w:val="0054536F"/>
    <w:rsid w:val="005453A6"/>
    <w:rsid w:val="005457C5"/>
    <w:rsid w:val="005457FE"/>
    <w:rsid w:val="005458CA"/>
    <w:rsid w:val="00545B36"/>
    <w:rsid w:val="00546061"/>
    <w:rsid w:val="00546B64"/>
    <w:rsid w:val="00546C24"/>
    <w:rsid w:val="00546CB8"/>
    <w:rsid w:val="005473D0"/>
    <w:rsid w:val="00547654"/>
    <w:rsid w:val="005476FA"/>
    <w:rsid w:val="0054780B"/>
    <w:rsid w:val="00547E2D"/>
    <w:rsid w:val="00550327"/>
    <w:rsid w:val="005505A2"/>
    <w:rsid w:val="00550D16"/>
    <w:rsid w:val="0055112E"/>
    <w:rsid w:val="005512BF"/>
    <w:rsid w:val="005513EA"/>
    <w:rsid w:val="0055171D"/>
    <w:rsid w:val="00551CE1"/>
    <w:rsid w:val="00551D56"/>
    <w:rsid w:val="00552523"/>
    <w:rsid w:val="0055265C"/>
    <w:rsid w:val="00552720"/>
    <w:rsid w:val="00552C90"/>
    <w:rsid w:val="0055374C"/>
    <w:rsid w:val="00553BC8"/>
    <w:rsid w:val="00553CC8"/>
    <w:rsid w:val="00553D20"/>
    <w:rsid w:val="005541E9"/>
    <w:rsid w:val="005548E2"/>
    <w:rsid w:val="00554D6A"/>
    <w:rsid w:val="005552D4"/>
    <w:rsid w:val="005555F6"/>
    <w:rsid w:val="005563CD"/>
    <w:rsid w:val="00556821"/>
    <w:rsid w:val="0055699E"/>
    <w:rsid w:val="00556D7D"/>
    <w:rsid w:val="005574AA"/>
    <w:rsid w:val="005575E5"/>
    <w:rsid w:val="005576E2"/>
    <w:rsid w:val="00557923"/>
    <w:rsid w:val="00557A02"/>
    <w:rsid w:val="00557A9C"/>
    <w:rsid w:val="00560916"/>
    <w:rsid w:val="00560C58"/>
    <w:rsid w:val="00560ED7"/>
    <w:rsid w:val="005612A6"/>
    <w:rsid w:val="00561908"/>
    <w:rsid w:val="00561B67"/>
    <w:rsid w:val="00561F62"/>
    <w:rsid w:val="00562015"/>
    <w:rsid w:val="00562049"/>
    <w:rsid w:val="005620FC"/>
    <w:rsid w:val="0056348C"/>
    <w:rsid w:val="005638E3"/>
    <w:rsid w:val="00563F68"/>
    <w:rsid w:val="00564402"/>
    <w:rsid w:val="00564E8E"/>
    <w:rsid w:val="005651EF"/>
    <w:rsid w:val="0056533F"/>
    <w:rsid w:val="00565447"/>
    <w:rsid w:val="0056559F"/>
    <w:rsid w:val="00566208"/>
    <w:rsid w:val="0056638A"/>
    <w:rsid w:val="005664CC"/>
    <w:rsid w:val="0056673D"/>
    <w:rsid w:val="00567A65"/>
    <w:rsid w:val="00567C8B"/>
    <w:rsid w:val="00570327"/>
    <w:rsid w:val="005705B1"/>
    <w:rsid w:val="00570D0A"/>
    <w:rsid w:val="00571043"/>
    <w:rsid w:val="0057128D"/>
    <w:rsid w:val="005712A8"/>
    <w:rsid w:val="00571530"/>
    <w:rsid w:val="00571AEC"/>
    <w:rsid w:val="00571E52"/>
    <w:rsid w:val="00571EBA"/>
    <w:rsid w:val="00572128"/>
    <w:rsid w:val="00572A1A"/>
    <w:rsid w:val="00573248"/>
    <w:rsid w:val="005735FB"/>
    <w:rsid w:val="00573A96"/>
    <w:rsid w:val="00574340"/>
    <w:rsid w:val="00574496"/>
    <w:rsid w:val="005746A0"/>
    <w:rsid w:val="005749EF"/>
    <w:rsid w:val="005750C6"/>
    <w:rsid w:val="005756DD"/>
    <w:rsid w:val="005757C8"/>
    <w:rsid w:val="005757CA"/>
    <w:rsid w:val="00575ED5"/>
    <w:rsid w:val="0057698C"/>
    <w:rsid w:val="00576C0F"/>
    <w:rsid w:val="00576E5C"/>
    <w:rsid w:val="00577272"/>
    <w:rsid w:val="00577484"/>
    <w:rsid w:val="0057749A"/>
    <w:rsid w:val="005779E4"/>
    <w:rsid w:val="00580862"/>
    <w:rsid w:val="00580B3C"/>
    <w:rsid w:val="00580D9B"/>
    <w:rsid w:val="00580FF1"/>
    <w:rsid w:val="005810DE"/>
    <w:rsid w:val="005817BB"/>
    <w:rsid w:val="00581C69"/>
    <w:rsid w:val="00581DA4"/>
    <w:rsid w:val="00581F6C"/>
    <w:rsid w:val="005820B2"/>
    <w:rsid w:val="00582428"/>
    <w:rsid w:val="005827EA"/>
    <w:rsid w:val="00583549"/>
    <w:rsid w:val="005837E8"/>
    <w:rsid w:val="00583C66"/>
    <w:rsid w:val="005840F6"/>
    <w:rsid w:val="00584FDA"/>
    <w:rsid w:val="005850A8"/>
    <w:rsid w:val="00585770"/>
    <w:rsid w:val="00585ADD"/>
    <w:rsid w:val="00586189"/>
    <w:rsid w:val="00586894"/>
    <w:rsid w:val="005870C8"/>
    <w:rsid w:val="00587BB3"/>
    <w:rsid w:val="005903CB"/>
    <w:rsid w:val="00590C1B"/>
    <w:rsid w:val="00590F69"/>
    <w:rsid w:val="00591740"/>
    <w:rsid w:val="00591890"/>
    <w:rsid w:val="00592409"/>
    <w:rsid w:val="005924A4"/>
    <w:rsid w:val="00592515"/>
    <w:rsid w:val="005925AB"/>
    <w:rsid w:val="00592917"/>
    <w:rsid w:val="005935B3"/>
    <w:rsid w:val="00594369"/>
    <w:rsid w:val="0059547C"/>
    <w:rsid w:val="00595851"/>
    <w:rsid w:val="00595D15"/>
    <w:rsid w:val="00595D6A"/>
    <w:rsid w:val="00596813"/>
    <w:rsid w:val="00597953"/>
    <w:rsid w:val="00597A37"/>
    <w:rsid w:val="00597B35"/>
    <w:rsid w:val="005A021F"/>
    <w:rsid w:val="005A09E1"/>
    <w:rsid w:val="005A0E54"/>
    <w:rsid w:val="005A0FD3"/>
    <w:rsid w:val="005A10A6"/>
    <w:rsid w:val="005A1303"/>
    <w:rsid w:val="005A152E"/>
    <w:rsid w:val="005A15D1"/>
    <w:rsid w:val="005A1683"/>
    <w:rsid w:val="005A17B3"/>
    <w:rsid w:val="005A20DB"/>
    <w:rsid w:val="005A2238"/>
    <w:rsid w:val="005A23A7"/>
    <w:rsid w:val="005A265D"/>
    <w:rsid w:val="005A26DA"/>
    <w:rsid w:val="005A297D"/>
    <w:rsid w:val="005A2B7B"/>
    <w:rsid w:val="005A2E57"/>
    <w:rsid w:val="005A3E95"/>
    <w:rsid w:val="005A401D"/>
    <w:rsid w:val="005A4278"/>
    <w:rsid w:val="005A4829"/>
    <w:rsid w:val="005A4AB9"/>
    <w:rsid w:val="005A5C6B"/>
    <w:rsid w:val="005A625F"/>
    <w:rsid w:val="005A6664"/>
    <w:rsid w:val="005A68D7"/>
    <w:rsid w:val="005A6BFC"/>
    <w:rsid w:val="005A77CE"/>
    <w:rsid w:val="005A792C"/>
    <w:rsid w:val="005A7A22"/>
    <w:rsid w:val="005A7AE8"/>
    <w:rsid w:val="005B0554"/>
    <w:rsid w:val="005B0698"/>
    <w:rsid w:val="005B08E9"/>
    <w:rsid w:val="005B092C"/>
    <w:rsid w:val="005B0A67"/>
    <w:rsid w:val="005B27C5"/>
    <w:rsid w:val="005B2A88"/>
    <w:rsid w:val="005B2B58"/>
    <w:rsid w:val="005B3084"/>
    <w:rsid w:val="005B34E1"/>
    <w:rsid w:val="005B39A7"/>
    <w:rsid w:val="005B3C5E"/>
    <w:rsid w:val="005B427C"/>
    <w:rsid w:val="005B4383"/>
    <w:rsid w:val="005B4448"/>
    <w:rsid w:val="005B49C0"/>
    <w:rsid w:val="005B4B0D"/>
    <w:rsid w:val="005B5518"/>
    <w:rsid w:val="005B5AA7"/>
    <w:rsid w:val="005B5BC0"/>
    <w:rsid w:val="005B6317"/>
    <w:rsid w:val="005B649B"/>
    <w:rsid w:val="005B6513"/>
    <w:rsid w:val="005B6A83"/>
    <w:rsid w:val="005B6AC7"/>
    <w:rsid w:val="005B6EEC"/>
    <w:rsid w:val="005B7000"/>
    <w:rsid w:val="005B7151"/>
    <w:rsid w:val="005C0083"/>
    <w:rsid w:val="005C03A8"/>
    <w:rsid w:val="005C046A"/>
    <w:rsid w:val="005C0B54"/>
    <w:rsid w:val="005C1112"/>
    <w:rsid w:val="005C1125"/>
    <w:rsid w:val="005C1357"/>
    <w:rsid w:val="005C201E"/>
    <w:rsid w:val="005C2590"/>
    <w:rsid w:val="005C2999"/>
    <w:rsid w:val="005C3049"/>
    <w:rsid w:val="005C3284"/>
    <w:rsid w:val="005C383E"/>
    <w:rsid w:val="005C3A4E"/>
    <w:rsid w:val="005C3DC1"/>
    <w:rsid w:val="005C40BB"/>
    <w:rsid w:val="005C42C8"/>
    <w:rsid w:val="005C4B60"/>
    <w:rsid w:val="005C4D79"/>
    <w:rsid w:val="005C50F4"/>
    <w:rsid w:val="005C57DF"/>
    <w:rsid w:val="005C59E4"/>
    <w:rsid w:val="005C5E3A"/>
    <w:rsid w:val="005C5EFC"/>
    <w:rsid w:val="005C5F3D"/>
    <w:rsid w:val="005C5F99"/>
    <w:rsid w:val="005C66BB"/>
    <w:rsid w:val="005C6E23"/>
    <w:rsid w:val="005C73E8"/>
    <w:rsid w:val="005C7A2D"/>
    <w:rsid w:val="005C7A5A"/>
    <w:rsid w:val="005D04D3"/>
    <w:rsid w:val="005D05C3"/>
    <w:rsid w:val="005D0830"/>
    <w:rsid w:val="005D0EB4"/>
    <w:rsid w:val="005D1286"/>
    <w:rsid w:val="005D1D61"/>
    <w:rsid w:val="005D1D72"/>
    <w:rsid w:val="005D2275"/>
    <w:rsid w:val="005D2622"/>
    <w:rsid w:val="005D33F7"/>
    <w:rsid w:val="005D34B3"/>
    <w:rsid w:val="005D3547"/>
    <w:rsid w:val="005D36EE"/>
    <w:rsid w:val="005D38B3"/>
    <w:rsid w:val="005D3C31"/>
    <w:rsid w:val="005D4411"/>
    <w:rsid w:val="005D45E3"/>
    <w:rsid w:val="005D46E9"/>
    <w:rsid w:val="005D4A2B"/>
    <w:rsid w:val="005D52BA"/>
    <w:rsid w:val="005D580C"/>
    <w:rsid w:val="005D6729"/>
    <w:rsid w:val="005D6B13"/>
    <w:rsid w:val="005D6DE9"/>
    <w:rsid w:val="005D6F42"/>
    <w:rsid w:val="005D72E4"/>
    <w:rsid w:val="005E0540"/>
    <w:rsid w:val="005E0760"/>
    <w:rsid w:val="005E0A68"/>
    <w:rsid w:val="005E0B1B"/>
    <w:rsid w:val="005E0C3D"/>
    <w:rsid w:val="005E11CF"/>
    <w:rsid w:val="005E15E9"/>
    <w:rsid w:val="005E17A7"/>
    <w:rsid w:val="005E1CBD"/>
    <w:rsid w:val="005E218F"/>
    <w:rsid w:val="005E36D9"/>
    <w:rsid w:val="005E37D6"/>
    <w:rsid w:val="005E38AB"/>
    <w:rsid w:val="005E38B9"/>
    <w:rsid w:val="005E3A5C"/>
    <w:rsid w:val="005E3A63"/>
    <w:rsid w:val="005E3F91"/>
    <w:rsid w:val="005E4254"/>
    <w:rsid w:val="005E4275"/>
    <w:rsid w:val="005E4313"/>
    <w:rsid w:val="005E4685"/>
    <w:rsid w:val="005E4898"/>
    <w:rsid w:val="005E4E95"/>
    <w:rsid w:val="005E5026"/>
    <w:rsid w:val="005E5325"/>
    <w:rsid w:val="005E5A44"/>
    <w:rsid w:val="005E5D19"/>
    <w:rsid w:val="005E65A9"/>
    <w:rsid w:val="005E672B"/>
    <w:rsid w:val="005E6902"/>
    <w:rsid w:val="005E697E"/>
    <w:rsid w:val="005E6CAF"/>
    <w:rsid w:val="005E70A8"/>
    <w:rsid w:val="005E77BB"/>
    <w:rsid w:val="005F019C"/>
    <w:rsid w:val="005F01B0"/>
    <w:rsid w:val="005F03DA"/>
    <w:rsid w:val="005F0794"/>
    <w:rsid w:val="005F0828"/>
    <w:rsid w:val="005F0D5E"/>
    <w:rsid w:val="005F1BAE"/>
    <w:rsid w:val="005F1F0F"/>
    <w:rsid w:val="005F3036"/>
    <w:rsid w:val="005F30B9"/>
    <w:rsid w:val="005F34C8"/>
    <w:rsid w:val="005F352B"/>
    <w:rsid w:val="005F51F5"/>
    <w:rsid w:val="005F51FD"/>
    <w:rsid w:val="005F526E"/>
    <w:rsid w:val="005F52E4"/>
    <w:rsid w:val="005F533F"/>
    <w:rsid w:val="005F5AAD"/>
    <w:rsid w:val="005F5FFD"/>
    <w:rsid w:val="005F60D4"/>
    <w:rsid w:val="005F619F"/>
    <w:rsid w:val="005F6415"/>
    <w:rsid w:val="005F6ACF"/>
    <w:rsid w:val="005F6C11"/>
    <w:rsid w:val="005F6CDF"/>
    <w:rsid w:val="005F6EB6"/>
    <w:rsid w:val="005F6F18"/>
    <w:rsid w:val="005F70D8"/>
    <w:rsid w:val="005F72F7"/>
    <w:rsid w:val="005F79E1"/>
    <w:rsid w:val="006002F4"/>
    <w:rsid w:val="00600771"/>
    <w:rsid w:val="00600FC8"/>
    <w:rsid w:val="006010FD"/>
    <w:rsid w:val="006014E4"/>
    <w:rsid w:val="0060153D"/>
    <w:rsid w:val="006017FA"/>
    <w:rsid w:val="00601D63"/>
    <w:rsid w:val="00601F8A"/>
    <w:rsid w:val="00602010"/>
    <w:rsid w:val="006024FD"/>
    <w:rsid w:val="00602A10"/>
    <w:rsid w:val="00602C56"/>
    <w:rsid w:val="00602C8B"/>
    <w:rsid w:val="006031EF"/>
    <w:rsid w:val="00603411"/>
    <w:rsid w:val="00603823"/>
    <w:rsid w:val="006039C6"/>
    <w:rsid w:val="00603AA5"/>
    <w:rsid w:val="00604358"/>
    <w:rsid w:val="00605F4F"/>
    <w:rsid w:val="00605FD0"/>
    <w:rsid w:val="0060614B"/>
    <w:rsid w:val="006067A5"/>
    <w:rsid w:val="006068AE"/>
    <w:rsid w:val="0060703D"/>
    <w:rsid w:val="0060715F"/>
    <w:rsid w:val="006077C0"/>
    <w:rsid w:val="00610CD2"/>
    <w:rsid w:val="006114B8"/>
    <w:rsid w:val="00612471"/>
    <w:rsid w:val="0061331B"/>
    <w:rsid w:val="0061333A"/>
    <w:rsid w:val="0061349D"/>
    <w:rsid w:val="00613506"/>
    <w:rsid w:val="0061369C"/>
    <w:rsid w:val="00613B0A"/>
    <w:rsid w:val="00613DA6"/>
    <w:rsid w:val="0061483D"/>
    <w:rsid w:val="00614AE7"/>
    <w:rsid w:val="00615147"/>
    <w:rsid w:val="0061583F"/>
    <w:rsid w:val="00615C77"/>
    <w:rsid w:val="006160F7"/>
    <w:rsid w:val="006170A9"/>
    <w:rsid w:val="006175A5"/>
    <w:rsid w:val="006176F1"/>
    <w:rsid w:val="00617F64"/>
    <w:rsid w:val="0062003F"/>
    <w:rsid w:val="00620891"/>
    <w:rsid w:val="0062090F"/>
    <w:rsid w:val="0062118A"/>
    <w:rsid w:val="006217BA"/>
    <w:rsid w:val="00622A07"/>
    <w:rsid w:val="00622CCC"/>
    <w:rsid w:val="006237D3"/>
    <w:rsid w:val="00623B30"/>
    <w:rsid w:val="00624584"/>
    <w:rsid w:val="0062461E"/>
    <w:rsid w:val="006249BE"/>
    <w:rsid w:val="00624C86"/>
    <w:rsid w:val="00624F2D"/>
    <w:rsid w:val="006250E6"/>
    <w:rsid w:val="006251CF"/>
    <w:rsid w:val="0062528F"/>
    <w:rsid w:val="00625728"/>
    <w:rsid w:val="0062684E"/>
    <w:rsid w:val="00626859"/>
    <w:rsid w:val="00626CA8"/>
    <w:rsid w:val="00626CE7"/>
    <w:rsid w:val="006274B5"/>
    <w:rsid w:val="0062798A"/>
    <w:rsid w:val="00630A1C"/>
    <w:rsid w:val="00630A9C"/>
    <w:rsid w:val="00630C90"/>
    <w:rsid w:val="00630F97"/>
    <w:rsid w:val="00631A65"/>
    <w:rsid w:val="00631D8D"/>
    <w:rsid w:val="00632DAA"/>
    <w:rsid w:val="0063323B"/>
    <w:rsid w:val="006332CC"/>
    <w:rsid w:val="00633900"/>
    <w:rsid w:val="00634A90"/>
    <w:rsid w:val="00635156"/>
    <w:rsid w:val="0063518A"/>
    <w:rsid w:val="0063542C"/>
    <w:rsid w:val="00636198"/>
    <w:rsid w:val="00636545"/>
    <w:rsid w:val="0063669C"/>
    <w:rsid w:val="00636E7B"/>
    <w:rsid w:val="0063709B"/>
    <w:rsid w:val="00637375"/>
    <w:rsid w:val="0063795E"/>
    <w:rsid w:val="00637B03"/>
    <w:rsid w:val="00640007"/>
    <w:rsid w:val="00640AA1"/>
    <w:rsid w:val="00640CC0"/>
    <w:rsid w:val="00641795"/>
    <w:rsid w:val="00641EBA"/>
    <w:rsid w:val="00642154"/>
    <w:rsid w:val="00642503"/>
    <w:rsid w:val="006427C0"/>
    <w:rsid w:val="00642CC3"/>
    <w:rsid w:val="00642FD4"/>
    <w:rsid w:val="00643B10"/>
    <w:rsid w:val="00643DDA"/>
    <w:rsid w:val="00643E57"/>
    <w:rsid w:val="0064429D"/>
    <w:rsid w:val="00644724"/>
    <w:rsid w:val="00644D56"/>
    <w:rsid w:val="0064517D"/>
    <w:rsid w:val="00645732"/>
    <w:rsid w:val="00645865"/>
    <w:rsid w:val="0064629D"/>
    <w:rsid w:val="00646301"/>
    <w:rsid w:val="00647281"/>
    <w:rsid w:val="00647545"/>
    <w:rsid w:val="00647CA1"/>
    <w:rsid w:val="00647D42"/>
    <w:rsid w:val="00647DF3"/>
    <w:rsid w:val="0065058E"/>
    <w:rsid w:val="00650C1D"/>
    <w:rsid w:val="006512CF"/>
    <w:rsid w:val="00651342"/>
    <w:rsid w:val="006514A6"/>
    <w:rsid w:val="006517D7"/>
    <w:rsid w:val="00652DC8"/>
    <w:rsid w:val="0065316E"/>
    <w:rsid w:val="0065330C"/>
    <w:rsid w:val="00653688"/>
    <w:rsid w:val="0065382B"/>
    <w:rsid w:val="00655426"/>
    <w:rsid w:val="00655B51"/>
    <w:rsid w:val="00655BAE"/>
    <w:rsid w:val="00655DE1"/>
    <w:rsid w:val="00656BD8"/>
    <w:rsid w:val="00656E28"/>
    <w:rsid w:val="00657604"/>
    <w:rsid w:val="00657873"/>
    <w:rsid w:val="00657A05"/>
    <w:rsid w:val="00657AEF"/>
    <w:rsid w:val="006604B5"/>
    <w:rsid w:val="006608A9"/>
    <w:rsid w:val="00660B03"/>
    <w:rsid w:val="00660B3B"/>
    <w:rsid w:val="00660EAF"/>
    <w:rsid w:val="006610A4"/>
    <w:rsid w:val="00661283"/>
    <w:rsid w:val="006612E5"/>
    <w:rsid w:val="006614B8"/>
    <w:rsid w:val="00661609"/>
    <w:rsid w:val="00661B0A"/>
    <w:rsid w:val="00661CC5"/>
    <w:rsid w:val="00662177"/>
    <w:rsid w:val="00662636"/>
    <w:rsid w:val="00662D54"/>
    <w:rsid w:val="00663067"/>
    <w:rsid w:val="006638EA"/>
    <w:rsid w:val="00663F92"/>
    <w:rsid w:val="00664651"/>
    <w:rsid w:val="006653B2"/>
    <w:rsid w:val="0066558D"/>
    <w:rsid w:val="00665CB8"/>
    <w:rsid w:val="006660B3"/>
    <w:rsid w:val="006660DA"/>
    <w:rsid w:val="006664AD"/>
    <w:rsid w:val="006665F2"/>
    <w:rsid w:val="0066693A"/>
    <w:rsid w:val="00666AC5"/>
    <w:rsid w:val="0066743B"/>
    <w:rsid w:val="00667C38"/>
    <w:rsid w:val="00667D49"/>
    <w:rsid w:val="00670A6B"/>
    <w:rsid w:val="00670B7E"/>
    <w:rsid w:val="00670BFF"/>
    <w:rsid w:val="00670E5F"/>
    <w:rsid w:val="00670F53"/>
    <w:rsid w:val="00671084"/>
    <w:rsid w:val="00671AA1"/>
    <w:rsid w:val="00671B41"/>
    <w:rsid w:val="00671EF7"/>
    <w:rsid w:val="006723CA"/>
    <w:rsid w:val="00673218"/>
    <w:rsid w:val="00673DC5"/>
    <w:rsid w:val="006741F8"/>
    <w:rsid w:val="0067491F"/>
    <w:rsid w:val="00674958"/>
    <w:rsid w:val="00674A5F"/>
    <w:rsid w:val="00674E29"/>
    <w:rsid w:val="00674EAF"/>
    <w:rsid w:val="00675059"/>
    <w:rsid w:val="00675906"/>
    <w:rsid w:val="00675A5A"/>
    <w:rsid w:val="00675B03"/>
    <w:rsid w:val="00675DB1"/>
    <w:rsid w:val="00676288"/>
    <w:rsid w:val="0067633C"/>
    <w:rsid w:val="00677A26"/>
    <w:rsid w:val="00677C27"/>
    <w:rsid w:val="006800BF"/>
    <w:rsid w:val="00680292"/>
    <w:rsid w:val="00680B74"/>
    <w:rsid w:val="006816D4"/>
    <w:rsid w:val="00681CD2"/>
    <w:rsid w:val="00682690"/>
    <w:rsid w:val="00683D47"/>
    <w:rsid w:val="00683ED0"/>
    <w:rsid w:val="00684298"/>
    <w:rsid w:val="00684A25"/>
    <w:rsid w:val="00685262"/>
    <w:rsid w:val="00685496"/>
    <w:rsid w:val="00685C46"/>
    <w:rsid w:val="00686731"/>
    <w:rsid w:val="006869EC"/>
    <w:rsid w:val="00687314"/>
    <w:rsid w:val="00687793"/>
    <w:rsid w:val="00687861"/>
    <w:rsid w:val="006879E8"/>
    <w:rsid w:val="00687C73"/>
    <w:rsid w:val="00690213"/>
    <w:rsid w:val="0069022C"/>
    <w:rsid w:val="00690319"/>
    <w:rsid w:val="00690553"/>
    <w:rsid w:val="00690B17"/>
    <w:rsid w:val="00691256"/>
    <w:rsid w:val="00691418"/>
    <w:rsid w:val="006917DD"/>
    <w:rsid w:val="00692942"/>
    <w:rsid w:val="00693869"/>
    <w:rsid w:val="00693F3C"/>
    <w:rsid w:val="00694339"/>
    <w:rsid w:val="00694506"/>
    <w:rsid w:val="006949DD"/>
    <w:rsid w:val="00694CBE"/>
    <w:rsid w:val="00694E91"/>
    <w:rsid w:val="00694FFC"/>
    <w:rsid w:val="006952E9"/>
    <w:rsid w:val="0069564C"/>
    <w:rsid w:val="006956C1"/>
    <w:rsid w:val="00696035"/>
    <w:rsid w:val="00696497"/>
    <w:rsid w:val="006965BC"/>
    <w:rsid w:val="00696BFA"/>
    <w:rsid w:val="006973C2"/>
    <w:rsid w:val="0069748B"/>
    <w:rsid w:val="006A00CE"/>
    <w:rsid w:val="006A0175"/>
    <w:rsid w:val="006A0968"/>
    <w:rsid w:val="006A0972"/>
    <w:rsid w:val="006A0F28"/>
    <w:rsid w:val="006A12AA"/>
    <w:rsid w:val="006A165A"/>
    <w:rsid w:val="006A1A86"/>
    <w:rsid w:val="006A1B8F"/>
    <w:rsid w:val="006A1C3F"/>
    <w:rsid w:val="006A215F"/>
    <w:rsid w:val="006A2CA6"/>
    <w:rsid w:val="006A33A5"/>
    <w:rsid w:val="006A3C35"/>
    <w:rsid w:val="006A3FAB"/>
    <w:rsid w:val="006A3FCF"/>
    <w:rsid w:val="006A40E3"/>
    <w:rsid w:val="006A4359"/>
    <w:rsid w:val="006A4451"/>
    <w:rsid w:val="006A4A08"/>
    <w:rsid w:val="006A4C49"/>
    <w:rsid w:val="006A4F1D"/>
    <w:rsid w:val="006A5C58"/>
    <w:rsid w:val="006A5E3D"/>
    <w:rsid w:val="006A650F"/>
    <w:rsid w:val="006A6728"/>
    <w:rsid w:val="006A6AFC"/>
    <w:rsid w:val="006A6DD3"/>
    <w:rsid w:val="006A7682"/>
    <w:rsid w:val="006A7C3A"/>
    <w:rsid w:val="006A7EC1"/>
    <w:rsid w:val="006B0F16"/>
    <w:rsid w:val="006B1CBC"/>
    <w:rsid w:val="006B1DC6"/>
    <w:rsid w:val="006B39FA"/>
    <w:rsid w:val="006B3FAD"/>
    <w:rsid w:val="006B401E"/>
    <w:rsid w:val="006B49BC"/>
    <w:rsid w:val="006B4F0A"/>
    <w:rsid w:val="006B4F49"/>
    <w:rsid w:val="006B61FA"/>
    <w:rsid w:val="006B6B45"/>
    <w:rsid w:val="006B6CC2"/>
    <w:rsid w:val="006B6E6E"/>
    <w:rsid w:val="006B7440"/>
    <w:rsid w:val="006B7554"/>
    <w:rsid w:val="006B78DB"/>
    <w:rsid w:val="006B7C27"/>
    <w:rsid w:val="006B7C8D"/>
    <w:rsid w:val="006C072A"/>
    <w:rsid w:val="006C0A0A"/>
    <w:rsid w:val="006C0B2F"/>
    <w:rsid w:val="006C0B48"/>
    <w:rsid w:val="006C1100"/>
    <w:rsid w:val="006C11AA"/>
    <w:rsid w:val="006C2908"/>
    <w:rsid w:val="006C2BD8"/>
    <w:rsid w:val="006C3386"/>
    <w:rsid w:val="006C3618"/>
    <w:rsid w:val="006C38FA"/>
    <w:rsid w:val="006C4189"/>
    <w:rsid w:val="006C499F"/>
    <w:rsid w:val="006C4AEE"/>
    <w:rsid w:val="006C4DCB"/>
    <w:rsid w:val="006C59BF"/>
    <w:rsid w:val="006C5F3E"/>
    <w:rsid w:val="006C619D"/>
    <w:rsid w:val="006C6575"/>
    <w:rsid w:val="006C70F6"/>
    <w:rsid w:val="006C72E2"/>
    <w:rsid w:val="006C74EA"/>
    <w:rsid w:val="006C79BE"/>
    <w:rsid w:val="006C7C28"/>
    <w:rsid w:val="006C7C42"/>
    <w:rsid w:val="006D01D6"/>
    <w:rsid w:val="006D0388"/>
    <w:rsid w:val="006D0868"/>
    <w:rsid w:val="006D0BDC"/>
    <w:rsid w:val="006D1032"/>
    <w:rsid w:val="006D1344"/>
    <w:rsid w:val="006D1348"/>
    <w:rsid w:val="006D1416"/>
    <w:rsid w:val="006D15C0"/>
    <w:rsid w:val="006D17C4"/>
    <w:rsid w:val="006D1963"/>
    <w:rsid w:val="006D1A99"/>
    <w:rsid w:val="006D22E3"/>
    <w:rsid w:val="006D254C"/>
    <w:rsid w:val="006D273D"/>
    <w:rsid w:val="006D2D1C"/>
    <w:rsid w:val="006D2E19"/>
    <w:rsid w:val="006D3506"/>
    <w:rsid w:val="006D3914"/>
    <w:rsid w:val="006D3B7F"/>
    <w:rsid w:val="006D3D09"/>
    <w:rsid w:val="006D3D1E"/>
    <w:rsid w:val="006D4371"/>
    <w:rsid w:val="006D43C4"/>
    <w:rsid w:val="006D4D45"/>
    <w:rsid w:val="006D4E36"/>
    <w:rsid w:val="006D4F87"/>
    <w:rsid w:val="006D50CE"/>
    <w:rsid w:val="006D5251"/>
    <w:rsid w:val="006D58E8"/>
    <w:rsid w:val="006D6CA4"/>
    <w:rsid w:val="006D7875"/>
    <w:rsid w:val="006E1701"/>
    <w:rsid w:val="006E1C0D"/>
    <w:rsid w:val="006E23B0"/>
    <w:rsid w:val="006E29DD"/>
    <w:rsid w:val="006E2B1B"/>
    <w:rsid w:val="006E3399"/>
    <w:rsid w:val="006E3769"/>
    <w:rsid w:val="006E3DB6"/>
    <w:rsid w:val="006E4003"/>
    <w:rsid w:val="006E44AD"/>
    <w:rsid w:val="006E4B37"/>
    <w:rsid w:val="006E5273"/>
    <w:rsid w:val="006E5833"/>
    <w:rsid w:val="006E6857"/>
    <w:rsid w:val="006E70A6"/>
    <w:rsid w:val="006E711F"/>
    <w:rsid w:val="006E7354"/>
    <w:rsid w:val="006E765B"/>
    <w:rsid w:val="006E797D"/>
    <w:rsid w:val="006F0280"/>
    <w:rsid w:val="006F04FB"/>
    <w:rsid w:val="006F0A29"/>
    <w:rsid w:val="006F0F0E"/>
    <w:rsid w:val="006F1A8A"/>
    <w:rsid w:val="006F29C6"/>
    <w:rsid w:val="006F31E8"/>
    <w:rsid w:val="006F37CD"/>
    <w:rsid w:val="006F3F9B"/>
    <w:rsid w:val="006F45BF"/>
    <w:rsid w:val="006F49F4"/>
    <w:rsid w:val="006F4B26"/>
    <w:rsid w:val="006F4E5C"/>
    <w:rsid w:val="006F5CAE"/>
    <w:rsid w:val="006F5E7A"/>
    <w:rsid w:val="006F67DE"/>
    <w:rsid w:val="006F69C0"/>
    <w:rsid w:val="006F6B25"/>
    <w:rsid w:val="006F6D8F"/>
    <w:rsid w:val="006F6FD5"/>
    <w:rsid w:val="006F77F5"/>
    <w:rsid w:val="0070076C"/>
    <w:rsid w:val="00700D57"/>
    <w:rsid w:val="00701B36"/>
    <w:rsid w:val="00701D72"/>
    <w:rsid w:val="00702214"/>
    <w:rsid w:val="007028CF"/>
    <w:rsid w:val="007031C4"/>
    <w:rsid w:val="00703267"/>
    <w:rsid w:val="00703301"/>
    <w:rsid w:val="00703BFA"/>
    <w:rsid w:val="00703D30"/>
    <w:rsid w:val="0070407D"/>
    <w:rsid w:val="007040A0"/>
    <w:rsid w:val="00704B32"/>
    <w:rsid w:val="00704E7B"/>
    <w:rsid w:val="00705192"/>
    <w:rsid w:val="007054C8"/>
    <w:rsid w:val="00705832"/>
    <w:rsid w:val="007059B9"/>
    <w:rsid w:val="007059D3"/>
    <w:rsid w:val="00705AA9"/>
    <w:rsid w:val="00705D9C"/>
    <w:rsid w:val="00706447"/>
    <w:rsid w:val="00706621"/>
    <w:rsid w:val="00706FAE"/>
    <w:rsid w:val="007074CA"/>
    <w:rsid w:val="00707606"/>
    <w:rsid w:val="007076AA"/>
    <w:rsid w:val="00707A8C"/>
    <w:rsid w:val="007101AA"/>
    <w:rsid w:val="007105F2"/>
    <w:rsid w:val="00711314"/>
    <w:rsid w:val="0071143A"/>
    <w:rsid w:val="00711B1E"/>
    <w:rsid w:val="0071389B"/>
    <w:rsid w:val="007138A9"/>
    <w:rsid w:val="00713E12"/>
    <w:rsid w:val="007142AC"/>
    <w:rsid w:val="00714E56"/>
    <w:rsid w:val="007151B0"/>
    <w:rsid w:val="0071527A"/>
    <w:rsid w:val="007154D0"/>
    <w:rsid w:val="00715529"/>
    <w:rsid w:val="00715B03"/>
    <w:rsid w:val="00715C09"/>
    <w:rsid w:val="0071696A"/>
    <w:rsid w:val="00717149"/>
    <w:rsid w:val="00717336"/>
    <w:rsid w:val="00717426"/>
    <w:rsid w:val="0071776C"/>
    <w:rsid w:val="00717AD8"/>
    <w:rsid w:val="007203AE"/>
    <w:rsid w:val="0072074D"/>
    <w:rsid w:val="00720843"/>
    <w:rsid w:val="00720BB0"/>
    <w:rsid w:val="0072142E"/>
    <w:rsid w:val="00721716"/>
    <w:rsid w:val="007218EA"/>
    <w:rsid w:val="00722112"/>
    <w:rsid w:val="00722AC7"/>
    <w:rsid w:val="00722C51"/>
    <w:rsid w:val="00723989"/>
    <w:rsid w:val="00723B3B"/>
    <w:rsid w:val="00723BED"/>
    <w:rsid w:val="00723CB1"/>
    <w:rsid w:val="00724419"/>
    <w:rsid w:val="00724672"/>
    <w:rsid w:val="00724A5D"/>
    <w:rsid w:val="00724B29"/>
    <w:rsid w:val="00724DE5"/>
    <w:rsid w:val="00724E20"/>
    <w:rsid w:val="00724F80"/>
    <w:rsid w:val="00724F81"/>
    <w:rsid w:val="00725834"/>
    <w:rsid w:val="00725989"/>
    <w:rsid w:val="00726993"/>
    <w:rsid w:val="00727148"/>
    <w:rsid w:val="00730461"/>
    <w:rsid w:val="007308E1"/>
    <w:rsid w:val="00730C72"/>
    <w:rsid w:val="00731285"/>
    <w:rsid w:val="00731457"/>
    <w:rsid w:val="007316A3"/>
    <w:rsid w:val="007317F0"/>
    <w:rsid w:val="00731E8D"/>
    <w:rsid w:val="00731F16"/>
    <w:rsid w:val="007321F5"/>
    <w:rsid w:val="00733198"/>
    <w:rsid w:val="00734020"/>
    <w:rsid w:val="0073447E"/>
    <w:rsid w:val="007345BC"/>
    <w:rsid w:val="00734CB4"/>
    <w:rsid w:val="007354C0"/>
    <w:rsid w:val="007357D1"/>
    <w:rsid w:val="00735E39"/>
    <w:rsid w:val="00736117"/>
    <w:rsid w:val="0073625A"/>
    <w:rsid w:val="00736362"/>
    <w:rsid w:val="00736468"/>
    <w:rsid w:val="007370F6"/>
    <w:rsid w:val="007376A0"/>
    <w:rsid w:val="00737ED7"/>
    <w:rsid w:val="00741625"/>
    <w:rsid w:val="00741BF1"/>
    <w:rsid w:val="0074201D"/>
    <w:rsid w:val="0074303D"/>
    <w:rsid w:val="007435C0"/>
    <w:rsid w:val="00743697"/>
    <w:rsid w:val="0074374D"/>
    <w:rsid w:val="00743779"/>
    <w:rsid w:val="00743799"/>
    <w:rsid w:val="00743CCA"/>
    <w:rsid w:val="00744AF0"/>
    <w:rsid w:val="00744EDA"/>
    <w:rsid w:val="007457A1"/>
    <w:rsid w:val="00745D98"/>
    <w:rsid w:val="00746322"/>
    <w:rsid w:val="007506A5"/>
    <w:rsid w:val="00750DE9"/>
    <w:rsid w:val="00751103"/>
    <w:rsid w:val="007511EB"/>
    <w:rsid w:val="00751A37"/>
    <w:rsid w:val="00752277"/>
    <w:rsid w:val="00752E6D"/>
    <w:rsid w:val="00752FD3"/>
    <w:rsid w:val="007531BC"/>
    <w:rsid w:val="00753BFF"/>
    <w:rsid w:val="007545B7"/>
    <w:rsid w:val="00754B64"/>
    <w:rsid w:val="00755388"/>
    <w:rsid w:val="00755436"/>
    <w:rsid w:val="007554E9"/>
    <w:rsid w:val="0075564D"/>
    <w:rsid w:val="00755B3A"/>
    <w:rsid w:val="007562D4"/>
    <w:rsid w:val="00756381"/>
    <w:rsid w:val="007566F0"/>
    <w:rsid w:val="00756825"/>
    <w:rsid w:val="00756D22"/>
    <w:rsid w:val="00756F43"/>
    <w:rsid w:val="007570C1"/>
    <w:rsid w:val="00757727"/>
    <w:rsid w:val="007578DF"/>
    <w:rsid w:val="00757EF4"/>
    <w:rsid w:val="007601F0"/>
    <w:rsid w:val="00760600"/>
    <w:rsid w:val="0076088E"/>
    <w:rsid w:val="007609A1"/>
    <w:rsid w:val="00760A71"/>
    <w:rsid w:val="00760D6A"/>
    <w:rsid w:val="00760E77"/>
    <w:rsid w:val="007611D8"/>
    <w:rsid w:val="0076156B"/>
    <w:rsid w:val="00761672"/>
    <w:rsid w:val="007616E6"/>
    <w:rsid w:val="0076183D"/>
    <w:rsid w:val="00761E88"/>
    <w:rsid w:val="007627D9"/>
    <w:rsid w:val="00763A53"/>
    <w:rsid w:val="00764793"/>
    <w:rsid w:val="00764AA2"/>
    <w:rsid w:val="007651DA"/>
    <w:rsid w:val="00765D7C"/>
    <w:rsid w:val="007701F2"/>
    <w:rsid w:val="00770291"/>
    <w:rsid w:val="007705D0"/>
    <w:rsid w:val="00770D32"/>
    <w:rsid w:val="00770DD5"/>
    <w:rsid w:val="00770EC8"/>
    <w:rsid w:val="0077110A"/>
    <w:rsid w:val="007715A4"/>
    <w:rsid w:val="00771F64"/>
    <w:rsid w:val="007724D3"/>
    <w:rsid w:val="00772748"/>
    <w:rsid w:val="00772912"/>
    <w:rsid w:val="00774681"/>
    <w:rsid w:val="007747D6"/>
    <w:rsid w:val="007754A8"/>
    <w:rsid w:val="00775B90"/>
    <w:rsid w:val="00775E0B"/>
    <w:rsid w:val="00775F52"/>
    <w:rsid w:val="0077613C"/>
    <w:rsid w:val="00776262"/>
    <w:rsid w:val="007764B1"/>
    <w:rsid w:val="007770F3"/>
    <w:rsid w:val="00777215"/>
    <w:rsid w:val="00777727"/>
    <w:rsid w:val="00777A44"/>
    <w:rsid w:val="00777D01"/>
    <w:rsid w:val="0078040B"/>
    <w:rsid w:val="007806ED"/>
    <w:rsid w:val="007808E6"/>
    <w:rsid w:val="00781950"/>
    <w:rsid w:val="00782FEB"/>
    <w:rsid w:val="00783220"/>
    <w:rsid w:val="007837AF"/>
    <w:rsid w:val="00783A11"/>
    <w:rsid w:val="007846DA"/>
    <w:rsid w:val="007847D7"/>
    <w:rsid w:val="00784A0C"/>
    <w:rsid w:val="007852F4"/>
    <w:rsid w:val="0078557C"/>
    <w:rsid w:val="00785848"/>
    <w:rsid w:val="007863AB"/>
    <w:rsid w:val="00786790"/>
    <w:rsid w:val="00786A9A"/>
    <w:rsid w:val="00786C38"/>
    <w:rsid w:val="00786D98"/>
    <w:rsid w:val="007874B4"/>
    <w:rsid w:val="00787981"/>
    <w:rsid w:val="00787FDC"/>
    <w:rsid w:val="0079012A"/>
    <w:rsid w:val="007905D9"/>
    <w:rsid w:val="00790AB2"/>
    <w:rsid w:val="007911B6"/>
    <w:rsid w:val="00791B16"/>
    <w:rsid w:val="00791F13"/>
    <w:rsid w:val="007921B9"/>
    <w:rsid w:val="00792422"/>
    <w:rsid w:val="00792BCC"/>
    <w:rsid w:val="00792FCE"/>
    <w:rsid w:val="007931A0"/>
    <w:rsid w:val="007938DB"/>
    <w:rsid w:val="00794222"/>
    <w:rsid w:val="007946E2"/>
    <w:rsid w:val="00794C3D"/>
    <w:rsid w:val="00795221"/>
    <w:rsid w:val="00795CEE"/>
    <w:rsid w:val="00795E9A"/>
    <w:rsid w:val="007961FC"/>
    <w:rsid w:val="00796617"/>
    <w:rsid w:val="007966D5"/>
    <w:rsid w:val="00796C8E"/>
    <w:rsid w:val="00796C9F"/>
    <w:rsid w:val="00796EF4"/>
    <w:rsid w:val="007975E7"/>
    <w:rsid w:val="00797689"/>
    <w:rsid w:val="00797EBB"/>
    <w:rsid w:val="007A070A"/>
    <w:rsid w:val="007A0C22"/>
    <w:rsid w:val="007A0E38"/>
    <w:rsid w:val="007A0F75"/>
    <w:rsid w:val="007A1312"/>
    <w:rsid w:val="007A1971"/>
    <w:rsid w:val="007A1B92"/>
    <w:rsid w:val="007A1C7D"/>
    <w:rsid w:val="007A1E36"/>
    <w:rsid w:val="007A2536"/>
    <w:rsid w:val="007A2700"/>
    <w:rsid w:val="007A330B"/>
    <w:rsid w:val="007A330F"/>
    <w:rsid w:val="007A362A"/>
    <w:rsid w:val="007A3815"/>
    <w:rsid w:val="007A38EB"/>
    <w:rsid w:val="007A4072"/>
    <w:rsid w:val="007A42DB"/>
    <w:rsid w:val="007A48D9"/>
    <w:rsid w:val="007A5639"/>
    <w:rsid w:val="007A5DE7"/>
    <w:rsid w:val="007A670B"/>
    <w:rsid w:val="007A6854"/>
    <w:rsid w:val="007A6FA5"/>
    <w:rsid w:val="007A7109"/>
    <w:rsid w:val="007A754E"/>
    <w:rsid w:val="007B020E"/>
    <w:rsid w:val="007B039E"/>
    <w:rsid w:val="007B03E3"/>
    <w:rsid w:val="007B0775"/>
    <w:rsid w:val="007B08EB"/>
    <w:rsid w:val="007B0AC2"/>
    <w:rsid w:val="007B0CA6"/>
    <w:rsid w:val="007B0FC4"/>
    <w:rsid w:val="007B13EF"/>
    <w:rsid w:val="007B19FC"/>
    <w:rsid w:val="007B1F63"/>
    <w:rsid w:val="007B21F7"/>
    <w:rsid w:val="007B220B"/>
    <w:rsid w:val="007B271F"/>
    <w:rsid w:val="007B28BC"/>
    <w:rsid w:val="007B2D11"/>
    <w:rsid w:val="007B3728"/>
    <w:rsid w:val="007B3F83"/>
    <w:rsid w:val="007B5072"/>
    <w:rsid w:val="007B5115"/>
    <w:rsid w:val="007B58C5"/>
    <w:rsid w:val="007B607A"/>
    <w:rsid w:val="007B6210"/>
    <w:rsid w:val="007B6422"/>
    <w:rsid w:val="007B6996"/>
    <w:rsid w:val="007B69E1"/>
    <w:rsid w:val="007B69FE"/>
    <w:rsid w:val="007B7A91"/>
    <w:rsid w:val="007C043A"/>
    <w:rsid w:val="007C15CC"/>
    <w:rsid w:val="007C17CE"/>
    <w:rsid w:val="007C18B0"/>
    <w:rsid w:val="007C1CBD"/>
    <w:rsid w:val="007C1E56"/>
    <w:rsid w:val="007C20A8"/>
    <w:rsid w:val="007C2108"/>
    <w:rsid w:val="007C2F02"/>
    <w:rsid w:val="007C2F3C"/>
    <w:rsid w:val="007C305A"/>
    <w:rsid w:val="007C380C"/>
    <w:rsid w:val="007C3E77"/>
    <w:rsid w:val="007C3FEA"/>
    <w:rsid w:val="007C42EC"/>
    <w:rsid w:val="007C4348"/>
    <w:rsid w:val="007C4626"/>
    <w:rsid w:val="007C4884"/>
    <w:rsid w:val="007C6B98"/>
    <w:rsid w:val="007C6FA2"/>
    <w:rsid w:val="007C72E1"/>
    <w:rsid w:val="007C73B0"/>
    <w:rsid w:val="007C7431"/>
    <w:rsid w:val="007C78D8"/>
    <w:rsid w:val="007C7ECC"/>
    <w:rsid w:val="007D0601"/>
    <w:rsid w:val="007D0824"/>
    <w:rsid w:val="007D0E26"/>
    <w:rsid w:val="007D107A"/>
    <w:rsid w:val="007D139D"/>
    <w:rsid w:val="007D17D3"/>
    <w:rsid w:val="007D1DC3"/>
    <w:rsid w:val="007D2E5E"/>
    <w:rsid w:val="007D3560"/>
    <w:rsid w:val="007D36BC"/>
    <w:rsid w:val="007D3BFF"/>
    <w:rsid w:val="007D3EA5"/>
    <w:rsid w:val="007D3FD8"/>
    <w:rsid w:val="007D40FB"/>
    <w:rsid w:val="007D4485"/>
    <w:rsid w:val="007D4905"/>
    <w:rsid w:val="007D52A7"/>
    <w:rsid w:val="007D5478"/>
    <w:rsid w:val="007D575C"/>
    <w:rsid w:val="007D5CDD"/>
    <w:rsid w:val="007D5D47"/>
    <w:rsid w:val="007D5E7F"/>
    <w:rsid w:val="007D60B5"/>
    <w:rsid w:val="007D63B9"/>
    <w:rsid w:val="007D64C0"/>
    <w:rsid w:val="007D6D00"/>
    <w:rsid w:val="007D6F63"/>
    <w:rsid w:val="007D794E"/>
    <w:rsid w:val="007D7C54"/>
    <w:rsid w:val="007D7F07"/>
    <w:rsid w:val="007E010C"/>
    <w:rsid w:val="007E02B1"/>
    <w:rsid w:val="007E053C"/>
    <w:rsid w:val="007E0A20"/>
    <w:rsid w:val="007E0D38"/>
    <w:rsid w:val="007E108B"/>
    <w:rsid w:val="007E1107"/>
    <w:rsid w:val="007E1504"/>
    <w:rsid w:val="007E1906"/>
    <w:rsid w:val="007E1F74"/>
    <w:rsid w:val="007E2347"/>
    <w:rsid w:val="007E2366"/>
    <w:rsid w:val="007E2BE0"/>
    <w:rsid w:val="007E2DBD"/>
    <w:rsid w:val="007E3024"/>
    <w:rsid w:val="007E3080"/>
    <w:rsid w:val="007E3093"/>
    <w:rsid w:val="007E3370"/>
    <w:rsid w:val="007E3ACE"/>
    <w:rsid w:val="007E4E7E"/>
    <w:rsid w:val="007E4EFF"/>
    <w:rsid w:val="007E5148"/>
    <w:rsid w:val="007E51C4"/>
    <w:rsid w:val="007E5D36"/>
    <w:rsid w:val="007E5D71"/>
    <w:rsid w:val="007E5FD8"/>
    <w:rsid w:val="007E7036"/>
    <w:rsid w:val="007E7AAF"/>
    <w:rsid w:val="007F0210"/>
    <w:rsid w:val="007F0592"/>
    <w:rsid w:val="007F1BCA"/>
    <w:rsid w:val="007F1C5E"/>
    <w:rsid w:val="007F202A"/>
    <w:rsid w:val="007F373D"/>
    <w:rsid w:val="007F3C5F"/>
    <w:rsid w:val="007F4010"/>
    <w:rsid w:val="007F4054"/>
    <w:rsid w:val="007F4144"/>
    <w:rsid w:val="007F419C"/>
    <w:rsid w:val="007F4AA3"/>
    <w:rsid w:val="007F4B86"/>
    <w:rsid w:val="007F5177"/>
    <w:rsid w:val="007F5CBC"/>
    <w:rsid w:val="007F5EDD"/>
    <w:rsid w:val="007F5F8F"/>
    <w:rsid w:val="007F602B"/>
    <w:rsid w:val="007F6451"/>
    <w:rsid w:val="007F650E"/>
    <w:rsid w:val="007F652D"/>
    <w:rsid w:val="007F7180"/>
    <w:rsid w:val="007F7611"/>
    <w:rsid w:val="0080017B"/>
    <w:rsid w:val="00800276"/>
    <w:rsid w:val="008003E9"/>
    <w:rsid w:val="00800442"/>
    <w:rsid w:val="0080060E"/>
    <w:rsid w:val="00800FD9"/>
    <w:rsid w:val="0080117B"/>
    <w:rsid w:val="008012E5"/>
    <w:rsid w:val="00801DE4"/>
    <w:rsid w:val="00801FB4"/>
    <w:rsid w:val="00802042"/>
    <w:rsid w:val="0080258F"/>
    <w:rsid w:val="008029D9"/>
    <w:rsid w:val="008030EF"/>
    <w:rsid w:val="00803320"/>
    <w:rsid w:val="00803449"/>
    <w:rsid w:val="00804755"/>
    <w:rsid w:val="00804CBB"/>
    <w:rsid w:val="0080572C"/>
    <w:rsid w:val="0080584E"/>
    <w:rsid w:val="00805CEB"/>
    <w:rsid w:val="00805E1F"/>
    <w:rsid w:val="00805FA6"/>
    <w:rsid w:val="00805FAA"/>
    <w:rsid w:val="00806E02"/>
    <w:rsid w:val="008070C4"/>
    <w:rsid w:val="008075D6"/>
    <w:rsid w:val="008076AD"/>
    <w:rsid w:val="00807838"/>
    <w:rsid w:val="00807A4B"/>
    <w:rsid w:val="00807EC6"/>
    <w:rsid w:val="00810763"/>
    <w:rsid w:val="00810790"/>
    <w:rsid w:val="008108BA"/>
    <w:rsid w:val="0081093C"/>
    <w:rsid w:val="00810A18"/>
    <w:rsid w:val="00810A95"/>
    <w:rsid w:val="00810D5E"/>
    <w:rsid w:val="00811466"/>
    <w:rsid w:val="008126F0"/>
    <w:rsid w:val="00813491"/>
    <w:rsid w:val="00813642"/>
    <w:rsid w:val="008136D9"/>
    <w:rsid w:val="008137D3"/>
    <w:rsid w:val="00813919"/>
    <w:rsid w:val="0081393C"/>
    <w:rsid w:val="00813AC3"/>
    <w:rsid w:val="00813C3F"/>
    <w:rsid w:val="00813C7B"/>
    <w:rsid w:val="0081533A"/>
    <w:rsid w:val="0081543B"/>
    <w:rsid w:val="00815807"/>
    <w:rsid w:val="0081583A"/>
    <w:rsid w:val="00815A88"/>
    <w:rsid w:val="00815F02"/>
    <w:rsid w:val="00817086"/>
    <w:rsid w:val="00817248"/>
    <w:rsid w:val="00817389"/>
    <w:rsid w:val="008173EE"/>
    <w:rsid w:val="008178A0"/>
    <w:rsid w:val="0082023F"/>
    <w:rsid w:val="00820597"/>
    <w:rsid w:val="00820A2A"/>
    <w:rsid w:val="00820ECA"/>
    <w:rsid w:val="00821423"/>
    <w:rsid w:val="008216F9"/>
    <w:rsid w:val="008219A3"/>
    <w:rsid w:val="00821A5C"/>
    <w:rsid w:val="0082202A"/>
    <w:rsid w:val="00822AB8"/>
    <w:rsid w:val="00822F28"/>
    <w:rsid w:val="00823A48"/>
    <w:rsid w:val="00825038"/>
    <w:rsid w:val="008251EA"/>
    <w:rsid w:val="00825270"/>
    <w:rsid w:val="0082548F"/>
    <w:rsid w:val="008256B2"/>
    <w:rsid w:val="008261F4"/>
    <w:rsid w:val="00826970"/>
    <w:rsid w:val="00826FEB"/>
    <w:rsid w:val="00827B0A"/>
    <w:rsid w:val="0083049E"/>
    <w:rsid w:val="0083049F"/>
    <w:rsid w:val="00831CE7"/>
    <w:rsid w:val="00832B8F"/>
    <w:rsid w:val="008330D3"/>
    <w:rsid w:val="008337DD"/>
    <w:rsid w:val="0083398F"/>
    <w:rsid w:val="00833B52"/>
    <w:rsid w:val="008340AD"/>
    <w:rsid w:val="008342E5"/>
    <w:rsid w:val="008349D1"/>
    <w:rsid w:val="00834E69"/>
    <w:rsid w:val="008351E7"/>
    <w:rsid w:val="00835F02"/>
    <w:rsid w:val="008362BF"/>
    <w:rsid w:val="0083653C"/>
    <w:rsid w:val="00836CC7"/>
    <w:rsid w:val="00836F39"/>
    <w:rsid w:val="0083705B"/>
    <w:rsid w:val="0083741E"/>
    <w:rsid w:val="00837431"/>
    <w:rsid w:val="008401C1"/>
    <w:rsid w:val="008406CB"/>
    <w:rsid w:val="008408C8"/>
    <w:rsid w:val="00840B6E"/>
    <w:rsid w:val="00840DFA"/>
    <w:rsid w:val="00841042"/>
    <w:rsid w:val="008412C5"/>
    <w:rsid w:val="00841B0C"/>
    <w:rsid w:val="00841F0E"/>
    <w:rsid w:val="0084344E"/>
    <w:rsid w:val="00843E4F"/>
    <w:rsid w:val="0084407F"/>
    <w:rsid w:val="00845189"/>
    <w:rsid w:val="00845715"/>
    <w:rsid w:val="00845A99"/>
    <w:rsid w:val="00845B2A"/>
    <w:rsid w:val="00845BD3"/>
    <w:rsid w:val="00845D39"/>
    <w:rsid w:val="00846348"/>
    <w:rsid w:val="00846654"/>
    <w:rsid w:val="00846781"/>
    <w:rsid w:val="00846965"/>
    <w:rsid w:val="00846CBF"/>
    <w:rsid w:val="0084758D"/>
    <w:rsid w:val="00847966"/>
    <w:rsid w:val="008501C6"/>
    <w:rsid w:val="008506F6"/>
    <w:rsid w:val="00850710"/>
    <w:rsid w:val="00850C9D"/>
    <w:rsid w:val="008515EA"/>
    <w:rsid w:val="00851FB4"/>
    <w:rsid w:val="00852826"/>
    <w:rsid w:val="00852857"/>
    <w:rsid w:val="00853635"/>
    <w:rsid w:val="00854265"/>
    <w:rsid w:val="0085428C"/>
    <w:rsid w:val="0085478F"/>
    <w:rsid w:val="008547CE"/>
    <w:rsid w:val="008547DF"/>
    <w:rsid w:val="0085531F"/>
    <w:rsid w:val="008553B6"/>
    <w:rsid w:val="00855D4D"/>
    <w:rsid w:val="00855E0E"/>
    <w:rsid w:val="008561B2"/>
    <w:rsid w:val="00856375"/>
    <w:rsid w:val="008567C7"/>
    <w:rsid w:val="00856C02"/>
    <w:rsid w:val="00856E97"/>
    <w:rsid w:val="00857652"/>
    <w:rsid w:val="0086006D"/>
    <w:rsid w:val="0086095C"/>
    <w:rsid w:val="0086317B"/>
    <w:rsid w:val="00863457"/>
    <w:rsid w:val="008647AB"/>
    <w:rsid w:val="008649DA"/>
    <w:rsid w:val="00864E51"/>
    <w:rsid w:val="0086533B"/>
    <w:rsid w:val="008659F1"/>
    <w:rsid w:val="00865D01"/>
    <w:rsid w:val="00865D47"/>
    <w:rsid w:val="008665FF"/>
    <w:rsid w:val="00866A43"/>
    <w:rsid w:val="00866E81"/>
    <w:rsid w:val="008678D5"/>
    <w:rsid w:val="00867A29"/>
    <w:rsid w:val="00867B3A"/>
    <w:rsid w:val="00870873"/>
    <w:rsid w:val="00870AE7"/>
    <w:rsid w:val="00870D78"/>
    <w:rsid w:val="00871010"/>
    <w:rsid w:val="008714DE"/>
    <w:rsid w:val="00871BE8"/>
    <w:rsid w:val="00871E8B"/>
    <w:rsid w:val="0087204A"/>
    <w:rsid w:val="008734C3"/>
    <w:rsid w:val="00873A72"/>
    <w:rsid w:val="00873CA5"/>
    <w:rsid w:val="008743AD"/>
    <w:rsid w:val="00874897"/>
    <w:rsid w:val="008751CA"/>
    <w:rsid w:val="00875485"/>
    <w:rsid w:val="00875697"/>
    <w:rsid w:val="00875FDF"/>
    <w:rsid w:val="00876BEF"/>
    <w:rsid w:val="00877849"/>
    <w:rsid w:val="008778CB"/>
    <w:rsid w:val="008800CB"/>
    <w:rsid w:val="00880566"/>
    <w:rsid w:val="00880A5C"/>
    <w:rsid w:val="00880AA4"/>
    <w:rsid w:val="00881465"/>
    <w:rsid w:val="008822B5"/>
    <w:rsid w:val="008828C4"/>
    <w:rsid w:val="00882E8A"/>
    <w:rsid w:val="008832B9"/>
    <w:rsid w:val="0088335F"/>
    <w:rsid w:val="00883375"/>
    <w:rsid w:val="00883C0C"/>
    <w:rsid w:val="00883D58"/>
    <w:rsid w:val="00883EA8"/>
    <w:rsid w:val="00884486"/>
    <w:rsid w:val="00885000"/>
    <w:rsid w:val="00885152"/>
    <w:rsid w:val="008853F9"/>
    <w:rsid w:val="00885825"/>
    <w:rsid w:val="00885993"/>
    <w:rsid w:val="00885BDB"/>
    <w:rsid w:val="0088681D"/>
    <w:rsid w:val="00886912"/>
    <w:rsid w:val="00887486"/>
    <w:rsid w:val="00887987"/>
    <w:rsid w:val="0088799F"/>
    <w:rsid w:val="00887E53"/>
    <w:rsid w:val="0089025F"/>
    <w:rsid w:val="00890E34"/>
    <w:rsid w:val="00891200"/>
    <w:rsid w:val="00891A19"/>
    <w:rsid w:val="00891A5A"/>
    <w:rsid w:val="00892048"/>
    <w:rsid w:val="0089278F"/>
    <w:rsid w:val="008932A5"/>
    <w:rsid w:val="00893B98"/>
    <w:rsid w:val="00894891"/>
    <w:rsid w:val="00894ACB"/>
    <w:rsid w:val="00894DAF"/>
    <w:rsid w:val="008951F1"/>
    <w:rsid w:val="00895742"/>
    <w:rsid w:val="00895A3B"/>
    <w:rsid w:val="0089660C"/>
    <w:rsid w:val="00896944"/>
    <w:rsid w:val="0089793B"/>
    <w:rsid w:val="00897B1E"/>
    <w:rsid w:val="008A0050"/>
    <w:rsid w:val="008A115F"/>
    <w:rsid w:val="008A27C6"/>
    <w:rsid w:val="008A2940"/>
    <w:rsid w:val="008A2D87"/>
    <w:rsid w:val="008A2F30"/>
    <w:rsid w:val="008A3103"/>
    <w:rsid w:val="008A3178"/>
    <w:rsid w:val="008A3474"/>
    <w:rsid w:val="008A3FC5"/>
    <w:rsid w:val="008A4070"/>
    <w:rsid w:val="008A4372"/>
    <w:rsid w:val="008A4619"/>
    <w:rsid w:val="008A47C1"/>
    <w:rsid w:val="008A4F64"/>
    <w:rsid w:val="008A52A6"/>
    <w:rsid w:val="008A55F8"/>
    <w:rsid w:val="008A5C77"/>
    <w:rsid w:val="008A5EC1"/>
    <w:rsid w:val="008A6006"/>
    <w:rsid w:val="008A606F"/>
    <w:rsid w:val="008A60B1"/>
    <w:rsid w:val="008A60B5"/>
    <w:rsid w:val="008A6613"/>
    <w:rsid w:val="008A6AF9"/>
    <w:rsid w:val="008A6D5A"/>
    <w:rsid w:val="008B0197"/>
    <w:rsid w:val="008B07D6"/>
    <w:rsid w:val="008B0834"/>
    <w:rsid w:val="008B0A30"/>
    <w:rsid w:val="008B161F"/>
    <w:rsid w:val="008B16B0"/>
    <w:rsid w:val="008B1BF8"/>
    <w:rsid w:val="008B1F6B"/>
    <w:rsid w:val="008B1FB1"/>
    <w:rsid w:val="008B244A"/>
    <w:rsid w:val="008B3BC7"/>
    <w:rsid w:val="008B3F01"/>
    <w:rsid w:val="008B454E"/>
    <w:rsid w:val="008B4C62"/>
    <w:rsid w:val="008B5087"/>
    <w:rsid w:val="008B53AA"/>
    <w:rsid w:val="008B584F"/>
    <w:rsid w:val="008B5FC5"/>
    <w:rsid w:val="008B602F"/>
    <w:rsid w:val="008B60B1"/>
    <w:rsid w:val="008B6C78"/>
    <w:rsid w:val="008B6F1D"/>
    <w:rsid w:val="008B6F65"/>
    <w:rsid w:val="008B70B0"/>
    <w:rsid w:val="008B7449"/>
    <w:rsid w:val="008B7832"/>
    <w:rsid w:val="008B7A82"/>
    <w:rsid w:val="008C05FB"/>
    <w:rsid w:val="008C0688"/>
    <w:rsid w:val="008C0B4F"/>
    <w:rsid w:val="008C0E82"/>
    <w:rsid w:val="008C131F"/>
    <w:rsid w:val="008C1414"/>
    <w:rsid w:val="008C19CF"/>
    <w:rsid w:val="008C1B8B"/>
    <w:rsid w:val="008C1BD9"/>
    <w:rsid w:val="008C1DCC"/>
    <w:rsid w:val="008C2341"/>
    <w:rsid w:val="008C298B"/>
    <w:rsid w:val="008C3719"/>
    <w:rsid w:val="008C382C"/>
    <w:rsid w:val="008C4269"/>
    <w:rsid w:val="008C4512"/>
    <w:rsid w:val="008C507C"/>
    <w:rsid w:val="008C5647"/>
    <w:rsid w:val="008C5FD1"/>
    <w:rsid w:val="008C622D"/>
    <w:rsid w:val="008C671F"/>
    <w:rsid w:val="008C6A0C"/>
    <w:rsid w:val="008C77F0"/>
    <w:rsid w:val="008C7838"/>
    <w:rsid w:val="008D09BC"/>
    <w:rsid w:val="008D0DBC"/>
    <w:rsid w:val="008D0FA4"/>
    <w:rsid w:val="008D11C1"/>
    <w:rsid w:val="008D1952"/>
    <w:rsid w:val="008D1FF8"/>
    <w:rsid w:val="008D2155"/>
    <w:rsid w:val="008D2216"/>
    <w:rsid w:val="008D2BDC"/>
    <w:rsid w:val="008D38AA"/>
    <w:rsid w:val="008D3E20"/>
    <w:rsid w:val="008D40AA"/>
    <w:rsid w:val="008D4114"/>
    <w:rsid w:val="008D53C5"/>
    <w:rsid w:val="008D5576"/>
    <w:rsid w:val="008D6085"/>
    <w:rsid w:val="008D780E"/>
    <w:rsid w:val="008D7FDB"/>
    <w:rsid w:val="008E0074"/>
    <w:rsid w:val="008E0488"/>
    <w:rsid w:val="008E074A"/>
    <w:rsid w:val="008E1410"/>
    <w:rsid w:val="008E1853"/>
    <w:rsid w:val="008E1C70"/>
    <w:rsid w:val="008E26D2"/>
    <w:rsid w:val="008E3202"/>
    <w:rsid w:val="008E37DA"/>
    <w:rsid w:val="008E37F4"/>
    <w:rsid w:val="008E3B44"/>
    <w:rsid w:val="008E3FAC"/>
    <w:rsid w:val="008E403A"/>
    <w:rsid w:val="008E4062"/>
    <w:rsid w:val="008E412B"/>
    <w:rsid w:val="008E476E"/>
    <w:rsid w:val="008E5615"/>
    <w:rsid w:val="008E570F"/>
    <w:rsid w:val="008E5F31"/>
    <w:rsid w:val="008E639E"/>
    <w:rsid w:val="008E64C4"/>
    <w:rsid w:val="008E76B7"/>
    <w:rsid w:val="008E7BC1"/>
    <w:rsid w:val="008E7D6D"/>
    <w:rsid w:val="008F0148"/>
    <w:rsid w:val="008F0D81"/>
    <w:rsid w:val="008F0E88"/>
    <w:rsid w:val="008F0F98"/>
    <w:rsid w:val="008F1D8B"/>
    <w:rsid w:val="008F1EDB"/>
    <w:rsid w:val="008F227C"/>
    <w:rsid w:val="008F266D"/>
    <w:rsid w:val="008F2A19"/>
    <w:rsid w:val="008F2A3A"/>
    <w:rsid w:val="008F2E4F"/>
    <w:rsid w:val="008F405F"/>
    <w:rsid w:val="008F4614"/>
    <w:rsid w:val="008F473A"/>
    <w:rsid w:val="008F4F85"/>
    <w:rsid w:val="008F5320"/>
    <w:rsid w:val="008F547D"/>
    <w:rsid w:val="008F5580"/>
    <w:rsid w:val="008F5596"/>
    <w:rsid w:val="008F57F7"/>
    <w:rsid w:val="008F5A3B"/>
    <w:rsid w:val="008F5D0F"/>
    <w:rsid w:val="008F5FBC"/>
    <w:rsid w:val="008F6281"/>
    <w:rsid w:val="008F6934"/>
    <w:rsid w:val="008F788D"/>
    <w:rsid w:val="008F7A20"/>
    <w:rsid w:val="008F7EE4"/>
    <w:rsid w:val="008F7F35"/>
    <w:rsid w:val="009009C6"/>
    <w:rsid w:val="009009ED"/>
    <w:rsid w:val="00900FF4"/>
    <w:rsid w:val="0090106D"/>
    <w:rsid w:val="00901505"/>
    <w:rsid w:val="00901649"/>
    <w:rsid w:val="00901812"/>
    <w:rsid w:val="00901904"/>
    <w:rsid w:val="00901CCB"/>
    <w:rsid w:val="00901D31"/>
    <w:rsid w:val="00901E9B"/>
    <w:rsid w:val="00902375"/>
    <w:rsid w:val="00902840"/>
    <w:rsid w:val="009033BF"/>
    <w:rsid w:val="009034AE"/>
    <w:rsid w:val="00903692"/>
    <w:rsid w:val="00903DE0"/>
    <w:rsid w:val="00903E40"/>
    <w:rsid w:val="00904024"/>
    <w:rsid w:val="00904528"/>
    <w:rsid w:val="0090487E"/>
    <w:rsid w:val="00905212"/>
    <w:rsid w:val="00905969"/>
    <w:rsid w:val="009059D3"/>
    <w:rsid w:val="00905A28"/>
    <w:rsid w:val="0090619C"/>
    <w:rsid w:val="0090626D"/>
    <w:rsid w:val="00906371"/>
    <w:rsid w:val="0090663E"/>
    <w:rsid w:val="00906683"/>
    <w:rsid w:val="00906A19"/>
    <w:rsid w:val="00906CEB"/>
    <w:rsid w:val="00906FAE"/>
    <w:rsid w:val="00907364"/>
    <w:rsid w:val="00907BDD"/>
    <w:rsid w:val="0091084B"/>
    <w:rsid w:val="00910DA0"/>
    <w:rsid w:val="00910FF4"/>
    <w:rsid w:val="0091176B"/>
    <w:rsid w:val="00911875"/>
    <w:rsid w:val="00911AC2"/>
    <w:rsid w:val="00911D4F"/>
    <w:rsid w:val="00911E83"/>
    <w:rsid w:val="00911EBC"/>
    <w:rsid w:val="009122CB"/>
    <w:rsid w:val="0091283E"/>
    <w:rsid w:val="00912C74"/>
    <w:rsid w:val="00912E10"/>
    <w:rsid w:val="00913C6D"/>
    <w:rsid w:val="0091472D"/>
    <w:rsid w:val="00914B87"/>
    <w:rsid w:val="0091549C"/>
    <w:rsid w:val="00915690"/>
    <w:rsid w:val="009158D7"/>
    <w:rsid w:val="00915C80"/>
    <w:rsid w:val="00915D24"/>
    <w:rsid w:val="0091662B"/>
    <w:rsid w:val="0091723F"/>
    <w:rsid w:val="00917606"/>
    <w:rsid w:val="00917639"/>
    <w:rsid w:val="00917F67"/>
    <w:rsid w:val="00920072"/>
    <w:rsid w:val="009209CD"/>
    <w:rsid w:val="0092106C"/>
    <w:rsid w:val="009213CC"/>
    <w:rsid w:val="0092150F"/>
    <w:rsid w:val="00921B16"/>
    <w:rsid w:val="00921B6F"/>
    <w:rsid w:val="00921D5C"/>
    <w:rsid w:val="0092203C"/>
    <w:rsid w:val="0092238F"/>
    <w:rsid w:val="00922431"/>
    <w:rsid w:val="009225D0"/>
    <w:rsid w:val="0092304C"/>
    <w:rsid w:val="009237E8"/>
    <w:rsid w:val="009242E9"/>
    <w:rsid w:val="009245B7"/>
    <w:rsid w:val="0092524F"/>
    <w:rsid w:val="00925578"/>
    <w:rsid w:val="009259DA"/>
    <w:rsid w:val="009260D4"/>
    <w:rsid w:val="009261C4"/>
    <w:rsid w:val="009267D7"/>
    <w:rsid w:val="00927BDA"/>
    <w:rsid w:val="009300FC"/>
    <w:rsid w:val="009302BB"/>
    <w:rsid w:val="009302EC"/>
    <w:rsid w:val="00930339"/>
    <w:rsid w:val="00930B52"/>
    <w:rsid w:val="009312B4"/>
    <w:rsid w:val="00931C74"/>
    <w:rsid w:val="00932066"/>
    <w:rsid w:val="009321DF"/>
    <w:rsid w:val="00933206"/>
    <w:rsid w:val="009333A4"/>
    <w:rsid w:val="009333CA"/>
    <w:rsid w:val="00933BD0"/>
    <w:rsid w:val="00934662"/>
    <w:rsid w:val="009347B7"/>
    <w:rsid w:val="0093490C"/>
    <w:rsid w:val="00934A90"/>
    <w:rsid w:val="009351F6"/>
    <w:rsid w:val="0093560A"/>
    <w:rsid w:val="0093592B"/>
    <w:rsid w:val="00935EDF"/>
    <w:rsid w:val="009363B7"/>
    <w:rsid w:val="009369A2"/>
    <w:rsid w:val="00937485"/>
    <w:rsid w:val="009378D6"/>
    <w:rsid w:val="00937BCA"/>
    <w:rsid w:val="00940320"/>
    <w:rsid w:val="009408EA"/>
    <w:rsid w:val="00940A7A"/>
    <w:rsid w:val="00940EA2"/>
    <w:rsid w:val="00940FF8"/>
    <w:rsid w:val="00941480"/>
    <w:rsid w:val="009416C7"/>
    <w:rsid w:val="00941F8E"/>
    <w:rsid w:val="0094200F"/>
    <w:rsid w:val="0094293B"/>
    <w:rsid w:val="00942DF8"/>
    <w:rsid w:val="00943265"/>
    <w:rsid w:val="00943407"/>
    <w:rsid w:val="009435F6"/>
    <w:rsid w:val="00943D7F"/>
    <w:rsid w:val="00943EDE"/>
    <w:rsid w:val="00944BDF"/>
    <w:rsid w:val="00944FE0"/>
    <w:rsid w:val="009461ED"/>
    <w:rsid w:val="0094638B"/>
    <w:rsid w:val="00946505"/>
    <w:rsid w:val="00946577"/>
    <w:rsid w:val="00946593"/>
    <w:rsid w:val="00946949"/>
    <w:rsid w:val="0094699D"/>
    <w:rsid w:val="009472FF"/>
    <w:rsid w:val="00947314"/>
    <w:rsid w:val="009478BC"/>
    <w:rsid w:val="00947ACC"/>
    <w:rsid w:val="00947C62"/>
    <w:rsid w:val="00947DC0"/>
    <w:rsid w:val="00947DD7"/>
    <w:rsid w:val="00950111"/>
    <w:rsid w:val="0095049B"/>
    <w:rsid w:val="0095052E"/>
    <w:rsid w:val="00951728"/>
    <w:rsid w:val="0095195E"/>
    <w:rsid w:val="00952E87"/>
    <w:rsid w:val="00952F51"/>
    <w:rsid w:val="00953075"/>
    <w:rsid w:val="00953507"/>
    <w:rsid w:val="00953CC9"/>
    <w:rsid w:val="00954024"/>
    <w:rsid w:val="0095419B"/>
    <w:rsid w:val="0095487E"/>
    <w:rsid w:val="00954A7F"/>
    <w:rsid w:val="00954D7A"/>
    <w:rsid w:val="00955052"/>
    <w:rsid w:val="009554D2"/>
    <w:rsid w:val="009556E8"/>
    <w:rsid w:val="00955BD4"/>
    <w:rsid w:val="00955E9B"/>
    <w:rsid w:val="009560BC"/>
    <w:rsid w:val="009565BF"/>
    <w:rsid w:val="00956775"/>
    <w:rsid w:val="00956A11"/>
    <w:rsid w:val="00957013"/>
    <w:rsid w:val="00957481"/>
    <w:rsid w:val="00957569"/>
    <w:rsid w:val="0095768D"/>
    <w:rsid w:val="0095783F"/>
    <w:rsid w:val="00957BB3"/>
    <w:rsid w:val="00957D61"/>
    <w:rsid w:val="00957D91"/>
    <w:rsid w:val="0096046D"/>
    <w:rsid w:val="00960476"/>
    <w:rsid w:val="00961273"/>
    <w:rsid w:val="00961465"/>
    <w:rsid w:val="00962D9E"/>
    <w:rsid w:val="00963093"/>
    <w:rsid w:val="009632D4"/>
    <w:rsid w:val="00963A3E"/>
    <w:rsid w:val="00963E7D"/>
    <w:rsid w:val="009641F4"/>
    <w:rsid w:val="00964A60"/>
    <w:rsid w:val="00964C9C"/>
    <w:rsid w:val="00964EDB"/>
    <w:rsid w:val="00965418"/>
    <w:rsid w:val="00965625"/>
    <w:rsid w:val="00965711"/>
    <w:rsid w:val="00965EA5"/>
    <w:rsid w:val="00965F6F"/>
    <w:rsid w:val="00966180"/>
    <w:rsid w:val="00966555"/>
    <w:rsid w:val="009668AF"/>
    <w:rsid w:val="00966B84"/>
    <w:rsid w:val="00966F03"/>
    <w:rsid w:val="00967064"/>
    <w:rsid w:val="009670F6"/>
    <w:rsid w:val="0096722E"/>
    <w:rsid w:val="00967AA5"/>
    <w:rsid w:val="00967BCB"/>
    <w:rsid w:val="009704B2"/>
    <w:rsid w:val="0097095B"/>
    <w:rsid w:val="00970BA8"/>
    <w:rsid w:val="00970E16"/>
    <w:rsid w:val="00971B6D"/>
    <w:rsid w:val="00971F3F"/>
    <w:rsid w:val="0097299C"/>
    <w:rsid w:val="00973052"/>
    <w:rsid w:val="00973793"/>
    <w:rsid w:val="00973A0E"/>
    <w:rsid w:val="00973C60"/>
    <w:rsid w:val="00973FE9"/>
    <w:rsid w:val="00974433"/>
    <w:rsid w:val="00974BA0"/>
    <w:rsid w:val="00975337"/>
    <w:rsid w:val="00975498"/>
    <w:rsid w:val="00975570"/>
    <w:rsid w:val="00975713"/>
    <w:rsid w:val="00976088"/>
    <w:rsid w:val="009764F6"/>
    <w:rsid w:val="00976A07"/>
    <w:rsid w:val="009773B5"/>
    <w:rsid w:val="009779BB"/>
    <w:rsid w:val="009803D0"/>
    <w:rsid w:val="0098099A"/>
    <w:rsid w:val="009814DD"/>
    <w:rsid w:val="00981C8F"/>
    <w:rsid w:val="009828A3"/>
    <w:rsid w:val="00982D89"/>
    <w:rsid w:val="009830E3"/>
    <w:rsid w:val="009834DE"/>
    <w:rsid w:val="009839F7"/>
    <w:rsid w:val="00984011"/>
    <w:rsid w:val="00984331"/>
    <w:rsid w:val="009844C0"/>
    <w:rsid w:val="00984A77"/>
    <w:rsid w:val="00984E72"/>
    <w:rsid w:val="00984FEB"/>
    <w:rsid w:val="00984FF9"/>
    <w:rsid w:val="0098503B"/>
    <w:rsid w:val="00985479"/>
    <w:rsid w:val="0098558B"/>
    <w:rsid w:val="00986DBF"/>
    <w:rsid w:val="00986FE3"/>
    <w:rsid w:val="009871E7"/>
    <w:rsid w:val="0098745B"/>
    <w:rsid w:val="00987503"/>
    <w:rsid w:val="009876C5"/>
    <w:rsid w:val="009879F9"/>
    <w:rsid w:val="00987C85"/>
    <w:rsid w:val="0099003B"/>
    <w:rsid w:val="00990532"/>
    <w:rsid w:val="00990877"/>
    <w:rsid w:val="00991684"/>
    <w:rsid w:val="00991AD2"/>
    <w:rsid w:val="00992134"/>
    <w:rsid w:val="0099224A"/>
    <w:rsid w:val="00993008"/>
    <w:rsid w:val="00993483"/>
    <w:rsid w:val="00993864"/>
    <w:rsid w:val="00993951"/>
    <w:rsid w:val="00993F00"/>
    <w:rsid w:val="0099418A"/>
    <w:rsid w:val="00994769"/>
    <w:rsid w:val="00994F8D"/>
    <w:rsid w:val="0099501E"/>
    <w:rsid w:val="00995366"/>
    <w:rsid w:val="009953B5"/>
    <w:rsid w:val="0099564D"/>
    <w:rsid w:val="0099577A"/>
    <w:rsid w:val="009957BF"/>
    <w:rsid w:val="00995F59"/>
    <w:rsid w:val="009961C6"/>
    <w:rsid w:val="0099647F"/>
    <w:rsid w:val="00996AD9"/>
    <w:rsid w:val="00996E8B"/>
    <w:rsid w:val="009970A1"/>
    <w:rsid w:val="00997360"/>
    <w:rsid w:val="0099740A"/>
    <w:rsid w:val="00997444"/>
    <w:rsid w:val="00997A48"/>
    <w:rsid w:val="00997A5C"/>
    <w:rsid w:val="00997F97"/>
    <w:rsid w:val="009A000C"/>
    <w:rsid w:val="009A0182"/>
    <w:rsid w:val="009A0E57"/>
    <w:rsid w:val="009A1007"/>
    <w:rsid w:val="009A1ADA"/>
    <w:rsid w:val="009A1CAC"/>
    <w:rsid w:val="009A1D65"/>
    <w:rsid w:val="009A22F6"/>
    <w:rsid w:val="009A2415"/>
    <w:rsid w:val="009A2730"/>
    <w:rsid w:val="009A3361"/>
    <w:rsid w:val="009A3917"/>
    <w:rsid w:val="009A3E9B"/>
    <w:rsid w:val="009A4CB9"/>
    <w:rsid w:val="009A543F"/>
    <w:rsid w:val="009A5EA1"/>
    <w:rsid w:val="009A69AC"/>
    <w:rsid w:val="009A69DB"/>
    <w:rsid w:val="009A6A18"/>
    <w:rsid w:val="009A6DEC"/>
    <w:rsid w:val="009A6DF5"/>
    <w:rsid w:val="009A6E7D"/>
    <w:rsid w:val="009A72CD"/>
    <w:rsid w:val="009A7E17"/>
    <w:rsid w:val="009A7F2E"/>
    <w:rsid w:val="009B006A"/>
    <w:rsid w:val="009B01ED"/>
    <w:rsid w:val="009B04E2"/>
    <w:rsid w:val="009B15E0"/>
    <w:rsid w:val="009B190A"/>
    <w:rsid w:val="009B19C7"/>
    <w:rsid w:val="009B3700"/>
    <w:rsid w:val="009B373D"/>
    <w:rsid w:val="009B3929"/>
    <w:rsid w:val="009B4298"/>
    <w:rsid w:val="009B4BC4"/>
    <w:rsid w:val="009B4D26"/>
    <w:rsid w:val="009B5D79"/>
    <w:rsid w:val="009B62AB"/>
    <w:rsid w:val="009B6C8B"/>
    <w:rsid w:val="009B75B0"/>
    <w:rsid w:val="009B7D79"/>
    <w:rsid w:val="009C0212"/>
    <w:rsid w:val="009C04D7"/>
    <w:rsid w:val="009C0577"/>
    <w:rsid w:val="009C0D9C"/>
    <w:rsid w:val="009C0E05"/>
    <w:rsid w:val="009C208E"/>
    <w:rsid w:val="009C307A"/>
    <w:rsid w:val="009C3679"/>
    <w:rsid w:val="009C4672"/>
    <w:rsid w:val="009C5680"/>
    <w:rsid w:val="009C57A8"/>
    <w:rsid w:val="009C647F"/>
    <w:rsid w:val="009C7D67"/>
    <w:rsid w:val="009D00AB"/>
    <w:rsid w:val="009D0279"/>
    <w:rsid w:val="009D085F"/>
    <w:rsid w:val="009D0DDA"/>
    <w:rsid w:val="009D0F96"/>
    <w:rsid w:val="009D117A"/>
    <w:rsid w:val="009D15CF"/>
    <w:rsid w:val="009D19D3"/>
    <w:rsid w:val="009D1ED3"/>
    <w:rsid w:val="009D1F49"/>
    <w:rsid w:val="009D20B3"/>
    <w:rsid w:val="009D2A03"/>
    <w:rsid w:val="009D34D8"/>
    <w:rsid w:val="009D3ABB"/>
    <w:rsid w:val="009D44C7"/>
    <w:rsid w:val="009D51BE"/>
    <w:rsid w:val="009D59B9"/>
    <w:rsid w:val="009D5A06"/>
    <w:rsid w:val="009D5D1C"/>
    <w:rsid w:val="009D61DD"/>
    <w:rsid w:val="009D62A9"/>
    <w:rsid w:val="009D63AA"/>
    <w:rsid w:val="009D63CC"/>
    <w:rsid w:val="009D733A"/>
    <w:rsid w:val="009D7929"/>
    <w:rsid w:val="009D7C98"/>
    <w:rsid w:val="009D7E29"/>
    <w:rsid w:val="009E0011"/>
    <w:rsid w:val="009E0128"/>
    <w:rsid w:val="009E0AF8"/>
    <w:rsid w:val="009E0CCA"/>
    <w:rsid w:val="009E1176"/>
    <w:rsid w:val="009E1672"/>
    <w:rsid w:val="009E1767"/>
    <w:rsid w:val="009E1A45"/>
    <w:rsid w:val="009E2946"/>
    <w:rsid w:val="009E34EC"/>
    <w:rsid w:val="009E35EA"/>
    <w:rsid w:val="009E3811"/>
    <w:rsid w:val="009E3885"/>
    <w:rsid w:val="009E3E7C"/>
    <w:rsid w:val="009E45E1"/>
    <w:rsid w:val="009E4655"/>
    <w:rsid w:val="009E5095"/>
    <w:rsid w:val="009E533F"/>
    <w:rsid w:val="009E5625"/>
    <w:rsid w:val="009E5BA3"/>
    <w:rsid w:val="009E634C"/>
    <w:rsid w:val="009E6F8E"/>
    <w:rsid w:val="009E75D8"/>
    <w:rsid w:val="009E7A0B"/>
    <w:rsid w:val="009E7F49"/>
    <w:rsid w:val="009F03BD"/>
    <w:rsid w:val="009F0B28"/>
    <w:rsid w:val="009F0C84"/>
    <w:rsid w:val="009F1345"/>
    <w:rsid w:val="009F1B6D"/>
    <w:rsid w:val="009F1D36"/>
    <w:rsid w:val="009F1EDF"/>
    <w:rsid w:val="009F2A6B"/>
    <w:rsid w:val="009F2C13"/>
    <w:rsid w:val="009F2F67"/>
    <w:rsid w:val="009F2F6B"/>
    <w:rsid w:val="009F338F"/>
    <w:rsid w:val="009F39D7"/>
    <w:rsid w:val="009F4192"/>
    <w:rsid w:val="009F452A"/>
    <w:rsid w:val="009F45FC"/>
    <w:rsid w:val="009F53EE"/>
    <w:rsid w:val="009F5805"/>
    <w:rsid w:val="009F586F"/>
    <w:rsid w:val="009F5A57"/>
    <w:rsid w:val="009F5F79"/>
    <w:rsid w:val="009F66F4"/>
    <w:rsid w:val="009F66F7"/>
    <w:rsid w:val="009F688A"/>
    <w:rsid w:val="009F689B"/>
    <w:rsid w:val="009F6B15"/>
    <w:rsid w:val="009F6B31"/>
    <w:rsid w:val="009F750B"/>
    <w:rsid w:val="009F7AAD"/>
    <w:rsid w:val="00A00FC0"/>
    <w:rsid w:val="00A010BE"/>
    <w:rsid w:val="00A01EFD"/>
    <w:rsid w:val="00A01F76"/>
    <w:rsid w:val="00A022EF"/>
    <w:rsid w:val="00A028AC"/>
    <w:rsid w:val="00A02BF9"/>
    <w:rsid w:val="00A03394"/>
    <w:rsid w:val="00A039BC"/>
    <w:rsid w:val="00A03D12"/>
    <w:rsid w:val="00A0467D"/>
    <w:rsid w:val="00A04D58"/>
    <w:rsid w:val="00A04F6A"/>
    <w:rsid w:val="00A052AB"/>
    <w:rsid w:val="00A053B9"/>
    <w:rsid w:val="00A05682"/>
    <w:rsid w:val="00A0649B"/>
    <w:rsid w:val="00A0652B"/>
    <w:rsid w:val="00A065CA"/>
    <w:rsid w:val="00A06943"/>
    <w:rsid w:val="00A07698"/>
    <w:rsid w:val="00A076AB"/>
    <w:rsid w:val="00A0799B"/>
    <w:rsid w:val="00A07BC1"/>
    <w:rsid w:val="00A103E4"/>
    <w:rsid w:val="00A107C6"/>
    <w:rsid w:val="00A10A28"/>
    <w:rsid w:val="00A10F97"/>
    <w:rsid w:val="00A11977"/>
    <w:rsid w:val="00A119F7"/>
    <w:rsid w:val="00A11DC1"/>
    <w:rsid w:val="00A12372"/>
    <w:rsid w:val="00A12808"/>
    <w:rsid w:val="00A12858"/>
    <w:rsid w:val="00A128FF"/>
    <w:rsid w:val="00A12931"/>
    <w:rsid w:val="00A12946"/>
    <w:rsid w:val="00A132E0"/>
    <w:rsid w:val="00A1458F"/>
    <w:rsid w:val="00A14808"/>
    <w:rsid w:val="00A1488E"/>
    <w:rsid w:val="00A14B47"/>
    <w:rsid w:val="00A14BEF"/>
    <w:rsid w:val="00A14C0F"/>
    <w:rsid w:val="00A14C5D"/>
    <w:rsid w:val="00A1530E"/>
    <w:rsid w:val="00A15F3C"/>
    <w:rsid w:val="00A16121"/>
    <w:rsid w:val="00A1694D"/>
    <w:rsid w:val="00A17164"/>
    <w:rsid w:val="00A171E8"/>
    <w:rsid w:val="00A17352"/>
    <w:rsid w:val="00A2029A"/>
    <w:rsid w:val="00A20FA0"/>
    <w:rsid w:val="00A21270"/>
    <w:rsid w:val="00A21947"/>
    <w:rsid w:val="00A21D74"/>
    <w:rsid w:val="00A2283A"/>
    <w:rsid w:val="00A23924"/>
    <w:rsid w:val="00A23FD3"/>
    <w:rsid w:val="00A24036"/>
    <w:rsid w:val="00A242D7"/>
    <w:rsid w:val="00A25183"/>
    <w:rsid w:val="00A25186"/>
    <w:rsid w:val="00A251A1"/>
    <w:rsid w:val="00A25775"/>
    <w:rsid w:val="00A258B1"/>
    <w:rsid w:val="00A2644C"/>
    <w:rsid w:val="00A26A43"/>
    <w:rsid w:val="00A274CC"/>
    <w:rsid w:val="00A27DA0"/>
    <w:rsid w:val="00A3063C"/>
    <w:rsid w:val="00A329D5"/>
    <w:rsid w:val="00A32C49"/>
    <w:rsid w:val="00A32CF9"/>
    <w:rsid w:val="00A3305D"/>
    <w:rsid w:val="00A33246"/>
    <w:rsid w:val="00A34256"/>
    <w:rsid w:val="00A34931"/>
    <w:rsid w:val="00A34D62"/>
    <w:rsid w:val="00A351FE"/>
    <w:rsid w:val="00A35B12"/>
    <w:rsid w:val="00A364BB"/>
    <w:rsid w:val="00A3659A"/>
    <w:rsid w:val="00A368AB"/>
    <w:rsid w:val="00A37371"/>
    <w:rsid w:val="00A37447"/>
    <w:rsid w:val="00A37992"/>
    <w:rsid w:val="00A37B8A"/>
    <w:rsid w:val="00A408AE"/>
    <w:rsid w:val="00A40F9B"/>
    <w:rsid w:val="00A41229"/>
    <w:rsid w:val="00A413DB"/>
    <w:rsid w:val="00A41745"/>
    <w:rsid w:val="00A41ADB"/>
    <w:rsid w:val="00A41E79"/>
    <w:rsid w:val="00A42590"/>
    <w:rsid w:val="00A4270F"/>
    <w:rsid w:val="00A435F2"/>
    <w:rsid w:val="00A43741"/>
    <w:rsid w:val="00A437B3"/>
    <w:rsid w:val="00A4384F"/>
    <w:rsid w:val="00A43A52"/>
    <w:rsid w:val="00A44190"/>
    <w:rsid w:val="00A4441F"/>
    <w:rsid w:val="00A44517"/>
    <w:rsid w:val="00A44E07"/>
    <w:rsid w:val="00A45268"/>
    <w:rsid w:val="00A46142"/>
    <w:rsid w:val="00A46216"/>
    <w:rsid w:val="00A462D3"/>
    <w:rsid w:val="00A46990"/>
    <w:rsid w:val="00A46EE3"/>
    <w:rsid w:val="00A4729E"/>
    <w:rsid w:val="00A47D46"/>
    <w:rsid w:val="00A501B4"/>
    <w:rsid w:val="00A50D9D"/>
    <w:rsid w:val="00A51997"/>
    <w:rsid w:val="00A5267B"/>
    <w:rsid w:val="00A531E6"/>
    <w:rsid w:val="00A532EF"/>
    <w:rsid w:val="00A53C08"/>
    <w:rsid w:val="00A53FB6"/>
    <w:rsid w:val="00A54002"/>
    <w:rsid w:val="00A54080"/>
    <w:rsid w:val="00A542B7"/>
    <w:rsid w:val="00A54D42"/>
    <w:rsid w:val="00A553F7"/>
    <w:rsid w:val="00A55748"/>
    <w:rsid w:val="00A557FD"/>
    <w:rsid w:val="00A55E96"/>
    <w:rsid w:val="00A56132"/>
    <w:rsid w:val="00A56939"/>
    <w:rsid w:val="00A56DA8"/>
    <w:rsid w:val="00A571E5"/>
    <w:rsid w:val="00A5725D"/>
    <w:rsid w:val="00A57D51"/>
    <w:rsid w:val="00A60630"/>
    <w:rsid w:val="00A60986"/>
    <w:rsid w:val="00A609FA"/>
    <w:rsid w:val="00A60D69"/>
    <w:rsid w:val="00A6186F"/>
    <w:rsid w:val="00A61BCC"/>
    <w:rsid w:val="00A6213E"/>
    <w:rsid w:val="00A63213"/>
    <w:rsid w:val="00A63666"/>
    <w:rsid w:val="00A638C1"/>
    <w:rsid w:val="00A63CBA"/>
    <w:rsid w:val="00A63DD2"/>
    <w:rsid w:val="00A64C7B"/>
    <w:rsid w:val="00A64D4E"/>
    <w:rsid w:val="00A65B20"/>
    <w:rsid w:val="00A66588"/>
    <w:rsid w:val="00A669CC"/>
    <w:rsid w:val="00A66DD0"/>
    <w:rsid w:val="00A6716F"/>
    <w:rsid w:val="00A6769B"/>
    <w:rsid w:val="00A70ADC"/>
    <w:rsid w:val="00A70B54"/>
    <w:rsid w:val="00A71214"/>
    <w:rsid w:val="00A7188F"/>
    <w:rsid w:val="00A72C86"/>
    <w:rsid w:val="00A72D11"/>
    <w:rsid w:val="00A732C0"/>
    <w:rsid w:val="00A7341C"/>
    <w:rsid w:val="00A736A9"/>
    <w:rsid w:val="00A7384A"/>
    <w:rsid w:val="00A73ECE"/>
    <w:rsid w:val="00A7447C"/>
    <w:rsid w:val="00A745A1"/>
    <w:rsid w:val="00A745AD"/>
    <w:rsid w:val="00A74CCA"/>
    <w:rsid w:val="00A74F40"/>
    <w:rsid w:val="00A74FE4"/>
    <w:rsid w:val="00A754E2"/>
    <w:rsid w:val="00A7557A"/>
    <w:rsid w:val="00A755B2"/>
    <w:rsid w:val="00A75759"/>
    <w:rsid w:val="00A7607C"/>
    <w:rsid w:val="00A76110"/>
    <w:rsid w:val="00A76194"/>
    <w:rsid w:val="00A773E3"/>
    <w:rsid w:val="00A807C5"/>
    <w:rsid w:val="00A81772"/>
    <w:rsid w:val="00A81AFF"/>
    <w:rsid w:val="00A81FCB"/>
    <w:rsid w:val="00A82F5E"/>
    <w:rsid w:val="00A83110"/>
    <w:rsid w:val="00A831B3"/>
    <w:rsid w:val="00A83219"/>
    <w:rsid w:val="00A83B12"/>
    <w:rsid w:val="00A8468F"/>
    <w:rsid w:val="00A8487D"/>
    <w:rsid w:val="00A84AC2"/>
    <w:rsid w:val="00A856FA"/>
    <w:rsid w:val="00A8585A"/>
    <w:rsid w:val="00A86158"/>
    <w:rsid w:val="00A861EE"/>
    <w:rsid w:val="00A86463"/>
    <w:rsid w:val="00A86851"/>
    <w:rsid w:val="00A86EEB"/>
    <w:rsid w:val="00A87127"/>
    <w:rsid w:val="00A87286"/>
    <w:rsid w:val="00A87B2A"/>
    <w:rsid w:val="00A901D3"/>
    <w:rsid w:val="00A903D1"/>
    <w:rsid w:val="00A90830"/>
    <w:rsid w:val="00A90E34"/>
    <w:rsid w:val="00A9106B"/>
    <w:rsid w:val="00A913F6"/>
    <w:rsid w:val="00A91811"/>
    <w:rsid w:val="00A922FD"/>
    <w:rsid w:val="00A924AD"/>
    <w:rsid w:val="00A928D0"/>
    <w:rsid w:val="00A92F37"/>
    <w:rsid w:val="00A933BA"/>
    <w:rsid w:val="00A937FA"/>
    <w:rsid w:val="00A93B8A"/>
    <w:rsid w:val="00A94541"/>
    <w:rsid w:val="00A94FB5"/>
    <w:rsid w:val="00A95088"/>
    <w:rsid w:val="00A95893"/>
    <w:rsid w:val="00A95935"/>
    <w:rsid w:val="00A95965"/>
    <w:rsid w:val="00A95DBE"/>
    <w:rsid w:val="00A967B4"/>
    <w:rsid w:val="00A970A7"/>
    <w:rsid w:val="00AA09D1"/>
    <w:rsid w:val="00AA1D78"/>
    <w:rsid w:val="00AA25A1"/>
    <w:rsid w:val="00AA2C54"/>
    <w:rsid w:val="00AA2DB1"/>
    <w:rsid w:val="00AA32CA"/>
    <w:rsid w:val="00AA3388"/>
    <w:rsid w:val="00AA33D3"/>
    <w:rsid w:val="00AA3E0F"/>
    <w:rsid w:val="00AA4D6B"/>
    <w:rsid w:val="00AA6000"/>
    <w:rsid w:val="00AA6A53"/>
    <w:rsid w:val="00AA760A"/>
    <w:rsid w:val="00AB0151"/>
    <w:rsid w:val="00AB01E0"/>
    <w:rsid w:val="00AB03B6"/>
    <w:rsid w:val="00AB058F"/>
    <w:rsid w:val="00AB073D"/>
    <w:rsid w:val="00AB084A"/>
    <w:rsid w:val="00AB10CC"/>
    <w:rsid w:val="00AB11A3"/>
    <w:rsid w:val="00AB11C6"/>
    <w:rsid w:val="00AB121E"/>
    <w:rsid w:val="00AB2006"/>
    <w:rsid w:val="00AB2326"/>
    <w:rsid w:val="00AB27CC"/>
    <w:rsid w:val="00AB2D47"/>
    <w:rsid w:val="00AB31F2"/>
    <w:rsid w:val="00AB37E9"/>
    <w:rsid w:val="00AB3F57"/>
    <w:rsid w:val="00AB4021"/>
    <w:rsid w:val="00AB429A"/>
    <w:rsid w:val="00AB4675"/>
    <w:rsid w:val="00AB46ED"/>
    <w:rsid w:val="00AB4D5C"/>
    <w:rsid w:val="00AB526A"/>
    <w:rsid w:val="00AB5A09"/>
    <w:rsid w:val="00AB5ED4"/>
    <w:rsid w:val="00AB5F84"/>
    <w:rsid w:val="00AB6199"/>
    <w:rsid w:val="00AB62E7"/>
    <w:rsid w:val="00AB7A13"/>
    <w:rsid w:val="00AB7F24"/>
    <w:rsid w:val="00AC0999"/>
    <w:rsid w:val="00AC0BD7"/>
    <w:rsid w:val="00AC0BEB"/>
    <w:rsid w:val="00AC1C35"/>
    <w:rsid w:val="00AC1EA7"/>
    <w:rsid w:val="00AC27B9"/>
    <w:rsid w:val="00AC27CE"/>
    <w:rsid w:val="00AC381F"/>
    <w:rsid w:val="00AC3CDA"/>
    <w:rsid w:val="00AC4234"/>
    <w:rsid w:val="00AC488D"/>
    <w:rsid w:val="00AC6C26"/>
    <w:rsid w:val="00AC6D76"/>
    <w:rsid w:val="00AC6DD3"/>
    <w:rsid w:val="00AC6E82"/>
    <w:rsid w:val="00AC701D"/>
    <w:rsid w:val="00AD0485"/>
    <w:rsid w:val="00AD0A97"/>
    <w:rsid w:val="00AD0BBA"/>
    <w:rsid w:val="00AD1489"/>
    <w:rsid w:val="00AD1D3D"/>
    <w:rsid w:val="00AD1EDA"/>
    <w:rsid w:val="00AD1F7C"/>
    <w:rsid w:val="00AD21CC"/>
    <w:rsid w:val="00AD2BFD"/>
    <w:rsid w:val="00AD3972"/>
    <w:rsid w:val="00AD3F6D"/>
    <w:rsid w:val="00AD3FE0"/>
    <w:rsid w:val="00AD3FEB"/>
    <w:rsid w:val="00AD4112"/>
    <w:rsid w:val="00AD43E3"/>
    <w:rsid w:val="00AD4F31"/>
    <w:rsid w:val="00AD5E29"/>
    <w:rsid w:val="00AD5E8C"/>
    <w:rsid w:val="00AD5E93"/>
    <w:rsid w:val="00AD6243"/>
    <w:rsid w:val="00AD6597"/>
    <w:rsid w:val="00AD765D"/>
    <w:rsid w:val="00AD7946"/>
    <w:rsid w:val="00AD7A17"/>
    <w:rsid w:val="00AD7E2C"/>
    <w:rsid w:val="00AE0155"/>
    <w:rsid w:val="00AE01B4"/>
    <w:rsid w:val="00AE06D5"/>
    <w:rsid w:val="00AE122A"/>
    <w:rsid w:val="00AE12C8"/>
    <w:rsid w:val="00AE155C"/>
    <w:rsid w:val="00AE17EC"/>
    <w:rsid w:val="00AE1CA4"/>
    <w:rsid w:val="00AE1EE6"/>
    <w:rsid w:val="00AE1F7C"/>
    <w:rsid w:val="00AE2EA9"/>
    <w:rsid w:val="00AE3805"/>
    <w:rsid w:val="00AE3BDA"/>
    <w:rsid w:val="00AE3E14"/>
    <w:rsid w:val="00AE4045"/>
    <w:rsid w:val="00AE4185"/>
    <w:rsid w:val="00AE4283"/>
    <w:rsid w:val="00AE4772"/>
    <w:rsid w:val="00AE4858"/>
    <w:rsid w:val="00AE4B3D"/>
    <w:rsid w:val="00AE5016"/>
    <w:rsid w:val="00AE57A8"/>
    <w:rsid w:val="00AE5851"/>
    <w:rsid w:val="00AE5F9B"/>
    <w:rsid w:val="00AE6739"/>
    <w:rsid w:val="00AE6DAC"/>
    <w:rsid w:val="00AE7446"/>
    <w:rsid w:val="00AF02AD"/>
    <w:rsid w:val="00AF03BC"/>
    <w:rsid w:val="00AF075F"/>
    <w:rsid w:val="00AF1941"/>
    <w:rsid w:val="00AF2458"/>
    <w:rsid w:val="00AF2B48"/>
    <w:rsid w:val="00AF2DF0"/>
    <w:rsid w:val="00AF3570"/>
    <w:rsid w:val="00AF3F61"/>
    <w:rsid w:val="00AF4252"/>
    <w:rsid w:val="00AF4C5E"/>
    <w:rsid w:val="00AF4F4E"/>
    <w:rsid w:val="00AF5116"/>
    <w:rsid w:val="00AF517A"/>
    <w:rsid w:val="00AF522C"/>
    <w:rsid w:val="00AF530B"/>
    <w:rsid w:val="00AF5E9F"/>
    <w:rsid w:val="00AF5F96"/>
    <w:rsid w:val="00AF6092"/>
    <w:rsid w:val="00AF6222"/>
    <w:rsid w:val="00AF6360"/>
    <w:rsid w:val="00AF6604"/>
    <w:rsid w:val="00AF6795"/>
    <w:rsid w:val="00AF698A"/>
    <w:rsid w:val="00AF6B07"/>
    <w:rsid w:val="00AF6C66"/>
    <w:rsid w:val="00AF7D16"/>
    <w:rsid w:val="00B003AA"/>
    <w:rsid w:val="00B00499"/>
    <w:rsid w:val="00B00C09"/>
    <w:rsid w:val="00B00C29"/>
    <w:rsid w:val="00B00DA9"/>
    <w:rsid w:val="00B0195F"/>
    <w:rsid w:val="00B01A15"/>
    <w:rsid w:val="00B02060"/>
    <w:rsid w:val="00B0225E"/>
    <w:rsid w:val="00B022D8"/>
    <w:rsid w:val="00B0243B"/>
    <w:rsid w:val="00B0266C"/>
    <w:rsid w:val="00B026D0"/>
    <w:rsid w:val="00B026F6"/>
    <w:rsid w:val="00B02BD1"/>
    <w:rsid w:val="00B02C1D"/>
    <w:rsid w:val="00B03079"/>
    <w:rsid w:val="00B046CB"/>
    <w:rsid w:val="00B04B6B"/>
    <w:rsid w:val="00B04C19"/>
    <w:rsid w:val="00B0544B"/>
    <w:rsid w:val="00B05D10"/>
    <w:rsid w:val="00B064E3"/>
    <w:rsid w:val="00B06680"/>
    <w:rsid w:val="00B06732"/>
    <w:rsid w:val="00B0699D"/>
    <w:rsid w:val="00B06F1F"/>
    <w:rsid w:val="00B07122"/>
    <w:rsid w:val="00B07AEA"/>
    <w:rsid w:val="00B10483"/>
    <w:rsid w:val="00B1091F"/>
    <w:rsid w:val="00B11D8C"/>
    <w:rsid w:val="00B11DA6"/>
    <w:rsid w:val="00B11F5A"/>
    <w:rsid w:val="00B127E3"/>
    <w:rsid w:val="00B12C5D"/>
    <w:rsid w:val="00B1338A"/>
    <w:rsid w:val="00B13B63"/>
    <w:rsid w:val="00B14169"/>
    <w:rsid w:val="00B151C0"/>
    <w:rsid w:val="00B15655"/>
    <w:rsid w:val="00B15D8F"/>
    <w:rsid w:val="00B16BF4"/>
    <w:rsid w:val="00B16E6C"/>
    <w:rsid w:val="00B17112"/>
    <w:rsid w:val="00B1789C"/>
    <w:rsid w:val="00B20659"/>
    <w:rsid w:val="00B2110A"/>
    <w:rsid w:val="00B21515"/>
    <w:rsid w:val="00B218FE"/>
    <w:rsid w:val="00B219E4"/>
    <w:rsid w:val="00B21F14"/>
    <w:rsid w:val="00B227CF"/>
    <w:rsid w:val="00B228A2"/>
    <w:rsid w:val="00B22D6B"/>
    <w:rsid w:val="00B22EE5"/>
    <w:rsid w:val="00B23144"/>
    <w:rsid w:val="00B23875"/>
    <w:rsid w:val="00B23878"/>
    <w:rsid w:val="00B23F30"/>
    <w:rsid w:val="00B24670"/>
    <w:rsid w:val="00B24AE2"/>
    <w:rsid w:val="00B24E10"/>
    <w:rsid w:val="00B24E7E"/>
    <w:rsid w:val="00B2591D"/>
    <w:rsid w:val="00B25D4A"/>
    <w:rsid w:val="00B25DD9"/>
    <w:rsid w:val="00B25F86"/>
    <w:rsid w:val="00B26DFD"/>
    <w:rsid w:val="00B271E3"/>
    <w:rsid w:val="00B277C1"/>
    <w:rsid w:val="00B278B4"/>
    <w:rsid w:val="00B278C3"/>
    <w:rsid w:val="00B27BBC"/>
    <w:rsid w:val="00B27E93"/>
    <w:rsid w:val="00B3045A"/>
    <w:rsid w:val="00B30549"/>
    <w:rsid w:val="00B3113E"/>
    <w:rsid w:val="00B315CE"/>
    <w:rsid w:val="00B32167"/>
    <w:rsid w:val="00B321B5"/>
    <w:rsid w:val="00B32563"/>
    <w:rsid w:val="00B32784"/>
    <w:rsid w:val="00B328B7"/>
    <w:rsid w:val="00B32F9A"/>
    <w:rsid w:val="00B33555"/>
    <w:rsid w:val="00B339B4"/>
    <w:rsid w:val="00B3408A"/>
    <w:rsid w:val="00B34964"/>
    <w:rsid w:val="00B34A74"/>
    <w:rsid w:val="00B34D26"/>
    <w:rsid w:val="00B35702"/>
    <w:rsid w:val="00B35B0F"/>
    <w:rsid w:val="00B35BD3"/>
    <w:rsid w:val="00B35ECC"/>
    <w:rsid w:val="00B3635E"/>
    <w:rsid w:val="00B36C61"/>
    <w:rsid w:val="00B374C8"/>
    <w:rsid w:val="00B4011B"/>
    <w:rsid w:val="00B402A2"/>
    <w:rsid w:val="00B40304"/>
    <w:rsid w:val="00B4059E"/>
    <w:rsid w:val="00B4063A"/>
    <w:rsid w:val="00B4087A"/>
    <w:rsid w:val="00B410FF"/>
    <w:rsid w:val="00B41260"/>
    <w:rsid w:val="00B4218C"/>
    <w:rsid w:val="00B422B5"/>
    <w:rsid w:val="00B428F6"/>
    <w:rsid w:val="00B429AD"/>
    <w:rsid w:val="00B42FED"/>
    <w:rsid w:val="00B43AE4"/>
    <w:rsid w:val="00B44006"/>
    <w:rsid w:val="00B441A3"/>
    <w:rsid w:val="00B4476D"/>
    <w:rsid w:val="00B44B19"/>
    <w:rsid w:val="00B44C8C"/>
    <w:rsid w:val="00B45B99"/>
    <w:rsid w:val="00B45D3D"/>
    <w:rsid w:val="00B45E4E"/>
    <w:rsid w:val="00B4664F"/>
    <w:rsid w:val="00B4773D"/>
    <w:rsid w:val="00B478C6"/>
    <w:rsid w:val="00B478DA"/>
    <w:rsid w:val="00B4794D"/>
    <w:rsid w:val="00B47C82"/>
    <w:rsid w:val="00B47CDF"/>
    <w:rsid w:val="00B50172"/>
    <w:rsid w:val="00B50431"/>
    <w:rsid w:val="00B5076D"/>
    <w:rsid w:val="00B50E3B"/>
    <w:rsid w:val="00B5129C"/>
    <w:rsid w:val="00B51483"/>
    <w:rsid w:val="00B518FB"/>
    <w:rsid w:val="00B528DC"/>
    <w:rsid w:val="00B52BFD"/>
    <w:rsid w:val="00B52CB5"/>
    <w:rsid w:val="00B53075"/>
    <w:rsid w:val="00B534C3"/>
    <w:rsid w:val="00B53736"/>
    <w:rsid w:val="00B5386A"/>
    <w:rsid w:val="00B54458"/>
    <w:rsid w:val="00B5475D"/>
    <w:rsid w:val="00B550B6"/>
    <w:rsid w:val="00B556C5"/>
    <w:rsid w:val="00B558D0"/>
    <w:rsid w:val="00B55981"/>
    <w:rsid w:val="00B5598F"/>
    <w:rsid w:val="00B55BDB"/>
    <w:rsid w:val="00B55D70"/>
    <w:rsid w:val="00B56077"/>
    <w:rsid w:val="00B560DB"/>
    <w:rsid w:val="00B563B4"/>
    <w:rsid w:val="00B564C8"/>
    <w:rsid w:val="00B565F1"/>
    <w:rsid w:val="00B566E7"/>
    <w:rsid w:val="00B5735C"/>
    <w:rsid w:val="00B57929"/>
    <w:rsid w:val="00B579BE"/>
    <w:rsid w:val="00B57C1D"/>
    <w:rsid w:val="00B6020B"/>
    <w:rsid w:val="00B6069D"/>
    <w:rsid w:val="00B60A61"/>
    <w:rsid w:val="00B60CA7"/>
    <w:rsid w:val="00B61678"/>
    <w:rsid w:val="00B61DA4"/>
    <w:rsid w:val="00B62706"/>
    <w:rsid w:val="00B62911"/>
    <w:rsid w:val="00B62DCD"/>
    <w:rsid w:val="00B6343D"/>
    <w:rsid w:val="00B63775"/>
    <w:rsid w:val="00B640ED"/>
    <w:rsid w:val="00B642EE"/>
    <w:rsid w:val="00B6461D"/>
    <w:rsid w:val="00B64D28"/>
    <w:rsid w:val="00B64E21"/>
    <w:rsid w:val="00B65179"/>
    <w:rsid w:val="00B6568B"/>
    <w:rsid w:val="00B6593A"/>
    <w:rsid w:val="00B66367"/>
    <w:rsid w:val="00B66964"/>
    <w:rsid w:val="00B670D1"/>
    <w:rsid w:val="00B673F0"/>
    <w:rsid w:val="00B67477"/>
    <w:rsid w:val="00B67492"/>
    <w:rsid w:val="00B700C0"/>
    <w:rsid w:val="00B7086B"/>
    <w:rsid w:val="00B70EDB"/>
    <w:rsid w:val="00B71D36"/>
    <w:rsid w:val="00B72818"/>
    <w:rsid w:val="00B72FD0"/>
    <w:rsid w:val="00B73177"/>
    <w:rsid w:val="00B737D3"/>
    <w:rsid w:val="00B73901"/>
    <w:rsid w:val="00B73F79"/>
    <w:rsid w:val="00B74176"/>
    <w:rsid w:val="00B741ED"/>
    <w:rsid w:val="00B755BE"/>
    <w:rsid w:val="00B75794"/>
    <w:rsid w:val="00B757B8"/>
    <w:rsid w:val="00B7595F"/>
    <w:rsid w:val="00B75F56"/>
    <w:rsid w:val="00B76145"/>
    <w:rsid w:val="00B7649C"/>
    <w:rsid w:val="00B76791"/>
    <w:rsid w:val="00B77091"/>
    <w:rsid w:val="00B77474"/>
    <w:rsid w:val="00B77608"/>
    <w:rsid w:val="00B77AAD"/>
    <w:rsid w:val="00B80051"/>
    <w:rsid w:val="00B8005B"/>
    <w:rsid w:val="00B800FE"/>
    <w:rsid w:val="00B80708"/>
    <w:rsid w:val="00B80AED"/>
    <w:rsid w:val="00B80DC7"/>
    <w:rsid w:val="00B81259"/>
    <w:rsid w:val="00B815EA"/>
    <w:rsid w:val="00B81E8C"/>
    <w:rsid w:val="00B8225D"/>
    <w:rsid w:val="00B823A5"/>
    <w:rsid w:val="00B82502"/>
    <w:rsid w:val="00B82C18"/>
    <w:rsid w:val="00B82CE2"/>
    <w:rsid w:val="00B83510"/>
    <w:rsid w:val="00B847F1"/>
    <w:rsid w:val="00B84889"/>
    <w:rsid w:val="00B84B52"/>
    <w:rsid w:val="00B85F08"/>
    <w:rsid w:val="00B86562"/>
    <w:rsid w:val="00B86FB9"/>
    <w:rsid w:val="00B87342"/>
    <w:rsid w:val="00B874D1"/>
    <w:rsid w:val="00B87B5B"/>
    <w:rsid w:val="00B901B2"/>
    <w:rsid w:val="00B90253"/>
    <w:rsid w:val="00B90595"/>
    <w:rsid w:val="00B905F7"/>
    <w:rsid w:val="00B90C83"/>
    <w:rsid w:val="00B90E3F"/>
    <w:rsid w:val="00B91072"/>
    <w:rsid w:val="00B92535"/>
    <w:rsid w:val="00B92ACC"/>
    <w:rsid w:val="00B9335A"/>
    <w:rsid w:val="00B93673"/>
    <w:rsid w:val="00B93E7F"/>
    <w:rsid w:val="00B94393"/>
    <w:rsid w:val="00B94EB0"/>
    <w:rsid w:val="00B94F71"/>
    <w:rsid w:val="00B9541C"/>
    <w:rsid w:val="00B95605"/>
    <w:rsid w:val="00B95611"/>
    <w:rsid w:val="00B956BD"/>
    <w:rsid w:val="00B95D85"/>
    <w:rsid w:val="00B95EDB"/>
    <w:rsid w:val="00B96412"/>
    <w:rsid w:val="00B96564"/>
    <w:rsid w:val="00B96BAB"/>
    <w:rsid w:val="00B97052"/>
    <w:rsid w:val="00B9737B"/>
    <w:rsid w:val="00B977BB"/>
    <w:rsid w:val="00BA02C1"/>
    <w:rsid w:val="00BA0E98"/>
    <w:rsid w:val="00BA0ED3"/>
    <w:rsid w:val="00BA102A"/>
    <w:rsid w:val="00BA15C6"/>
    <w:rsid w:val="00BA1CC6"/>
    <w:rsid w:val="00BA1E30"/>
    <w:rsid w:val="00BA2090"/>
    <w:rsid w:val="00BA2110"/>
    <w:rsid w:val="00BA2362"/>
    <w:rsid w:val="00BA239C"/>
    <w:rsid w:val="00BA259C"/>
    <w:rsid w:val="00BA2678"/>
    <w:rsid w:val="00BA26BE"/>
    <w:rsid w:val="00BA2800"/>
    <w:rsid w:val="00BA2AAA"/>
    <w:rsid w:val="00BA3D88"/>
    <w:rsid w:val="00BA3E8A"/>
    <w:rsid w:val="00BA44A9"/>
    <w:rsid w:val="00BA4F0C"/>
    <w:rsid w:val="00BA52DC"/>
    <w:rsid w:val="00BA5C62"/>
    <w:rsid w:val="00BA6161"/>
    <w:rsid w:val="00BA61F3"/>
    <w:rsid w:val="00BA62A4"/>
    <w:rsid w:val="00BA6304"/>
    <w:rsid w:val="00BA67B2"/>
    <w:rsid w:val="00BA69BB"/>
    <w:rsid w:val="00BA70A4"/>
    <w:rsid w:val="00BA7326"/>
    <w:rsid w:val="00BA7B59"/>
    <w:rsid w:val="00BB05C1"/>
    <w:rsid w:val="00BB0914"/>
    <w:rsid w:val="00BB0BCE"/>
    <w:rsid w:val="00BB0DF1"/>
    <w:rsid w:val="00BB1794"/>
    <w:rsid w:val="00BB2CF1"/>
    <w:rsid w:val="00BB2E14"/>
    <w:rsid w:val="00BB332A"/>
    <w:rsid w:val="00BB3EF1"/>
    <w:rsid w:val="00BB40EB"/>
    <w:rsid w:val="00BB474D"/>
    <w:rsid w:val="00BB4BA4"/>
    <w:rsid w:val="00BB4E51"/>
    <w:rsid w:val="00BB4EA5"/>
    <w:rsid w:val="00BB5706"/>
    <w:rsid w:val="00BB6946"/>
    <w:rsid w:val="00BB76C5"/>
    <w:rsid w:val="00BB76FA"/>
    <w:rsid w:val="00BB791A"/>
    <w:rsid w:val="00BB794A"/>
    <w:rsid w:val="00BC02CD"/>
    <w:rsid w:val="00BC04E1"/>
    <w:rsid w:val="00BC0F7C"/>
    <w:rsid w:val="00BC1A48"/>
    <w:rsid w:val="00BC1D03"/>
    <w:rsid w:val="00BC1D5D"/>
    <w:rsid w:val="00BC2142"/>
    <w:rsid w:val="00BC30AF"/>
    <w:rsid w:val="00BC385D"/>
    <w:rsid w:val="00BC39D5"/>
    <w:rsid w:val="00BC3ABA"/>
    <w:rsid w:val="00BC3D94"/>
    <w:rsid w:val="00BC4A50"/>
    <w:rsid w:val="00BC4AB5"/>
    <w:rsid w:val="00BC4F01"/>
    <w:rsid w:val="00BC4FC4"/>
    <w:rsid w:val="00BC53A2"/>
    <w:rsid w:val="00BC548F"/>
    <w:rsid w:val="00BC5A20"/>
    <w:rsid w:val="00BC5E82"/>
    <w:rsid w:val="00BC717A"/>
    <w:rsid w:val="00BC744E"/>
    <w:rsid w:val="00BC7C01"/>
    <w:rsid w:val="00BD0785"/>
    <w:rsid w:val="00BD0B33"/>
    <w:rsid w:val="00BD130C"/>
    <w:rsid w:val="00BD1804"/>
    <w:rsid w:val="00BD1931"/>
    <w:rsid w:val="00BD2249"/>
    <w:rsid w:val="00BD316E"/>
    <w:rsid w:val="00BD3937"/>
    <w:rsid w:val="00BD3FE0"/>
    <w:rsid w:val="00BD4089"/>
    <w:rsid w:val="00BD4360"/>
    <w:rsid w:val="00BD43CE"/>
    <w:rsid w:val="00BD4629"/>
    <w:rsid w:val="00BD4B39"/>
    <w:rsid w:val="00BD4F34"/>
    <w:rsid w:val="00BD4F7B"/>
    <w:rsid w:val="00BD50F6"/>
    <w:rsid w:val="00BD5699"/>
    <w:rsid w:val="00BD60FF"/>
    <w:rsid w:val="00BD780E"/>
    <w:rsid w:val="00BD79E1"/>
    <w:rsid w:val="00BE0318"/>
    <w:rsid w:val="00BE0460"/>
    <w:rsid w:val="00BE078E"/>
    <w:rsid w:val="00BE0C14"/>
    <w:rsid w:val="00BE1257"/>
    <w:rsid w:val="00BE1AE3"/>
    <w:rsid w:val="00BE1B5B"/>
    <w:rsid w:val="00BE27B5"/>
    <w:rsid w:val="00BE2D08"/>
    <w:rsid w:val="00BE3373"/>
    <w:rsid w:val="00BE34FA"/>
    <w:rsid w:val="00BE375C"/>
    <w:rsid w:val="00BE3A2C"/>
    <w:rsid w:val="00BE3B57"/>
    <w:rsid w:val="00BE3D74"/>
    <w:rsid w:val="00BE3E88"/>
    <w:rsid w:val="00BE3FA8"/>
    <w:rsid w:val="00BE45A9"/>
    <w:rsid w:val="00BE48CE"/>
    <w:rsid w:val="00BE4D9D"/>
    <w:rsid w:val="00BE5DFC"/>
    <w:rsid w:val="00BE5F55"/>
    <w:rsid w:val="00BE6368"/>
    <w:rsid w:val="00BE642C"/>
    <w:rsid w:val="00BE643A"/>
    <w:rsid w:val="00BE6F47"/>
    <w:rsid w:val="00BE71CB"/>
    <w:rsid w:val="00BE71D1"/>
    <w:rsid w:val="00BE78C8"/>
    <w:rsid w:val="00BF028B"/>
    <w:rsid w:val="00BF088A"/>
    <w:rsid w:val="00BF0A82"/>
    <w:rsid w:val="00BF0AE5"/>
    <w:rsid w:val="00BF0DF4"/>
    <w:rsid w:val="00BF10F1"/>
    <w:rsid w:val="00BF1159"/>
    <w:rsid w:val="00BF1AC6"/>
    <w:rsid w:val="00BF1D6E"/>
    <w:rsid w:val="00BF1EF7"/>
    <w:rsid w:val="00BF2545"/>
    <w:rsid w:val="00BF2571"/>
    <w:rsid w:val="00BF26BB"/>
    <w:rsid w:val="00BF2923"/>
    <w:rsid w:val="00BF2D85"/>
    <w:rsid w:val="00BF33BA"/>
    <w:rsid w:val="00BF3455"/>
    <w:rsid w:val="00BF3978"/>
    <w:rsid w:val="00BF3BEF"/>
    <w:rsid w:val="00BF3CEF"/>
    <w:rsid w:val="00BF3D12"/>
    <w:rsid w:val="00BF3FEB"/>
    <w:rsid w:val="00BF429F"/>
    <w:rsid w:val="00BF471C"/>
    <w:rsid w:val="00BF48BB"/>
    <w:rsid w:val="00BF4CC0"/>
    <w:rsid w:val="00BF555E"/>
    <w:rsid w:val="00BF559B"/>
    <w:rsid w:val="00BF5E44"/>
    <w:rsid w:val="00BF60A3"/>
    <w:rsid w:val="00BF6634"/>
    <w:rsid w:val="00C0000A"/>
    <w:rsid w:val="00C006F6"/>
    <w:rsid w:val="00C00998"/>
    <w:rsid w:val="00C00CCA"/>
    <w:rsid w:val="00C01127"/>
    <w:rsid w:val="00C017E6"/>
    <w:rsid w:val="00C01D40"/>
    <w:rsid w:val="00C01E9D"/>
    <w:rsid w:val="00C0232E"/>
    <w:rsid w:val="00C023E1"/>
    <w:rsid w:val="00C02418"/>
    <w:rsid w:val="00C02601"/>
    <w:rsid w:val="00C026A9"/>
    <w:rsid w:val="00C02D13"/>
    <w:rsid w:val="00C02FD1"/>
    <w:rsid w:val="00C03AAF"/>
    <w:rsid w:val="00C0420F"/>
    <w:rsid w:val="00C04E0F"/>
    <w:rsid w:val="00C04E69"/>
    <w:rsid w:val="00C05795"/>
    <w:rsid w:val="00C057DD"/>
    <w:rsid w:val="00C05937"/>
    <w:rsid w:val="00C05BC4"/>
    <w:rsid w:val="00C05F77"/>
    <w:rsid w:val="00C06121"/>
    <w:rsid w:val="00C06A3B"/>
    <w:rsid w:val="00C06B29"/>
    <w:rsid w:val="00C075EE"/>
    <w:rsid w:val="00C07BC0"/>
    <w:rsid w:val="00C07DCF"/>
    <w:rsid w:val="00C07E0B"/>
    <w:rsid w:val="00C10317"/>
    <w:rsid w:val="00C103C5"/>
    <w:rsid w:val="00C103DC"/>
    <w:rsid w:val="00C1048B"/>
    <w:rsid w:val="00C10532"/>
    <w:rsid w:val="00C1064C"/>
    <w:rsid w:val="00C110CE"/>
    <w:rsid w:val="00C1127B"/>
    <w:rsid w:val="00C1159C"/>
    <w:rsid w:val="00C11D45"/>
    <w:rsid w:val="00C12154"/>
    <w:rsid w:val="00C12BDF"/>
    <w:rsid w:val="00C13280"/>
    <w:rsid w:val="00C13429"/>
    <w:rsid w:val="00C13AF0"/>
    <w:rsid w:val="00C13B90"/>
    <w:rsid w:val="00C13E10"/>
    <w:rsid w:val="00C1415E"/>
    <w:rsid w:val="00C14AC5"/>
    <w:rsid w:val="00C14C31"/>
    <w:rsid w:val="00C150D1"/>
    <w:rsid w:val="00C1576F"/>
    <w:rsid w:val="00C15CC7"/>
    <w:rsid w:val="00C162AD"/>
    <w:rsid w:val="00C1672F"/>
    <w:rsid w:val="00C16BE3"/>
    <w:rsid w:val="00C16E56"/>
    <w:rsid w:val="00C177F2"/>
    <w:rsid w:val="00C17A3B"/>
    <w:rsid w:val="00C17D46"/>
    <w:rsid w:val="00C17F70"/>
    <w:rsid w:val="00C202F9"/>
    <w:rsid w:val="00C2066D"/>
    <w:rsid w:val="00C20D27"/>
    <w:rsid w:val="00C21BBD"/>
    <w:rsid w:val="00C22412"/>
    <w:rsid w:val="00C2257B"/>
    <w:rsid w:val="00C22FF5"/>
    <w:rsid w:val="00C23AA4"/>
    <w:rsid w:val="00C23BE3"/>
    <w:rsid w:val="00C241A3"/>
    <w:rsid w:val="00C242D2"/>
    <w:rsid w:val="00C245CD"/>
    <w:rsid w:val="00C2497C"/>
    <w:rsid w:val="00C24CEE"/>
    <w:rsid w:val="00C252F8"/>
    <w:rsid w:val="00C25665"/>
    <w:rsid w:val="00C25A42"/>
    <w:rsid w:val="00C25ADB"/>
    <w:rsid w:val="00C25F32"/>
    <w:rsid w:val="00C2607C"/>
    <w:rsid w:val="00C2669B"/>
    <w:rsid w:val="00C266C0"/>
    <w:rsid w:val="00C26944"/>
    <w:rsid w:val="00C27029"/>
    <w:rsid w:val="00C27077"/>
    <w:rsid w:val="00C27149"/>
    <w:rsid w:val="00C27A1B"/>
    <w:rsid w:val="00C27AC1"/>
    <w:rsid w:val="00C30582"/>
    <w:rsid w:val="00C3094D"/>
    <w:rsid w:val="00C3096D"/>
    <w:rsid w:val="00C3109B"/>
    <w:rsid w:val="00C31256"/>
    <w:rsid w:val="00C32355"/>
    <w:rsid w:val="00C33006"/>
    <w:rsid w:val="00C3313E"/>
    <w:rsid w:val="00C333E8"/>
    <w:rsid w:val="00C33887"/>
    <w:rsid w:val="00C3462D"/>
    <w:rsid w:val="00C3594E"/>
    <w:rsid w:val="00C35ABA"/>
    <w:rsid w:val="00C35FF2"/>
    <w:rsid w:val="00C3682D"/>
    <w:rsid w:val="00C37331"/>
    <w:rsid w:val="00C3775E"/>
    <w:rsid w:val="00C37841"/>
    <w:rsid w:val="00C41318"/>
    <w:rsid w:val="00C42403"/>
    <w:rsid w:val="00C42987"/>
    <w:rsid w:val="00C42A91"/>
    <w:rsid w:val="00C42C38"/>
    <w:rsid w:val="00C4307E"/>
    <w:rsid w:val="00C43532"/>
    <w:rsid w:val="00C4378E"/>
    <w:rsid w:val="00C438A9"/>
    <w:rsid w:val="00C4398E"/>
    <w:rsid w:val="00C43B18"/>
    <w:rsid w:val="00C43B26"/>
    <w:rsid w:val="00C44042"/>
    <w:rsid w:val="00C442AA"/>
    <w:rsid w:val="00C44510"/>
    <w:rsid w:val="00C44BD8"/>
    <w:rsid w:val="00C44E63"/>
    <w:rsid w:val="00C4516D"/>
    <w:rsid w:val="00C4547F"/>
    <w:rsid w:val="00C455EC"/>
    <w:rsid w:val="00C4588B"/>
    <w:rsid w:val="00C4589A"/>
    <w:rsid w:val="00C45CA1"/>
    <w:rsid w:val="00C4601A"/>
    <w:rsid w:val="00C46E0A"/>
    <w:rsid w:val="00C47433"/>
    <w:rsid w:val="00C475E6"/>
    <w:rsid w:val="00C505F4"/>
    <w:rsid w:val="00C50887"/>
    <w:rsid w:val="00C50B2B"/>
    <w:rsid w:val="00C50D91"/>
    <w:rsid w:val="00C50EC5"/>
    <w:rsid w:val="00C51A84"/>
    <w:rsid w:val="00C51D03"/>
    <w:rsid w:val="00C51ED6"/>
    <w:rsid w:val="00C520A8"/>
    <w:rsid w:val="00C52339"/>
    <w:rsid w:val="00C52A83"/>
    <w:rsid w:val="00C52F4B"/>
    <w:rsid w:val="00C5319A"/>
    <w:rsid w:val="00C53819"/>
    <w:rsid w:val="00C53832"/>
    <w:rsid w:val="00C538A6"/>
    <w:rsid w:val="00C53CA7"/>
    <w:rsid w:val="00C53CFE"/>
    <w:rsid w:val="00C53D3B"/>
    <w:rsid w:val="00C53EAD"/>
    <w:rsid w:val="00C549EF"/>
    <w:rsid w:val="00C55130"/>
    <w:rsid w:val="00C55A7D"/>
    <w:rsid w:val="00C55C5F"/>
    <w:rsid w:val="00C55E17"/>
    <w:rsid w:val="00C55F9A"/>
    <w:rsid w:val="00C56049"/>
    <w:rsid w:val="00C566D4"/>
    <w:rsid w:val="00C56781"/>
    <w:rsid w:val="00C56EFA"/>
    <w:rsid w:val="00C579B7"/>
    <w:rsid w:val="00C57C40"/>
    <w:rsid w:val="00C601B1"/>
    <w:rsid w:val="00C606A5"/>
    <w:rsid w:val="00C61D7B"/>
    <w:rsid w:val="00C6213B"/>
    <w:rsid w:val="00C624D1"/>
    <w:rsid w:val="00C629E0"/>
    <w:rsid w:val="00C633B5"/>
    <w:rsid w:val="00C63A19"/>
    <w:rsid w:val="00C63A7B"/>
    <w:rsid w:val="00C63D5D"/>
    <w:rsid w:val="00C63D6D"/>
    <w:rsid w:val="00C640B8"/>
    <w:rsid w:val="00C644D5"/>
    <w:rsid w:val="00C64A93"/>
    <w:rsid w:val="00C651DF"/>
    <w:rsid w:val="00C65515"/>
    <w:rsid w:val="00C655FE"/>
    <w:rsid w:val="00C65619"/>
    <w:rsid w:val="00C659BD"/>
    <w:rsid w:val="00C65D66"/>
    <w:rsid w:val="00C66219"/>
    <w:rsid w:val="00C66460"/>
    <w:rsid w:val="00C66728"/>
    <w:rsid w:val="00C667E1"/>
    <w:rsid w:val="00C66D35"/>
    <w:rsid w:val="00C67123"/>
    <w:rsid w:val="00C6755D"/>
    <w:rsid w:val="00C7016F"/>
    <w:rsid w:val="00C70867"/>
    <w:rsid w:val="00C70A25"/>
    <w:rsid w:val="00C71AFB"/>
    <w:rsid w:val="00C71EC8"/>
    <w:rsid w:val="00C721C3"/>
    <w:rsid w:val="00C7253F"/>
    <w:rsid w:val="00C72CA7"/>
    <w:rsid w:val="00C73086"/>
    <w:rsid w:val="00C7315E"/>
    <w:rsid w:val="00C735FD"/>
    <w:rsid w:val="00C7362C"/>
    <w:rsid w:val="00C738B8"/>
    <w:rsid w:val="00C7398A"/>
    <w:rsid w:val="00C7426E"/>
    <w:rsid w:val="00C748F2"/>
    <w:rsid w:val="00C749CA"/>
    <w:rsid w:val="00C75A4C"/>
    <w:rsid w:val="00C75D25"/>
    <w:rsid w:val="00C75EBE"/>
    <w:rsid w:val="00C760A1"/>
    <w:rsid w:val="00C76F10"/>
    <w:rsid w:val="00C76F88"/>
    <w:rsid w:val="00C773F2"/>
    <w:rsid w:val="00C77997"/>
    <w:rsid w:val="00C779E8"/>
    <w:rsid w:val="00C77C0B"/>
    <w:rsid w:val="00C807F8"/>
    <w:rsid w:val="00C80A46"/>
    <w:rsid w:val="00C80D96"/>
    <w:rsid w:val="00C80FA9"/>
    <w:rsid w:val="00C8107B"/>
    <w:rsid w:val="00C815A4"/>
    <w:rsid w:val="00C8170F"/>
    <w:rsid w:val="00C8176F"/>
    <w:rsid w:val="00C81B60"/>
    <w:rsid w:val="00C81B86"/>
    <w:rsid w:val="00C81F56"/>
    <w:rsid w:val="00C826DE"/>
    <w:rsid w:val="00C82A27"/>
    <w:rsid w:val="00C82D3A"/>
    <w:rsid w:val="00C8347D"/>
    <w:rsid w:val="00C83577"/>
    <w:rsid w:val="00C8374C"/>
    <w:rsid w:val="00C83A36"/>
    <w:rsid w:val="00C8413C"/>
    <w:rsid w:val="00C8444F"/>
    <w:rsid w:val="00C847FA"/>
    <w:rsid w:val="00C85340"/>
    <w:rsid w:val="00C85872"/>
    <w:rsid w:val="00C85D81"/>
    <w:rsid w:val="00C867DF"/>
    <w:rsid w:val="00C87856"/>
    <w:rsid w:val="00C8785D"/>
    <w:rsid w:val="00C87A0B"/>
    <w:rsid w:val="00C90326"/>
    <w:rsid w:val="00C90453"/>
    <w:rsid w:val="00C90EBB"/>
    <w:rsid w:val="00C915D3"/>
    <w:rsid w:val="00C91FB7"/>
    <w:rsid w:val="00C9218E"/>
    <w:rsid w:val="00C92378"/>
    <w:rsid w:val="00C926F0"/>
    <w:rsid w:val="00C92D8B"/>
    <w:rsid w:val="00C93B55"/>
    <w:rsid w:val="00C94496"/>
    <w:rsid w:val="00C946B7"/>
    <w:rsid w:val="00C950C3"/>
    <w:rsid w:val="00C9521F"/>
    <w:rsid w:val="00C95A51"/>
    <w:rsid w:val="00C95D45"/>
    <w:rsid w:val="00C96629"/>
    <w:rsid w:val="00C96811"/>
    <w:rsid w:val="00C96DEE"/>
    <w:rsid w:val="00C96ED4"/>
    <w:rsid w:val="00C97417"/>
    <w:rsid w:val="00CA07EF"/>
    <w:rsid w:val="00CA0FB2"/>
    <w:rsid w:val="00CA0FFC"/>
    <w:rsid w:val="00CA1DE7"/>
    <w:rsid w:val="00CA238B"/>
    <w:rsid w:val="00CA2468"/>
    <w:rsid w:val="00CA267D"/>
    <w:rsid w:val="00CA2A5C"/>
    <w:rsid w:val="00CA305C"/>
    <w:rsid w:val="00CA416E"/>
    <w:rsid w:val="00CA435B"/>
    <w:rsid w:val="00CA45E4"/>
    <w:rsid w:val="00CA4832"/>
    <w:rsid w:val="00CA4E80"/>
    <w:rsid w:val="00CA550D"/>
    <w:rsid w:val="00CA566E"/>
    <w:rsid w:val="00CA5677"/>
    <w:rsid w:val="00CA5812"/>
    <w:rsid w:val="00CA5E55"/>
    <w:rsid w:val="00CA601E"/>
    <w:rsid w:val="00CA6025"/>
    <w:rsid w:val="00CA605D"/>
    <w:rsid w:val="00CA6147"/>
    <w:rsid w:val="00CA65CF"/>
    <w:rsid w:val="00CA66AD"/>
    <w:rsid w:val="00CA6873"/>
    <w:rsid w:val="00CA6BCC"/>
    <w:rsid w:val="00CA729F"/>
    <w:rsid w:val="00CA72EB"/>
    <w:rsid w:val="00CB0757"/>
    <w:rsid w:val="00CB0CAF"/>
    <w:rsid w:val="00CB11C9"/>
    <w:rsid w:val="00CB1291"/>
    <w:rsid w:val="00CB133A"/>
    <w:rsid w:val="00CB18A3"/>
    <w:rsid w:val="00CB278F"/>
    <w:rsid w:val="00CB2A0D"/>
    <w:rsid w:val="00CB2CF2"/>
    <w:rsid w:val="00CB318D"/>
    <w:rsid w:val="00CB33CA"/>
    <w:rsid w:val="00CB3C60"/>
    <w:rsid w:val="00CB3D16"/>
    <w:rsid w:val="00CB47E0"/>
    <w:rsid w:val="00CB48DE"/>
    <w:rsid w:val="00CB49AF"/>
    <w:rsid w:val="00CB4FCC"/>
    <w:rsid w:val="00CB53E1"/>
    <w:rsid w:val="00CB59E9"/>
    <w:rsid w:val="00CB5F7D"/>
    <w:rsid w:val="00CB640A"/>
    <w:rsid w:val="00CB6439"/>
    <w:rsid w:val="00CB685D"/>
    <w:rsid w:val="00CB6877"/>
    <w:rsid w:val="00CB6AA6"/>
    <w:rsid w:val="00CB6BEF"/>
    <w:rsid w:val="00CB6F61"/>
    <w:rsid w:val="00CB70AD"/>
    <w:rsid w:val="00CB775B"/>
    <w:rsid w:val="00CB79F9"/>
    <w:rsid w:val="00CB7EF9"/>
    <w:rsid w:val="00CC0034"/>
    <w:rsid w:val="00CC0211"/>
    <w:rsid w:val="00CC0A9A"/>
    <w:rsid w:val="00CC0DAE"/>
    <w:rsid w:val="00CC0F53"/>
    <w:rsid w:val="00CC1420"/>
    <w:rsid w:val="00CC1765"/>
    <w:rsid w:val="00CC1889"/>
    <w:rsid w:val="00CC1DED"/>
    <w:rsid w:val="00CC2159"/>
    <w:rsid w:val="00CC298A"/>
    <w:rsid w:val="00CC2D0F"/>
    <w:rsid w:val="00CC2DC0"/>
    <w:rsid w:val="00CC2FF6"/>
    <w:rsid w:val="00CC30BD"/>
    <w:rsid w:val="00CC30C8"/>
    <w:rsid w:val="00CC37F3"/>
    <w:rsid w:val="00CC3B80"/>
    <w:rsid w:val="00CC3EF6"/>
    <w:rsid w:val="00CC4306"/>
    <w:rsid w:val="00CC43ED"/>
    <w:rsid w:val="00CC462B"/>
    <w:rsid w:val="00CC46DC"/>
    <w:rsid w:val="00CC4B6B"/>
    <w:rsid w:val="00CC54DB"/>
    <w:rsid w:val="00CC5B8B"/>
    <w:rsid w:val="00CC617C"/>
    <w:rsid w:val="00CC68D3"/>
    <w:rsid w:val="00CC6CAD"/>
    <w:rsid w:val="00CC7027"/>
    <w:rsid w:val="00CD0B80"/>
    <w:rsid w:val="00CD1176"/>
    <w:rsid w:val="00CD1598"/>
    <w:rsid w:val="00CD1E72"/>
    <w:rsid w:val="00CD20C1"/>
    <w:rsid w:val="00CD2558"/>
    <w:rsid w:val="00CD2807"/>
    <w:rsid w:val="00CD2F40"/>
    <w:rsid w:val="00CD33F5"/>
    <w:rsid w:val="00CD3A53"/>
    <w:rsid w:val="00CD4331"/>
    <w:rsid w:val="00CD48ED"/>
    <w:rsid w:val="00CD4A78"/>
    <w:rsid w:val="00CD4B9F"/>
    <w:rsid w:val="00CD4C18"/>
    <w:rsid w:val="00CD516A"/>
    <w:rsid w:val="00CD5402"/>
    <w:rsid w:val="00CD5888"/>
    <w:rsid w:val="00CD5C8E"/>
    <w:rsid w:val="00CD6759"/>
    <w:rsid w:val="00CD6A91"/>
    <w:rsid w:val="00CD6C1D"/>
    <w:rsid w:val="00CD7515"/>
    <w:rsid w:val="00CD7793"/>
    <w:rsid w:val="00CD7B88"/>
    <w:rsid w:val="00CE02EB"/>
    <w:rsid w:val="00CE0C49"/>
    <w:rsid w:val="00CE0D77"/>
    <w:rsid w:val="00CE148D"/>
    <w:rsid w:val="00CE1506"/>
    <w:rsid w:val="00CE1701"/>
    <w:rsid w:val="00CE2A91"/>
    <w:rsid w:val="00CE2FB2"/>
    <w:rsid w:val="00CE320B"/>
    <w:rsid w:val="00CE342D"/>
    <w:rsid w:val="00CE4C63"/>
    <w:rsid w:val="00CE551B"/>
    <w:rsid w:val="00CE5869"/>
    <w:rsid w:val="00CE5A1E"/>
    <w:rsid w:val="00CE5A41"/>
    <w:rsid w:val="00CE5E90"/>
    <w:rsid w:val="00CE63AA"/>
    <w:rsid w:val="00CE6A79"/>
    <w:rsid w:val="00CE6BE2"/>
    <w:rsid w:val="00CE76FB"/>
    <w:rsid w:val="00CE7991"/>
    <w:rsid w:val="00CE7C82"/>
    <w:rsid w:val="00CE7E04"/>
    <w:rsid w:val="00CE7F32"/>
    <w:rsid w:val="00CF0DD8"/>
    <w:rsid w:val="00CF0EF4"/>
    <w:rsid w:val="00CF1190"/>
    <w:rsid w:val="00CF19CB"/>
    <w:rsid w:val="00CF1C6D"/>
    <w:rsid w:val="00CF209D"/>
    <w:rsid w:val="00CF2232"/>
    <w:rsid w:val="00CF2C37"/>
    <w:rsid w:val="00CF3142"/>
    <w:rsid w:val="00CF350A"/>
    <w:rsid w:val="00CF4AE1"/>
    <w:rsid w:val="00CF4D40"/>
    <w:rsid w:val="00CF4DA6"/>
    <w:rsid w:val="00CF558F"/>
    <w:rsid w:val="00CF55D0"/>
    <w:rsid w:val="00CF5BA3"/>
    <w:rsid w:val="00CF67C2"/>
    <w:rsid w:val="00CF694D"/>
    <w:rsid w:val="00CF729D"/>
    <w:rsid w:val="00CF7877"/>
    <w:rsid w:val="00CF78AC"/>
    <w:rsid w:val="00CF7A62"/>
    <w:rsid w:val="00D002F7"/>
    <w:rsid w:val="00D005C1"/>
    <w:rsid w:val="00D008BA"/>
    <w:rsid w:val="00D0098C"/>
    <w:rsid w:val="00D00AD0"/>
    <w:rsid w:val="00D00F48"/>
    <w:rsid w:val="00D01626"/>
    <w:rsid w:val="00D019B4"/>
    <w:rsid w:val="00D0253C"/>
    <w:rsid w:val="00D0286F"/>
    <w:rsid w:val="00D028D4"/>
    <w:rsid w:val="00D02AA9"/>
    <w:rsid w:val="00D02F7E"/>
    <w:rsid w:val="00D034D7"/>
    <w:rsid w:val="00D03728"/>
    <w:rsid w:val="00D03766"/>
    <w:rsid w:val="00D03BCC"/>
    <w:rsid w:val="00D03D14"/>
    <w:rsid w:val="00D03D2D"/>
    <w:rsid w:val="00D04461"/>
    <w:rsid w:val="00D04760"/>
    <w:rsid w:val="00D04769"/>
    <w:rsid w:val="00D04886"/>
    <w:rsid w:val="00D050B3"/>
    <w:rsid w:val="00D0588D"/>
    <w:rsid w:val="00D05908"/>
    <w:rsid w:val="00D06A3F"/>
    <w:rsid w:val="00D07391"/>
    <w:rsid w:val="00D07FE9"/>
    <w:rsid w:val="00D1075D"/>
    <w:rsid w:val="00D1099E"/>
    <w:rsid w:val="00D1175E"/>
    <w:rsid w:val="00D11FB2"/>
    <w:rsid w:val="00D1258F"/>
    <w:rsid w:val="00D12790"/>
    <w:rsid w:val="00D127A3"/>
    <w:rsid w:val="00D12B5B"/>
    <w:rsid w:val="00D12C98"/>
    <w:rsid w:val="00D14DD0"/>
    <w:rsid w:val="00D15201"/>
    <w:rsid w:val="00D154D8"/>
    <w:rsid w:val="00D155DF"/>
    <w:rsid w:val="00D16BF9"/>
    <w:rsid w:val="00D16C41"/>
    <w:rsid w:val="00D16FB8"/>
    <w:rsid w:val="00D174FC"/>
    <w:rsid w:val="00D17505"/>
    <w:rsid w:val="00D17A32"/>
    <w:rsid w:val="00D17DF0"/>
    <w:rsid w:val="00D20024"/>
    <w:rsid w:val="00D20181"/>
    <w:rsid w:val="00D20281"/>
    <w:rsid w:val="00D20490"/>
    <w:rsid w:val="00D20AB2"/>
    <w:rsid w:val="00D20E9E"/>
    <w:rsid w:val="00D2134C"/>
    <w:rsid w:val="00D2207C"/>
    <w:rsid w:val="00D22926"/>
    <w:rsid w:val="00D2299E"/>
    <w:rsid w:val="00D22E26"/>
    <w:rsid w:val="00D22F2F"/>
    <w:rsid w:val="00D23001"/>
    <w:rsid w:val="00D243EA"/>
    <w:rsid w:val="00D24567"/>
    <w:rsid w:val="00D2530F"/>
    <w:rsid w:val="00D259B2"/>
    <w:rsid w:val="00D25A03"/>
    <w:rsid w:val="00D25C97"/>
    <w:rsid w:val="00D25CF6"/>
    <w:rsid w:val="00D26123"/>
    <w:rsid w:val="00D2634D"/>
    <w:rsid w:val="00D2648F"/>
    <w:rsid w:val="00D27869"/>
    <w:rsid w:val="00D30131"/>
    <w:rsid w:val="00D302F1"/>
    <w:rsid w:val="00D30B0E"/>
    <w:rsid w:val="00D30B6E"/>
    <w:rsid w:val="00D319BD"/>
    <w:rsid w:val="00D31DB3"/>
    <w:rsid w:val="00D31F3D"/>
    <w:rsid w:val="00D3249E"/>
    <w:rsid w:val="00D324A3"/>
    <w:rsid w:val="00D3278A"/>
    <w:rsid w:val="00D3284B"/>
    <w:rsid w:val="00D32AF0"/>
    <w:rsid w:val="00D32BF7"/>
    <w:rsid w:val="00D32CAE"/>
    <w:rsid w:val="00D33311"/>
    <w:rsid w:val="00D338E6"/>
    <w:rsid w:val="00D33FCB"/>
    <w:rsid w:val="00D34799"/>
    <w:rsid w:val="00D3512D"/>
    <w:rsid w:val="00D35281"/>
    <w:rsid w:val="00D35406"/>
    <w:rsid w:val="00D35BD9"/>
    <w:rsid w:val="00D36B89"/>
    <w:rsid w:val="00D36B8E"/>
    <w:rsid w:val="00D371FE"/>
    <w:rsid w:val="00D37267"/>
    <w:rsid w:val="00D37336"/>
    <w:rsid w:val="00D4037C"/>
    <w:rsid w:val="00D40382"/>
    <w:rsid w:val="00D40BE2"/>
    <w:rsid w:val="00D40F89"/>
    <w:rsid w:val="00D41299"/>
    <w:rsid w:val="00D41533"/>
    <w:rsid w:val="00D4190C"/>
    <w:rsid w:val="00D41B11"/>
    <w:rsid w:val="00D41EDC"/>
    <w:rsid w:val="00D42149"/>
    <w:rsid w:val="00D42307"/>
    <w:rsid w:val="00D426D9"/>
    <w:rsid w:val="00D42901"/>
    <w:rsid w:val="00D42F5D"/>
    <w:rsid w:val="00D43CAA"/>
    <w:rsid w:val="00D43DDA"/>
    <w:rsid w:val="00D43FFB"/>
    <w:rsid w:val="00D44E66"/>
    <w:rsid w:val="00D44F65"/>
    <w:rsid w:val="00D45048"/>
    <w:rsid w:val="00D450FC"/>
    <w:rsid w:val="00D45529"/>
    <w:rsid w:val="00D45BB9"/>
    <w:rsid w:val="00D4607E"/>
    <w:rsid w:val="00D46396"/>
    <w:rsid w:val="00D4665D"/>
    <w:rsid w:val="00D467EA"/>
    <w:rsid w:val="00D46C8C"/>
    <w:rsid w:val="00D46F72"/>
    <w:rsid w:val="00D47257"/>
    <w:rsid w:val="00D474FE"/>
    <w:rsid w:val="00D47831"/>
    <w:rsid w:val="00D47E20"/>
    <w:rsid w:val="00D50613"/>
    <w:rsid w:val="00D508D6"/>
    <w:rsid w:val="00D509A8"/>
    <w:rsid w:val="00D5101F"/>
    <w:rsid w:val="00D5145A"/>
    <w:rsid w:val="00D519CA"/>
    <w:rsid w:val="00D51A70"/>
    <w:rsid w:val="00D51CED"/>
    <w:rsid w:val="00D52264"/>
    <w:rsid w:val="00D52384"/>
    <w:rsid w:val="00D523B7"/>
    <w:rsid w:val="00D52C0C"/>
    <w:rsid w:val="00D533C0"/>
    <w:rsid w:val="00D5341A"/>
    <w:rsid w:val="00D535EA"/>
    <w:rsid w:val="00D5425D"/>
    <w:rsid w:val="00D544BE"/>
    <w:rsid w:val="00D54512"/>
    <w:rsid w:val="00D54838"/>
    <w:rsid w:val="00D54EDA"/>
    <w:rsid w:val="00D55492"/>
    <w:rsid w:val="00D55537"/>
    <w:rsid w:val="00D557F1"/>
    <w:rsid w:val="00D558C9"/>
    <w:rsid w:val="00D5614D"/>
    <w:rsid w:val="00D568AE"/>
    <w:rsid w:val="00D569E2"/>
    <w:rsid w:val="00D56C28"/>
    <w:rsid w:val="00D56D9A"/>
    <w:rsid w:val="00D570D0"/>
    <w:rsid w:val="00D574D1"/>
    <w:rsid w:val="00D57637"/>
    <w:rsid w:val="00D606BE"/>
    <w:rsid w:val="00D60838"/>
    <w:rsid w:val="00D6089E"/>
    <w:rsid w:val="00D609C3"/>
    <w:rsid w:val="00D619EA"/>
    <w:rsid w:val="00D61C52"/>
    <w:rsid w:val="00D6240C"/>
    <w:rsid w:val="00D62686"/>
    <w:rsid w:val="00D626C7"/>
    <w:rsid w:val="00D626FF"/>
    <w:rsid w:val="00D62F72"/>
    <w:rsid w:val="00D63311"/>
    <w:rsid w:val="00D63ACC"/>
    <w:rsid w:val="00D63EFB"/>
    <w:rsid w:val="00D64325"/>
    <w:rsid w:val="00D64387"/>
    <w:rsid w:val="00D64417"/>
    <w:rsid w:val="00D64849"/>
    <w:rsid w:val="00D65553"/>
    <w:rsid w:val="00D6668A"/>
    <w:rsid w:val="00D66794"/>
    <w:rsid w:val="00D66D83"/>
    <w:rsid w:val="00D6737B"/>
    <w:rsid w:val="00D679F3"/>
    <w:rsid w:val="00D7024B"/>
    <w:rsid w:val="00D704B1"/>
    <w:rsid w:val="00D704B6"/>
    <w:rsid w:val="00D70532"/>
    <w:rsid w:val="00D715EF"/>
    <w:rsid w:val="00D719CB"/>
    <w:rsid w:val="00D72E18"/>
    <w:rsid w:val="00D733D5"/>
    <w:rsid w:val="00D73D36"/>
    <w:rsid w:val="00D745E1"/>
    <w:rsid w:val="00D747C9"/>
    <w:rsid w:val="00D74A60"/>
    <w:rsid w:val="00D7506F"/>
    <w:rsid w:val="00D750D0"/>
    <w:rsid w:val="00D75A3E"/>
    <w:rsid w:val="00D7633E"/>
    <w:rsid w:val="00D7656D"/>
    <w:rsid w:val="00D765F7"/>
    <w:rsid w:val="00D7786A"/>
    <w:rsid w:val="00D779A4"/>
    <w:rsid w:val="00D8029C"/>
    <w:rsid w:val="00D805B0"/>
    <w:rsid w:val="00D806DD"/>
    <w:rsid w:val="00D80A12"/>
    <w:rsid w:val="00D80ADA"/>
    <w:rsid w:val="00D80B5F"/>
    <w:rsid w:val="00D80CAE"/>
    <w:rsid w:val="00D81D46"/>
    <w:rsid w:val="00D820E7"/>
    <w:rsid w:val="00D821CF"/>
    <w:rsid w:val="00D83016"/>
    <w:rsid w:val="00D832D2"/>
    <w:rsid w:val="00D833F5"/>
    <w:rsid w:val="00D83569"/>
    <w:rsid w:val="00D8356F"/>
    <w:rsid w:val="00D83B57"/>
    <w:rsid w:val="00D83FAA"/>
    <w:rsid w:val="00D840B1"/>
    <w:rsid w:val="00D84626"/>
    <w:rsid w:val="00D8475C"/>
    <w:rsid w:val="00D84DD4"/>
    <w:rsid w:val="00D84F72"/>
    <w:rsid w:val="00D84FA9"/>
    <w:rsid w:val="00D853D1"/>
    <w:rsid w:val="00D85432"/>
    <w:rsid w:val="00D8553D"/>
    <w:rsid w:val="00D85675"/>
    <w:rsid w:val="00D8606C"/>
    <w:rsid w:val="00D8629B"/>
    <w:rsid w:val="00D86BE3"/>
    <w:rsid w:val="00D86C8F"/>
    <w:rsid w:val="00D86D29"/>
    <w:rsid w:val="00D86E00"/>
    <w:rsid w:val="00D87188"/>
    <w:rsid w:val="00D87AB4"/>
    <w:rsid w:val="00D87CD1"/>
    <w:rsid w:val="00D901BC"/>
    <w:rsid w:val="00D90C25"/>
    <w:rsid w:val="00D90D26"/>
    <w:rsid w:val="00D90DE6"/>
    <w:rsid w:val="00D9136B"/>
    <w:rsid w:val="00D91AF3"/>
    <w:rsid w:val="00D91B0A"/>
    <w:rsid w:val="00D92386"/>
    <w:rsid w:val="00D929D0"/>
    <w:rsid w:val="00D935A1"/>
    <w:rsid w:val="00D93A68"/>
    <w:rsid w:val="00D9450A"/>
    <w:rsid w:val="00D94897"/>
    <w:rsid w:val="00D94A22"/>
    <w:rsid w:val="00D94EC9"/>
    <w:rsid w:val="00D94EFA"/>
    <w:rsid w:val="00D95241"/>
    <w:rsid w:val="00D95317"/>
    <w:rsid w:val="00D95476"/>
    <w:rsid w:val="00D95852"/>
    <w:rsid w:val="00D959DE"/>
    <w:rsid w:val="00D95A30"/>
    <w:rsid w:val="00D960F6"/>
    <w:rsid w:val="00D9675B"/>
    <w:rsid w:val="00D968F9"/>
    <w:rsid w:val="00D96BE3"/>
    <w:rsid w:val="00D971BC"/>
    <w:rsid w:val="00D975B1"/>
    <w:rsid w:val="00D97EA5"/>
    <w:rsid w:val="00DA0189"/>
    <w:rsid w:val="00DA0342"/>
    <w:rsid w:val="00DA05C9"/>
    <w:rsid w:val="00DA07C6"/>
    <w:rsid w:val="00DA0A13"/>
    <w:rsid w:val="00DA0BBB"/>
    <w:rsid w:val="00DA1CA9"/>
    <w:rsid w:val="00DA1D61"/>
    <w:rsid w:val="00DA216A"/>
    <w:rsid w:val="00DA2ED1"/>
    <w:rsid w:val="00DA36C1"/>
    <w:rsid w:val="00DA3867"/>
    <w:rsid w:val="00DA38C3"/>
    <w:rsid w:val="00DA3FEE"/>
    <w:rsid w:val="00DA46CD"/>
    <w:rsid w:val="00DA4A56"/>
    <w:rsid w:val="00DA5213"/>
    <w:rsid w:val="00DA52A1"/>
    <w:rsid w:val="00DA5B13"/>
    <w:rsid w:val="00DA5D8C"/>
    <w:rsid w:val="00DA656D"/>
    <w:rsid w:val="00DA6DD5"/>
    <w:rsid w:val="00DA712C"/>
    <w:rsid w:val="00DA7287"/>
    <w:rsid w:val="00DA72A2"/>
    <w:rsid w:val="00DA76F7"/>
    <w:rsid w:val="00DA795A"/>
    <w:rsid w:val="00DA7AFD"/>
    <w:rsid w:val="00DB059A"/>
    <w:rsid w:val="00DB0EE5"/>
    <w:rsid w:val="00DB140C"/>
    <w:rsid w:val="00DB1899"/>
    <w:rsid w:val="00DB2067"/>
    <w:rsid w:val="00DB2295"/>
    <w:rsid w:val="00DB2773"/>
    <w:rsid w:val="00DB280D"/>
    <w:rsid w:val="00DB2CF4"/>
    <w:rsid w:val="00DB2F41"/>
    <w:rsid w:val="00DB35BA"/>
    <w:rsid w:val="00DB4059"/>
    <w:rsid w:val="00DB41AD"/>
    <w:rsid w:val="00DB4368"/>
    <w:rsid w:val="00DB489F"/>
    <w:rsid w:val="00DB5914"/>
    <w:rsid w:val="00DB5A8D"/>
    <w:rsid w:val="00DB6014"/>
    <w:rsid w:val="00DB61DD"/>
    <w:rsid w:val="00DB61FA"/>
    <w:rsid w:val="00DB6353"/>
    <w:rsid w:val="00DB68DE"/>
    <w:rsid w:val="00DB6B06"/>
    <w:rsid w:val="00DB745A"/>
    <w:rsid w:val="00DC00C0"/>
    <w:rsid w:val="00DC071C"/>
    <w:rsid w:val="00DC1023"/>
    <w:rsid w:val="00DC1FEC"/>
    <w:rsid w:val="00DC21D1"/>
    <w:rsid w:val="00DC2286"/>
    <w:rsid w:val="00DC2900"/>
    <w:rsid w:val="00DC30E6"/>
    <w:rsid w:val="00DC3790"/>
    <w:rsid w:val="00DC38B7"/>
    <w:rsid w:val="00DC39D8"/>
    <w:rsid w:val="00DC3BC6"/>
    <w:rsid w:val="00DC4323"/>
    <w:rsid w:val="00DC466D"/>
    <w:rsid w:val="00DC46AE"/>
    <w:rsid w:val="00DC5536"/>
    <w:rsid w:val="00DC5D59"/>
    <w:rsid w:val="00DC5F19"/>
    <w:rsid w:val="00DC5FCD"/>
    <w:rsid w:val="00DC6B59"/>
    <w:rsid w:val="00DC6DF7"/>
    <w:rsid w:val="00DC7E89"/>
    <w:rsid w:val="00DD01B3"/>
    <w:rsid w:val="00DD0214"/>
    <w:rsid w:val="00DD0432"/>
    <w:rsid w:val="00DD08D5"/>
    <w:rsid w:val="00DD17A8"/>
    <w:rsid w:val="00DD1F32"/>
    <w:rsid w:val="00DD2D8E"/>
    <w:rsid w:val="00DD3634"/>
    <w:rsid w:val="00DD3680"/>
    <w:rsid w:val="00DD3793"/>
    <w:rsid w:val="00DD39B8"/>
    <w:rsid w:val="00DD3B0B"/>
    <w:rsid w:val="00DD45DB"/>
    <w:rsid w:val="00DD47DA"/>
    <w:rsid w:val="00DD4938"/>
    <w:rsid w:val="00DD6F6B"/>
    <w:rsid w:val="00DD7183"/>
    <w:rsid w:val="00DE02CF"/>
    <w:rsid w:val="00DE03F5"/>
    <w:rsid w:val="00DE0EFD"/>
    <w:rsid w:val="00DE0FAD"/>
    <w:rsid w:val="00DE19FA"/>
    <w:rsid w:val="00DE1AF7"/>
    <w:rsid w:val="00DE1B45"/>
    <w:rsid w:val="00DE1B9C"/>
    <w:rsid w:val="00DE29C5"/>
    <w:rsid w:val="00DE2A86"/>
    <w:rsid w:val="00DE2B36"/>
    <w:rsid w:val="00DE2BC1"/>
    <w:rsid w:val="00DE2E8D"/>
    <w:rsid w:val="00DE3330"/>
    <w:rsid w:val="00DE334B"/>
    <w:rsid w:val="00DE371E"/>
    <w:rsid w:val="00DE39ED"/>
    <w:rsid w:val="00DE3FD1"/>
    <w:rsid w:val="00DE468A"/>
    <w:rsid w:val="00DE479F"/>
    <w:rsid w:val="00DE4883"/>
    <w:rsid w:val="00DE4A91"/>
    <w:rsid w:val="00DE5135"/>
    <w:rsid w:val="00DE54A7"/>
    <w:rsid w:val="00DE5BE1"/>
    <w:rsid w:val="00DE5F1A"/>
    <w:rsid w:val="00DE6347"/>
    <w:rsid w:val="00DE687F"/>
    <w:rsid w:val="00DE6A49"/>
    <w:rsid w:val="00DE6FF3"/>
    <w:rsid w:val="00DE7C21"/>
    <w:rsid w:val="00DE7F83"/>
    <w:rsid w:val="00DF05EC"/>
    <w:rsid w:val="00DF0614"/>
    <w:rsid w:val="00DF1B0C"/>
    <w:rsid w:val="00DF1B2B"/>
    <w:rsid w:val="00DF2024"/>
    <w:rsid w:val="00DF3736"/>
    <w:rsid w:val="00DF3DAB"/>
    <w:rsid w:val="00DF3F9E"/>
    <w:rsid w:val="00DF43B0"/>
    <w:rsid w:val="00DF4A7B"/>
    <w:rsid w:val="00DF55C2"/>
    <w:rsid w:val="00DF5ECC"/>
    <w:rsid w:val="00DF5F44"/>
    <w:rsid w:val="00DF5FC1"/>
    <w:rsid w:val="00DF6275"/>
    <w:rsid w:val="00DF62A9"/>
    <w:rsid w:val="00DF6478"/>
    <w:rsid w:val="00DF6AE1"/>
    <w:rsid w:val="00DF75AF"/>
    <w:rsid w:val="00DF771E"/>
    <w:rsid w:val="00DF78B2"/>
    <w:rsid w:val="00E0051B"/>
    <w:rsid w:val="00E013B5"/>
    <w:rsid w:val="00E019D4"/>
    <w:rsid w:val="00E01B01"/>
    <w:rsid w:val="00E01BFD"/>
    <w:rsid w:val="00E01CD2"/>
    <w:rsid w:val="00E0221D"/>
    <w:rsid w:val="00E037C2"/>
    <w:rsid w:val="00E045A7"/>
    <w:rsid w:val="00E047A1"/>
    <w:rsid w:val="00E04C50"/>
    <w:rsid w:val="00E05114"/>
    <w:rsid w:val="00E062FF"/>
    <w:rsid w:val="00E068E1"/>
    <w:rsid w:val="00E07901"/>
    <w:rsid w:val="00E102F0"/>
    <w:rsid w:val="00E107FA"/>
    <w:rsid w:val="00E10C5F"/>
    <w:rsid w:val="00E10F06"/>
    <w:rsid w:val="00E10F69"/>
    <w:rsid w:val="00E1133B"/>
    <w:rsid w:val="00E11484"/>
    <w:rsid w:val="00E11A76"/>
    <w:rsid w:val="00E11CE6"/>
    <w:rsid w:val="00E120AF"/>
    <w:rsid w:val="00E12746"/>
    <w:rsid w:val="00E12D78"/>
    <w:rsid w:val="00E130FF"/>
    <w:rsid w:val="00E1317A"/>
    <w:rsid w:val="00E13C35"/>
    <w:rsid w:val="00E14A6C"/>
    <w:rsid w:val="00E15660"/>
    <w:rsid w:val="00E15C27"/>
    <w:rsid w:val="00E15F91"/>
    <w:rsid w:val="00E16EC6"/>
    <w:rsid w:val="00E1726D"/>
    <w:rsid w:val="00E173B5"/>
    <w:rsid w:val="00E17B71"/>
    <w:rsid w:val="00E201C3"/>
    <w:rsid w:val="00E2040B"/>
    <w:rsid w:val="00E20DF7"/>
    <w:rsid w:val="00E214EE"/>
    <w:rsid w:val="00E21B15"/>
    <w:rsid w:val="00E21C4B"/>
    <w:rsid w:val="00E222A4"/>
    <w:rsid w:val="00E2247B"/>
    <w:rsid w:val="00E2273B"/>
    <w:rsid w:val="00E23A12"/>
    <w:rsid w:val="00E23C9F"/>
    <w:rsid w:val="00E2488E"/>
    <w:rsid w:val="00E2495C"/>
    <w:rsid w:val="00E256AE"/>
    <w:rsid w:val="00E25CD9"/>
    <w:rsid w:val="00E26214"/>
    <w:rsid w:val="00E268CD"/>
    <w:rsid w:val="00E26D7F"/>
    <w:rsid w:val="00E271B5"/>
    <w:rsid w:val="00E27266"/>
    <w:rsid w:val="00E27269"/>
    <w:rsid w:val="00E278C7"/>
    <w:rsid w:val="00E30C2D"/>
    <w:rsid w:val="00E30C67"/>
    <w:rsid w:val="00E30CC3"/>
    <w:rsid w:val="00E30CC6"/>
    <w:rsid w:val="00E30E9A"/>
    <w:rsid w:val="00E312FB"/>
    <w:rsid w:val="00E31AD2"/>
    <w:rsid w:val="00E324B6"/>
    <w:rsid w:val="00E32609"/>
    <w:rsid w:val="00E32F18"/>
    <w:rsid w:val="00E33414"/>
    <w:rsid w:val="00E33664"/>
    <w:rsid w:val="00E33674"/>
    <w:rsid w:val="00E337AD"/>
    <w:rsid w:val="00E33A20"/>
    <w:rsid w:val="00E34C19"/>
    <w:rsid w:val="00E35036"/>
    <w:rsid w:val="00E35414"/>
    <w:rsid w:val="00E35ED3"/>
    <w:rsid w:val="00E36276"/>
    <w:rsid w:val="00E362A6"/>
    <w:rsid w:val="00E36870"/>
    <w:rsid w:val="00E36917"/>
    <w:rsid w:val="00E36CBE"/>
    <w:rsid w:val="00E377A6"/>
    <w:rsid w:val="00E377F9"/>
    <w:rsid w:val="00E3795F"/>
    <w:rsid w:val="00E37C79"/>
    <w:rsid w:val="00E37CA3"/>
    <w:rsid w:val="00E37CB2"/>
    <w:rsid w:val="00E4112E"/>
    <w:rsid w:val="00E415CE"/>
    <w:rsid w:val="00E41728"/>
    <w:rsid w:val="00E42029"/>
    <w:rsid w:val="00E42208"/>
    <w:rsid w:val="00E4224E"/>
    <w:rsid w:val="00E42734"/>
    <w:rsid w:val="00E42C51"/>
    <w:rsid w:val="00E42C79"/>
    <w:rsid w:val="00E436C0"/>
    <w:rsid w:val="00E43826"/>
    <w:rsid w:val="00E441BA"/>
    <w:rsid w:val="00E44346"/>
    <w:rsid w:val="00E447C3"/>
    <w:rsid w:val="00E44ACF"/>
    <w:rsid w:val="00E44E72"/>
    <w:rsid w:val="00E45A6B"/>
    <w:rsid w:val="00E45AB5"/>
    <w:rsid w:val="00E45D8E"/>
    <w:rsid w:val="00E45FFE"/>
    <w:rsid w:val="00E4646F"/>
    <w:rsid w:val="00E46676"/>
    <w:rsid w:val="00E466AA"/>
    <w:rsid w:val="00E46B68"/>
    <w:rsid w:val="00E46BED"/>
    <w:rsid w:val="00E4735D"/>
    <w:rsid w:val="00E47D42"/>
    <w:rsid w:val="00E5004F"/>
    <w:rsid w:val="00E500EF"/>
    <w:rsid w:val="00E502BF"/>
    <w:rsid w:val="00E503B8"/>
    <w:rsid w:val="00E50416"/>
    <w:rsid w:val="00E507A0"/>
    <w:rsid w:val="00E50CCE"/>
    <w:rsid w:val="00E50F41"/>
    <w:rsid w:val="00E50F92"/>
    <w:rsid w:val="00E517C5"/>
    <w:rsid w:val="00E517D1"/>
    <w:rsid w:val="00E51BAD"/>
    <w:rsid w:val="00E51D3E"/>
    <w:rsid w:val="00E51EED"/>
    <w:rsid w:val="00E5209A"/>
    <w:rsid w:val="00E52B08"/>
    <w:rsid w:val="00E535FE"/>
    <w:rsid w:val="00E53C5D"/>
    <w:rsid w:val="00E53F0E"/>
    <w:rsid w:val="00E54CF5"/>
    <w:rsid w:val="00E55014"/>
    <w:rsid w:val="00E5525E"/>
    <w:rsid w:val="00E55352"/>
    <w:rsid w:val="00E556BF"/>
    <w:rsid w:val="00E55958"/>
    <w:rsid w:val="00E56BA7"/>
    <w:rsid w:val="00E56DD3"/>
    <w:rsid w:val="00E57DF6"/>
    <w:rsid w:val="00E601BE"/>
    <w:rsid w:val="00E60389"/>
    <w:rsid w:val="00E607E3"/>
    <w:rsid w:val="00E60E17"/>
    <w:rsid w:val="00E612E0"/>
    <w:rsid w:val="00E621CE"/>
    <w:rsid w:val="00E6259D"/>
    <w:rsid w:val="00E62AFF"/>
    <w:rsid w:val="00E63662"/>
    <w:rsid w:val="00E63908"/>
    <w:rsid w:val="00E6426C"/>
    <w:rsid w:val="00E64283"/>
    <w:rsid w:val="00E64F05"/>
    <w:rsid w:val="00E64FD7"/>
    <w:rsid w:val="00E650FD"/>
    <w:rsid w:val="00E6598E"/>
    <w:rsid w:val="00E65A05"/>
    <w:rsid w:val="00E65F80"/>
    <w:rsid w:val="00E66451"/>
    <w:rsid w:val="00E66463"/>
    <w:rsid w:val="00E665B9"/>
    <w:rsid w:val="00E66D54"/>
    <w:rsid w:val="00E67446"/>
    <w:rsid w:val="00E67A29"/>
    <w:rsid w:val="00E67C57"/>
    <w:rsid w:val="00E70063"/>
    <w:rsid w:val="00E70420"/>
    <w:rsid w:val="00E705B6"/>
    <w:rsid w:val="00E70C88"/>
    <w:rsid w:val="00E70D82"/>
    <w:rsid w:val="00E71B90"/>
    <w:rsid w:val="00E72C5F"/>
    <w:rsid w:val="00E73153"/>
    <w:rsid w:val="00E7388F"/>
    <w:rsid w:val="00E738DC"/>
    <w:rsid w:val="00E741C4"/>
    <w:rsid w:val="00E74549"/>
    <w:rsid w:val="00E7482A"/>
    <w:rsid w:val="00E749CA"/>
    <w:rsid w:val="00E75033"/>
    <w:rsid w:val="00E7516D"/>
    <w:rsid w:val="00E752BB"/>
    <w:rsid w:val="00E75347"/>
    <w:rsid w:val="00E758A7"/>
    <w:rsid w:val="00E75966"/>
    <w:rsid w:val="00E75CD2"/>
    <w:rsid w:val="00E75D1A"/>
    <w:rsid w:val="00E7627C"/>
    <w:rsid w:val="00E762A2"/>
    <w:rsid w:val="00E76B4D"/>
    <w:rsid w:val="00E77161"/>
    <w:rsid w:val="00E800D7"/>
    <w:rsid w:val="00E8022B"/>
    <w:rsid w:val="00E80FE1"/>
    <w:rsid w:val="00E8153E"/>
    <w:rsid w:val="00E816E8"/>
    <w:rsid w:val="00E820CE"/>
    <w:rsid w:val="00E8236E"/>
    <w:rsid w:val="00E825C7"/>
    <w:rsid w:val="00E8320E"/>
    <w:rsid w:val="00E83536"/>
    <w:rsid w:val="00E838CD"/>
    <w:rsid w:val="00E84C59"/>
    <w:rsid w:val="00E852DE"/>
    <w:rsid w:val="00E8576C"/>
    <w:rsid w:val="00E86285"/>
    <w:rsid w:val="00E8669D"/>
    <w:rsid w:val="00E86878"/>
    <w:rsid w:val="00E86F49"/>
    <w:rsid w:val="00E877AE"/>
    <w:rsid w:val="00E87904"/>
    <w:rsid w:val="00E87A6F"/>
    <w:rsid w:val="00E87BE7"/>
    <w:rsid w:val="00E87E5E"/>
    <w:rsid w:val="00E901C4"/>
    <w:rsid w:val="00E9020E"/>
    <w:rsid w:val="00E9059B"/>
    <w:rsid w:val="00E90A0C"/>
    <w:rsid w:val="00E90C8F"/>
    <w:rsid w:val="00E90CFB"/>
    <w:rsid w:val="00E90EDF"/>
    <w:rsid w:val="00E91202"/>
    <w:rsid w:val="00E914AB"/>
    <w:rsid w:val="00E91C2F"/>
    <w:rsid w:val="00E92831"/>
    <w:rsid w:val="00E92866"/>
    <w:rsid w:val="00E93650"/>
    <w:rsid w:val="00E9390C"/>
    <w:rsid w:val="00E93B4B"/>
    <w:rsid w:val="00E9421A"/>
    <w:rsid w:val="00E94F17"/>
    <w:rsid w:val="00E94FD1"/>
    <w:rsid w:val="00E954F7"/>
    <w:rsid w:val="00E956A0"/>
    <w:rsid w:val="00E95812"/>
    <w:rsid w:val="00E9599C"/>
    <w:rsid w:val="00E95E84"/>
    <w:rsid w:val="00E963F5"/>
    <w:rsid w:val="00E96C3B"/>
    <w:rsid w:val="00E971AB"/>
    <w:rsid w:val="00E97444"/>
    <w:rsid w:val="00E9749A"/>
    <w:rsid w:val="00E97A12"/>
    <w:rsid w:val="00E97A94"/>
    <w:rsid w:val="00E97BF2"/>
    <w:rsid w:val="00EA0370"/>
    <w:rsid w:val="00EA0465"/>
    <w:rsid w:val="00EA055E"/>
    <w:rsid w:val="00EA059D"/>
    <w:rsid w:val="00EA0661"/>
    <w:rsid w:val="00EA06A4"/>
    <w:rsid w:val="00EA0E4F"/>
    <w:rsid w:val="00EA0FB3"/>
    <w:rsid w:val="00EA1621"/>
    <w:rsid w:val="00EA17D1"/>
    <w:rsid w:val="00EA1C32"/>
    <w:rsid w:val="00EA1C90"/>
    <w:rsid w:val="00EA208D"/>
    <w:rsid w:val="00EA2261"/>
    <w:rsid w:val="00EA2B2C"/>
    <w:rsid w:val="00EA2B5E"/>
    <w:rsid w:val="00EA3762"/>
    <w:rsid w:val="00EA37FD"/>
    <w:rsid w:val="00EA42E0"/>
    <w:rsid w:val="00EA4885"/>
    <w:rsid w:val="00EA51D8"/>
    <w:rsid w:val="00EA542E"/>
    <w:rsid w:val="00EA5473"/>
    <w:rsid w:val="00EA57A1"/>
    <w:rsid w:val="00EA59AE"/>
    <w:rsid w:val="00EA5E51"/>
    <w:rsid w:val="00EA5FBE"/>
    <w:rsid w:val="00EA6106"/>
    <w:rsid w:val="00EA6277"/>
    <w:rsid w:val="00EA6A33"/>
    <w:rsid w:val="00EA6ECC"/>
    <w:rsid w:val="00EA746F"/>
    <w:rsid w:val="00EA7968"/>
    <w:rsid w:val="00EB0CC9"/>
    <w:rsid w:val="00EB13C1"/>
    <w:rsid w:val="00EB1462"/>
    <w:rsid w:val="00EB1A11"/>
    <w:rsid w:val="00EB1A83"/>
    <w:rsid w:val="00EB1FB2"/>
    <w:rsid w:val="00EB2269"/>
    <w:rsid w:val="00EB24CB"/>
    <w:rsid w:val="00EB27BF"/>
    <w:rsid w:val="00EB284B"/>
    <w:rsid w:val="00EB330C"/>
    <w:rsid w:val="00EB33A4"/>
    <w:rsid w:val="00EB369D"/>
    <w:rsid w:val="00EB47D1"/>
    <w:rsid w:val="00EB4871"/>
    <w:rsid w:val="00EB4875"/>
    <w:rsid w:val="00EB4C11"/>
    <w:rsid w:val="00EB4D81"/>
    <w:rsid w:val="00EB6139"/>
    <w:rsid w:val="00EB7754"/>
    <w:rsid w:val="00EC006F"/>
    <w:rsid w:val="00EC0199"/>
    <w:rsid w:val="00EC1296"/>
    <w:rsid w:val="00EC1610"/>
    <w:rsid w:val="00EC1785"/>
    <w:rsid w:val="00EC1843"/>
    <w:rsid w:val="00EC1A17"/>
    <w:rsid w:val="00EC1C66"/>
    <w:rsid w:val="00EC206B"/>
    <w:rsid w:val="00EC2216"/>
    <w:rsid w:val="00EC2307"/>
    <w:rsid w:val="00EC2565"/>
    <w:rsid w:val="00EC25F4"/>
    <w:rsid w:val="00EC3612"/>
    <w:rsid w:val="00EC3C0A"/>
    <w:rsid w:val="00EC3F84"/>
    <w:rsid w:val="00EC442D"/>
    <w:rsid w:val="00EC448C"/>
    <w:rsid w:val="00EC4701"/>
    <w:rsid w:val="00EC4B12"/>
    <w:rsid w:val="00EC4C86"/>
    <w:rsid w:val="00EC4FDC"/>
    <w:rsid w:val="00EC50F3"/>
    <w:rsid w:val="00EC5161"/>
    <w:rsid w:val="00EC540F"/>
    <w:rsid w:val="00EC5567"/>
    <w:rsid w:val="00EC5A71"/>
    <w:rsid w:val="00EC5D42"/>
    <w:rsid w:val="00EC61EF"/>
    <w:rsid w:val="00EC669B"/>
    <w:rsid w:val="00EC67A5"/>
    <w:rsid w:val="00EC783B"/>
    <w:rsid w:val="00EC7A96"/>
    <w:rsid w:val="00EC7BD9"/>
    <w:rsid w:val="00ED029D"/>
    <w:rsid w:val="00ED03B8"/>
    <w:rsid w:val="00ED0747"/>
    <w:rsid w:val="00ED09CA"/>
    <w:rsid w:val="00ED0FAA"/>
    <w:rsid w:val="00ED10ED"/>
    <w:rsid w:val="00ED129B"/>
    <w:rsid w:val="00ED12EB"/>
    <w:rsid w:val="00ED27E5"/>
    <w:rsid w:val="00ED2C1C"/>
    <w:rsid w:val="00ED318A"/>
    <w:rsid w:val="00ED36D1"/>
    <w:rsid w:val="00ED4256"/>
    <w:rsid w:val="00ED4399"/>
    <w:rsid w:val="00ED4436"/>
    <w:rsid w:val="00ED4AA8"/>
    <w:rsid w:val="00ED4CE9"/>
    <w:rsid w:val="00ED5947"/>
    <w:rsid w:val="00ED5C82"/>
    <w:rsid w:val="00ED5D51"/>
    <w:rsid w:val="00ED66F0"/>
    <w:rsid w:val="00ED67F9"/>
    <w:rsid w:val="00ED702E"/>
    <w:rsid w:val="00ED72B6"/>
    <w:rsid w:val="00EE0071"/>
    <w:rsid w:val="00EE10B0"/>
    <w:rsid w:val="00EE1CC1"/>
    <w:rsid w:val="00EE1FE8"/>
    <w:rsid w:val="00EE201E"/>
    <w:rsid w:val="00EE240C"/>
    <w:rsid w:val="00EE28ED"/>
    <w:rsid w:val="00EE2ACD"/>
    <w:rsid w:val="00EE2DBC"/>
    <w:rsid w:val="00EE2F97"/>
    <w:rsid w:val="00EE3028"/>
    <w:rsid w:val="00EE3F46"/>
    <w:rsid w:val="00EE4280"/>
    <w:rsid w:val="00EE43D6"/>
    <w:rsid w:val="00EE4B4A"/>
    <w:rsid w:val="00EE5132"/>
    <w:rsid w:val="00EE542F"/>
    <w:rsid w:val="00EE5A3A"/>
    <w:rsid w:val="00EE67F8"/>
    <w:rsid w:val="00EE68D7"/>
    <w:rsid w:val="00EE6ED3"/>
    <w:rsid w:val="00EE7347"/>
    <w:rsid w:val="00EE73A1"/>
    <w:rsid w:val="00EE73EB"/>
    <w:rsid w:val="00EE7436"/>
    <w:rsid w:val="00EE76BD"/>
    <w:rsid w:val="00EE785B"/>
    <w:rsid w:val="00EE7934"/>
    <w:rsid w:val="00EE7A7F"/>
    <w:rsid w:val="00EF005F"/>
    <w:rsid w:val="00EF008E"/>
    <w:rsid w:val="00EF0872"/>
    <w:rsid w:val="00EF2A64"/>
    <w:rsid w:val="00EF32D6"/>
    <w:rsid w:val="00EF3552"/>
    <w:rsid w:val="00EF3641"/>
    <w:rsid w:val="00EF3B5B"/>
    <w:rsid w:val="00EF3BE5"/>
    <w:rsid w:val="00EF3BF3"/>
    <w:rsid w:val="00EF4A90"/>
    <w:rsid w:val="00EF4FDB"/>
    <w:rsid w:val="00EF5777"/>
    <w:rsid w:val="00EF59CB"/>
    <w:rsid w:val="00EF6D04"/>
    <w:rsid w:val="00EF7448"/>
    <w:rsid w:val="00EF75F3"/>
    <w:rsid w:val="00EF7B84"/>
    <w:rsid w:val="00F00328"/>
    <w:rsid w:val="00F0032C"/>
    <w:rsid w:val="00F00A88"/>
    <w:rsid w:val="00F01E65"/>
    <w:rsid w:val="00F03A32"/>
    <w:rsid w:val="00F03B92"/>
    <w:rsid w:val="00F03FFA"/>
    <w:rsid w:val="00F041B1"/>
    <w:rsid w:val="00F0458B"/>
    <w:rsid w:val="00F05D36"/>
    <w:rsid w:val="00F065F9"/>
    <w:rsid w:val="00F06A44"/>
    <w:rsid w:val="00F06D11"/>
    <w:rsid w:val="00F077B8"/>
    <w:rsid w:val="00F0787A"/>
    <w:rsid w:val="00F10749"/>
    <w:rsid w:val="00F108D0"/>
    <w:rsid w:val="00F10B1B"/>
    <w:rsid w:val="00F10D5D"/>
    <w:rsid w:val="00F11740"/>
    <w:rsid w:val="00F1180B"/>
    <w:rsid w:val="00F11874"/>
    <w:rsid w:val="00F11898"/>
    <w:rsid w:val="00F1196C"/>
    <w:rsid w:val="00F11BC4"/>
    <w:rsid w:val="00F1206C"/>
    <w:rsid w:val="00F12711"/>
    <w:rsid w:val="00F12851"/>
    <w:rsid w:val="00F129B9"/>
    <w:rsid w:val="00F12AE2"/>
    <w:rsid w:val="00F132FE"/>
    <w:rsid w:val="00F14B3D"/>
    <w:rsid w:val="00F14DD4"/>
    <w:rsid w:val="00F151C4"/>
    <w:rsid w:val="00F159DD"/>
    <w:rsid w:val="00F15FD0"/>
    <w:rsid w:val="00F16486"/>
    <w:rsid w:val="00F167B9"/>
    <w:rsid w:val="00F16BDF"/>
    <w:rsid w:val="00F172CA"/>
    <w:rsid w:val="00F17443"/>
    <w:rsid w:val="00F174B2"/>
    <w:rsid w:val="00F176EC"/>
    <w:rsid w:val="00F17946"/>
    <w:rsid w:val="00F206DE"/>
    <w:rsid w:val="00F2087E"/>
    <w:rsid w:val="00F208EB"/>
    <w:rsid w:val="00F20985"/>
    <w:rsid w:val="00F20A22"/>
    <w:rsid w:val="00F21092"/>
    <w:rsid w:val="00F21671"/>
    <w:rsid w:val="00F224D7"/>
    <w:rsid w:val="00F226AE"/>
    <w:rsid w:val="00F22C19"/>
    <w:rsid w:val="00F22CB5"/>
    <w:rsid w:val="00F2309A"/>
    <w:rsid w:val="00F23687"/>
    <w:rsid w:val="00F236E7"/>
    <w:rsid w:val="00F2390E"/>
    <w:rsid w:val="00F23956"/>
    <w:rsid w:val="00F23958"/>
    <w:rsid w:val="00F2422B"/>
    <w:rsid w:val="00F248C3"/>
    <w:rsid w:val="00F249B4"/>
    <w:rsid w:val="00F24B93"/>
    <w:rsid w:val="00F250E4"/>
    <w:rsid w:val="00F25777"/>
    <w:rsid w:val="00F257FA"/>
    <w:rsid w:val="00F26328"/>
    <w:rsid w:val="00F26634"/>
    <w:rsid w:val="00F26804"/>
    <w:rsid w:val="00F268B8"/>
    <w:rsid w:val="00F26B06"/>
    <w:rsid w:val="00F30068"/>
    <w:rsid w:val="00F30161"/>
    <w:rsid w:val="00F3067B"/>
    <w:rsid w:val="00F30741"/>
    <w:rsid w:val="00F307ED"/>
    <w:rsid w:val="00F309B6"/>
    <w:rsid w:val="00F31D22"/>
    <w:rsid w:val="00F3214A"/>
    <w:rsid w:val="00F3282C"/>
    <w:rsid w:val="00F32A17"/>
    <w:rsid w:val="00F32D6F"/>
    <w:rsid w:val="00F32E25"/>
    <w:rsid w:val="00F3360D"/>
    <w:rsid w:val="00F33DE1"/>
    <w:rsid w:val="00F34C18"/>
    <w:rsid w:val="00F34E75"/>
    <w:rsid w:val="00F34F37"/>
    <w:rsid w:val="00F36025"/>
    <w:rsid w:val="00F361AF"/>
    <w:rsid w:val="00F36D58"/>
    <w:rsid w:val="00F36D77"/>
    <w:rsid w:val="00F372F1"/>
    <w:rsid w:val="00F377D3"/>
    <w:rsid w:val="00F37B4C"/>
    <w:rsid w:val="00F37CF5"/>
    <w:rsid w:val="00F408F9"/>
    <w:rsid w:val="00F40DB6"/>
    <w:rsid w:val="00F40EAA"/>
    <w:rsid w:val="00F41020"/>
    <w:rsid w:val="00F4209D"/>
    <w:rsid w:val="00F42B2A"/>
    <w:rsid w:val="00F4382F"/>
    <w:rsid w:val="00F43928"/>
    <w:rsid w:val="00F43A43"/>
    <w:rsid w:val="00F43B2D"/>
    <w:rsid w:val="00F43BB0"/>
    <w:rsid w:val="00F43C7D"/>
    <w:rsid w:val="00F4451C"/>
    <w:rsid w:val="00F44539"/>
    <w:rsid w:val="00F449E2"/>
    <w:rsid w:val="00F44DD2"/>
    <w:rsid w:val="00F456E9"/>
    <w:rsid w:val="00F45A2D"/>
    <w:rsid w:val="00F45CB3"/>
    <w:rsid w:val="00F45E7B"/>
    <w:rsid w:val="00F464BE"/>
    <w:rsid w:val="00F469D6"/>
    <w:rsid w:val="00F472DA"/>
    <w:rsid w:val="00F473D4"/>
    <w:rsid w:val="00F478ED"/>
    <w:rsid w:val="00F47D4D"/>
    <w:rsid w:val="00F50B16"/>
    <w:rsid w:val="00F50EEB"/>
    <w:rsid w:val="00F512C6"/>
    <w:rsid w:val="00F51380"/>
    <w:rsid w:val="00F51E16"/>
    <w:rsid w:val="00F520A3"/>
    <w:rsid w:val="00F526CC"/>
    <w:rsid w:val="00F531D4"/>
    <w:rsid w:val="00F532F5"/>
    <w:rsid w:val="00F53396"/>
    <w:rsid w:val="00F53566"/>
    <w:rsid w:val="00F53F9E"/>
    <w:rsid w:val="00F5412A"/>
    <w:rsid w:val="00F5422B"/>
    <w:rsid w:val="00F5448E"/>
    <w:rsid w:val="00F549C9"/>
    <w:rsid w:val="00F55A16"/>
    <w:rsid w:val="00F55FDC"/>
    <w:rsid w:val="00F563B0"/>
    <w:rsid w:val="00F56C28"/>
    <w:rsid w:val="00F57463"/>
    <w:rsid w:val="00F60831"/>
    <w:rsid w:val="00F60C9E"/>
    <w:rsid w:val="00F60DDD"/>
    <w:rsid w:val="00F60EA4"/>
    <w:rsid w:val="00F616F9"/>
    <w:rsid w:val="00F6197B"/>
    <w:rsid w:val="00F619F3"/>
    <w:rsid w:val="00F61D11"/>
    <w:rsid w:val="00F61EE4"/>
    <w:rsid w:val="00F61F99"/>
    <w:rsid w:val="00F626BE"/>
    <w:rsid w:val="00F62A42"/>
    <w:rsid w:val="00F62B90"/>
    <w:rsid w:val="00F63729"/>
    <w:rsid w:val="00F63A61"/>
    <w:rsid w:val="00F63EFD"/>
    <w:rsid w:val="00F64935"/>
    <w:rsid w:val="00F6608C"/>
    <w:rsid w:val="00F66139"/>
    <w:rsid w:val="00F664F4"/>
    <w:rsid w:val="00F6710B"/>
    <w:rsid w:val="00F67342"/>
    <w:rsid w:val="00F6780A"/>
    <w:rsid w:val="00F67D48"/>
    <w:rsid w:val="00F70021"/>
    <w:rsid w:val="00F7066A"/>
    <w:rsid w:val="00F70E0D"/>
    <w:rsid w:val="00F70E72"/>
    <w:rsid w:val="00F71716"/>
    <w:rsid w:val="00F717D3"/>
    <w:rsid w:val="00F719FB"/>
    <w:rsid w:val="00F71DEE"/>
    <w:rsid w:val="00F7274A"/>
    <w:rsid w:val="00F7288C"/>
    <w:rsid w:val="00F736D2"/>
    <w:rsid w:val="00F7391F"/>
    <w:rsid w:val="00F73C9F"/>
    <w:rsid w:val="00F751AA"/>
    <w:rsid w:val="00F755FA"/>
    <w:rsid w:val="00F766D2"/>
    <w:rsid w:val="00F76E59"/>
    <w:rsid w:val="00F771F9"/>
    <w:rsid w:val="00F7788E"/>
    <w:rsid w:val="00F779BE"/>
    <w:rsid w:val="00F77B59"/>
    <w:rsid w:val="00F77CF1"/>
    <w:rsid w:val="00F77FB1"/>
    <w:rsid w:val="00F81068"/>
    <w:rsid w:val="00F811ED"/>
    <w:rsid w:val="00F818A7"/>
    <w:rsid w:val="00F81A95"/>
    <w:rsid w:val="00F81ABA"/>
    <w:rsid w:val="00F826D0"/>
    <w:rsid w:val="00F82B8D"/>
    <w:rsid w:val="00F82C4E"/>
    <w:rsid w:val="00F83150"/>
    <w:rsid w:val="00F83AC1"/>
    <w:rsid w:val="00F84039"/>
    <w:rsid w:val="00F84412"/>
    <w:rsid w:val="00F84D89"/>
    <w:rsid w:val="00F851CD"/>
    <w:rsid w:val="00F85342"/>
    <w:rsid w:val="00F8562C"/>
    <w:rsid w:val="00F8567C"/>
    <w:rsid w:val="00F85AA9"/>
    <w:rsid w:val="00F85F7B"/>
    <w:rsid w:val="00F86155"/>
    <w:rsid w:val="00F871A5"/>
    <w:rsid w:val="00F90BD0"/>
    <w:rsid w:val="00F90C88"/>
    <w:rsid w:val="00F91773"/>
    <w:rsid w:val="00F91902"/>
    <w:rsid w:val="00F91F7D"/>
    <w:rsid w:val="00F9200F"/>
    <w:rsid w:val="00F9228E"/>
    <w:rsid w:val="00F9258D"/>
    <w:rsid w:val="00F92C95"/>
    <w:rsid w:val="00F937FB"/>
    <w:rsid w:val="00F93C36"/>
    <w:rsid w:val="00F950D0"/>
    <w:rsid w:val="00F95480"/>
    <w:rsid w:val="00F954DE"/>
    <w:rsid w:val="00F967F3"/>
    <w:rsid w:val="00F96851"/>
    <w:rsid w:val="00F96D23"/>
    <w:rsid w:val="00F96E78"/>
    <w:rsid w:val="00F9731C"/>
    <w:rsid w:val="00F9792E"/>
    <w:rsid w:val="00F97967"/>
    <w:rsid w:val="00F97B83"/>
    <w:rsid w:val="00F97CCB"/>
    <w:rsid w:val="00F97F46"/>
    <w:rsid w:val="00FA0085"/>
    <w:rsid w:val="00FA0CC2"/>
    <w:rsid w:val="00FA1327"/>
    <w:rsid w:val="00FA234B"/>
    <w:rsid w:val="00FA23F0"/>
    <w:rsid w:val="00FA2A07"/>
    <w:rsid w:val="00FA2C1F"/>
    <w:rsid w:val="00FA3112"/>
    <w:rsid w:val="00FA34C2"/>
    <w:rsid w:val="00FA3F15"/>
    <w:rsid w:val="00FA4154"/>
    <w:rsid w:val="00FA50DB"/>
    <w:rsid w:val="00FA590C"/>
    <w:rsid w:val="00FA5BC4"/>
    <w:rsid w:val="00FA68BE"/>
    <w:rsid w:val="00FA69A8"/>
    <w:rsid w:val="00FA6D0A"/>
    <w:rsid w:val="00FA780B"/>
    <w:rsid w:val="00FA7D59"/>
    <w:rsid w:val="00FB071E"/>
    <w:rsid w:val="00FB0945"/>
    <w:rsid w:val="00FB0E82"/>
    <w:rsid w:val="00FB0F09"/>
    <w:rsid w:val="00FB0F58"/>
    <w:rsid w:val="00FB2082"/>
    <w:rsid w:val="00FB2128"/>
    <w:rsid w:val="00FB21C3"/>
    <w:rsid w:val="00FB235B"/>
    <w:rsid w:val="00FB2687"/>
    <w:rsid w:val="00FB3548"/>
    <w:rsid w:val="00FB3669"/>
    <w:rsid w:val="00FB3A2F"/>
    <w:rsid w:val="00FB3AD5"/>
    <w:rsid w:val="00FB3B57"/>
    <w:rsid w:val="00FB3BED"/>
    <w:rsid w:val="00FB4725"/>
    <w:rsid w:val="00FB4B11"/>
    <w:rsid w:val="00FB4D5B"/>
    <w:rsid w:val="00FB4DE5"/>
    <w:rsid w:val="00FB5131"/>
    <w:rsid w:val="00FB52A3"/>
    <w:rsid w:val="00FB5F6E"/>
    <w:rsid w:val="00FB6125"/>
    <w:rsid w:val="00FB6A9D"/>
    <w:rsid w:val="00FB6F78"/>
    <w:rsid w:val="00FB70E1"/>
    <w:rsid w:val="00FB7B1D"/>
    <w:rsid w:val="00FC0088"/>
    <w:rsid w:val="00FC0115"/>
    <w:rsid w:val="00FC0146"/>
    <w:rsid w:val="00FC055E"/>
    <w:rsid w:val="00FC075B"/>
    <w:rsid w:val="00FC0761"/>
    <w:rsid w:val="00FC0B21"/>
    <w:rsid w:val="00FC0C22"/>
    <w:rsid w:val="00FC1072"/>
    <w:rsid w:val="00FC1C53"/>
    <w:rsid w:val="00FC1CFA"/>
    <w:rsid w:val="00FC1D6A"/>
    <w:rsid w:val="00FC1DAE"/>
    <w:rsid w:val="00FC1DBA"/>
    <w:rsid w:val="00FC2D70"/>
    <w:rsid w:val="00FC2F7B"/>
    <w:rsid w:val="00FC329E"/>
    <w:rsid w:val="00FC3A30"/>
    <w:rsid w:val="00FC3ABD"/>
    <w:rsid w:val="00FC3D6E"/>
    <w:rsid w:val="00FC463C"/>
    <w:rsid w:val="00FC5125"/>
    <w:rsid w:val="00FC51F8"/>
    <w:rsid w:val="00FC5217"/>
    <w:rsid w:val="00FC556C"/>
    <w:rsid w:val="00FC6508"/>
    <w:rsid w:val="00FC6740"/>
    <w:rsid w:val="00FC7497"/>
    <w:rsid w:val="00FC76F3"/>
    <w:rsid w:val="00FC7B61"/>
    <w:rsid w:val="00FC7D23"/>
    <w:rsid w:val="00FC7E58"/>
    <w:rsid w:val="00FD07F8"/>
    <w:rsid w:val="00FD0973"/>
    <w:rsid w:val="00FD0A07"/>
    <w:rsid w:val="00FD0DE4"/>
    <w:rsid w:val="00FD12D7"/>
    <w:rsid w:val="00FD15DD"/>
    <w:rsid w:val="00FD16C6"/>
    <w:rsid w:val="00FD1F32"/>
    <w:rsid w:val="00FD1FC9"/>
    <w:rsid w:val="00FD236F"/>
    <w:rsid w:val="00FD2384"/>
    <w:rsid w:val="00FD2A1C"/>
    <w:rsid w:val="00FD2BEB"/>
    <w:rsid w:val="00FD305F"/>
    <w:rsid w:val="00FD337F"/>
    <w:rsid w:val="00FD42A0"/>
    <w:rsid w:val="00FD4C16"/>
    <w:rsid w:val="00FD53EF"/>
    <w:rsid w:val="00FD5833"/>
    <w:rsid w:val="00FD5D59"/>
    <w:rsid w:val="00FD5FE0"/>
    <w:rsid w:val="00FD657B"/>
    <w:rsid w:val="00FD676C"/>
    <w:rsid w:val="00FD6838"/>
    <w:rsid w:val="00FD70F2"/>
    <w:rsid w:val="00FD7110"/>
    <w:rsid w:val="00FD7257"/>
    <w:rsid w:val="00FD79A4"/>
    <w:rsid w:val="00FD7AC0"/>
    <w:rsid w:val="00FD7B1F"/>
    <w:rsid w:val="00FE04DB"/>
    <w:rsid w:val="00FE0943"/>
    <w:rsid w:val="00FE0B3D"/>
    <w:rsid w:val="00FE12C3"/>
    <w:rsid w:val="00FE1949"/>
    <w:rsid w:val="00FE2A30"/>
    <w:rsid w:val="00FE2B78"/>
    <w:rsid w:val="00FE3425"/>
    <w:rsid w:val="00FE37C0"/>
    <w:rsid w:val="00FE3BAD"/>
    <w:rsid w:val="00FE3F8A"/>
    <w:rsid w:val="00FE401C"/>
    <w:rsid w:val="00FE48B8"/>
    <w:rsid w:val="00FE4C3C"/>
    <w:rsid w:val="00FE4C6E"/>
    <w:rsid w:val="00FE527D"/>
    <w:rsid w:val="00FE53FD"/>
    <w:rsid w:val="00FE5932"/>
    <w:rsid w:val="00FE5D2E"/>
    <w:rsid w:val="00FE61C4"/>
    <w:rsid w:val="00FE620A"/>
    <w:rsid w:val="00FE641A"/>
    <w:rsid w:val="00FE686C"/>
    <w:rsid w:val="00FE7CE9"/>
    <w:rsid w:val="00FE7D20"/>
    <w:rsid w:val="00FE7D44"/>
    <w:rsid w:val="00FF00F9"/>
    <w:rsid w:val="00FF0E64"/>
    <w:rsid w:val="00FF1416"/>
    <w:rsid w:val="00FF145A"/>
    <w:rsid w:val="00FF1AE9"/>
    <w:rsid w:val="00FF1E3F"/>
    <w:rsid w:val="00FF28B9"/>
    <w:rsid w:val="00FF2CF4"/>
    <w:rsid w:val="00FF2EDA"/>
    <w:rsid w:val="00FF2F90"/>
    <w:rsid w:val="00FF31AB"/>
    <w:rsid w:val="00FF41F3"/>
    <w:rsid w:val="00FF42EA"/>
    <w:rsid w:val="00FF48DF"/>
    <w:rsid w:val="00FF4A51"/>
    <w:rsid w:val="00FF50D4"/>
    <w:rsid w:val="00FF553B"/>
    <w:rsid w:val="00FF5ADD"/>
    <w:rsid w:val="00FF5BAD"/>
    <w:rsid w:val="00FF5C34"/>
    <w:rsid w:val="00FF5E34"/>
    <w:rsid w:val="00FF5E80"/>
    <w:rsid w:val="00FF5EF4"/>
    <w:rsid w:val="00FF6292"/>
    <w:rsid w:val="00FF6888"/>
    <w:rsid w:val="00FF6D39"/>
    <w:rsid w:val="00FF7243"/>
    <w:rsid w:val="00FF7A80"/>
    <w:rsid w:val="00FF7B84"/>
    <w:rsid w:val="00FF7C70"/>
    <w:rsid w:val="00FF7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D"/>
    <w:pPr>
      <w:widowControl w:val="0"/>
      <w:adjustRightInd w:val="0"/>
      <w:spacing w:after="240" w:line="280" w:lineRule="exact"/>
      <w:jc w:val="both"/>
      <w:textAlignment w:val="baseline"/>
    </w:pPr>
    <w:rPr>
      <w:rFonts w:ascii="Book Antiqua" w:hAnsi="Book Antiqua"/>
      <w:color w:val="000000"/>
      <w:sz w:val="22"/>
    </w:rPr>
  </w:style>
  <w:style w:type="paragraph" w:styleId="Heading1">
    <w:name w:val="heading 1"/>
    <w:basedOn w:val="HeadingBase"/>
    <w:next w:val="OutlineNumbered1"/>
    <w:link w:val="Heading1Char"/>
    <w:qFormat/>
    <w:rsid w:val="00FD7AC0"/>
    <w:pPr>
      <w:pBdr>
        <w:bottom w:val="single" w:sz="4" w:space="12" w:color="1F497D" w:themeColor="text2"/>
      </w:pBdr>
      <w:spacing w:after="480" w:line="400" w:lineRule="exact"/>
      <w:jc w:val="left"/>
      <w:outlineLvl w:val="0"/>
    </w:pPr>
    <w:rPr>
      <w:rFonts w:cs="Arial"/>
      <w:b/>
      <w:bCs/>
      <w:caps/>
      <w:kern w:val="32"/>
      <w:sz w:val="36"/>
      <w:szCs w:val="38"/>
    </w:rPr>
  </w:style>
  <w:style w:type="paragraph" w:styleId="Heading2">
    <w:name w:val="heading 2"/>
    <w:basedOn w:val="HeadingBase"/>
    <w:next w:val="OutlineNumbered1"/>
    <w:link w:val="Heading2Char"/>
    <w:qFormat/>
    <w:rsid w:val="00BD4B39"/>
    <w:pPr>
      <w:spacing w:before="300" w:after="240" w:line="280" w:lineRule="exact"/>
      <w:jc w:val="left"/>
      <w:outlineLvl w:val="1"/>
    </w:pPr>
    <w:rPr>
      <w:rFonts w:cs="Arial"/>
      <w:b/>
      <w:bCs/>
      <w:iCs/>
      <w:smallCaps/>
      <w:sz w:val="32"/>
      <w:szCs w:val="28"/>
    </w:rPr>
  </w:style>
  <w:style w:type="paragraph" w:styleId="Heading3">
    <w:name w:val="heading 3"/>
    <w:basedOn w:val="HeadingBase"/>
    <w:next w:val="OutlineNumbered1"/>
    <w:link w:val="Heading3Char"/>
    <w:qFormat/>
    <w:rsid w:val="00BD4B39"/>
    <w:pPr>
      <w:spacing w:before="240" w:after="240" w:line="280" w:lineRule="exact"/>
      <w:jc w:val="left"/>
      <w:outlineLvl w:val="2"/>
    </w:pPr>
    <w:rPr>
      <w:rFonts w:cs="Arial"/>
      <w:b/>
      <w:bCs/>
      <w:sz w:val="26"/>
      <w:szCs w:val="26"/>
    </w:rPr>
  </w:style>
  <w:style w:type="paragraph" w:styleId="Heading4">
    <w:name w:val="heading 4"/>
    <w:basedOn w:val="HeadingBase"/>
    <w:next w:val="OutlineNumbered1"/>
    <w:qFormat/>
    <w:rsid w:val="00BD4B39"/>
    <w:pPr>
      <w:spacing w:after="240" w:line="280" w:lineRule="exact"/>
      <w:jc w:val="left"/>
      <w:outlineLvl w:val="3"/>
    </w:pPr>
    <w:rPr>
      <w:b/>
      <w:bCs/>
      <w:sz w:val="22"/>
      <w:szCs w:val="22"/>
    </w:rPr>
  </w:style>
  <w:style w:type="paragraph" w:styleId="Heading5">
    <w:name w:val="heading 5"/>
    <w:basedOn w:val="HeadingBase"/>
    <w:next w:val="OutlineNumbered1"/>
    <w:link w:val="Heading5Char"/>
    <w:qFormat/>
    <w:rsid w:val="00717336"/>
    <w:pPr>
      <w:spacing w:after="120"/>
      <w:outlineLvl w:val="4"/>
    </w:pPr>
    <w:rPr>
      <w:bCs/>
      <w:iCs/>
      <w:sz w:val="22"/>
    </w:rPr>
  </w:style>
  <w:style w:type="paragraph" w:styleId="Heading6">
    <w:name w:val="heading 6"/>
    <w:basedOn w:val="HeadingBase"/>
    <w:next w:val="OutlineNumbered1"/>
    <w:qFormat/>
    <w:rsid w:val="00717336"/>
    <w:pPr>
      <w:spacing w:after="120" w:line="280" w:lineRule="exact"/>
      <w:outlineLvl w:val="5"/>
    </w:pPr>
    <w:rPr>
      <w:b/>
      <w:bCs/>
      <w:i/>
      <w:sz w:val="21"/>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A736A9"/>
    <w:rPr>
      <w:b/>
      <w:color w:val="1F497D" w:themeColor="text2"/>
      <w:sz w:val="2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rsid w:val="006F69C0"/>
    <w:pPr>
      <w:tabs>
        <w:tab w:val="left" w:pos="312"/>
      </w:tabs>
      <w:spacing w:after="20" w:line="240" w:lineRule="auto"/>
      <w:ind w:left="312" w:hanging="312"/>
    </w:pPr>
    <w:rPr>
      <w:sz w:val="18"/>
    </w:rPr>
  </w:style>
  <w:style w:type="paragraph" w:customStyle="1" w:styleId="Bullet">
    <w:name w:val="Bullet"/>
    <w:aliases w:val="b,b + line,b1,Body,level 1"/>
    <w:basedOn w:val="Normal"/>
    <w:link w:val="BulletChar"/>
    <w:qFormat/>
    <w:rsid w:val="00984A77"/>
    <w:pPr>
      <w:numPr>
        <w:numId w:val="10"/>
      </w:numPr>
      <w:tabs>
        <w:tab w:val="clear" w:pos="1287"/>
      </w:tabs>
      <w:ind w:left="1276" w:hanging="425"/>
    </w:pPr>
  </w:style>
  <w:style w:type="paragraph" w:customStyle="1" w:styleId="Dash">
    <w:name w:val="Dash"/>
    <w:basedOn w:val="Normal"/>
    <w:link w:val="DashChar"/>
    <w:qFormat/>
    <w:rsid w:val="000A7BCF"/>
    <w:pPr>
      <w:numPr>
        <w:ilvl w:val="1"/>
        <w:numId w:val="8"/>
      </w:numPr>
    </w:pPr>
  </w:style>
  <w:style w:type="paragraph" w:customStyle="1" w:styleId="DoubleDot">
    <w:name w:val="Double Dot"/>
    <w:basedOn w:val="Normal"/>
    <w:qFormat/>
    <w:rsid w:val="000A7BCF"/>
    <w:pPr>
      <w:numPr>
        <w:ilvl w:val="2"/>
        <w:numId w:val="8"/>
      </w:numPr>
    </w:pPr>
  </w:style>
  <w:style w:type="paragraph" w:customStyle="1" w:styleId="OutlineNumbered1">
    <w:name w:val="Outline Numbered 1"/>
    <w:basedOn w:val="Normal"/>
    <w:link w:val="OutlineNumbered1Char"/>
    <w:rsid w:val="00984A77"/>
    <w:pPr>
      <w:numPr>
        <w:numId w:val="14"/>
      </w:numPr>
    </w:pPr>
  </w:style>
  <w:style w:type="paragraph" w:customStyle="1" w:styleId="OutlineNumbered2">
    <w:name w:val="Outline Numbered 2"/>
    <w:basedOn w:val="Normal"/>
    <w:link w:val="OutlineNumbered2Char"/>
    <w:rsid w:val="001E43D3"/>
    <w:pPr>
      <w:numPr>
        <w:ilvl w:val="1"/>
        <w:numId w:val="14"/>
      </w:numPr>
    </w:pPr>
  </w:style>
  <w:style w:type="paragraph" w:customStyle="1" w:styleId="OutlineNumbered3">
    <w:name w:val="Outline Numbered 3"/>
    <w:basedOn w:val="Normal"/>
    <w:rsid w:val="001E43D3"/>
    <w:pPr>
      <w:numPr>
        <w:ilvl w:val="2"/>
        <w:numId w:val="14"/>
      </w:numPr>
    </w:pPr>
  </w:style>
  <w:style w:type="paragraph" w:customStyle="1" w:styleId="AlphaParagraph">
    <w:name w:val="Alpha Paragraph"/>
    <w:basedOn w:val="Normal"/>
    <w:rsid w:val="0026555C"/>
    <w:pPr>
      <w:numPr>
        <w:numId w:val="1"/>
      </w:numPr>
    </w:pPr>
  </w:style>
  <w:style w:type="paragraph" w:customStyle="1" w:styleId="HeadingBase">
    <w:name w:val="Heading Base"/>
    <w:next w:val="Normal"/>
    <w:rsid w:val="0056559F"/>
    <w:pPr>
      <w:keepNext/>
      <w:widowControl w:val="0"/>
      <w:adjustRightInd w:val="0"/>
      <w:spacing w:line="360" w:lineRule="atLeast"/>
      <w:jc w:val="both"/>
      <w:textAlignment w:val="baseline"/>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B800FE"/>
    <w:pPr>
      <w:widowControl/>
      <w:spacing w:before="160" w:after="160" w:line="260" w:lineRule="exact"/>
      <w:jc w:val="left"/>
    </w:pPr>
    <w:rPr>
      <w:b/>
      <w:sz w:val="24"/>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widowControl w:val="0"/>
      <w:numPr>
        <w:numId w:val="2"/>
      </w:numPr>
      <w:adjustRightInd w:val="0"/>
      <w:spacing w:line="360" w:lineRule="atLeast"/>
      <w:jc w:val="both"/>
      <w:textAlignment w:val="baseline"/>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widowControl w:val="0"/>
      <w:adjustRightInd w:val="0"/>
      <w:spacing w:line="360" w:lineRule="atLeast"/>
      <w:jc w:val="both"/>
      <w:textAlignment w:val="baseline"/>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D2207C"/>
    <w:pPr>
      <w:pBdr>
        <w:bottom w:val="single" w:sz="4" w:space="20" w:color="1F497D" w:themeColor="text2"/>
      </w:pBdr>
      <w:spacing w:before="1080" w:after="1080"/>
      <w:jc w:val="right"/>
    </w:pPr>
    <w:rPr>
      <w:b/>
      <w:sz w:val="52"/>
    </w:rPr>
  </w:style>
  <w:style w:type="paragraph" w:customStyle="1" w:styleId="CoverTitleSub">
    <w:name w:val="Cover Title Sub"/>
    <w:basedOn w:val="HeadingBase"/>
    <w:rsid w:val="00D2207C"/>
    <w:pPr>
      <w:spacing w:after="60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link w:val="HeaderChar"/>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6"/>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widowControl w:val="0"/>
      <w:adjustRightInd w:val="0"/>
      <w:spacing w:before="40" w:after="40" w:line="360" w:lineRule="atLeast"/>
      <w:jc w:val="both"/>
      <w:textAlignment w:val="baseline"/>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417702"/>
    <w:pPr>
      <w:spacing w:line="260" w:lineRule="exact"/>
    </w:pPr>
    <w:rPr>
      <w:rFonts w:ascii="Century Gothic" w:hAnsi="Century Gothic"/>
      <w:b/>
      <w:color w:val="1F497D" w:themeColor="text2"/>
      <w:sz w:val="20"/>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B800FE"/>
    <w:pPr>
      <w:spacing w:after="20" w:line="280" w:lineRule="exact"/>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7F5CBC"/>
    <w:pPr>
      <w:spacing w:line="260" w:lineRule="exact"/>
      <w:jc w:val="left"/>
    </w:pPr>
    <w:rPr>
      <w:rFonts w:ascii="Century Gothic" w:hAnsi="Century Gothic"/>
      <w:sz w:val="19"/>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AA2C54"/>
    <w:pPr>
      <w:tabs>
        <w:tab w:val="right" w:leader="dot" w:pos="9072"/>
      </w:tabs>
      <w:spacing w:before="120" w:after="120"/>
      <w:ind w:left="284" w:right="851" w:hanging="284"/>
    </w:pPr>
    <w:rPr>
      <w:b/>
      <w:noProof/>
      <w:sz w:val="21"/>
      <w:szCs w:val="22"/>
    </w:rPr>
  </w:style>
  <w:style w:type="paragraph" w:styleId="TOC2">
    <w:name w:val="toc 2"/>
    <w:basedOn w:val="HeadingBase"/>
    <w:next w:val="Normal"/>
    <w:uiPriority w:val="39"/>
    <w:rsid w:val="00AA2C54"/>
    <w:pPr>
      <w:tabs>
        <w:tab w:val="right" w:leader="dot" w:pos="9072"/>
      </w:tabs>
      <w:spacing w:before="80" w:after="80"/>
      <w:ind w:left="284" w:right="851"/>
    </w:pPr>
    <w:rPr>
      <w:noProof/>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4"/>
      </w:numPr>
    </w:pPr>
  </w:style>
  <w:style w:type="paragraph" w:customStyle="1" w:styleId="BoxText">
    <w:name w:val="Box Text"/>
    <w:basedOn w:val="BoxTextBase"/>
    <w:rsid w:val="006A3FAB"/>
    <w:pPr>
      <w:spacing w:after="180" w:line="280" w:lineRule="exact"/>
    </w:pPr>
    <w:rPr>
      <w:rFonts w:ascii="Century Gothic" w:hAnsi="Century Gothic"/>
      <w:color w:val="auto"/>
      <w:sz w:val="21"/>
    </w:rPr>
  </w:style>
  <w:style w:type="paragraph" w:customStyle="1" w:styleId="BoxBullet">
    <w:name w:val="Box Bullet"/>
    <w:basedOn w:val="BoxTextBase"/>
    <w:rsid w:val="006D43C4"/>
    <w:pPr>
      <w:numPr>
        <w:numId w:val="3"/>
      </w:numPr>
      <w:spacing w:after="180" w:line="280" w:lineRule="exact"/>
    </w:pPr>
    <w:rPr>
      <w:rFonts w:ascii="Century Gothic" w:hAnsi="Century Gothic"/>
      <w:color w:val="1F497D" w:themeColor="text2"/>
      <w:sz w:val="21"/>
    </w:rPr>
  </w:style>
  <w:style w:type="paragraph" w:customStyle="1" w:styleId="BoxDash">
    <w:name w:val="Box Dash"/>
    <w:basedOn w:val="BoxTextBase"/>
    <w:rsid w:val="000A7BCF"/>
    <w:pPr>
      <w:numPr>
        <w:ilvl w:val="1"/>
        <w:numId w:val="3"/>
      </w:numPr>
    </w:pPr>
  </w:style>
  <w:style w:type="paragraph" w:customStyle="1" w:styleId="BoxDoubleDot">
    <w:name w:val="Box Double Dot"/>
    <w:basedOn w:val="BoxTextBase"/>
    <w:rsid w:val="000A7BCF"/>
    <w:pPr>
      <w:numPr>
        <w:ilvl w:val="2"/>
        <w:numId w:val="3"/>
      </w:numPr>
    </w:pPr>
  </w:style>
  <w:style w:type="paragraph" w:customStyle="1" w:styleId="RecommendationBullet">
    <w:name w:val="Recommendation Bullet"/>
    <w:basedOn w:val="RecommendationTextBase"/>
    <w:rsid w:val="000A7BCF"/>
    <w:pPr>
      <w:numPr>
        <w:numId w:val="5"/>
      </w:numPr>
    </w:pPr>
  </w:style>
  <w:style w:type="paragraph" w:customStyle="1" w:styleId="RecommendationDash">
    <w:name w:val="Recommendation Dash"/>
    <w:basedOn w:val="RecommendationTextBase"/>
    <w:rsid w:val="000A7BCF"/>
    <w:pPr>
      <w:numPr>
        <w:ilvl w:val="1"/>
        <w:numId w:val="5"/>
      </w:numPr>
    </w:pPr>
  </w:style>
  <w:style w:type="paragraph" w:customStyle="1" w:styleId="RecommendationDoubleDot">
    <w:name w:val="Recommendation Double Dot"/>
    <w:basedOn w:val="RecommendationTextBase"/>
    <w:rsid w:val="000A7BCF"/>
    <w:pPr>
      <w:numPr>
        <w:ilvl w:val="2"/>
        <w:numId w:val="5"/>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link w:val="SecurityClassificationHeaderChar"/>
    <w:rsid w:val="008743AD"/>
    <w:pPr>
      <w:widowControl w:val="0"/>
      <w:adjustRightInd w:val="0"/>
      <w:spacing w:before="120" w:after="120" w:line="360" w:lineRule="atLeast"/>
      <w:jc w:val="center"/>
      <w:textAlignment w:val="baseline"/>
    </w:pPr>
    <w:rPr>
      <w:rFonts w:ascii="Century Gothic" w:hAnsi="Century Gothic"/>
      <w:b/>
      <w:caps/>
      <w:color w:val="1F497D" w:themeColor="text2"/>
    </w:rPr>
  </w:style>
  <w:style w:type="paragraph" w:customStyle="1" w:styleId="SecurityClassificationFooter">
    <w:name w:val="Security Classification Footer"/>
    <w:rsid w:val="008743AD"/>
    <w:pPr>
      <w:widowControl w:val="0"/>
      <w:adjustRightInd w:val="0"/>
      <w:spacing w:before="240" w:line="360" w:lineRule="atLeast"/>
      <w:jc w:val="center"/>
      <w:textAlignment w:val="baseline"/>
    </w:pPr>
    <w:rPr>
      <w:rFonts w:ascii="Century Gothic" w:hAnsi="Century Gothic"/>
      <w:b/>
      <w:caps/>
      <w:color w:val="1F497D" w:themeColor="text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7"/>
      </w:numPr>
    </w:pPr>
  </w:style>
  <w:style w:type="numbering" w:customStyle="1" w:styleId="Optionboxheading">
    <w:name w:val="Option box heading"/>
    <w:uiPriority w:val="99"/>
    <w:rsid w:val="00CA601E"/>
    <w:pPr>
      <w:numPr>
        <w:numId w:val="9"/>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BulletChar">
    <w:name w:val="Bullet Char"/>
    <w:aliases w:val="b Char"/>
    <w:basedOn w:val="DefaultParagraphFont"/>
    <w:link w:val="Bullet"/>
    <w:rsid w:val="00984A77"/>
    <w:rPr>
      <w:rFonts w:ascii="Book Antiqua" w:hAnsi="Book Antiqua"/>
      <w:color w:val="000000"/>
      <w:sz w:val="22"/>
    </w:rPr>
  </w:style>
  <w:style w:type="character" w:customStyle="1" w:styleId="DashChar">
    <w:name w:val="Dash Char"/>
    <w:basedOn w:val="DefaultParagraphFont"/>
    <w:link w:val="Dash"/>
    <w:rsid w:val="00142D17"/>
    <w:rPr>
      <w:rFonts w:ascii="Book Antiqua" w:hAnsi="Book Antiqua"/>
      <w:color w:val="000000"/>
      <w:sz w:val="22"/>
    </w:rPr>
  </w:style>
  <w:style w:type="character" w:styleId="FootnoteReference">
    <w:name w:val="footnote reference"/>
    <w:basedOn w:val="DefaultParagraphFont"/>
    <w:unhideWhenUsed/>
    <w:rsid w:val="00142D17"/>
    <w:rPr>
      <w:vertAlign w:val="superscript"/>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6F69C0"/>
    <w:rPr>
      <w:rFonts w:ascii="Book Antiqua" w:hAnsi="Book Antiqua"/>
      <w:color w:val="000000"/>
      <w:sz w:val="18"/>
    </w:rPr>
  </w:style>
  <w:style w:type="paragraph" w:customStyle="1" w:styleId="PressReleaseHeading">
    <w:name w:val="Press Release Heading"/>
    <w:basedOn w:val="Normal"/>
    <w:rsid w:val="00142D17"/>
    <w:pPr>
      <w:spacing w:after="120" w:line="240" w:lineRule="auto"/>
      <w:jc w:val="left"/>
    </w:pPr>
    <w:rPr>
      <w:rFonts w:ascii="Garamond" w:hAnsi="Garamond"/>
      <w:b/>
      <w:caps/>
      <w:color w:val="auto"/>
      <w:sz w:val="28"/>
    </w:rPr>
  </w:style>
  <w:style w:type="character" w:customStyle="1" w:styleId="OutlineNumbered1Char">
    <w:name w:val="Outline Numbered 1 Char"/>
    <w:basedOn w:val="DefaultParagraphFont"/>
    <w:link w:val="OutlineNumbered1"/>
    <w:locked/>
    <w:rsid w:val="00984A77"/>
    <w:rPr>
      <w:rFonts w:ascii="Book Antiqua" w:hAnsi="Book Antiqua"/>
      <w:color w:val="000000"/>
      <w:sz w:val="22"/>
    </w:rPr>
  </w:style>
  <w:style w:type="character" w:customStyle="1" w:styleId="OutlineNumbered2Char">
    <w:name w:val="Outline Numbered 2 Char"/>
    <w:basedOn w:val="DefaultParagraphFont"/>
    <w:link w:val="OutlineNumbered2"/>
    <w:locked/>
    <w:rsid w:val="00142D17"/>
    <w:rPr>
      <w:rFonts w:ascii="Book Antiqua" w:hAnsi="Book Antiqua"/>
      <w:color w:val="000000"/>
      <w:sz w:val="22"/>
    </w:rPr>
  </w:style>
  <w:style w:type="paragraph" w:styleId="Title">
    <w:name w:val="Title"/>
    <w:basedOn w:val="Normal"/>
    <w:link w:val="TitleChar"/>
    <w:uiPriority w:val="10"/>
    <w:qFormat/>
    <w:rsid w:val="007611D8"/>
    <w:pPr>
      <w:spacing w:before="240" w:after="60" w:line="276" w:lineRule="auto"/>
      <w:jc w:val="center"/>
      <w:outlineLvl w:val="0"/>
    </w:pPr>
    <w:rPr>
      <w:rFonts w:ascii="Arial" w:hAnsi="Arial"/>
      <w:b/>
      <w:color w:val="auto"/>
      <w:kern w:val="28"/>
      <w:sz w:val="32"/>
      <w:szCs w:val="22"/>
      <w:lang w:eastAsia="en-US"/>
    </w:rPr>
  </w:style>
  <w:style w:type="character" w:customStyle="1" w:styleId="TitleChar">
    <w:name w:val="Title Char"/>
    <w:basedOn w:val="DefaultParagraphFont"/>
    <w:link w:val="Title"/>
    <w:uiPriority w:val="10"/>
    <w:rsid w:val="007611D8"/>
    <w:rPr>
      <w:rFonts w:ascii="Arial" w:hAnsi="Arial"/>
      <w:b/>
      <w:kern w:val="28"/>
      <w:sz w:val="32"/>
      <w:szCs w:val="22"/>
      <w:lang w:eastAsia="en-US"/>
    </w:rPr>
  </w:style>
  <w:style w:type="table" w:styleId="MediumGrid3-Accent1">
    <w:name w:val="Medium Grid 3 Accent 1"/>
    <w:basedOn w:val="TableNormal"/>
    <w:uiPriority w:val="69"/>
    <w:rsid w:val="00043ADA"/>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043ADA"/>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customStyle="1" w:styleId="Heading2Char">
    <w:name w:val="Heading 2 Char"/>
    <w:basedOn w:val="DefaultParagraphFont"/>
    <w:link w:val="Heading2"/>
    <w:rsid w:val="00BD4B39"/>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rsid w:val="00BD4B39"/>
    <w:rPr>
      <w:rFonts w:ascii="Century Gothic" w:hAnsi="Century Gothic" w:cs="Arial"/>
      <w:b/>
      <w:bCs/>
      <w:color w:val="1F497D" w:themeColor="text2"/>
      <w:sz w:val="26"/>
      <w:szCs w:val="26"/>
    </w:rPr>
  </w:style>
  <w:style w:type="character" w:customStyle="1" w:styleId="Heading5Char">
    <w:name w:val="Heading 5 Char"/>
    <w:basedOn w:val="DefaultParagraphFont"/>
    <w:link w:val="Heading5"/>
    <w:rsid w:val="00717336"/>
    <w:rPr>
      <w:rFonts w:ascii="Century Gothic" w:hAnsi="Century Gothic"/>
      <w:bCs/>
      <w:iCs/>
      <w:color w:val="1F497D" w:themeColor="text2"/>
      <w:sz w:val="22"/>
    </w:rPr>
  </w:style>
  <w:style w:type="character" w:styleId="CommentReference">
    <w:name w:val="annotation reference"/>
    <w:basedOn w:val="DefaultParagraphFont"/>
    <w:uiPriority w:val="99"/>
    <w:semiHidden/>
    <w:unhideWhenUsed/>
    <w:rsid w:val="00BA0E98"/>
    <w:rPr>
      <w:sz w:val="16"/>
      <w:szCs w:val="16"/>
    </w:rPr>
  </w:style>
  <w:style w:type="paragraph" w:styleId="CommentText">
    <w:name w:val="annotation text"/>
    <w:basedOn w:val="Normal"/>
    <w:link w:val="CommentTextChar"/>
    <w:uiPriority w:val="99"/>
    <w:unhideWhenUsed/>
    <w:rsid w:val="00BA0E98"/>
    <w:pPr>
      <w:spacing w:line="240" w:lineRule="auto"/>
    </w:pPr>
    <w:rPr>
      <w:sz w:val="20"/>
    </w:rPr>
  </w:style>
  <w:style w:type="character" w:customStyle="1" w:styleId="CommentTextChar">
    <w:name w:val="Comment Text Char"/>
    <w:basedOn w:val="DefaultParagraphFont"/>
    <w:link w:val="CommentText"/>
    <w:uiPriority w:val="99"/>
    <w:rsid w:val="00BA0E98"/>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A0E98"/>
    <w:rPr>
      <w:b/>
      <w:bCs/>
    </w:rPr>
  </w:style>
  <w:style w:type="character" w:customStyle="1" w:styleId="CommentSubjectChar">
    <w:name w:val="Comment Subject Char"/>
    <w:basedOn w:val="CommentTextChar"/>
    <w:link w:val="CommentSubject"/>
    <w:uiPriority w:val="99"/>
    <w:semiHidden/>
    <w:rsid w:val="00BA0E98"/>
    <w:rPr>
      <w:rFonts w:ascii="Book Antiqua" w:hAnsi="Book Antiqua"/>
      <w:b/>
      <w:bCs/>
      <w:color w:val="000000"/>
    </w:rPr>
  </w:style>
  <w:style w:type="paragraph" w:styleId="Revision">
    <w:name w:val="Revision"/>
    <w:hidden/>
    <w:uiPriority w:val="99"/>
    <w:semiHidden/>
    <w:rsid w:val="00131D5E"/>
    <w:pPr>
      <w:widowControl w:val="0"/>
      <w:adjustRightInd w:val="0"/>
      <w:spacing w:line="360" w:lineRule="atLeast"/>
      <w:jc w:val="both"/>
      <w:textAlignment w:val="baseline"/>
    </w:pPr>
    <w:rPr>
      <w:rFonts w:ascii="Book Antiqua" w:hAnsi="Book Antiqua"/>
      <w:color w:val="000000"/>
      <w:sz w:val="22"/>
    </w:rPr>
  </w:style>
  <w:style w:type="character" w:customStyle="1" w:styleId="HeaderChar">
    <w:name w:val="Header Char"/>
    <w:basedOn w:val="DefaultParagraphFont"/>
    <w:link w:val="Header"/>
    <w:rsid w:val="00204576"/>
    <w:rPr>
      <w:rFonts w:ascii="Century Gothic" w:hAnsi="Century Gothic"/>
      <w:color w:val="1F497D" w:themeColor="text2"/>
      <w:sz w:val="18"/>
    </w:rPr>
  </w:style>
  <w:style w:type="paragraph" w:styleId="NormalWeb">
    <w:name w:val="Normal (Web)"/>
    <w:basedOn w:val="Normal"/>
    <w:uiPriority w:val="99"/>
    <w:unhideWhenUsed/>
    <w:rsid w:val="00E11CE6"/>
    <w:pPr>
      <w:spacing w:after="375" w:line="240" w:lineRule="auto"/>
      <w:jc w:val="left"/>
    </w:pPr>
    <w:rPr>
      <w:rFonts w:ascii="Times New Roman" w:hAnsi="Times New Roman"/>
      <w:color w:val="auto"/>
      <w:sz w:val="24"/>
      <w:szCs w:val="24"/>
    </w:rPr>
  </w:style>
  <w:style w:type="character" w:customStyle="1" w:styleId="FooterChar">
    <w:name w:val="Footer Char"/>
    <w:basedOn w:val="DefaultParagraphFont"/>
    <w:link w:val="Footer"/>
    <w:rsid w:val="00D2207C"/>
    <w:rPr>
      <w:rFonts w:ascii="Century Gothic" w:hAnsi="Century Gothic"/>
      <w:color w:val="1F497D" w:themeColor="text2"/>
      <w:sz w:val="18"/>
    </w:rPr>
  </w:style>
  <w:style w:type="character" w:customStyle="1" w:styleId="SecurityClassificationHeaderChar">
    <w:name w:val="Security Classification Header Char"/>
    <w:basedOn w:val="HeaderChar"/>
    <w:link w:val="SecurityClassificationHeader"/>
    <w:rsid w:val="008743AD"/>
    <w:rPr>
      <w:rFonts w:ascii="Century Gothic" w:hAnsi="Century Gothic"/>
      <w:b/>
      <w:caps/>
      <w:color w:val="1F497D" w:themeColor="text2"/>
      <w:sz w:val="18"/>
    </w:rPr>
  </w:style>
  <w:style w:type="paragraph" w:customStyle="1" w:styleId="Heading3-NoTOC">
    <w:name w:val="Heading 3 - No TOC"/>
    <w:basedOn w:val="Heading3"/>
    <w:rsid w:val="003004E7"/>
    <w:pPr>
      <w:outlineLvl w:val="9"/>
    </w:pPr>
  </w:style>
  <w:style w:type="paragraph" w:customStyle="1" w:styleId="ContentsHeading1">
    <w:name w:val="Contents Heading 1"/>
    <w:basedOn w:val="Heading1"/>
    <w:rsid w:val="003004E7"/>
    <w:pPr>
      <w:outlineLvl w:val="9"/>
    </w:pPr>
  </w:style>
  <w:style w:type="paragraph" w:customStyle="1" w:styleId="BoxNumberedQuestions">
    <w:name w:val="Box Numbered Questions"/>
    <w:basedOn w:val="Normal"/>
    <w:rsid w:val="00B800FE"/>
    <w:pPr>
      <w:numPr>
        <w:numId w:val="9"/>
      </w:numPr>
      <w:spacing w:after="160" w:line="260" w:lineRule="exact"/>
    </w:pPr>
    <w:rPr>
      <w:rFonts w:ascii="Century Gothic" w:hAnsi="Century Gothic"/>
      <w:color w:val="1F497D" w:themeColor="text2"/>
      <w:sz w:val="21"/>
    </w:rPr>
  </w:style>
  <w:style w:type="paragraph" w:customStyle="1" w:styleId="BoxHeading-Diagram">
    <w:name w:val="Box Heading - Diagram"/>
    <w:basedOn w:val="BoxHeading"/>
    <w:rsid w:val="005B0A67"/>
    <w:pPr>
      <w:spacing w:before="120" w:after="120"/>
      <w:jc w:val="center"/>
    </w:pPr>
  </w:style>
  <w:style w:type="paragraph" w:customStyle="1" w:styleId="BoxText-Diagram">
    <w:name w:val="Box Text - Diagram"/>
    <w:basedOn w:val="BoxText"/>
    <w:rsid w:val="005B0A67"/>
    <w:pPr>
      <w:spacing w:before="120" w:after="120"/>
      <w:jc w:val="center"/>
    </w:pPr>
    <w:rPr>
      <w:i/>
      <w:sz w:val="19"/>
      <w:szCs w:val="19"/>
    </w:rPr>
  </w:style>
  <w:style w:type="paragraph" w:customStyle="1" w:styleId="BoxText-DiagramLeft">
    <w:name w:val="Box Text - Diagram (Left)"/>
    <w:basedOn w:val="BoxText-Diagram"/>
    <w:rsid w:val="00C31256"/>
    <w:pPr>
      <w:tabs>
        <w:tab w:val="left" w:pos="284"/>
      </w:tabs>
      <w:ind w:left="284" w:hanging="284"/>
      <w:jc w:val="left"/>
    </w:pPr>
  </w:style>
  <w:style w:type="paragraph" w:customStyle="1" w:styleId="TableRowHeadingLeft">
    <w:name w:val="Table Row Heading Left"/>
    <w:basedOn w:val="TableTextLeft"/>
    <w:rsid w:val="00417702"/>
    <w:rPr>
      <w:b/>
      <w:color w:val="1F497D" w:themeColor="text2"/>
    </w:rPr>
  </w:style>
  <w:style w:type="paragraph" w:customStyle="1" w:styleId="TableTextLeft-Bullet">
    <w:name w:val="Table Text Left - Bullet"/>
    <w:basedOn w:val="TableTextLeft"/>
    <w:rsid w:val="005F70D8"/>
    <w:pPr>
      <w:numPr>
        <w:numId w:val="11"/>
      </w:numPr>
    </w:pPr>
  </w:style>
  <w:style w:type="paragraph" w:customStyle="1" w:styleId="BoxNumberedQuestions2">
    <w:name w:val="Box Numbered Questions 2"/>
    <w:rsid w:val="00500A5A"/>
    <w:pPr>
      <w:widowControl w:val="0"/>
      <w:tabs>
        <w:tab w:val="left" w:pos="1134"/>
      </w:tabs>
      <w:adjustRightInd w:val="0"/>
      <w:spacing w:after="180" w:line="280" w:lineRule="exact"/>
      <w:ind w:left="1134" w:hanging="567"/>
      <w:jc w:val="both"/>
      <w:textAlignment w:val="baseline"/>
    </w:pPr>
    <w:rPr>
      <w:rFonts w:ascii="Century Gothic" w:hAnsi="Century Gothic"/>
      <w:color w:val="1F497D" w:themeColor="text2"/>
      <w:sz w:val="21"/>
    </w:rPr>
  </w:style>
  <w:style w:type="paragraph" w:customStyle="1" w:styleId="BoxBullet-NoIndent">
    <w:name w:val="Box Bullet - No Indent"/>
    <w:rsid w:val="001E2656"/>
    <w:pPr>
      <w:numPr>
        <w:numId w:val="37"/>
      </w:numPr>
      <w:tabs>
        <w:tab w:val="left" w:pos="425"/>
      </w:tabs>
      <w:spacing w:after="180" w:line="280" w:lineRule="exact"/>
      <w:ind w:left="425" w:hanging="425"/>
      <w:jc w:val="both"/>
    </w:pPr>
    <w:rPr>
      <w:rFonts w:ascii="Century Gothic" w:hAnsi="Century Gothic"/>
      <w:color w:val="000000" w:themeColor="text1"/>
      <w:sz w:val="21"/>
    </w:rPr>
  </w:style>
  <w:style w:type="paragraph" w:customStyle="1" w:styleId="BoxHeading-Continued">
    <w:name w:val="Box Heading - Continued"/>
    <w:basedOn w:val="BoxHeading"/>
    <w:rsid w:val="003219CC"/>
    <w:pPr>
      <w:tabs>
        <w:tab w:val="left" w:pos="3953"/>
      </w:tabs>
    </w:pPr>
  </w:style>
  <w:style w:type="paragraph" w:customStyle="1" w:styleId="OutlineNumbered-Chapter4">
    <w:name w:val="Outline Numbered - Chapter 4"/>
    <w:basedOn w:val="OutlineNumbered1"/>
    <w:rsid w:val="00A33246"/>
    <w:pPr>
      <w:numPr>
        <w:numId w:val="12"/>
      </w:numPr>
      <w:ind w:left="567" w:hanging="567"/>
    </w:pPr>
  </w:style>
  <w:style w:type="paragraph" w:customStyle="1" w:styleId="OutlineNumbered-Chapter5">
    <w:name w:val="Outline Numbered - Chapter 5"/>
    <w:basedOn w:val="OutlineNumbered1"/>
    <w:rsid w:val="0036223F"/>
    <w:pPr>
      <w:numPr>
        <w:numId w:val="13"/>
      </w:numPr>
      <w:ind w:left="567" w:hanging="567"/>
    </w:pPr>
  </w:style>
  <w:style w:type="character" w:customStyle="1" w:styleId="Heading1Char">
    <w:name w:val="Heading 1 Char"/>
    <w:basedOn w:val="DefaultParagraphFont"/>
    <w:link w:val="Heading1"/>
    <w:rsid w:val="00FD7AC0"/>
    <w:rPr>
      <w:rFonts w:ascii="Century Gothic" w:hAnsi="Century Gothic" w:cs="Arial"/>
      <w:b/>
      <w:bCs/>
      <w:caps/>
      <w:color w:val="1F497D" w:themeColor="text2"/>
      <w:kern w:val="32"/>
      <w:sz w:val="36"/>
      <w:szCs w:val="38"/>
    </w:rPr>
  </w:style>
  <w:style w:type="numbering" w:customStyle="1" w:styleId="Outlinenumbering1">
    <w:name w:val="Outline numbering1"/>
    <w:uiPriority w:val="99"/>
    <w:rsid w:val="007B6996"/>
  </w:style>
  <w:style w:type="table" w:styleId="LightShading-Accent1">
    <w:name w:val="Light Shading Accent 1"/>
    <w:basedOn w:val="TableNormal"/>
    <w:uiPriority w:val="60"/>
    <w:rsid w:val="00476E3D"/>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xHeading-Principles">
    <w:name w:val="Box Heading - Principles"/>
    <w:basedOn w:val="BoxHeading"/>
    <w:rsid w:val="0053325F"/>
    <w:pPr>
      <w:jc w:val="center"/>
    </w:pPr>
  </w:style>
  <w:style w:type="paragraph" w:customStyle="1" w:styleId="BoxHeading-Sub">
    <w:name w:val="Box Heading - Sub"/>
    <w:basedOn w:val="BoxHeading-Continued"/>
    <w:rsid w:val="006A3FAB"/>
    <w:pPr>
      <w:tabs>
        <w:tab w:val="clear" w:pos="3953"/>
        <w:tab w:val="left" w:pos="567"/>
      </w:tabs>
    </w:pPr>
    <w:rPr>
      <w:sz w:val="22"/>
    </w:rPr>
  </w:style>
  <w:style w:type="paragraph" w:customStyle="1" w:styleId="OutlineNumbered-Chapter1">
    <w:name w:val="Outline Numbered - Chapter 1"/>
    <w:basedOn w:val="OutlineNumbered1"/>
    <w:rsid w:val="0053325F"/>
    <w:pPr>
      <w:numPr>
        <w:numId w:val="15"/>
      </w:numPr>
      <w:ind w:left="567" w:hanging="567"/>
    </w:pPr>
  </w:style>
  <w:style w:type="paragraph" w:styleId="NoSpacing">
    <w:name w:val="No Spacing"/>
    <w:uiPriority w:val="1"/>
    <w:qFormat/>
    <w:rsid w:val="00F66139"/>
    <w:pPr>
      <w:widowControl w:val="0"/>
      <w:adjustRightInd w:val="0"/>
      <w:spacing w:line="360" w:lineRule="atLeast"/>
      <w:jc w:val="both"/>
      <w:textAlignment w:val="baseline"/>
    </w:pPr>
    <w:rPr>
      <w:rFonts w:ascii="Book Antiqua" w:hAnsi="Book Antiqua"/>
      <w:color w:val="000000"/>
      <w:sz w:val="22"/>
    </w:rPr>
  </w:style>
  <w:style w:type="paragraph" w:customStyle="1" w:styleId="TableColumnHeadingLeft-White">
    <w:name w:val="Table Column Heading Left - White"/>
    <w:basedOn w:val="TableColumnHeadingLeft"/>
    <w:rsid w:val="008B161F"/>
    <w:pPr>
      <w:spacing w:before="80" w:after="80" w:line="240" w:lineRule="auto"/>
      <w:jc w:val="left"/>
    </w:pPr>
    <w:rPr>
      <w:color w:val="FFFFFF" w:themeColor="background1"/>
    </w:rPr>
  </w:style>
  <w:style w:type="character" w:styleId="HTMLCite">
    <w:name w:val="HTML Cite"/>
    <w:basedOn w:val="DefaultParagraphFont"/>
    <w:uiPriority w:val="99"/>
    <w:semiHidden/>
    <w:unhideWhenUsed/>
    <w:rsid w:val="002B543C"/>
    <w:rPr>
      <w:i/>
      <w:iCs/>
    </w:rPr>
  </w:style>
  <w:style w:type="character" w:styleId="Emphasis">
    <w:name w:val="Emphasis"/>
    <w:basedOn w:val="DefaultParagraphFont"/>
    <w:uiPriority w:val="20"/>
    <w:qFormat/>
    <w:rsid w:val="002B543C"/>
    <w:rPr>
      <w:b/>
      <w:bCs/>
      <w:i w:val="0"/>
      <w:iCs w:val="0"/>
    </w:rPr>
  </w:style>
  <w:style w:type="character" w:customStyle="1" w:styleId="ogd">
    <w:name w:val="_ogd"/>
    <w:basedOn w:val="DefaultParagraphFont"/>
    <w:rsid w:val="002B543C"/>
  </w:style>
  <w:style w:type="character" w:customStyle="1" w:styleId="st1">
    <w:name w:val="st1"/>
    <w:basedOn w:val="DefaultParagraphFont"/>
    <w:rsid w:val="002B543C"/>
  </w:style>
  <w:style w:type="paragraph" w:styleId="Quote">
    <w:name w:val="Quote"/>
    <w:basedOn w:val="Normal"/>
    <w:next w:val="Normal"/>
    <w:link w:val="QuoteChar"/>
    <w:uiPriority w:val="29"/>
    <w:qFormat/>
    <w:rsid w:val="00182B29"/>
    <w:pPr>
      <w:ind w:left="1418" w:right="565"/>
    </w:pPr>
    <w:rPr>
      <w:i/>
      <w:iCs/>
      <w:color w:val="000000" w:themeColor="text1"/>
    </w:rPr>
  </w:style>
  <w:style w:type="character" w:customStyle="1" w:styleId="QuoteChar">
    <w:name w:val="Quote Char"/>
    <w:basedOn w:val="DefaultParagraphFont"/>
    <w:link w:val="Quote"/>
    <w:uiPriority w:val="29"/>
    <w:rsid w:val="00182B29"/>
    <w:rPr>
      <w:rFonts w:ascii="Book Antiqua" w:hAnsi="Book Antiqua"/>
      <w:i/>
      <w:iCs/>
      <w:color w:val="000000" w:themeColor="text1"/>
      <w:sz w:val="22"/>
    </w:rPr>
  </w:style>
  <w:style w:type="paragraph" w:customStyle="1" w:styleId="Zero">
    <w:name w:val="Zero"/>
    <w:basedOn w:val="Normal"/>
    <w:rsid w:val="00731457"/>
    <w:pPr>
      <w:widowControl/>
      <w:adjustRightInd/>
      <w:spacing w:after="0" w:line="240" w:lineRule="auto"/>
      <w:jc w:val="left"/>
      <w:textAlignment w:val="auto"/>
    </w:pPr>
    <w:rPr>
      <w:sz w:val="2"/>
    </w:rPr>
  </w:style>
  <w:style w:type="paragraph" w:styleId="PlainText">
    <w:name w:val="Plain Text"/>
    <w:basedOn w:val="Normal"/>
    <w:link w:val="PlainTextChar"/>
    <w:uiPriority w:val="99"/>
    <w:semiHidden/>
    <w:unhideWhenUsed/>
    <w:rsid w:val="000D36EE"/>
    <w:pPr>
      <w:widowControl/>
      <w:adjustRightInd/>
      <w:spacing w:after="0" w:line="240" w:lineRule="auto"/>
      <w:jc w:val="left"/>
      <w:textAlignment w:val="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semiHidden/>
    <w:rsid w:val="000D36E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D"/>
    <w:pPr>
      <w:widowControl w:val="0"/>
      <w:adjustRightInd w:val="0"/>
      <w:spacing w:after="240" w:line="280" w:lineRule="exact"/>
      <w:jc w:val="both"/>
      <w:textAlignment w:val="baseline"/>
    </w:pPr>
    <w:rPr>
      <w:rFonts w:ascii="Book Antiqua" w:hAnsi="Book Antiqua"/>
      <w:color w:val="000000"/>
      <w:sz w:val="22"/>
    </w:rPr>
  </w:style>
  <w:style w:type="paragraph" w:styleId="Heading1">
    <w:name w:val="heading 1"/>
    <w:basedOn w:val="HeadingBase"/>
    <w:next w:val="OutlineNumbered1"/>
    <w:link w:val="Heading1Char"/>
    <w:qFormat/>
    <w:rsid w:val="00FD7AC0"/>
    <w:pPr>
      <w:pBdr>
        <w:bottom w:val="single" w:sz="4" w:space="12" w:color="1F497D" w:themeColor="text2"/>
      </w:pBdr>
      <w:spacing w:after="480" w:line="400" w:lineRule="exact"/>
      <w:jc w:val="left"/>
      <w:outlineLvl w:val="0"/>
    </w:pPr>
    <w:rPr>
      <w:rFonts w:cs="Arial"/>
      <w:b/>
      <w:bCs/>
      <w:caps/>
      <w:kern w:val="32"/>
      <w:sz w:val="36"/>
      <w:szCs w:val="38"/>
    </w:rPr>
  </w:style>
  <w:style w:type="paragraph" w:styleId="Heading2">
    <w:name w:val="heading 2"/>
    <w:basedOn w:val="HeadingBase"/>
    <w:next w:val="OutlineNumbered1"/>
    <w:link w:val="Heading2Char"/>
    <w:qFormat/>
    <w:rsid w:val="00BD4B39"/>
    <w:pPr>
      <w:spacing w:before="300" w:after="240" w:line="280" w:lineRule="exact"/>
      <w:jc w:val="left"/>
      <w:outlineLvl w:val="1"/>
    </w:pPr>
    <w:rPr>
      <w:rFonts w:cs="Arial"/>
      <w:b/>
      <w:bCs/>
      <w:iCs/>
      <w:smallCaps/>
      <w:sz w:val="32"/>
      <w:szCs w:val="28"/>
    </w:rPr>
  </w:style>
  <w:style w:type="paragraph" w:styleId="Heading3">
    <w:name w:val="heading 3"/>
    <w:basedOn w:val="HeadingBase"/>
    <w:next w:val="OutlineNumbered1"/>
    <w:link w:val="Heading3Char"/>
    <w:qFormat/>
    <w:rsid w:val="00BD4B39"/>
    <w:pPr>
      <w:spacing w:before="240" w:after="240" w:line="280" w:lineRule="exact"/>
      <w:jc w:val="left"/>
      <w:outlineLvl w:val="2"/>
    </w:pPr>
    <w:rPr>
      <w:rFonts w:cs="Arial"/>
      <w:b/>
      <w:bCs/>
      <w:sz w:val="26"/>
      <w:szCs w:val="26"/>
    </w:rPr>
  </w:style>
  <w:style w:type="paragraph" w:styleId="Heading4">
    <w:name w:val="heading 4"/>
    <w:basedOn w:val="HeadingBase"/>
    <w:next w:val="OutlineNumbered1"/>
    <w:qFormat/>
    <w:rsid w:val="00BD4B39"/>
    <w:pPr>
      <w:spacing w:after="240" w:line="280" w:lineRule="exact"/>
      <w:jc w:val="left"/>
      <w:outlineLvl w:val="3"/>
    </w:pPr>
    <w:rPr>
      <w:b/>
      <w:bCs/>
      <w:sz w:val="22"/>
      <w:szCs w:val="22"/>
    </w:rPr>
  </w:style>
  <w:style w:type="paragraph" w:styleId="Heading5">
    <w:name w:val="heading 5"/>
    <w:basedOn w:val="HeadingBase"/>
    <w:next w:val="OutlineNumbered1"/>
    <w:link w:val="Heading5Char"/>
    <w:qFormat/>
    <w:rsid w:val="00717336"/>
    <w:pPr>
      <w:spacing w:after="120"/>
      <w:outlineLvl w:val="4"/>
    </w:pPr>
    <w:rPr>
      <w:bCs/>
      <w:iCs/>
      <w:sz w:val="22"/>
    </w:rPr>
  </w:style>
  <w:style w:type="paragraph" w:styleId="Heading6">
    <w:name w:val="heading 6"/>
    <w:basedOn w:val="HeadingBase"/>
    <w:next w:val="OutlineNumbered1"/>
    <w:qFormat/>
    <w:rsid w:val="00717336"/>
    <w:pPr>
      <w:spacing w:after="120" w:line="280" w:lineRule="exact"/>
      <w:outlineLvl w:val="5"/>
    </w:pPr>
    <w:rPr>
      <w:b/>
      <w:bCs/>
      <w:i/>
      <w:sz w:val="21"/>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A736A9"/>
    <w:rPr>
      <w:b/>
      <w:color w:val="1F497D" w:themeColor="text2"/>
      <w:sz w:val="2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rsid w:val="006F69C0"/>
    <w:pPr>
      <w:tabs>
        <w:tab w:val="left" w:pos="312"/>
      </w:tabs>
      <w:spacing w:after="20" w:line="240" w:lineRule="auto"/>
      <w:ind w:left="312" w:hanging="312"/>
    </w:pPr>
    <w:rPr>
      <w:sz w:val="18"/>
    </w:rPr>
  </w:style>
  <w:style w:type="paragraph" w:customStyle="1" w:styleId="Bullet">
    <w:name w:val="Bullet"/>
    <w:aliases w:val="b,b + line,b1,Body,level 1"/>
    <w:basedOn w:val="Normal"/>
    <w:link w:val="BulletChar"/>
    <w:qFormat/>
    <w:rsid w:val="00984A77"/>
    <w:pPr>
      <w:numPr>
        <w:numId w:val="10"/>
      </w:numPr>
      <w:tabs>
        <w:tab w:val="clear" w:pos="1287"/>
      </w:tabs>
      <w:ind w:left="1276" w:hanging="425"/>
    </w:pPr>
  </w:style>
  <w:style w:type="paragraph" w:customStyle="1" w:styleId="Dash">
    <w:name w:val="Dash"/>
    <w:basedOn w:val="Normal"/>
    <w:link w:val="DashChar"/>
    <w:qFormat/>
    <w:rsid w:val="000A7BCF"/>
    <w:pPr>
      <w:numPr>
        <w:ilvl w:val="1"/>
        <w:numId w:val="8"/>
      </w:numPr>
    </w:pPr>
  </w:style>
  <w:style w:type="paragraph" w:customStyle="1" w:styleId="DoubleDot">
    <w:name w:val="Double Dot"/>
    <w:basedOn w:val="Normal"/>
    <w:qFormat/>
    <w:rsid w:val="000A7BCF"/>
    <w:pPr>
      <w:numPr>
        <w:ilvl w:val="2"/>
        <w:numId w:val="8"/>
      </w:numPr>
    </w:pPr>
  </w:style>
  <w:style w:type="paragraph" w:customStyle="1" w:styleId="OutlineNumbered1">
    <w:name w:val="Outline Numbered 1"/>
    <w:basedOn w:val="Normal"/>
    <w:link w:val="OutlineNumbered1Char"/>
    <w:rsid w:val="00984A77"/>
    <w:pPr>
      <w:numPr>
        <w:numId w:val="14"/>
      </w:numPr>
    </w:pPr>
  </w:style>
  <w:style w:type="paragraph" w:customStyle="1" w:styleId="OutlineNumbered2">
    <w:name w:val="Outline Numbered 2"/>
    <w:basedOn w:val="Normal"/>
    <w:link w:val="OutlineNumbered2Char"/>
    <w:rsid w:val="001E43D3"/>
    <w:pPr>
      <w:numPr>
        <w:ilvl w:val="1"/>
        <w:numId w:val="14"/>
      </w:numPr>
    </w:pPr>
  </w:style>
  <w:style w:type="paragraph" w:customStyle="1" w:styleId="OutlineNumbered3">
    <w:name w:val="Outline Numbered 3"/>
    <w:basedOn w:val="Normal"/>
    <w:rsid w:val="001E43D3"/>
    <w:pPr>
      <w:numPr>
        <w:ilvl w:val="2"/>
        <w:numId w:val="14"/>
      </w:numPr>
    </w:pPr>
  </w:style>
  <w:style w:type="paragraph" w:customStyle="1" w:styleId="AlphaParagraph">
    <w:name w:val="Alpha Paragraph"/>
    <w:basedOn w:val="Normal"/>
    <w:rsid w:val="0026555C"/>
    <w:pPr>
      <w:numPr>
        <w:numId w:val="1"/>
      </w:numPr>
    </w:pPr>
  </w:style>
  <w:style w:type="paragraph" w:customStyle="1" w:styleId="HeadingBase">
    <w:name w:val="Heading Base"/>
    <w:next w:val="Normal"/>
    <w:rsid w:val="0056559F"/>
    <w:pPr>
      <w:keepNext/>
      <w:widowControl w:val="0"/>
      <w:adjustRightInd w:val="0"/>
      <w:spacing w:line="360" w:lineRule="atLeast"/>
      <w:jc w:val="both"/>
      <w:textAlignment w:val="baseline"/>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B800FE"/>
    <w:pPr>
      <w:widowControl/>
      <w:spacing w:before="160" w:after="160" w:line="260" w:lineRule="exact"/>
      <w:jc w:val="left"/>
    </w:pPr>
    <w:rPr>
      <w:b/>
      <w:sz w:val="24"/>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widowControl w:val="0"/>
      <w:numPr>
        <w:numId w:val="2"/>
      </w:numPr>
      <w:adjustRightInd w:val="0"/>
      <w:spacing w:line="360" w:lineRule="atLeast"/>
      <w:jc w:val="both"/>
      <w:textAlignment w:val="baseline"/>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widowControl w:val="0"/>
      <w:adjustRightInd w:val="0"/>
      <w:spacing w:line="360" w:lineRule="atLeast"/>
      <w:jc w:val="both"/>
      <w:textAlignment w:val="baseline"/>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D2207C"/>
    <w:pPr>
      <w:pBdr>
        <w:bottom w:val="single" w:sz="4" w:space="20" w:color="1F497D" w:themeColor="text2"/>
      </w:pBdr>
      <w:spacing w:before="1080" w:after="1080"/>
      <w:jc w:val="right"/>
    </w:pPr>
    <w:rPr>
      <w:b/>
      <w:sz w:val="52"/>
    </w:rPr>
  </w:style>
  <w:style w:type="paragraph" w:customStyle="1" w:styleId="CoverTitleSub">
    <w:name w:val="Cover Title Sub"/>
    <w:basedOn w:val="HeadingBase"/>
    <w:rsid w:val="00D2207C"/>
    <w:pPr>
      <w:spacing w:after="60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link w:val="HeaderChar"/>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6"/>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widowControl w:val="0"/>
      <w:adjustRightInd w:val="0"/>
      <w:spacing w:before="40" w:after="40" w:line="360" w:lineRule="atLeast"/>
      <w:jc w:val="both"/>
      <w:textAlignment w:val="baseline"/>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417702"/>
    <w:pPr>
      <w:spacing w:line="260" w:lineRule="exact"/>
    </w:pPr>
    <w:rPr>
      <w:rFonts w:ascii="Century Gothic" w:hAnsi="Century Gothic"/>
      <w:b/>
      <w:color w:val="1F497D" w:themeColor="text2"/>
      <w:sz w:val="20"/>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B800FE"/>
    <w:pPr>
      <w:spacing w:after="20" w:line="280" w:lineRule="exact"/>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7F5CBC"/>
    <w:pPr>
      <w:spacing w:line="260" w:lineRule="exact"/>
      <w:jc w:val="left"/>
    </w:pPr>
    <w:rPr>
      <w:rFonts w:ascii="Century Gothic" w:hAnsi="Century Gothic"/>
      <w:sz w:val="19"/>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AA2C54"/>
    <w:pPr>
      <w:tabs>
        <w:tab w:val="right" w:leader="dot" w:pos="9072"/>
      </w:tabs>
      <w:spacing w:before="120" w:after="120"/>
      <w:ind w:left="284" w:right="851" w:hanging="284"/>
    </w:pPr>
    <w:rPr>
      <w:b/>
      <w:noProof/>
      <w:sz w:val="21"/>
      <w:szCs w:val="22"/>
    </w:rPr>
  </w:style>
  <w:style w:type="paragraph" w:styleId="TOC2">
    <w:name w:val="toc 2"/>
    <w:basedOn w:val="HeadingBase"/>
    <w:next w:val="Normal"/>
    <w:uiPriority w:val="39"/>
    <w:rsid w:val="00AA2C54"/>
    <w:pPr>
      <w:tabs>
        <w:tab w:val="right" w:leader="dot" w:pos="9072"/>
      </w:tabs>
      <w:spacing w:before="80" w:after="80"/>
      <w:ind w:left="284" w:right="851"/>
    </w:pPr>
    <w:rPr>
      <w:noProof/>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4"/>
      </w:numPr>
    </w:pPr>
  </w:style>
  <w:style w:type="paragraph" w:customStyle="1" w:styleId="BoxText">
    <w:name w:val="Box Text"/>
    <w:basedOn w:val="BoxTextBase"/>
    <w:rsid w:val="006A3FAB"/>
    <w:pPr>
      <w:spacing w:after="180" w:line="280" w:lineRule="exact"/>
    </w:pPr>
    <w:rPr>
      <w:rFonts w:ascii="Century Gothic" w:hAnsi="Century Gothic"/>
      <w:color w:val="auto"/>
      <w:sz w:val="21"/>
    </w:rPr>
  </w:style>
  <w:style w:type="paragraph" w:customStyle="1" w:styleId="BoxBullet">
    <w:name w:val="Box Bullet"/>
    <w:basedOn w:val="BoxTextBase"/>
    <w:rsid w:val="006D43C4"/>
    <w:pPr>
      <w:numPr>
        <w:numId w:val="3"/>
      </w:numPr>
      <w:spacing w:after="180" w:line="280" w:lineRule="exact"/>
    </w:pPr>
    <w:rPr>
      <w:rFonts w:ascii="Century Gothic" w:hAnsi="Century Gothic"/>
      <w:color w:val="1F497D" w:themeColor="text2"/>
      <w:sz w:val="21"/>
    </w:rPr>
  </w:style>
  <w:style w:type="paragraph" w:customStyle="1" w:styleId="BoxDash">
    <w:name w:val="Box Dash"/>
    <w:basedOn w:val="BoxTextBase"/>
    <w:rsid w:val="000A7BCF"/>
    <w:pPr>
      <w:numPr>
        <w:ilvl w:val="1"/>
        <w:numId w:val="3"/>
      </w:numPr>
    </w:pPr>
  </w:style>
  <w:style w:type="paragraph" w:customStyle="1" w:styleId="BoxDoubleDot">
    <w:name w:val="Box Double Dot"/>
    <w:basedOn w:val="BoxTextBase"/>
    <w:rsid w:val="000A7BCF"/>
    <w:pPr>
      <w:numPr>
        <w:ilvl w:val="2"/>
        <w:numId w:val="3"/>
      </w:numPr>
    </w:pPr>
  </w:style>
  <w:style w:type="paragraph" w:customStyle="1" w:styleId="RecommendationBullet">
    <w:name w:val="Recommendation Bullet"/>
    <w:basedOn w:val="RecommendationTextBase"/>
    <w:rsid w:val="000A7BCF"/>
    <w:pPr>
      <w:numPr>
        <w:numId w:val="5"/>
      </w:numPr>
    </w:pPr>
  </w:style>
  <w:style w:type="paragraph" w:customStyle="1" w:styleId="RecommendationDash">
    <w:name w:val="Recommendation Dash"/>
    <w:basedOn w:val="RecommendationTextBase"/>
    <w:rsid w:val="000A7BCF"/>
    <w:pPr>
      <w:numPr>
        <w:ilvl w:val="1"/>
        <w:numId w:val="5"/>
      </w:numPr>
    </w:pPr>
  </w:style>
  <w:style w:type="paragraph" w:customStyle="1" w:styleId="RecommendationDoubleDot">
    <w:name w:val="Recommendation Double Dot"/>
    <w:basedOn w:val="RecommendationTextBase"/>
    <w:rsid w:val="000A7BCF"/>
    <w:pPr>
      <w:numPr>
        <w:ilvl w:val="2"/>
        <w:numId w:val="5"/>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link w:val="SecurityClassificationHeaderChar"/>
    <w:rsid w:val="008743AD"/>
    <w:pPr>
      <w:widowControl w:val="0"/>
      <w:adjustRightInd w:val="0"/>
      <w:spacing w:before="120" w:after="120" w:line="360" w:lineRule="atLeast"/>
      <w:jc w:val="center"/>
      <w:textAlignment w:val="baseline"/>
    </w:pPr>
    <w:rPr>
      <w:rFonts w:ascii="Century Gothic" w:hAnsi="Century Gothic"/>
      <w:b/>
      <w:caps/>
      <w:color w:val="1F497D" w:themeColor="text2"/>
    </w:rPr>
  </w:style>
  <w:style w:type="paragraph" w:customStyle="1" w:styleId="SecurityClassificationFooter">
    <w:name w:val="Security Classification Footer"/>
    <w:rsid w:val="008743AD"/>
    <w:pPr>
      <w:widowControl w:val="0"/>
      <w:adjustRightInd w:val="0"/>
      <w:spacing w:before="240" w:line="360" w:lineRule="atLeast"/>
      <w:jc w:val="center"/>
      <w:textAlignment w:val="baseline"/>
    </w:pPr>
    <w:rPr>
      <w:rFonts w:ascii="Century Gothic" w:hAnsi="Century Gothic"/>
      <w:b/>
      <w:caps/>
      <w:color w:val="1F497D" w:themeColor="text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7"/>
      </w:numPr>
    </w:pPr>
  </w:style>
  <w:style w:type="numbering" w:customStyle="1" w:styleId="Optionboxheading">
    <w:name w:val="Option box heading"/>
    <w:uiPriority w:val="99"/>
    <w:rsid w:val="00CA601E"/>
    <w:pPr>
      <w:numPr>
        <w:numId w:val="9"/>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BulletChar">
    <w:name w:val="Bullet Char"/>
    <w:aliases w:val="b Char"/>
    <w:basedOn w:val="DefaultParagraphFont"/>
    <w:link w:val="Bullet"/>
    <w:rsid w:val="00984A77"/>
    <w:rPr>
      <w:rFonts w:ascii="Book Antiqua" w:hAnsi="Book Antiqua"/>
      <w:color w:val="000000"/>
      <w:sz w:val="22"/>
    </w:rPr>
  </w:style>
  <w:style w:type="character" w:customStyle="1" w:styleId="DashChar">
    <w:name w:val="Dash Char"/>
    <w:basedOn w:val="DefaultParagraphFont"/>
    <w:link w:val="Dash"/>
    <w:rsid w:val="00142D17"/>
    <w:rPr>
      <w:rFonts w:ascii="Book Antiqua" w:hAnsi="Book Antiqua"/>
      <w:color w:val="000000"/>
      <w:sz w:val="22"/>
    </w:rPr>
  </w:style>
  <w:style w:type="character" w:styleId="FootnoteReference">
    <w:name w:val="footnote reference"/>
    <w:basedOn w:val="DefaultParagraphFont"/>
    <w:unhideWhenUsed/>
    <w:rsid w:val="00142D17"/>
    <w:rPr>
      <w:vertAlign w:val="superscript"/>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rsid w:val="006F69C0"/>
    <w:rPr>
      <w:rFonts w:ascii="Book Antiqua" w:hAnsi="Book Antiqua"/>
      <w:color w:val="000000"/>
      <w:sz w:val="18"/>
    </w:rPr>
  </w:style>
  <w:style w:type="paragraph" w:customStyle="1" w:styleId="PressReleaseHeading">
    <w:name w:val="Press Release Heading"/>
    <w:basedOn w:val="Normal"/>
    <w:rsid w:val="00142D17"/>
    <w:pPr>
      <w:spacing w:after="120" w:line="240" w:lineRule="auto"/>
      <w:jc w:val="left"/>
    </w:pPr>
    <w:rPr>
      <w:rFonts w:ascii="Garamond" w:hAnsi="Garamond"/>
      <w:b/>
      <w:caps/>
      <w:color w:val="auto"/>
      <w:sz w:val="28"/>
    </w:rPr>
  </w:style>
  <w:style w:type="character" w:customStyle="1" w:styleId="OutlineNumbered1Char">
    <w:name w:val="Outline Numbered 1 Char"/>
    <w:basedOn w:val="DefaultParagraphFont"/>
    <w:link w:val="OutlineNumbered1"/>
    <w:locked/>
    <w:rsid w:val="00984A77"/>
    <w:rPr>
      <w:rFonts w:ascii="Book Antiqua" w:hAnsi="Book Antiqua"/>
      <w:color w:val="000000"/>
      <w:sz w:val="22"/>
    </w:rPr>
  </w:style>
  <w:style w:type="character" w:customStyle="1" w:styleId="OutlineNumbered2Char">
    <w:name w:val="Outline Numbered 2 Char"/>
    <w:basedOn w:val="DefaultParagraphFont"/>
    <w:link w:val="OutlineNumbered2"/>
    <w:locked/>
    <w:rsid w:val="00142D17"/>
    <w:rPr>
      <w:rFonts w:ascii="Book Antiqua" w:hAnsi="Book Antiqua"/>
      <w:color w:val="000000"/>
      <w:sz w:val="22"/>
    </w:rPr>
  </w:style>
  <w:style w:type="paragraph" w:styleId="Title">
    <w:name w:val="Title"/>
    <w:basedOn w:val="Normal"/>
    <w:link w:val="TitleChar"/>
    <w:uiPriority w:val="10"/>
    <w:qFormat/>
    <w:rsid w:val="007611D8"/>
    <w:pPr>
      <w:spacing w:before="240" w:after="60" w:line="276" w:lineRule="auto"/>
      <w:jc w:val="center"/>
      <w:outlineLvl w:val="0"/>
    </w:pPr>
    <w:rPr>
      <w:rFonts w:ascii="Arial" w:hAnsi="Arial"/>
      <w:b/>
      <w:color w:val="auto"/>
      <w:kern w:val="28"/>
      <w:sz w:val="32"/>
      <w:szCs w:val="22"/>
      <w:lang w:eastAsia="en-US"/>
    </w:rPr>
  </w:style>
  <w:style w:type="character" w:customStyle="1" w:styleId="TitleChar">
    <w:name w:val="Title Char"/>
    <w:basedOn w:val="DefaultParagraphFont"/>
    <w:link w:val="Title"/>
    <w:uiPriority w:val="10"/>
    <w:rsid w:val="007611D8"/>
    <w:rPr>
      <w:rFonts w:ascii="Arial" w:hAnsi="Arial"/>
      <w:b/>
      <w:kern w:val="28"/>
      <w:sz w:val="32"/>
      <w:szCs w:val="22"/>
      <w:lang w:eastAsia="en-US"/>
    </w:rPr>
  </w:style>
  <w:style w:type="table" w:styleId="MediumGrid3-Accent1">
    <w:name w:val="Medium Grid 3 Accent 1"/>
    <w:basedOn w:val="TableNormal"/>
    <w:uiPriority w:val="69"/>
    <w:rsid w:val="00043ADA"/>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043ADA"/>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customStyle="1" w:styleId="Heading2Char">
    <w:name w:val="Heading 2 Char"/>
    <w:basedOn w:val="DefaultParagraphFont"/>
    <w:link w:val="Heading2"/>
    <w:rsid w:val="00BD4B39"/>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rsid w:val="00BD4B39"/>
    <w:rPr>
      <w:rFonts w:ascii="Century Gothic" w:hAnsi="Century Gothic" w:cs="Arial"/>
      <w:b/>
      <w:bCs/>
      <w:color w:val="1F497D" w:themeColor="text2"/>
      <w:sz w:val="26"/>
      <w:szCs w:val="26"/>
    </w:rPr>
  </w:style>
  <w:style w:type="character" w:customStyle="1" w:styleId="Heading5Char">
    <w:name w:val="Heading 5 Char"/>
    <w:basedOn w:val="DefaultParagraphFont"/>
    <w:link w:val="Heading5"/>
    <w:rsid w:val="00717336"/>
    <w:rPr>
      <w:rFonts w:ascii="Century Gothic" w:hAnsi="Century Gothic"/>
      <w:bCs/>
      <w:iCs/>
      <w:color w:val="1F497D" w:themeColor="text2"/>
      <w:sz w:val="22"/>
    </w:rPr>
  </w:style>
  <w:style w:type="character" w:styleId="CommentReference">
    <w:name w:val="annotation reference"/>
    <w:basedOn w:val="DefaultParagraphFont"/>
    <w:uiPriority w:val="99"/>
    <w:semiHidden/>
    <w:unhideWhenUsed/>
    <w:rsid w:val="00BA0E98"/>
    <w:rPr>
      <w:sz w:val="16"/>
      <w:szCs w:val="16"/>
    </w:rPr>
  </w:style>
  <w:style w:type="paragraph" w:styleId="CommentText">
    <w:name w:val="annotation text"/>
    <w:basedOn w:val="Normal"/>
    <w:link w:val="CommentTextChar"/>
    <w:uiPriority w:val="99"/>
    <w:unhideWhenUsed/>
    <w:rsid w:val="00BA0E98"/>
    <w:pPr>
      <w:spacing w:line="240" w:lineRule="auto"/>
    </w:pPr>
    <w:rPr>
      <w:sz w:val="20"/>
    </w:rPr>
  </w:style>
  <w:style w:type="character" w:customStyle="1" w:styleId="CommentTextChar">
    <w:name w:val="Comment Text Char"/>
    <w:basedOn w:val="DefaultParagraphFont"/>
    <w:link w:val="CommentText"/>
    <w:uiPriority w:val="99"/>
    <w:rsid w:val="00BA0E98"/>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A0E98"/>
    <w:rPr>
      <w:b/>
      <w:bCs/>
    </w:rPr>
  </w:style>
  <w:style w:type="character" w:customStyle="1" w:styleId="CommentSubjectChar">
    <w:name w:val="Comment Subject Char"/>
    <w:basedOn w:val="CommentTextChar"/>
    <w:link w:val="CommentSubject"/>
    <w:uiPriority w:val="99"/>
    <w:semiHidden/>
    <w:rsid w:val="00BA0E98"/>
    <w:rPr>
      <w:rFonts w:ascii="Book Antiqua" w:hAnsi="Book Antiqua"/>
      <w:b/>
      <w:bCs/>
      <w:color w:val="000000"/>
    </w:rPr>
  </w:style>
  <w:style w:type="paragraph" w:styleId="Revision">
    <w:name w:val="Revision"/>
    <w:hidden/>
    <w:uiPriority w:val="99"/>
    <w:semiHidden/>
    <w:rsid w:val="00131D5E"/>
    <w:pPr>
      <w:widowControl w:val="0"/>
      <w:adjustRightInd w:val="0"/>
      <w:spacing w:line="360" w:lineRule="atLeast"/>
      <w:jc w:val="both"/>
      <w:textAlignment w:val="baseline"/>
    </w:pPr>
    <w:rPr>
      <w:rFonts w:ascii="Book Antiqua" w:hAnsi="Book Antiqua"/>
      <w:color w:val="000000"/>
      <w:sz w:val="22"/>
    </w:rPr>
  </w:style>
  <w:style w:type="character" w:customStyle="1" w:styleId="HeaderChar">
    <w:name w:val="Header Char"/>
    <w:basedOn w:val="DefaultParagraphFont"/>
    <w:link w:val="Header"/>
    <w:rsid w:val="00204576"/>
    <w:rPr>
      <w:rFonts w:ascii="Century Gothic" w:hAnsi="Century Gothic"/>
      <w:color w:val="1F497D" w:themeColor="text2"/>
      <w:sz w:val="18"/>
    </w:rPr>
  </w:style>
  <w:style w:type="paragraph" w:styleId="NormalWeb">
    <w:name w:val="Normal (Web)"/>
    <w:basedOn w:val="Normal"/>
    <w:uiPriority w:val="99"/>
    <w:unhideWhenUsed/>
    <w:rsid w:val="00E11CE6"/>
    <w:pPr>
      <w:spacing w:after="375" w:line="240" w:lineRule="auto"/>
      <w:jc w:val="left"/>
    </w:pPr>
    <w:rPr>
      <w:rFonts w:ascii="Times New Roman" w:hAnsi="Times New Roman"/>
      <w:color w:val="auto"/>
      <w:sz w:val="24"/>
      <w:szCs w:val="24"/>
    </w:rPr>
  </w:style>
  <w:style w:type="character" w:customStyle="1" w:styleId="FooterChar">
    <w:name w:val="Footer Char"/>
    <w:basedOn w:val="DefaultParagraphFont"/>
    <w:link w:val="Footer"/>
    <w:rsid w:val="00D2207C"/>
    <w:rPr>
      <w:rFonts w:ascii="Century Gothic" w:hAnsi="Century Gothic"/>
      <w:color w:val="1F497D" w:themeColor="text2"/>
      <w:sz w:val="18"/>
    </w:rPr>
  </w:style>
  <w:style w:type="character" w:customStyle="1" w:styleId="SecurityClassificationHeaderChar">
    <w:name w:val="Security Classification Header Char"/>
    <w:basedOn w:val="HeaderChar"/>
    <w:link w:val="SecurityClassificationHeader"/>
    <w:rsid w:val="008743AD"/>
    <w:rPr>
      <w:rFonts w:ascii="Century Gothic" w:hAnsi="Century Gothic"/>
      <w:b/>
      <w:caps/>
      <w:color w:val="1F497D" w:themeColor="text2"/>
      <w:sz w:val="18"/>
    </w:rPr>
  </w:style>
  <w:style w:type="paragraph" w:customStyle="1" w:styleId="Heading3-NoTOC">
    <w:name w:val="Heading 3 - No TOC"/>
    <w:basedOn w:val="Heading3"/>
    <w:rsid w:val="003004E7"/>
    <w:pPr>
      <w:outlineLvl w:val="9"/>
    </w:pPr>
  </w:style>
  <w:style w:type="paragraph" w:customStyle="1" w:styleId="ContentsHeading1">
    <w:name w:val="Contents Heading 1"/>
    <w:basedOn w:val="Heading1"/>
    <w:rsid w:val="003004E7"/>
    <w:pPr>
      <w:outlineLvl w:val="9"/>
    </w:pPr>
  </w:style>
  <w:style w:type="paragraph" w:customStyle="1" w:styleId="BoxNumberedQuestions">
    <w:name w:val="Box Numbered Questions"/>
    <w:basedOn w:val="Normal"/>
    <w:rsid w:val="00B800FE"/>
    <w:pPr>
      <w:numPr>
        <w:numId w:val="9"/>
      </w:numPr>
      <w:spacing w:after="160" w:line="260" w:lineRule="exact"/>
    </w:pPr>
    <w:rPr>
      <w:rFonts w:ascii="Century Gothic" w:hAnsi="Century Gothic"/>
      <w:color w:val="1F497D" w:themeColor="text2"/>
      <w:sz w:val="21"/>
    </w:rPr>
  </w:style>
  <w:style w:type="paragraph" w:customStyle="1" w:styleId="BoxHeading-Diagram">
    <w:name w:val="Box Heading - Diagram"/>
    <w:basedOn w:val="BoxHeading"/>
    <w:rsid w:val="005B0A67"/>
    <w:pPr>
      <w:spacing w:before="120" w:after="120"/>
      <w:jc w:val="center"/>
    </w:pPr>
  </w:style>
  <w:style w:type="paragraph" w:customStyle="1" w:styleId="BoxText-Diagram">
    <w:name w:val="Box Text - Diagram"/>
    <w:basedOn w:val="BoxText"/>
    <w:rsid w:val="005B0A67"/>
    <w:pPr>
      <w:spacing w:before="120" w:after="120"/>
      <w:jc w:val="center"/>
    </w:pPr>
    <w:rPr>
      <w:i/>
      <w:sz w:val="19"/>
      <w:szCs w:val="19"/>
    </w:rPr>
  </w:style>
  <w:style w:type="paragraph" w:customStyle="1" w:styleId="BoxText-DiagramLeft">
    <w:name w:val="Box Text - Diagram (Left)"/>
    <w:basedOn w:val="BoxText-Diagram"/>
    <w:rsid w:val="00C31256"/>
    <w:pPr>
      <w:tabs>
        <w:tab w:val="left" w:pos="284"/>
      </w:tabs>
      <w:ind w:left="284" w:hanging="284"/>
      <w:jc w:val="left"/>
    </w:pPr>
  </w:style>
  <w:style w:type="paragraph" w:customStyle="1" w:styleId="TableRowHeadingLeft">
    <w:name w:val="Table Row Heading Left"/>
    <w:basedOn w:val="TableTextLeft"/>
    <w:rsid w:val="00417702"/>
    <w:rPr>
      <w:b/>
      <w:color w:val="1F497D" w:themeColor="text2"/>
    </w:rPr>
  </w:style>
  <w:style w:type="paragraph" w:customStyle="1" w:styleId="TableTextLeft-Bullet">
    <w:name w:val="Table Text Left - Bullet"/>
    <w:basedOn w:val="TableTextLeft"/>
    <w:rsid w:val="005F70D8"/>
    <w:pPr>
      <w:numPr>
        <w:numId w:val="11"/>
      </w:numPr>
    </w:pPr>
  </w:style>
  <w:style w:type="paragraph" w:customStyle="1" w:styleId="BoxNumberedQuestions2">
    <w:name w:val="Box Numbered Questions 2"/>
    <w:rsid w:val="00500A5A"/>
    <w:pPr>
      <w:widowControl w:val="0"/>
      <w:tabs>
        <w:tab w:val="left" w:pos="1134"/>
      </w:tabs>
      <w:adjustRightInd w:val="0"/>
      <w:spacing w:after="180" w:line="280" w:lineRule="exact"/>
      <w:ind w:left="1134" w:hanging="567"/>
      <w:jc w:val="both"/>
      <w:textAlignment w:val="baseline"/>
    </w:pPr>
    <w:rPr>
      <w:rFonts w:ascii="Century Gothic" w:hAnsi="Century Gothic"/>
      <w:color w:val="1F497D" w:themeColor="text2"/>
      <w:sz w:val="21"/>
    </w:rPr>
  </w:style>
  <w:style w:type="paragraph" w:customStyle="1" w:styleId="BoxBullet-NoIndent">
    <w:name w:val="Box Bullet - No Indent"/>
    <w:rsid w:val="001E2656"/>
    <w:pPr>
      <w:numPr>
        <w:numId w:val="37"/>
      </w:numPr>
      <w:tabs>
        <w:tab w:val="left" w:pos="425"/>
      </w:tabs>
      <w:spacing w:after="180" w:line="280" w:lineRule="exact"/>
      <w:ind w:left="425" w:hanging="425"/>
      <w:jc w:val="both"/>
    </w:pPr>
    <w:rPr>
      <w:rFonts w:ascii="Century Gothic" w:hAnsi="Century Gothic"/>
      <w:color w:val="000000" w:themeColor="text1"/>
      <w:sz w:val="21"/>
    </w:rPr>
  </w:style>
  <w:style w:type="paragraph" w:customStyle="1" w:styleId="BoxHeading-Continued">
    <w:name w:val="Box Heading - Continued"/>
    <w:basedOn w:val="BoxHeading"/>
    <w:rsid w:val="003219CC"/>
    <w:pPr>
      <w:tabs>
        <w:tab w:val="left" w:pos="3953"/>
      </w:tabs>
    </w:pPr>
  </w:style>
  <w:style w:type="paragraph" w:customStyle="1" w:styleId="OutlineNumbered-Chapter4">
    <w:name w:val="Outline Numbered - Chapter 4"/>
    <w:basedOn w:val="OutlineNumbered1"/>
    <w:rsid w:val="00A33246"/>
    <w:pPr>
      <w:numPr>
        <w:numId w:val="12"/>
      </w:numPr>
      <w:ind w:left="567" w:hanging="567"/>
    </w:pPr>
  </w:style>
  <w:style w:type="paragraph" w:customStyle="1" w:styleId="OutlineNumbered-Chapter5">
    <w:name w:val="Outline Numbered - Chapter 5"/>
    <w:basedOn w:val="OutlineNumbered1"/>
    <w:rsid w:val="0036223F"/>
    <w:pPr>
      <w:numPr>
        <w:numId w:val="13"/>
      </w:numPr>
      <w:ind w:left="567" w:hanging="567"/>
    </w:pPr>
  </w:style>
  <w:style w:type="character" w:customStyle="1" w:styleId="Heading1Char">
    <w:name w:val="Heading 1 Char"/>
    <w:basedOn w:val="DefaultParagraphFont"/>
    <w:link w:val="Heading1"/>
    <w:rsid w:val="00FD7AC0"/>
    <w:rPr>
      <w:rFonts w:ascii="Century Gothic" w:hAnsi="Century Gothic" w:cs="Arial"/>
      <w:b/>
      <w:bCs/>
      <w:caps/>
      <w:color w:val="1F497D" w:themeColor="text2"/>
      <w:kern w:val="32"/>
      <w:sz w:val="36"/>
      <w:szCs w:val="38"/>
    </w:rPr>
  </w:style>
  <w:style w:type="numbering" w:customStyle="1" w:styleId="Outlinenumbering1">
    <w:name w:val="Outline numbering1"/>
    <w:uiPriority w:val="99"/>
    <w:rsid w:val="007B6996"/>
  </w:style>
  <w:style w:type="table" w:styleId="LightShading-Accent1">
    <w:name w:val="Light Shading Accent 1"/>
    <w:basedOn w:val="TableNormal"/>
    <w:uiPriority w:val="60"/>
    <w:rsid w:val="00476E3D"/>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xHeading-Principles">
    <w:name w:val="Box Heading - Principles"/>
    <w:basedOn w:val="BoxHeading"/>
    <w:rsid w:val="0053325F"/>
    <w:pPr>
      <w:jc w:val="center"/>
    </w:pPr>
  </w:style>
  <w:style w:type="paragraph" w:customStyle="1" w:styleId="BoxHeading-Sub">
    <w:name w:val="Box Heading - Sub"/>
    <w:basedOn w:val="BoxHeading-Continued"/>
    <w:rsid w:val="006A3FAB"/>
    <w:pPr>
      <w:tabs>
        <w:tab w:val="clear" w:pos="3953"/>
        <w:tab w:val="left" w:pos="567"/>
      </w:tabs>
    </w:pPr>
    <w:rPr>
      <w:sz w:val="22"/>
    </w:rPr>
  </w:style>
  <w:style w:type="paragraph" w:customStyle="1" w:styleId="OutlineNumbered-Chapter1">
    <w:name w:val="Outline Numbered - Chapter 1"/>
    <w:basedOn w:val="OutlineNumbered1"/>
    <w:rsid w:val="0053325F"/>
    <w:pPr>
      <w:numPr>
        <w:numId w:val="15"/>
      </w:numPr>
      <w:ind w:left="567" w:hanging="567"/>
    </w:pPr>
  </w:style>
  <w:style w:type="paragraph" w:styleId="NoSpacing">
    <w:name w:val="No Spacing"/>
    <w:uiPriority w:val="1"/>
    <w:qFormat/>
    <w:rsid w:val="00F66139"/>
    <w:pPr>
      <w:widowControl w:val="0"/>
      <w:adjustRightInd w:val="0"/>
      <w:spacing w:line="360" w:lineRule="atLeast"/>
      <w:jc w:val="both"/>
      <w:textAlignment w:val="baseline"/>
    </w:pPr>
    <w:rPr>
      <w:rFonts w:ascii="Book Antiqua" w:hAnsi="Book Antiqua"/>
      <w:color w:val="000000"/>
      <w:sz w:val="22"/>
    </w:rPr>
  </w:style>
  <w:style w:type="paragraph" w:customStyle="1" w:styleId="TableColumnHeadingLeft-White">
    <w:name w:val="Table Column Heading Left - White"/>
    <w:basedOn w:val="TableColumnHeadingLeft"/>
    <w:rsid w:val="008B161F"/>
    <w:pPr>
      <w:spacing w:before="80" w:after="80" w:line="240" w:lineRule="auto"/>
      <w:jc w:val="left"/>
    </w:pPr>
    <w:rPr>
      <w:color w:val="FFFFFF" w:themeColor="background1"/>
    </w:rPr>
  </w:style>
  <w:style w:type="character" w:styleId="HTMLCite">
    <w:name w:val="HTML Cite"/>
    <w:basedOn w:val="DefaultParagraphFont"/>
    <w:uiPriority w:val="99"/>
    <w:semiHidden/>
    <w:unhideWhenUsed/>
    <w:rsid w:val="002B543C"/>
    <w:rPr>
      <w:i/>
      <w:iCs/>
    </w:rPr>
  </w:style>
  <w:style w:type="character" w:styleId="Emphasis">
    <w:name w:val="Emphasis"/>
    <w:basedOn w:val="DefaultParagraphFont"/>
    <w:uiPriority w:val="20"/>
    <w:qFormat/>
    <w:rsid w:val="002B543C"/>
    <w:rPr>
      <w:b/>
      <w:bCs/>
      <w:i w:val="0"/>
      <w:iCs w:val="0"/>
    </w:rPr>
  </w:style>
  <w:style w:type="character" w:customStyle="1" w:styleId="ogd">
    <w:name w:val="_ogd"/>
    <w:basedOn w:val="DefaultParagraphFont"/>
    <w:rsid w:val="002B543C"/>
  </w:style>
  <w:style w:type="character" w:customStyle="1" w:styleId="st1">
    <w:name w:val="st1"/>
    <w:basedOn w:val="DefaultParagraphFont"/>
    <w:rsid w:val="002B543C"/>
  </w:style>
  <w:style w:type="paragraph" w:styleId="Quote">
    <w:name w:val="Quote"/>
    <w:basedOn w:val="Normal"/>
    <w:next w:val="Normal"/>
    <w:link w:val="QuoteChar"/>
    <w:uiPriority w:val="29"/>
    <w:qFormat/>
    <w:rsid w:val="00182B29"/>
    <w:pPr>
      <w:ind w:left="1418" w:right="565"/>
    </w:pPr>
    <w:rPr>
      <w:i/>
      <w:iCs/>
      <w:color w:val="000000" w:themeColor="text1"/>
    </w:rPr>
  </w:style>
  <w:style w:type="character" w:customStyle="1" w:styleId="QuoteChar">
    <w:name w:val="Quote Char"/>
    <w:basedOn w:val="DefaultParagraphFont"/>
    <w:link w:val="Quote"/>
    <w:uiPriority w:val="29"/>
    <w:rsid w:val="00182B29"/>
    <w:rPr>
      <w:rFonts w:ascii="Book Antiqua" w:hAnsi="Book Antiqua"/>
      <w:i/>
      <w:iCs/>
      <w:color w:val="000000" w:themeColor="text1"/>
      <w:sz w:val="22"/>
    </w:rPr>
  </w:style>
  <w:style w:type="paragraph" w:customStyle="1" w:styleId="Zero">
    <w:name w:val="Zero"/>
    <w:basedOn w:val="Normal"/>
    <w:rsid w:val="00731457"/>
    <w:pPr>
      <w:widowControl/>
      <w:adjustRightInd/>
      <w:spacing w:after="0" w:line="240" w:lineRule="auto"/>
      <w:jc w:val="left"/>
      <w:textAlignment w:val="auto"/>
    </w:pPr>
    <w:rPr>
      <w:sz w:val="2"/>
    </w:rPr>
  </w:style>
  <w:style w:type="paragraph" w:styleId="PlainText">
    <w:name w:val="Plain Text"/>
    <w:basedOn w:val="Normal"/>
    <w:link w:val="PlainTextChar"/>
    <w:uiPriority w:val="99"/>
    <w:semiHidden/>
    <w:unhideWhenUsed/>
    <w:rsid w:val="000D36EE"/>
    <w:pPr>
      <w:widowControl/>
      <w:adjustRightInd/>
      <w:spacing w:after="0" w:line="240" w:lineRule="auto"/>
      <w:jc w:val="left"/>
      <w:textAlignment w:val="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semiHidden/>
    <w:rsid w:val="000D36E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4296">
      <w:bodyDiv w:val="1"/>
      <w:marLeft w:val="0"/>
      <w:marRight w:val="0"/>
      <w:marTop w:val="0"/>
      <w:marBottom w:val="0"/>
      <w:divBdr>
        <w:top w:val="none" w:sz="0" w:space="0" w:color="auto"/>
        <w:left w:val="none" w:sz="0" w:space="0" w:color="auto"/>
        <w:bottom w:val="none" w:sz="0" w:space="0" w:color="auto"/>
        <w:right w:val="none" w:sz="0" w:space="0" w:color="auto"/>
      </w:divBdr>
    </w:div>
    <w:div w:id="53429243">
      <w:bodyDiv w:val="1"/>
      <w:marLeft w:val="0"/>
      <w:marRight w:val="0"/>
      <w:marTop w:val="0"/>
      <w:marBottom w:val="0"/>
      <w:divBdr>
        <w:top w:val="none" w:sz="0" w:space="0" w:color="auto"/>
        <w:left w:val="none" w:sz="0" w:space="0" w:color="auto"/>
        <w:bottom w:val="none" w:sz="0" w:space="0" w:color="auto"/>
        <w:right w:val="none" w:sz="0" w:space="0" w:color="auto"/>
      </w:divBdr>
    </w:div>
    <w:div w:id="80570277">
      <w:bodyDiv w:val="1"/>
      <w:marLeft w:val="0"/>
      <w:marRight w:val="0"/>
      <w:marTop w:val="0"/>
      <w:marBottom w:val="0"/>
      <w:divBdr>
        <w:top w:val="none" w:sz="0" w:space="0" w:color="auto"/>
        <w:left w:val="none" w:sz="0" w:space="0" w:color="auto"/>
        <w:bottom w:val="none" w:sz="0" w:space="0" w:color="auto"/>
        <w:right w:val="none" w:sz="0" w:space="0" w:color="auto"/>
      </w:divBdr>
    </w:div>
    <w:div w:id="100761043">
      <w:bodyDiv w:val="1"/>
      <w:marLeft w:val="0"/>
      <w:marRight w:val="0"/>
      <w:marTop w:val="0"/>
      <w:marBottom w:val="0"/>
      <w:divBdr>
        <w:top w:val="none" w:sz="0" w:space="0" w:color="auto"/>
        <w:left w:val="none" w:sz="0" w:space="0" w:color="auto"/>
        <w:bottom w:val="none" w:sz="0" w:space="0" w:color="auto"/>
        <w:right w:val="none" w:sz="0" w:space="0" w:color="auto"/>
      </w:divBdr>
    </w:div>
    <w:div w:id="112285222">
      <w:bodyDiv w:val="1"/>
      <w:marLeft w:val="0"/>
      <w:marRight w:val="0"/>
      <w:marTop w:val="0"/>
      <w:marBottom w:val="0"/>
      <w:divBdr>
        <w:top w:val="none" w:sz="0" w:space="0" w:color="auto"/>
        <w:left w:val="none" w:sz="0" w:space="0" w:color="auto"/>
        <w:bottom w:val="none" w:sz="0" w:space="0" w:color="auto"/>
        <w:right w:val="none" w:sz="0" w:space="0" w:color="auto"/>
      </w:divBdr>
      <w:divsChild>
        <w:div w:id="1680233358">
          <w:marLeft w:val="0"/>
          <w:marRight w:val="0"/>
          <w:marTop w:val="0"/>
          <w:marBottom w:val="0"/>
          <w:divBdr>
            <w:top w:val="none" w:sz="0" w:space="0" w:color="auto"/>
            <w:left w:val="none" w:sz="0" w:space="0" w:color="auto"/>
            <w:bottom w:val="none" w:sz="0" w:space="0" w:color="auto"/>
            <w:right w:val="none" w:sz="0" w:space="0" w:color="auto"/>
          </w:divBdr>
          <w:divsChild>
            <w:div w:id="1684093061">
              <w:marLeft w:val="0"/>
              <w:marRight w:val="0"/>
              <w:marTop w:val="0"/>
              <w:marBottom w:val="0"/>
              <w:divBdr>
                <w:top w:val="none" w:sz="0" w:space="0" w:color="auto"/>
                <w:left w:val="none" w:sz="0" w:space="0" w:color="auto"/>
                <w:bottom w:val="none" w:sz="0" w:space="0" w:color="auto"/>
                <w:right w:val="none" w:sz="0" w:space="0" w:color="auto"/>
              </w:divBdr>
              <w:divsChild>
                <w:div w:id="2056269169">
                  <w:marLeft w:val="0"/>
                  <w:marRight w:val="0"/>
                  <w:marTop w:val="0"/>
                  <w:marBottom w:val="0"/>
                  <w:divBdr>
                    <w:top w:val="none" w:sz="0" w:space="0" w:color="auto"/>
                    <w:left w:val="none" w:sz="0" w:space="0" w:color="auto"/>
                    <w:bottom w:val="none" w:sz="0" w:space="0" w:color="auto"/>
                    <w:right w:val="none" w:sz="0" w:space="0" w:color="auto"/>
                  </w:divBdr>
                  <w:divsChild>
                    <w:div w:id="1695426436">
                      <w:marLeft w:val="0"/>
                      <w:marRight w:val="0"/>
                      <w:marTop w:val="0"/>
                      <w:marBottom w:val="0"/>
                      <w:divBdr>
                        <w:top w:val="none" w:sz="0" w:space="0" w:color="auto"/>
                        <w:left w:val="none" w:sz="0" w:space="0" w:color="auto"/>
                        <w:bottom w:val="none" w:sz="0" w:space="0" w:color="auto"/>
                        <w:right w:val="none" w:sz="0" w:space="0" w:color="auto"/>
                      </w:divBdr>
                      <w:divsChild>
                        <w:div w:id="135700365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4714052">
      <w:bodyDiv w:val="1"/>
      <w:marLeft w:val="0"/>
      <w:marRight w:val="0"/>
      <w:marTop w:val="0"/>
      <w:marBottom w:val="0"/>
      <w:divBdr>
        <w:top w:val="none" w:sz="0" w:space="0" w:color="auto"/>
        <w:left w:val="none" w:sz="0" w:space="0" w:color="auto"/>
        <w:bottom w:val="none" w:sz="0" w:space="0" w:color="auto"/>
        <w:right w:val="none" w:sz="0" w:space="0" w:color="auto"/>
      </w:divBdr>
    </w:div>
    <w:div w:id="135267344">
      <w:bodyDiv w:val="1"/>
      <w:marLeft w:val="0"/>
      <w:marRight w:val="0"/>
      <w:marTop w:val="0"/>
      <w:marBottom w:val="0"/>
      <w:divBdr>
        <w:top w:val="none" w:sz="0" w:space="0" w:color="auto"/>
        <w:left w:val="none" w:sz="0" w:space="0" w:color="auto"/>
        <w:bottom w:val="none" w:sz="0" w:space="0" w:color="auto"/>
        <w:right w:val="none" w:sz="0" w:space="0" w:color="auto"/>
      </w:divBdr>
    </w:div>
    <w:div w:id="211238772">
      <w:bodyDiv w:val="1"/>
      <w:marLeft w:val="0"/>
      <w:marRight w:val="0"/>
      <w:marTop w:val="0"/>
      <w:marBottom w:val="0"/>
      <w:divBdr>
        <w:top w:val="none" w:sz="0" w:space="0" w:color="auto"/>
        <w:left w:val="none" w:sz="0" w:space="0" w:color="auto"/>
        <w:bottom w:val="none" w:sz="0" w:space="0" w:color="auto"/>
        <w:right w:val="none" w:sz="0" w:space="0" w:color="auto"/>
      </w:divBdr>
      <w:divsChild>
        <w:div w:id="1225221304">
          <w:marLeft w:val="547"/>
          <w:marRight w:val="0"/>
          <w:marTop w:val="0"/>
          <w:marBottom w:val="0"/>
          <w:divBdr>
            <w:top w:val="none" w:sz="0" w:space="0" w:color="auto"/>
            <w:left w:val="none" w:sz="0" w:space="0" w:color="auto"/>
            <w:bottom w:val="none" w:sz="0" w:space="0" w:color="auto"/>
            <w:right w:val="none" w:sz="0" w:space="0" w:color="auto"/>
          </w:divBdr>
        </w:div>
      </w:divsChild>
    </w:div>
    <w:div w:id="331446498">
      <w:bodyDiv w:val="1"/>
      <w:marLeft w:val="0"/>
      <w:marRight w:val="0"/>
      <w:marTop w:val="0"/>
      <w:marBottom w:val="0"/>
      <w:divBdr>
        <w:top w:val="none" w:sz="0" w:space="0" w:color="auto"/>
        <w:left w:val="none" w:sz="0" w:space="0" w:color="auto"/>
        <w:bottom w:val="none" w:sz="0" w:space="0" w:color="auto"/>
        <w:right w:val="none" w:sz="0" w:space="0" w:color="auto"/>
      </w:divBdr>
    </w:div>
    <w:div w:id="441610418">
      <w:bodyDiv w:val="1"/>
      <w:marLeft w:val="0"/>
      <w:marRight w:val="0"/>
      <w:marTop w:val="0"/>
      <w:marBottom w:val="0"/>
      <w:divBdr>
        <w:top w:val="none" w:sz="0" w:space="0" w:color="auto"/>
        <w:left w:val="none" w:sz="0" w:space="0" w:color="auto"/>
        <w:bottom w:val="none" w:sz="0" w:space="0" w:color="auto"/>
        <w:right w:val="none" w:sz="0" w:space="0" w:color="auto"/>
      </w:divBdr>
    </w:div>
    <w:div w:id="476188250">
      <w:bodyDiv w:val="1"/>
      <w:marLeft w:val="0"/>
      <w:marRight w:val="0"/>
      <w:marTop w:val="0"/>
      <w:marBottom w:val="0"/>
      <w:divBdr>
        <w:top w:val="none" w:sz="0" w:space="0" w:color="auto"/>
        <w:left w:val="none" w:sz="0" w:space="0" w:color="auto"/>
        <w:bottom w:val="none" w:sz="0" w:space="0" w:color="auto"/>
        <w:right w:val="none" w:sz="0" w:space="0" w:color="auto"/>
      </w:divBdr>
      <w:divsChild>
        <w:div w:id="1401177577">
          <w:marLeft w:val="0"/>
          <w:marRight w:val="0"/>
          <w:marTop w:val="0"/>
          <w:marBottom w:val="0"/>
          <w:divBdr>
            <w:top w:val="none" w:sz="0" w:space="0" w:color="auto"/>
            <w:left w:val="none" w:sz="0" w:space="0" w:color="auto"/>
            <w:bottom w:val="none" w:sz="0" w:space="0" w:color="auto"/>
            <w:right w:val="none" w:sz="0" w:space="0" w:color="auto"/>
          </w:divBdr>
          <w:divsChild>
            <w:div w:id="725833079">
              <w:marLeft w:val="0"/>
              <w:marRight w:val="0"/>
              <w:marTop w:val="0"/>
              <w:marBottom w:val="0"/>
              <w:divBdr>
                <w:top w:val="none" w:sz="0" w:space="0" w:color="auto"/>
                <w:left w:val="none" w:sz="0" w:space="0" w:color="auto"/>
                <w:bottom w:val="none" w:sz="0" w:space="0" w:color="auto"/>
                <w:right w:val="none" w:sz="0" w:space="0" w:color="auto"/>
              </w:divBdr>
              <w:divsChild>
                <w:div w:id="1248467294">
                  <w:marLeft w:val="300"/>
                  <w:marRight w:val="300"/>
                  <w:marTop w:val="0"/>
                  <w:marBottom w:val="0"/>
                  <w:divBdr>
                    <w:top w:val="none" w:sz="0" w:space="0" w:color="auto"/>
                    <w:left w:val="none" w:sz="0" w:space="0" w:color="auto"/>
                    <w:bottom w:val="none" w:sz="0" w:space="0" w:color="auto"/>
                    <w:right w:val="none" w:sz="0" w:space="0" w:color="auto"/>
                  </w:divBdr>
                  <w:divsChild>
                    <w:div w:id="357239684">
                      <w:marLeft w:val="0"/>
                      <w:marRight w:val="225"/>
                      <w:marTop w:val="375"/>
                      <w:marBottom w:val="0"/>
                      <w:divBdr>
                        <w:top w:val="none" w:sz="0" w:space="0" w:color="auto"/>
                        <w:left w:val="none" w:sz="0" w:space="0" w:color="auto"/>
                        <w:bottom w:val="none" w:sz="0" w:space="0" w:color="auto"/>
                        <w:right w:val="none" w:sz="0" w:space="0" w:color="auto"/>
                      </w:divBdr>
                      <w:divsChild>
                        <w:div w:id="22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97691">
      <w:bodyDiv w:val="1"/>
      <w:marLeft w:val="0"/>
      <w:marRight w:val="0"/>
      <w:marTop w:val="0"/>
      <w:marBottom w:val="0"/>
      <w:divBdr>
        <w:top w:val="none" w:sz="0" w:space="0" w:color="auto"/>
        <w:left w:val="none" w:sz="0" w:space="0" w:color="auto"/>
        <w:bottom w:val="none" w:sz="0" w:space="0" w:color="auto"/>
        <w:right w:val="none" w:sz="0" w:space="0" w:color="auto"/>
      </w:divBdr>
    </w:div>
    <w:div w:id="581569240">
      <w:bodyDiv w:val="1"/>
      <w:marLeft w:val="0"/>
      <w:marRight w:val="0"/>
      <w:marTop w:val="0"/>
      <w:marBottom w:val="0"/>
      <w:divBdr>
        <w:top w:val="none" w:sz="0" w:space="0" w:color="auto"/>
        <w:left w:val="none" w:sz="0" w:space="0" w:color="auto"/>
        <w:bottom w:val="none" w:sz="0" w:space="0" w:color="auto"/>
        <w:right w:val="none" w:sz="0" w:space="0" w:color="auto"/>
      </w:divBdr>
    </w:div>
    <w:div w:id="594022278">
      <w:bodyDiv w:val="1"/>
      <w:marLeft w:val="0"/>
      <w:marRight w:val="0"/>
      <w:marTop w:val="0"/>
      <w:marBottom w:val="0"/>
      <w:divBdr>
        <w:top w:val="none" w:sz="0" w:space="0" w:color="auto"/>
        <w:left w:val="none" w:sz="0" w:space="0" w:color="auto"/>
        <w:bottom w:val="none" w:sz="0" w:space="0" w:color="auto"/>
        <w:right w:val="none" w:sz="0" w:space="0" w:color="auto"/>
      </w:divBdr>
    </w:div>
    <w:div w:id="610163182">
      <w:bodyDiv w:val="1"/>
      <w:marLeft w:val="0"/>
      <w:marRight w:val="0"/>
      <w:marTop w:val="0"/>
      <w:marBottom w:val="0"/>
      <w:divBdr>
        <w:top w:val="none" w:sz="0" w:space="0" w:color="auto"/>
        <w:left w:val="none" w:sz="0" w:space="0" w:color="auto"/>
        <w:bottom w:val="none" w:sz="0" w:space="0" w:color="auto"/>
        <w:right w:val="none" w:sz="0" w:space="0" w:color="auto"/>
      </w:divBdr>
      <w:divsChild>
        <w:div w:id="1177420668">
          <w:marLeft w:val="0"/>
          <w:marRight w:val="0"/>
          <w:marTop w:val="0"/>
          <w:marBottom w:val="0"/>
          <w:divBdr>
            <w:top w:val="none" w:sz="0" w:space="0" w:color="auto"/>
            <w:left w:val="none" w:sz="0" w:space="0" w:color="auto"/>
            <w:bottom w:val="none" w:sz="0" w:space="0" w:color="auto"/>
            <w:right w:val="none" w:sz="0" w:space="0" w:color="auto"/>
          </w:divBdr>
          <w:divsChild>
            <w:div w:id="1803964670">
              <w:marLeft w:val="0"/>
              <w:marRight w:val="0"/>
              <w:marTop w:val="0"/>
              <w:marBottom w:val="0"/>
              <w:divBdr>
                <w:top w:val="none" w:sz="0" w:space="0" w:color="auto"/>
                <w:left w:val="none" w:sz="0" w:space="0" w:color="auto"/>
                <w:bottom w:val="none" w:sz="0" w:space="0" w:color="auto"/>
                <w:right w:val="none" w:sz="0" w:space="0" w:color="auto"/>
              </w:divBdr>
              <w:divsChild>
                <w:div w:id="222526138">
                  <w:marLeft w:val="0"/>
                  <w:marRight w:val="0"/>
                  <w:marTop w:val="0"/>
                  <w:marBottom w:val="0"/>
                  <w:divBdr>
                    <w:top w:val="none" w:sz="0" w:space="0" w:color="auto"/>
                    <w:left w:val="none" w:sz="0" w:space="0" w:color="auto"/>
                    <w:bottom w:val="none" w:sz="0" w:space="0" w:color="auto"/>
                    <w:right w:val="none" w:sz="0" w:space="0" w:color="auto"/>
                  </w:divBdr>
                  <w:divsChild>
                    <w:div w:id="493884017">
                      <w:marLeft w:val="0"/>
                      <w:marRight w:val="0"/>
                      <w:marTop w:val="0"/>
                      <w:marBottom w:val="0"/>
                      <w:divBdr>
                        <w:top w:val="none" w:sz="0" w:space="0" w:color="auto"/>
                        <w:left w:val="none" w:sz="0" w:space="0" w:color="auto"/>
                        <w:bottom w:val="none" w:sz="0" w:space="0" w:color="auto"/>
                        <w:right w:val="none" w:sz="0" w:space="0" w:color="auto"/>
                      </w:divBdr>
                      <w:divsChild>
                        <w:div w:id="235287433">
                          <w:marLeft w:val="0"/>
                          <w:marRight w:val="0"/>
                          <w:marTop w:val="45"/>
                          <w:marBottom w:val="0"/>
                          <w:divBdr>
                            <w:top w:val="none" w:sz="0" w:space="0" w:color="auto"/>
                            <w:left w:val="none" w:sz="0" w:space="0" w:color="auto"/>
                            <w:bottom w:val="none" w:sz="0" w:space="0" w:color="auto"/>
                            <w:right w:val="none" w:sz="0" w:space="0" w:color="auto"/>
                          </w:divBdr>
                          <w:divsChild>
                            <w:div w:id="2102145651">
                              <w:marLeft w:val="0"/>
                              <w:marRight w:val="0"/>
                              <w:marTop w:val="0"/>
                              <w:marBottom w:val="0"/>
                              <w:divBdr>
                                <w:top w:val="none" w:sz="0" w:space="0" w:color="auto"/>
                                <w:left w:val="none" w:sz="0" w:space="0" w:color="auto"/>
                                <w:bottom w:val="none" w:sz="0" w:space="0" w:color="auto"/>
                                <w:right w:val="none" w:sz="0" w:space="0" w:color="auto"/>
                              </w:divBdr>
                              <w:divsChild>
                                <w:div w:id="1319453937">
                                  <w:marLeft w:val="2070"/>
                                  <w:marRight w:val="3810"/>
                                  <w:marTop w:val="0"/>
                                  <w:marBottom w:val="0"/>
                                  <w:divBdr>
                                    <w:top w:val="none" w:sz="0" w:space="0" w:color="auto"/>
                                    <w:left w:val="none" w:sz="0" w:space="0" w:color="auto"/>
                                    <w:bottom w:val="none" w:sz="0" w:space="0" w:color="auto"/>
                                    <w:right w:val="none" w:sz="0" w:space="0" w:color="auto"/>
                                  </w:divBdr>
                                  <w:divsChild>
                                    <w:div w:id="449134688">
                                      <w:marLeft w:val="0"/>
                                      <w:marRight w:val="0"/>
                                      <w:marTop w:val="0"/>
                                      <w:marBottom w:val="0"/>
                                      <w:divBdr>
                                        <w:top w:val="none" w:sz="0" w:space="0" w:color="auto"/>
                                        <w:left w:val="none" w:sz="0" w:space="0" w:color="auto"/>
                                        <w:bottom w:val="none" w:sz="0" w:space="0" w:color="auto"/>
                                        <w:right w:val="none" w:sz="0" w:space="0" w:color="auto"/>
                                      </w:divBdr>
                                      <w:divsChild>
                                        <w:div w:id="1530332214">
                                          <w:marLeft w:val="0"/>
                                          <w:marRight w:val="0"/>
                                          <w:marTop w:val="0"/>
                                          <w:marBottom w:val="0"/>
                                          <w:divBdr>
                                            <w:top w:val="none" w:sz="0" w:space="0" w:color="auto"/>
                                            <w:left w:val="none" w:sz="0" w:space="0" w:color="auto"/>
                                            <w:bottom w:val="none" w:sz="0" w:space="0" w:color="auto"/>
                                            <w:right w:val="none" w:sz="0" w:space="0" w:color="auto"/>
                                          </w:divBdr>
                                          <w:divsChild>
                                            <w:div w:id="1641494120">
                                              <w:marLeft w:val="0"/>
                                              <w:marRight w:val="0"/>
                                              <w:marTop w:val="0"/>
                                              <w:marBottom w:val="0"/>
                                              <w:divBdr>
                                                <w:top w:val="none" w:sz="0" w:space="0" w:color="auto"/>
                                                <w:left w:val="none" w:sz="0" w:space="0" w:color="auto"/>
                                                <w:bottom w:val="none" w:sz="0" w:space="0" w:color="auto"/>
                                                <w:right w:val="none" w:sz="0" w:space="0" w:color="auto"/>
                                              </w:divBdr>
                                              <w:divsChild>
                                                <w:div w:id="1775056552">
                                                  <w:marLeft w:val="0"/>
                                                  <w:marRight w:val="0"/>
                                                  <w:marTop w:val="90"/>
                                                  <w:marBottom w:val="0"/>
                                                  <w:divBdr>
                                                    <w:top w:val="none" w:sz="0" w:space="0" w:color="auto"/>
                                                    <w:left w:val="none" w:sz="0" w:space="0" w:color="auto"/>
                                                    <w:bottom w:val="none" w:sz="0" w:space="0" w:color="auto"/>
                                                    <w:right w:val="none" w:sz="0" w:space="0" w:color="auto"/>
                                                  </w:divBdr>
                                                  <w:divsChild>
                                                    <w:div w:id="599532869">
                                                      <w:marLeft w:val="0"/>
                                                      <w:marRight w:val="0"/>
                                                      <w:marTop w:val="0"/>
                                                      <w:marBottom w:val="0"/>
                                                      <w:divBdr>
                                                        <w:top w:val="none" w:sz="0" w:space="0" w:color="auto"/>
                                                        <w:left w:val="none" w:sz="0" w:space="0" w:color="auto"/>
                                                        <w:bottom w:val="none" w:sz="0" w:space="0" w:color="auto"/>
                                                        <w:right w:val="none" w:sz="0" w:space="0" w:color="auto"/>
                                                      </w:divBdr>
                                                      <w:divsChild>
                                                        <w:div w:id="865099213">
                                                          <w:marLeft w:val="0"/>
                                                          <w:marRight w:val="0"/>
                                                          <w:marTop w:val="0"/>
                                                          <w:marBottom w:val="0"/>
                                                          <w:divBdr>
                                                            <w:top w:val="none" w:sz="0" w:space="0" w:color="auto"/>
                                                            <w:left w:val="none" w:sz="0" w:space="0" w:color="auto"/>
                                                            <w:bottom w:val="none" w:sz="0" w:space="0" w:color="auto"/>
                                                            <w:right w:val="none" w:sz="0" w:space="0" w:color="auto"/>
                                                          </w:divBdr>
                                                          <w:divsChild>
                                                            <w:div w:id="355666028">
                                                              <w:marLeft w:val="0"/>
                                                              <w:marRight w:val="0"/>
                                                              <w:marTop w:val="0"/>
                                                              <w:marBottom w:val="390"/>
                                                              <w:divBdr>
                                                                <w:top w:val="none" w:sz="0" w:space="0" w:color="auto"/>
                                                                <w:left w:val="none" w:sz="0" w:space="0" w:color="auto"/>
                                                                <w:bottom w:val="none" w:sz="0" w:space="0" w:color="auto"/>
                                                                <w:right w:val="none" w:sz="0" w:space="0" w:color="auto"/>
                                                              </w:divBdr>
                                                              <w:divsChild>
                                                                <w:div w:id="1142966758">
                                                                  <w:marLeft w:val="0"/>
                                                                  <w:marRight w:val="0"/>
                                                                  <w:marTop w:val="0"/>
                                                                  <w:marBottom w:val="0"/>
                                                                  <w:divBdr>
                                                                    <w:top w:val="none" w:sz="0" w:space="0" w:color="auto"/>
                                                                    <w:left w:val="none" w:sz="0" w:space="0" w:color="auto"/>
                                                                    <w:bottom w:val="none" w:sz="0" w:space="0" w:color="auto"/>
                                                                    <w:right w:val="none" w:sz="0" w:space="0" w:color="auto"/>
                                                                  </w:divBdr>
                                                                  <w:divsChild>
                                                                    <w:div w:id="608512185">
                                                                      <w:marLeft w:val="0"/>
                                                                      <w:marRight w:val="0"/>
                                                                      <w:marTop w:val="0"/>
                                                                      <w:marBottom w:val="0"/>
                                                                      <w:divBdr>
                                                                        <w:top w:val="none" w:sz="0" w:space="0" w:color="auto"/>
                                                                        <w:left w:val="none" w:sz="0" w:space="0" w:color="auto"/>
                                                                        <w:bottom w:val="none" w:sz="0" w:space="0" w:color="auto"/>
                                                                        <w:right w:val="none" w:sz="0" w:space="0" w:color="auto"/>
                                                                      </w:divBdr>
                                                                      <w:divsChild>
                                                                        <w:div w:id="1967738860">
                                                                          <w:marLeft w:val="0"/>
                                                                          <w:marRight w:val="0"/>
                                                                          <w:marTop w:val="0"/>
                                                                          <w:marBottom w:val="0"/>
                                                                          <w:divBdr>
                                                                            <w:top w:val="none" w:sz="0" w:space="0" w:color="auto"/>
                                                                            <w:left w:val="none" w:sz="0" w:space="0" w:color="auto"/>
                                                                            <w:bottom w:val="none" w:sz="0" w:space="0" w:color="auto"/>
                                                                            <w:right w:val="none" w:sz="0" w:space="0" w:color="auto"/>
                                                                          </w:divBdr>
                                                                          <w:divsChild>
                                                                            <w:div w:id="16852924">
                                                                              <w:marLeft w:val="0"/>
                                                                              <w:marRight w:val="0"/>
                                                                              <w:marTop w:val="0"/>
                                                                              <w:marBottom w:val="0"/>
                                                                              <w:divBdr>
                                                                                <w:top w:val="none" w:sz="0" w:space="0" w:color="auto"/>
                                                                                <w:left w:val="none" w:sz="0" w:space="0" w:color="auto"/>
                                                                                <w:bottom w:val="none" w:sz="0" w:space="0" w:color="auto"/>
                                                                                <w:right w:val="none" w:sz="0" w:space="0" w:color="auto"/>
                                                                              </w:divBdr>
                                                                              <w:divsChild>
                                                                                <w:div w:id="1453397163">
                                                                                  <w:marLeft w:val="0"/>
                                                                                  <w:marRight w:val="0"/>
                                                                                  <w:marTop w:val="0"/>
                                                                                  <w:marBottom w:val="0"/>
                                                                                  <w:divBdr>
                                                                                    <w:top w:val="none" w:sz="0" w:space="0" w:color="auto"/>
                                                                                    <w:left w:val="none" w:sz="0" w:space="0" w:color="auto"/>
                                                                                    <w:bottom w:val="none" w:sz="0" w:space="0" w:color="auto"/>
                                                                                    <w:right w:val="none" w:sz="0" w:space="0" w:color="auto"/>
                                                                                  </w:divBdr>
                                                                                  <w:divsChild>
                                                                                    <w:div w:id="1312977940">
                                                                                      <w:marLeft w:val="0"/>
                                                                                      <w:marRight w:val="0"/>
                                                                                      <w:marTop w:val="0"/>
                                                                                      <w:marBottom w:val="0"/>
                                                                                      <w:divBdr>
                                                                                        <w:top w:val="none" w:sz="0" w:space="0" w:color="auto"/>
                                                                                        <w:left w:val="none" w:sz="0" w:space="0" w:color="auto"/>
                                                                                        <w:bottom w:val="none" w:sz="0" w:space="0" w:color="auto"/>
                                                                                        <w:right w:val="none" w:sz="0" w:space="0" w:color="auto"/>
                                                                                      </w:divBdr>
                                                                                      <w:divsChild>
                                                                                        <w:div w:id="1630741989">
                                                                                          <w:marLeft w:val="0"/>
                                                                                          <w:marRight w:val="0"/>
                                                                                          <w:marTop w:val="0"/>
                                                                                          <w:marBottom w:val="0"/>
                                                                                          <w:divBdr>
                                                                                            <w:top w:val="none" w:sz="0" w:space="0" w:color="auto"/>
                                                                                            <w:left w:val="none" w:sz="0" w:space="0" w:color="auto"/>
                                                                                            <w:bottom w:val="none" w:sz="0" w:space="0" w:color="auto"/>
                                                                                            <w:right w:val="none" w:sz="0" w:space="0" w:color="auto"/>
                                                                                          </w:divBdr>
                                                                                          <w:divsChild>
                                                                                            <w:div w:id="1300766865">
                                                                                              <w:marLeft w:val="0"/>
                                                                                              <w:marRight w:val="0"/>
                                                                                              <w:marTop w:val="0"/>
                                                                                              <w:marBottom w:val="0"/>
                                                                                              <w:divBdr>
                                                                                                <w:top w:val="none" w:sz="0" w:space="0" w:color="auto"/>
                                                                                                <w:left w:val="none" w:sz="0" w:space="0" w:color="auto"/>
                                                                                                <w:bottom w:val="none" w:sz="0" w:space="0" w:color="auto"/>
                                                                                                <w:right w:val="none" w:sz="0" w:space="0" w:color="auto"/>
                                                                                              </w:divBdr>
                                                                                              <w:divsChild>
                                                                                                <w:div w:id="2140341644">
                                                                                                  <w:marLeft w:val="0"/>
                                                                                                  <w:marRight w:val="0"/>
                                                                                                  <w:marTop w:val="0"/>
                                                                                                  <w:marBottom w:val="0"/>
                                                                                                  <w:divBdr>
                                                                                                    <w:top w:val="none" w:sz="0" w:space="0" w:color="auto"/>
                                                                                                    <w:left w:val="none" w:sz="0" w:space="0" w:color="auto"/>
                                                                                                    <w:bottom w:val="none" w:sz="0" w:space="0" w:color="auto"/>
                                                                                                    <w:right w:val="none" w:sz="0" w:space="0" w:color="auto"/>
                                                                                                  </w:divBdr>
                                                                                                  <w:divsChild>
                                                                                                    <w:div w:id="1119379746">
                                                                                                      <w:marLeft w:val="0"/>
                                                                                                      <w:marRight w:val="0"/>
                                                                                                      <w:marTop w:val="0"/>
                                                                                                      <w:marBottom w:val="0"/>
                                                                                                      <w:divBdr>
                                                                                                        <w:top w:val="none" w:sz="0" w:space="0" w:color="auto"/>
                                                                                                        <w:left w:val="none" w:sz="0" w:space="0" w:color="auto"/>
                                                                                                        <w:bottom w:val="none" w:sz="0" w:space="0" w:color="auto"/>
                                                                                                        <w:right w:val="none" w:sz="0" w:space="0" w:color="auto"/>
                                                                                                      </w:divBdr>
                                                                                                      <w:divsChild>
                                                                                                        <w:div w:id="931359760">
                                                                                                          <w:marLeft w:val="0"/>
                                                                                                          <w:marRight w:val="0"/>
                                                                                                          <w:marTop w:val="0"/>
                                                                                                          <w:marBottom w:val="0"/>
                                                                                                          <w:divBdr>
                                                                                                            <w:top w:val="none" w:sz="0" w:space="0" w:color="auto"/>
                                                                                                            <w:left w:val="none" w:sz="0" w:space="0" w:color="auto"/>
                                                                                                            <w:bottom w:val="none" w:sz="0" w:space="0" w:color="auto"/>
                                                                                                            <w:right w:val="none" w:sz="0" w:space="0" w:color="auto"/>
                                                                                                          </w:divBdr>
                                                                                                          <w:divsChild>
                                                                                                            <w:div w:id="432750334">
                                                                                                              <w:marLeft w:val="0"/>
                                                                                                              <w:marRight w:val="0"/>
                                                                                                              <w:marTop w:val="0"/>
                                                                                                              <w:marBottom w:val="0"/>
                                                                                                              <w:divBdr>
                                                                                                                <w:top w:val="none" w:sz="0" w:space="0" w:color="auto"/>
                                                                                                                <w:left w:val="none" w:sz="0" w:space="0" w:color="auto"/>
                                                                                                                <w:bottom w:val="none" w:sz="0" w:space="0" w:color="auto"/>
                                                                                                                <w:right w:val="none" w:sz="0" w:space="0" w:color="auto"/>
                                                                                                              </w:divBdr>
                                                                                                              <w:divsChild>
                                                                                                                <w:div w:id="713500902">
                                                                                                                  <w:marLeft w:val="300"/>
                                                                                                                  <w:marRight w:val="0"/>
                                                                                                                  <w:marTop w:val="0"/>
                                                                                                                  <w:marBottom w:val="0"/>
                                                                                                                  <w:divBdr>
                                                                                                                    <w:top w:val="none" w:sz="0" w:space="0" w:color="auto"/>
                                                                                                                    <w:left w:val="none" w:sz="0" w:space="0" w:color="auto"/>
                                                                                                                    <w:bottom w:val="none" w:sz="0" w:space="0" w:color="auto"/>
                                                                                                                    <w:right w:val="none" w:sz="0" w:space="0" w:color="auto"/>
                                                                                                                  </w:divBdr>
                                                                                                                  <w:divsChild>
                                                                                                                    <w:div w:id="1803843583">
                                                                                                                      <w:marLeft w:val="0"/>
                                                                                                                      <w:marRight w:val="0"/>
                                                                                                                      <w:marTop w:val="0"/>
                                                                                                                      <w:marBottom w:val="0"/>
                                                                                                                      <w:divBdr>
                                                                                                                        <w:top w:val="none" w:sz="0" w:space="0" w:color="auto"/>
                                                                                                                        <w:left w:val="none" w:sz="0" w:space="0" w:color="auto"/>
                                                                                                                        <w:bottom w:val="none" w:sz="0" w:space="0" w:color="auto"/>
                                                                                                                        <w:right w:val="none" w:sz="0" w:space="0" w:color="auto"/>
                                                                                                                      </w:divBdr>
                                                                                                                      <w:divsChild>
                                                                                                                        <w:div w:id="18487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361679">
      <w:bodyDiv w:val="1"/>
      <w:marLeft w:val="0"/>
      <w:marRight w:val="0"/>
      <w:marTop w:val="0"/>
      <w:marBottom w:val="0"/>
      <w:divBdr>
        <w:top w:val="none" w:sz="0" w:space="0" w:color="auto"/>
        <w:left w:val="none" w:sz="0" w:space="0" w:color="auto"/>
        <w:bottom w:val="none" w:sz="0" w:space="0" w:color="auto"/>
        <w:right w:val="none" w:sz="0" w:space="0" w:color="auto"/>
      </w:divBdr>
      <w:divsChild>
        <w:div w:id="58334638">
          <w:marLeft w:val="0"/>
          <w:marRight w:val="0"/>
          <w:marTop w:val="0"/>
          <w:marBottom w:val="0"/>
          <w:divBdr>
            <w:top w:val="none" w:sz="0" w:space="0" w:color="auto"/>
            <w:left w:val="none" w:sz="0" w:space="0" w:color="auto"/>
            <w:bottom w:val="none" w:sz="0" w:space="0" w:color="auto"/>
            <w:right w:val="none" w:sz="0" w:space="0" w:color="auto"/>
          </w:divBdr>
          <w:divsChild>
            <w:div w:id="1857647524">
              <w:marLeft w:val="0"/>
              <w:marRight w:val="0"/>
              <w:marTop w:val="0"/>
              <w:marBottom w:val="0"/>
              <w:divBdr>
                <w:top w:val="none" w:sz="0" w:space="0" w:color="auto"/>
                <w:left w:val="none" w:sz="0" w:space="0" w:color="auto"/>
                <w:bottom w:val="none" w:sz="0" w:space="0" w:color="auto"/>
                <w:right w:val="none" w:sz="0" w:space="0" w:color="auto"/>
              </w:divBdr>
              <w:divsChild>
                <w:div w:id="1262882369">
                  <w:marLeft w:val="0"/>
                  <w:marRight w:val="0"/>
                  <w:marTop w:val="0"/>
                  <w:marBottom w:val="0"/>
                  <w:divBdr>
                    <w:top w:val="none" w:sz="0" w:space="0" w:color="auto"/>
                    <w:left w:val="none" w:sz="0" w:space="0" w:color="auto"/>
                    <w:bottom w:val="none" w:sz="0" w:space="0" w:color="auto"/>
                    <w:right w:val="none" w:sz="0" w:space="0" w:color="auto"/>
                  </w:divBdr>
                  <w:divsChild>
                    <w:div w:id="1147278292">
                      <w:marLeft w:val="0"/>
                      <w:marRight w:val="0"/>
                      <w:marTop w:val="0"/>
                      <w:marBottom w:val="0"/>
                      <w:divBdr>
                        <w:top w:val="none" w:sz="0" w:space="0" w:color="auto"/>
                        <w:left w:val="none" w:sz="0" w:space="0" w:color="auto"/>
                        <w:bottom w:val="none" w:sz="0" w:space="0" w:color="auto"/>
                        <w:right w:val="none" w:sz="0" w:space="0" w:color="auto"/>
                      </w:divBdr>
                      <w:divsChild>
                        <w:div w:id="183529468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13382925">
      <w:bodyDiv w:val="1"/>
      <w:marLeft w:val="0"/>
      <w:marRight w:val="0"/>
      <w:marTop w:val="0"/>
      <w:marBottom w:val="0"/>
      <w:divBdr>
        <w:top w:val="none" w:sz="0" w:space="0" w:color="auto"/>
        <w:left w:val="none" w:sz="0" w:space="0" w:color="auto"/>
        <w:bottom w:val="none" w:sz="0" w:space="0" w:color="auto"/>
        <w:right w:val="none" w:sz="0" w:space="0" w:color="auto"/>
      </w:divBdr>
    </w:div>
    <w:div w:id="722824535">
      <w:bodyDiv w:val="1"/>
      <w:marLeft w:val="0"/>
      <w:marRight w:val="0"/>
      <w:marTop w:val="0"/>
      <w:marBottom w:val="0"/>
      <w:divBdr>
        <w:top w:val="none" w:sz="0" w:space="0" w:color="auto"/>
        <w:left w:val="none" w:sz="0" w:space="0" w:color="auto"/>
        <w:bottom w:val="none" w:sz="0" w:space="0" w:color="auto"/>
        <w:right w:val="none" w:sz="0" w:space="0" w:color="auto"/>
      </w:divBdr>
    </w:div>
    <w:div w:id="753211688">
      <w:bodyDiv w:val="1"/>
      <w:marLeft w:val="0"/>
      <w:marRight w:val="0"/>
      <w:marTop w:val="0"/>
      <w:marBottom w:val="0"/>
      <w:divBdr>
        <w:top w:val="none" w:sz="0" w:space="0" w:color="auto"/>
        <w:left w:val="none" w:sz="0" w:space="0" w:color="auto"/>
        <w:bottom w:val="none" w:sz="0" w:space="0" w:color="auto"/>
        <w:right w:val="none" w:sz="0" w:space="0" w:color="auto"/>
      </w:divBdr>
    </w:div>
    <w:div w:id="768353417">
      <w:bodyDiv w:val="1"/>
      <w:marLeft w:val="0"/>
      <w:marRight w:val="0"/>
      <w:marTop w:val="0"/>
      <w:marBottom w:val="0"/>
      <w:divBdr>
        <w:top w:val="none" w:sz="0" w:space="0" w:color="auto"/>
        <w:left w:val="none" w:sz="0" w:space="0" w:color="auto"/>
        <w:bottom w:val="none" w:sz="0" w:space="0" w:color="auto"/>
        <w:right w:val="none" w:sz="0" w:space="0" w:color="auto"/>
      </w:divBdr>
    </w:div>
    <w:div w:id="781648651">
      <w:bodyDiv w:val="1"/>
      <w:marLeft w:val="0"/>
      <w:marRight w:val="0"/>
      <w:marTop w:val="0"/>
      <w:marBottom w:val="0"/>
      <w:divBdr>
        <w:top w:val="none" w:sz="0" w:space="0" w:color="auto"/>
        <w:left w:val="none" w:sz="0" w:space="0" w:color="auto"/>
        <w:bottom w:val="none" w:sz="0" w:space="0" w:color="auto"/>
        <w:right w:val="none" w:sz="0" w:space="0" w:color="auto"/>
      </w:divBdr>
    </w:div>
    <w:div w:id="795219094">
      <w:bodyDiv w:val="1"/>
      <w:marLeft w:val="0"/>
      <w:marRight w:val="0"/>
      <w:marTop w:val="0"/>
      <w:marBottom w:val="0"/>
      <w:divBdr>
        <w:top w:val="none" w:sz="0" w:space="0" w:color="auto"/>
        <w:left w:val="none" w:sz="0" w:space="0" w:color="auto"/>
        <w:bottom w:val="none" w:sz="0" w:space="0" w:color="auto"/>
        <w:right w:val="none" w:sz="0" w:space="0" w:color="auto"/>
      </w:divBdr>
      <w:divsChild>
        <w:div w:id="71851753">
          <w:marLeft w:val="0"/>
          <w:marRight w:val="0"/>
          <w:marTop w:val="0"/>
          <w:marBottom w:val="0"/>
          <w:divBdr>
            <w:top w:val="none" w:sz="0" w:space="0" w:color="auto"/>
            <w:left w:val="none" w:sz="0" w:space="0" w:color="auto"/>
            <w:bottom w:val="none" w:sz="0" w:space="0" w:color="auto"/>
            <w:right w:val="none" w:sz="0" w:space="0" w:color="auto"/>
          </w:divBdr>
          <w:divsChild>
            <w:div w:id="53281142">
              <w:marLeft w:val="0"/>
              <w:marRight w:val="0"/>
              <w:marTop w:val="0"/>
              <w:marBottom w:val="0"/>
              <w:divBdr>
                <w:top w:val="none" w:sz="0" w:space="0" w:color="auto"/>
                <w:left w:val="none" w:sz="0" w:space="0" w:color="auto"/>
                <w:bottom w:val="none" w:sz="0" w:space="0" w:color="auto"/>
                <w:right w:val="none" w:sz="0" w:space="0" w:color="auto"/>
              </w:divBdr>
              <w:divsChild>
                <w:div w:id="821312256">
                  <w:marLeft w:val="0"/>
                  <w:marRight w:val="0"/>
                  <w:marTop w:val="0"/>
                  <w:marBottom w:val="0"/>
                  <w:divBdr>
                    <w:top w:val="none" w:sz="0" w:space="0" w:color="auto"/>
                    <w:left w:val="none" w:sz="0" w:space="0" w:color="auto"/>
                    <w:bottom w:val="none" w:sz="0" w:space="0" w:color="auto"/>
                    <w:right w:val="none" w:sz="0" w:space="0" w:color="auto"/>
                  </w:divBdr>
                  <w:divsChild>
                    <w:div w:id="1095632567">
                      <w:marLeft w:val="0"/>
                      <w:marRight w:val="0"/>
                      <w:marTop w:val="0"/>
                      <w:marBottom w:val="0"/>
                      <w:divBdr>
                        <w:top w:val="none" w:sz="0" w:space="0" w:color="auto"/>
                        <w:left w:val="none" w:sz="0" w:space="0" w:color="auto"/>
                        <w:bottom w:val="none" w:sz="0" w:space="0" w:color="auto"/>
                        <w:right w:val="none" w:sz="0" w:space="0" w:color="auto"/>
                      </w:divBdr>
                      <w:divsChild>
                        <w:div w:id="1664891136">
                          <w:marLeft w:val="0"/>
                          <w:marRight w:val="0"/>
                          <w:marTop w:val="45"/>
                          <w:marBottom w:val="0"/>
                          <w:divBdr>
                            <w:top w:val="none" w:sz="0" w:space="0" w:color="auto"/>
                            <w:left w:val="none" w:sz="0" w:space="0" w:color="auto"/>
                            <w:bottom w:val="none" w:sz="0" w:space="0" w:color="auto"/>
                            <w:right w:val="none" w:sz="0" w:space="0" w:color="auto"/>
                          </w:divBdr>
                          <w:divsChild>
                            <w:div w:id="1027222050">
                              <w:marLeft w:val="0"/>
                              <w:marRight w:val="0"/>
                              <w:marTop w:val="0"/>
                              <w:marBottom w:val="0"/>
                              <w:divBdr>
                                <w:top w:val="none" w:sz="0" w:space="0" w:color="auto"/>
                                <w:left w:val="none" w:sz="0" w:space="0" w:color="auto"/>
                                <w:bottom w:val="none" w:sz="0" w:space="0" w:color="auto"/>
                                <w:right w:val="none" w:sz="0" w:space="0" w:color="auto"/>
                              </w:divBdr>
                              <w:divsChild>
                                <w:div w:id="1987121899">
                                  <w:marLeft w:val="2070"/>
                                  <w:marRight w:val="3810"/>
                                  <w:marTop w:val="0"/>
                                  <w:marBottom w:val="0"/>
                                  <w:divBdr>
                                    <w:top w:val="none" w:sz="0" w:space="0" w:color="auto"/>
                                    <w:left w:val="none" w:sz="0" w:space="0" w:color="auto"/>
                                    <w:bottom w:val="none" w:sz="0" w:space="0" w:color="auto"/>
                                    <w:right w:val="none" w:sz="0" w:space="0" w:color="auto"/>
                                  </w:divBdr>
                                  <w:divsChild>
                                    <w:div w:id="194271131">
                                      <w:marLeft w:val="0"/>
                                      <w:marRight w:val="0"/>
                                      <w:marTop w:val="0"/>
                                      <w:marBottom w:val="0"/>
                                      <w:divBdr>
                                        <w:top w:val="none" w:sz="0" w:space="0" w:color="auto"/>
                                        <w:left w:val="none" w:sz="0" w:space="0" w:color="auto"/>
                                        <w:bottom w:val="none" w:sz="0" w:space="0" w:color="auto"/>
                                        <w:right w:val="none" w:sz="0" w:space="0" w:color="auto"/>
                                      </w:divBdr>
                                      <w:divsChild>
                                        <w:div w:id="1065645545">
                                          <w:marLeft w:val="0"/>
                                          <w:marRight w:val="0"/>
                                          <w:marTop w:val="0"/>
                                          <w:marBottom w:val="0"/>
                                          <w:divBdr>
                                            <w:top w:val="none" w:sz="0" w:space="0" w:color="auto"/>
                                            <w:left w:val="none" w:sz="0" w:space="0" w:color="auto"/>
                                            <w:bottom w:val="none" w:sz="0" w:space="0" w:color="auto"/>
                                            <w:right w:val="none" w:sz="0" w:space="0" w:color="auto"/>
                                          </w:divBdr>
                                          <w:divsChild>
                                            <w:div w:id="1385639958">
                                              <w:marLeft w:val="0"/>
                                              <w:marRight w:val="0"/>
                                              <w:marTop w:val="0"/>
                                              <w:marBottom w:val="0"/>
                                              <w:divBdr>
                                                <w:top w:val="none" w:sz="0" w:space="0" w:color="auto"/>
                                                <w:left w:val="none" w:sz="0" w:space="0" w:color="auto"/>
                                                <w:bottom w:val="none" w:sz="0" w:space="0" w:color="auto"/>
                                                <w:right w:val="none" w:sz="0" w:space="0" w:color="auto"/>
                                              </w:divBdr>
                                              <w:divsChild>
                                                <w:div w:id="6447630">
                                                  <w:marLeft w:val="0"/>
                                                  <w:marRight w:val="0"/>
                                                  <w:marTop w:val="90"/>
                                                  <w:marBottom w:val="0"/>
                                                  <w:divBdr>
                                                    <w:top w:val="none" w:sz="0" w:space="0" w:color="auto"/>
                                                    <w:left w:val="none" w:sz="0" w:space="0" w:color="auto"/>
                                                    <w:bottom w:val="none" w:sz="0" w:space="0" w:color="auto"/>
                                                    <w:right w:val="none" w:sz="0" w:space="0" w:color="auto"/>
                                                  </w:divBdr>
                                                  <w:divsChild>
                                                    <w:div w:id="1624847677">
                                                      <w:marLeft w:val="0"/>
                                                      <w:marRight w:val="0"/>
                                                      <w:marTop w:val="0"/>
                                                      <w:marBottom w:val="0"/>
                                                      <w:divBdr>
                                                        <w:top w:val="none" w:sz="0" w:space="0" w:color="auto"/>
                                                        <w:left w:val="none" w:sz="0" w:space="0" w:color="auto"/>
                                                        <w:bottom w:val="none" w:sz="0" w:space="0" w:color="auto"/>
                                                        <w:right w:val="none" w:sz="0" w:space="0" w:color="auto"/>
                                                      </w:divBdr>
                                                      <w:divsChild>
                                                        <w:div w:id="1191650482">
                                                          <w:marLeft w:val="0"/>
                                                          <w:marRight w:val="0"/>
                                                          <w:marTop w:val="0"/>
                                                          <w:marBottom w:val="0"/>
                                                          <w:divBdr>
                                                            <w:top w:val="none" w:sz="0" w:space="0" w:color="auto"/>
                                                            <w:left w:val="none" w:sz="0" w:space="0" w:color="auto"/>
                                                            <w:bottom w:val="none" w:sz="0" w:space="0" w:color="auto"/>
                                                            <w:right w:val="none" w:sz="0" w:space="0" w:color="auto"/>
                                                          </w:divBdr>
                                                          <w:divsChild>
                                                            <w:div w:id="855774965">
                                                              <w:marLeft w:val="0"/>
                                                              <w:marRight w:val="0"/>
                                                              <w:marTop w:val="0"/>
                                                              <w:marBottom w:val="0"/>
                                                              <w:divBdr>
                                                                <w:top w:val="none" w:sz="0" w:space="0" w:color="auto"/>
                                                                <w:left w:val="none" w:sz="0" w:space="0" w:color="auto"/>
                                                                <w:bottom w:val="none" w:sz="0" w:space="0" w:color="auto"/>
                                                                <w:right w:val="none" w:sz="0" w:space="0" w:color="auto"/>
                                                              </w:divBdr>
                                                              <w:divsChild>
                                                                <w:div w:id="1896038966">
                                                                  <w:marLeft w:val="0"/>
                                                                  <w:marRight w:val="0"/>
                                                                  <w:marTop w:val="0"/>
                                                                  <w:marBottom w:val="390"/>
                                                                  <w:divBdr>
                                                                    <w:top w:val="none" w:sz="0" w:space="0" w:color="auto"/>
                                                                    <w:left w:val="none" w:sz="0" w:space="0" w:color="auto"/>
                                                                    <w:bottom w:val="none" w:sz="0" w:space="0" w:color="auto"/>
                                                                    <w:right w:val="none" w:sz="0" w:space="0" w:color="auto"/>
                                                                  </w:divBdr>
                                                                  <w:divsChild>
                                                                    <w:div w:id="2000308025">
                                                                      <w:marLeft w:val="0"/>
                                                                      <w:marRight w:val="0"/>
                                                                      <w:marTop w:val="0"/>
                                                                      <w:marBottom w:val="0"/>
                                                                      <w:divBdr>
                                                                        <w:top w:val="none" w:sz="0" w:space="0" w:color="auto"/>
                                                                        <w:left w:val="none" w:sz="0" w:space="0" w:color="auto"/>
                                                                        <w:bottom w:val="none" w:sz="0" w:space="0" w:color="auto"/>
                                                                        <w:right w:val="none" w:sz="0" w:space="0" w:color="auto"/>
                                                                      </w:divBdr>
                                                                      <w:divsChild>
                                                                        <w:div w:id="1034500213">
                                                                          <w:marLeft w:val="0"/>
                                                                          <w:marRight w:val="0"/>
                                                                          <w:marTop w:val="0"/>
                                                                          <w:marBottom w:val="0"/>
                                                                          <w:divBdr>
                                                                            <w:top w:val="none" w:sz="0" w:space="0" w:color="auto"/>
                                                                            <w:left w:val="none" w:sz="0" w:space="0" w:color="auto"/>
                                                                            <w:bottom w:val="none" w:sz="0" w:space="0" w:color="auto"/>
                                                                            <w:right w:val="none" w:sz="0" w:space="0" w:color="auto"/>
                                                                          </w:divBdr>
                                                                          <w:divsChild>
                                                                            <w:div w:id="629433446">
                                                                              <w:marLeft w:val="0"/>
                                                                              <w:marRight w:val="0"/>
                                                                              <w:marTop w:val="0"/>
                                                                              <w:marBottom w:val="0"/>
                                                                              <w:divBdr>
                                                                                <w:top w:val="none" w:sz="0" w:space="0" w:color="auto"/>
                                                                                <w:left w:val="none" w:sz="0" w:space="0" w:color="auto"/>
                                                                                <w:bottom w:val="none" w:sz="0" w:space="0" w:color="auto"/>
                                                                                <w:right w:val="none" w:sz="0" w:space="0" w:color="auto"/>
                                                                              </w:divBdr>
                                                                              <w:divsChild>
                                                                                <w:div w:id="5324782">
                                                                                  <w:marLeft w:val="0"/>
                                                                                  <w:marRight w:val="0"/>
                                                                                  <w:marTop w:val="0"/>
                                                                                  <w:marBottom w:val="0"/>
                                                                                  <w:divBdr>
                                                                                    <w:top w:val="none" w:sz="0" w:space="0" w:color="auto"/>
                                                                                    <w:left w:val="none" w:sz="0" w:space="0" w:color="auto"/>
                                                                                    <w:bottom w:val="none" w:sz="0" w:space="0" w:color="auto"/>
                                                                                    <w:right w:val="none" w:sz="0" w:space="0" w:color="auto"/>
                                                                                  </w:divBdr>
                                                                                  <w:divsChild>
                                                                                    <w:div w:id="1547136515">
                                                                                      <w:marLeft w:val="0"/>
                                                                                      <w:marRight w:val="0"/>
                                                                                      <w:marTop w:val="0"/>
                                                                                      <w:marBottom w:val="0"/>
                                                                                      <w:divBdr>
                                                                                        <w:top w:val="none" w:sz="0" w:space="0" w:color="auto"/>
                                                                                        <w:left w:val="none" w:sz="0" w:space="0" w:color="auto"/>
                                                                                        <w:bottom w:val="none" w:sz="0" w:space="0" w:color="auto"/>
                                                                                        <w:right w:val="none" w:sz="0" w:space="0" w:color="auto"/>
                                                                                      </w:divBdr>
                                                                                      <w:divsChild>
                                                                                        <w:div w:id="2059665827">
                                                                                          <w:marLeft w:val="0"/>
                                                                                          <w:marRight w:val="0"/>
                                                                                          <w:marTop w:val="0"/>
                                                                                          <w:marBottom w:val="0"/>
                                                                                          <w:divBdr>
                                                                                            <w:top w:val="none" w:sz="0" w:space="0" w:color="auto"/>
                                                                                            <w:left w:val="none" w:sz="0" w:space="0" w:color="auto"/>
                                                                                            <w:bottom w:val="none" w:sz="0" w:space="0" w:color="auto"/>
                                                                                            <w:right w:val="none" w:sz="0" w:space="0" w:color="auto"/>
                                                                                          </w:divBdr>
                                                                                          <w:divsChild>
                                                                                            <w:div w:id="13394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011798">
      <w:bodyDiv w:val="1"/>
      <w:marLeft w:val="0"/>
      <w:marRight w:val="0"/>
      <w:marTop w:val="0"/>
      <w:marBottom w:val="0"/>
      <w:divBdr>
        <w:top w:val="none" w:sz="0" w:space="0" w:color="auto"/>
        <w:left w:val="none" w:sz="0" w:space="0" w:color="auto"/>
        <w:bottom w:val="none" w:sz="0" w:space="0" w:color="auto"/>
        <w:right w:val="none" w:sz="0" w:space="0" w:color="auto"/>
      </w:divBdr>
    </w:div>
    <w:div w:id="807940554">
      <w:bodyDiv w:val="1"/>
      <w:marLeft w:val="0"/>
      <w:marRight w:val="0"/>
      <w:marTop w:val="0"/>
      <w:marBottom w:val="0"/>
      <w:divBdr>
        <w:top w:val="none" w:sz="0" w:space="0" w:color="auto"/>
        <w:left w:val="none" w:sz="0" w:space="0" w:color="auto"/>
        <w:bottom w:val="none" w:sz="0" w:space="0" w:color="auto"/>
        <w:right w:val="none" w:sz="0" w:space="0" w:color="auto"/>
      </w:divBdr>
    </w:div>
    <w:div w:id="817500177">
      <w:bodyDiv w:val="1"/>
      <w:marLeft w:val="0"/>
      <w:marRight w:val="0"/>
      <w:marTop w:val="0"/>
      <w:marBottom w:val="0"/>
      <w:divBdr>
        <w:top w:val="none" w:sz="0" w:space="0" w:color="auto"/>
        <w:left w:val="none" w:sz="0" w:space="0" w:color="auto"/>
        <w:bottom w:val="none" w:sz="0" w:space="0" w:color="auto"/>
        <w:right w:val="none" w:sz="0" w:space="0" w:color="auto"/>
      </w:divBdr>
    </w:div>
    <w:div w:id="840857145">
      <w:bodyDiv w:val="1"/>
      <w:marLeft w:val="0"/>
      <w:marRight w:val="0"/>
      <w:marTop w:val="0"/>
      <w:marBottom w:val="0"/>
      <w:divBdr>
        <w:top w:val="none" w:sz="0" w:space="0" w:color="auto"/>
        <w:left w:val="none" w:sz="0" w:space="0" w:color="auto"/>
        <w:bottom w:val="none" w:sz="0" w:space="0" w:color="auto"/>
        <w:right w:val="none" w:sz="0" w:space="0" w:color="auto"/>
      </w:divBdr>
      <w:divsChild>
        <w:div w:id="1006205525">
          <w:marLeft w:val="547"/>
          <w:marRight w:val="0"/>
          <w:marTop w:val="0"/>
          <w:marBottom w:val="0"/>
          <w:divBdr>
            <w:top w:val="none" w:sz="0" w:space="0" w:color="auto"/>
            <w:left w:val="none" w:sz="0" w:space="0" w:color="auto"/>
            <w:bottom w:val="none" w:sz="0" w:space="0" w:color="auto"/>
            <w:right w:val="none" w:sz="0" w:space="0" w:color="auto"/>
          </w:divBdr>
        </w:div>
      </w:divsChild>
    </w:div>
    <w:div w:id="853152754">
      <w:bodyDiv w:val="1"/>
      <w:marLeft w:val="0"/>
      <w:marRight w:val="0"/>
      <w:marTop w:val="0"/>
      <w:marBottom w:val="0"/>
      <w:divBdr>
        <w:top w:val="none" w:sz="0" w:space="0" w:color="auto"/>
        <w:left w:val="none" w:sz="0" w:space="0" w:color="auto"/>
        <w:bottom w:val="none" w:sz="0" w:space="0" w:color="auto"/>
        <w:right w:val="none" w:sz="0" w:space="0" w:color="auto"/>
      </w:divBdr>
    </w:div>
    <w:div w:id="971440723">
      <w:bodyDiv w:val="1"/>
      <w:marLeft w:val="0"/>
      <w:marRight w:val="0"/>
      <w:marTop w:val="0"/>
      <w:marBottom w:val="0"/>
      <w:divBdr>
        <w:top w:val="none" w:sz="0" w:space="0" w:color="auto"/>
        <w:left w:val="none" w:sz="0" w:space="0" w:color="auto"/>
        <w:bottom w:val="none" w:sz="0" w:space="0" w:color="auto"/>
        <w:right w:val="none" w:sz="0" w:space="0" w:color="auto"/>
      </w:divBdr>
    </w:div>
    <w:div w:id="1014529883">
      <w:bodyDiv w:val="1"/>
      <w:marLeft w:val="0"/>
      <w:marRight w:val="0"/>
      <w:marTop w:val="0"/>
      <w:marBottom w:val="0"/>
      <w:divBdr>
        <w:top w:val="none" w:sz="0" w:space="0" w:color="auto"/>
        <w:left w:val="none" w:sz="0" w:space="0" w:color="auto"/>
        <w:bottom w:val="none" w:sz="0" w:space="0" w:color="auto"/>
        <w:right w:val="none" w:sz="0" w:space="0" w:color="auto"/>
      </w:divBdr>
    </w:div>
    <w:div w:id="1065569160">
      <w:bodyDiv w:val="1"/>
      <w:marLeft w:val="0"/>
      <w:marRight w:val="0"/>
      <w:marTop w:val="0"/>
      <w:marBottom w:val="0"/>
      <w:divBdr>
        <w:top w:val="none" w:sz="0" w:space="0" w:color="auto"/>
        <w:left w:val="none" w:sz="0" w:space="0" w:color="auto"/>
        <w:bottom w:val="none" w:sz="0" w:space="0" w:color="auto"/>
        <w:right w:val="none" w:sz="0" w:space="0" w:color="auto"/>
      </w:divBdr>
    </w:div>
    <w:div w:id="1104494396">
      <w:bodyDiv w:val="1"/>
      <w:marLeft w:val="0"/>
      <w:marRight w:val="0"/>
      <w:marTop w:val="0"/>
      <w:marBottom w:val="0"/>
      <w:divBdr>
        <w:top w:val="none" w:sz="0" w:space="0" w:color="auto"/>
        <w:left w:val="none" w:sz="0" w:space="0" w:color="auto"/>
        <w:bottom w:val="none" w:sz="0" w:space="0" w:color="auto"/>
        <w:right w:val="none" w:sz="0" w:space="0" w:color="auto"/>
      </w:divBdr>
      <w:divsChild>
        <w:div w:id="1557080172">
          <w:marLeft w:val="547"/>
          <w:marRight w:val="0"/>
          <w:marTop w:val="0"/>
          <w:marBottom w:val="0"/>
          <w:divBdr>
            <w:top w:val="none" w:sz="0" w:space="0" w:color="auto"/>
            <w:left w:val="none" w:sz="0" w:space="0" w:color="auto"/>
            <w:bottom w:val="none" w:sz="0" w:space="0" w:color="auto"/>
            <w:right w:val="none" w:sz="0" w:space="0" w:color="auto"/>
          </w:divBdr>
        </w:div>
      </w:divsChild>
    </w:div>
    <w:div w:id="1176576144">
      <w:bodyDiv w:val="1"/>
      <w:marLeft w:val="0"/>
      <w:marRight w:val="0"/>
      <w:marTop w:val="0"/>
      <w:marBottom w:val="0"/>
      <w:divBdr>
        <w:top w:val="none" w:sz="0" w:space="0" w:color="auto"/>
        <w:left w:val="none" w:sz="0" w:space="0" w:color="auto"/>
        <w:bottom w:val="none" w:sz="0" w:space="0" w:color="auto"/>
        <w:right w:val="none" w:sz="0" w:space="0" w:color="auto"/>
      </w:divBdr>
    </w:div>
    <w:div w:id="1215313122">
      <w:bodyDiv w:val="1"/>
      <w:marLeft w:val="0"/>
      <w:marRight w:val="0"/>
      <w:marTop w:val="0"/>
      <w:marBottom w:val="0"/>
      <w:divBdr>
        <w:top w:val="none" w:sz="0" w:space="0" w:color="auto"/>
        <w:left w:val="none" w:sz="0" w:space="0" w:color="auto"/>
        <w:bottom w:val="none" w:sz="0" w:space="0" w:color="auto"/>
        <w:right w:val="none" w:sz="0" w:space="0" w:color="auto"/>
      </w:divBdr>
    </w:div>
    <w:div w:id="1219438773">
      <w:bodyDiv w:val="1"/>
      <w:marLeft w:val="0"/>
      <w:marRight w:val="0"/>
      <w:marTop w:val="0"/>
      <w:marBottom w:val="0"/>
      <w:divBdr>
        <w:top w:val="none" w:sz="0" w:space="0" w:color="auto"/>
        <w:left w:val="none" w:sz="0" w:space="0" w:color="auto"/>
        <w:bottom w:val="none" w:sz="0" w:space="0" w:color="auto"/>
        <w:right w:val="none" w:sz="0" w:space="0" w:color="auto"/>
      </w:divBdr>
      <w:divsChild>
        <w:div w:id="414865363">
          <w:marLeft w:val="0"/>
          <w:marRight w:val="0"/>
          <w:marTop w:val="0"/>
          <w:marBottom w:val="0"/>
          <w:divBdr>
            <w:top w:val="none" w:sz="0" w:space="0" w:color="auto"/>
            <w:left w:val="none" w:sz="0" w:space="0" w:color="auto"/>
            <w:bottom w:val="none" w:sz="0" w:space="0" w:color="auto"/>
            <w:right w:val="none" w:sz="0" w:space="0" w:color="auto"/>
          </w:divBdr>
          <w:divsChild>
            <w:div w:id="385374652">
              <w:marLeft w:val="0"/>
              <w:marRight w:val="0"/>
              <w:marTop w:val="0"/>
              <w:marBottom w:val="0"/>
              <w:divBdr>
                <w:top w:val="none" w:sz="0" w:space="0" w:color="auto"/>
                <w:left w:val="none" w:sz="0" w:space="0" w:color="auto"/>
                <w:bottom w:val="none" w:sz="0" w:space="0" w:color="auto"/>
                <w:right w:val="none" w:sz="0" w:space="0" w:color="auto"/>
              </w:divBdr>
              <w:divsChild>
                <w:div w:id="425077470">
                  <w:marLeft w:val="0"/>
                  <w:marRight w:val="0"/>
                  <w:marTop w:val="0"/>
                  <w:marBottom w:val="0"/>
                  <w:divBdr>
                    <w:top w:val="none" w:sz="0" w:space="0" w:color="auto"/>
                    <w:left w:val="none" w:sz="0" w:space="0" w:color="auto"/>
                    <w:bottom w:val="none" w:sz="0" w:space="0" w:color="auto"/>
                    <w:right w:val="none" w:sz="0" w:space="0" w:color="auto"/>
                  </w:divBdr>
                  <w:divsChild>
                    <w:div w:id="1999382581">
                      <w:marLeft w:val="0"/>
                      <w:marRight w:val="0"/>
                      <w:marTop w:val="0"/>
                      <w:marBottom w:val="0"/>
                      <w:divBdr>
                        <w:top w:val="none" w:sz="0" w:space="0" w:color="auto"/>
                        <w:left w:val="none" w:sz="0" w:space="0" w:color="auto"/>
                        <w:bottom w:val="none" w:sz="0" w:space="0" w:color="auto"/>
                        <w:right w:val="none" w:sz="0" w:space="0" w:color="auto"/>
                      </w:divBdr>
                      <w:divsChild>
                        <w:div w:id="1346327407">
                          <w:marLeft w:val="0"/>
                          <w:marRight w:val="0"/>
                          <w:marTop w:val="0"/>
                          <w:marBottom w:val="0"/>
                          <w:divBdr>
                            <w:top w:val="none" w:sz="0" w:space="0" w:color="auto"/>
                            <w:left w:val="none" w:sz="0" w:space="0" w:color="auto"/>
                            <w:bottom w:val="none" w:sz="0" w:space="0" w:color="auto"/>
                            <w:right w:val="none" w:sz="0" w:space="0" w:color="auto"/>
                          </w:divBdr>
                          <w:divsChild>
                            <w:div w:id="2032796264">
                              <w:marLeft w:val="0"/>
                              <w:marRight w:val="0"/>
                              <w:marTop w:val="0"/>
                              <w:marBottom w:val="0"/>
                              <w:divBdr>
                                <w:top w:val="none" w:sz="0" w:space="0" w:color="auto"/>
                                <w:left w:val="none" w:sz="0" w:space="0" w:color="auto"/>
                                <w:bottom w:val="none" w:sz="0" w:space="0" w:color="auto"/>
                                <w:right w:val="none" w:sz="0" w:space="0" w:color="auto"/>
                              </w:divBdr>
                              <w:divsChild>
                                <w:div w:id="151459177">
                                  <w:marLeft w:val="0"/>
                                  <w:marRight w:val="0"/>
                                  <w:marTop w:val="0"/>
                                  <w:marBottom w:val="0"/>
                                  <w:divBdr>
                                    <w:top w:val="none" w:sz="0" w:space="0" w:color="auto"/>
                                    <w:left w:val="none" w:sz="0" w:space="0" w:color="auto"/>
                                    <w:bottom w:val="none" w:sz="0" w:space="0" w:color="auto"/>
                                    <w:right w:val="none" w:sz="0" w:space="0" w:color="auto"/>
                                  </w:divBdr>
                                  <w:divsChild>
                                    <w:div w:id="1737624363">
                                      <w:marLeft w:val="0"/>
                                      <w:marRight w:val="0"/>
                                      <w:marTop w:val="0"/>
                                      <w:marBottom w:val="0"/>
                                      <w:divBdr>
                                        <w:top w:val="none" w:sz="0" w:space="0" w:color="auto"/>
                                        <w:left w:val="none" w:sz="0" w:space="0" w:color="auto"/>
                                        <w:bottom w:val="none" w:sz="0" w:space="0" w:color="auto"/>
                                        <w:right w:val="none" w:sz="0" w:space="0" w:color="auto"/>
                                      </w:divBdr>
                                      <w:divsChild>
                                        <w:div w:id="1958680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522943">
      <w:bodyDiv w:val="1"/>
      <w:marLeft w:val="0"/>
      <w:marRight w:val="0"/>
      <w:marTop w:val="0"/>
      <w:marBottom w:val="0"/>
      <w:divBdr>
        <w:top w:val="none" w:sz="0" w:space="0" w:color="auto"/>
        <w:left w:val="none" w:sz="0" w:space="0" w:color="auto"/>
        <w:bottom w:val="none" w:sz="0" w:space="0" w:color="auto"/>
        <w:right w:val="none" w:sz="0" w:space="0" w:color="auto"/>
      </w:divBdr>
    </w:div>
    <w:div w:id="1270772261">
      <w:bodyDiv w:val="1"/>
      <w:marLeft w:val="0"/>
      <w:marRight w:val="0"/>
      <w:marTop w:val="0"/>
      <w:marBottom w:val="0"/>
      <w:divBdr>
        <w:top w:val="none" w:sz="0" w:space="0" w:color="auto"/>
        <w:left w:val="none" w:sz="0" w:space="0" w:color="auto"/>
        <w:bottom w:val="none" w:sz="0" w:space="0" w:color="auto"/>
        <w:right w:val="none" w:sz="0" w:space="0" w:color="auto"/>
      </w:divBdr>
    </w:div>
    <w:div w:id="1307785167">
      <w:bodyDiv w:val="1"/>
      <w:marLeft w:val="0"/>
      <w:marRight w:val="0"/>
      <w:marTop w:val="0"/>
      <w:marBottom w:val="0"/>
      <w:divBdr>
        <w:top w:val="none" w:sz="0" w:space="0" w:color="auto"/>
        <w:left w:val="none" w:sz="0" w:space="0" w:color="auto"/>
        <w:bottom w:val="none" w:sz="0" w:space="0" w:color="auto"/>
        <w:right w:val="none" w:sz="0" w:space="0" w:color="auto"/>
      </w:divBdr>
      <w:divsChild>
        <w:div w:id="560336272">
          <w:marLeft w:val="0"/>
          <w:marRight w:val="0"/>
          <w:marTop w:val="0"/>
          <w:marBottom w:val="0"/>
          <w:divBdr>
            <w:top w:val="none" w:sz="0" w:space="0" w:color="auto"/>
            <w:left w:val="none" w:sz="0" w:space="0" w:color="auto"/>
            <w:bottom w:val="none" w:sz="0" w:space="0" w:color="auto"/>
            <w:right w:val="none" w:sz="0" w:space="0" w:color="auto"/>
          </w:divBdr>
          <w:divsChild>
            <w:div w:id="923690002">
              <w:marLeft w:val="0"/>
              <w:marRight w:val="0"/>
              <w:marTop w:val="0"/>
              <w:marBottom w:val="0"/>
              <w:divBdr>
                <w:top w:val="none" w:sz="0" w:space="0" w:color="auto"/>
                <w:left w:val="none" w:sz="0" w:space="0" w:color="auto"/>
                <w:bottom w:val="none" w:sz="0" w:space="0" w:color="auto"/>
                <w:right w:val="none" w:sz="0" w:space="0" w:color="auto"/>
              </w:divBdr>
              <w:divsChild>
                <w:div w:id="541095405">
                  <w:marLeft w:val="0"/>
                  <w:marRight w:val="0"/>
                  <w:marTop w:val="0"/>
                  <w:marBottom w:val="0"/>
                  <w:divBdr>
                    <w:top w:val="none" w:sz="0" w:space="0" w:color="auto"/>
                    <w:left w:val="none" w:sz="0" w:space="0" w:color="auto"/>
                    <w:bottom w:val="none" w:sz="0" w:space="0" w:color="auto"/>
                    <w:right w:val="none" w:sz="0" w:space="0" w:color="auto"/>
                  </w:divBdr>
                  <w:divsChild>
                    <w:div w:id="84957534">
                      <w:marLeft w:val="0"/>
                      <w:marRight w:val="0"/>
                      <w:marTop w:val="0"/>
                      <w:marBottom w:val="0"/>
                      <w:divBdr>
                        <w:top w:val="none" w:sz="0" w:space="0" w:color="auto"/>
                        <w:left w:val="none" w:sz="0" w:space="0" w:color="auto"/>
                        <w:bottom w:val="none" w:sz="0" w:space="0" w:color="auto"/>
                        <w:right w:val="none" w:sz="0" w:space="0" w:color="auto"/>
                      </w:divBdr>
                      <w:divsChild>
                        <w:div w:id="1699426361">
                          <w:marLeft w:val="0"/>
                          <w:marRight w:val="0"/>
                          <w:marTop w:val="0"/>
                          <w:marBottom w:val="0"/>
                          <w:divBdr>
                            <w:top w:val="none" w:sz="0" w:space="0" w:color="auto"/>
                            <w:left w:val="none" w:sz="0" w:space="0" w:color="auto"/>
                            <w:bottom w:val="none" w:sz="0" w:space="0" w:color="auto"/>
                            <w:right w:val="none" w:sz="0" w:space="0" w:color="auto"/>
                          </w:divBdr>
                          <w:divsChild>
                            <w:div w:id="2009090870">
                              <w:marLeft w:val="0"/>
                              <w:marRight w:val="0"/>
                              <w:marTop w:val="0"/>
                              <w:marBottom w:val="0"/>
                              <w:divBdr>
                                <w:top w:val="none" w:sz="0" w:space="0" w:color="auto"/>
                                <w:left w:val="none" w:sz="0" w:space="0" w:color="auto"/>
                                <w:bottom w:val="none" w:sz="0" w:space="0" w:color="auto"/>
                                <w:right w:val="none" w:sz="0" w:space="0" w:color="auto"/>
                              </w:divBdr>
                              <w:divsChild>
                                <w:div w:id="12126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846260">
      <w:bodyDiv w:val="1"/>
      <w:marLeft w:val="0"/>
      <w:marRight w:val="0"/>
      <w:marTop w:val="0"/>
      <w:marBottom w:val="0"/>
      <w:divBdr>
        <w:top w:val="none" w:sz="0" w:space="0" w:color="auto"/>
        <w:left w:val="none" w:sz="0" w:space="0" w:color="auto"/>
        <w:bottom w:val="none" w:sz="0" w:space="0" w:color="auto"/>
        <w:right w:val="none" w:sz="0" w:space="0" w:color="auto"/>
      </w:divBdr>
    </w:div>
    <w:div w:id="1365521509">
      <w:bodyDiv w:val="1"/>
      <w:marLeft w:val="0"/>
      <w:marRight w:val="0"/>
      <w:marTop w:val="0"/>
      <w:marBottom w:val="0"/>
      <w:divBdr>
        <w:top w:val="none" w:sz="0" w:space="0" w:color="auto"/>
        <w:left w:val="none" w:sz="0" w:space="0" w:color="auto"/>
        <w:bottom w:val="none" w:sz="0" w:space="0" w:color="auto"/>
        <w:right w:val="none" w:sz="0" w:space="0" w:color="auto"/>
      </w:divBdr>
    </w:div>
    <w:div w:id="1426460045">
      <w:bodyDiv w:val="1"/>
      <w:marLeft w:val="0"/>
      <w:marRight w:val="0"/>
      <w:marTop w:val="0"/>
      <w:marBottom w:val="0"/>
      <w:divBdr>
        <w:top w:val="none" w:sz="0" w:space="0" w:color="auto"/>
        <w:left w:val="none" w:sz="0" w:space="0" w:color="auto"/>
        <w:bottom w:val="none" w:sz="0" w:space="0" w:color="auto"/>
        <w:right w:val="none" w:sz="0" w:space="0" w:color="auto"/>
      </w:divBdr>
    </w:div>
    <w:div w:id="1457984499">
      <w:bodyDiv w:val="1"/>
      <w:marLeft w:val="0"/>
      <w:marRight w:val="0"/>
      <w:marTop w:val="0"/>
      <w:marBottom w:val="0"/>
      <w:divBdr>
        <w:top w:val="none" w:sz="0" w:space="0" w:color="auto"/>
        <w:left w:val="none" w:sz="0" w:space="0" w:color="auto"/>
        <w:bottom w:val="none" w:sz="0" w:space="0" w:color="auto"/>
        <w:right w:val="none" w:sz="0" w:space="0" w:color="auto"/>
      </w:divBdr>
    </w:div>
    <w:div w:id="1498417706">
      <w:bodyDiv w:val="1"/>
      <w:marLeft w:val="0"/>
      <w:marRight w:val="0"/>
      <w:marTop w:val="0"/>
      <w:marBottom w:val="0"/>
      <w:divBdr>
        <w:top w:val="none" w:sz="0" w:space="0" w:color="auto"/>
        <w:left w:val="none" w:sz="0" w:space="0" w:color="auto"/>
        <w:bottom w:val="none" w:sz="0" w:space="0" w:color="auto"/>
        <w:right w:val="none" w:sz="0" w:space="0" w:color="auto"/>
      </w:divBdr>
    </w:div>
    <w:div w:id="1618565917">
      <w:bodyDiv w:val="1"/>
      <w:marLeft w:val="0"/>
      <w:marRight w:val="0"/>
      <w:marTop w:val="0"/>
      <w:marBottom w:val="0"/>
      <w:divBdr>
        <w:top w:val="none" w:sz="0" w:space="0" w:color="auto"/>
        <w:left w:val="none" w:sz="0" w:space="0" w:color="auto"/>
        <w:bottom w:val="none" w:sz="0" w:space="0" w:color="auto"/>
        <w:right w:val="none" w:sz="0" w:space="0" w:color="auto"/>
      </w:divBdr>
      <w:divsChild>
        <w:div w:id="1081372676">
          <w:marLeft w:val="0"/>
          <w:marRight w:val="0"/>
          <w:marTop w:val="0"/>
          <w:marBottom w:val="0"/>
          <w:divBdr>
            <w:top w:val="none" w:sz="0" w:space="0" w:color="auto"/>
            <w:left w:val="none" w:sz="0" w:space="0" w:color="auto"/>
            <w:bottom w:val="none" w:sz="0" w:space="0" w:color="auto"/>
            <w:right w:val="none" w:sz="0" w:space="0" w:color="auto"/>
          </w:divBdr>
          <w:divsChild>
            <w:div w:id="608388716">
              <w:marLeft w:val="0"/>
              <w:marRight w:val="0"/>
              <w:marTop w:val="0"/>
              <w:marBottom w:val="0"/>
              <w:divBdr>
                <w:top w:val="none" w:sz="0" w:space="0" w:color="auto"/>
                <w:left w:val="none" w:sz="0" w:space="0" w:color="auto"/>
                <w:bottom w:val="none" w:sz="0" w:space="0" w:color="auto"/>
                <w:right w:val="none" w:sz="0" w:space="0" w:color="auto"/>
              </w:divBdr>
              <w:divsChild>
                <w:div w:id="1891073270">
                  <w:marLeft w:val="0"/>
                  <w:marRight w:val="0"/>
                  <w:marTop w:val="0"/>
                  <w:marBottom w:val="0"/>
                  <w:divBdr>
                    <w:top w:val="none" w:sz="0" w:space="0" w:color="auto"/>
                    <w:left w:val="none" w:sz="0" w:space="0" w:color="auto"/>
                    <w:bottom w:val="none" w:sz="0" w:space="0" w:color="auto"/>
                    <w:right w:val="none" w:sz="0" w:space="0" w:color="auto"/>
                  </w:divBdr>
                  <w:divsChild>
                    <w:div w:id="138086366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19339992">
      <w:bodyDiv w:val="1"/>
      <w:marLeft w:val="0"/>
      <w:marRight w:val="0"/>
      <w:marTop w:val="0"/>
      <w:marBottom w:val="0"/>
      <w:divBdr>
        <w:top w:val="none" w:sz="0" w:space="0" w:color="auto"/>
        <w:left w:val="none" w:sz="0" w:space="0" w:color="auto"/>
        <w:bottom w:val="none" w:sz="0" w:space="0" w:color="auto"/>
        <w:right w:val="none" w:sz="0" w:space="0" w:color="auto"/>
      </w:divBdr>
      <w:divsChild>
        <w:div w:id="276839290">
          <w:marLeft w:val="0"/>
          <w:marRight w:val="0"/>
          <w:marTop w:val="0"/>
          <w:marBottom w:val="0"/>
          <w:divBdr>
            <w:top w:val="none" w:sz="0" w:space="0" w:color="auto"/>
            <w:left w:val="none" w:sz="0" w:space="0" w:color="auto"/>
            <w:bottom w:val="none" w:sz="0" w:space="0" w:color="auto"/>
            <w:right w:val="none" w:sz="0" w:space="0" w:color="auto"/>
          </w:divBdr>
          <w:divsChild>
            <w:div w:id="1717925983">
              <w:marLeft w:val="0"/>
              <w:marRight w:val="0"/>
              <w:marTop w:val="0"/>
              <w:marBottom w:val="0"/>
              <w:divBdr>
                <w:top w:val="none" w:sz="0" w:space="0" w:color="auto"/>
                <w:left w:val="none" w:sz="0" w:space="0" w:color="auto"/>
                <w:bottom w:val="none" w:sz="0" w:space="0" w:color="auto"/>
                <w:right w:val="none" w:sz="0" w:space="0" w:color="auto"/>
              </w:divBdr>
              <w:divsChild>
                <w:div w:id="1260144150">
                  <w:marLeft w:val="0"/>
                  <w:marRight w:val="0"/>
                  <w:marTop w:val="0"/>
                  <w:marBottom w:val="0"/>
                  <w:divBdr>
                    <w:top w:val="none" w:sz="0" w:space="0" w:color="auto"/>
                    <w:left w:val="none" w:sz="0" w:space="0" w:color="auto"/>
                    <w:bottom w:val="none" w:sz="0" w:space="0" w:color="auto"/>
                    <w:right w:val="none" w:sz="0" w:space="0" w:color="auto"/>
                  </w:divBdr>
                  <w:divsChild>
                    <w:div w:id="1079207328">
                      <w:marLeft w:val="-150"/>
                      <w:marRight w:val="-150"/>
                      <w:marTop w:val="0"/>
                      <w:marBottom w:val="0"/>
                      <w:divBdr>
                        <w:top w:val="none" w:sz="0" w:space="0" w:color="auto"/>
                        <w:left w:val="none" w:sz="0" w:space="0" w:color="auto"/>
                        <w:bottom w:val="none" w:sz="0" w:space="0" w:color="auto"/>
                        <w:right w:val="none" w:sz="0" w:space="0" w:color="auto"/>
                      </w:divBdr>
                      <w:divsChild>
                        <w:div w:id="942112745">
                          <w:marLeft w:val="0"/>
                          <w:marRight w:val="0"/>
                          <w:marTop w:val="0"/>
                          <w:marBottom w:val="0"/>
                          <w:divBdr>
                            <w:top w:val="none" w:sz="0" w:space="0" w:color="auto"/>
                            <w:left w:val="none" w:sz="0" w:space="0" w:color="auto"/>
                            <w:bottom w:val="none" w:sz="0" w:space="0" w:color="auto"/>
                            <w:right w:val="none" w:sz="0" w:space="0" w:color="auto"/>
                          </w:divBdr>
                          <w:divsChild>
                            <w:div w:id="449249795">
                              <w:marLeft w:val="0"/>
                              <w:marRight w:val="0"/>
                              <w:marTop w:val="0"/>
                              <w:marBottom w:val="0"/>
                              <w:divBdr>
                                <w:top w:val="none" w:sz="0" w:space="0" w:color="auto"/>
                                <w:left w:val="none" w:sz="0" w:space="0" w:color="auto"/>
                                <w:bottom w:val="none" w:sz="0" w:space="0" w:color="auto"/>
                                <w:right w:val="none" w:sz="0" w:space="0" w:color="auto"/>
                              </w:divBdr>
                              <w:divsChild>
                                <w:div w:id="1265919024">
                                  <w:marLeft w:val="0"/>
                                  <w:marRight w:val="0"/>
                                  <w:marTop w:val="0"/>
                                  <w:marBottom w:val="0"/>
                                  <w:divBdr>
                                    <w:top w:val="none" w:sz="0" w:space="0" w:color="auto"/>
                                    <w:left w:val="none" w:sz="0" w:space="0" w:color="auto"/>
                                    <w:bottom w:val="none" w:sz="0" w:space="0" w:color="auto"/>
                                    <w:right w:val="none" w:sz="0" w:space="0" w:color="auto"/>
                                  </w:divBdr>
                                  <w:divsChild>
                                    <w:div w:id="1672676968">
                                      <w:marLeft w:val="0"/>
                                      <w:marRight w:val="0"/>
                                      <w:marTop w:val="0"/>
                                      <w:marBottom w:val="0"/>
                                      <w:divBdr>
                                        <w:top w:val="none" w:sz="0" w:space="0" w:color="auto"/>
                                        <w:left w:val="none" w:sz="0" w:space="0" w:color="auto"/>
                                        <w:bottom w:val="none" w:sz="0" w:space="0" w:color="auto"/>
                                        <w:right w:val="none" w:sz="0" w:space="0" w:color="auto"/>
                                      </w:divBdr>
                                      <w:divsChild>
                                        <w:div w:id="9766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555744">
      <w:bodyDiv w:val="1"/>
      <w:marLeft w:val="0"/>
      <w:marRight w:val="0"/>
      <w:marTop w:val="0"/>
      <w:marBottom w:val="0"/>
      <w:divBdr>
        <w:top w:val="none" w:sz="0" w:space="0" w:color="auto"/>
        <w:left w:val="none" w:sz="0" w:space="0" w:color="auto"/>
        <w:bottom w:val="none" w:sz="0" w:space="0" w:color="auto"/>
        <w:right w:val="none" w:sz="0" w:space="0" w:color="auto"/>
      </w:divBdr>
      <w:divsChild>
        <w:div w:id="2032946624">
          <w:marLeft w:val="547"/>
          <w:marRight w:val="0"/>
          <w:marTop w:val="0"/>
          <w:marBottom w:val="0"/>
          <w:divBdr>
            <w:top w:val="none" w:sz="0" w:space="0" w:color="auto"/>
            <w:left w:val="none" w:sz="0" w:space="0" w:color="auto"/>
            <w:bottom w:val="none" w:sz="0" w:space="0" w:color="auto"/>
            <w:right w:val="none" w:sz="0" w:space="0" w:color="auto"/>
          </w:divBdr>
        </w:div>
      </w:divsChild>
    </w:div>
    <w:div w:id="1717313464">
      <w:bodyDiv w:val="1"/>
      <w:marLeft w:val="0"/>
      <w:marRight w:val="0"/>
      <w:marTop w:val="0"/>
      <w:marBottom w:val="0"/>
      <w:divBdr>
        <w:top w:val="none" w:sz="0" w:space="0" w:color="auto"/>
        <w:left w:val="none" w:sz="0" w:space="0" w:color="auto"/>
        <w:bottom w:val="none" w:sz="0" w:space="0" w:color="auto"/>
        <w:right w:val="none" w:sz="0" w:space="0" w:color="auto"/>
      </w:divBdr>
    </w:div>
    <w:div w:id="1724207876">
      <w:bodyDiv w:val="1"/>
      <w:marLeft w:val="0"/>
      <w:marRight w:val="0"/>
      <w:marTop w:val="0"/>
      <w:marBottom w:val="0"/>
      <w:divBdr>
        <w:top w:val="none" w:sz="0" w:space="0" w:color="auto"/>
        <w:left w:val="none" w:sz="0" w:space="0" w:color="auto"/>
        <w:bottom w:val="none" w:sz="0" w:space="0" w:color="auto"/>
        <w:right w:val="none" w:sz="0" w:space="0" w:color="auto"/>
      </w:divBdr>
    </w:div>
    <w:div w:id="1743869433">
      <w:bodyDiv w:val="1"/>
      <w:marLeft w:val="0"/>
      <w:marRight w:val="0"/>
      <w:marTop w:val="0"/>
      <w:marBottom w:val="0"/>
      <w:divBdr>
        <w:top w:val="none" w:sz="0" w:space="0" w:color="auto"/>
        <w:left w:val="none" w:sz="0" w:space="0" w:color="auto"/>
        <w:bottom w:val="none" w:sz="0" w:space="0" w:color="auto"/>
        <w:right w:val="none" w:sz="0" w:space="0" w:color="auto"/>
      </w:divBdr>
      <w:divsChild>
        <w:div w:id="1861774673">
          <w:marLeft w:val="0"/>
          <w:marRight w:val="0"/>
          <w:marTop w:val="0"/>
          <w:marBottom w:val="0"/>
          <w:divBdr>
            <w:top w:val="none" w:sz="0" w:space="0" w:color="auto"/>
            <w:left w:val="none" w:sz="0" w:space="0" w:color="auto"/>
            <w:bottom w:val="none" w:sz="0" w:space="0" w:color="auto"/>
            <w:right w:val="none" w:sz="0" w:space="0" w:color="auto"/>
          </w:divBdr>
          <w:divsChild>
            <w:div w:id="1406952051">
              <w:marLeft w:val="-225"/>
              <w:marRight w:val="-225"/>
              <w:marTop w:val="0"/>
              <w:marBottom w:val="0"/>
              <w:divBdr>
                <w:top w:val="none" w:sz="0" w:space="0" w:color="auto"/>
                <w:left w:val="none" w:sz="0" w:space="0" w:color="auto"/>
                <w:bottom w:val="none" w:sz="0" w:space="0" w:color="auto"/>
                <w:right w:val="none" w:sz="0" w:space="0" w:color="auto"/>
              </w:divBdr>
              <w:divsChild>
                <w:div w:id="2026856056">
                  <w:marLeft w:val="0"/>
                  <w:marRight w:val="0"/>
                  <w:marTop w:val="0"/>
                  <w:marBottom w:val="0"/>
                  <w:divBdr>
                    <w:top w:val="none" w:sz="0" w:space="0" w:color="auto"/>
                    <w:left w:val="none" w:sz="0" w:space="0" w:color="auto"/>
                    <w:bottom w:val="none" w:sz="0" w:space="0" w:color="auto"/>
                    <w:right w:val="none" w:sz="0" w:space="0" w:color="auto"/>
                  </w:divBdr>
                  <w:divsChild>
                    <w:div w:id="1461414415">
                      <w:marLeft w:val="0"/>
                      <w:marRight w:val="0"/>
                      <w:marTop w:val="0"/>
                      <w:marBottom w:val="0"/>
                      <w:divBdr>
                        <w:top w:val="none" w:sz="0" w:space="0" w:color="auto"/>
                        <w:left w:val="none" w:sz="0" w:space="0" w:color="auto"/>
                        <w:bottom w:val="none" w:sz="0" w:space="0" w:color="auto"/>
                        <w:right w:val="none" w:sz="0" w:space="0" w:color="auto"/>
                      </w:divBdr>
                      <w:divsChild>
                        <w:div w:id="1292442274">
                          <w:marLeft w:val="0"/>
                          <w:marRight w:val="0"/>
                          <w:marTop w:val="0"/>
                          <w:marBottom w:val="0"/>
                          <w:divBdr>
                            <w:top w:val="none" w:sz="0" w:space="0" w:color="auto"/>
                            <w:left w:val="none" w:sz="0" w:space="0" w:color="auto"/>
                            <w:bottom w:val="none" w:sz="0" w:space="0" w:color="auto"/>
                            <w:right w:val="none" w:sz="0" w:space="0" w:color="auto"/>
                          </w:divBdr>
                          <w:divsChild>
                            <w:div w:id="277762699">
                              <w:marLeft w:val="0"/>
                              <w:marRight w:val="0"/>
                              <w:marTop w:val="0"/>
                              <w:marBottom w:val="0"/>
                              <w:divBdr>
                                <w:top w:val="none" w:sz="0" w:space="0" w:color="auto"/>
                                <w:left w:val="none" w:sz="0" w:space="0" w:color="auto"/>
                                <w:bottom w:val="none" w:sz="0" w:space="0" w:color="auto"/>
                                <w:right w:val="none" w:sz="0" w:space="0" w:color="auto"/>
                              </w:divBdr>
                              <w:divsChild>
                                <w:div w:id="199516577">
                                  <w:marLeft w:val="0"/>
                                  <w:marRight w:val="0"/>
                                  <w:marTop w:val="0"/>
                                  <w:marBottom w:val="0"/>
                                  <w:divBdr>
                                    <w:top w:val="none" w:sz="0" w:space="0" w:color="auto"/>
                                    <w:left w:val="none" w:sz="0" w:space="0" w:color="auto"/>
                                    <w:bottom w:val="none" w:sz="0" w:space="0" w:color="auto"/>
                                    <w:right w:val="none" w:sz="0" w:space="0" w:color="auto"/>
                                  </w:divBdr>
                                  <w:divsChild>
                                    <w:div w:id="143670924">
                                      <w:marLeft w:val="0"/>
                                      <w:marRight w:val="0"/>
                                      <w:marTop w:val="0"/>
                                      <w:marBottom w:val="0"/>
                                      <w:divBdr>
                                        <w:top w:val="none" w:sz="0" w:space="0" w:color="auto"/>
                                        <w:left w:val="none" w:sz="0" w:space="0" w:color="auto"/>
                                        <w:bottom w:val="none" w:sz="0" w:space="0" w:color="auto"/>
                                        <w:right w:val="none" w:sz="0" w:space="0" w:color="auto"/>
                                      </w:divBdr>
                                      <w:divsChild>
                                        <w:div w:id="1679962796">
                                          <w:marLeft w:val="0"/>
                                          <w:marRight w:val="0"/>
                                          <w:marTop w:val="0"/>
                                          <w:marBottom w:val="0"/>
                                          <w:divBdr>
                                            <w:top w:val="none" w:sz="0" w:space="0" w:color="auto"/>
                                            <w:left w:val="none" w:sz="0" w:space="0" w:color="auto"/>
                                            <w:bottom w:val="none" w:sz="0" w:space="0" w:color="auto"/>
                                            <w:right w:val="none" w:sz="0" w:space="0" w:color="auto"/>
                                          </w:divBdr>
                                          <w:divsChild>
                                            <w:div w:id="329917141">
                                              <w:marLeft w:val="0"/>
                                              <w:marRight w:val="0"/>
                                              <w:marTop w:val="0"/>
                                              <w:marBottom w:val="0"/>
                                              <w:divBdr>
                                                <w:top w:val="none" w:sz="0" w:space="0" w:color="auto"/>
                                                <w:left w:val="none" w:sz="0" w:space="0" w:color="auto"/>
                                                <w:bottom w:val="none" w:sz="0" w:space="0" w:color="auto"/>
                                                <w:right w:val="none" w:sz="0" w:space="0" w:color="auto"/>
                                              </w:divBdr>
                                              <w:divsChild>
                                                <w:div w:id="475873939">
                                                  <w:marLeft w:val="0"/>
                                                  <w:marRight w:val="0"/>
                                                  <w:marTop w:val="0"/>
                                                  <w:marBottom w:val="0"/>
                                                  <w:divBdr>
                                                    <w:top w:val="none" w:sz="0" w:space="0" w:color="auto"/>
                                                    <w:left w:val="none" w:sz="0" w:space="0" w:color="auto"/>
                                                    <w:bottom w:val="none" w:sz="0" w:space="0" w:color="auto"/>
                                                    <w:right w:val="none" w:sz="0" w:space="0" w:color="auto"/>
                                                  </w:divBdr>
                                                  <w:divsChild>
                                                    <w:div w:id="11069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627476">
      <w:bodyDiv w:val="1"/>
      <w:marLeft w:val="0"/>
      <w:marRight w:val="0"/>
      <w:marTop w:val="0"/>
      <w:marBottom w:val="0"/>
      <w:divBdr>
        <w:top w:val="none" w:sz="0" w:space="0" w:color="auto"/>
        <w:left w:val="none" w:sz="0" w:space="0" w:color="auto"/>
        <w:bottom w:val="none" w:sz="0" w:space="0" w:color="auto"/>
        <w:right w:val="none" w:sz="0" w:space="0" w:color="auto"/>
      </w:divBdr>
    </w:div>
    <w:div w:id="1875119709">
      <w:bodyDiv w:val="1"/>
      <w:marLeft w:val="0"/>
      <w:marRight w:val="0"/>
      <w:marTop w:val="0"/>
      <w:marBottom w:val="0"/>
      <w:divBdr>
        <w:top w:val="none" w:sz="0" w:space="0" w:color="auto"/>
        <w:left w:val="none" w:sz="0" w:space="0" w:color="auto"/>
        <w:bottom w:val="none" w:sz="0" w:space="0" w:color="auto"/>
        <w:right w:val="none" w:sz="0" w:space="0" w:color="auto"/>
      </w:divBdr>
    </w:div>
    <w:div w:id="1891116175">
      <w:bodyDiv w:val="1"/>
      <w:marLeft w:val="0"/>
      <w:marRight w:val="0"/>
      <w:marTop w:val="0"/>
      <w:marBottom w:val="0"/>
      <w:divBdr>
        <w:top w:val="none" w:sz="0" w:space="0" w:color="auto"/>
        <w:left w:val="none" w:sz="0" w:space="0" w:color="auto"/>
        <w:bottom w:val="none" w:sz="0" w:space="0" w:color="auto"/>
        <w:right w:val="none" w:sz="0" w:space="0" w:color="auto"/>
      </w:divBdr>
    </w:div>
    <w:div w:id="1912616983">
      <w:bodyDiv w:val="1"/>
      <w:marLeft w:val="0"/>
      <w:marRight w:val="0"/>
      <w:marTop w:val="0"/>
      <w:marBottom w:val="0"/>
      <w:divBdr>
        <w:top w:val="none" w:sz="0" w:space="0" w:color="auto"/>
        <w:left w:val="none" w:sz="0" w:space="0" w:color="auto"/>
        <w:bottom w:val="none" w:sz="0" w:space="0" w:color="auto"/>
        <w:right w:val="none" w:sz="0" w:space="0" w:color="auto"/>
      </w:divBdr>
    </w:div>
    <w:div w:id="1925064560">
      <w:bodyDiv w:val="1"/>
      <w:marLeft w:val="0"/>
      <w:marRight w:val="0"/>
      <w:marTop w:val="0"/>
      <w:marBottom w:val="0"/>
      <w:divBdr>
        <w:top w:val="none" w:sz="0" w:space="0" w:color="auto"/>
        <w:left w:val="none" w:sz="0" w:space="0" w:color="auto"/>
        <w:bottom w:val="none" w:sz="0" w:space="0" w:color="auto"/>
        <w:right w:val="none" w:sz="0" w:space="0" w:color="auto"/>
      </w:divBdr>
    </w:div>
    <w:div w:id="2009942752">
      <w:bodyDiv w:val="1"/>
      <w:marLeft w:val="0"/>
      <w:marRight w:val="0"/>
      <w:marTop w:val="0"/>
      <w:marBottom w:val="0"/>
      <w:divBdr>
        <w:top w:val="none" w:sz="0" w:space="0" w:color="auto"/>
        <w:left w:val="none" w:sz="0" w:space="0" w:color="auto"/>
        <w:bottom w:val="none" w:sz="0" w:space="0" w:color="auto"/>
        <w:right w:val="none" w:sz="0" w:space="0" w:color="auto"/>
      </w:divBdr>
    </w:div>
    <w:div w:id="2024160997">
      <w:bodyDiv w:val="1"/>
      <w:marLeft w:val="0"/>
      <w:marRight w:val="0"/>
      <w:marTop w:val="0"/>
      <w:marBottom w:val="0"/>
      <w:divBdr>
        <w:top w:val="none" w:sz="0" w:space="0" w:color="auto"/>
        <w:left w:val="none" w:sz="0" w:space="0" w:color="auto"/>
        <w:bottom w:val="none" w:sz="0" w:space="0" w:color="auto"/>
        <w:right w:val="none" w:sz="0" w:space="0" w:color="auto"/>
      </w:divBdr>
    </w:div>
    <w:div w:id="2025932151">
      <w:bodyDiv w:val="1"/>
      <w:marLeft w:val="0"/>
      <w:marRight w:val="0"/>
      <w:marTop w:val="0"/>
      <w:marBottom w:val="0"/>
      <w:divBdr>
        <w:top w:val="none" w:sz="0" w:space="0" w:color="auto"/>
        <w:left w:val="none" w:sz="0" w:space="0" w:color="auto"/>
        <w:bottom w:val="none" w:sz="0" w:space="0" w:color="auto"/>
        <w:right w:val="none" w:sz="0" w:space="0" w:color="auto"/>
      </w:divBdr>
    </w:div>
    <w:div w:id="2093503996">
      <w:bodyDiv w:val="1"/>
      <w:marLeft w:val="0"/>
      <w:marRight w:val="0"/>
      <w:marTop w:val="0"/>
      <w:marBottom w:val="0"/>
      <w:divBdr>
        <w:top w:val="none" w:sz="0" w:space="0" w:color="auto"/>
        <w:left w:val="none" w:sz="0" w:space="0" w:color="auto"/>
        <w:bottom w:val="none" w:sz="0" w:space="0" w:color="auto"/>
        <w:right w:val="none" w:sz="0" w:space="0" w:color="auto"/>
      </w:divBdr>
    </w:div>
    <w:div w:id="212750248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mailto:medialiaison@treasury.gov.au" TargetMode="External"/><Relationship Id="rId39" Type="http://schemas.microsoft.com/office/2007/relationships/diagramDrawing" Target="diagrams/drawing1.xml"/><Relationship Id="rId21" Type="http://schemas.openxmlformats.org/officeDocument/2006/relationships/hyperlink" Target="http://creativecommons.org/licenses/by/3.0/au/deed.en" TargetMode="External"/><Relationship Id="rId34" Type="http://schemas.openxmlformats.org/officeDocument/2006/relationships/footer" Target="footer5.xml"/><Relationship Id="rId42" Type="http://schemas.openxmlformats.org/officeDocument/2006/relationships/footer" Target="footer7.xml"/><Relationship Id="rId47" Type="http://schemas.openxmlformats.org/officeDocument/2006/relationships/diagramQuickStyle" Target="diagrams/quickStyle2.xml"/><Relationship Id="rId50" Type="http://schemas.openxmlformats.org/officeDocument/2006/relationships/header" Target="header10.xml"/><Relationship Id="rId63"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itsanhonour.gov.au" TargetMode="External"/><Relationship Id="rId33" Type="http://schemas.openxmlformats.org/officeDocument/2006/relationships/header" Target="header7.xml"/><Relationship Id="rId38" Type="http://schemas.openxmlformats.org/officeDocument/2006/relationships/diagramColors" Target="diagrams/colors1.xml"/><Relationship Id="rId46"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41" Type="http://schemas.openxmlformats.org/officeDocument/2006/relationships/footer" Target="footer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creativecommons.org/licenses/by/3.0/au/deed.en" TargetMode="External"/><Relationship Id="rId32" Type="http://schemas.openxmlformats.org/officeDocument/2006/relationships/hyperlink" Target="mailto:EDRreview@treasury.gov.au" TargetMode="External"/><Relationship Id="rId37" Type="http://schemas.openxmlformats.org/officeDocument/2006/relationships/diagramQuickStyle" Target="diagrams/quickStyle1.xml"/><Relationship Id="rId40" Type="http://schemas.openxmlformats.org/officeDocument/2006/relationships/header" Target="header8.xml"/><Relationship Id="rId45" Type="http://schemas.openxmlformats.org/officeDocument/2006/relationships/diagramData" Target="diagrams/data2.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header" Target="header5.xml"/><Relationship Id="rId36" Type="http://schemas.openxmlformats.org/officeDocument/2006/relationships/diagramLayout" Target="diagrams/layout1.xml"/><Relationship Id="rId49" Type="http://schemas.microsoft.com/office/2007/relationships/diagramDrawing" Target="diagrams/drawing2.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yperlink" Target="http://www.treasury.gov.au/ConsultationsandReviews/Consultations/2016/FSexternaldisputeresolution" TargetMode="External"/><Relationship Id="rId44" Type="http://schemas.openxmlformats.org/officeDocument/2006/relationships/footer" Target="footer8.xm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creativecommons.org/licenses/by/3.0/au/legalcode"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diagramData" Target="diagrams/data1.xml"/><Relationship Id="rId43" Type="http://schemas.openxmlformats.org/officeDocument/2006/relationships/header" Target="header9.xml"/><Relationship Id="rId48" Type="http://schemas.openxmlformats.org/officeDocument/2006/relationships/diagramColors" Target="diagrams/colors2.xml"/><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9.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mer.vic.gov.au/about%1eus/who%1ewe%1eare%1eand%1ewhat%1ewe%1edo/funds%1ewe%1eadminister/%20motor%1ecar%1etraders%1eguarantee%1efund" TargetMode="External"/><Relationship Id="rId13" Type="http://schemas.openxmlformats.org/officeDocument/2006/relationships/hyperlink" Target="http://kmo.ministers.treasury.gov.au/mediarelease/0062017/" TargetMode="External"/><Relationship Id="rId18" Type="http://schemas.openxmlformats.org/officeDocument/2006/relationships/hyperlink" Target="https://www.handbook.fca.org.uk/handbook/COMP.pdf" TargetMode="External"/><Relationship Id="rId26" Type="http://schemas.openxmlformats.org/officeDocument/2006/relationships/hyperlink" Target="https://www.aicf.org.au/%20about_sub.php" TargetMode="External"/><Relationship Id="rId39" Type="http://schemas.openxmlformats.org/officeDocument/2006/relationships/hyperlink" Target="http://www.abc.net.au/news/2016%2012%2002/stolen%20generationsto%20get%20$73%20million%20compensation%20package%20nsw/8086126" TargetMode="External"/><Relationship Id="rId3" Type="http://schemas.openxmlformats.org/officeDocument/2006/relationships/hyperlink" Target="http://asic.gov.au/for%20finance%20professionals/managed%20investment%20scheme%20operators/starting%20a%20managed%20investments%20scheme/what%20is%20a%20managed%20investment%20scheme/" TargetMode="External"/><Relationship Id="rId21" Type="http://schemas.openxmlformats.org/officeDocument/2006/relationships/hyperlink" Target="https://www.anao.gov.au/work/performance%1eaudit/%20compensation%1epayment%1eand%1edebt%1erelief%1especial%1ecircumstances" TargetMode="External"/><Relationship Id="rId34" Type="http://schemas.openxmlformats.org/officeDocument/2006/relationships/hyperlink" Target="http://www.aph.gov.au/Parliamentary_Business/Committees/%20Senate/Legal_and_Constitutional_Affairs/Completed_inquiries/200407/stolen_wages/report/c07" TargetMode="External"/><Relationship Id="rId7" Type="http://schemas.openxmlformats.org/officeDocument/2006/relationships/hyperlink" Target="https://www.consumer.vic.gov.au/motor%1ecars/compensation%1eclaims" TargetMode="External"/><Relationship Id="rId12" Type="http://schemas.openxmlformats.org/officeDocument/2006/relationships/hyperlink" Target="http://eur-lex.europa.eu/legal-content/EN/TXT/?uri=CELEX:31997L0009" TargetMode="External"/><Relationship Id="rId17" Type="http://schemas.openxmlformats.org/officeDocument/2006/relationships/hyperlink" Target="http://www.financial-ombudsman.org.uk/publications/factsheets/enforcing-an-ombudsmans-decision.pdf" TargetMode="External"/><Relationship Id="rId25" Type="http://schemas.openxmlformats.org/officeDocument/2006/relationships/hyperlink" Target="http://www.ir.jameshardie.com.au/%20jh/asbestos_compensation.jsp" TargetMode="External"/><Relationship Id="rId33" Type="http://schemas.openxmlformats.org/officeDocument/2006/relationships/hyperlink" Target="https://www.humanservices.gov.au/corporate/budget/%20budget201718/improvingservices/commonwealthredressschemesurvivorsinstitutionalchildsexualabuse" TargetMode="External"/><Relationship Id="rId38" Type="http://schemas.openxmlformats.org/officeDocument/2006/relationships/hyperlink" Target="http://www.abc.net.au/news/2017%2003%2031/sa%20stolengenerations%20compensation%20payment%20will%20be%20a%20bonus/8401836" TargetMode="External"/><Relationship Id="rId2" Type="http://schemas.openxmlformats.org/officeDocument/2006/relationships/hyperlink" Target="http://sjm.ministers.treasury.gov.au/media%1erelease/044%1e2017/" TargetMode="External"/><Relationship Id="rId16" Type="http://schemas.openxmlformats.org/officeDocument/2006/relationships/hyperlink" Target="https://www.fscs.org.uk/your-claim/" TargetMode="External"/><Relationship Id="rId20" Type="http://schemas.openxmlformats.org/officeDocument/2006/relationships/hyperlink" Target="https://www.fca.org.uk/publications/consultation-papers/cp16-42-reviewing-funding-financial-services-compensation-scheme" TargetMode="External"/><Relationship Id="rId29" Type="http://schemas.openxmlformats.org/officeDocument/2006/relationships/hyperlink" Target="https://www.aicf.org.au/docs/AICFL%202016%20Financial%20Accounts.pdf" TargetMode="External"/><Relationship Id="rId1" Type="http://schemas.openxmlformats.org/officeDocument/2006/relationships/hyperlink" Target="http://sjm.ministers.treasury.gov.au/media-release/044-2017/" TargetMode="External"/><Relationship Id="rId6" Type="http://schemas.openxmlformats.org/officeDocument/2006/relationships/hyperlink" Target="https://www.consumer.vic.gov.au/about%1eus/who%1ewe%1eare%1eand%1ewhat%1ewe%1edo/funds%1ewe%1eadminister/motor%1ecar%1etraders%1eguarantee%1efund" TargetMode="External"/><Relationship Id="rId11" Type="http://schemas.openxmlformats.org/officeDocument/2006/relationships/hyperlink" Target="http://www.sipc.org/" TargetMode="External"/><Relationship Id="rId24" Type="http://schemas.openxmlformats.org/officeDocument/2006/relationships/hyperlink" Target="http://www.aph.gov.au/Parliamentary_Business/Committees/%20Senate/Legal_and_Constitutional_Affairs/Completed_inquiries/2010%1e13/govtcomp/%20report/index" TargetMode="External"/><Relationship Id="rId32" Type="http://schemas.openxmlformats.org/officeDocument/2006/relationships/hyperlink" Target="http://childabuseroyalcommission.gov.au/about-us/our-reports" TargetMode="External"/><Relationship Id="rId37" Type="http://schemas.openxmlformats.org/officeDocument/2006/relationships/hyperlink" Target="http://statedevelopment.sa.gov.au/aboriginal%1eaffairs/stolen%1egenerations%1ereparations%1escheme" TargetMode="External"/><Relationship Id="rId5" Type="http://schemas.openxmlformats.org/officeDocument/2006/relationships/hyperlink" Target="http://consumerlaw.gov.au/files/2011/03/review_protection_in_travel_industry.pdf" TargetMode="External"/><Relationship Id="rId15" Type="http://schemas.openxmlformats.org/officeDocument/2006/relationships/hyperlink" Target="http://futureofadvice.treasury.gov.au/content/Content.aspx?doc=consultation/compensation_arrangements_report/default.htm" TargetMode="External"/><Relationship Id="rId23" Type="http://schemas.openxmlformats.org/officeDocument/2006/relationships/hyperlink" Target="https://www.finance.gov.au/sites/default/files/compensation_payments_finance_submission.pdf" TargetMode="External"/><Relationship Id="rId28" Type="http://schemas.openxmlformats.org/officeDocument/2006/relationships/hyperlink" Target="https://www.aicf.org.au/docs/AICFL%202016%20Financial%20Accounts.pdf" TargetMode="External"/><Relationship Id="rId36" Type="http://schemas.openxmlformats.org/officeDocument/2006/relationships/hyperlink" Target="http://www.dpac.tas.gov.au/%20__data/assets/pdf_file/0004/53770/Stolen_Generations_Assessor_final_report.pdf" TargetMode="External"/><Relationship Id="rId10" Type="http://schemas.openxmlformats.org/officeDocument/2006/relationships/hyperlink" Target="http://www.cipf.ca/" TargetMode="External"/><Relationship Id="rId19" Type="http://schemas.openxmlformats.org/officeDocument/2006/relationships/hyperlink" Target="https://www.fca.org.uk/publications/consultation-papers/cp16-42-reviewing-funding-financial-services-compensation-scheme" TargetMode="External"/><Relationship Id="rId31" Type="http://schemas.openxmlformats.org/officeDocument/2006/relationships/hyperlink" Target="https://www.aicf.org.au/key_docs.php" TargetMode="External"/><Relationship Id="rId4" Type="http://schemas.openxmlformats.org/officeDocument/2006/relationships/hyperlink" Target="http://www.treasury.gov.au/ConsultationsandReviews/Consultations/2017/Reforms-to-address-corporate-misuse-of-the-FEG-scheme" TargetMode="External"/><Relationship Id="rId9" Type="http://schemas.openxmlformats.org/officeDocument/2006/relationships/hyperlink" Target="https://www.fscs.org.uk/" TargetMode="External"/><Relationship Id="rId14" Type="http://schemas.openxmlformats.org/officeDocument/2006/relationships/hyperlink" Target="http://kmo.ministers.treasury.gov.au/mediarelease/0332017/" TargetMode="External"/><Relationship Id="rId22" Type="http://schemas.openxmlformats.org/officeDocument/2006/relationships/hyperlink" Target="http://www.aph.gov.au/Parliamentary_Business/Committees/Senate/Legal_and_%20Constitutional_Affairs/Completed_inquiries/2010%1e13/govtcomp/report/%20index" TargetMode="External"/><Relationship Id="rId27" Type="http://schemas.openxmlformats.org/officeDocument/2006/relationships/hyperlink" Target="https://www.aicf.org.au/about.php" TargetMode="External"/><Relationship Id="rId30" Type="http://schemas.openxmlformats.org/officeDocument/2006/relationships/hyperlink" Target="http://www.ir.jameshardie.com.au/%20jh/asbestos_compensation.jsp" TargetMode="External"/><Relationship Id="rId35" Type="http://schemas.openxmlformats.org/officeDocument/2006/relationships/hyperlink" Target="https://www.parliament.nsw.gov.au/lc/papers/Pages/qanda-tracking-details.aspx?pk=1818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0782EC-3AD0-42DB-BF66-7585B556A88C}" type="doc">
      <dgm:prSet loTypeId="urn:microsoft.com/office/officeart/2005/8/layout/orgChart1" loCatId="hierarchy" qsTypeId="urn:microsoft.com/office/officeart/2005/8/quickstyle/simple1" qsCatId="simple" csTypeId="urn:microsoft.com/office/officeart/2005/8/colors/accent1_3" csCatId="accent1" phldr="1"/>
      <dgm:spPr/>
      <dgm:t>
        <a:bodyPr/>
        <a:lstStyle/>
        <a:p>
          <a:endParaRPr lang="en-AU"/>
        </a:p>
      </dgm:t>
    </dgm:pt>
    <dgm:pt modelId="{1D25A87D-46FD-48B5-9F1A-5E4FA2C35FC5}">
      <dgm:prSet phldrT="[Tex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1">
              <a:solidFill>
                <a:schemeClr val="tx2"/>
              </a:solidFill>
              <a:latin typeface="Century Gothic" panose="020B0502020202020204" pitchFamily="34" charset="0"/>
            </a:rPr>
            <a:t>Consumers who have been unable to access redress or obtain a decision</a:t>
          </a:r>
        </a:p>
        <a:p>
          <a:pPr algn="ctr"/>
          <a:r>
            <a:rPr lang="en-AU" sz="1000" b="0">
              <a:solidFill>
                <a:schemeClr val="tx2"/>
              </a:solidFill>
              <a:latin typeface="Century Gothic" panose="020B0502020202020204" pitchFamily="34" charset="0"/>
            </a:rPr>
            <a:t>(Access to redress for past disputes)</a:t>
          </a:r>
        </a:p>
      </dgm:t>
    </dgm:pt>
    <dgm:pt modelId="{13D8B615-BFFD-4404-91D3-4857F503EF30}" type="parTrans" cxnId="{E01BAC61-3ABC-4A1C-88E9-AB6CA93E1982}">
      <dgm:prSet/>
      <dgm:spPr/>
      <dgm:t>
        <a:bodyPr/>
        <a:lstStyle/>
        <a:p>
          <a:pPr algn="ctr"/>
          <a:endParaRPr lang="en-AU"/>
        </a:p>
      </dgm:t>
    </dgm:pt>
    <dgm:pt modelId="{85F8798D-4C8F-4DA2-81AE-F17C16E74934}" type="sibTrans" cxnId="{E01BAC61-3ABC-4A1C-88E9-AB6CA93E1982}">
      <dgm:prSet/>
      <dgm:spPr/>
      <dgm:t>
        <a:bodyPr/>
        <a:lstStyle/>
        <a:p>
          <a:pPr algn="ctr"/>
          <a:endParaRPr lang="en-AU"/>
        </a:p>
      </dgm:t>
    </dgm:pt>
    <dgm:pt modelId="{6E05B240-95FF-4831-903F-BAC7DA9AEADB}">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a:solidFill>
                <a:schemeClr val="tx2"/>
              </a:solidFill>
              <a:latin typeface="Century Gothic" panose="020B0502020202020204" pitchFamily="34" charset="0"/>
            </a:rPr>
            <a:t>Financial firm insolvent or otherwise unable to pay</a:t>
          </a:r>
          <a:endParaRPr lang="en-AU" sz="1000" b="0">
            <a:solidFill>
              <a:schemeClr val="tx2"/>
            </a:solidFill>
            <a:latin typeface="Century Gothic" panose="020B0502020202020204" pitchFamily="34" charset="0"/>
          </a:endParaRPr>
        </a:p>
      </dgm:t>
    </dgm:pt>
    <dgm:pt modelId="{5C051FE5-4990-49B1-9E1E-4357297195D9}" type="parTrans" cxnId="{B0B04A33-BFEA-4197-B867-F82E5E2C547D}">
      <dgm:prSet/>
      <dgm:spPr/>
      <dgm:t>
        <a:bodyPr/>
        <a:lstStyle/>
        <a:p>
          <a:pPr algn="ctr"/>
          <a:endParaRPr lang="en-AU"/>
        </a:p>
      </dgm:t>
    </dgm:pt>
    <dgm:pt modelId="{3E29C7A1-49A5-43A5-B29A-EC1C2E4829EC}" type="sibTrans" cxnId="{B0B04A33-BFEA-4197-B867-F82E5E2C547D}">
      <dgm:prSet/>
      <dgm:spPr/>
      <dgm:t>
        <a:bodyPr/>
        <a:lstStyle/>
        <a:p>
          <a:pPr algn="ctr"/>
          <a:endParaRPr lang="en-AU"/>
        </a:p>
      </dgm:t>
    </dgm:pt>
    <dgm:pt modelId="{AFD80D79-B71B-4CDB-8930-D57B42FACD8A}">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Monetary value too large</a:t>
          </a:r>
        </a:p>
      </dgm:t>
    </dgm:pt>
    <dgm:pt modelId="{D23B94CB-47EE-4FA7-957F-AF0AC9548177}" type="parTrans" cxnId="{DEB52D13-E127-44DF-960A-398A4D61DEE1}">
      <dgm:prSet/>
      <dgm:spPr/>
      <dgm:t>
        <a:bodyPr/>
        <a:lstStyle/>
        <a:p>
          <a:pPr algn="ctr"/>
          <a:endParaRPr lang="en-AU"/>
        </a:p>
      </dgm:t>
    </dgm:pt>
    <dgm:pt modelId="{354A817E-E2B7-4697-8AFA-5C0716E6F51D}" type="sibTrans" cxnId="{DEB52D13-E127-44DF-960A-398A4D61DEE1}">
      <dgm:prSet/>
      <dgm:spPr/>
      <dgm:t>
        <a:bodyPr/>
        <a:lstStyle/>
        <a:p>
          <a:pPr algn="ctr"/>
          <a:endParaRPr lang="en-AU"/>
        </a:p>
      </dgm:t>
    </dgm:pt>
    <dgm:pt modelId="{D9FD9708-8AA3-4EDB-9B7E-1F4165C3EE08}">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Outside  time limits</a:t>
          </a:r>
        </a:p>
      </dgm:t>
    </dgm:pt>
    <dgm:pt modelId="{F9C2C6EE-BB2F-4215-8681-812697B777E5}" type="parTrans" cxnId="{FCE8FF3E-D806-4F85-84E0-42A5C509F5F0}">
      <dgm:prSet/>
      <dgm:spPr/>
      <dgm:t>
        <a:bodyPr/>
        <a:lstStyle/>
        <a:p>
          <a:pPr algn="ctr"/>
          <a:endParaRPr lang="en-AU"/>
        </a:p>
      </dgm:t>
    </dgm:pt>
    <dgm:pt modelId="{AC4976B5-ADD1-4F34-8BA5-46B1636FE5B3}" type="sibTrans" cxnId="{FCE8FF3E-D806-4F85-84E0-42A5C509F5F0}">
      <dgm:prSet/>
      <dgm:spPr/>
      <dgm:t>
        <a:bodyPr/>
        <a:lstStyle/>
        <a:p>
          <a:pPr algn="ctr"/>
          <a:endParaRPr lang="en-AU"/>
        </a:p>
      </dgm:t>
    </dgm:pt>
    <dgm:pt modelId="{9DD2E80A-B397-46CA-B8B5-06D098CE6121}">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Future unpaid decisions</a:t>
          </a:r>
          <a:endParaRPr lang="en-AU" sz="1000" b="0">
            <a:solidFill>
              <a:srgbClr val="FF0000"/>
            </a:solidFill>
            <a:latin typeface="Century Gothic" panose="020B0502020202020204" pitchFamily="34" charset="0"/>
          </a:endParaRPr>
        </a:p>
      </dgm:t>
    </dgm:pt>
    <dgm:pt modelId="{B25552F0-56B5-4BA8-9FC5-29C27A1A661F}" type="parTrans" cxnId="{18245974-05DF-47AD-A9FF-86F29510427F}">
      <dgm:prSet/>
      <dgm:spPr/>
      <dgm:t>
        <a:bodyPr/>
        <a:lstStyle/>
        <a:p>
          <a:pPr algn="ctr"/>
          <a:endParaRPr lang="en-AU"/>
        </a:p>
      </dgm:t>
    </dgm:pt>
    <dgm:pt modelId="{B45481A6-8527-4496-8A37-8B4ABD291411}" type="sibTrans" cxnId="{18245974-05DF-47AD-A9FF-86F29510427F}">
      <dgm:prSet/>
      <dgm:spPr/>
      <dgm:t>
        <a:bodyPr/>
        <a:lstStyle/>
        <a:p>
          <a:pPr algn="ctr"/>
          <a:endParaRPr lang="en-AU"/>
        </a:p>
      </dgm:t>
    </dgm:pt>
    <dgm:pt modelId="{76E62DB1-4B80-4761-8834-E1AAD682E975}">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Existing unpaid decisions</a:t>
          </a:r>
          <a:endParaRPr lang="en-AU" sz="1000" b="0">
            <a:solidFill>
              <a:srgbClr val="FF0000"/>
            </a:solidFill>
            <a:latin typeface="Century Gothic" panose="020B0502020202020204" pitchFamily="34" charset="0"/>
          </a:endParaRPr>
        </a:p>
      </dgm:t>
    </dgm:pt>
    <dgm:pt modelId="{D953B40A-934E-422E-83F0-91C40066FC6F}" type="parTrans" cxnId="{1BF408A3-CBF6-4671-9810-7A6DFB1CE362}">
      <dgm:prSet/>
      <dgm:spPr/>
      <dgm:t>
        <a:bodyPr/>
        <a:lstStyle/>
        <a:p>
          <a:pPr algn="ctr"/>
          <a:endParaRPr lang="en-AU"/>
        </a:p>
      </dgm:t>
    </dgm:pt>
    <dgm:pt modelId="{A67F5F78-7550-45C4-B33A-CD20FB5DF816}" type="sibTrans" cxnId="{1BF408A3-CBF6-4671-9810-7A6DFB1CE362}">
      <dgm:prSet/>
      <dgm:spPr/>
      <dgm:t>
        <a:bodyPr/>
        <a:lstStyle/>
        <a:p>
          <a:pPr algn="ctr"/>
          <a:endParaRPr lang="en-AU"/>
        </a:p>
      </dgm:t>
    </dgm:pt>
    <dgm:pt modelId="{1CDD0A53-05D4-4A87-83B8-4F209C3ADFE8}">
      <dgm:prSet phldrT="[Tex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1">
              <a:solidFill>
                <a:schemeClr val="tx2"/>
              </a:solidFill>
              <a:latin typeface="Century Gothic" panose="020B0502020202020204" pitchFamily="34" charset="0"/>
            </a:rPr>
            <a:t>Categories of disputes</a:t>
          </a:r>
        </a:p>
      </dgm:t>
    </dgm:pt>
    <dgm:pt modelId="{C7D9073A-9CAB-4AF2-8553-6372D9A8A2C4}" type="sibTrans" cxnId="{60B44F9A-8441-4FB7-ABCE-78226214B381}">
      <dgm:prSet/>
      <dgm:spPr/>
      <dgm:t>
        <a:bodyPr/>
        <a:lstStyle/>
        <a:p>
          <a:pPr algn="ctr"/>
          <a:endParaRPr lang="en-AU"/>
        </a:p>
      </dgm:t>
    </dgm:pt>
    <dgm:pt modelId="{E36CA5A6-1CC0-4591-8127-15BE2B464DEE}" type="parTrans" cxnId="{60B44F9A-8441-4FB7-ABCE-78226214B381}">
      <dgm:prSet/>
      <dgm:spPr/>
      <dgm:t>
        <a:bodyPr/>
        <a:lstStyle/>
        <a:p>
          <a:pPr algn="ctr"/>
          <a:endParaRPr lang="en-AU"/>
        </a:p>
      </dgm:t>
    </dgm:pt>
    <dgm:pt modelId="{D9DD0E91-6E50-4D2D-87BA-BEDA94C60C94}">
      <dgm:prSet phldrT="[Tex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1">
              <a:solidFill>
                <a:schemeClr val="tx2"/>
              </a:solidFill>
              <a:latin typeface="Century Gothic" panose="020B0502020202020204" pitchFamily="34" charset="0"/>
            </a:rPr>
            <a:t>Consumers with a decision</a:t>
          </a:r>
          <a:br>
            <a:rPr lang="en-AU" sz="1000" b="1">
              <a:solidFill>
                <a:schemeClr val="tx2"/>
              </a:solidFill>
              <a:latin typeface="Century Gothic" panose="020B0502020202020204" pitchFamily="34" charset="0"/>
            </a:rPr>
          </a:br>
          <a:r>
            <a:rPr lang="en-AU" sz="1000" b="1">
              <a:solidFill>
                <a:schemeClr val="tx2"/>
              </a:solidFill>
              <a:latin typeface="Century Gothic" panose="020B0502020202020204" pitchFamily="34" charset="0"/>
            </a:rPr>
            <a:t>but not compensated for financial loss</a:t>
          </a:r>
        </a:p>
        <a:p>
          <a:pPr algn="ctr"/>
          <a:r>
            <a:rPr lang="en-AU" sz="1000" b="0">
              <a:solidFill>
                <a:schemeClr val="tx2"/>
              </a:solidFill>
              <a:latin typeface="Century Gothic" panose="020B0502020202020204" pitchFamily="34" charset="0"/>
            </a:rPr>
            <a:t>(Compensation scheme of last resort)</a:t>
          </a:r>
        </a:p>
      </dgm:t>
    </dgm:pt>
    <dgm:pt modelId="{10C8E29A-795E-4A6A-9CDA-D64C095D163D}" type="sibTrans" cxnId="{98E2F42C-B948-41A6-A21B-56B057F87C1E}">
      <dgm:prSet/>
      <dgm:spPr/>
      <dgm:t>
        <a:bodyPr/>
        <a:lstStyle/>
        <a:p>
          <a:pPr algn="ctr"/>
          <a:endParaRPr lang="en-AU"/>
        </a:p>
      </dgm:t>
    </dgm:pt>
    <dgm:pt modelId="{13E9EEBB-49DB-475D-BEBB-77CFC4C99DCF}" type="parTrans" cxnId="{98E2F42C-B948-41A6-A21B-56B057F87C1E}">
      <dgm:prSet/>
      <dgm:spPr/>
      <dgm:t>
        <a:bodyPr/>
        <a:lstStyle/>
        <a:p>
          <a:pPr algn="ctr"/>
          <a:endParaRPr lang="en-AU"/>
        </a:p>
      </dgm:t>
    </dgm:pt>
    <dgm:pt modelId="{D2BBFA71-491D-41DB-AFB0-034A8F288EDB}">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r>
            <a:rPr lang="en-AU" sz="1000" b="0">
              <a:solidFill>
                <a:schemeClr val="tx2"/>
              </a:solidFill>
              <a:latin typeface="Century Gothic" panose="020B0502020202020204" pitchFamily="34" charset="0"/>
            </a:rPr>
            <a:t>Other reasons</a:t>
          </a:r>
        </a:p>
      </dgm:t>
    </dgm:pt>
    <dgm:pt modelId="{BE0FE4F8-8346-46F4-A701-209219C16D85}" type="parTrans" cxnId="{DF299502-6ADA-4BE7-954A-F6FA4E066AA1}">
      <dgm:prSet/>
      <dgm:spPr/>
      <dgm:t>
        <a:bodyPr/>
        <a:lstStyle/>
        <a:p>
          <a:endParaRPr lang="en-AU"/>
        </a:p>
      </dgm:t>
    </dgm:pt>
    <dgm:pt modelId="{DDD544E4-B932-4265-9F8B-07A33E11E918}" type="sibTrans" cxnId="{DF299502-6ADA-4BE7-954A-F6FA4E066AA1}">
      <dgm:prSet/>
      <dgm:spPr/>
      <dgm:t>
        <a:bodyPr/>
        <a:lstStyle/>
        <a:p>
          <a:endParaRPr lang="en-AU"/>
        </a:p>
      </dgm:t>
    </dgm:pt>
    <dgm:pt modelId="{D3D0514D-5B7D-43E8-BE39-4CD8633A7AFB}" type="pres">
      <dgm:prSet presAssocID="{5A0782EC-3AD0-42DB-BF66-7585B556A88C}" presName="hierChild1" presStyleCnt="0">
        <dgm:presLayoutVars>
          <dgm:orgChart val="1"/>
          <dgm:chPref val="1"/>
          <dgm:dir/>
          <dgm:animOne val="branch"/>
          <dgm:animLvl val="lvl"/>
          <dgm:resizeHandles/>
        </dgm:presLayoutVars>
      </dgm:prSet>
      <dgm:spPr/>
      <dgm:t>
        <a:bodyPr/>
        <a:lstStyle/>
        <a:p>
          <a:endParaRPr lang="en-AU"/>
        </a:p>
      </dgm:t>
    </dgm:pt>
    <dgm:pt modelId="{B53D6CF2-0576-46C7-80CA-9F9FFCEFB140}" type="pres">
      <dgm:prSet presAssocID="{1CDD0A53-05D4-4A87-83B8-4F209C3ADFE8}" presName="hierRoot1" presStyleCnt="0">
        <dgm:presLayoutVars>
          <dgm:hierBranch/>
        </dgm:presLayoutVars>
      </dgm:prSet>
      <dgm:spPr/>
    </dgm:pt>
    <dgm:pt modelId="{C67BC6B8-90B0-4962-8C3F-FA14E50E9B4C}" type="pres">
      <dgm:prSet presAssocID="{1CDD0A53-05D4-4A87-83B8-4F209C3ADFE8}" presName="rootComposite1" presStyleCnt="0"/>
      <dgm:spPr/>
    </dgm:pt>
    <dgm:pt modelId="{5BB2525A-FFC6-4581-8628-6F203A4A942A}" type="pres">
      <dgm:prSet presAssocID="{1CDD0A53-05D4-4A87-83B8-4F209C3ADFE8}" presName="rootText1" presStyleLbl="node0" presStyleIdx="0" presStyleCnt="1" custScaleX="382378" custScaleY="111246" custLinFactNeighborX="-9811" custLinFactNeighborY="-90944">
        <dgm:presLayoutVars>
          <dgm:chPref val="3"/>
        </dgm:presLayoutVars>
      </dgm:prSet>
      <dgm:spPr/>
      <dgm:t>
        <a:bodyPr/>
        <a:lstStyle/>
        <a:p>
          <a:endParaRPr lang="en-AU"/>
        </a:p>
      </dgm:t>
    </dgm:pt>
    <dgm:pt modelId="{4F287DE6-6E89-4E26-847A-EE6D796D4816}" type="pres">
      <dgm:prSet presAssocID="{1CDD0A53-05D4-4A87-83B8-4F209C3ADFE8}" presName="rootConnector1" presStyleLbl="node1" presStyleIdx="0" presStyleCnt="0"/>
      <dgm:spPr/>
      <dgm:t>
        <a:bodyPr/>
        <a:lstStyle/>
        <a:p>
          <a:endParaRPr lang="en-AU"/>
        </a:p>
      </dgm:t>
    </dgm:pt>
    <dgm:pt modelId="{2B8B7342-CCCA-4F31-97D6-345E7852D6CB}" type="pres">
      <dgm:prSet presAssocID="{1CDD0A53-05D4-4A87-83B8-4F209C3ADFE8}" presName="hierChild2" presStyleCnt="0"/>
      <dgm:spPr/>
    </dgm:pt>
    <dgm:pt modelId="{82B85D06-6364-4E7F-88E9-6C3067F56E81}" type="pres">
      <dgm:prSet presAssocID="{13E9EEBB-49DB-475D-BEBB-77CFC4C99DCF}" presName="Name35" presStyleLbl="parChTrans1D2" presStyleIdx="0" presStyleCnt="2"/>
      <dgm:spPr/>
      <dgm:t>
        <a:bodyPr/>
        <a:lstStyle/>
        <a:p>
          <a:endParaRPr lang="en-AU"/>
        </a:p>
      </dgm:t>
    </dgm:pt>
    <dgm:pt modelId="{324867A4-D553-4B27-9649-4E5246907394}" type="pres">
      <dgm:prSet presAssocID="{D9DD0E91-6E50-4D2D-87BA-BEDA94C60C94}" presName="hierRoot2" presStyleCnt="0">
        <dgm:presLayoutVars>
          <dgm:hierBranch/>
        </dgm:presLayoutVars>
      </dgm:prSet>
      <dgm:spPr/>
    </dgm:pt>
    <dgm:pt modelId="{5D2C0378-5465-42FB-A318-CC789A4083AB}" type="pres">
      <dgm:prSet presAssocID="{D9DD0E91-6E50-4D2D-87BA-BEDA94C60C94}" presName="rootComposite" presStyleCnt="0"/>
      <dgm:spPr/>
    </dgm:pt>
    <dgm:pt modelId="{FB70C0A2-C75A-418C-B636-E6111D1EE802}" type="pres">
      <dgm:prSet presAssocID="{D9DD0E91-6E50-4D2D-87BA-BEDA94C60C94}" presName="rootText" presStyleLbl="node2" presStyleIdx="0" presStyleCnt="2" custScaleX="383032" custScaleY="366654" custLinFactNeighborX="35005" custLinFactNeighborY="-23349">
        <dgm:presLayoutVars>
          <dgm:chPref val="3"/>
        </dgm:presLayoutVars>
      </dgm:prSet>
      <dgm:spPr/>
      <dgm:t>
        <a:bodyPr/>
        <a:lstStyle/>
        <a:p>
          <a:endParaRPr lang="en-AU"/>
        </a:p>
      </dgm:t>
    </dgm:pt>
    <dgm:pt modelId="{FAB4E0B7-33DA-4173-BD96-34F8CCEF9DC7}" type="pres">
      <dgm:prSet presAssocID="{D9DD0E91-6E50-4D2D-87BA-BEDA94C60C94}" presName="rootConnector" presStyleLbl="node2" presStyleIdx="0" presStyleCnt="2"/>
      <dgm:spPr/>
      <dgm:t>
        <a:bodyPr/>
        <a:lstStyle/>
        <a:p>
          <a:endParaRPr lang="en-AU"/>
        </a:p>
      </dgm:t>
    </dgm:pt>
    <dgm:pt modelId="{5BC78B5C-6D9E-4DB3-B606-1F506A20C7A8}" type="pres">
      <dgm:prSet presAssocID="{D9DD0E91-6E50-4D2D-87BA-BEDA94C60C94}" presName="hierChild4" presStyleCnt="0"/>
      <dgm:spPr/>
    </dgm:pt>
    <dgm:pt modelId="{EDFCB9BC-225A-4677-B2B0-E1F64F5E6C9E}" type="pres">
      <dgm:prSet presAssocID="{B25552F0-56B5-4BA8-9FC5-29C27A1A661F}" presName="Name35" presStyleLbl="parChTrans1D3" presStyleIdx="0" presStyleCnt="6"/>
      <dgm:spPr/>
      <dgm:t>
        <a:bodyPr/>
        <a:lstStyle/>
        <a:p>
          <a:endParaRPr lang="en-AU"/>
        </a:p>
      </dgm:t>
    </dgm:pt>
    <dgm:pt modelId="{096B7CDC-2DD3-429F-BC31-B40F410FF838}" type="pres">
      <dgm:prSet presAssocID="{9DD2E80A-B397-46CA-B8B5-06D098CE6121}" presName="hierRoot2" presStyleCnt="0">
        <dgm:presLayoutVars>
          <dgm:hierBranch/>
        </dgm:presLayoutVars>
      </dgm:prSet>
      <dgm:spPr/>
    </dgm:pt>
    <dgm:pt modelId="{2405361A-BA0A-41A9-9323-6F1EA7C57791}" type="pres">
      <dgm:prSet presAssocID="{9DD2E80A-B397-46CA-B8B5-06D098CE6121}" presName="rootComposite" presStyleCnt="0"/>
      <dgm:spPr/>
    </dgm:pt>
    <dgm:pt modelId="{DBA6CC0D-CB5D-4DB7-A9B9-46967B3A4EFF}" type="pres">
      <dgm:prSet presAssocID="{9DD2E80A-B397-46CA-B8B5-06D098CE6121}" presName="rootText" presStyleLbl="node3" presStyleIdx="0" presStyleCnt="6" custScaleX="154621" custScaleY="264541" custLinFactNeighborX="-13999" custLinFactNeighborY="80880">
        <dgm:presLayoutVars>
          <dgm:chPref val="3"/>
        </dgm:presLayoutVars>
      </dgm:prSet>
      <dgm:spPr/>
      <dgm:t>
        <a:bodyPr/>
        <a:lstStyle/>
        <a:p>
          <a:endParaRPr lang="en-AU"/>
        </a:p>
      </dgm:t>
    </dgm:pt>
    <dgm:pt modelId="{C978E0F9-DC59-4315-8185-3CDD6BDD7AD5}" type="pres">
      <dgm:prSet presAssocID="{9DD2E80A-B397-46CA-B8B5-06D098CE6121}" presName="rootConnector" presStyleLbl="node3" presStyleIdx="0" presStyleCnt="6"/>
      <dgm:spPr/>
      <dgm:t>
        <a:bodyPr/>
        <a:lstStyle/>
        <a:p>
          <a:endParaRPr lang="en-AU"/>
        </a:p>
      </dgm:t>
    </dgm:pt>
    <dgm:pt modelId="{6D701F59-EF43-4DCB-BB63-CF2265493481}" type="pres">
      <dgm:prSet presAssocID="{9DD2E80A-B397-46CA-B8B5-06D098CE6121}" presName="hierChild4" presStyleCnt="0"/>
      <dgm:spPr/>
    </dgm:pt>
    <dgm:pt modelId="{86B8EE5C-DED9-4EDC-AC10-E97A3BCFBD0B}" type="pres">
      <dgm:prSet presAssocID="{9DD2E80A-B397-46CA-B8B5-06D098CE6121}" presName="hierChild5" presStyleCnt="0"/>
      <dgm:spPr/>
    </dgm:pt>
    <dgm:pt modelId="{DED69FEC-0D99-43DB-8B43-41B90D8B0007}" type="pres">
      <dgm:prSet presAssocID="{D953B40A-934E-422E-83F0-91C40066FC6F}" presName="Name35" presStyleLbl="parChTrans1D3" presStyleIdx="1" presStyleCnt="6"/>
      <dgm:spPr/>
      <dgm:t>
        <a:bodyPr/>
        <a:lstStyle/>
        <a:p>
          <a:endParaRPr lang="en-AU"/>
        </a:p>
      </dgm:t>
    </dgm:pt>
    <dgm:pt modelId="{030DD466-E755-4F94-ABFF-301CCED60BC3}" type="pres">
      <dgm:prSet presAssocID="{76E62DB1-4B80-4761-8834-E1AAD682E975}" presName="hierRoot2" presStyleCnt="0">
        <dgm:presLayoutVars>
          <dgm:hierBranch/>
        </dgm:presLayoutVars>
      </dgm:prSet>
      <dgm:spPr/>
    </dgm:pt>
    <dgm:pt modelId="{0A1ED9B9-8A98-4E44-85C2-D54DCCFA72DE}" type="pres">
      <dgm:prSet presAssocID="{76E62DB1-4B80-4761-8834-E1AAD682E975}" presName="rootComposite" presStyleCnt="0"/>
      <dgm:spPr/>
    </dgm:pt>
    <dgm:pt modelId="{BB3B1D9C-D001-4925-9F12-1BE47AA302AC}" type="pres">
      <dgm:prSet presAssocID="{76E62DB1-4B80-4761-8834-E1AAD682E975}" presName="rootText" presStyleLbl="node3" presStyleIdx="1" presStyleCnt="6" custScaleX="152607" custScaleY="264541" custLinFactNeighborX="-13999" custLinFactNeighborY="80881">
        <dgm:presLayoutVars>
          <dgm:chPref val="3"/>
        </dgm:presLayoutVars>
      </dgm:prSet>
      <dgm:spPr/>
      <dgm:t>
        <a:bodyPr/>
        <a:lstStyle/>
        <a:p>
          <a:endParaRPr lang="en-AU"/>
        </a:p>
      </dgm:t>
    </dgm:pt>
    <dgm:pt modelId="{42400411-0775-4BE0-9F8C-858573905B48}" type="pres">
      <dgm:prSet presAssocID="{76E62DB1-4B80-4761-8834-E1AAD682E975}" presName="rootConnector" presStyleLbl="node3" presStyleIdx="1" presStyleCnt="6"/>
      <dgm:spPr/>
      <dgm:t>
        <a:bodyPr/>
        <a:lstStyle/>
        <a:p>
          <a:endParaRPr lang="en-AU"/>
        </a:p>
      </dgm:t>
    </dgm:pt>
    <dgm:pt modelId="{DC0BF516-3EE9-48BE-863B-292AD88E1D6E}" type="pres">
      <dgm:prSet presAssocID="{76E62DB1-4B80-4761-8834-E1AAD682E975}" presName="hierChild4" presStyleCnt="0"/>
      <dgm:spPr/>
    </dgm:pt>
    <dgm:pt modelId="{9DD4E803-125B-4BE3-8672-FE9D1F1AB637}" type="pres">
      <dgm:prSet presAssocID="{76E62DB1-4B80-4761-8834-E1AAD682E975}" presName="hierChild5" presStyleCnt="0"/>
      <dgm:spPr/>
    </dgm:pt>
    <dgm:pt modelId="{9DBA4D49-FB15-4826-BAE2-59A951D64C93}" type="pres">
      <dgm:prSet presAssocID="{D9DD0E91-6E50-4D2D-87BA-BEDA94C60C94}" presName="hierChild5" presStyleCnt="0"/>
      <dgm:spPr/>
    </dgm:pt>
    <dgm:pt modelId="{D45DEB0A-B5FD-439B-AD82-87024EF597D8}" type="pres">
      <dgm:prSet presAssocID="{13D8B615-BFFD-4404-91D3-4857F503EF30}" presName="Name35" presStyleLbl="parChTrans1D2" presStyleIdx="1" presStyleCnt="2"/>
      <dgm:spPr/>
      <dgm:t>
        <a:bodyPr/>
        <a:lstStyle/>
        <a:p>
          <a:endParaRPr lang="en-AU"/>
        </a:p>
      </dgm:t>
    </dgm:pt>
    <dgm:pt modelId="{3177691C-9A0A-4368-A1F9-D2F15034DB96}" type="pres">
      <dgm:prSet presAssocID="{1D25A87D-46FD-48B5-9F1A-5E4FA2C35FC5}" presName="hierRoot2" presStyleCnt="0">
        <dgm:presLayoutVars>
          <dgm:hierBranch/>
        </dgm:presLayoutVars>
      </dgm:prSet>
      <dgm:spPr/>
    </dgm:pt>
    <dgm:pt modelId="{14308C4E-5997-4133-BF9D-232BA8E72234}" type="pres">
      <dgm:prSet presAssocID="{1D25A87D-46FD-48B5-9F1A-5E4FA2C35FC5}" presName="rootComposite" presStyleCnt="0"/>
      <dgm:spPr/>
    </dgm:pt>
    <dgm:pt modelId="{E55E8F45-1843-417D-981D-EC927E038EF2}" type="pres">
      <dgm:prSet presAssocID="{1D25A87D-46FD-48B5-9F1A-5E4FA2C35FC5}" presName="rootText" presStyleLbl="node2" presStyleIdx="1" presStyleCnt="2" custScaleX="383032" custScaleY="366654" custLinFactNeighborX="-51051" custLinFactNeighborY="-23347">
        <dgm:presLayoutVars>
          <dgm:chPref val="3"/>
        </dgm:presLayoutVars>
      </dgm:prSet>
      <dgm:spPr/>
      <dgm:t>
        <a:bodyPr/>
        <a:lstStyle/>
        <a:p>
          <a:endParaRPr lang="en-AU"/>
        </a:p>
      </dgm:t>
    </dgm:pt>
    <dgm:pt modelId="{F53CC857-5954-4D09-8266-D316F16734F1}" type="pres">
      <dgm:prSet presAssocID="{1D25A87D-46FD-48B5-9F1A-5E4FA2C35FC5}" presName="rootConnector" presStyleLbl="node2" presStyleIdx="1" presStyleCnt="2"/>
      <dgm:spPr/>
      <dgm:t>
        <a:bodyPr/>
        <a:lstStyle/>
        <a:p>
          <a:endParaRPr lang="en-AU"/>
        </a:p>
      </dgm:t>
    </dgm:pt>
    <dgm:pt modelId="{2344E073-D17B-44AD-A1E6-2255159BAA74}" type="pres">
      <dgm:prSet presAssocID="{1D25A87D-46FD-48B5-9F1A-5E4FA2C35FC5}" presName="hierChild4" presStyleCnt="0"/>
      <dgm:spPr/>
    </dgm:pt>
    <dgm:pt modelId="{45FDAB02-A3D2-4988-A883-839BE323F46F}" type="pres">
      <dgm:prSet presAssocID="{5C051FE5-4990-49B1-9E1E-4357297195D9}" presName="Name35" presStyleLbl="parChTrans1D3" presStyleIdx="2" presStyleCnt="6"/>
      <dgm:spPr/>
      <dgm:t>
        <a:bodyPr/>
        <a:lstStyle/>
        <a:p>
          <a:endParaRPr lang="en-AU"/>
        </a:p>
      </dgm:t>
    </dgm:pt>
    <dgm:pt modelId="{5486C2AD-CD4A-4161-879E-4EA77FACF5FC}" type="pres">
      <dgm:prSet presAssocID="{6E05B240-95FF-4831-903F-BAC7DA9AEADB}" presName="hierRoot2" presStyleCnt="0">
        <dgm:presLayoutVars>
          <dgm:hierBranch/>
        </dgm:presLayoutVars>
      </dgm:prSet>
      <dgm:spPr/>
    </dgm:pt>
    <dgm:pt modelId="{96F6E547-93B8-4E8D-97DD-FC6BFE86D478}" type="pres">
      <dgm:prSet presAssocID="{6E05B240-95FF-4831-903F-BAC7DA9AEADB}" presName="rootComposite" presStyleCnt="0"/>
      <dgm:spPr/>
    </dgm:pt>
    <dgm:pt modelId="{4D44F8B7-AF68-4729-A893-CA495193B143}" type="pres">
      <dgm:prSet presAssocID="{6E05B240-95FF-4831-903F-BAC7DA9AEADB}" presName="rootText" presStyleLbl="node3" presStyleIdx="2" presStyleCnt="6" custScaleX="189168" custScaleY="264541" custLinFactNeighborX="-13999" custLinFactNeighborY="80881">
        <dgm:presLayoutVars>
          <dgm:chPref val="3"/>
        </dgm:presLayoutVars>
      </dgm:prSet>
      <dgm:spPr/>
      <dgm:t>
        <a:bodyPr/>
        <a:lstStyle/>
        <a:p>
          <a:endParaRPr lang="en-AU"/>
        </a:p>
      </dgm:t>
    </dgm:pt>
    <dgm:pt modelId="{B0ABE7AB-DE72-4B4D-AC00-260A3C484B3D}" type="pres">
      <dgm:prSet presAssocID="{6E05B240-95FF-4831-903F-BAC7DA9AEADB}" presName="rootConnector" presStyleLbl="node3" presStyleIdx="2" presStyleCnt="6"/>
      <dgm:spPr/>
      <dgm:t>
        <a:bodyPr/>
        <a:lstStyle/>
        <a:p>
          <a:endParaRPr lang="en-AU"/>
        </a:p>
      </dgm:t>
    </dgm:pt>
    <dgm:pt modelId="{A78AA2C1-3A56-4464-9F83-3DB737A152A4}" type="pres">
      <dgm:prSet presAssocID="{6E05B240-95FF-4831-903F-BAC7DA9AEADB}" presName="hierChild4" presStyleCnt="0"/>
      <dgm:spPr/>
    </dgm:pt>
    <dgm:pt modelId="{953920D8-3540-4871-BBB9-4EFF9015D3B2}" type="pres">
      <dgm:prSet presAssocID="{6E05B240-95FF-4831-903F-BAC7DA9AEADB}" presName="hierChild5" presStyleCnt="0"/>
      <dgm:spPr/>
    </dgm:pt>
    <dgm:pt modelId="{7C221D7F-AB23-43E0-B0F6-F3F68B06ACB9}" type="pres">
      <dgm:prSet presAssocID="{D23B94CB-47EE-4FA7-957F-AF0AC9548177}" presName="Name35" presStyleLbl="parChTrans1D3" presStyleIdx="3" presStyleCnt="6"/>
      <dgm:spPr/>
      <dgm:t>
        <a:bodyPr/>
        <a:lstStyle/>
        <a:p>
          <a:endParaRPr lang="en-AU"/>
        </a:p>
      </dgm:t>
    </dgm:pt>
    <dgm:pt modelId="{13E5A4B5-83BD-4A77-8727-B0972836D055}" type="pres">
      <dgm:prSet presAssocID="{AFD80D79-B71B-4CDB-8930-D57B42FACD8A}" presName="hierRoot2" presStyleCnt="0">
        <dgm:presLayoutVars>
          <dgm:hierBranch/>
        </dgm:presLayoutVars>
      </dgm:prSet>
      <dgm:spPr/>
    </dgm:pt>
    <dgm:pt modelId="{BF453776-07D7-4EBC-AABF-F0848AA0052C}" type="pres">
      <dgm:prSet presAssocID="{AFD80D79-B71B-4CDB-8930-D57B42FACD8A}" presName="rootComposite" presStyleCnt="0"/>
      <dgm:spPr/>
    </dgm:pt>
    <dgm:pt modelId="{7D719211-529B-41D6-9EB1-377CA40FF183}" type="pres">
      <dgm:prSet presAssocID="{AFD80D79-B71B-4CDB-8930-D57B42FACD8A}" presName="rootText" presStyleLbl="node3" presStyleIdx="3" presStyleCnt="6" custScaleX="152111" custScaleY="264541" custLinFactNeighborX="-13999" custLinFactNeighborY="80881">
        <dgm:presLayoutVars>
          <dgm:chPref val="3"/>
        </dgm:presLayoutVars>
      </dgm:prSet>
      <dgm:spPr/>
      <dgm:t>
        <a:bodyPr/>
        <a:lstStyle/>
        <a:p>
          <a:endParaRPr lang="en-AU"/>
        </a:p>
      </dgm:t>
    </dgm:pt>
    <dgm:pt modelId="{A319F104-51D3-4536-973A-3CFB7E3F3E3A}" type="pres">
      <dgm:prSet presAssocID="{AFD80D79-B71B-4CDB-8930-D57B42FACD8A}" presName="rootConnector" presStyleLbl="node3" presStyleIdx="3" presStyleCnt="6"/>
      <dgm:spPr/>
      <dgm:t>
        <a:bodyPr/>
        <a:lstStyle/>
        <a:p>
          <a:endParaRPr lang="en-AU"/>
        </a:p>
      </dgm:t>
    </dgm:pt>
    <dgm:pt modelId="{8F7214B1-7791-44BC-9B51-580DF9D0BF41}" type="pres">
      <dgm:prSet presAssocID="{AFD80D79-B71B-4CDB-8930-D57B42FACD8A}" presName="hierChild4" presStyleCnt="0"/>
      <dgm:spPr/>
    </dgm:pt>
    <dgm:pt modelId="{6AD71A43-FA0F-484B-B0AD-94178C2190DC}" type="pres">
      <dgm:prSet presAssocID="{AFD80D79-B71B-4CDB-8930-D57B42FACD8A}" presName="hierChild5" presStyleCnt="0"/>
      <dgm:spPr/>
    </dgm:pt>
    <dgm:pt modelId="{EDD278C9-BD22-462A-BC72-B703E39A8C1E}" type="pres">
      <dgm:prSet presAssocID="{F9C2C6EE-BB2F-4215-8681-812697B777E5}" presName="Name35" presStyleLbl="parChTrans1D3" presStyleIdx="4" presStyleCnt="6"/>
      <dgm:spPr/>
      <dgm:t>
        <a:bodyPr/>
        <a:lstStyle/>
        <a:p>
          <a:endParaRPr lang="en-AU"/>
        </a:p>
      </dgm:t>
    </dgm:pt>
    <dgm:pt modelId="{055004A6-4F69-4C13-B5EF-F9B5CB1AFFBB}" type="pres">
      <dgm:prSet presAssocID="{D9FD9708-8AA3-4EDB-9B7E-1F4165C3EE08}" presName="hierRoot2" presStyleCnt="0">
        <dgm:presLayoutVars>
          <dgm:hierBranch/>
        </dgm:presLayoutVars>
      </dgm:prSet>
      <dgm:spPr/>
    </dgm:pt>
    <dgm:pt modelId="{70339815-53A6-4430-A99C-91525CE815F4}" type="pres">
      <dgm:prSet presAssocID="{D9FD9708-8AA3-4EDB-9B7E-1F4165C3EE08}" presName="rootComposite" presStyleCnt="0"/>
      <dgm:spPr/>
    </dgm:pt>
    <dgm:pt modelId="{D6F6D090-EDDB-44A2-9DC2-87021837AF93}" type="pres">
      <dgm:prSet presAssocID="{D9FD9708-8AA3-4EDB-9B7E-1F4165C3EE08}" presName="rootText" presStyleLbl="node3" presStyleIdx="4" presStyleCnt="6" custScaleX="151130" custScaleY="264541" custLinFactNeighborX="-13999" custLinFactNeighborY="80881">
        <dgm:presLayoutVars>
          <dgm:chPref val="3"/>
        </dgm:presLayoutVars>
      </dgm:prSet>
      <dgm:spPr/>
      <dgm:t>
        <a:bodyPr/>
        <a:lstStyle/>
        <a:p>
          <a:endParaRPr lang="en-AU"/>
        </a:p>
      </dgm:t>
    </dgm:pt>
    <dgm:pt modelId="{FC2F14C6-FDD6-4604-A2F9-74890F258582}" type="pres">
      <dgm:prSet presAssocID="{D9FD9708-8AA3-4EDB-9B7E-1F4165C3EE08}" presName="rootConnector" presStyleLbl="node3" presStyleIdx="4" presStyleCnt="6"/>
      <dgm:spPr/>
      <dgm:t>
        <a:bodyPr/>
        <a:lstStyle/>
        <a:p>
          <a:endParaRPr lang="en-AU"/>
        </a:p>
      </dgm:t>
    </dgm:pt>
    <dgm:pt modelId="{4A4883DF-5A31-4BC1-9F3D-FBCD15794BE1}" type="pres">
      <dgm:prSet presAssocID="{D9FD9708-8AA3-4EDB-9B7E-1F4165C3EE08}" presName="hierChild4" presStyleCnt="0"/>
      <dgm:spPr/>
    </dgm:pt>
    <dgm:pt modelId="{998ECFA9-9CE5-422F-AE62-D9253347A9C4}" type="pres">
      <dgm:prSet presAssocID="{D9FD9708-8AA3-4EDB-9B7E-1F4165C3EE08}" presName="hierChild5" presStyleCnt="0"/>
      <dgm:spPr/>
    </dgm:pt>
    <dgm:pt modelId="{2DB5CCD9-3BBE-4234-9FFD-2EBF089BE43B}" type="pres">
      <dgm:prSet presAssocID="{BE0FE4F8-8346-46F4-A701-209219C16D85}" presName="Name35" presStyleLbl="parChTrans1D3" presStyleIdx="5" presStyleCnt="6"/>
      <dgm:spPr/>
      <dgm:t>
        <a:bodyPr/>
        <a:lstStyle/>
        <a:p>
          <a:endParaRPr lang="en-AU"/>
        </a:p>
      </dgm:t>
    </dgm:pt>
    <dgm:pt modelId="{35598E08-EA8B-4D9B-A4FE-5EEDFD8C98E0}" type="pres">
      <dgm:prSet presAssocID="{D2BBFA71-491D-41DB-AFB0-034A8F288EDB}" presName="hierRoot2" presStyleCnt="0">
        <dgm:presLayoutVars>
          <dgm:hierBranch val="init"/>
        </dgm:presLayoutVars>
      </dgm:prSet>
      <dgm:spPr/>
    </dgm:pt>
    <dgm:pt modelId="{0E88E296-C8E1-4786-BF95-D53E114CB217}" type="pres">
      <dgm:prSet presAssocID="{D2BBFA71-491D-41DB-AFB0-034A8F288EDB}" presName="rootComposite" presStyleCnt="0"/>
      <dgm:spPr/>
    </dgm:pt>
    <dgm:pt modelId="{A8B8F3FB-6FF1-40D0-ADAA-20D1204BC343}" type="pres">
      <dgm:prSet presAssocID="{D2BBFA71-491D-41DB-AFB0-034A8F288EDB}" presName="rootText" presStyleLbl="node3" presStyleIdx="5" presStyleCnt="6" custScaleX="130278" custScaleY="264541" custLinFactNeighborX="-13999" custLinFactNeighborY="80881">
        <dgm:presLayoutVars>
          <dgm:chPref val="3"/>
        </dgm:presLayoutVars>
      </dgm:prSet>
      <dgm:spPr/>
      <dgm:t>
        <a:bodyPr/>
        <a:lstStyle/>
        <a:p>
          <a:endParaRPr lang="en-AU"/>
        </a:p>
      </dgm:t>
    </dgm:pt>
    <dgm:pt modelId="{7764BC4F-56C1-4DA1-8353-717523B47845}" type="pres">
      <dgm:prSet presAssocID="{D2BBFA71-491D-41DB-AFB0-034A8F288EDB}" presName="rootConnector" presStyleLbl="node3" presStyleIdx="5" presStyleCnt="6"/>
      <dgm:spPr/>
      <dgm:t>
        <a:bodyPr/>
        <a:lstStyle/>
        <a:p>
          <a:endParaRPr lang="en-AU"/>
        </a:p>
      </dgm:t>
    </dgm:pt>
    <dgm:pt modelId="{E815A76C-7E00-4816-A92E-8F5DEB088D88}" type="pres">
      <dgm:prSet presAssocID="{D2BBFA71-491D-41DB-AFB0-034A8F288EDB}" presName="hierChild4" presStyleCnt="0"/>
      <dgm:spPr/>
    </dgm:pt>
    <dgm:pt modelId="{31613A7E-E0F1-484C-8EE7-536D13B56CB0}" type="pres">
      <dgm:prSet presAssocID="{D2BBFA71-491D-41DB-AFB0-034A8F288EDB}" presName="hierChild5" presStyleCnt="0"/>
      <dgm:spPr/>
    </dgm:pt>
    <dgm:pt modelId="{0D37BF66-860C-4C15-824A-A672D15761E7}" type="pres">
      <dgm:prSet presAssocID="{1D25A87D-46FD-48B5-9F1A-5E4FA2C35FC5}" presName="hierChild5" presStyleCnt="0"/>
      <dgm:spPr/>
    </dgm:pt>
    <dgm:pt modelId="{BB993975-8E09-4924-A972-53DC2E8C386E}" type="pres">
      <dgm:prSet presAssocID="{1CDD0A53-05D4-4A87-83B8-4F209C3ADFE8}" presName="hierChild3" presStyleCnt="0"/>
      <dgm:spPr/>
    </dgm:pt>
  </dgm:ptLst>
  <dgm:cxnLst>
    <dgm:cxn modelId="{84A57885-6EBE-4A04-AB12-5C91053E5F11}" type="presOf" srcId="{D2BBFA71-491D-41DB-AFB0-034A8F288EDB}" destId="{A8B8F3FB-6FF1-40D0-ADAA-20D1204BC343}" srcOrd="0" destOrd="0" presId="urn:microsoft.com/office/officeart/2005/8/layout/orgChart1"/>
    <dgm:cxn modelId="{60B44F9A-8441-4FB7-ABCE-78226214B381}" srcId="{5A0782EC-3AD0-42DB-BF66-7585B556A88C}" destId="{1CDD0A53-05D4-4A87-83B8-4F209C3ADFE8}" srcOrd="0" destOrd="0" parTransId="{E36CA5A6-1CC0-4591-8127-15BE2B464DEE}" sibTransId="{C7D9073A-9CAB-4AF2-8553-6372D9A8A2C4}"/>
    <dgm:cxn modelId="{36021AB2-630D-45F7-A13A-2A155E5D1B07}" type="presOf" srcId="{13E9EEBB-49DB-475D-BEBB-77CFC4C99DCF}" destId="{82B85D06-6364-4E7F-88E9-6C3067F56E81}" srcOrd="0" destOrd="0" presId="urn:microsoft.com/office/officeart/2005/8/layout/orgChart1"/>
    <dgm:cxn modelId="{92D47541-C4B1-4DCC-8518-9176398BF176}" type="presOf" srcId="{5A0782EC-3AD0-42DB-BF66-7585B556A88C}" destId="{D3D0514D-5B7D-43E8-BE39-4CD8633A7AFB}" srcOrd="0" destOrd="0" presId="urn:microsoft.com/office/officeart/2005/8/layout/orgChart1"/>
    <dgm:cxn modelId="{77EB5273-8D1F-40DC-9CE7-6E4396E7E7C9}" type="presOf" srcId="{13D8B615-BFFD-4404-91D3-4857F503EF30}" destId="{D45DEB0A-B5FD-439B-AD82-87024EF597D8}" srcOrd="0" destOrd="0" presId="urn:microsoft.com/office/officeart/2005/8/layout/orgChart1"/>
    <dgm:cxn modelId="{DC6DC129-F28E-4B17-A94E-E5DB42A0C4CE}" type="presOf" srcId="{9DD2E80A-B397-46CA-B8B5-06D098CE6121}" destId="{DBA6CC0D-CB5D-4DB7-A9B9-46967B3A4EFF}" srcOrd="0" destOrd="0" presId="urn:microsoft.com/office/officeart/2005/8/layout/orgChart1"/>
    <dgm:cxn modelId="{F04A7149-B340-4521-ABDF-79A41AC287FA}" type="presOf" srcId="{D2BBFA71-491D-41DB-AFB0-034A8F288EDB}" destId="{7764BC4F-56C1-4DA1-8353-717523B47845}" srcOrd="1" destOrd="0" presId="urn:microsoft.com/office/officeart/2005/8/layout/orgChart1"/>
    <dgm:cxn modelId="{2347519B-F6B1-4141-BB48-DB4B7E88DC62}" type="presOf" srcId="{76E62DB1-4B80-4761-8834-E1AAD682E975}" destId="{42400411-0775-4BE0-9F8C-858573905B48}" srcOrd="1" destOrd="0" presId="urn:microsoft.com/office/officeart/2005/8/layout/orgChart1"/>
    <dgm:cxn modelId="{1BF408A3-CBF6-4671-9810-7A6DFB1CE362}" srcId="{D9DD0E91-6E50-4D2D-87BA-BEDA94C60C94}" destId="{76E62DB1-4B80-4761-8834-E1AAD682E975}" srcOrd="1" destOrd="0" parTransId="{D953B40A-934E-422E-83F0-91C40066FC6F}" sibTransId="{A67F5F78-7550-45C4-B33A-CD20FB5DF816}"/>
    <dgm:cxn modelId="{ED19F07F-86B7-4563-B6BD-172C37773CF6}" type="presOf" srcId="{D9FD9708-8AA3-4EDB-9B7E-1F4165C3EE08}" destId="{D6F6D090-EDDB-44A2-9DC2-87021837AF93}" srcOrd="0" destOrd="0" presId="urn:microsoft.com/office/officeart/2005/8/layout/orgChart1"/>
    <dgm:cxn modelId="{2688DF1C-25DE-4910-B89A-D1E7BE74C1BF}" type="presOf" srcId="{AFD80D79-B71B-4CDB-8930-D57B42FACD8A}" destId="{A319F104-51D3-4536-973A-3CFB7E3F3E3A}" srcOrd="1" destOrd="0" presId="urn:microsoft.com/office/officeart/2005/8/layout/orgChart1"/>
    <dgm:cxn modelId="{DF299502-6ADA-4BE7-954A-F6FA4E066AA1}" srcId="{1D25A87D-46FD-48B5-9F1A-5E4FA2C35FC5}" destId="{D2BBFA71-491D-41DB-AFB0-034A8F288EDB}" srcOrd="3" destOrd="0" parTransId="{BE0FE4F8-8346-46F4-A701-209219C16D85}" sibTransId="{DDD544E4-B932-4265-9F8B-07A33E11E918}"/>
    <dgm:cxn modelId="{797ED5C3-C76C-4371-9168-9115F068FC67}" type="presOf" srcId="{6E05B240-95FF-4831-903F-BAC7DA9AEADB}" destId="{B0ABE7AB-DE72-4B4D-AC00-260A3C484B3D}" srcOrd="1" destOrd="0" presId="urn:microsoft.com/office/officeart/2005/8/layout/orgChart1"/>
    <dgm:cxn modelId="{C6FC818E-F468-437B-B11E-F053A9782502}" type="presOf" srcId="{F9C2C6EE-BB2F-4215-8681-812697B777E5}" destId="{EDD278C9-BD22-462A-BC72-B703E39A8C1E}" srcOrd="0" destOrd="0" presId="urn:microsoft.com/office/officeart/2005/8/layout/orgChart1"/>
    <dgm:cxn modelId="{9703558A-4936-4B31-8C56-03E13751F7BD}" type="presOf" srcId="{BE0FE4F8-8346-46F4-A701-209219C16D85}" destId="{2DB5CCD9-3BBE-4234-9FFD-2EBF089BE43B}" srcOrd="0" destOrd="0" presId="urn:microsoft.com/office/officeart/2005/8/layout/orgChart1"/>
    <dgm:cxn modelId="{F4266343-FEA3-407B-B144-1201A34A46AD}" type="presOf" srcId="{D953B40A-934E-422E-83F0-91C40066FC6F}" destId="{DED69FEC-0D99-43DB-8B43-41B90D8B0007}" srcOrd="0" destOrd="0" presId="urn:microsoft.com/office/officeart/2005/8/layout/orgChart1"/>
    <dgm:cxn modelId="{FCE8FF3E-D806-4F85-84E0-42A5C509F5F0}" srcId="{1D25A87D-46FD-48B5-9F1A-5E4FA2C35FC5}" destId="{D9FD9708-8AA3-4EDB-9B7E-1F4165C3EE08}" srcOrd="2" destOrd="0" parTransId="{F9C2C6EE-BB2F-4215-8681-812697B777E5}" sibTransId="{AC4976B5-ADD1-4F34-8BA5-46B1636FE5B3}"/>
    <dgm:cxn modelId="{5347BA56-4E3F-4B79-9791-53919C42A0EE}" type="presOf" srcId="{6E05B240-95FF-4831-903F-BAC7DA9AEADB}" destId="{4D44F8B7-AF68-4729-A893-CA495193B143}" srcOrd="0" destOrd="0" presId="urn:microsoft.com/office/officeart/2005/8/layout/orgChart1"/>
    <dgm:cxn modelId="{64C63A22-0097-40E9-BD81-243BDB5A5B3A}" type="presOf" srcId="{76E62DB1-4B80-4761-8834-E1AAD682E975}" destId="{BB3B1D9C-D001-4925-9F12-1BE47AA302AC}" srcOrd="0" destOrd="0" presId="urn:microsoft.com/office/officeart/2005/8/layout/orgChart1"/>
    <dgm:cxn modelId="{C1769B39-8409-4FE2-835E-BFBFD588F8A4}" type="presOf" srcId="{1D25A87D-46FD-48B5-9F1A-5E4FA2C35FC5}" destId="{E55E8F45-1843-417D-981D-EC927E038EF2}" srcOrd="0" destOrd="0" presId="urn:microsoft.com/office/officeart/2005/8/layout/orgChart1"/>
    <dgm:cxn modelId="{E255DCF5-8044-40C3-9949-0E2620F06196}" type="presOf" srcId="{AFD80D79-B71B-4CDB-8930-D57B42FACD8A}" destId="{7D719211-529B-41D6-9EB1-377CA40FF183}" srcOrd="0" destOrd="0" presId="urn:microsoft.com/office/officeart/2005/8/layout/orgChart1"/>
    <dgm:cxn modelId="{3433C680-62B3-4766-BD77-6B07A0ED4C8E}" type="presOf" srcId="{1D25A87D-46FD-48B5-9F1A-5E4FA2C35FC5}" destId="{F53CC857-5954-4D09-8266-D316F16734F1}" srcOrd="1" destOrd="0" presId="urn:microsoft.com/office/officeart/2005/8/layout/orgChart1"/>
    <dgm:cxn modelId="{D7250B9C-2B9B-481E-9A66-BACF2F9728E7}" type="presOf" srcId="{D9DD0E91-6E50-4D2D-87BA-BEDA94C60C94}" destId="{FAB4E0B7-33DA-4173-BD96-34F8CCEF9DC7}" srcOrd="1" destOrd="0" presId="urn:microsoft.com/office/officeart/2005/8/layout/orgChart1"/>
    <dgm:cxn modelId="{E01BAC61-3ABC-4A1C-88E9-AB6CA93E1982}" srcId="{1CDD0A53-05D4-4A87-83B8-4F209C3ADFE8}" destId="{1D25A87D-46FD-48B5-9F1A-5E4FA2C35FC5}" srcOrd="1" destOrd="0" parTransId="{13D8B615-BFFD-4404-91D3-4857F503EF30}" sibTransId="{85F8798D-4C8F-4DA2-81AE-F17C16E74934}"/>
    <dgm:cxn modelId="{4B85E8A6-2762-45A3-BE05-6603EE51959F}" type="presOf" srcId="{B25552F0-56B5-4BA8-9FC5-29C27A1A661F}" destId="{EDFCB9BC-225A-4677-B2B0-E1F64F5E6C9E}" srcOrd="0" destOrd="0" presId="urn:microsoft.com/office/officeart/2005/8/layout/orgChart1"/>
    <dgm:cxn modelId="{F96A2A57-C104-42F6-AF79-B1F5010BE373}" type="presOf" srcId="{D9DD0E91-6E50-4D2D-87BA-BEDA94C60C94}" destId="{FB70C0A2-C75A-418C-B636-E6111D1EE802}" srcOrd="0" destOrd="0" presId="urn:microsoft.com/office/officeart/2005/8/layout/orgChart1"/>
    <dgm:cxn modelId="{98E2F42C-B948-41A6-A21B-56B057F87C1E}" srcId="{1CDD0A53-05D4-4A87-83B8-4F209C3ADFE8}" destId="{D9DD0E91-6E50-4D2D-87BA-BEDA94C60C94}" srcOrd="0" destOrd="0" parTransId="{13E9EEBB-49DB-475D-BEBB-77CFC4C99DCF}" sibTransId="{10C8E29A-795E-4A6A-9CDA-D64C095D163D}"/>
    <dgm:cxn modelId="{A230018A-0B8E-4AF8-874A-6289BE2C8C3C}" type="presOf" srcId="{D9FD9708-8AA3-4EDB-9B7E-1F4165C3EE08}" destId="{FC2F14C6-FDD6-4604-A2F9-74890F258582}" srcOrd="1" destOrd="0" presId="urn:microsoft.com/office/officeart/2005/8/layout/orgChart1"/>
    <dgm:cxn modelId="{47FBE4AA-B48B-42D2-85C0-B461879A37AE}" type="presOf" srcId="{1CDD0A53-05D4-4A87-83B8-4F209C3ADFE8}" destId="{5BB2525A-FFC6-4581-8628-6F203A4A942A}" srcOrd="0" destOrd="0" presId="urn:microsoft.com/office/officeart/2005/8/layout/orgChart1"/>
    <dgm:cxn modelId="{4339B4F3-D9A3-4ED3-9323-2482B3B98FA6}" type="presOf" srcId="{5C051FE5-4990-49B1-9E1E-4357297195D9}" destId="{45FDAB02-A3D2-4988-A883-839BE323F46F}" srcOrd="0" destOrd="0" presId="urn:microsoft.com/office/officeart/2005/8/layout/orgChart1"/>
    <dgm:cxn modelId="{DDD04F61-613F-4670-9BD4-D1B538811C79}" type="presOf" srcId="{1CDD0A53-05D4-4A87-83B8-4F209C3ADFE8}" destId="{4F287DE6-6E89-4E26-847A-EE6D796D4816}" srcOrd="1" destOrd="0" presId="urn:microsoft.com/office/officeart/2005/8/layout/orgChart1"/>
    <dgm:cxn modelId="{93778409-FA06-46EC-ADD0-A84ADACBF4F1}" type="presOf" srcId="{9DD2E80A-B397-46CA-B8B5-06D098CE6121}" destId="{C978E0F9-DC59-4315-8185-3CDD6BDD7AD5}" srcOrd="1" destOrd="0" presId="urn:microsoft.com/office/officeart/2005/8/layout/orgChart1"/>
    <dgm:cxn modelId="{18245974-05DF-47AD-A9FF-86F29510427F}" srcId="{D9DD0E91-6E50-4D2D-87BA-BEDA94C60C94}" destId="{9DD2E80A-B397-46CA-B8B5-06D098CE6121}" srcOrd="0" destOrd="0" parTransId="{B25552F0-56B5-4BA8-9FC5-29C27A1A661F}" sibTransId="{B45481A6-8527-4496-8A37-8B4ABD291411}"/>
    <dgm:cxn modelId="{DEB52D13-E127-44DF-960A-398A4D61DEE1}" srcId="{1D25A87D-46FD-48B5-9F1A-5E4FA2C35FC5}" destId="{AFD80D79-B71B-4CDB-8930-D57B42FACD8A}" srcOrd="1" destOrd="0" parTransId="{D23B94CB-47EE-4FA7-957F-AF0AC9548177}" sibTransId="{354A817E-E2B7-4697-8AFA-5C0716E6F51D}"/>
    <dgm:cxn modelId="{B0B04A33-BFEA-4197-B867-F82E5E2C547D}" srcId="{1D25A87D-46FD-48B5-9F1A-5E4FA2C35FC5}" destId="{6E05B240-95FF-4831-903F-BAC7DA9AEADB}" srcOrd="0" destOrd="0" parTransId="{5C051FE5-4990-49B1-9E1E-4357297195D9}" sibTransId="{3E29C7A1-49A5-43A5-B29A-EC1C2E4829EC}"/>
    <dgm:cxn modelId="{9B408770-1A12-47CF-8669-69FE7E2B2152}" type="presOf" srcId="{D23B94CB-47EE-4FA7-957F-AF0AC9548177}" destId="{7C221D7F-AB23-43E0-B0F6-F3F68B06ACB9}" srcOrd="0" destOrd="0" presId="urn:microsoft.com/office/officeart/2005/8/layout/orgChart1"/>
    <dgm:cxn modelId="{DFD636E6-B3F6-4E50-ADF5-B934CF72A8E1}" type="presParOf" srcId="{D3D0514D-5B7D-43E8-BE39-4CD8633A7AFB}" destId="{B53D6CF2-0576-46C7-80CA-9F9FFCEFB140}" srcOrd="0" destOrd="0" presId="urn:microsoft.com/office/officeart/2005/8/layout/orgChart1"/>
    <dgm:cxn modelId="{B4C2B4EC-1368-4E68-B9D8-84FC01046907}" type="presParOf" srcId="{B53D6CF2-0576-46C7-80CA-9F9FFCEFB140}" destId="{C67BC6B8-90B0-4962-8C3F-FA14E50E9B4C}" srcOrd="0" destOrd="0" presId="urn:microsoft.com/office/officeart/2005/8/layout/orgChart1"/>
    <dgm:cxn modelId="{D7F46B71-80BD-4C62-8720-891C0EC6904F}" type="presParOf" srcId="{C67BC6B8-90B0-4962-8C3F-FA14E50E9B4C}" destId="{5BB2525A-FFC6-4581-8628-6F203A4A942A}" srcOrd="0" destOrd="0" presId="urn:microsoft.com/office/officeart/2005/8/layout/orgChart1"/>
    <dgm:cxn modelId="{2740841A-224A-433E-866F-81160E0AB22A}" type="presParOf" srcId="{C67BC6B8-90B0-4962-8C3F-FA14E50E9B4C}" destId="{4F287DE6-6E89-4E26-847A-EE6D796D4816}" srcOrd="1" destOrd="0" presId="urn:microsoft.com/office/officeart/2005/8/layout/orgChart1"/>
    <dgm:cxn modelId="{0537063F-26D7-4640-A546-47A466C47CAD}" type="presParOf" srcId="{B53D6CF2-0576-46C7-80CA-9F9FFCEFB140}" destId="{2B8B7342-CCCA-4F31-97D6-345E7852D6CB}" srcOrd="1" destOrd="0" presId="urn:microsoft.com/office/officeart/2005/8/layout/orgChart1"/>
    <dgm:cxn modelId="{4805F80B-AEF9-4484-8389-DF1190CF0789}" type="presParOf" srcId="{2B8B7342-CCCA-4F31-97D6-345E7852D6CB}" destId="{82B85D06-6364-4E7F-88E9-6C3067F56E81}" srcOrd="0" destOrd="0" presId="urn:microsoft.com/office/officeart/2005/8/layout/orgChart1"/>
    <dgm:cxn modelId="{7E7C45BB-9F22-4AB1-9BB8-0079CFBC438B}" type="presParOf" srcId="{2B8B7342-CCCA-4F31-97D6-345E7852D6CB}" destId="{324867A4-D553-4B27-9649-4E5246907394}" srcOrd="1" destOrd="0" presId="urn:microsoft.com/office/officeart/2005/8/layout/orgChart1"/>
    <dgm:cxn modelId="{B781F5E8-26D3-4B85-A914-4094FD0DE952}" type="presParOf" srcId="{324867A4-D553-4B27-9649-4E5246907394}" destId="{5D2C0378-5465-42FB-A318-CC789A4083AB}" srcOrd="0" destOrd="0" presId="urn:microsoft.com/office/officeart/2005/8/layout/orgChart1"/>
    <dgm:cxn modelId="{E7F3496F-7C67-4A34-AFB9-26ED3352B0FD}" type="presParOf" srcId="{5D2C0378-5465-42FB-A318-CC789A4083AB}" destId="{FB70C0A2-C75A-418C-B636-E6111D1EE802}" srcOrd="0" destOrd="0" presId="urn:microsoft.com/office/officeart/2005/8/layout/orgChart1"/>
    <dgm:cxn modelId="{C2D01476-FDC2-43E4-9946-BD27CACC96C7}" type="presParOf" srcId="{5D2C0378-5465-42FB-A318-CC789A4083AB}" destId="{FAB4E0B7-33DA-4173-BD96-34F8CCEF9DC7}" srcOrd="1" destOrd="0" presId="urn:microsoft.com/office/officeart/2005/8/layout/orgChart1"/>
    <dgm:cxn modelId="{5E600C5C-452B-43DA-B7B5-5749E94D53E4}" type="presParOf" srcId="{324867A4-D553-4B27-9649-4E5246907394}" destId="{5BC78B5C-6D9E-4DB3-B606-1F506A20C7A8}" srcOrd="1" destOrd="0" presId="urn:microsoft.com/office/officeart/2005/8/layout/orgChart1"/>
    <dgm:cxn modelId="{7FC89AAB-EF7C-4E26-B1FC-C3CDBAF02532}" type="presParOf" srcId="{5BC78B5C-6D9E-4DB3-B606-1F506A20C7A8}" destId="{EDFCB9BC-225A-4677-B2B0-E1F64F5E6C9E}" srcOrd="0" destOrd="0" presId="urn:microsoft.com/office/officeart/2005/8/layout/orgChart1"/>
    <dgm:cxn modelId="{5965C175-1DDB-4824-9CE8-DA41CFA91F12}" type="presParOf" srcId="{5BC78B5C-6D9E-4DB3-B606-1F506A20C7A8}" destId="{096B7CDC-2DD3-429F-BC31-B40F410FF838}" srcOrd="1" destOrd="0" presId="urn:microsoft.com/office/officeart/2005/8/layout/orgChart1"/>
    <dgm:cxn modelId="{B6136F7E-51CE-4561-9B07-D2B9AA951D41}" type="presParOf" srcId="{096B7CDC-2DD3-429F-BC31-B40F410FF838}" destId="{2405361A-BA0A-41A9-9323-6F1EA7C57791}" srcOrd="0" destOrd="0" presId="urn:microsoft.com/office/officeart/2005/8/layout/orgChart1"/>
    <dgm:cxn modelId="{CD453056-6102-47DC-9A3F-DDB5789C62E0}" type="presParOf" srcId="{2405361A-BA0A-41A9-9323-6F1EA7C57791}" destId="{DBA6CC0D-CB5D-4DB7-A9B9-46967B3A4EFF}" srcOrd="0" destOrd="0" presId="urn:microsoft.com/office/officeart/2005/8/layout/orgChart1"/>
    <dgm:cxn modelId="{21F5F034-D82B-4829-93F3-EFC166E71F9D}" type="presParOf" srcId="{2405361A-BA0A-41A9-9323-6F1EA7C57791}" destId="{C978E0F9-DC59-4315-8185-3CDD6BDD7AD5}" srcOrd="1" destOrd="0" presId="urn:microsoft.com/office/officeart/2005/8/layout/orgChart1"/>
    <dgm:cxn modelId="{5136C525-246E-4C44-8EE9-6A7567194572}" type="presParOf" srcId="{096B7CDC-2DD3-429F-BC31-B40F410FF838}" destId="{6D701F59-EF43-4DCB-BB63-CF2265493481}" srcOrd="1" destOrd="0" presId="urn:microsoft.com/office/officeart/2005/8/layout/orgChart1"/>
    <dgm:cxn modelId="{1076777B-2D51-43F0-BF14-C3D205A41659}" type="presParOf" srcId="{096B7CDC-2DD3-429F-BC31-B40F410FF838}" destId="{86B8EE5C-DED9-4EDC-AC10-E97A3BCFBD0B}" srcOrd="2" destOrd="0" presId="urn:microsoft.com/office/officeart/2005/8/layout/orgChart1"/>
    <dgm:cxn modelId="{0793E5EA-11A6-42EE-9315-95AD2572F9C2}" type="presParOf" srcId="{5BC78B5C-6D9E-4DB3-B606-1F506A20C7A8}" destId="{DED69FEC-0D99-43DB-8B43-41B90D8B0007}" srcOrd="2" destOrd="0" presId="urn:microsoft.com/office/officeart/2005/8/layout/orgChart1"/>
    <dgm:cxn modelId="{9A85C84E-3F85-412E-9459-4304229E37E2}" type="presParOf" srcId="{5BC78B5C-6D9E-4DB3-B606-1F506A20C7A8}" destId="{030DD466-E755-4F94-ABFF-301CCED60BC3}" srcOrd="3" destOrd="0" presId="urn:microsoft.com/office/officeart/2005/8/layout/orgChart1"/>
    <dgm:cxn modelId="{0AEAE7A1-5D98-4227-A2B1-5823A3D8A2FD}" type="presParOf" srcId="{030DD466-E755-4F94-ABFF-301CCED60BC3}" destId="{0A1ED9B9-8A98-4E44-85C2-D54DCCFA72DE}" srcOrd="0" destOrd="0" presId="urn:microsoft.com/office/officeart/2005/8/layout/orgChart1"/>
    <dgm:cxn modelId="{C293D597-0413-496C-9384-BD74113FE859}" type="presParOf" srcId="{0A1ED9B9-8A98-4E44-85C2-D54DCCFA72DE}" destId="{BB3B1D9C-D001-4925-9F12-1BE47AA302AC}" srcOrd="0" destOrd="0" presId="urn:microsoft.com/office/officeart/2005/8/layout/orgChart1"/>
    <dgm:cxn modelId="{CEE76F7B-ADF5-4B03-A4E7-26A5C42E83A2}" type="presParOf" srcId="{0A1ED9B9-8A98-4E44-85C2-D54DCCFA72DE}" destId="{42400411-0775-4BE0-9F8C-858573905B48}" srcOrd="1" destOrd="0" presId="urn:microsoft.com/office/officeart/2005/8/layout/orgChart1"/>
    <dgm:cxn modelId="{EF80D5CB-FE8D-484D-8241-3E8D150365D9}" type="presParOf" srcId="{030DD466-E755-4F94-ABFF-301CCED60BC3}" destId="{DC0BF516-3EE9-48BE-863B-292AD88E1D6E}" srcOrd="1" destOrd="0" presId="urn:microsoft.com/office/officeart/2005/8/layout/orgChart1"/>
    <dgm:cxn modelId="{BCFA31B6-87E8-4713-A933-3F715AD487B1}" type="presParOf" srcId="{030DD466-E755-4F94-ABFF-301CCED60BC3}" destId="{9DD4E803-125B-4BE3-8672-FE9D1F1AB637}" srcOrd="2" destOrd="0" presId="urn:microsoft.com/office/officeart/2005/8/layout/orgChart1"/>
    <dgm:cxn modelId="{35AF5B2A-ED71-4DAA-86D7-C982676DAC0F}" type="presParOf" srcId="{324867A4-D553-4B27-9649-4E5246907394}" destId="{9DBA4D49-FB15-4826-BAE2-59A951D64C93}" srcOrd="2" destOrd="0" presId="urn:microsoft.com/office/officeart/2005/8/layout/orgChart1"/>
    <dgm:cxn modelId="{51F1DE49-EC12-4141-A5B2-97FE04B3FDE0}" type="presParOf" srcId="{2B8B7342-CCCA-4F31-97D6-345E7852D6CB}" destId="{D45DEB0A-B5FD-439B-AD82-87024EF597D8}" srcOrd="2" destOrd="0" presId="urn:microsoft.com/office/officeart/2005/8/layout/orgChart1"/>
    <dgm:cxn modelId="{4FD1E80E-F45F-4E95-9208-8CB4A472FFCA}" type="presParOf" srcId="{2B8B7342-CCCA-4F31-97D6-345E7852D6CB}" destId="{3177691C-9A0A-4368-A1F9-D2F15034DB96}" srcOrd="3" destOrd="0" presId="urn:microsoft.com/office/officeart/2005/8/layout/orgChart1"/>
    <dgm:cxn modelId="{9C33CD41-F2ED-4873-A1F8-8B1614A371CB}" type="presParOf" srcId="{3177691C-9A0A-4368-A1F9-D2F15034DB96}" destId="{14308C4E-5997-4133-BF9D-232BA8E72234}" srcOrd="0" destOrd="0" presId="urn:microsoft.com/office/officeart/2005/8/layout/orgChart1"/>
    <dgm:cxn modelId="{261D7C09-EFCD-4014-B0E0-F5332CF3AD7D}" type="presParOf" srcId="{14308C4E-5997-4133-BF9D-232BA8E72234}" destId="{E55E8F45-1843-417D-981D-EC927E038EF2}" srcOrd="0" destOrd="0" presId="urn:microsoft.com/office/officeart/2005/8/layout/orgChart1"/>
    <dgm:cxn modelId="{1F124A5C-C287-4780-AF4A-F6703CDE1E53}" type="presParOf" srcId="{14308C4E-5997-4133-BF9D-232BA8E72234}" destId="{F53CC857-5954-4D09-8266-D316F16734F1}" srcOrd="1" destOrd="0" presId="urn:microsoft.com/office/officeart/2005/8/layout/orgChart1"/>
    <dgm:cxn modelId="{5CD08D67-2DCD-4213-9D08-C0D63C8D5E7A}" type="presParOf" srcId="{3177691C-9A0A-4368-A1F9-D2F15034DB96}" destId="{2344E073-D17B-44AD-A1E6-2255159BAA74}" srcOrd="1" destOrd="0" presId="urn:microsoft.com/office/officeart/2005/8/layout/orgChart1"/>
    <dgm:cxn modelId="{21180F03-5AC7-48E9-BF81-5AA8B7552E2D}" type="presParOf" srcId="{2344E073-D17B-44AD-A1E6-2255159BAA74}" destId="{45FDAB02-A3D2-4988-A883-839BE323F46F}" srcOrd="0" destOrd="0" presId="urn:microsoft.com/office/officeart/2005/8/layout/orgChart1"/>
    <dgm:cxn modelId="{482279FF-79A2-41B6-B9E8-F3F9D760F33D}" type="presParOf" srcId="{2344E073-D17B-44AD-A1E6-2255159BAA74}" destId="{5486C2AD-CD4A-4161-879E-4EA77FACF5FC}" srcOrd="1" destOrd="0" presId="urn:microsoft.com/office/officeart/2005/8/layout/orgChart1"/>
    <dgm:cxn modelId="{399760BE-E67F-4150-8626-2277ECACEACC}" type="presParOf" srcId="{5486C2AD-CD4A-4161-879E-4EA77FACF5FC}" destId="{96F6E547-93B8-4E8D-97DD-FC6BFE86D478}" srcOrd="0" destOrd="0" presId="urn:microsoft.com/office/officeart/2005/8/layout/orgChart1"/>
    <dgm:cxn modelId="{97DE4F27-4574-4267-BD55-4551242E314F}" type="presParOf" srcId="{96F6E547-93B8-4E8D-97DD-FC6BFE86D478}" destId="{4D44F8B7-AF68-4729-A893-CA495193B143}" srcOrd="0" destOrd="0" presId="urn:microsoft.com/office/officeart/2005/8/layout/orgChart1"/>
    <dgm:cxn modelId="{9F4EB7AB-F7C3-40DD-8843-E85AC5815A58}" type="presParOf" srcId="{96F6E547-93B8-4E8D-97DD-FC6BFE86D478}" destId="{B0ABE7AB-DE72-4B4D-AC00-260A3C484B3D}" srcOrd="1" destOrd="0" presId="urn:microsoft.com/office/officeart/2005/8/layout/orgChart1"/>
    <dgm:cxn modelId="{724A0328-C7D4-487F-B409-917F1411BD67}" type="presParOf" srcId="{5486C2AD-CD4A-4161-879E-4EA77FACF5FC}" destId="{A78AA2C1-3A56-4464-9F83-3DB737A152A4}" srcOrd="1" destOrd="0" presId="urn:microsoft.com/office/officeart/2005/8/layout/orgChart1"/>
    <dgm:cxn modelId="{98941AB8-AC4C-46B7-BEC8-CC23A4D9C43B}" type="presParOf" srcId="{5486C2AD-CD4A-4161-879E-4EA77FACF5FC}" destId="{953920D8-3540-4871-BBB9-4EFF9015D3B2}" srcOrd="2" destOrd="0" presId="urn:microsoft.com/office/officeart/2005/8/layout/orgChart1"/>
    <dgm:cxn modelId="{C36C9256-F00C-4012-B217-BDCD540432C2}" type="presParOf" srcId="{2344E073-D17B-44AD-A1E6-2255159BAA74}" destId="{7C221D7F-AB23-43E0-B0F6-F3F68B06ACB9}" srcOrd="2" destOrd="0" presId="urn:microsoft.com/office/officeart/2005/8/layout/orgChart1"/>
    <dgm:cxn modelId="{BC1CFF50-FA35-446F-BF1C-3D0ED9C5F9EF}" type="presParOf" srcId="{2344E073-D17B-44AD-A1E6-2255159BAA74}" destId="{13E5A4B5-83BD-4A77-8727-B0972836D055}" srcOrd="3" destOrd="0" presId="urn:microsoft.com/office/officeart/2005/8/layout/orgChart1"/>
    <dgm:cxn modelId="{AB50D843-360B-43F2-8BD9-CC74CB0977FF}" type="presParOf" srcId="{13E5A4B5-83BD-4A77-8727-B0972836D055}" destId="{BF453776-07D7-4EBC-AABF-F0848AA0052C}" srcOrd="0" destOrd="0" presId="urn:microsoft.com/office/officeart/2005/8/layout/orgChart1"/>
    <dgm:cxn modelId="{E08E9254-4204-4C8D-B75F-8E7A2A34221A}" type="presParOf" srcId="{BF453776-07D7-4EBC-AABF-F0848AA0052C}" destId="{7D719211-529B-41D6-9EB1-377CA40FF183}" srcOrd="0" destOrd="0" presId="urn:microsoft.com/office/officeart/2005/8/layout/orgChart1"/>
    <dgm:cxn modelId="{B22CED11-423D-4896-BEBD-65C07C54BBA0}" type="presParOf" srcId="{BF453776-07D7-4EBC-AABF-F0848AA0052C}" destId="{A319F104-51D3-4536-973A-3CFB7E3F3E3A}" srcOrd="1" destOrd="0" presId="urn:microsoft.com/office/officeart/2005/8/layout/orgChart1"/>
    <dgm:cxn modelId="{6956DC08-DEB5-484C-A9AD-5C651DA04517}" type="presParOf" srcId="{13E5A4B5-83BD-4A77-8727-B0972836D055}" destId="{8F7214B1-7791-44BC-9B51-580DF9D0BF41}" srcOrd="1" destOrd="0" presId="urn:microsoft.com/office/officeart/2005/8/layout/orgChart1"/>
    <dgm:cxn modelId="{8CFBEC92-C6F6-4B14-BFFA-3BF88DE79436}" type="presParOf" srcId="{13E5A4B5-83BD-4A77-8727-B0972836D055}" destId="{6AD71A43-FA0F-484B-B0AD-94178C2190DC}" srcOrd="2" destOrd="0" presId="urn:microsoft.com/office/officeart/2005/8/layout/orgChart1"/>
    <dgm:cxn modelId="{82E6F33F-A7B5-4D58-810A-2B3B70FD3F75}" type="presParOf" srcId="{2344E073-D17B-44AD-A1E6-2255159BAA74}" destId="{EDD278C9-BD22-462A-BC72-B703E39A8C1E}" srcOrd="4" destOrd="0" presId="urn:microsoft.com/office/officeart/2005/8/layout/orgChart1"/>
    <dgm:cxn modelId="{A04CBEE7-24E3-4845-A386-E98E60D721EC}" type="presParOf" srcId="{2344E073-D17B-44AD-A1E6-2255159BAA74}" destId="{055004A6-4F69-4C13-B5EF-F9B5CB1AFFBB}" srcOrd="5" destOrd="0" presId="urn:microsoft.com/office/officeart/2005/8/layout/orgChart1"/>
    <dgm:cxn modelId="{AFFEB9CA-69E8-4EAD-8EBA-B359CD75468F}" type="presParOf" srcId="{055004A6-4F69-4C13-B5EF-F9B5CB1AFFBB}" destId="{70339815-53A6-4430-A99C-91525CE815F4}" srcOrd="0" destOrd="0" presId="urn:microsoft.com/office/officeart/2005/8/layout/orgChart1"/>
    <dgm:cxn modelId="{7917F57A-9643-4F8C-A7CF-48A0DBC2F61E}" type="presParOf" srcId="{70339815-53A6-4430-A99C-91525CE815F4}" destId="{D6F6D090-EDDB-44A2-9DC2-87021837AF93}" srcOrd="0" destOrd="0" presId="urn:microsoft.com/office/officeart/2005/8/layout/orgChart1"/>
    <dgm:cxn modelId="{4EAF486F-1985-4B37-9023-C5F0C17AB1CD}" type="presParOf" srcId="{70339815-53A6-4430-A99C-91525CE815F4}" destId="{FC2F14C6-FDD6-4604-A2F9-74890F258582}" srcOrd="1" destOrd="0" presId="urn:microsoft.com/office/officeart/2005/8/layout/orgChart1"/>
    <dgm:cxn modelId="{9433A094-045E-45AB-BFE1-15ACC8E4E1B0}" type="presParOf" srcId="{055004A6-4F69-4C13-B5EF-F9B5CB1AFFBB}" destId="{4A4883DF-5A31-4BC1-9F3D-FBCD15794BE1}" srcOrd="1" destOrd="0" presId="urn:microsoft.com/office/officeart/2005/8/layout/orgChart1"/>
    <dgm:cxn modelId="{E4A09953-A613-45F2-97F6-F93C4C318464}" type="presParOf" srcId="{055004A6-4F69-4C13-B5EF-F9B5CB1AFFBB}" destId="{998ECFA9-9CE5-422F-AE62-D9253347A9C4}" srcOrd="2" destOrd="0" presId="urn:microsoft.com/office/officeart/2005/8/layout/orgChart1"/>
    <dgm:cxn modelId="{AA608484-8AA9-4AB1-8356-DF632926258E}" type="presParOf" srcId="{2344E073-D17B-44AD-A1E6-2255159BAA74}" destId="{2DB5CCD9-3BBE-4234-9FFD-2EBF089BE43B}" srcOrd="6" destOrd="0" presId="urn:microsoft.com/office/officeart/2005/8/layout/orgChart1"/>
    <dgm:cxn modelId="{D066457B-4737-4826-838A-228DA72B649B}" type="presParOf" srcId="{2344E073-D17B-44AD-A1E6-2255159BAA74}" destId="{35598E08-EA8B-4D9B-A4FE-5EEDFD8C98E0}" srcOrd="7" destOrd="0" presId="urn:microsoft.com/office/officeart/2005/8/layout/orgChart1"/>
    <dgm:cxn modelId="{F277CAD5-28D3-4EAD-8798-3DBD45D08838}" type="presParOf" srcId="{35598E08-EA8B-4D9B-A4FE-5EEDFD8C98E0}" destId="{0E88E296-C8E1-4786-BF95-D53E114CB217}" srcOrd="0" destOrd="0" presId="urn:microsoft.com/office/officeart/2005/8/layout/orgChart1"/>
    <dgm:cxn modelId="{F17BC34E-6EEE-47D7-A4F2-BBEC193FDA84}" type="presParOf" srcId="{0E88E296-C8E1-4786-BF95-D53E114CB217}" destId="{A8B8F3FB-6FF1-40D0-ADAA-20D1204BC343}" srcOrd="0" destOrd="0" presId="urn:microsoft.com/office/officeart/2005/8/layout/orgChart1"/>
    <dgm:cxn modelId="{5B41BC29-6D11-40BB-B959-D101BD2FD4B6}" type="presParOf" srcId="{0E88E296-C8E1-4786-BF95-D53E114CB217}" destId="{7764BC4F-56C1-4DA1-8353-717523B47845}" srcOrd="1" destOrd="0" presId="urn:microsoft.com/office/officeart/2005/8/layout/orgChart1"/>
    <dgm:cxn modelId="{FB84195C-95C0-4FBD-A1C7-5AD6F1476EDE}" type="presParOf" srcId="{35598E08-EA8B-4D9B-A4FE-5EEDFD8C98E0}" destId="{E815A76C-7E00-4816-A92E-8F5DEB088D88}" srcOrd="1" destOrd="0" presId="urn:microsoft.com/office/officeart/2005/8/layout/orgChart1"/>
    <dgm:cxn modelId="{E3548D30-FAFB-403A-AA91-B8B8DCCA30BA}" type="presParOf" srcId="{35598E08-EA8B-4D9B-A4FE-5EEDFD8C98E0}" destId="{31613A7E-E0F1-484C-8EE7-536D13B56CB0}" srcOrd="2" destOrd="0" presId="urn:microsoft.com/office/officeart/2005/8/layout/orgChart1"/>
    <dgm:cxn modelId="{68857476-64D5-4D1E-90F4-C5814FE3E479}" type="presParOf" srcId="{3177691C-9A0A-4368-A1F9-D2F15034DB96}" destId="{0D37BF66-860C-4C15-824A-A672D15761E7}" srcOrd="2" destOrd="0" presId="urn:microsoft.com/office/officeart/2005/8/layout/orgChart1"/>
    <dgm:cxn modelId="{C384F692-6BF4-4FFC-A8A2-71D5CE765BDC}" type="presParOf" srcId="{B53D6CF2-0576-46C7-80CA-9F9FFCEFB140}" destId="{BB993975-8E09-4924-A972-53DC2E8C386E}"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0782EC-3AD0-42DB-BF66-7585B556A88C}" type="doc">
      <dgm:prSet loTypeId="urn:microsoft.com/office/officeart/2005/8/layout/orgChart1" loCatId="hierarchy" qsTypeId="urn:microsoft.com/office/officeart/2005/8/quickstyle/simple1" qsCatId="simple" csTypeId="urn:microsoft.com/office/officeart/2005/8/colors/accent1_3" csCatId="accent1" phldr="1"/>
      <dgm:spPr/>
      <dgm:t>
        <a:bodyPr/>
        <a:lstStyle/>
        <a:p>
          <a:endParaRPr lang="en-AU"/>
        </a:p>
      </dgm:t>
    </dgm:pt>
    <dgm:pt modelId="{1D25A87D-46FD-48B5-9F1A-5E4FA2C35FC5}">
      <dgm:prSet phldrT="[Tex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1">
              <a:solidFill>
                <a:schemeClr val="tx2"/>
              </a:solidFill>
              <a:latin typeface="Century Gothic" panose="020B0502020202020204" pitchFamily="34" charset="0"/>
            </a:rPr>
            <a:t>Consumers who have been unable to access redress or obtain a decision</a:t>
          </a:r>
        </a:p>
        <a:p>
          <a:pPr algn="ctr"/>
          <a:r>
            <a:rPr lang="en-AU" sz="1000" b="0">
              <a:solidFill>
                <a:schemeClr val="tx2"/>
              </a:solidFill>
              <a:latin typeface="Century Gothic" panose="020B0502020202020204" pitchFamily="34" charset="0"/>
            </a:rPr>
            <a:t>(Access to redress for past disputes)</a:t>
          </a:r>
        </a:p>
      </dgm:t>
    </dgm:pt>
    <dgm:pt modelId="{13D8B615-BFFD-4404-91D3-4857F503EF30}" type="parTrans" cxnId="{E01BAC61-3ABC-4A1C-88E9-AB6CA93E1982}">
      <dgm:prSet/>
      <dgm:spPr/>
      <dgm:t>
        <a:bodyPr/>
        <a:lstStyle/>
        <a:p>
          <a:pPr algn="ctr"/>
          <a:endParaRPr lang="en-AU"/>
        </a:p>
      </dgm:t>
    </dgm:pt>
    <dgm:pt modelId="{85F8798D-4C8F-4DA2-81AE-F17C16E74934}" type="sibTrans" cxnId="{E01BAC61-3ABC-4A1C-88E9-AB6CA93E1982}">
      <dgm:prSet/>
      <dgm:spPr/>
      <dgm:t>
        <a:bodyPr/>
        <a:lstStyle/>
        <a:p>
          <a:pPr algn="ctr"/>
          <a:endParaRPr lang="en-AU"/>
        </a:p>
      </dgm:t>
    </dgm:pt>
    <dgm:pt modelId="{6E05B240-95FF-4831-903F-BAC7DA9AEADB}">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a:solidFill>
                <a:schemeClr val="tx2"/>
              </a:solidFill>
              <a:latin typeface="Century Gothic" panose="020B0502020202020204" pitchFamily="34" charset="0"/>
            </a:rPr>
            <a:t>Financial firm</a:t>
          </a:r>
          <a:br>
            <a:rPr lang="en-AU" sz="1000">
              <a:solidFill>
                <a:schemeClr val="tx2"/>
              </a:solidFill>
              <a:latin typeface="Century Gothic" panose="020B0502020202020204" pitchFamily="34" charset="0"/>
            </a:rPr>
          </a:br>
          <a:r>
            <a:rPr lang="en-AU" sz="1000">
              <a:solidFill>
                <a:schemeClr val="tx2"/>
              </a:solidFill>
              <a:latin typeface="Century Gothic" panose="020B0502020202020204" pitchFamily="34" charset="0"/>
            </a:rPr>
            <a:t>insolvent or</a:t>
          </a:r>
          <a:br>
            <a:rPr lang="en-AU" sz="1000">
              <a:solidFill>
                <a:schemeClr val="tx2"/>
              </a:solidFill>
              <a:latin typeface="Century Gothic" panose="020B0502020202020204" pitchFamily="34" charset="0"/>
            </a:rPr>
          </a:br>
          <a:r>
            <a:rPr lang="en-AU" sz="1000">
              <a:solidFill>
                <a:schemeClr val="tx2"/>
              </a:solidFill>
              <a:latin typeface="Century Gothic" panose="020B0502020202020204" pitchFamily="34" charset="0"/>
            </a:rPr>
            <a:t>otherwise unable</a:t>
          </a:r>
          <a:br>
            <a:rPr lang="en-AU" sz="1000">
              <a:solidFill>
                <a:schemeClr val="tx2"/>
              </a:solidFill>
              <a:latin typeface="Century Gothic" panose="020B0502020202020204" pitchFamily="34" charset="0"/>
            </a:rPr>
          </a:br>
          <a:r>
            <a:rPr lang="en-AU" sz="1000">
              <a:solidFill>
                <a:schemeClr val="tx2"/>
              </a:solidFill>
              <a:latin typeface="Century Gothic" panose="020B0502020202020204" pitchFamily="34" charset="0"/>
            </a:rPr>
            <a:t>to pay</a:t>
          </a:r>
          <a:endParaRPr lang="en-AU" sz="1000" b="0">
            <a:solidFill>
              <a:schemeClr val="tx2"/>
            </a:solidFill>
            <a:latin typeface="Century Gothic" panose="020B0502020202020204" pitchFamily="34" charset="0"/>
          </a:endParaRPr>
        </a:p>
      </dgm:t>
    </dgm:pt>
    <dgm:pt modelId="{5C051FE5-4990-49B1-9E1E-4357297195D9}" type="parTrans" cxnId="{B0B04A33-BFEA-4197-B867-F82E5E2C547D}">
      <dgm:prSet/>
      <dgm:spPr/>
      <dgm:t>
        <a:bodyPr/>
        <a:lstStyle/>
        <a:p>
          <a:pPr algn="ctr"/>
          <a:endParaRPr lang="en-AU"/>
        </a:p>
      </dgm:t>
    </dgm:pt>
    <dgm:pt modelId="{3E29C7A1-49A5-43A5-B29A-EC1C2E4829EC}" type="sibTrans" cxnId="{B0B04A33-BFEA-4197-B867-F82E5E2C547D}">
      <dgm:prSet/>
      <dgm:spPr/>
      <dgm:t>
        <a:bodyPr/>
        <a:lstStyle/>
        <a:p>
          <a:pPr algn="ctr"/>
          <a:endParaRPr lang="en-AU"/>
        </a:p>
      </dgm:t>
    </dgm:pt>
    <dgm:pt modelId="{AFD80D79-B71B-4CDB-8930-D57B42FACD8A}">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Monetary value</a:t>
          </a:r>
          <a:br>
            <a:rPr lang="en-AU" sz="1000" b="0">
              <a:solidFill>
                <a:schemeClr val="tx2"/>
              </a:solidFill>
              <a:latin typeface="Century Gothic" panose="020B0502020202020204" pitchFamily="34" charset="0"/>
            </a:rPr>
          </a:br>
          <a:r>
            <a:rPr lang="en-AU" sz="1000" b="0">
              <a:solidFill>
                <a:schemeClr val="tx2"/>
              </a:solidFill>
              <a:latin typeface="Century Gothic" panose="020B0502020202020204" pitchFamily="34" charset="0"/>
            </a:rPr>
            <a:t>too large</a:t>
          </a:r>
        </a:p>
      </dgm:t>
    </dgm:pt>
    <dgm:pt modelId="{D23B94CB-47EE-4FA7-957F-AF0AC9548177}" type="parTrans" cxnId="{DEB52D13-E127-44DF-960A-398A4D61DEE1}">
      <dgm:prSet/>
      <dgm:spPr/>
      <dgm:t>
        <a:bodyPr/>
        <a:lstStyle/>
        <a:p>
          <a:pPr algn="ctr"/>
          <a:endParaRPr lang="en-AU"/>
        </a:p>
      </dgm:t>
    </dgm:pt>
    <dgm:pt modelId="{354A817E-E2B7-4697-8AFA-5C0716E6F51D}" type="sibTrans" cxnId="{DEB52D13-E127-44DF-960A-398A4D61DEE1}">
      <dgm:prSet/>
      <dgm:spPr/>
      <dgm:t>
        <a:bodyPr/>
        <a:lstStyle/>
        <a:p>
          <a:pPr algn="ctr"/>
          <a:endParaRPr lang="en-AU"/>
        </a:p>
      </dgm:t>
    </dgm:pt>
    <dgm:pt modelId="{D9FD9708-8AA3-4EDB-9B7E-1F4165C3EE08}">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Outside time</a:t>
          </a:r>
          <a:br>
            <a:rPr lang="en-AU" sz="1000" b="0">
              <a:solidFill>
                <a:schemeClr val="tx2"/>
              </a:solidFill>
              <a:latin typeface="Century Gothic" panose="020B0502020202020204" pitchFamily="34" charset="0"/>
            </a:rPr>
          </a:br>
          <a:r>
            <a:rPr lang="en-AU" sz="1000" b="0">
              <a:solidFill>
                <a:schemeClr val="tx2"/>
              </a:solidFill>
              <a:latin typeface="Century Gothic" panose="020B0502020202020204" pitchFamily="34" charset="0"/>
            </a:rPr>
            <a:t>limits</a:t>
          </a:r>
        </a:p>
      </dgm:t>
    </dgm:pt>
    <dgm:pt modelId="{F9C2C6EE-BB2F-4215-8681-812697B777E5}" type="parTrans" cxnId="{FCE8FF3E-D806-4F85-84E0-42A5C509F5F0}">
      <dgm:prSet/>
      <dgm:spPr/>
      <dgm:t>
        <a:bodyPr/>
        <a:lstStyle/>
        <a:p>
          <a:pPr algn="ctr"/>
          <a:endParaRPr lang="en-AU"/>
        </a:p>
      </dgm:t>
    </dgm:pt>
    <dgm:pt modelId="{AC4976B5-ADD1-4F34-8BA5-46B1636FE5B3}" type="sibTrans" cxnId="{FCE8FF3E-D806-4F85-84E0-42A5C509F5F0}">
      <dgm:prSet/>
      <dgm:spPr/>
      <dgm:t>
        <a:bodyPr/>
        <a:lstStyle/>
        <a:p>
          <a:pPr algn="ctr"/>
          <a:endParaRPr lang="en-AU"/>
        </a:p>
      </dgm:t>
    </dgm:pt>
    <dgm:pt modelId="{D2BBFA71-491D-41DB-AFB0-034A8F288EDB}">
      <dgm:prSet custT="1">
        <dgm:style>
          <a:lnRef idx="2">
            <a:schemeClr val="dk1"/>
          </a:lnRef>
          <a:fillRef idx="1">
            <a:schemeClr val="lt1"/>
          </a:fillRef>
          <a:effectRef idx="0">
            <a:schemeClr val="dk1"/>
          </a:effectRef>
          <a:fontRef idx="minor">
            <a:schemeClr val="dk1"/>
          </a:fontRef>
        </dgm:style>
      </dgm:prSet>
      <dgm:spPr>
        <a:solidFill>
          <a:schemeClr val="bg1">
            <a:lumMod val="85000"/>
          </a:schemeClr>
        </a:solidFill>
        <a:ln w="12700"/>
      </dgm:spPr>
      <dgm:t>
        <a:bodyPr/>
        <a:lstStyle/>
        <a:p>
          <a:pPr algn="ctr"/>
          <a:r>
            <a:rPr lang="en-AU" sz="1000" b="0">
              <a:solidFill>
                <a:schemeClr val="tx2"/>
              </a:solidFill>
              <a:latin typeface="Century Gothic" panose="020B0502020202020204" pitchFamily="34" charset="0"/>
            </a:rPr>
            <a:t>Other reasons</a:t>
          </a:r>
        </a:p>
      </dgm:t>
    </dgm:pt>
    <dgm:pt modelId="{BE0FE4F8-8346-46F4-A701-209219C16D85}" type="parTrans" cxnId="{DF299502-6ADA-4BE7-954A-F6FA4E066AA1}">
      <dgm:prSet/>
      <dgm:spPr/>
      <dgm:t>
        <a:bodyPr/>
        <a:lstStyle/>
        <a:p>
          <a:pPr algn="ctr"/>
          <a:endParaRPr lang="en-AU"/>
        </a:p>
      </dgm:t>
    </dgm:pt>
    <dgm:pt modelId="{DDD544E4-B932-4265-9F8B-07A33E11E918}" type="sibTrans" cxnId="{DF299502-6ADA-4BE7-954A-F6FA4E066AA1}">
      <dgm:prSet/>
      <dgm:spPr/>
      <dgm:t>
        <a:bodyPr/>
        <a:lstStyle/>
        <a:p>
          <a:pPr algn="ctr"/>
          <a:endParaRPr lang="en-AU"/>
        </a:p>
      </dgm:t>
    </dgm:pt>
    <dgm:pt modelId="{D3D0514D-5B7D-43E8-BE39-4CD8633A7AFB}" type="pres">
      <dgm:prSet presAssocID="{5A0782EC-3AD0-42DB-BF66-7585B556A88C}" presName="hierChild1" presStyleCnt="0">
        <dgm:presLayoutVars>
          <dgm:orgChart val="1"/>
          <dgm:chPref val="1"/>
          <dgm:dir/>
          <dgm:animOne val="branch"/>
          <dgm:animLvl val="lvl"/>
          <dgm:resizeHandles/>
        </dgm:presLayoutVars>
      </dgm:prSet>
      <dgm:spPr/>
      <dgm:t>
        <a:bodyPr/>
        <a:lstStyle/>
        <a:p>
          <a:endParaRPr lang="en-AU"/>
        </a:p>
      </dgm:t>
    </dgm:pt>
    <dgm:pt modelId="{DC87C0F5-FFA9-47CF-B130-F652754EDD45}" type="pres">
      <dgm:prSet presAssocID="{1D25A87D-46FD-48B5-9F1A-5E4FA2C35FC5}" presName="hierRoot1" presStyleCnt="0">
        <dgm:presLayoutVars>
          <dgm:hierBranch val="init"/>
        </dgm:presLayoutVars>
      </dgm:prSet>
      <dgm:spPr/>
      <dgm:t>
        <a:bodyPr/>
        <a:lstStyle/>
        <a:p>
          <a:endParaRPr lang="en-AU"/>
        </a:p>
      </dgm:t>
    </dgm:pt>
    <dgm:pt modelId="{D63379E9-E5BF-4941-B683-F073AFB008E3}" type="pres">
      <dgm:prSet presAssocID="{1D25A87D-46FD-48B5-9F1A-5E4FA2C35FC5}" presName="rootComposite1" presStyleCnt="0"/>
      <dgm:spPr/>
      <dgm:t>
        <a:bodyPr/>
        <a:lstStyle/>
        <a:p>
          <a:endParaRPr lang="en-AU"/>
        </a:p>
      </dgm:t>
    </dgm:pt>
    <dgm:pt modelId="{B8FE61DC-3E18-46CD-9349-3622DA045F72}" type="pres">
      <dgm:prSet presAssocID="{1D25A87D-46FD-48B5-9F1A-5E4FA2C35FC5}" presName="rootText1" presStyleLbl="node0" presStyleIdx="0" presStyleCnt="1" custAng="0" custScaleX="294319" custScaleY="116998" custLinFactNeighborX="1261" custLinFactNeighborY="-10570">
        <dgm:presLayoutVars>
          <dgm:chPref val="3"/>
        </dgm:presLayoutVars>
      </dgm:prSet>
      <dgm:spPr/>
      <dgm:t>
        <a:bodyPr/>
        <a:lstStyle/>
        <a:p>
          <a:endParaRPr lang="en-AU"/>
        </a:p>
      </dgm:t>
    </dgm:pt>
    <dgm:pt modelId="{808C6881-2DD7-4734-8B9B-1AB9704BCE7D}" type="pres">
      <dgm:prSet presAssocID="{1D25A87D-46FD-48B5-9F1A-5E4FA2C35FC5}" presName="rootConnector1" presStyleLbl="node1" presStyleIdx="0" presStyleCnt="0"/>
      <dgm:spPr/>
      <dgm:t>
        <a:bodyPr/>
        <a:lstStyle/>
        <a:p>
          <a:endParaRPr lang="en-AU"/>
        </a:p>
      </dgm:t>
    </dgm:pt>
    <dgm:pt modelId="{F2EDC230-4CE0-49B4-9C32-12B2ACD8CFF8}" type="pres">
      <dgm:prSet presAssocID="{1D25A87D-46FD-48B5-9F1A-5E4FA2C35FC5}" presName="hierChild2" presStyleCnt="0"/>
      <dgm:spPr/>
      <dgm:t>
        <a:bodyPr/>
        <a:lstStyle/>
        <a:p>
          <a:endParaRPr lang="en-AU"/>
        </a:p>
      </dgm:t>
    </dgm:pt>
    <dgm:pt modelId="{B611CD75-A618-49E9-9E36-A27E4E271B8B}" type="pres">
      <dgm:prSet presAssocID="{5C051FE5-4990-49B1-9E1E-4357297195D9}" presName="Name37" presStyleLbl="parChTrans1D2" presStyleIdx="0" presStyleCnt="4"/>
      <dgm:spPr/>
      <dgm:t>
        <a:bodyPr/>
        <a:lstStyle/>
        <a:p>
          <a:endParaRPr lang="en-AU"/>
        </a:p>
      </dgm:t>
    </dgm:pt>
    <dgm:pt modelId="{5486C2AD-CD4A-4161-879E-4EA77FACF5FC}" type="pres">
      <dgm:prSet presAssocID="{6E05B240-95FF-4831-903F-BAC7DA9AEADB}" presName="hierRoot2" presStyleCnt="0">
        <dgm:presLayoutVars>
          <dgm:hierBranch/>
        </dgm:presLayoutVars>
      </dgm:prSet>
      <dgm:spPr/>
      <dgm:t>
        <a:bodyPr/>
        <a:lstStyle/>
        <a:p>
          <a:endParaRPr lang="en-AU"/>
        </a:p>
      </dgm:t>
    </dgm:pt>
    <dgm:pt modelId="{96F6E547-93B8-4E8D-97DD-FC6BFE86D478}" type="pres">
      <dgm:prSet presAssocID="{6E05B240-95FF-4831-903F-BAC7DA9AEADB}" presName="rootComposite" presStyleCnt="0"/>
      <dgm:spPr/>
      <dgm:t>
        <a:bodyPr/>
        <a:lstStyle/>
        <a:p>
          <a:endParaRPr lang="en-AU"/>
        </a:p>
      </dgm:t>
    </dgm:pt>
    <dgm:pt modelId="{4D44F8B7-AF68-4729-A893-CA495193B143}" type="pres">
      <dgm:prSet presAssocID="{6E05B240-95FF-4831-903F-BAC7DA9AEADB}" presName="rootText" presStyleLbl="node2" presStyleIdx="0" presStyleCnt="4" custScaleX="108418" custScaleY="140142" custLinFactNeighborX="-4" custLinFactNeighborY="-4894">
        <dgm:presLayoutVars>
          <dgm:chPref val="3"/>
        </dgm:presLayoutVars>
      </dgm:prSet>
      <dgm:spPr/>
      <dgm:t>
        <a:bodyPr/>
        <a:lstStyle/>
        <a:p>
          <a:endParaRPr lang="en-AU"/>
        </a:p>
      </dgm:t>
    </dgm:pt>
    <dgm:pt modelId="{B0ABE7AB-DE72-4B4D-AC00-260A3C484B3D}" type="pres">
      <dgm:prSet presAssocID="{6E05B240-95FF-4831-903F-BAC7DA9AEADB}" presName="rootConnector" presStyleLbl="node2" presStyleIdx="0" presStyleCnt="4"/>
      <dgm:spPr/>
      <dgm:t>
        <a:bodyPr/>
        <a:lstStyle/>
        <a:p>
          <a:endParaRPr lang="en-AU"/>
        </a:p>
      </dgm:t>
    </dgm:pt>
    <dgm:pt modelId="{A78AA2C1-3A56-4464-9F83-3DB737A152A4}" type="pres">
      <dgm:prSet presAssocID="{6E05B240-95FF-4831-903F-BAC7DA9AEADB}" presName="hierChild4" presStyleCnt="0"/>
      <dgm:spPr/>
      <dgm:t>
        <a:bodyPr/>
        <a:lstStyle/>
        <a:p>
          <a:endParaRPr lang="en-AU"/>
        </a:p>
      </dgm:t>
    </dgm:pt>
    <dgm:pt modelId="{953920D8-3540-4871-BBB9-4EFF9015D3B2}" type="pres">
      <dgm:prSet presAssocID="{6E05B240-95FF-4831-903F-BAC7DA9AEADB}" presName="hierChild5" presStyleCnt="0"/>
      <dgm:spPr/>
      <dgm:t>
        <a:bodyPr/>
        <a:lstStyle/>
        <a:p>
          <a:endParaRPr lang="en-AU"/>
        </a:p>
      </dgm:t>
    </dgm:pt>
    <dgm:pt modelId="{EFC05F5C-572E-4603-A1EA-BC34C344C772}" type="pres">
      <dgm:prSet presAssocID="{D23B94CB-47EE-4FA7-957F-AF0AC9548177}" presName="Name37" presStyleLbl="parChTrans1D2" presStyleIdx="1" presStyleCnt="4"/>
      <dgm:spPr/>
      <dgm:t>
        <a:bodyPr/>
        <a:lstStyle/>
        <a:p>
          <a:endParaRPr lang="en-AU"/>
        </a:p>
      </dgm:t>
    </dgm:pt>
    <dgm:pt modelId="{13E5A4B5-83BD-4A77-8727-B0972836D055}" type="pres">
      <dgm:prSet presAssocID="{AFD80D79-B71B-4CDB-8930-D57B42FACD8A}" presName="hierRoot2" presStyleCnt="0">
        <dgm:presLayoutVars>
          <dgm:hierBranch/>
        </dgm:presLayoutVars>
      </dgm:prSet>
      <dgm:spPr/>
      <dgm:t>
        <a:bodyPr/>
        <a:lstStyle/>
        <a:p>
          <a:endParaRPr lang="en-AU"/>
        </a:p>
      </dgm:t>
    </dgm:pt>
    <dgm:pt modelId="{BF453776-07D7-4EBC-AABF-F0848AA0052C}" type="pres">
      <dgm:prSet presAssocID="{AFD80D79-B71B-4CDB-8930-D57B42FACD8A}" presName="rootComposite" presStyleCnt="0"/>
      <dgm:spPr/>
      <dgm:t>
        <a:bodyPr/>
        <a:lstStyle/>
        <a:p>
          <a:endParaRPr lang="en-AU"/>
        </a:p>
      </dgm:t>
    </dgm:pt>
    <dgm:pt modelId="{7D719211-529B-41D6-9EB1-377CA40FF183}" type="pres">
      <dgm:prSet presAssocID="{AFD80D79-B71B-4CDB-8930-D57B42FACD8A}" presName="rootText" presStyleLbl="node2" presStyleIdx="1" presStyleCnt="4" custScaleX="107761" custScaleY="140142" custLinFactNeighborY="-4895">
        <dgm:presLayoutVars>
          <dgm:chPref val="3"/>
        </dgm:presLayoutVars>
      </dgm:prSet>
      <dgm:spPr/>
      <dgm:t>
        <a:bodyPr/>
        <a:lstStyle/>
        <a:p>
          <a:endParaRPr lang="en-AU"/>
        </a:p>
      </dgm:t>
    </dgm:pt>
    <dgm:pt modelId="{A319F104-51D3-4536-973A-3CFB7E3F3E3A}" type="pres">
      <dgm:prSet presAssocID="{AFD80D79-B71B-4CDB-8930-D57B42FACD8A}" presName="rootConnector" presStyleLbl="node2" presStyleIdx="1" presStyleCnt="4"/>
      <dgm:spPr/>
      <dgm:t>
        <a:bodyPr/>
        <a:lstStyle/>
        <a:p>
          <a:endParaRPr lang="en-AU"/>
        </a:p>
      </dgm:t>
    </dgm:pt>
    <dgm:pt modelId="{8F7214B1-7791-44BC-9B51-580DF9D0BF41}" type="pres">
      <dgm:prSet presAssocID="{AFD80D79-B71B-4CDB-8930-D57B42FACD8A}" presName="hierChild4" presStyleCnt="0"/>
      <dgm:spPr/>
      <dgm:t>
        <a:bodyPr/>
        <a:lstStyle/>
        <a:p>
          <a:endParaRPr lang="en-AU"/>
        </a:p>
      </dgm:t>
    </dgm:pt>
    <dgm:pt modelId="{6AD71A43-FA0F-484B-B0AD-94178C2190DC}" type="pres">
      <dgm:prSet presAssocID="{AFD80D79-B71B-4CDB-8930-D57B42FACD8A}" presName="hierChild5" presStyleCnt="0"/>
      <dgm:spPr/>
      <dgm:t>
        <a:bodyPr/>
        <a:lstStyle/>
        <a:p>
          <a:endParaRPr lang="en-AU"/>
        </a:p>
      </dgm:t>
    </dgm:pt>
    <dgm:pt modelId="{1CA5A2AD-BCEF-4E34-875F-0A3D771FB924}" type="pres">
      <dgm:prSet presAssocID="{F9C2C6EE-BB2F-4215-8681-812697B777E5}" presName="Name37" presStyleLbl="parChTrans1D2" presStyleIdx="2" presStyleCnt="4"/>
      <dgm:spPr/>
      <dgm:t>
        <a:bodyPr/>
        <a:lstStyle/>
        <a:p>
          <a:endParaRPr lang="en-AU"/>
        </a:p>
      </dgm:t>
    </dgm:pt>
    <dgm:pt modelId="{055004A6-4F69-4C13-B5EF-F9B5CB1AFFBB}" type="pres">
      <dgm:prSet presAssocID="{D9FD9708-8AA3-4EDB-9B7E-1F4165C3EE08}" presName="hierRoot2" presStyleCnt="0">
        <dgm:presLayoutVars>
          <dgm:hierBranch/>
        </dgm:presLayoutVars>
      </dgm:prSet>
      <dgm:spPr/>
      <dgm:t>
        <a:bodyPr/>
        <a:lstStyle/>
        <a:p>
          <a:endParaRPr lang="en-AU"/>
        </a:p>
      </dgm:t>
    </dgm:pt>
    <dgm:pt modelId="{70339815-53A6-4430-A99C-91525CE815F4}" type="pres">
      <dgm:prSet presAssocID="{D9FD9708-8AA3-4EDB-9B7E-1F4165C3EE08}" presName="rootComposite" presStyleCnt="0"/>
      <dgm:spPr/>
      <dgm:t>
        <a:bodyPr/>
        <a:lstStyle/>
        <a:p>
          <a:endParaRPr lang="en-AU"/>
        </a:p>
      </dgm:t>
    </dgm:pt>
    <dgm:pt modelId="{D6F6D090-EDDB-44A2-9DC2-87021837AF93}" type="pres">
      <dgm:prSet presAssocID="{D9FD9708-8AA3-4EDB-9B7E-1F4165C3EE08}" presName="rootText" presStyleLbl="node2" presStyleIdx="2" presStyleCnt="4" custScaleX="107517" custScaleY="140142" custLinFactNeighborY="-4895">
        <dgm:presLayoutVars>
          <dgm:chPref val="3"/>
        </dgm:presLayoutVars>
      </dgm:prSet>
      <dgm:spPr/>
      <dgm:t>
        <a:bodyPr/>
        <a:lstStyle/>
        <a:p>
          <a:endParaRPr lang="en-AU"/>
        </a:p>
      </dgm:t>
    </dgm:pt>
    <dgm:pt modelId="{FC2F14C6-FDD6-4604-A2F9-74890F258582}" type="pres">
      <dgm:prSet presAssocID="{D9FD9708-8AA3-4EDB-9B7E-1F4165C3EE08}" presName="rootConnector" presStyleLbl="node2" presStyleIdx="2" presStyleCnt="4"/>
      <dgm:spPr/>
      <dgm:t>
        <a:bodyPr/>
        <a:lstStyle/>
        <a:p>
          <a:endParaRPr lang="en-AU"/>
        </a:p>
      </dgm:t>
    </dgm:pt>
    <dgm:pt modelId="{4A4883DF-5A31-4BC1-9F3D-FBCD15794BE1}" type="pres">
      <dgm:prSet presAssocID="{D9FD9708-8AA3-4EDB-9B7E-1F4165C3EE08}" presName="hierChild4" presStyleCnt="0"/>
      <dgm:spPr/>
      <dgm:t>
        <a:bodyPr/>
        <a:lstStyle/>
        <a:p>
          <a:endParaRPr lang="en-AU"/>
        </a:p>
      </dgm:t>
    </dgm:pt>
    <dgm:pt modelId="{998ECFA9-9CE5-422F-AE62-D9253347A9C4}" type="pres">
      <dgm:prSet presAssocID="{D9FD9708-8AA3-4EDB-9B7E-1F4165C3EE08}" presName="hierChild5" presStyleCnt="0"/>
      <dgm:spPr/>
      <dgm:t>
        <a:bodyPr/>
        <a:lstStyle/>
        <a:p>
          <a:endParaRPr lang="en-AU"/>
        </a:p>
      </dgm:t>
    </dgm:pt>
    <dgm:pt modelId="{F8B9624B-F25E-4E2E-8D14-624B71C0ABE8}" type="pres">
      <dgm:prSet presAssocID="{BE0FE4F8-8346-46F4-A701-209219C16D85}" presName="Name37" presStyleLbl="parChTrans1D2" presStyleIdx="3" presStyleCnt="4"/>
      <dgm:spPr/>
      <dgm:t>
        <a:bodyPr/>
        <a:lstStyle/>
        <a:p>
          <a:endParaRPr lang="en-AU"/>
        </a:p>
      </dgm:t>
    </dgm:pt>
    <dgm:pt modelId="{35598E08-EA8B-4D9B-A4FE-5EEDFD8C98E0}" type="pres">
      <dgm:prSet presAssocID="{D2BBFA71-491D-41DB-AFB0-034A8F288EDB}" presName="hierRoot2" presStyleCnt="0">
        <dgm:presLayoutVars>
          <dgm:hierBranch val="init"/>
        </dgm:presLayoutVars>
      </dgm:prSet>
      <dgm:spPr/>
      <dgm:t>
        <a:bodyPr/>
        <a:lstStyle/>
        <a:p>
          <a:endParaRPr lang="en-AU"/>
        </a:p>
      </dgm:t>
    </dgm:pt>
    <dgm:pt modelId="{0E88E296-C8E1-4786-BF95-D53E114CB217}" type="pres">
      <dgm:prSet presAssocID="{D2BBFA71-491D-41DB-AFB0-034A8F288EDB}" presName="rootComposite" presStyleCnt="0"/>
      <dgm:spPr/>
      <dgm:t>
        <a:bodyPr/>
        <a:lstStyle/>
        <a:p>
          <a:endParaRPr lang="en-AU"/>
        </a:p>
      </dgm:t>
    </dgm:pt>
    <dgm:pt modelId="{A8B8F3FB-6FF1-40D0-ADAA-20D1204BC343}" type="pres">
      <dgm:prSet presAssocID="{D2BBFA71-491D-41DB-AFB0-034A8F288EDB}" presName="rootText" presStyleLbl="node2" presStyleIdx="3" presStyleCnt="4" custScaleX="106790" custScaleY="137980" custLinFactNeighborX="4" custLinFactNeighborY="-4895">
        <dgm:presLayoutVars>
          <dgm:chPref val="3"/>
        </dgm:presLayoutVars>
      </dgm:prSet>
      <dgm:spPr/>
      <dgm:t>
        <a:bodyPr/>
        <a:lstStyle/>
        <a:p>
          <a:endParaRPr lang="en-AU"/>
        </a:p>
      </dgm:t>
    </dgm:pt>
    <dgm:pt modelId="{7764BC4F-56C1-4DA1-8353-717523B47845}" type="pres">
      <dgm:prSet presAssocID="{D2BBFA71-491D-41DB-AFB0-034A8F288EDB}" presName="rootConnector" presStyleLbl="node2" presStyleIdx="3" presStyleCnt="4"/>
      <dgm:spPr/>
      <dgm:t>
        <a:bodyPr/>
        <a:lstStyle/>
        <a:p>
          <a:endParaRPr lang="en-AU"/>
        </a:p>
      </dgm:t>
    </dgm:pt>
    <dgm:pt modelId="{E815A76C-7E00-4816-A92E-8F5DEB088D88}" type="pres">
      <dgm:prSet presAssocID="{D2BBFA71-491D-41DB-AFB0-034A8F288EDB}" presName="hierChild4" presStyleCnt="0"/>
      <dgm:spPr/>
      <dgm:t>
        <a:bodyPr/>
        <a:lstStyle/>
        <a:p>
          <a:endParaRPr lang="en-AU"/>
        </a:p>
      </dgm:t>
    </dgm:pt>
    <dgm:pt modelId="{31613A7E-E0F1-484C-8EE7-536D13B56CB0}" type="pres">
      <dgm:prSet presAssocID="{D2BBFA71-491D-41DB-AFB0-034A8F288EDB}" presName="hierChild5" presStyleCnt="0"/>
      <dgm:spPr/>
      <dgm:t>
        <a:bodyPr/>
        <a:lstStyle/>
        <a:p>
          <a:endParaRPr lang="en-AU"/>
        </a:p>
      </dgm:t>
    </dgm:pt>
    <dgm:pt modelId="{439C636F-65D4-425B-A247-D4D21C709D51}" type="pres">
      <dgm:prSet presAssocID="{1D25A87D-46FD-48B5-9F1A-5E4FA2C35FC5}" presName="hierChild3" presStyleCnt="0"/>
      <dgm:spPr/>
      <dgm:t>
        <a:bodyPr/>
        <a:lstStyle/>
        <a:p>
          <a:endParaRPr lang="en-AU"/>
        </a:p>
      </dgm:t>
    </dgm:pt>
  </dgm:ptLst>
  <dgm:cxnLst>
    <dgm:cxn modelId="{1C0400D5-DBAE-4A38-87A6-C280468F0DE8}" type="presOf" srcId="{AFD80D79-B71B-4CDB-8930-D57B42FACD8A}" destId="{7D719211-529B-41D6-9EB1-377CA40FF183}" srcOrd="0" destOrd="0" presId="urn:microsoft.com/office/officeart/2005/8/layout/orgChart1"/>
    <dgm:cxn modelId="{D0249FEC-1003-4484-BE06-08CCA0AA30CF}" type="presOf" srcId="{1D25A87D-46FD-48B5-9F1A-5E4FA2C35FC5}" destId="{808C6881-2DD7-4734-8B9B-1AB9704BCE7D}" srcOrd="1" destOrd="0" presId="urn:microsoft.com/office/officeart/2005/8/layout/orgChart1"/>
    <dgm:cxn modelId="{D5D5D0DD-DCDD-408B-8BF9-9080B3C39516}" type="presOf" srcId="{AFD80D79-B71B-4CDB-8930-D57B42FACD8A}" destId="{A319F104-51D3-4536-973A-3CFB7E3F3E3A}" srcOrd="1" destOrd="0" presId="urn:microsoft.com/office/officeart/2005/8/layout/orgChart1"/>
    <dgm:cxn modelId="{DF299502-6ADA-4BE7-954A-F6FA4E066AA1}" srcId="{1D25A87D-46FD-48B5-9F1A-5E4FA2C35FC5}" destId="{D2BBFA71-491D-41DB-AFB0-034A8F288EDB}" srcOrd="3" destOrd="0" parTransId="{BE0FE4F8-8346-46F4-A701-209219C16D85}" sibTransId="{DDD544E4-B932-4265-9F8B-07A33E11E918}"/>
    <dgm:cxn modelId="{775522D2-E6A2-483E-A4F4-327E9950EA55}" type="presOf" srcId="{5A0782EC-3AD0-42DB-BF66-7585B556A88C}" destId="{D3D0514D-5B7D-43E8-BE39-4CD8633A7AFB}" srcOrd="0" destOrd="0" presId="urn:microsoft.com/office/officeart/2005/8/layout/orgChart1"/>
    <dgm:cxn modelId="{BC78DEA3-DEBD-4489-9E48-2EF8C9F52943}" type="presOf" srcId="{F9C2C6EE-BB2F-4215-8681-812697B777E5}" destId="{1CA5A2AD-BCEF-4E34-875F-0A3D771FB924}" srcOrd="0" destOrd="0" presId="urn:microsoft.com/office/officeart/2005/8/layout/orgChart1"/>
    <dgm:cxn modelId="{69DBE7F8-95FA-4680-89B2-25459AA4A0A8}" type="presOf" srcId="{5C051FE5-4990-49B1-9E1E-4357297195D9}" destId="{B611CD75-A618-49E9-9E36-A27E4E271B8B}" srcOrd="0" destOrd="0" presId="urn:microsoft.com/office/officeart/2005/8/layout/orgChart1"/>
    <dgm:cxn modelId="{702B3A01-999D-4A59-84B3-54853AC8E502}" type="presOf" srcId="{D9FD9708-8AA3-4EDB-9B7E-1F4165C3EE08}" destId="{FC2F14C6-FDD6-4604-A2F9-74890F258582}" srcOrd="1" destOrd="0" presId="urn:microsoft.com/office/officeart/2005/8/layout/orgChart1"/>
    <dgm:cxn modelId="{954A49AD-8E5C-4178-9913-83FB58C166AC}" type="presOf" srcId="{6E05B240-95FF-4831-903F-BAC7DA9AEADB}" destId="{B0ABE7AB-DE72-4B4D-AC00-260A3C484B3D}" srcOrd="1" destOrd="0" presId="urn:microsoft.com/office/officeart/2005/8/layout/orgChart1"/>
    <dgm:cxn modelId="{4FCBF73A-65E8-4A00-B548-229C2A064DB1}" type="presOf" srcId="{D9FD9708-8AA3-4EDB-9B7E-1F4165C3EE08}" destId="{D6F6D090-EDDB-44A2-9DC2-87021837AF93}" srcOrd="0" destOrd="0" presId="urn:microsoft.com/office/officeart/2005/8/layout/orgChart1"/>
    <dgm:cxn modelId="{DEB52D13-E127-44DF-960A-398A4D61DEE1}" srcId="{1D25A87D-46FD-48B5-9F1A-5E4FA2C35FC5}" destId="{AFD80D79-B71B-4CDB-8930-D57B42FACD8A}" srcOrd="1" destOrd="0" parTransId="{D23B94CB-47EE-4FA7-957F-AF0AC9548177}" sibTransId="{354A817E-E2B7-4697-8AFA-5C0716E6F51D}"/>
    <dgm:cxn modelId="{37716228-09AB-4089-9F64-25BCFEBBBD6E}" type="presOf" srcId="{D23B94CB-47EE-4FA7-957F-AF0AC9548177}" destId="{EFC05F5C-572E-4603-A1EA-BC34C344C772}" srcOrd="0" destOrd="0" presId="urn:microsoft.com/office/officeart/2005/8/layout/orgChart1"/>
    <dgm:cxn modelId="{3DD03E69-6628-4FB9-9E8B-A0D05713A47A}" type="presOf" srcId="{D2BBFA71-491D-41DB-AFB0-034A8F288EDB}" destId="{A8B8F3FB-6FF1-40D0-ADAA-20D1204BC343}" srcOrd="0" destOrd="0" presId="urn:microsoft.com/office/officeart/2005/8/layout/orgChart1"/>
    <dgm:cxn modelId="{E01BAC61-3ABC-4A1C-88E9-AB6CA93E1982}" srcId="{5A0782EC-3AD0-42DB-BF66-7585B556A88C}" destId="{1D25A87D-46FD-48B5-9F1A-5E4FA2C35FC5}" srcOrd="0" destOrd="0" parTransId="{13D8B615-BFFD-4404-91D3-4857F503EF30}" sibTransId="{85F8798D-4C8F-4DA2-81AE-F17C16E74934}"/>
    <dgm:cxn modelId="{B0B04A33-BFEA-4197-B867-F82E5E2C547D}" srcId="{1D25A87D-46FD-48B5-9F1A-5E4FA2C35FC5}" destId="{6E05B240-95FF-4831-903F-BAC7DA9AEADB}" srcOrd="0" destOrd="0" parTransId="{5C051FE5-4990-49B1-9E1E-4357297195D9}" sibTransId="{3E29C7A1-49A5-43A5-B29A-EC1C2E4829EC}"/>
    <dgm:cxn modelId="{8D8A5AE8-F429-4925-BAFC-9C178C2214EF}" type="presOf" srcId="{1D25A87D-46FD-48B5-9F1A-5E4FA2C35FC5}" destId="{B8FE61DC-3E18-46CD-9349-3622DA045F72}" srcOrd="0" destOrd="0" presId="urn:microsoft.com/office/officeart/2005/8/layout/orgChart1"/>
    <dgm:cxn modelId="{0366A599-1ED0-4458-81EA-CFF5BD3109E9}" type="presOf" srcId="{D2BBFA71-491D-41DB-AFB0-034A8F288EDB}" destId="{7764BC4F-56C1-4DA1-8353-717523B47845}" srcOrd="1" destOrd="0" presId="urn:microsoft.com/office/officeart/2005/8/layout/orgChart1"/>
    <dgm:cxn modelId="{97E50C2D-9F17-41C9-9212-A271BCE9773F}" type="presOf" srcId="{6E05B240-95FF-4831-903F-BAC7DA9AEADB}" destId="{4D44F8B7-AF68-4729-A893-CA495193B143}" srcOrd="0" destOrd="0" presId="urn:microsoft.com/office/officeart/2005/8/layout/orgChart1"/>
    <dgm:cxn modelId="{2B897B27-40BD-441E-B62E-D7798AD0B4E3}" type="presOf" srcId="{BE0FE4F8-8346-46F4-A701-209219C16D85}" destId="{F8B9624B-F25E-4E2E-8D14-624B71C0ABE8}" srcOrd="0" destOrd="0" presId="urn:microsoft.com/office/officeart/2005/8/layout/orgChart1"/>
    <dgm:cxn modelId="{FCE8FF3E-D806-4F85-84E0-42A5C509F5F0}" srcId="{1D25A87D-46FD-48B5-9F1A-5E4FA2C35FC5}" destId="{D9FD9708-8AA3-4EDB-9B7E-1F4165C3EE08}" srcOrd="2" destOrd="0" parTransId="{F9C2C6EE-BB2F-4215-8681-812697B777E5}" sibTransId="{AC4976B5-ADD1-4F34-8BA5-46B1636FE5B3}"/>
    <dgm:cxn modelId="{415D3937-78D8-4950-8E55-66BD6D6A3897}" type="presParOf" srcId="{D3D0514D-5B7D-43E8-BE39-4CD8633A7AFB}" destId="{DC87C0F5-FFA9-47CF-B130-F652754EDD45}" srcOrd="0" destOrd="0" presId="urn:microsoft.com/office/officeart/2005/8/layout/orgChart1"/>
    <dgm:cxn modelId="{E3B161EB-C241-4331-8365-16A499C5C944}" type="presParOf" srcId="{DC87C0F5-FFA9-47CF-B130-F652754EDD45}" destId="{D63379E9-E5BF-4941-B683-F073AFB008E3}" srcOrd="0" destOrd="0" presId="urn:microsoft.com/office/officeart/2005/8/layout/orgChart1"/>
    <dgm:cxn modelId="{EAFA529A-6022-4932-8324-D06E156FD434}" type="presParOf" srcId="{D63379E9-E5BF-4941-B683-F073AFB008E3}" destId="{B8FE61DC-3E18-46CD-9349-3622DA045F72}" srcOrd="0" destOrd="0" presId="urn:microsoft.com/office/officeart/2005/8/layout/orgChart1"/>
    <dgm:cxn modelId="{2D13547E-BAF9-4998-BDE1-533DD5D4A653}" type="presParOf" srcId="{D63379E9-E5BF-4941-B683-F073AFB008E3}" destId="{808C6881-2DD7-4734-8B9B-1AB9704BCE7D}" srcOrd="1" destOrd="0" presId="urn:microsoft.com/office/officeart/2005/8/layout/orgChart1"/>
    <dgm:cxn modelId="{765CC4F2-B63E-434C-8B09-CC540AB7DDDC}" type="presParOf" srcId="{DC87C0F5-FFA9-47CF-B130-F652754EDD45}" destId="{F2EDC230-4CE0-49B4-9C32-12B2ACD8CFF8}" srcOrd="1" destOrd="0" presId="urn:microsoft.com/office/officeart/2005/8/layout/orgChart1"/>
    <dgm:cxn modelId="{A5CDAE2C-5BF7-445A-B2DC-105D189E84DE}" type="presParOf" srcId="{F2EDC230-4CE0-49B4-9C32-12B2ACD8CFF8}" destId="{B611CD75-A618-49E9-9E36-A27E4E271B8B}" srcOrd="0" destOrd="0" presId="urn:microsoft.com/office/officeart/2005/8/layout/orgChart1"/>
    <dgm:cxn modelId="{6623B0CC-5180-4499-8AEA-8D9621E87DDB}" type="presParOf" srcId="{F2EDC230-4CE0-49B4-9C32-12B2ACD8CFF8}" destId="{5486C2AD-CD4A-4161-879E-4EA77FACF5FC}" srcOrd="1" destOrd="0" presId="urn:microsoft.com/office/officeart/2005/8/layout/orgChart1"/>
    <dgm:cxn modelId="{71D0A82F-A72C-42FC-AF3D-C4477AEBA69B}" type="presParOf" srcId="{5486C2AD-CD4A-4161-879E-4EA77FACF5FC}" destId="{96F6E547-93B8-4E8D-97DD-FC6BFE86D478}" srcOrd="0" destOrd="0" presId="urn:microsoft.com/office/officeart/2005/8/layout/orgChart1"/>
    <dgm:cxn modelId="{4D4E91DA-78D6-4452-ABC8-7158CA3B8B5B}" type="presParOf" srcId="{96F6E547-93B8-4E8D-97DD-FC6BFE86D478}" destId="{4D44F8B7-AF68-4729-A893-CA495193B143}" srcOrd="0" destOrd="0" presId="urn:microsoft.com/office/officeart/2005/8/layout/orgChart1"/>
    <dgm:cxn modelId="{83790E79-E0F5-4C7D-828E-B4CE5FFAF9A5}" type="presParOf" srcId="{96F6E547-93B8-4E8D-97DD-FC6BFE86D478}" destId="{B0ABE7AB-DE72-4B4D-AC00-260A3C484B3D}" srcOrd="1" destOrd="0" presId="urn:microsoft.com/office/officeart/2005/8/layout/orgChart1"/>
    <dgm:cxn modelId="{636914FA-D05C-4F3A-9EA5-02B74FB8C85C}" type="presParOf" srcId="{5486C2AD-CD4A-4161-879E-4EA77FACF5FC}" destId="{A78AA2C1-3A56-4464-9F83-3DB737A152A4}" srcOrd="1" destOrd="0" presId="urn:microsoft.com/office/officeart/2005/8/layout/orgChart1"/>
    <dgm:cxn modelId="{6281EDAC-8ECC-4EB1-BAD8-14A458F8B5DD}" type="presParOf" srcId="{5486C2AD-CD4A-4161-879E-4EA77FACF5FC}" destId="{953920D8-3540-4871-BBB9-4EFF9015D3B2}" srcOrd="2" destOrd="0" presId="urn:microsoft.com/office/officeart/2005/8/layout/orgChart1"/>
    <dgm:cxn modelId="{E4727F22-853A-411B-AE21-FD280B9975DB}" type="presParOf" srcId="{F2EDC230-4CE0-49B4-9C32-12B2ACD8CFF8}" destId="{EFC05F5C-572E-4603-A1EA-BC34C344C772}" srcOrd="2" destOrd="0" presId="urn:microsoft.com/office/officeart/2005/8/layout/orgChart1"/>
    <dgm:cxn modelId="{6E6DF81C-EA80-4AC8-9FD1-0CC91FC36878}" type="presParOf" srcId="{F2EDC230-4CE0-49B4-9C32-12B2ACD8CFF8}" destId="{13E5A4B5-83BD-4A77-8727-B0972836D055}" srcOrd="3" destOrd="0" presId="urn:microsoft.com/office/officeart/2005/8/layout/orgChart1"/>
    <dgm:cxn modelId="{3F9FAAF3-FB7B-4124-A0B3-E0749D8B0D80}" type="presParOf" srcId="{13E5A4B5-83BD-4A77-8727-B0972836D055}" destId="{BF453776-07D7-4EBC-AABF-F0848AA0052C}" srcOrd="0" destOrd="0" presId="urn:microsoft.com/office/officeart/2005/8/layout/orgChart1"/>
    <dgm:cxn modelId="{20A352F0-9D9A-48D1-8269-8E45ECCB9754}" type="presParOf" srcId="{BF453776-07D7-4EBC-AABF-F0848AA0052C}" destId="{7D719211-529B-41D6-9EB1-377CA40FF183}" srcOrd="0" destOrd="0" presId="urn:microsoft.com/office/officeart/2005/8/layout/orgChart1"/>
    <dgm:cxn modelId="{2985781C-0D63-4136-86EF-3549F5ADEAAC}" type="presParOf" srcId="{BF453776-07D7-4EBC-AABF-F0848AA0052C}" destId="{A319F104-51D3-4536-973A-3CFB7E3F3E3A}" srcOrd="1" destOrd="0" presId="urn:microsoft.com/office/officeart/2005/8/layout/orgChart1"/>
    <dgm:cxn modelId="{926FE351-6FFA-4585-A48A-188474FD4C4D}" type="presParOf" srcId="{13E5A4B5-83BD-4A77-8727-B0972836D055}" destId="{8F7214B1-7791-44BC-9B51-580DF9D0BF41}" srcOrd="1" destOrd="0" presId="urn:microsoft.com/office/officeart/2005/8/layout/orgChart1"/>
    <dgm:cxn modelId="{746928AC-E390-44D7-959F-7AF62FC889F3}" type="presParOf" srcId="{13E5A4B5-83BD-4A77-8727-B0972836D055}" destId="{6AD71A43-FA0F-484B-B0AD-94178C2190DC}" srcOrd="2" destOrd="0" presId="urn:microsoft.com/office/officeart/2005/8/layout/orgChart1"/>
    <dgm:cxn modelId="{BC7B75D9-A27E-4EF1-8E4B-CED31D913B7C}" type="presParOf" srcId="{F2EDC230-4CE0-49B4-9C32-12B2ACD8CFF8}" destId="{1CA5A2AD-BCEF-4E34-875F-0A3D771FB924}" srcOrd="4" destOrd="0" presId="urn:microsoft.com/office/officeart/2005/8/layout/orgChart1"/>
    <dgm:cxn modelId="{0004A911-B34B-4834-9C67-1A2C641BF21E}" type="presParOf" srcId="{F2EDC230-4CE0-49B4-9C32-12B2ACD8CFF8}" destId="{055004A6-4F69-4C13-B5EF-F9B5CB1AFFBB}" srcOrd="5" destOrd="0" presId="urn:microsoft.com/office/officeart/2005/8/layout/orgChart1"/>
    <dgm:cxn modelId="{0CB2060A-F35B-480D-B24D-E9DBA56FB86B}" type="presParOf" srcId="{055004A6-4F69-4C13-B5EF-F9B5CB1AFFBB}" destId="{70339815-53A6-4430-A99C-91525CE815F4}" srcOrd="0" destOrd="0" presId="urn:microsoft.com/office/officeart/2005/8/layout/orgChart1"/>
    <dgm:cxn modelId="{942660D5-F2E1-42F0-A792-D2B45D3C4CDB}" type="presParOf" srcId="{70339815-53A6-4430-A99C-91525CE815F4}" destId="{D6F6D090-EDDB-44A2-9DC2-87021837AF93}" srcOrd="0" destOrd="0" presId="urn:microsoft.com/office/officeart/2005/8/layout/orgChart1"/>
    <dgm:cxn modelId="{500DF6FE-16AA-41AE-899A-7679FE41E8D1}" type="presParOf" srcId="{70339815-53A6-4430-A99C-91525CE815F4}" destId="{FC2F14C6-FDD6-4604-A2F9-74890F258582}" srcOrd="1" destOrd="0" presId="urn:microsoft.com/office/officeart/2005/8/layout/orgChart1"/>
    <dgm:cxn modelId="{99590ABD-D2AA-4A52-982A-5789DD92F651}" type="presParOf" srcId="{055004A6-4F69-4C13-B5EF-F9B5CB1AFFBB}" destId="{4A4883DF-5A31-4BC1-9F3D-FBCD15794BE1}" srcOrd="1" destOrd="0" presId="urn:microsoft.com/office/officeart/2005/8/layout/orgChart1"/>
    <dgm:cxn modelId="{A74AD8E2-8180-41E0-B9FD-5DEC450E005B}" type="presParOf" srcId="{055004A6-4F69-4C13-B5EF-F9B5CB1AFFBB}" destId="{998ECFA9-9CE5-422F-AE62-D9253347A9C4}" srcOrd="2" destOrd="0" presId="urn:microsoft.com/office/officeart/2005/8/layout/orgChart1"/>
    <dgm:cxn modelId="{3D566915-F3B3-47EE-949D-8FCE3A9EC84B}" type="presParOf" srcId="{F2EDC230-4CE0-49B4-9C32-12B2ACD8CFF8}" destId="{F8B9624B-F25E-4E2E-8D14-624B71C0ABE8}" srcOrd="6" destOrd="0" presId="urn:microsoft.com/office/officeart/2005/8/layout/orgChart1"/>
    <dgm:cxn modelId="{3EDC542F-CFEE-4C47-A84C-70CCB2976267}" type="presParOf" srcId="{F2EDC230-4CE0-49B4-9C32-12B2ACD8CFF8}" destId="{35598E08-EA8B-4D9B-A4FE-5EEDFD8C98E0}" srcOrd="7" destOrd="0" presId="urn:microsoft.com/office/officeart/2005/8/layout/orgChart1"/>
    <dgm:cxn modelId="{EE0CDBB7-D753-4706-B4EC-4D968B0E6394}" type="presParOf" srcId="{35598E08-EA8B-4D9B-A4FE-5EEDFD8C98E0}" destId="{0E88E296-C8E1-4786-BF95-D53E114CB217}" srcOrd="0" destOrd="0" presId="urn:microsoft.com/office/officeart/2005/8/layout/orgChart1"/>
    <dgm:cxn modelId="{00C74D89-0359-4CB1-8BAF-FE37D98D6B07}" type="presParOf" srcId="{0E88E296-C8E1-4786-BF95-D53E114CB217}" destId="{A8B8F3FB-6FF1-40D0-ADAA-20D1204BC343}" srcOrd="0" destOrd="0" presId="urn:microsoft.com/office/officeart/2005/8/layout/orgChart1"/>
    <dgm:cxn modelId="{111CB52E-37A7-4D38-89EA-5ED18880DC39}" type="presParOf" srcId="{0E88E296-C8E1-4786-BF95-D53E114CB217}" destId="{7764BC4F-56C1-4DA1-8353-717523B47845}" srcOrd="1" destOrd="0" presId="urn:microsoft.com/office/officeart/2005/8/layout/orgChart1"/>
    <dgm:cxn modelId="{DD23D106-5621-41C7-A1DA-88B92C453BB0}" type="presParOf" srcId="{35598E08-EA8B-4D9B-A4FE-5EEDFD8C98E0}" destId="{E815A76C-7E00-4816-A92E-8F5DEB088D88}" srcOrd="1" destOrd="0" presId="urn:microsoft.com/office/officeart/2005/8/layout/orgChart1"/>
    <dgm:cxn modelId="{E98A46C5-0928-4B40-913F-668A35B0E5A5}" type="presParOf" srcId="{35598E08-EA8B-4D9B-A4FE-5EEDFD8C98E0}" destId="{31613A7E-E0F1-484C-8EE7-536D13B56CB0}" srcOrd="2" destOrd="0" presId="urn:microsoft.com/office/officeart/2005/8/layout/orgChart1"/>
    <dgm:cxn modelId="{BC962CEF-CB97-4EA5-B237-3712C256C9A6}" type="presParOf" srcId="{DC87C0F5-FFA9-47CF-B130-F652754EDD45}" destId="{439C636F-65D4-425B-A247-D4D21C709D51}"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B5CCD9-3BBE-4234-9FFD-2EBF089BE43B}">
      <dsp:nvSpPr>
        <dsp:cNvPr id="0" name=""/>
        <dsp:cNvSpPr/>
      </dsp:nvSpPr>
      <dsp:spPr>
        <a:xfrm>
          <a:off x="3643536" y="1641652"/>
          <a:ext cx="1713696" cy="398070"/>
        </a:xfrm>
        <a:custGeom>
          <a:avLst/>
          <a:gdLst/>
          <a:ahLst/>
          <a:cxnLst/>
          <a:rect l="0" t="0" r="0" b="0"/>
          <a:pathLst>
            <a:path>
              <a:moveTo>
                <a:pt x="0" y="0"/>
              </a:moveTo>
              <a:lnTo>
                <a:pt x="0" y="340902"/>
              </a:lnTo>
              <a:lnTo>
                <a:pt x="1713696" y="340902"/>
              </a:lnTo>
              <a:lnTo>
                <a:pt x="1713696" y="398070"/>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D278C9-BD22-462A-BC72-B703E39A8C1E}">
      <dsp:nvSpPr>
        <dsp:cNvPr id="0" name=""/>
        <dsp:cNvSpPr/>
      </dsp:nvSpPr>
      <dsp:spPr>
        <a:xfrm>
          <a:off x="3643536" y="1641652"/>
          <a:ext cx="833296" cy="398070"/>
        </a:xfrm>
        <a:custGeom>
          <a:avLst/>
          <a:gdLst/>
          <a:ahLst/>
          <a:cxnLst/>
          <a:rect l="0" t="0" r="0" b="0"/>
          <a:pathLst>
            <a:path>
              <a:moveTo>
                <a:pt x="0" y="0"/>
              </a:moveTo>
              <a:lnTo>
                <a:pt x="0" y="340902"/>
              </a:lnTo>
              <a:lnTo>
                <a:pt x="833296" y="340902"/>
              </a:lnTo>
              <a:lnTo>
                <a:pt x="833296" y="398070"/>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221D7F-AB23-43E0-B0F6-F3F68B06ACB9}">
      <dsp:nvSpPr>
        <dsp:cNvPr id="0" name=""/>
        <dsp:cNvSpPr/>
      </dsp:nvSpPr>
      <dsp:spPr>
        <a:xfrm>
          <a:off x="3536997" y="1641652"/>
          <a:ext cx="106538" cy="398070"/>
        </a:xfrm>
        <a:custGeom>
          <a:avLst/>
          <a:gdLst/>
          <a:ahLst/>
          <a:cxnLst/>
          <a:rect l="0" t="0" r="0" b="0"/>
          <a:pathLst>
            <a:path>
              <a:moveTo>
                <a:pt x="106538" y="0"/>
              </a:moveTo>
              <a:lnTo>
                <a:pt x="106538" y="340902"/>
              </a:lnTo>
              <a:lnTo>
                <a:pt x="0" y="340902"/>
              </a:lnTo>
              <a:lnTo>
                <a:pt x="0" y="398070"/>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FDAB02-A3D2-4988-A883-839BE323F46F}">
      <dsp:nvSpPr>
        <dsp:cNvPr id="0" name=""/>
        <dsp:cNvSpPr/>
      </dsp:nvSpPr>
      <dsp:spPr>
        <a:xfrm>
          <a:off x="2493613" y="1641652"/>
          <a:ext cx="1149922" cy="398070"/>
        </a:xfrm>
        <a:custGeom>
          <a:avLst/>
          <a:gdLst/>
          <a:ahLst/>
          <a:cxnLst/>
          <a:rect l="0" t="0" r="0" b="0"/>
          <a:pathLst>
            <a:path>
              <a:moveTo>
                <a:pt x="1149922" y="0"/>
              </a:moveTo>
              <a:lnTo>
                <a:pt x="1149922" y="340902"/>
              </a:lnTo>
              <a:lnTo>
                <a:pt x="0" y="340902"/>
              </a:lnTo>
              <a:lnTo>
                <a:pt x="0" y="398070"/>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5DEB0A-B5FD-439B-AD82-87024EF597D8}">
      <dsp:nvSpPr>
        <dsp:cNvPr id="0" name=""/>
        <dsp:cNvSpPr/>
      </dsp:nvSpPr>
      <dsp:spPr>
        <a:xfrm>
          <a:off x="2430831" y="345174"/>
          <a:ext cx="1212704" cy="298351"/>
        </a:xfrm>
        <a:custGeom>
          <a:avLst/>
          <a:gdLst/>
          <a:ahLst/>
          <a:cxnLst/>
          <a:rect l="0" t="0" r="0" b="0"/>
          <a:pathLst>
            <a:path>
              <a:moveTo>
                <a:pt x="0" y="0"/>
              </a:moveTo>
              <a:lnTo>
                <a:pt x="0" y="241183"/>
              </a:lnTo>
              <a:lnTo>
                <a:pt x="1212704" y="241183"/>
              </a:lnTo>
              <a:lnTo>
                <a:pt x="1212704" y="29835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D69FEC-0D99-43DB-8B43-41B90D8B0007}">
      <dsp:nvSpPr>
        <dsp:cNvPr id="0" name=""/>
        <dsp:cNvSpPr/>
      </dsp:nvSpPr>
      <dsp:spPr>
        <a:xfrm>
          <a:off x="1237596" y="1641647"/>
          <a:ext cx="211282" cy="398075"/>
        </a:xfrm>
        <a:custGeom>
          <a:avLst/>
          <a:gdLst/>
          <a:ahLst/>
          <a:cxnLst/>
          <a:rect l="0" t="0" r="0" b="0"/>
          <a:pathLst>
            <a:path>
              <a:moveTo>
                <a:pt x="0" y="0"/>
              </a:moveTo>
              <a:lnTo>
                <a:pt x="0" y="340908"/>
              </a:lnTo>
              <a:lnTo>
                <a:pt x="211282" y="340908"/>
              </a:lnTo>
              <a:lnTo>
                <a:pt x="211282" y="398075"/>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CB9BC-225A-4677-B2B0-E1F64F5E6C9E}">
      <dsp:nvSpPr>
        <dsp:cNvPr id="0" name=""/>
        <dsp:cNvSpPr/>
      </dsp:nvSpPr>
      <dsp:spPr>
        <a:xfrm>
          <a:off x="498189" y="1641647"/>
          <a:ext cx="739406" cy="398073"/>
        </a:xfrm>
        <a:custGeom>
          <a:avLst/>
          <a:gdLst/>
          <a:ahLst/>
          <a:cxnLst/>
          <a:rect l="0" t="0" r="0" b="0"/>
          <a:pathLst>
            <a:path>
              <a:moveTo>
                <a:pt x="739406" y="0"/>
              </a:moveTo>
              <a:lnTo>
                <a:pt x="739406" y="340905"/>
              </a:lnTo>
              <a:lnTo>
                <a:pt x="0" y="340905"/>
              </a:lnTo>
              <a:lnTo>
                <a:pt x="0" y="3980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B85D06-6364-4E7F-88E9-6C3067F56E81}">
      <dsp:nvSpPr>
        <dsp:cNvPr id="0" name=""/>
        <dsp:cNvSpPr/>
      </dsp:nvSpPr>
      <dsp:spPr>
        <a:xfrm>
          <a:off x="1237596" y="345174"/>
          <a:ext cx="1193235" cy="298345"/>
        </a:xfrm>
        <a:custGeom>
          <a:avLst/>
          <a:gdLst/>
          <a:ahLst/>
          <a:cxnLst/>
          <a:rect l="0" t="0" r="0" b="0"/>
          <a:pathLst>
            <a:path>
              <a:moveTo>
                <a:pt x="1193235" y="0"/>
              </a:moveTo>
              <a:lnTo>
                <a:pt x="1193235" y="241178"/>
              </a:lnTo>
              <a:lnTo>
                <a:pt x="0" y="241178"/>
              </a:lnTo>
              <a:lnTo>
                <a:pt x="0" y="298345"/>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B2525A-FFC6-4581-8628-6F203A4A942A}">
      <dsp:nvSpPr>
        <dsp:cNvPr id="0" name=""/>
        <dsp:cNvSpPr/>
      </dsp:nvSpPr>
      <dsp:spPr>
        <a:xfrm>
          <a:off x="1389899" y="42334"/>
          <a:ext cx="2081863" cy="302840"/>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1" kern="1200">
              <a:solidFill>
                <a:schemeClr val="tx2"/>
              </a:solidFill>
              <a:latin typeface="Century Gothic" panose="020B0502020202020204" pitchFamily="34" charset="0"/>
            </a:rPr>
            <a:t>Categories of disputes</a:t>
          </a:r>
        </a:p>
      </dsp:txBody>
      <dsp:txXfrm>
        <a:off x="1389899" y="42334"/>
        <a:ext cx="2081863" cy="302840"/>
      </dsp:txXfrm>
    </dsp:sp>
    <dsp:sp modelId="{FB70C0A2-C75A-418C-B636-E6111D1EE802}">
      <dsp:nvSpPr>
        <dsp:cNvPr id="0" name=""/>
        <dsp:cNvSpPr/>
      </dsp:nvSpPr>
      <dsp:spPr>
        <a:xfrm>
          <a:off x="194884" y="643520"/>
          <a:ext cx="2085424" cy="998126"/>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1" kern="1200">
              <a:solidFill>
                <a:schemeClr val="tx2"/>
              </a:solidFill>
              <a:latin typeface="Century Gothic" panose="020B0502020202020204" pitchFamily="34" charset="0"/>
            </a:rPr>
            <a:t>Consumers with a decision</a:t>
          </a:r>
          <a:br>
            <a:rPr lang="en-AU" sz="1000" b="1" kern="1200">
              <a:solidFill>
                <a:schemeClr val="tx2"/>
              </a:solidFill>
              <a:latin typeface="Century Gothic" panose="020B0502020202020204" pitchFamily="34" charset="0"/>
            </a:rPr>
          </a:br>
          <a:r>
            <a:rPr lang="en-AU" sz="1000" b="1" kern="1200">
              <a:solidFill>
                <a:schemeClr val="tx2"/>
              </a:solidFill>
              <a:latin typeface="Century Gothic" panose="020B0502020202020204" pitchFamily="34" charset="0"/>
            </a:rPr>
            <a:t>but not compensated for financial loss</a:t>
          </a:r>
        </a:p>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(Compensation scheme of last resort)</a:t>
          </a:r>
        </a:p>
      </dsp:txBody>
      <dsp:txXfrm>
        <a:off x="194884" y="643520"/>
        <a:ext cx="2085424" cy="998126"/>
      </dsp:txXfrm>
    </dsp:sp>
    <dsp:sp modelId="{DBA6CC0D-CB5D-4DB7-A9B9-46967B3A4EFF}">
      <dsp:nvSpPr>
        <dsp:cNvPr id="0" name=""/>
        <dsp:cNvSpPr/>
      </dsp:nvSpPr>
      <dsp:spPr>
        <a:xfrm>
          <a:off x="77271" y="2039720"/>
          <a:ext cx="841836"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Future unpaid decisions</a:t>
          </a:r>
          <a:endParaRPr lang="en-AU" sz="1000" b="0" kern="1200">
            <a:solidFill>
              <a:srgbClr val="FF0000"/>
            </a:solidFill>
            <a:latin typeface="Century Gothic" panose="020B0502020202020204" pitchFamily="34" charset="0"/>
          </a:endParaRPr>
        </a:p>
      </dsp:txBody>
      <dsp:txXfrm>
        <a:off x="77271" y="2039720"/>
        <a:ext cx="841836" cy="720148"/>
      </dsp:txXfrm>
    </dsp:sp>
    <dsp:sp modelId="{BB3B1D9C-D001-4925-9F12-1BE47AA302AC}">
      <dsp:nvSpPr>
        <dsp:cNvPr id="0" name=""/>
        <dsp:cNvSpPr/>
      </dsp:nvSpPr>
      <dsp:spPr>
        <a:xfrm>
          <a:off x="1033443" y="2039722"/>
          <a:ext cx="830871"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Existing unpaid decisions</a:t>
          </a:r>
          <a:endParaRPr lang="en-AU" sz="1000" b="0" kern="1200">
            <a:solidFill>
              <a:srgbClr val="FF0000"/>
            </a:solidFill>
            <a:latin typeface="Century Gothic" panose="020B0502020202020204" pitchFamily="34" charset="0"/>
          </a:endParaRPr>
        </a:p>
      </dsp:txBody>
      <dsp:txXfrm>
        <a:off x="1033443" y="2039722"/>
        <a:ext cx="830871" cy="720148"/>
      </dsp:txXfrm>
    </dsp:sp>
    <dsp:sp modelId="{E55E8F45-1843-417D-981D-EC927E038EF2}">
      <dsp:nvSpPr>
        <dsp:cNvPr id="0" name=""/>
        <dsp:cNvSpPr/>
      </dsp:nvSpPr>
      <dsp:spPr>
        <a:xfrm>
          <a:off x="2600824" y="643525"/>
          <a:ext cx="2085424" cy="998126"/>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1" kern="1200">
              <a:solidFill>
                <a:schemeClr val="tx2"/>
              </a:solidFill>
              <a:latin typeface="Century Gothic" panose="020B0502020202020204" pitchFamily="34" charset="0"/>
            </a:rPr>
            <a:t>Consumers who have been unable to access redress or obtain a decision</a:t>
          </a:r>
        </a:p>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(Access to redress for past disputes)</a:t>
          </a:r>
        </a:p>
      </dsp:txBody>
      <dsp:txXfrm>
        <a:off x="2600824" y="643525"/>
        <a:ext cx="2085424" cy="998126"/>
      </dsp:txXfrm>
    </dsp:sp>
    <dsp:sp modelId="{4D44F8B7-AF68-4729-A893-CA495193B143}">
      <dsp:nvSpPr>
        <dsp:cNvPr id="0" name=""/>
        <dsp:cNvSpPr/>
      </dsp:nvSpPr>
      <dsp:spPr>
        <a:xfrm>
          <a:off x="1978649" y="2039722"/>
          <a:ext cx="1029928"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kern="1200">
              <a:solidFill>
                <a:schemeClr val="tx2"/>
              </a:solidFill>
              <a:latin typeface="Century Gothic" panose="020B0502020202020204" pitchFamily="34" charset="0"/>
            </a:rPr>
            <a:t>Financial firm insolvent or otherwise unable to pay</a:t>
          </a:r>
          <a:endParaRPr lang="en-AU" sz="1000" b="0" kern="1200">
            <a:solidFill>
              <a:schemeClr val="tx2"/>
            </a:solidFill>
            <a:latin typeface="Century Gothic" panose="020B0502020202020204" pitchFamily="34" charset="0"/>
          </a:endParaRPr>
        </a:p>
      </dsp:txBody>
      <dsp:txXfrm>
        <a:off x="1978649" y="2039722"/>
        <a:ext cx="1029928" cy="720148"/>
      </dsp:txXfrm>
    </dsp:sp>
    <dsp:sp modelId="{7D719211-529B-41D6-9EB1-377CA40FF183}">
      <dsp:nvSpPr>
        <dsp:cNvPr id="0" name=""/>
        <dsp:cNvSpPr/>
      </dsp:nvSpPr>
      <dsp:spPr>
        <a:xfrm>
          <a:off x="3122912" y="2039722"/>
          <a:ext cx="828170"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Monetary value too large</a:t>
          </a:r>
        </a:p>
      </dsp:txBody>
      <dsp:txXfrm>
        <a:off x="3122912" y="2039722"/>
        <a:ext cx="828170" cy="720148"/>
      </dsp:txXfrm>
    </dsp:sp>
    <dsp:sp modelId="{D6F6D090-EDDB-44A2-9DC2-87021837AF93}">
      <dsp:nvSpPr>
        <dsp:cNvPr id="0" name=""/>
        <dsp:cNvSpPr/>
      </dsp:nvSpPr>
      <dsp:spPr>
        <a:xfrm>
          <a:off x="4065418" y="2039722"/>
          <a:ext cx="822829"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Outside  time limits</a:t>
          </a:r>
        </a:p>
      </dsp:txBody>
      <dsp:txXfrm>
        <a:off x="4065418" y="2039722"/>
        <a:ext cx="822829" cy="720148"/>
      </dsp:txXfrm>
    </dsp:sp>
    <dsp:sp modelId="{A8B8F3FB-6FF1-40D0-ADAA-20D1204BC343}">
      <dsp:nvSpPr>
        <dsp:cNvPr id="0" name=""/>
        <dsp:cNvSpPr/>
      </dsp:nvSpPr>
      <dsp:spPr>
        <a:xfrm>
          <a:off x="5002582" y="2039722"/>
          <a:ext cx="709300" cy="720148"/>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Other reasons</a:t>
          </a:r>
        </a:p>
      </dsp:txBody>
      <dsp:txXfrm>
        <a:off x="5002582" y="2039722"/>
        <a:ext cx="709300" cy="720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B9624B-F25E-4E2E-8D14-624B71C0ABE8}">
      <dsp:nvSpPr>
        <dsp:cNvPr id="0" name=""/>
        <dsp:cNvSpPr/>
      </dsp:nvSpPr>
      <dsp:spPr>
        <a:xfrm>
          <a:off x="2570871" y="656593"/>
          <a:ext cx="1991231" cy="247101"/>
        </a:xfrm>
        <a:custGeom>
          <a:avLst/>
          <a:gdLst/>
          <a:ahLst/>
          <a:cxnLst/>
          <a:rect l="0" t="0" r="0" b="0"/>
          <a:pathLst>
            <a:path>
              <a:moveTo>
                <a:pt x="0" y="0"/>
              </a:moveTo>
              <a:lnTo>
                <a:pt x="0" y="138257"/>
              </a:lnTo>
              <a:lnTo>
                <a:pt x="1991231" y="138257"/>
              </a:lnTo>
              <a:lnTo>
                <a:pt x="1991231" y="24710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A5A2AD-BCEF-4E34-875F-0A3D771FB924}">
      <dsp:nvSpPr>
        <dsp:cNvPr id="0" name=""/>
        <dsp:cNvSpPr/>
      </dsp:nvSpPr>
      <dsp:spPr>
        <a:xfrm>
          <a:off x="2570871" y="656593"/>
          <a:ext cx="662740" cy="247101"/>
        </a:xfrm>
        <a:custGeom>
          <a:avLst/>
          <a:gdLst/>
          <a:ahLst/>
          <a:cxnLst/>
          <a:rect l="0" t="0" r="0" b="0"/>
          <a:pathLst>
            <a:path>
              <a:moveTo>
                <a:pt x="0" y="0"/>
              </a:moveTo>
              <a:lnTo>
                <a:pt x="0" y="138257"/>
              </a:lnTo>
              <a:lnTo>
                <a:pt x="662740" y="138257"/>
              </a:lnTo>
              <a:lnTo>
                <a:pt x="662740" y="24710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C05F5C-572E-4603-A1EA-BC34C344C772}">
      <dsp:nvSpPr>
        <dsp:cNvPr id="0" name=""/>
        <dsp:cNvSpPr/>
      </dsp:nvSpPr>
      <dsp:spPr>
        <a:xfrm>
          <a:off x="1900128" y="656593"/>
          <a:ext cx="670742" cy="247101"/>
        </a:xfrm>
        <a:custGeom>
          <a:avLst/>
          <a:gdLst/>
          <a:ahLst/>
          <a:cxnLst/>
          <a:rect l="0" t="0" r="0" b="0"/>
          <a:pathLst>
            <a:path>
              <a:moveTo>
                <a:pt x="670742" y="0"/>
              </a:moveTo>
              <a:lnTo>
                <a:pt x="670742" y="138257"/>
              </a:lnTo>
              <a:lnTo>
                <a:pt x="0" y="138257"/>
              </a:lnTo>
              <a:lnTo>
                <a:pt x="0" y="24710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1CD75-A618-49E9-9E36-A27E4E271B8B}">
      <dsp:nvSpPr>
        <dsp:cNvPr id="0" name=""/>
        <dsp:cNvSpPr/>
      </dsp:nvSpPr>
      <dsp:spPr>
        <a:xfrm>
          <a:off x="561935" y="656593"/>
          <a:ext cx="2008936" cy="247106"/>
        </a:xfrm>
        <a:custGeom>
          <a:avLst/>
          <a:gdLst/>
          <a:ahLst/>
          <a:cxnLst/>
          <a:rect l="0" t="0" r="0" b="0"/>
          <a:pathLst>
            <a:path>
              <a:moveTo>
                <a:pt x="2008936" y="0"/>
              </a:moveTo>
              <a:lnTo>
                <a:pt x="2008936" y="138262"/>
              </a:lnTo>
              <a:lnTo>
                <a:pt x="0" y="138262"/>
              </a:lnTo>
              <a:lnTo>
                <a:pt x="0" y="24710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E61DC-3E18-46CD-9349-3622DA045F72}">
      <dsp:nvSpPr>
        <dsp:cNvPr id="0" name=""/>
        <dsp:cNvSpPr/>
      </dsp:nvSpPr>
      <dsp:spPr>
        <a:xfrm>
          <a:off x="1045403" y="50187"/>
          <a:ext cx="3050935" cy="606405"/>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1" kern="1200">
              <a:solidFill>
                <a:schemeClr val="tx2"/>
              </a:solidFill>
              <a:latin typeface="Century Gothic" panose="020B0502020202020204" pitchFamily="34" charset="0"/>
            </a:rPr>
            <a:t>Consumers who have been unable to access redress or obtain a decision</a:t>
          </a:r>
        </a:p>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(Access to redress for past disputes)</a:t>
          </a:r>
        </a:p>
      </dsp:txBody>
      <dsp:txXfrm>
        <a:off x="1045403" y="50187"/>
        <a:ext cx="3050935" cy="606405"/>
      </dsp:txXfrm>
    </dsp:sp>
    <dsp:sp modelId="{4D44F8B7-AF68-4729-A893-CA495193B143}">
      <dsp:nvSpPr>
        <dsp:cNvPr id="0" name=""/>
        <dsp:cNvSpPr/>
      </dsp:nvSpPr>
      <dsp:spPr>
        <a:xfrm>
          <a:off x="0" y="903699"/>
          <a:ext cx="1123870" cy="726361"/>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kern="1200">
              <a:solidFill>
                <a:schemeClr val="tx2"/>
              </a:solidFill>
              <a:latin typeface="Century Gothic" panose="020B0502020202020204" pitchFamily="34" charset="0"/>
            </a:rPr>
            <a:t>Financial firm</a:t>
          </a:r>
          <a:br>
            <a:rPr lang="en-AU" sz="1000" kern="1200">
              <a:solidFill>
                <a:schemeClr val="tx2"/>
              </a:solidFill>
              <a:latin typeface="Century Gothic" panose="020B0502020202020204" pitchFamily="34" charset="0"/>
            </a:rPr>
          </a:br>
          <a:r>
            <a:rPr lang="en-AU" sz="1000" kern="1200">
              <a:solidFill>
                <a:schemeClr val="tx2"/>
              </a:solidFill>
              <a:latin typeface="Century Gothic" panose="020B0502020202020204" pitchFamily="34" charset="0"/>
            </a:rPr>
            <a:t>insolvent or</a:t>
          </a:r>
          <a:br>
            <a:rPr lang="en-AU" sz="1000" kern="1200">
              <a:solidFill>
                <a:schemeClr val="tx2"/>
              </a:solidFill>
              <a:latin typeface="Century Gothic" panose="020B0502020202020204" pitchFamily="34" charset="0"/>
            </a:rPr>
          </a:br>
          <a:r>
            <a:rPr lang="en-AU" sz="1000" kern="1200">
              <a:solidFill>
                <a:schemeClr val="tx2"/>
              </a:solidFill>
              <a:latin typeface="Century Gothic" panose="020B0502020202020204" pitchFamily="34" charset="0"/>
            </a:rPr>
            <a:t>otherwise unable</a:t>
          </a:r>
          <a:br>
            <a:rPr lang="en-AU" sz="1000" kern="1200">
              <a:solidFill>
                <a:schemeClr val="tx2"/>
              </a:solidFill>
              <a:latin typeface="Century Gothic" panose="020B0502020202020204" pitchFamily="34" charset="0"/>
            </a:rPr>
          </a:br>
          <a:r>
            <a:rPr lang="en-AU" sz="1000" kern="1200">
              <a:solidFill>
                <a:schemeClr val="tx2"/>
              </a:solidFill>
              <a:latin typeface="Century Gothic" panose="020B0502020202020204" pitchFamily="34" charset="0"/>
            </a:rPr>
            <a:t>to pay</a:t>
          </a:r>
          <a:endParaRPr lang="en-AU" sz="1000" b="0" kern="1200">
            <a:solidFill>
              <a:schemeClr val="tx2"/>
            </a:solidFill>
            <a:latin typeface="Century Gothic" panose="020B0502020202020204" pitchFamily="34" charset="0"/>
          </a:endParaRPr>
        </a:p>
      </dsp:txBody>
      <dsp:txXfrm>
        <a:off x="0" y="903699"/>
        <a:ext cx="1123870" cy="726361"/>
      </dsp:txXfrm>
    </dsp:sp>
    <dsp:sp modelId="{7D719211-529B-41D6-9EB1-377CA40FF183}">
      <dsp:nvSpPr>
        <dsp:cNvPr id="0" name=""/>
        <dsp:cNvSpPr/>
      </dsp:nvSpPr>
      <dsp:spPr>
        <a:xfrm>
          <a:off x="1341599" y="903694"/>
          <a:ext cx="1117059" cy="726361"/>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Monetary value</a:t>
          </a:r>
          <a:br>
            <a:rPr lang="en-AU" sz="1000" b="0" kern="1200">
              <a:solidFill>
                <a:schemeClr val="tx2"/>
              </a:solidFill>
              <a:latin typeface="Century Gothic" panose="020B0502020202020204" pitchFamily="34" charset="0"/>
            </a:rPr>
          </a:br>
          <a:r>
            <a:rPr lang="en-AU" sz="1000" b="0" kern="1200">
              <a:solidFill>
                <a:schemeClr val="tx2"/>
              </a:solidFill>
              <a:latin typeface="Century Gothic" panose="020B0502020202020204" pitchFamily="34" charset="0"/>
            </a:rPr>
            <a:t>too large</a:t>
          </a:r>
        </a:p>
      </dsp:txBody>
      <dsp:txXfrm>
        <a:off x="1341599" y="903694"/>
        <a:ext cx="1117059" cy="726361"/>
      </dsp:txXfrm>
    </dsp:sp>
    <dsp:sp modelId="{D6F6D090-EDDB-44A2-9DC2-87021837AF93}">
      <dsp:nvSpPr>
        <dsp:cNvPr id="0" name=""/>
        <dsp:cNvSpPr/>
      </dsp:nvSpPr>
      <dsp:spPr>
        <a:xfrm>
          <a:off x="2676346" y="903694"/>
          <a:ext cx="1114530" cy="726361"/>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Outside time</a:t>
          </a:r>
          <a:br>
            <a:rPr lang="en-AU" sz="1000" b="0" kern="1200">
              <a:solidFill>
                <a:schemeClr val="tx2"/>
              </a:solidFill>
              <a:latin typeface="Century Gothic" panose="020B0502020202020204" pitchFamily="34" charset="0"/>
            </a:rPr>
          </a:br>
          <a:r>
            <a:rPr lang="en-AU" sz="1000" b="0" kern="1200">
              <a:solidFill>
                <a:schemeClr val="tx2"/>
              </a:solidFill>
              <a:latin typeface="Century Gothic" panose="020B0502020202020204" pitchFamily="34" charset="0"/>
            </a:rPr>
            <a:t>limits</a:t>
          </a:r>
        </a:p>
      </dsp:txBody>
      <dsp:txXfrm>
        <a:off x="2676346" y="903694"/>
        <a:ext cx="1114530" cy="726361"/>
      </dsp:txXfrm>
    </dsp:sp>
    <dsp:sp modelId="{A8B8F3FB-6FF1-40D0-ADAA-20D1204BC343}">
      <dsp:nvSpPr>
        <dsp:cNvPr id="0" name=""/>
        <dsp:cNvSpPr/>
      </dsp:nvSpPr>
      <dsp:spPr>
        <a:xfrm>
          <a:off x="4008605" y="903694"/>
          <a:ext cx="1106994" cy="715156"/>
        </a:xfrm>
        <a:prstGeom prst="rect">
          <a:avLst/>
        </a:prstGeom>
        <a:solidFill>
          <a:schemeClr val="bg1">
            <a:lumMod val="85000"/>
          </a:schemeClr>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AU" sz="1000" b="0" kern="1200">
              <a:solidFill>
                <a:schemeClr val="tx2"/>
              </a:solidFill>
              <a:latin typeface="Century Gothic" panose="020B0502020202020204" pitchFamily="34" charset="0"/>
            </a:rPr>
            <a:t>Other reasons</a:t>
          </a:r>
        </a:p>
      </dsp:txBody>
      <dsp:txXfrm>
        <a:off x="4008605" y="903694"/>
        <a:ext cx="1106994" cy="715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2017MG-93-23764</_dlc_DocId>
    <_dlc_DocIdUrl xmlns="d4dd4adf-ddb3-46a3-8d7c-fab3fb2a6bc7">
      <Url>http://tweb/sites/mg/fsd/_layouts/15/DocIdRedir.aspx?ID=2017MG-93-23764</Url>
      <Description>2017MG-93-23764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883" ma:contentTypeDescription=" " ma:contentTypeScope="" ma:versionID="109d745075776ae6ea559b2602e3c02d">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A1FC-F787-4DF7-940F-2DE2FE02D306}">
  <ds:schemaRefs>
    <ds:schemaRef ds:uri="http://schemas.microsoft.com/sharepoint/v3/contenttype/forms"/>
  </ds:schemaRefs>
</ds:datastoreItem>
</file>

<file path=customXml/itemProps2.xml><?xml version="1.0" encoding="utf-8"?>
<ds:datastoreItem xmlns:ds="http://schemas.openxmlformats.org/officeDocument/2006/customXml" ds:itemID="{81023066-9CFB-48F0-A419-8B2C6BC1297E}">
  <ds:schemaRefs>
    <ds:schemaRef ds:uri="http://schemas.microsoft.com/sharepoint/events"/>
  </ds:schemaRefs>
</ds:datastoreItem>
</file>

<file path=customXml/itemProps3.xml><?xml version="1.0" encoding="utf-8"?>
<ds:datastoreItem xmlns:ds="http://schemas.openxmlformats.org/officeDocument/2006/customXml" ds:itemID="{32CFEDAE-7D4E-4B58-83E6-638110420A26}">
  <ds:schemaRefs>
    <ds:schemaRef ds:uri="office.server.policy"/>
  </ds:schemaRefs>
</ds:datastoreItem>
</file>

<file path=customXml/itemProps4.xml><?xml version="1.0" encoding="utf-8"?>
<ds:datastoreItem xmlns:ds="http://schemas.openxmlformats.org/officeDocument/2006/customXml" ds:itemID="{BEBC7A83-045B-4C96-A5BA-298171451367}">
  <ds:schemaRefs>
    <ds:schemaRef ds:uri="http://schemas.microsoft.com/sharepoint/events"/>
  </ds:schemaRefs>
</ds:datastoreItem>
</file>

<file path=customXml/itemProps5.xml><?xml version="1.0" encoding="utf-8"?>
<ds:datastoreItem xmlns:ds="http://schemas.openxmlformats.org/officeDocument/2006/customXml" ds:itemID="{B72A0F21-9E10-4384-80E8-94B36203CFE0}">
  <ds:schemaRefs>
    <ds:schemaRef ds:uri="http://schemas.microsoft.com/office/2006/metadata/properties"/>
    <ds:schemaRef ds:uri="http://purl.org/dc/elements/1.1/"/>
    <ds:schemaRef ds:uri="d4dd4adf-ddb3-46a3-8d7c-fab3fb2a6bc7"/>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purl.org/dc/dcmitype/"/>
  </ds:schemaRefs>
</ds:datastoreItem>
</file>

<file path=customXml/itemProps6.xml><?xml version="1.0" encoding="utf-8"?>
<ds:datastoreItem xmlns:ds="http://schemas.openxmlformats.org/officeDocument/2006/customXml" ds:itemID="{885CE017-B80F-4923-900A-ABC719D2E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34BCB8-BACD-477D-8CE9-964B75D6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60</Pages>
  <Words>17910</Words>
  <Characters>98069</Characters>
  <Application>Microsoft Office Word</Application>
  <DocSecurity>0</DocSecurity>
  <Lines>1941</Lines>
  <Paragraphs>748</Paragraphs>
  <ScaleCrop>false</ScaleCrop>
  <HeadingPairs>
    <vt:vector size="2" baseType="variant">
      <vt:variant>
        <vt:lpstr>Title</vt:lpstr>
      </vt:variant>
      <vt:variant>
        <vt:i4>1</vt:i4>
      </vt:variant>
    </vt:vector>
  </HeadingPairs>
  <TitlesOfParts>
    <vt:vector size="1" baseType="lpstr">
      <vt:lpstr>Review of the financial system external dispute resolution framework - supplementary issues paper</vt:lpstr>
    </vt:vector>
  </TitlesOfParts>
  <Company>The Treasury</Company>
  <LinksUpToDate>false</LinksUpToDate>
  <CharactersWithSpaces>115279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financial system external dispute resolution framework - supplementary issues paper</dc:title>
  <dc:subject/>
  <dc:creator>The Treasury</dc:creator>
  <cp:lastModifiedBy>Hill, Christine</cp:lastModifiedBy>
  <cp:revision>3</cp:revision>
  <cp:lastPrinted>2017-05-24T01:27:00Z</cp:lastPrinted>
  <dcterms:created xsi:type="dcterms:W3CDTF">2017-05-31T00:13:00Z</dcterms:created>
  <dcterms:modified xsi:type="dcterms:W3CDTF">2017-05-31T00:30:00Z</dcterms:modified>
</cp:coreProperties>
</file>