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083C6" w14:textId="526904C7" w:rsidR="000E0B74" w:rsidRPr="00850D8E" w:rsidRDefault="004B0D3F" w:rsidP="000E0B74">
      <w:pPr>
        <w:pStyle w:val="Title"/>
        <w:rPr>
          <w:sz w:val="62"/>
        </w:rPr>
      </w:pPr>
      <w:r w:rsidRPr="00850D8E">
        <w:rPr>
          <w:sz w:val="62"/>
        </w:rPr>
        <w:t>Introduction of Australian Securities and Investments Commission’s Fees-for-Service under the Industry Funding</w:t>
      </w:r>
      <w:r w:rsidR="00850D8E">
        <w:rPr>
          <w:sz w:val="62"/>
        </w:rPr>
        <w:t> </w:t>
      </w:r>
      <w:r w:rsidRPr="00850D8E">
        <w:rPr>
          <w:sz w:val="62"/>
        </w:rPr>
        <w:t>Model</w:t>
      </w:r>
    </w:p>
    <w:p w14:paraId="39DC2EFA" w14:textId="77777777" w:rsidR="000E0B74" w:rsidRPr="00D45AF8" w:rsidRDefault="004B0D3F" w:rsidP="00D45AF8">
      <w:pPr>
        <w:pStyle w:val="Subtitle"/>
      </w:pPr>
      <w:r>
        <w:t>Consultation Paper</w:t>
      </w:r>
    </w:p>
    <w:p w14:paraId="01C2D4B9" w14:textId="42B71885" w:rsidR="000E0B74" w:rsidRDefault="004B0D3F" w:rsidP="00850D8E">
      <w:pPr>
        <w:pStyle w:val="ReportDate"/>
        <w:ind w:right="0"/>
        <w:rPr>
          <w:rFonts w:cs="Calibri"/>
          <w:sz w:val="20"/>
        </w:rPr>
      </w:pPr>
      <w:r>
        <w:rPr>
          <w:rStyle w:val="ReportDateChar"/>
        </w:rPr>
        <w:t>November 2017</w:t>
      </w:r>
    </w:p>
    <w:p w14:paraId="43DB31C6" w14:textId="77777777" w:rsidR="000E0B74" w:rsidRDefault="000E0B74" w:rsidP="000E0B74">
      <w:pPr>
        <w:sectPr w:rsidR="000E0B74" w:rsidSect="00850D8E">
          <w:headerReference w:type="default" r:id="rId14"/>
          <w:footerReference w:type="default" r:id="rId15"/>
          <w:pgSz w:w="11906" w:h="16838" w:code="277"/>
          <w:pgMar w:top="1418" w:right="1418" w:bottom="1418" w:left="1418" w:header="709" w:footer="709" w:gutter="0"/>
          <w:pgNumType w:fmt="lowerRoman" w:start="1"/>
          <w:cols w:space="720"/>
          <w:vAlign w:val="center"/>
        </w:sectPr>
      </w:pPr>
    </w:p>
    <w:p w14:paraId="4B115E62" w14:textId="77777777" w:rsidR="000E0B74" w:rsidRDefault="000E0B74" w:rsidP="000E0B74">
      <w:pPr>
        <w:spacing w:before="240"/>
      </w:pPr>
      <w:r w:rsidRPr="00661BF0">
        <w:lastRenderedPageBreak/>
        <w:t xml:space="preserve">© Commonwealth of Australia </w:t>
      </w:r>
      <w:r w:rsidR="004B0D3F" w:rsidRPr="004B0D3F">
        <w:t>2017</w:t>
      </w:r>
    </w:p>
    <w:p w14:paraId="745EAD31" w14:textId="014F82C8"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4B0D3F">
        <w:t xml:space="preserve">and where otherwise stated. </w:t>
      </w:r>
      <w:r w:rsidRPr="002F1BC2">
        <w:t>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p>
    <w:p w14:paraId="6F27179A" w14:textId="77777777" w:rsidR="000E0B74" w:rsidRDefault="000E0B74" w:rsidP="00850D8E">
      <w:pPr>
        <w:pStyle w:val="TableGraphic"/>
      </w:pPr>
      <w:r w:rsidRPr="00850D8E">
        <w:rPr>
          <w:noProof/>
        </w:rPr>
        <w:drawing>
          <wp:inline distT="0" distB="0" distL="0" distR="0" wp14:anchorId="37728F23" wp14:editId="40EA0B8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9C150E0"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8488ACD"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3201A3C1" w14:textId="06876348"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attributio</w:t>
      </w:r>
      <w:r w:rsidR="00B53A2D">
        <w:t>n:</w:t>
      </w:r>
    </w:p>
    <w:p w14:paraId="03F3EF52" w14:textId="77777777" w:rsidR="000E0B74" w:rsidRPr="00A13A11" w:rsidRDefault="000E0B74" w:rsidP="000E0B74">
      <w:pPr>
        <w:ind w:firstLine="720"/>
      </w:pPr>
      <w:r w:rsidRPr="002F1BC2">
        <w:rPr>
          <w:i/>
        </w:rPr>
        <w:t xml:space="preserve">Source: The </w:t>
      </w:r>
      <w:r w:rsidRPr="002F1BC2">
        <w:rPr>
          <w:i/>
          <w:iCs/>
        </w:rPr>
        <w:t>Australian G</w:t>
      </w:r>
      <w:r w:rsidR="004B0D3F">
        <w:rPr>
          <w:i/>
          <w:iCs/>
        </w:rPr>
        <w:t>over</w:t>
      </w:r>
      <w:bookmarkStart w:id="0" w:name="_GoBack"/>
      <w:bookmarkEnd w:id="0"/>
      <w:r w:rsidR="004B0D3F">
        <w:rPr>
          <w:i/>
          <w:iCs/>
        </w:rPr>
        <w:t>nment the Treasury.</w:t>
      </w:r>
    </w:p>
    <w:p w14:paraId="4030C5DA"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A23045A" w14:textId="5E82D4D6" w:rsidR="000E0B74" w:rsidRPr="006627B4" w:rsidRDefault="000E0B74" w:rsidP="000E0B74">
      <w:r w:rsidRPr="006627B4">
        <w:t>If you have modified or transformed Treasury material, or derived new material from those of the Treasury in any way, then Treasury pre</w:t>
      </w:r>
      <w:r w:rsidR="00B53A2D">
        <w:t>fers the following attribution:</w:t>
      </w:r>
    </w:p>
    <w:p w14:paraId="1C6AC777" w14:textId="77777777" w:rsidR="000E0B74" w:rsidRPr="006627B4" w:rsidRDefault="000E0B74" w:rsidP="000E0B74">
      <w:pPr>
        <w:ind w:firstLine="720"/>
      </w:pPr>
      <w:r w:rsidRPr="002F1BC2">
        <w:rPr>
          <w:i/>
        </w:rPr>
        <w:t>Based on The Australian Government the Treasury data</w:t>
      </w:r>
      <w:r w:rsidR="004B0D3F">
        <w:t>.</w:t>
      </w:r>
    </w:p>
    <w:p w14:paraId="4772E0BE" w14:textId="77777777" w:rsidR="000E0B74" w:rsidRPr="006627B4" w:rsidRDefault="000E0B74" w:rsidP="000E0B74">
      <w:pPr>
        <w:spacing w:before="240"/>
        <w:rPr>
          <w:b/>
        </w:rPr>
      </w:pPr>
      <w:r w:rsidRPr="006627B4">
        <w:rPr>
          <w:b/>
        </w:rPr>
        <w:t>Use of the Coat of Arms</w:t>
      </w:r>
    </w:p>
    <w:p w14:paraId="1D24C1ED" w14:textId="44C4DFA0" w:rsidR="000E0B74" w:rsidRPr="006627B4" w:rsidRDefault="000E0B74" w:rsidP="000E0B74">
      <w:r w:rsidRPr="006627B4">
        <w:t>The terms under which the Coat of Arms can be used are set out on the It’s an Honour website (see</w:t>
      </w:r>
      <w:r w:rsidR="00850D8E">
        <w:t> </w:t>
      </w:r>
      <w:hyperlink r:id="rId20" w:history="1">
        <w:r w:rsidRPr="00D45AF8">
          <w:rPr>
            <w:rStyle w:val="Hyperlink"/>
          </w:rPr>
          <w:t>www.itsanhonour.gov.au</w:t>
        </w:r>
      </w:hyperlink>
      <w:r w:rsidRPr="006627B4">
        <w:t>)</w:t>
      </w:r>
      <w:r>
        <w:t>.</w:t>
      </w:r>
    </w:p>
    <w:p w14:paraId="26305FF7" w14:textId="77777777" w:rsidR="000E0B74" w:rsidRPr="006627B4" w:rsidRDefault="000E0B74" w:rsidP="000E0B74">
      <w:pPr>
        <w:spacing w:before="240"/>
        <w:rPr>
          <w:b/>
        </w:rPr>
      </w:pPr>
      <w:r>
        <w:rPr>
          <w:b/>
        </w:rPr>
        <w:t>Other u</w:t>
      </w:r>
      <w:r w:rsidRPr="006627B4">
        <w:rPr>
          <w:b/>
        </w:rPr>
        <w:t>ses</w:t>
      </w:r>
    </w:p>
    <w:p w14:paraId="28DE496B" w14:textId="77777777" w:rsidR="000E0B74" w:rsidRPr="006627B4" w:rsidRDefault="000E0B74" w:rsidP="000E0B74">
      <w:r>
        <w:t>E</w:t>
      </w:r>
      <w:r w:rsidRPr="006627B4">
        <w:t>nquiries regarding this licence and any other use of this document are welcome at:</w:t>
      </w:r>
    </w:p>
    <w:p w14:paraId="72B35AAB" w14:textId="77777777" w:rsidR="000E0B74" w:rsidRPr="002F1BC2" w:rsidRDefault="000E0B74" w:rsidP="00850D8E">
      <w:pPr>
        <w:ind w:left="720"/>
        <w:jc w:val="left"/>
        <w:rPr>
          <w:rStyle w:val="Hyperlink"/>
        </w:rPr>
      </w:pPr>
      <w:r w:rsidRPr="006627B4">
        <w:t>Manager</w:t>
      </w:r>
      <w:r>
        <w:br/>
        <w:t>Editorial, 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Pr="00B31CFB">
          <w:rPr>
            <w:rStyle w:val="Hyperlink"/>
          </w:rPr>
          <w:t>medialiaison@treasury.gov.au</w:t>
        </w:r>
      </w:hyperlink>
    </w:p>
    <w:p w14:paraId="1F73C904" w14:textId="77777777" w:rsidR="000E0B74" w:rsidRPr="00850D8E" w:rsidRDefault="000E0B74" w:rsidP="00850D8E"/>
    <w:p w14:paraId="35126A79" w14:textId="77777777" w:rsidR="00850D8E" w:rsidRPr="00850D8E" w:rsidRDefault="00850D8E" w:rsidP="00850D8E"/>
    <w:p w14:paraId="1E8B8391" w14:textId="77777777" w:rsidR="00850D8E" w:rsidRPr="00850D8E" w:rsidRDefault="00850D8E" w:rsidP="00850D8E">
      <w:pPr>
        <w:sectPr w:rsidR="00850D8E" w:rsidRPr="00850D8E" w:rsidSect="00475B7B">
          <w:headerReference w:type="even" r:id="rId22"/>
          <w:headerReference w:type="default" r:id="rId23"/>
          <w:footerReference w:type="even" r:id="rId24"/>
          <w:headerReference w:type="first" r:id="rId25"/>
          <w:footerReference w:type="first" r:id="rId26"/>
          <w:pgSz w:w="11906" w:h="16838" w:code="9"/>
          <w:pgMar w:top="1418" w:right="1418" w:bottom="1418" w:left="1418" w:header="709" w:footer="709" w:gutter="0"/>
          <w:pgNumType w:fmt="lowerRoman"/>
          <w:cols w:space="708"/>
          <w:titlePg/>
          <w:docGrid w:linePitch="360"/>
        </w:sectPr>
      </w:pPr>
    </w:p>
    <w:p w14:paraId="37F3597F" w14:textId="77777777" w:rsidR="000E0B74" w:rsidRDefault="000E0B74" w:rsidP="00850D8E">
      <w:pPr>
        <w:pStyle w:val="Heading1-NoTOC"/>
      </w:pPr>
      <w:bookmarkStart w:id="1" w:name="_Toc497212007"/>
      <w:bookmarkStart w:id="2" w:name="_Toc497403315"/>
      <w:r>
        <w:lastRenderedPageBreak/>
        <w:t>Contents</w:t>
      </w:r>
      <w:bookmarkEnd w:id="1"/>
      <w:bookmarkEnd w:id="2"/>
    </w:p>
    <w:p w14:paraId="3D18A544" w14:textId="77777777" w:rsidR="00B53A2D" w:rsidRDefault="00850D8E">
      <w:pPr>
        <w:pStyle w:val="TOC1"/>
        <w:rPr>
          <w:rFonts w:asciiTheme="minorHAnsi" w:eastAsiaTheme="minorEastAsia" w:hAnsiTheme="minorHAnsi" w:cstheme="minorBidi"/>
          <w:b w:val="0"/>
          <w:caps w:val="0"/>
          <w:color w:val="auto"/>
        </w:rPr>
      </w:pPr>
      <w:r>
        <w:fldChar w:fldCharType="begin"/>
      </w:r>
      <w:r>
        <w:instrText xml:space="preserve"> TOC \o "1-2" \h \z \u </w:instrText>
      </w:r>
      <w:r>
        <w:fldChar w:fldCharType="separate"/>
      </w:r>
      <w:hyperlink w:anchor="_Toc498596539" w:history="1">
        <w:r w:rsidR="00B53A2D" w:rsidRPr="00977C9E">
          <w:rPr>
            <w:rStyle w:val="Hyperlink"/>
          </w:rPr>
          <w:t>Consultation Process</w:t>
        </w:r>
        <w:r w:rsidR="00B53A2D">
          <w:rPr>
            <w:webHidden/>
          </w:rPr>
          <w:tab/>
        </w:r>
        <w:r w:rsidR="00B53A2D">
          <w:rPr>
            <w:webHidden/>
          </w:rPr>
          <w:fldChar w:fldCharType="begin"/>
        </w:r>
        <w:r w:rsidR="00B53A2D">
          <w:rPr>
            <w:webHidden/>
          </w:rPr>
          <w:instrText xml:space="preserve"> PAGEREF _Toc498596539 \h </w:instrText>
        </w:r>
        <w:r w:rsidR="00B53A2D">
          <w:rPr>
            <w:webHidden/>
          </w:rPr>
        </w:r>
        <w:r w:rsidR="00B53A2D">
          <w:rPr>
            <w:webHidden/>
          </w:rPr>
          <w:fldChar w:fldCharType="separate"/>
        </w:r>
        <w:r w:rsidR="002040FB">
          <w:rPr>
            <w:webHidden/>
          </w:rPr>
          <w:t>iv</w:t>
        </w:r>
        <w:r w:rsidR="00B53A2D">
          <w:rPr>
            <w:webHidden/>
          </w:rPr>
          <w:fldChar w:fldCharType="end"/>
        </w:r>
      </w:hyperlink>
    </w:p>
    <w:p w14:paraId="7588EB6E" w14:textId="77777777" w:rsidR="00B53A2D" w:rsidRDefault="00BE2B48">
      <w:pPr>
        <w:pStyle w:val="TOC2"/>
        <w:rPr>
          <w:rFonts w:asciiTheme="minorHAnsi" w:eastAsiaTheme="minorEastAsia" w:hAnsiTheme="minorHAnsi" w:cstheme="minorBidi"/>
          <w:color w:val="auto"/>
          <w:szCs w:val="22"/>
        </w:rPr>
      </w:pPr>
      <w:hyperlink w:anchor="_Toc498596540" w:history="1">
        <w:r w:rsidR="00B53A2D" w:rsidRPr="00977C9E">
          <w:rPr>
            <w:rStyle w:val="Hyperlink"/>
          </w:rPr>
          <w:t>Request for feedback and comments</w:t>
        </w:r>
        <w:r w:rsidR="00B53A2D">
          <w:rPr>
            <w:webHidden/>
          </w:rPr>
          <w:tab/>
        </w:r>
        <w:r w:rsidR="00B53A2D">
          <w:rPr>
            <w:webHidden/>
          </w:rPr>
          <w:fldChar w:fldCharType="begin"/>
        </w:r>
        <w:r w:rsidR="00B53A2D">
          <w:rPr>
            <w:webHidden/>
          </w:rPr>
          <w:instrText xml:space="preserve"> PAGEREF _Toc498596540 \h </w:instrText>
        </w:r>
        <w:r w:rsidR="00B53A2D">
          <w:rPr>
            <w:webHidden/>
          </w:rPr>
        </w:r>
        <w:r w:rsidR="00B53A2D">
          <w:rPr>
            <w:webHidden/>
          </w:rPr>
          <w:fldChar w:fldCharType="separate"/>
        </w:r>
        <w:r w:rsidR="002040FB">
          <w:rPr>
            <w:webHidden/>
          </w:rPr>
          <w:t>iv</w:t>
        </w:r>
        <w:r w:rsidR="00B53A2D">
          <w:rPr>
            <w:webHidden/>
          </w:rPr>
          <w:fldChar w:fldCharType="end"/>
        </w:r>
      </w:hyperlink>
    </w:p>
    <w:p w14:paraId="20BCD0FA" w14:textId="77777777" w:rsidR="00B53A2D" w:rsidRDefault="00BE2B48">
      <w:pPr>
        <w:pStyle w:val="TOC1"/>
        <w:rPr>
          <w:rFonts w:asciiTheme="minorHAnsi" w:eastAsiaTheme="minorEastAsia" w:hAnsiTheme="minorHAnsi" w:cstheme="minorBidi"/>
          <w:b w:val="0"/>
          <w:caps w:val="0"/>
          <w:color w:val="auto"/>
        </w:rPr>
      </w:pPr>
      <w:hyperlink w:anchor="_Toc498596541" w:history="1">
        <w:r w:rsidR="00B53A2D" w:rsidRPr="00977C9E">
          <w:rPr>
            <w:rStyle w:val="Hyperlink"/>
          </w:rPr>
          <w:t>Executive Summary</w:t>
        </w:r>
        <w:r w:rsidR="00B53A2D">
          <w:rPr>
            <w:webHidden/>
          </w:rPr>
          <w:tab/>
        </w:r>
        <w:r w:rsidR="00B53A2D">
          <w:rPr>
            <w:webHidden/>
          </w:rPr>
          <w:fldChar w:fldCharType="begin"/>
        </w:r>
        <w:r w:rsidR="00B53A2D">
          <w:rPr>
            <w:webHidden/>
          </w:rPr>
          <w:instrText xml:space="preserve"> PAGEREF _Toc498596541 \h </w:instrText>
        </w:r>
        <w:r w:rsidR="00B53A2D">
          <w:rPr>
            <w:webHidden/>
          </w:rPr>
        </w:r>
        <w:r w:rsidR="00B53A2D">
          <w:rPr>
            <w:webHidden/>
          </w:rPr>
          <w:fldChar w:fldCharType="separate"/>
        </w:r>
        <w:r w:rsidR="002040FB">
          <w:rPr>
            <w:webHidden/>
          </w:rPr>
          <w:t>1</w:t>
        </w:r>
        <w:r w:rsidR="00B53A2D">
          <w:rPr>
            <w:webHidden/>
          </w:rPr>
          <w:fldChar w:fldCharType="end"/>
        </w:r>
      </w:hyperlink>
    </w:p>
    <w:p w14:paraId="06A9BD99" w14:textId="77777777" w:rsidR="00B53A2D" w:rsidRDefault="00BE2B48">
      <w:pPr>
        <w:pStyle w:val="TOC1"/>
        <w:rPr>
          <w:rFonts w:asciiTheme="minorHAnsi" w:eastAsiaTheme="minorEastAsia" w:hAnsiTheme="minorHAnsi" w:cstheme="minorBidi"/>
          <w:b w:val="0"/>
          <w:caps w:val="0"/>
          <w:color w:val="auto"/>
        </w:rPr>
      </w:pPr>
      <w:hyperlink w:anchor="_Toc498596542" w:history="1">
        <w:r w:rsidR="00B53A2D" w:rsidRPr="00977C9E">
          <w:rPr>
            <w:rStyle w:val="Hyperlink"/>
          </w:rPr>
          <w:t>Introduction</w:t>
        </w:r>
        <w:r w:rsidR="00B53A2D">
          <w:rPr>
            <w:webHidden/>
          </w:rPr>
          <w:tab/>
        </w:r>
        <w:r w:rsidR="00B53A2D">
          <w:rPr>
            <w:webHidden/>
          </w:rPr>
          <w:fldChar w:fldCharType="begin"/>
        </w:r>
        <w:r w:rsidR="00B53A2D">
          <w:rPr>
            <w:webHidden/>
          </w:rPr>
          <w:instrText xml:space="preserve"> PAGEREF _Toc498596542 \h </w:instrText>
        </w:r>
        <w:r w:rsidR="00B53A2D">
          <w:rPr>
            <w:webHidden/>
          </w:rPr>
        </w:r>
        <w:r w:rsidR="00B53A2D">
          <w:rPr>
            <w:webHidden/>
          </w:rPr>
          <w:fldChar w:fldCharType="separate"/>
        </w:r>
        <w:r w:rsidR="002040FB">
          <w:rPr>
            <w:webHidden/>
          </w:rPr>
          <w:t>3</w:t>
        </w:r>
        <w:r w:rsidR="00B53A2D">
          <w:rPr>
            <w:webHidden/>
          </w:rPr>
          <w:fldChar w:fldCharType="end"/>
        </w:r>
      </w:hyperlink>
    </w:p>
    <w:p w14:paraId="38DB4197" w14:textId="77777777" w:rsidR="00B53A2D" w:rsidRDefault="00BE2B48">
      <w:pPr>
        <w:pStyle w:val="TOC2"/>
        <w:rPr>
          <w:rFonts w:asciiTheme="minorHAnsi" w:eastAsiaTheme="minorEastAsia" w:hAnsiTheme="minorHAnsi" w:cstheme="minorBidi"/>
          <w:color w:val="auto"/>
          <w:szCs w:val="22"/>
        </w:rPr>
      </w:pPr>
      <w:hyperlink w:anchor="_Toc498596543" w:history="1">
        <w:r w:rsidR="00B53A2D" w:rsidRPr="00977C9E">
          <w:rPr>
            <w:rStyle w:val="Hyperlink"/>
          </w:rPr>
          <w:t>ASIC fees outside of scope of Industry Funding Model</w:t>
        </w:r>
        <w:r w:rsidR="00B53A2D">
          <w:rPr>
            <w:webHidden/>
          </w:rPr>
          <w:tab/>
        </w:r>
        <w:r w:rsidR="00B53A2D">
          <w:rPr>
            <w:webHidden/>
          </w:rPr>
          <w:fldChar w:fldCharType="begin"/>
        </w:r>
        <w:r w:rsidR="00B53A2D">
          <w:rPr>
            <w:webHidden/>
          </w:rPr>
          <w:instrText xml:space="preserve"> PAGEREF _Toc498596543 \h </w:instrText>
        </w:r>
        <w:r w:rsidR="00B53A2D">
          <w:rPr>
            <w:webHidden/>
          </w:rPr>
        </w:r>
        <w:r w:rsidR="00B53A2D">
          <w:rPr>
            <w:webHidden/>
          </w:rPr>
          <w:fldChar w:fldCharType="separate"/>
        </w:r>
        <w:r w:rsidR="002040FB">
          <w:rPr>
            <w:webHidden/>
          </w:rPr>
          <w:t>4</w:t>
        </w:r>
        <w:r w:rsidR="00B53A2D">
          <w:rPr>
            <w:webHidden/>
          </w:rPr>
          <w:fldChar w:fldCharType="end"/>
        </w:r>
      </w:hyperlink>
    </w:p>
    <w:p w14:paraId="4E7021BC" w14:textId="77777777" w:rsidR="00B53A2D" w:rsidRDefault="00BE2B48">
      <w:pPr>
        <w:pStyle w:val="TOC1"/>
        <w:rPr>
          <w:rFonts w:asciiTheme="minorHAnsi" w:eastAsiaTheme="minorEastAsia" w:hAnsiTheme="minorHAnsi" w:cstheme="minorBidi"/>
          <w:b w:val="0"/>
          <w:caps w:val="0"/>
          <w:color w:val="auto"/>
        </w:rPr>
      </w:pPr>
      <w:hyperlink w:anchor="_Toc498596544" w:history="1">
        <w:r w:rsidR="00B53A2D" w:rsidRPr="00977C9E">
          <w:rPr>
            <w:rStyle w:val="Hyperlink"/>
          </w:rPr>
          <w:t>Purpose</w:t>
        </w:r>
        <w:r w:rsidR="00B53A2D">
          <w:rPr>
            <w:webHidden/>
          </w:rPr>
          <w:tab/>
        </w:r>
        <w:r w:rsidR="00B53A2D">
          <w:rPr>
            <w:webHidden/>
          </w:rPr>
          <w:fldChar w:fldCharType="begin"/>
        </w:r>
        <w:r w:rsidR="00B53A2D">
          <w:rPr>
            <w:webHidden/>
          </w:rPr>
          <w:instrText xml:space="preserve"> PAGEREF _Toc498596544 \h </w:instrText>
        </w:r>
        <w:r w:rsidR="00B53A2D">
          <w:rPr>
            <w:webHidden/>
          </w:rPr>
        </w:r>
        <w:r w:rsidR="00B53A2D">
          <w:rPr>
            <w:webHidden/>
          </w:rPr>
          <w:fldChar w:fldCharType="separate"/>
        </w:r>
        <w:r w:rsidR="002040FB">
          <w:rPr>
            <w:webHidden/>
          </w:rPr>
          <w:t>5</w:t>
        </w:r>
        <w:r w:rsidR="00B53A2D">
          <w:rPr>
            <w:webHidden/>
          </w:rPr>
          <w:fldChar w:fldCharType="end"/>
        </w:r>
      </w:hyperlink>
    </w:p>
    <w:p w14:paraId="3ECB0802" w14:textId="77777777" w:rsidR="00B53A2D" w:rsidRDefault="00BE2B48">
      <w:pPr>
        <w:pStyle w:val="TOC2"/>
        <w:rPr>
          <w:rFonts w:asciiTheme="minorHAnsi" w:eastAsiaTheme="minorEastAsia" w:hAnsiTheme="minorHAnsi" w:cstheme="minorBidi"/>
          <w:color w:val="auto"/>
          <w:szCs w:val="22"/>
        </w:rPr>
      </w:pPr>
      <w:hyperlink w:anchor="_Toc498596545" w:history="1">
        <w:r w:rsidR="00B53A2D" w:rsidRPr="00977C9E">
          <w:rPr>
            <w:rStyle w:val="Hyperlink"/>
          </w:rPr>
          <w:t>The Australian Government Charging Framework</w:t>
        </w:r>
        <w:r w:rsidR="00B53A2D">
          <w:rPr>
            <w:webHidden/>
          </w:rPr>
          <w:tab/>
        </w:r>
        <w:r w:rsidR="00B53A2D">
          <w:rPr>
            <w:webHidden/>
          </w:rPr>
          <w:fldChar w:fldCharType="begin"/>
        </w:r>
        <w:r w:rsidR="00B53A2D">
          <w:rPr>
            <w:webHidden/>
          </w:rPr>
          <w:instrText xml:space="preserve"> PAGEREF _Toc498596545 \h </w:instrText>
        </w:r>
        <w:r w:rsidR="00B53A2D">
          <w:rPr>
            <w:webHidden/>
          </w:rPr>
        </w:r>
        <w:r w:rsidR="00B53A2D">
          <w:rPr>
            <w:webHidden/>
          </w:rPr>
          <w:fldChar w:fldCharType="separate"/>
        </w:r>
        <w:r w:rsidR="002040FB">
          <w:rPr>
            <w:webHidden/>
          </w:rPr>
          <w:t>5</w:t>
        </w:r>
        <w:r w:rsidR="00B53A2D">
          <w:rPr>
            <w:webHidden/>
          </w:rPr>
          <w:fldChar w:fldCharType="end"/>
        </w:r>
      </w:hyperlink>
    </w:p>
    <w:p w14:paraId="0DFEFEFC" w14:textId="77777777" w:rsidR="00B53A2D" w:rsidRDefault="00BE2B48">
      <w:pPr>
        <w:pStyle w:val="TOC2"/>
        <w:rPr>
          <w:rFonts w:asciiTheme="minorHAnsi" w:eastAsiaTheme="minorEastAsia" w:hAnsiTheme="minorHAnsi" w:cstheme="minorBidi"/>
          <w:color w:val="auto"/>
          <w:szCs w:val="22"/>
        </w:rPr>
      </w:pPr>
      <w:hyperlink w:anchor="_Toc498596546" w:history="1">
        <w:r w:rsidR="00B53A2D" w:rsidRPr="00977C9E">
          <w:rPr>
            <w:rStyle w:val="Hyperlink"/>
          </w:rPr>
          <w:t>Legislation</w:t>
        </w:r>
        <w:r w:rsidR="00B53A2D">
          <w:rPr>
            <w:webHidden/>
          </w:rPr>
          <w:tab/>
        </w:r>
        <w:r w:rsidR="00B53A2D">
          <w:rPr>
            <w:webHidden/>
          </w:rPr>
          <w:fldChar w:fldCharType="begin"/>
        </w:r>
        <w:r w:rsidR="00B53A2D">
          <w:rPr>
            <w:webHidden/>
          </w:rPr>
          <w:instrText xml:space="preserve"> PAGEREF _Toc498596546 \h </w:instrText>
        </w:r>
        <w:r w:rsidR="00B53A2D">
          <w:rPr>
            <w:webHidden/>
          </w:rPr>
        </w:r>
        <w:r w:rsidR="00B53A2D">
          <w:rPr>
            <w:webHidden/>
          </w:rPr>
          <w:fldChar w:fldCharType="separate"/>
        </w:r>
        <w:r w:rsidR="002040FB">
          <w:rPr>
            <w:webHidden/>
          </w:rPr>
          <w:t>7</w:t>
        </w:r>
        <w:r w:rsidR="00B53A2D">
          <w:rPr>
            <w:webHidden/>
          </w:rPr>
          <w:fldChar w:fldCharType="end"/>
        </w:r>
      </w:hyperlink>
    </w:p>
    <w:p w14:paraId="0A88BD40" w14:textId="77777777" w:rsidR="00B53A2D" w:rsidRDefault="00BE2B48">
      <w:pPr>
        <w:pStyle w:val="TOC2"/>
        <w:rPr>
          <w:rFonts w:asciiTheme="minorHAnsi" w:eastAsiaTheme="minorEastAsia" w:hAnsiTheme="minorHAnsi" w:cstheme="minorBidi"/>
          <w:color w:val="auto"/>
          <w:szCs w:val="22"/>
        </w:rPr>
      </w:pPr>
      <w:hyperlink w:anchor="_Toc498596547" w:history="1">
        <w:r w:rsidR="00B53A2D" w:rsidRPr="00977C9E">
          <w:rPr>
            <w:rStyle w:val="Hyperlink"/>
          </w:rPr>
          <w:t>Model design objectives</w:t>
        </w:r>
        <w:r w:rsidR="00B53A2D">
          <w:rPr>
            <w:webHidden/>
          </w:rPr>
          <w:tab/>
        </w:r>
        <w:r w:rsidR="00B53A2D">
          <w:rPr>
            <w:webHidden/>
          </w:rPr>
          <w:fldChar w:fldCharType="begin"/>
        </w:r>
        <w:r w:rsidR="00B53A2D">
          <w:rPr>
            <w:webHidden/>
          </w:rPr>
          <w:instrText xml:space="preserve"> PAGEREF _Toc498596547 \h </w:instrText>
        </w:r>
        <w:r w:rsidR="00B53A2D">
          <w:rPr>
            <w:webHidden/>
          </w:rPr>
        </w:r>
        <w:r w:rsidR="00B53A2D">
          <w:rPr>
            <w:webHidden/>
          </w:rPr>
          <w:fldChar w:fldCharType="separate"/>
        </w:r>
        <w:r w:rsidR="002040FB">
          <w:rPr>
            <w:webHidden/>
          </w:rPr>
          <w:t>7</w:t>
        </w:r>
        <w:r w:rsidR="00B53A2D">
          <w:rPr>
            <w:webHidden/>
          </w:rPr>
          <w:fldChar w:fldCharType="end"/>
        </w:r>
      </w:hyperlink>
    </w:p>
    <w:p w14:paraId="3AD10077" w14:textId="77777777" w:rsidR="00B53A2D" w:rsidRDefault="00BE2B48">
      <w:pPr>
        <w:pStyle w:val="TOC1"/>
        <w:rPr>
          <w:rFonts w:asciiTheme="minorHAnsi" w:eastAsiaTheme="minorEastAsia" w:hAnsiTheme="minorHAnsi" w:cstheme="minorBidi"/>
          <w:b w:val="0"/>
          <w:caps w:val="0"/>
          <w:color w:val="auto"/>
        </w:rPr>
      </w:pPr>
      <w:hyperlink w:anchor="_Toc498596548" w:history="1">
        <w:r w:rsidR="00B53A2D" w:rsidRPr="00977C9E">
          <w:rPr>
            <w:rStyle w:val="Hyperlink"/>
          </w:rPr>
          <w:t>Issues for discussion</w:t>
        </w:r>
        <w:r w:rsidR="00B53A2D">
          <w:rPr>
            <w:webHidden/>
          </w:rPr>
          <w:tab/>
        </w:r>
        <w:r w:rsidR="00B53A2D">
          <w:rPr>
            <w:webHidden/>
          </w:rPr>
          <w:fldChar w:fldCharType="begin"/>
        </w:r>
        <w:r w:rsidR="00B53A2D">
          <w:rPr>
            <w:webHidden/>
          </w:rPr>
          <w:instrText xml:space="preserve"> PAGEREF _Toc498596548 \h </w:instrText>
        </w:r>
        <w:r w:rsidR="00B53A2D">
          <w:rPr>
            <w:webHidden/>
          </w:rPr>
        </w:r>
        <w:r w:rsidR="00B53A2D">
          <w:rPr>
            <w:webHidden/>
          </w:rPr>
          <w:fldChar w:fldCharType="separate"/>
        </w:r>
        <w:r w:rsidR="002040FB">
          <w:rPr>
            <w:webHidden/>
          </w:rPr>
          <w:t>8</w:t>
        </w:r>
        <w:r w:rsidR="00B53A2D">
          <w:rPr>
            <w:webHidden/>
          </w:rPr>
          <w:fldChar w:fldCharType="end"/>
        </w:r>
      </w:hyperlink>
    </w:p>
    <w:p w14:paraId="7F0BA241" w14:textId="77777777" w:rsidR="00B53A2D" w:rsidRDefault="00BE2B48">
      <w:pPr>
        <w:pStyle w:val="TOC2"/>
        <w:rPr>
          <w:rFonts w:asciiTheme="minorHAnsi" w:eastAsiaTheme="minorEastAsia" w:hAnsiTheme="minorHAnsi" w:cstheme="minorBidi"/>
          <w:color w:val="auto"/>
          <w:szCs w:val="22"/>
        </w:rPr>
      </w:pPr>
      <w:hyperlink w:anchor="_Toc498596549" w:history="1">
        <w:r w:rsidR="00B53A2D" w:rsidRPr="00977C9E">
          <w:rPr>
            <w:rStyle w:val="Hyperlink"/>
          </w:rPr>
          <w:t>Proposed fees</w:t>
        </w:r>
        <w:r w:rsidR="00B53A2D" w:rsidRPr="00977C9E">
          <w:rPr>
            <w:rStyle w:val="Hyperlink"/>
          </w:rPr>
          <w:noBreakHyphen/>
          <w:t>for</w:t>
        </w:r>
        <w:r w:rsidR="00B53A2D" w:rsidRPr="00977C9E">
          <w:rPr>
            <w:rStyle w:val="Hyperlink"/>
          </w:rPr>
          <w:noBreakHyphen/>
          <w:t>service model</w:t>
        </w:r>
        <w:r w:rsidR="00B53A2D">
          <w:rPr>
            <w:webHidden/>
          </w:rPr>
          <w:tab/>
        </w:r>
        <w:r w:rsidR="00B53A2D">
          <w:rPr>
            <w:webHidden/>
          </w:rPr>
          <w:fldChar w:fldCharType="begin"/>
        </w:r>
        <w:r w:rsidR="00B53A2D">
          <w:rPr>
            <w:webHidden/>
          </w:rPr>
          <w:instrText xml:space="preserve"> PAGEREF _Toc498596549 \h </w:instrText>
        </w:r>
        <w:r w:rsidR="00B53A2D">
          <w:rPr>
            <w:webHidden/>
          </w:rPr>
        </w:r>
        <w:r w:rsidR="00B53A2D">
          <w:rPr>
            <w:webHidden/>
          </w:rPr>
          <w:fldChar w:fldCharType="separate"/>
        </w:r>
        <w:r w:rsidR="002040FB">
          <w:rPr>
            <w:webHidden/>
          </w:rPr>
          <w:t>8</w:t>
        </w:r>
        <w:r w:rsidR="00B53A2D">
          <w:rPr>
            <w:webHidden/>
          </w:rPr>
          <w:fldChar w:fldCharType="end"/>
        </w:r>
      </w:hyperlink>
    </w:p>
    <w:p w14:paraId="7C5C8D53" w14:textId="77777777" w:rsidR="00B53A2D" w:rsidRDefault="00BE2B48">
      <w:pPr>
        <w:pStyle w:val="TOC2"/>
        <w:rPr>
          <w:rFonts w:asciiTheme="minorHAnsi" w:eastAsiaTheme="minorEastAsia" w:hAnsiTheme="minorHAnsi" w:cstheme="minorBidi"/>
          <w:color w:val="auto"/>
          <w:szCs w:val="22"/>
        </w:rPr>
      </w:pPr>
      <w:hyperlink w:anchor="_Toc498596550" w:history="1">
        <w:r w:rsidR="00B53A2D" w:rsidRPr="00977C9E">
          <w:rPr>
            <w:rStyle w:val="Hyperlink"/>
          </w:rPr>
          <w:t>ASIC stakeholder engagement and accountability</w:t>
        </w:r>
        <w:r w:rsidR="00B53A2D">
          <w:rPr>
            <w:webHidden/>
          </w:rPr>
          <w:tab/>
        </w:r>
        <w:r w:rsidR="00B53A2D">
          <w:rPr>
            <w:webHidden/>
          </w:rPr>
          <w:fldChar w:fldCharType="begin"/>
        </w:r>
        <w:r w:rsidR="00B53A2D">
          <w:rPr>
            <w:webHidden/>
          </w:rPr>
          <w:instrText xml:space="preserve"> PAGEREF _Toc498596550 \h </w:instrText>
        </w:r>
        <w:r w:rsidR="00B53A2D">
          <w:rPr>
            <w:webHidden/>
          </w:rPr>
        </w:r>
        <w:r w:rsidR="00B53A2D">
          <w:rPr>
            <w:webHidden/>
          </w:rPr>
          <w:fldChar w:fldCharType="separate"/>
        </w:r>
        <w:r w:rsidR="002040FB">
          <w:rPr>
            <w:webHidden/>
          </w:rPr>
          <w:t>12</w:t>
        </w:r>
        <w:r w:rsidR="00B53A2D">
          <w:rPr>
            <w:webHidden/>
          </w:rPr>
          <w:fldChar w:fldCharType="end"/>
        </w:r>
      </w:hyperlink>
    </w:p>
    <w:p w14:paraId="05A690C8" w14:textId="77777777" w:rsidR="00B53A2D" w:rsidRDefault="00BE2B48">
      <w:pPr>
        <w:pStyle w:val="TOC2"/>
        <w:rPr>
          <w:rFonts w:asciiTheme="minorHAnsi" w:eastAsiaTheme="minorEastAsia" w:hAnsiTheme="minorHAnsi" w:cstheme="minorBidi"/>
          <w:color w:val="auto"/>
          <w:szCs w:val="22"/>
        </w:rPr>
      </w:pPr>
      <w:hyperlink w:anchor="_Toc498596551" w:history="1">
        <w:r w:rsidR="00B53A2D" w:rsidRPr="00977C9E">
          <w:rPr>
            <w:rStyle w:val="Hyperlink"/>
          </w:rPr>
          <w:t>Competition and innovation</w:t>
        </w:r>
        <w:r w:rsidR="00B53A2D">
          <w:rPr>
            <w:webHidden/>
          </w:rPr>
          <w:tab/>
        </w:r>
        <w:r w:rsidR="00B53A2D">
          <w:rPr>
            <w:webHidden/>
          </w:rPr>
          <w:fldChar w:fldCharType="begin"/>
        </w:r>
        <w:r w:rsidR="00B53A2D">
          <w:rPr>
            <w:webHidden/>
          </w:rPr>
          <w:instrText xml:space="preserve"> PAGEREF _Toc498596551 \h </w:instrText>
        </w:r>
        <w:r w:rsidR="00B53A2D">
          <w:rPr>
            <w:webHidden/>
          </w:rPr>
        </w:r>
        <w:r w:rsidR="00B53A2D">
          <w:rPr>
            <w:webHidden/>
          </w:rPr>
          <w:fldChar w:fldCharType="separate"/>
        </w:r>
        <w:r w:rsidR="002040FB">
          <w:rPr>
            <w:webHidden/>
          </w:rPr>
          <w:t>14</w:t>
        </w:r>
        <w:r w:rsidR="00B53A2D">
          <w:rPr>
            <w:webHidden/>
          </w:rPr>
          <w:fldChar w:fldCharType="end"/>
        </w:r>
      </w:hyperlink>
    </w:p>
    <w:p w14:paraId="620D0439" w14:textId="77777777" w:rsidR="00B53A2D" w:rsidRDefault="00BE2B48">
      <w:pPr>
        <w:pStyle w:val="TOC2"/>
        <w:rPr>
          <w:rFonts w:asciiTheme="minorHAnsi" w:eastAsiaTheme="minorEastAsia" w:hAnsiTheme="minorHAnsi" w:cstheme="minorBidi"/>
          <w:color w:val="auto"/>
          <w:szCs w:val="22"/>
        </w:rPr>
      </w:pPr>
      <w:hyperlink w:anchor="_Toc498596552" w:history="1">
        <w:r w:rsidR="00B53A2D" w:rsidRPr="00977C9E">
          <w:rPr>
            <w:rStyle w:val="Hyperlink"/>
          </w:rPr>
          <w:t>Timeline for implementation and next steps</w:t>
        </w:r>
        <w:r w:rsidR="00B53A2D">
          <w:rPr>
            <w:webHidden/>
          </w:rPr>
          <w:tab/>
        </w:r>
        <w:r w:rsidR="00B53A2D">
          <w:rPr>
            <w:webHidden/>
          </w:rPr>
          <w:fldChar w:fldCharType="begin"/>
        </w:r>
        <w:r w:rsidR="00B53A2D">
          <w:rPr>
            <w:webHidden/>
          </w:rPr>
          <w:instrText xml:space="preserve"> PAGEREF _Toc498596552 \h </w:instrText>
        </w:r>
        <w:r w:rsidR="00B53A2D">
          <w:rPr>
            <w:webHidden/>
          </w:rPr>
        </w:r>
        <w:r w:rsidR="00B53A2D">
          <w:rPr>
            <w:webHidden/>
          </w:rPr>
          <w:fldChar w:fldCharType="separate"/>
        </w:r>
        <w:r w:rsidR="002040FB">
          <w:rPr>
            <w:webHidden/>
          </w:rPr>
          <w:t>16</w:t>
        </w:r>
        <w:r w:rsidR="00B53A2D">
          <w:rPr>
            <w:webHidden/>
          </w:rPr>
          <w:fldChar w:fldCharType="end"/>
        </w:r>
      </w:hyperlink>
    </w:p>
    <w:p w14:paraId="2867E80F" w14:textId="77777777" w:rsidR="00B53A2D" w:rsidRDefault="00BE2B48">
      <w:pPr>
        <w:pStyle w:val="TOC1"/>
        <w:rPr>
          <w:rFonts w:asciiTheme="minorHAnsi" w:eastAsiaTheme="minorEastAsia" w:hAnsiTheme="minorHAnsi" w:cstheme="minorBidi"/>
          <w:b w:val="0"/>
          <w:caps w:val="0"/>
          <w:color w:val="auto"/>
        </w:rPr>
      </w:pPr>
      <w:hyperlink w:anchor="_Toc498596553" w:history="1">
        <w:r w:rsidR="00B53A2D" w:rsidRPr="00977C9E">
          <w:rPr>
            <w:rStyle w:val="Hyperlink"/>
          </w:rPr>
          <w:t>Schedule A: Proposed Fee Schedule</w:t>
        </w:r>
        <w:r w:rsidR="00B53A2D">
          <w:rPr>
            <w:webHidden/>
          </w:rPr>
          <w:tab/>
        </w:r>
        <w:r w:rsidR="00B53A2D">
          <w:rPr>
            <w:webHidden/>
          </w:rPr>
          <w:fldChar w:fldCharType="begin"/>
        </w:r>
        <w:r w:rsidR="00B53A2D">
          <w:rPr>
            <w:webHidden/>
          </w:rPr>
          <w:instrText xml:space="preserve"> PAGEREF _Toc498596553 \h </w:instrText>
        </w:r>
        <w:r w:rsidR="00B53A2D">
          <w:rPr>
            <w:webHidden/>
          </w:rPr>
        </w:r>
        <w:r w:rsidR="00B53A2D">
          <w:rPr>
            <w:webHidden/>
          </w:rPr>
          <w:fldChar w:fldCharType="separate"/>
        </w:r>
        <w:r w:rsidR="002040FB">
          <w:rPr>
            <w:webHidden/>
          </w:rPr>
          <w:t>17</w:t>
        </w:r>
        <w:r w:rsidR="00B53A2D">
          <w:rPr>
            <w:webHidden/>
          </w:rPr>
          <w:fldChar w:fldCharType="end"/>
        </w:r>
      </w:hyperlink>
    </w:p>
    <w:p w14:paraId="353E49C3" w14:textId="77777777" w:rsidR="00B53A2D" w:rsidRDefault="00BE2B48">
      <w:pPr>
        <w:pStyle w:val="TOC1"/>
        <w:rPr>
          <w:rFonts w:asciiTheme="minorHAnsi" w:eastAsiaTheme="minorEastAsia" w:hAnsiTheme="minorHAnsi" w:cstheme="minorBidi"/>
          <w:b w:val="0"/>
          <w:caps w:val="0"/>
          <w:color w:val="auto"/>
        </w:rPr>
      </w:pPr>
      <w:hyperlink w:anchor="_Toc498596554" w:history="1">
        <w:r w:rsidR="00B53A2D" w:rsidRPr="00977C9E">
          <w:rPr>
            <w:rStyle w:val="Hyperlink"/>
          </w:rPr>
          <w:t>Schedule B: Forms that are proposed to have fees removed</w:t>
        </w:r>
        <w:r w:rsidR="00B53A2D">
          <w:rPr>
            <w:webHidden/>
          </w:rPr>
          <w:tab/>
        </w:r>
        <w:r w:rsidR="00B53A2D">
          <w:rPr>
            <w:webHidden/>
          </w:rPr>
          <w:fldChar w:fldCharType="begin"/>
        </w:r>
        <w:r w:rsidR="00B53A2D">
          <w:rPr>
            <w:webHidden/>
          </w:rPr>
          <w:instrText xml:space="preserve"> PAGEREF _Toc498596554 \h </w:instrText>
        </w:r>
        <w:r w:rsidR="00B53A2D">
          <w:rPr>
            <w:webHidden/>
          </w:rPr>
        </w:r>
        <w:r w:rsidR="00B53A2D">
          <w:rPr>
            <w:webHidden/>
          </w:rPr>
          <w:fldChar w:fldCharType="separate"/>
        </w:r>
        <w:r w:rsidR="002040FB">
          <w:rPr>
            <w:webHidden/>
          </w:rPr>
          <w:t>29</w:t>
        </w:r>
        <w:r w:rsidR="00B53A2D">
          <w:rPr>
            <w:webHidden/>
          </w:rPr>
          <w:fldChar w:fldCharType="end"/>
        </w:r>
      </w:hyperlink>
    </w:p>
    <w:p w14:paraId="33BF6F2E" w14:textId="1FB1CB00" w:rsidR="000E0B74" w:rsidRDefault="00850D8E" w:rsidP="00656356">
      <w:pPr>
        <w:pStyle w:val="SingleParagraph"/>
        <w:tabs>
          <w:tab w:val="right" w:leader="dot" w:pos="9072"/>
        </w:tabs>
        <w:ind w:right="-2"/>
        <w:rPr>
          <w:b/>
          <w:caps/>
          <w:noProof/>
          <w:color w:val="004A7F"/>
          <w:szCs w:val="22"/>
        </w:rPr>
      </w:pPr>
      <w:r>
        <w:rPr>
          <w:b/>
          <w:caps/>
          <w:noProof/>
          <w:color w:val="004A7F"/>
          <w:szCs w:val="22"/>
        </w:rPr>
        <w:fldChar w:fldCharType="end"/>
      </w:r>
    </w:p>
    <w:p w14:paraId="293A67ED" w14:textId="77777777" w:rsidR="00850D8E" w:rsidRPr="00850D8E" w:rsidRDefault="00850D8E" w:rsidP="00850D8E"/>
    <w:p w14:paraId="66EEA82D" w14:textId="77777777" w:rsidR="00850D8E" w:rsidRPr="00850D8E" w:rsidRDefault="00850D8E" w:rsidP="00850D8E"/>
    <w:p w14:paraId="5DB260CF" w14:textId="77777777" w:rsidR="00850D8E" w:rsidRPr="00850D8E" w:rsidRDefault="00850D8E" w:rsidP="00850D8E"/>
    <w:p w14:paraId="3715AFF2" w14:textId="77777777" w:rsidR="00850D8E" w:rsidRPr="00850D8E" w:rsidRDefault="00850D8E" w:rsidP="00850D8E"/>
    <w:p w14:paraId="6A8C5F60" w14:textId="77777777" w:rsidR="00850D8E" w:rsidRPr="00850D8E" w:rsidRDefault="00850D8E" w:rsidP="00850D8E">
      <w:pPr>
        <w:sectPr w:rsidR="00850D8E" w:rsidRPr="00850D8E" w:rsidSect="00475B7B">
          <w:headerReference w:type="first" r:id="rId27"/>
          <w:footerReference w:type="first" r:id="rId28"/>
          <w:pgSz w:w="11906" w:h="16838" w:code="9"/>
          <w:pgMar w:top="1418" w:right="1418" w:bottom="1418" w:left="1418" w:header="709" w:footer="709" w:gutter="0"/>
          <w:pgNumType w:fmt="lowerRoman"/>
          <w:cols w:space="708"/>
          <w:titlePg/>
          <w:docGrid w:linePitch="360"/>
        </w:sectPr>
      </w:pPr>
    </w:p>
    <w:p w14:paraId="52191A04" w14:textId="77777777" w:rsidR="000E0B74" w:rsidRDefault="000E0B74" w:rsidP="000E0B74">
      <w:pPr>
        <w:pStyle w:val="Heading1"/>
      </w:pPr>
      <w:bookmarkStart w:id="3" w:name="_Toc497212008"/>
      <w:bookmarkStart w:id="4" w:name="_Toc497403316"/>
      <w:bookmarkStart w:id="5" w:name="_Toc498596539"/>
      <w:bookmarkStart w:id="6" w:name="_Toc432067103"/>
      <w:r>
        <w:lastRenderedPageBreak/>
        <w:t>Consultation Process</w:t>
      </w:r>
      <w:bookmarkEnd w:id="3"/>
      <w:bookmarkEnd w:id="4"/>
      <w:bookmarkEnd w:id="5"/>
    </w:p>
    <w:p w14:paraId="2807F148" w14:textId="77777777" w:rsidR="000E0B74" w:rsidRDefault="000E0B74" w:rsidP="000E0B74">
      <w:pPr>
        <w:pStyle w:val="Heading2"/>
      </w:pPr>
      <w:bookmarkStart w:id="7" w:name="_Toc497212009"/>
      <w:bookmarkStart w:id="8" w:name="_Toc497403317"/>
      <w:bookmarkStart w:id="9" w:name="_Toc498596540"/>
      <w:r>
        <w:t>Request for feedback and comments</w:t>
      </w:r>
      <w:bookmarkEnd w:id="7"/>
      <w:bookmarkEnd w:id="8"/>
      <w:bookmarkEnd w:id="9"/>
    </w:p>
    <w:p w14:paraId="53C02B3A" w14:textId="77777777" w:rsidR="0049052B" w:rsidRPr="006916AB" w:rsidRDefault="0049052B" w:rsidP="00850D8E">
      <w:r w:rsidRPr="006916AB">
        <w:t>Interested parties are invited to comment on this consultation paper.</w:t>
      </w:r>
    </w:p>
    <w:p w14:paraId="0E472245" w14:textId="77777777" w:rsidR="0049052B" w:rsidRDefault="0049052B" w:rsidP="0049052B">
      <w:r>
        <w:t xml:space="preserve">Non-confidential submissions may be made available on the Treasury website. Submissions made in confidence will not be published. A request for access to a confidential submission will be determined in accordance with the </w:t>
      </w:r>
      <w:r w:rsidRPr="00770F35">
        <w:rPr>
          <w:i/>
        </w:rPr>
        <w:t>Freedom of Information Act 1982</w:t>
      </w:r>
      <w:r>
        <w:t xml:space="preserve"> (</w:t>
      </w:r>
      <w:proofErr w:type="spellStart"/>
      <w:r>
        <w:t>Cth</w:t>
      </w:r>
      <w:proofErr w:type="spellEnd"/>
      <w:r>
        <w:t>).</w:t>
      </w:r>
    </w:p>
    <w:p w14:paraId="59FA6E82" w14:textId="77777777" w:rsidR="0049052B" w:rsidRDefault="0049052B" w:rsidP="0049052B">
      <w:r>
        <w:t>In the absence of a clear indication that a submission is intended to be confidential, a su</w:t>
      </w:r>
      <w:r w:rsidR="00B92A1D">
        <w:t>bmission will be treated as non</w:t>
      </w:r>
      <w:r w:rsidR="00B92A1D">
        <w:noBreakHyphen/>
      </w:r>
      <w:r>
        <w:t>confidential.</w:t>
      </w:r>
    </w:p>
    <w:p w14:paraId="776E48F7" w14:textId="46F395D9" w:rsidR="000E0B74" w:rsidRPr="00A049DE" w:rsidRDefault="000E0B74" w:rsidP="00A049DE">
      <w:pPr>
        <w:pStyle w:val="Heading3noTOC"/>
      </w:pPr>
      <w:r w:rsidRPr="00A049DE">
        <w:t xml:space="preserve">Closing date for submissions: </w:t>
      </w:r>
      <w:sdt>
        <w:sdtPr>
          <w:rPr>
            <w:rStyle w:val="Heading3Char"/>
            <w:rFonts w:cs="Calibri"/>
            <w:b/>
          </w:rPr>
          <w:id w:val="1454836312"/>
          <w:placeholder>
            <w:docPart w:val="FF5F372D055C4A75A4968329A5CEFA05"/>
          </w:placeholder>
          <w:date w:fullDate="2017-12-15T00:00:00Z">
            <w:dateFormat w:val="dd MMMM yyyy"/>
            <w:lid w:val="en-AU"/>
            <w:storeMappedDataAs w:val="dateTime"/>
            <w:calendar w:val="gregorian"/>
          </w:date>
        </w:sdtPr>
        <w:sdtEndPr>
          <w:rPr>
            <w:rStyle w:val="DefaultParagraphFont"/>
          </w:rPr>
        </w:sdtEndPr>
        <w:sdtContent>
          <w:r w:rsidR="00A322AB">
            <w:rPr>
              <w:rStyle w:val="Heading3Char"/>
              <w:rFonts w:cs="Calibri"/>
              <w:b/>
            </w:rPr>
            <w:t>15 December 2017</w:t>
          </w:r>
        </w:sdtContent>
      </w:sdt>
    </w:p>
    <w:tbl>
      <w:tblPr>
        <w:tblStyle w:val="TableGrid"/>
        <w:tblW w:w="0" w:type="auto"/>
        <w:tblLook w:val="04A0" w:firstRow="1" w:lastRow="0" w:firstColumn="1" w:lastColumn="0" w:noHBand="0" w:noVBand="1"/>
      </w:tblPr>
      <w:tblGrid>
        <w:gridCol w:w="1384"/>
        <w:gridCol w:w="7796"/>
      </w:tblGrid>
      <w:tr w:rsidR="000E0B74" w:rsidRPr="00B85F47" w14:paraId="5F8F3EC4" w14:textId="77777777" w:rsidTr="00A4214E">
        <w:tc>
          <w:tcPr>
            <w:tcW w:w="1384" w:type="dxa"/>
            <w:shd w:val="clear" w:color="auto" w:fill="auto"/>
          </w:tcPr>
          <w:p w14:paraId="24A9F500" w14:textId="77777777" w:rsidR="000E0B74" w:rsidRPr="00B85F47" w:rsidRDefault="000E0B74" w:rsidP="0017089D">
            <w:pPr>
              <w:rPr>
                <w:sz w:val="22"/>
                <w:szCs w:val="22"/>
              </w:rPr>
            </w:pPr>
            <w:r w:rsidRPr="00B85F47">
              <w:rPr>
                <w:sz w:val="22"/>
                <w:szCs w:val="22"/>
              </w:rPr>
              <w:t>Email</w:t>
            </w:r>
          </w:p>
        </w:tc>
        <w:tc>
          <w:tcPr>
            <w:tcW w:w="7796" w:type="dxa"/>
            <w:shd w:val="clear" w:color="auto" w:fill="auto"/>
          </w:tcPr>
          <w:p w14:paraId="2728B407" w14:textId="2E66D635" w:rsidR="000E0B74" w:rsidRPr="004401B9" w:rsidRDefault="00BE2B48" w:rsidP="00144E7F">
            <w:pPr>
              <w:rPr>
                <w:rStyle w:val="Hyperlink"/>
                <w:sz w:val="22"/>
                <w:szCs w:val="22"/>
              </w:rPr>
            </w:pPr>
            <w:hyperlink r:id="rId29" w:history="1">
              <w:r w:rsidR="00144E7F" w:rsidRPr="004401B9">
                <w:rPr>
                  <w:rStyle w:val="Hyperlink"/>
                  <w:sz w:val="22"/>
                  <w:szCs w:val="22"/>
                </w:rPr>
                <w:t>ASICFunding@treasury.gov.au</w:t>
              </w:r>
            </w:hyperlink>
          </w:p>
        </w:tc>
      </w:tr>
      <w:tr w:rsidR="000E0B74" w:rsidRPr="00B85F47" w14:paraId="062D590C" w14:textId="77777777" w:rsidTr="00A4214E">
        <w:tc>
          <w:tcPr>
            <w:tcW w:w="1384" w:type="dxa"/>
            <w:shd w:val="clear" w:color="auto" w:fill="auto"/>
          </w:tcPr>
          <w:p w14:paraId="1567D752" w14:textId="77777777" w:rsidR="000E0B74" w:rsidRPr="00B85F47" w:rsidRDefault="000E0B74" w:rsidP="0017089D">
            <w:pPr>
              <w:rPr>
                <w:sz w:val="22"/>
                <w:szCs w:val="22"/>
              </w:rPr>
            </w:pPr>
            <w:r w:rsidRPr="00B85F47">
              <w:rPr>
                <w:sz w:val="22"/>
                <w:szCs w:val="22"/>
              </w:rPr>
              <w:t>Mail</w:t>
            </w:r>
          </w:p>
          <w:p w14:paraId="4BBC30C4" w14:textId="77777777" w:rsidR="008D7F38" w:rsidRPr="00B85F47" w:rsidRDefault="008D7F38" w:rsidP="0017089D">
            <w:pPr>
              <w:rPr>
                <w:sz w:val="22"/>
                <w:szCs w:val="22"/>
              </w:rPr>
            </w:pPr>
          </w:p>
          <w:p w14:paraId="0DA7B017" w14:textId="77777777" w:rsidR="008D7F38" w:rsidRPr="00B85F47" w:rsidRDefault="008D7F38" w:rsidP="0017089D">
            <w:pPr>
              <w:rPr>
                <w:sz w:val="22"/>
                <w:szCs w:val="22"/>
              </w:rPr>
            </w:pPr>
          </w:p>
        </w:tc>
        <w:tc>
          <w:tcPr>
            <w:tcW w:w="7796" w:type="dxa"/>
            <w:shd w:val="clear" w:color="auto" w:fill="auto"/>
          </w:tcPr>
          <w:p w14:paraId="751B1082" w14:textId="77777777" w:rsidR="000E0B74" w:rsidRPr="00DA2DF6" w:rsidRDefault="00DA2DF6" w:rsidP="0017089D">
            <w:pPr>
              <w:pStyle w:val="SingleParagraph"/>
              <w:rPr>
                <w:rFonts w:cs="Arial"/>
                <w:sz w:val="22"/>
              </w:rPr>
            </w:pPr>
            <w:r w:rsidRPr="00DA2DF6">
              <w:rPr>
                <w:rFonts w:cs="Arial"/>
                <w:sz w:val="22"/>
              </w:rPr>
              <w:t>Manager, Corporations and Schemes Unit</w:t>
            </w:r>
          </w:p>
          <w:p w14:paraId="2A55473C" w14:textId="77777777" w:rsidR="00DA2DF6" w:rsidRPr="00DA2DF6" w:rsidRDefault="00DA2DF6" w:rsidP="00DA2DF6">
            <w:pPr>
              <w:pStyle w:val="SingleParagraph"/>
              <w:rPr>
                <w:rFonts w:cs="Arial"/>
                <w:sz w:val="22"/>
              </w:rPr>
            </w:pPr>
            <w:r w:rsidRPr="00DA2DF6">
              <w:rPr>
                <w:rFonts w:cs="Arial"/>
                <w:sz w:val="22"/>
              </w:rPr>
              <w:t>Financial Systems Division</w:t>
            </w:r>
          </w:p>
          <w:p w14:paraId="249A93F4"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592AB23C"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56048349"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09DD3BE5" w14:textId="77777777" w:rsidTr="00A4214E">
        <w:tc>
          <w:tcPr>
            <w:tcW w:w="1384" w:type="dxa"/>
            <w:shd w:val="clear" w:color="auto" w:fill="auto"/>
          </w:tcPr>
          <w:p w14:paraId="14BDC674" w14:textId="77777777" w:rsidR="000E0B74" w:rsidRPr="00B85F47" w:rsidRDefault="000E0B74" w:rsidP="0017089D">
            <w:pPr>
              <w:rPr>
                <w:sz w:val="22"/>
                <w:szCs w:val="22"/>
              </w:rPr>
            </w:pPr>
            <w:r w:rsidRPr="00B85F47">
              <w:rPr>
                <w:sz w:val="22"/>
                <w:szCs w:val="22"/>
              </w:rPr>
              <w:t>Enquiries</w:t>
            </w:r>
          </w:p>
        </w:tc>
        <w:tc>
          <w:tcPr>
            <w:tcW w:w="7796" w:type="dxa"/>
            <w:shd w:val="clear" w:color="auto" w:fill="auto"/>
          </w:tcPr>
          <w:p w14:paraId="4F73003E" w14:textId="77777777" w:rsidR="000E0B74" w:rsidRPr="00B85F47" w:rsidRDefault="000E0B74" w:rsidP="00265BB2">
            <w:pPr>
              <w:rPr>
                <w:sz w:val="22"/>
                <w:szCs w:val="22"/>
              </w:rPr>
            </w:pPr>
            <w:r w:rsidRPr="00B85F47">
              <w:rPr>
                <w:rFonts w:cs="Arial"/>
                <w:sz w:val="22"/>
                <w:szCs w:val="22"/>
              </w:rPr>
              <w:t xml:space="preserve">Enquiries can be initially directed to </w:t>
            </w:r>
            <w:r w:rsidR="00265BB2" w:rsidRPr="00265BB2">
              <w:rPr>
                <w:rFonts w:cs="Arial"/>
                <w:sz w:val="22"/>
                <w:szCs w:val="22"/>
              </w:rPr>
              <w:t>Stephen Powell</w:t>
            </w:r>
          </w:p>
        </w:tc>
      </w:tr>
      <w:tr w:rsidR="000E0B74" w:rsidRPr="00B85F47" w14:paraId="2C28F916" w14:textId="77777777" w:rsidTr="00A4214E">
        <w:tc>
          <w:tcPr>
            <w:tcW w:w="1384" w:type="dxa"/>
            <w:shd w:val="clear" w:color="auto" w:fill="auto"/>
          </w:tcPr>
          <w:p w14:paraId="074F6CDA" w14:textId="77777777" w:rsidR="000E0B74" w:rsidRPr="00B85F47" w:rsidRDefault="000E0B74" w:rsidP="0017089D">
            <w:pPr>
              <w:rPr>
                <w:sz w:val="22"/>
                <w:szCs w:val="22"/>
              </w:rPr>
            </w:pPr>
            <w:r w:rsidRPr="00B85F47">
              <w:rPr>
                <w:sz w:val="22"/>
                <w:szCs w:val="22"/>
              </w:rPr>
              <w:t>Phone</w:t>
            </w:r>
          </w:p>
        </w:tc>
        <w:tc>
          <w:tcPr>
            <w:tcW w:w="7796" w:type="dxa"/>
            <w:shd w:val="clear" w:color="auto" w:fill="auto"/>
          </w:tcPr>
          <w:p w14:paraId="0D0FA491" w14:textId="77777777" w:rsidR="000E0B74" w:rsidRPr="00B85F47" w:rsidRDefault="000E0B74" w:rsidP="0091081C">
            <w:pPr>
              <w:rPr>
                <w:sz w:val="22"/>
                <w:szCs w:val="22"/>
              </w:rPr>
            </w:pPr>
            <w:r w:rsidRPr="00B85F47">
              <w:rPr>
                <w:rFonts w:cs="Arial"/>
                <w:sz w:val="22"/>
                <w:szCs w:val="22"/>
              </w:rPr>
              <w:t>02 6263</w:t>
            </w:r>
            <w:r w:rsidR="0091081C">
              <w:rPr>
                <w:rFonts w:cs="Arial"/>
                <w:sz w:val="22"/>
                <w:szCs w:val="22"/>
              </w:rPr>
              <w:t xml:space="preserve"> 3167</w:t>
            </w:r>
          </w:p>
        </w:tc>
      </w:tr>
      <w:bookmarkEnd w:id="6"/>
    </w:tbl>
    <w:p w14:paraId="3AE8937D" w14:textId="77777777" w:rsidR="00E10D39" w:rsidRDefault="00E10D39" w:rsidP="00B11272">
      <w:pPr>
        <w:pStyle w:val="SingleParagraph"/>
      </w:pPr>
    </w:p>
    <w:p w14:paraId="076EFBBA" w14:textId="77777777" w:rsidR="00A16E03" w:rsidRDefault="00A16E03" w:rsidP="00A16E03">
      <w:r>
        <w:t>The principles outlined in this paper have not received Government approval and are not yet law. As a consequence, this paper is merely a guide as to how the principles might operate.</w:t>
      </w:r>
    </w:p>
    <w:p w14:paraId="47BBD5D4" w14:textId="77777777" w:rsidR="008D7F38" w:rsidRPr="00D33904" w:rsidRDefault="008D7F38" w:rsidP="00D33904"/>
    <w:p w14:paraId="1A92D2D8" w14:textId="77777777" w:rsidR="00D33904" w:rsidRPr="00D33904" w:rsidRDefault="00D33904" w:rsidP="00D33904"/>
    <w:p w14:paraId="0DAF57AD" w14:textId="77777777" w:rsidR="00D33904" w:rsidRPr="00D33904" w:rsidRDefault="00D33904" w:rsidP="00D33904"/>
    <w:p w14:paraId="1AC34BF6" w14:textId="77777777" w:rsidR="00D33904" w:rsidRPr="00D33904" w:rsidRDefault="00D33904" w:rsidP="00D33904">
      <w:pPr>
        <w:sectPr w:rsidR="00D33904" w:rsidRPr="00D33904" w:rsidSect="00461E2E">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pgNumType w:fmt="lowerRoman"/>
          <w:cols w:space="708"/>
          <w:titlePg/>
          <w:docGrid w:linePitch="360"/>
        </w:sectPr>
      </w:pPr>
    </w:p>
    <w:p w14:paraId="0213F76F" w14:textId="77777777" w:rsidR="00265BB2" w:rsidRDefault="00265BB2" w:rsidP="00850D8E">
      <w:pPr>
        <w:pStyle w:val="Heading1"/>
      </w:pPr>
      <w:bookmarkStart w:id="10" w:name="_Toc496873268"/>
      <w:bookmarkStart w:id="11" w:name="_Toc497212010"/>
      <w:bookmarkStart w:id="12" w:name="_Toc497403318"/>
      <w:bookmarkStart w:id="13" w:name="_Toc498596541"/>
      <w:r>
        <w:t>Executive Summary</w:t>
      </w:r>
      <w:bookmarkEnd w:id="10"/>
      <w:bookmarkEnd w:id="11"/>
      <w:bookmarkEnd w:id="12"/>
      <w:bookmarkEnd w:id="13"/>
    </w:p>
    <w:p w14:paraId="53081B5D" w14:textId="6F8B02EB" w:rsidR="00265BB2" w:rsidRDefault="00265BB2" w:rsidP="00B11272">
      <w:pPr>
        <w:pStyle w:val="Bullet"/>
        <w:numPr>
          <w:ilvl w:val="0"/>
          <w:numId w:val="0"/>
        </w:numPr>
      </w:pPr>
      <w:r w:rsidRPr="007B09AE">
        <w:t xml:space="preserve">The </w:t>
      </w:r>
      <w:r>
        <w:t xml:space="preserve">Australian </w:t>
      </w:r>
      <w:r w:rsidRPr="007B09AE">
        <w:t xml:space="preserve">Government has </w:t>
      </w:r>
      <w:r>
        <w:t xml:space="preserve">committed </w:t>
      </w:r>
      <w:r w:rsidRPr="007B09AE">
        <w:t xml:space="preserve">that </w:t>
      </w:r>
      <w:r>
        <w:t>the Australian Securities and Investments Commission (ASIC)</w:t>
      </w:r>
      <w:r w:rsidRPr="007B09AE">
        <w:t xml:space="preserve"> costs for specific </w:t>
      </w:r>
      <w:r>
        <w:t xml:space="preserve">regulatory </w:t>
      </w:r>
      <w:r w:rsidRPr="007B09AE">
        <w:t xml:space="preserve">activities requested by an entity should be </w:t>
      </w:r>
      <w:r>
        <w:t xml:space="preserve">fully </w:t>
      </w:r>
      <w:r w:rsidRPr="007B09AE">
        <w:t>recovered fro</w:t>
      </w:r>
      <w:r>
        <w:t>m that entity.</w:t>
      </w:r>
      <w:r w:rsidRPr="007B09AE">
        <w:t xml:space="preserve"> </w:t>
      </w:r>
      <w:r>
        <w:t>This will commence from 1 July </w:t>
      </w:r>
      <w:r w:rsidRPr="007B09AE">
        <w:t>2018.</w:t>
      </w:r>
      <w:r>
        <w:t xml:space="preserve"> Fees associated with registry activities are excluded f</w:t>
      </w:r>
      <w:r w:rsidR="009C0651">
        <w:t>rom the scope of this proposal.</w:t>
      </w:r>
    </w:p>
    <w:p w14:paraId="790EA7E9" w14:textId="77777777" w:rsidR="00265BB2" w:rsidRDefault="00265BB2" w:rsidP="00B11272">
      <w:pPr>
        <w:pStyle w:val="Bullet"/>
        <w:numPr>
          <w:ilvl w:val="0"/>
          <w:numId w:val="0"/>
        </w:numPr>
      </w:pPr>
      <w:r>
        <w:t>The existing model of fees charged by ASIC is not based on any form of cost recovery. The impact of moving to a full cost recovery system for ASIC regulatory fees is twofold:</w:t>
      </w:r>
    </w:p>
    <w:p w14:paraId="424C806B" w14:textId="1DA12CA6" w:rsidR="00265BB2" w:rsidRDefault="00265BB2" w:rsidP="00B11272">
      <w:pPr>
        <w:pStyle w:val="Bullet"/>
      </w:pPr>
      <w:r w:rsidRPr="00B11272">
        <w:t xml:space="preserve">Fees for activities </w:t>
      </w:r>
      <w:r w:rsidR="00A82CC0" w:rsidRPr="00B11272">
        <w:t>for the benefit of an individual entity</w:t>
      </w:r>
      <w:r w:rsidR="00753413" w:rsidRPr="00B11272">
        <w:t xml:space="preserve"> </w:t>
      </w:r>
      <w:r w:rsidR="00A82CC0" w:rsidRPr="00B11272">
        <w:t xml:space="preserve">(for example, a licence application) </w:t>
      </w:r>
      <w:r w:rsidRPr="00B11272">
        <w:t>will</w:t>
      </w:r>
      <w:r>
        <w:t xml:space="preserve"> be </w:t>
      </w:r>
      <w:r w:rsidR="00B51FD2">
        <w:t xml:space="preserve">based on the </w:t>
      </w:r>
      <w:r>
        <w:t>full cost to ASIC of that activity. In many cases, there is only a nominal fee currently associated with the activity</w:t>
      </w:r>
      <w:r w:rsidR="00B51FD2">
        <w:t>. In these circumstances</w:t>
      </w:r>
      <w:r>
        <w:t>, this change result</w:t>
      </w:r>
      <w:r w:rsidR="00265EDD">
        <w:t>s</w:t>
      </w:r>
      <w:r>
        <w:t xml:space="preserve"> in a significant increase in fees for that activity. A full list </w:t>
      </w:r>
      <w:r w:rsidR="001420A9">
        <w:t>of proposed fees is at Schedule </w:t>
      </w:r>
      <w:r w:rsidR="00B53A2D">
        <w:t>A.</w:t>
      </w:r>
    </w:p>
    <w:p w14:paraId="0BE75C92" w14:textId="2009C493" w:rsidR="00265BB2" w:rsidRDefault="00265BB2" w:rsidP="00B11272">
      <w:pPr>
        <w:pStyle w:val="Bullet"/>
      </w:pPr>
      <w:r>
        <w:t xml:space="preserve">Fees </w:t>
      </w:r>
      <w:r w:rsidR="00753413">
        <w:t xml:space="preserve">currently charged </w:t>
      </w:r>
      <w:r w:rsidR="00A82CC0">
        <w:t xml:space="preserve">for activities that are </w:t>
      </w:r>
      <w:r w:rsidR="00753413">
        <w:t xml:space="preserve">associated </w:t>
      </w:r>
      <w:r w:rsidR="00A82CC0">
        <w:t xml:space="preserve">with the supervision of the industry rather than for the benefit of an individual entity </w:t>
      </w:r>
      <w:r w:rsidR="00CD0EF0">
        <w:t xml:space="preserve">(for example, compliance certificates) </w:t>
      </w:r>
      <w:r>
        <w:t>will be removed. A list of the fees to be removed is a</w:t>
      </w:r>
      <w:r w:rsidR="001420A9">
        <w:t>t Schedule </w:t>
      </w:r>
      <w:r w:rsidR="00B53A2D">
        <w:t>B.</w:t>
      </w:r>
    </w:p>
    <w:p w14:paraId="45D6FC65" w14:textId="77777777" w:rsidR="00265BB2" w:rsidRDefault="00265BB2" w:rsidP="00B11272">
      <w:pPr>
        <w:pStyle w:val="Bullet"/>
        <w:numPr>
          <w:ilvl w:val="0"/>
          <w:numId w:val="0"/>
        </w:numPr>
      </w:pPr>
      <w:r>
        <w:t>In preparation for the 1 July 2018 fee</w:t>
      </w:r>
      <w:r>
        <w:noBreakHyphen/>
        <w:t>for</w:t>
      </w:r>
      <w:r>
        <w:noBreakHyphen/>
        <w:t>service full cost recovery, the Australian Government specifically seeks comment on:</w:t>
      </w:r>
    </w:p>
    <w:p w14:paraId="639D80BC" w14:textId="77777777" w:rsidR="00AF73FD" w:rsidRPr="00B11272" w:rsidRDefault="007540DC" w:rsidP="00461E2E">
      <w:pPr>
        <w:pStyle w:val="OutlineNumbered1"/>
      </w:pPr>
      <w:r w:rsidRPr="00B11272">
        <w:t>Do you have any comments on whether the Corporations (Fees) Regulations 2001 should continue to specify all ASIC fees regardless of whether they are determined on a cost</w:t>
      </w:r>
      <w:r w:rsidRPr="00B11272">
        <w:noBreakHyphen/>
        <w:t>recovery basis or whether the cost-recovery fees should be specified in a separate instrument so they can be more clearly differentia</w:t>
      </w:r>
      <w:r w:rsidR="001420A9" w:rsidRPr="00B11272">
        <w:t>ted from non</w:t>
      </w:r>
      <w:r w:rsidR="001420A9" w:rsidRPr="00B11272">
        <w:noBreakHyphen/>
      </w:r>
      <w:r w:rsidRPr="00B11272">
        <w:t>cost recovery fees</w:t>
      </w:r>
      <w:r w:rsidR="00AF73FD" w:rsidRPr="00B11272">
        <w:t>?</w:t>
      </w:r>
    </w:p>
    <w:p w14:paraId="2C60A888" w14:textId="77777777" w:rsidR="00265BB2" w:rsidRPr="00461E2E" w:rsidRDefault="00265BB2" w:rsidP="00461E2E">
      <w:pPr>
        <w:pStyle w:val="OutlineNumbered1"/>
      </w:pPr>
      <w:r w:rsidRPr="00461E2E">
        <w:t>Do you have any feedback regarding the model objectives?</w:t>
      </w:r>
    </w:p>
    <w:p w14:paraId="132E2307" w14:textId="77777777" w:rsidR="00265BB2" w:rsidRDefault="00265BB2" w:rsidP="00461E2E">
      <w:pPr>
        <w:pStyle w:val="OutlineNumbered1"/>
      </w:pPr>
      <w:r w:rsidRPr="009E40B8">
        <w:t>Is the proposed methodology for calculating</w:t>
      </w:r>
      <w:r w:rsidR="007540DC">
        <w:t xml:space="preserve"> fees</w:t>
      </w:r>
      <w:r w:rsidR="007540DC">
        <w:noBreakHyphen/>
        <w:t>for</w:t>
      </w:r>
      <w:r w:rsidR="007540DC">
        <w:noBreakHyphen/>
        <w:t xml:space="preserve">service appropriate? </w:t>
      </w:r>
      <w:r w:rsidRPr="009E40B8">
        <w:t>If not, why not?</w:t>
      </w:r>
    </w:p>
    <w:p w14:paraId="6C02912B" w14:textId="77777777" w:rsidR="00265BB2" w:rsidRPr="00F2768C" w:rsidRDefault="00265BB2" w:rsidP="00461E2E">
      <w:pPr>
        <w:pStyle w:val="OutlineNumbered1"/>
      </w:pPr>
      <w:r>
        <w:t>Are there any other sectors where a tiered approach to setting fees would be appropriate?</w:t>
      </w:r>
    </w:p>
    <w:p w14:paraId="3987FF5B" w14:textId="77777777" w:rsidR="00265BB2" w:rsidRPr="009E40B8" w:rsidRDefault="00265BB2" w:rsidP="00461E2E">
      <w:pPr>
        <w:pStyle w:val="OutlineNumbered1"/>
      </w:pPr>
      <w:r w:rsidRPr="009E40B8">
        <w:t xml:space="preserve">Do you have any suggestions for how the proposed </w:t>
      </w:r>
      <w:r w:rsidR="007540DC">
        <w:t xml:space="preserve">methodology could be modified? </w:t>
      </w:r>
      <w:r w:rsidRPr="009E40B8">
        <w:t>If so, please provide details.</w:t>
      </w:r>
    </w:p>
    <w:p w14:paraId="315C0CB8" w14:textId="77777777" w:rsidR="00265BB2" w:rsidRPr="009E40B8" w:rsidRDefault="00265BB2" w:rsidP="00461E2E">
      <w:pPr>
        <w:pStyle w:val="OutlineNumbered1"/>
      </w:pPr>
      <w:r w:rsidRPr="009E40B8">
        <w:t xml:space="preserve">Are the proposed accountability </w:t>
      </w:r>
      <w:r w:rsidR="007540DC">
        <w:t xml:space="preserve">measures for ASIC appropriate? </w:t>
      </w:r>
      <w:r w:rsidRPr="009E40B8">
        <w:t>If not, please provide details.</w:t>
      </w:r>
    </w:p>
    <w:p w14:paraId="3360AD56" w14:textId="77777777" w:rsidR="00265BB2" w:rsidRPr="009E40B8" w:rsidRDefault="00265BB2" w:rsidP="00461E2E">
      <w:pPr>
        <w:pStyle w:val="OutlineNumbered1"/>
      </w:pPr>
      <w:r w:rsidRPr="009E40B8">
        <w:t>Will the proposed fees</w:t>
      </w:r>
      <w:r w:rsidRPr="009E40B8">
        <w:noBreakHyphen/>
        <w:t>for</w:t>
      </w:r>
      <w:r w:rsidRPr="009E40B8">
        <w:noBreakHyphen/>
        <w:t xml:space="preserve">service model have an effect </w:t>
      </w:r>
      <w:r w:rsidR="007540DC">
        <w:t xml:space="preserve">on competition and innovation? </w:t>
      </w:r>
      <w:r w:rsidRPr="009E40B8">
        <w:t>If so, please provide details</w:t>
      </w:r>
      <w:r>
        <w:t>, including possible ways to mitigate the effect</w:t>
      </w:r>
      <w:r w:rsidRPr="009E40B8">
        <w:t>.</w:t>
      </w:r>
    </w:p>
    <w:p w14:paraId="1EE68274" w14:textId="77777777" w:rsidR="00265BB2" w:rsidRPr="00B11272" w:rsidRDefault="00265BB2" w:rsidP="00B11272">
      <w:r w:rsidRPr="00B11272">
        <w:t>An outline of the key processes and indicative timing for implemen</w:t>
      </w:r>
      <w:r w:rsidR="009627D1" w:rsidRPr="00B11272">
        <w:t>ting fee</w:t>
      </w:r>
      <w:r w:rsidR="009627D1" w:rsidRPr="00B11272">
        <w:noBreakHyphen/>
        <w:t>for</w:t>
      </w:r>
      <w:r w:rsidR="009627D1" w:rsidRPr="00B11272">
        <w:noBreakHyphen/>
        <w:t>services is</w:t>
      </w:r>
      <w:r w:rsidRPr="00B11272">
        <w:t xml:space="preserve"> below.</w:t>
      </w:r>
    </w:p>
    <w:p w14:paraId="0369B869" w14:textId="77777777" w:rsidR="00B11272" w:rsidRDefault="00B11272" w:rsidP="00B11272"/>
    <w:p w14:paraId="69BFF011" w14:textId="77777777" w:rsidR="00B11272" w:rsidRPr="00B11272" w:rsidRDefault="00B11272" w:rsidP="00B11272">
      <w:r w:rsidRPr="00B11272">
        <w:br w:type="page"/>
      </w:r>
    </w:p>
    <w:tbl>
      <w:tblPr>
        <w:tblW w:w="9389" w:type="dxa"/>
        <w:tblLook w:val="04A0" w:firstRow="1" w:lastRow="0" w:firstColumn="1" w:lastColumn="0" w:noHBand="0" w:noVBand="1"/>
      </w:tblPr>
      <w:tblGrid>
        <w:gridCol w:w="1732"/>
        <w:gridCol w:w="7657"/>
      </w:tblGrid>
      <w:tr w:rsidR="00265BB2" w:rsidRPr="00B11272" w14:paraId="65237CE2" w14:textId="77777777" w:rsidTr="00461E2E">
        <w:trPr>
          <w:trHeight w:val="20"/>
        </w:trPr>
        <w:tc>
          <w:tcPr>
            <w:tcW w:w="1732" w:type="dxa"/>
            <w:tcBorders>
              <w:top w:val="single" w:sz="4" w:space="0" w:color="004A7F"/>
              <w:bottom w:val="single" w:sz="4" w:space="0" w:color="004A7F"/>
            </w:tcBorders>
            <w:shd w:val="clear" w:color="auto" w:fill="DEEAF6" w:themeFill="accent1" w:themeFillTint="33"/>
            <w:hideMark/>
          </w:tcPr>
          <w:p w14:paraId="0C275730" w14:textId="479CE9BE" w:rsidR="00265BB2" w:rsidRPr="00B11272" w:rsidRDefault="00265BB2" w:rsidP="00172580">
            <w:pPr>
              <w:pStyle w:val="TableColumnHeadingLeft"/>
              <w:rPr>
                <w:rFonts w:eastAsiaTheme="minorHAnsi"/>
              </w:rPr>
            </w:pPr>
            <w:r w:rsidRPr="00B11272">
              <w:t>Timing</w:t>
            </w:r>
          </w:p>
        </w:tc>
        <w:tc>
          <w:tcPr>
            <w:tcW w:w="7657" w:type="dxa"/>
            <w:tcBorders>
              <w:top w:val="single" w:sz="4" w:space="0" w:color="004A7F"/>
              <w:bottom w:val="single" w:sz="4" w:space="0" w:color="004A7F"/>
            </w:tcBorders>
            <w:shd w:val="clear" w:color="auto" w:fill="DEEAF6" w:themeFill="accent1" w:themeFillTint="33"/>
            <w:hideMark/>
          </w:tcPr>
          <w:p w14:paraId="5C488502" w14:textId="77777777" w:rsidR="00265BB2" w:rsidRPr="00B11272" w:rsidRDefault="00265BB2" w:rsidP="00172580">
            <w:pPr>
              <w:pStyle w:val="TableColumnHeadingLeft"/>
              <w:rPr>
                <w:rFonts w:eastAsiaTheme="minorHAnsi"/>
              </w:rPr>
            </w:pPr>
            <w:r w:rsidRPr="00B11272">
              <w:t>Process</w:t>
            </w:r>
          </w:p>
        </w:tc>
      </w:tr>
      <w:tr w:rsidR="00265BB2" w:rsidRPr="00C33B41" w14:paraId="47F517D4" w14:textId="77777777" w:rsidTr="00461E2E">
        <w:trPr>
          <w:trHeight w:val="20"/>
        </w:trPr>
        <w:tc>
          <w:tcPr>
            <w:tcW w:w="1732" w:type="dxa"/>
            <w:tcBorders>
              <w:top w:val="single" w:sz="4" w:space="0" w:color="004A7F"/>
            </w:tcBorders>
          </w:tcPr>
          <w:p w14:paraId="1D7ADE2B" w14:textId="77777777" w:rsidR="00265BB2" w:rsidRPr="00172580" w:rsidRDefault="001719E5" w:rsidP="00172580">
            <w:pPr>
              <w:pStyle w:val="TableRowHeadingLeft"/>
            </w:pPr>
            <w:r w:rsidRPr="00172580">
              <w:t>November </w:t>
            </w:r>
            <w:r w:rsidR="00265BB2" w:rsidRPr="00172580">
              <w:t>2017</w:t>
            </w:r>
          </w:p>
        </w:tc>
        <w:tc>
          <w:tcPr>
            <w:tcW w:w="7657" w:type="dxa"/>
            <w:tcBorders>
              <w:top w:val="single" w:sz="4" w:space="0" w:color="004A7F"/>
            </w:tcBorders>
          </w:tcPr>
          <w:p w14:paraId="0DA9D8F6" w14:textId="77777777" w:rsidR="00265BB2" w:rsidRPr="00A4214E" w:rsidRDefault="00265BB2" w:rsidP="00A4214E">
            <w:pPr>
              <w:pStyle w:val="TableTextLeft"/>
              <w:rPr>
                <w:rFonts w:eastAsiaTheme="minorHAnsi"/>
              </w:rPr>
            </w:pPr>
            <w:r w:rsidRPr="00A4214E">
              <w:rPr>
                <w:rFonts w:eastAsiaTheme="minorHAnsi"/>
              </w:rPr>
              <w:t>Consultation paper released for stakeholder comment.</w:t>
            </w:r>
          </w:p>
        </w:tc>
      </w:tr>
      <w:tr w:rsidR="00265BB2" w:rsidRPr="00C33B41" w14:paraId="2A85D060" w14:textId="77777777" w:rsidTr="00461E2E">
        <w:trPr>
          <w:trHeight w:val="20"/>
        </w:trPr>
        <w:tc>
          <w:tcPr>
            <w:tcW w:w="1732" w:type="dxa"/>
            <w:shd w:val="clear" w:color="auto" w:fill="F2F2F2" w:themeFill="background1" w:themeFillShade="F2"/>
          </w:tcPr>
          <w:p w14:paraId="209FFE47" w14:textId="77777777" w:rsidR="00265BB2" w:rsidRPr="00172580" w:rsidRDefault="001719E5" w:rsidP="00172580">
            <w:pPr>
              <w:pStyle w:val="TableRowHeadingLeft"/>
            </w:pPr>
            <w:r w:rsidRPr="00172580">
              <w:t>December </w:t>
            </w:r>
            <w:r w:rsidR="00265BB2" w:rsidRPr="00172580">
              <w:t>2017</w:t>
            </w:r>
          </w:p>
        </w:tc>
        <w:tc>
          <w:tcPr>
            <w:tcW w:w="7657" w:type="dxa"/>
            <w:shd w:val="clear" w:color="auto" w:fill="F2F2F2" w:themeFill="background1" w:themeFillShade="F2"/>
          </w:tcPr>
          <w:p w14:paraId="34EAB09A" w14:textId="77777777" w:rsidR="00265BB2" w:rsidRPr="00A4214E" w:rsidRDefault="00265BB2" w:rsidP="00A4214E">
            <w:pPr>
              <w:pStyle w:val="TableTextLeft"/>
              <w:rPr>
                <w:rFonts w:eastAsiaTheme="minorHAnsi"/>
              </w:rPr>
            </w:pPr>
            <w:r w:rsidRPr="00A4214E">
              <w:rPr>
                <w:rFonts w:eastAsiaTheme="minorHAnsi"/>
              </w:rPr>
              <w:t>Consultation period closes.</w:t>
            </w:r>
          </w:p>
        </w:tc>
      </w:tr>
      <w:tr w:rsidR="00265BB2" w:rsidRPr="00C33B41" w14:paraId="2A5E843B" w14:textId="77777777" w:rsidTr="00461E2E">
        <w:trPr>
          <w:trHeight w:val="303"/>
        </w:trPr>
        <w:tc>
          <w:tcPr>
            <w:tcW w:w="1732" w:type="dxa"/>
          </w:tcPr>
          <w:p w14:paraId="6A97B0D7" w14:textId="77777777" w:rsidR="00265BB2" w:rsidRPr="00172580" w:rsidRDefault="001719E5" w:rsidP="00172580">
            <w:pPr>
              <w:pStyle w:val="TableRowHeadingLeft"/>
            </w:pPr>
            <w:r w:rsidRPr="00172580">
              <w:t>First half of </w:t>
            </w:r>
            <w:r w:rsidR="00265BB2" w:rsidRPr="00172580">
              <w:t>2018</w:t>
            </w:r>
          </w:p>
        </w:tc>
        <w:tc>
          <w:tcPr>
            <w:tcW w:w="7657" w:type="dxa"/>
          </w:tcPr>
          <w:p w14:paraId="58680A43" w14:textId="77777777" w:rsidR="00265BB2" w:rsidRPr="00A4214E" w:rsidRDefault="00265BB2" w:rsidP="00A4214E">
            <w:pPr>
              <w:pStyle w:val="TableTextLeft"/>
              <w:rPr>
                <w:rFonts w:eastAsiaTheme="minorHAnsi"/>
              </w:rPr>
            </w:pPr>
            <w:r w:rsidRPr="00A4214E">
              <w:rPr>
                <w:rFonts w:eastAsiaTheme="minorHAnsi"/>
              </w:rPr>
              <w:t xml:space="preserve">Proposed amendments to </w:t>
            </w:r>
            <w:r w:rsidRPr="00A4214E">
              <w:rPr>
                <w:i/>
              </w:rPr>
              <w:t>Corporations (Fees) Act 2001</w:t>
            </w:r>
            <w:r w:rsidRPr="00A4214E">
              <w:t xml:space="preserve"> and </w:t>
            </w:r>
            <w:r w:rsidRPr="00A4214E">
              <w:rPr>
                <w:i/>
              </w:rPr>
              <w:t>Corporations (Fees) Regulations 2001</w:t>
            </w:r>
            <w:r w:rsidRPr="00A4214E">
              <w:t xml:space="preserve"> introduced to Parliament to give effect to the ASIC fees</w:t>
            </w:r>
            <w:r w:rsidRPr="00A4214E">
              <w:noBreakHyphen/>
              <w:t>for</w:t>
            </w:r>
            <w:r w:rsidRPr="00A4214E">
              <w:noBreakHyphen/>
              <w:t>service model.</w:t>
            </w:r>
          </w:p>
        </w:tc>
      </w:tr>
      <w:tr w:rsidR="00265BB2" w:rsidRPr="00C33B41" w14:paraId="6D03A539" w14:textId="77777777" w:rsidTr="00461E2E">
        <w:trPr>
          <w:trHeight w:val="207"/>
        </w:trPr>
        <w:tc>
          <w:tcPr>
            <w:tcW w:w="1732" w:type="dxa"/>
            <w:shd w:val="clear" w:color="auto" w:fill="F2F2F2" w:themeFill="background1" w:themeFillShade="F2"/>
          </w:tcPr>
          <w:p w14:paraId="0703A7C0" w14:textId="77777777" w:rsidR="00265BB2" w:rsidRPr="00172580" w:rsidRDefault="001719E5" w:rsidP="00172580">
            <w:pPr>
              <w:pStyle w:val="TableRowHeadingLeft"/>
            </w:pPr>
            <w:r w:rsidRPr="00172580">
              <w:t>First half of </w:t>
            </w:r>
            <w:r w:rsidR="00265BB2" w:rsidRPr="00172580">
              <w:t>2018</w:t>
            </w:r>
          </w:p>
        </w:tc>
        <w:tc>
          <w:tcPr>
            <w:tcW w:w="7657" w:type="dxa"/>
            <w:shd w:val="clear" w:color="auto" w:fill="F2F2F2" w:themeFill="background1" w:themeFillShade="F2"/>
          </w:tcPr>
          <w:p w14:paraId="32471BD6" w14:textId="2A4F0B8A" w:rsidR="00265BB2" w:rsidRPr="00A4214E" w:rsidRDefault="00265BB2" w:rsidP="00A4214E">
            <w:pPr>
              <w:pStyle w:val="TableTextLeft"/>
              <w:rPr>
                <w:rFonts w:eastAsiaTheme="minorHAnsi"/>
              </w:rPr>
            </w:pPr>
            <w:r w:rsidRPr="00A4214E">
              <w:rPr>
                <w:rFonts w:eastAsiaTheme="minorHAnsi"/>
              </w:rPr>
              <w:t>Cost Recovery Implementation Statement released.</w:t>
            </w:r>
          </w:p>
        </w:tc>
      </w:tr>
      <w:tr w:rsidR="00265BB2" w:rsidRPr="00C33B41" w14:paraId="79E0DE97" w14:textId="77777777" w:rsidTr="00461E2E">
        <w:trPr>
          <w:trHeight w:val="20"/>
        </w:trPr>
        <w:tc>
          <w:tcPr>
            <w:tcW w:w="1732" w:type="dxa"/>
            <w:tcBorders>
              <w:bottom w:val="single" w:sz="4" w:space="0" w:color="004A7F"/>
            </w:tcBorders>
          </w:tcPr>
          <w:p w14:paraId="3FE67CA9" w14:textId="77777777" w:rsidR="00265BB2" w:rsidRPr="00172580" w:rsidRDefault="00265BB2" w:rsidP="00172580">
            <w:pPr>
              <w:pStyle w:val="TableRowHeadingLeft"/>
            </w:pPr>
            <w:r w:rsidRPr="00172580">
              <w:t>1 July 2018</w:t>
            </w:r>
          </w:p>
        </w:tc>
        <w:tc>
          <w:tcPr>
            <w:tcW w:w="7657" w:type="dxa"/>
            <w:tcBorders>
              <w:bottom w:val="single" w:sz="4" w:space="0" w:color="004A7F"/>
            </w:tcBorders>
          </w:tcPr>
          <w:p w14:paraId="08492A1A" w14:textId="77777777" w:rsidR="00265BB2" w:rsidRPr="00A4214E" w:rsidRDefault="00265BB2" w:rsidP="00A4214E">
            <w:pPr>
              <w:pStyle w:val="TableTextLeft"/>
              <w:rPr>
                <w:rFonts w:eastAsiaTheme="minorHAnsi"/>
              </w:rPr>
            </w:pPr>
            <w:r w:rsidRPr="00A4214E">
              <w:rPr>
                <w:rFonts w:eastAsiaTheme="minorHAnsi"/>
              </w:rPr>
              <w:t>Commencement of ASIC fees</w:t>
            </w:r>
            <w:r w:rsidRPr="00A4214E">
              <w:rPr>
                <w:rFonts w:eastAsiaTheme="minorHAnsi"/>
              </w:rPr>
              <w:noBreakHyphen/>
              <w:t>for</w:t>
            </w:r>
            <w:r w:rsidRPr="00A4214E">
              <w:rPr>
                <w:rFonts w:eastAsiaTheme="minorHAnsi"/>
              </w:rPr>
              <w:noBreakHyphen/>
              <w:t>service model.</w:t>
            </w:r>
          </w:p>
        </w:tc>
      </w:tr>
    </w:tbl>
    <w:p w14:paraId="1860B60A" w14:textId="77777777" w:rsidR="00172580" w:rsidRPr="00172580" w:rsidRDefault="00172580" w:rsidP="00172580"/>
    <w:p w14:paraId="51346E68" w14:textId="77777777" w:rsidR="00172580" w:rsidRPr="00172580" w:rsidRDefault="00172580" w:rsidP="00172580"/>
    <w:p w14:paraId="637C5E47" w14:textId="77777777" w:rsidR="00172580" w:rsidRPr="00172580" w:rsidRDefault="00172580" w:rsidP="00172580"/>
    <w:p w14:paraId="7F33306D" w14:textId="77777777" w:rsidR="00172580" w:rsidRPr="00172580" w:rsidRDefault="00172580" w:rsidP="00172580">
      <w:pPr>
        <w:sectPr w:rsidR="00172580" w:rsidRPr="00172580" w:rsidSect="00D33904">
          <w:footerReference w:type="first" r:id="rId36"/>
          <w:type w:val="oddPage"/>
          <w:pgSz w:w="11906" w:h="16838" w:code="9"/>
          <w:pgMar w:top="1418" w:right="1418" w:bottom="1418" w:left="1418" w:header="709" w:footer="709" w:gutter="0"/>
          <w:pgNumType w:start="1"/>
          <w:cols w:space="708"/>
          <w:titlePg/>
          <w:docGrid w:linePitch="360"/>
        </w:sectPr>
      </w:pPr>
    </w:p>
    <w:p w14:paraId="04BC1C05" w14:textId="77777777" w:rsidR="00DA2DF6" w:rsidRDefault="00DA2DF6" w:rsidP="00D33904">
      <w:pPr>
        <w:pStyle w:val="Heading1"/>
      </w:pPr>
      <w:bookmarkStart w:id="14" w:name="_Toc306887371"/>
      <w:bookmarkStart w:id="15" w:name="_Toc432064635"/>
      <w:bookmarkStart w:id="16" w:name="_Toc489541613"/>
      <w:bookmarkStart w:id="17" w:name="_Toc492908193"/>
      <w:bookmarkStart w:id="18" w:name="_Toc496021442"/>
      <w:bookmarkStart w:id="19" w:name="_Toc497212012"/>
      <w:bookmarkStart w:id="20" w:name="_Toc497403320"/>
      <w:bookmarkStart w:id="21" w:name="_Toc498596542"/>
      <w:r w:rsidRPr="00B11272">
        <w:t>Introduction</w:t>
      </w:r>
      <w:bookmarkEnd w:id="14"/>
      <w:bookmarkEnd w:id="15"/>
      <w:bookmarkEnd w:id="16"/>
      <w:bookmarkEnd w:id="17"/>
      <w:bookmarkEnd w:id="18"/>
      <w:bookmarkEnd w:id="19"/>
      <w:bookmarkEnd w:id="20"/>
      <w:bookmarkEnd w:id="21"/>
    </w:p>
    <w:p w14:paraId="3F8BA057" w14:textId="77777777" w:rsidR="00DA2DF6" w:rsidRDefault="00DA2DF6" w:rsidP="00DA2DF6">
      <w:r w:rsidRPr="007B09AE">
        <w:t xml:space="preserve">The </w:t>
      </w:r>
      <w:r>
        <w:t xml:space="preserve">Australian </w:t>
      </w:r>
      <w:r w:rsidRPr="007B09AE">
        <w:t xml:space="preserve">Government has </w:t>
      </w:r>
      <w:r>
        <w:t xml:space="preserve">committed </w:t>
      </w:r>
      <w:r w:rsidRPr="007B09AE">
        <w:t xml:space="preserve">that </w:t>
      </w:r>
      <w:r>
        <w:t>the Australian Securities and Investments Commission (ASIC)</w:t>
      </w:r>
      <w:r w:rsidRPr="007B09AE">
        <w:t xml:space="preserve"> costs for specific </w:t>
      </w:r>
      <w:r w:rsidR="00265BB2">
        <w:t xml:space="preserve">regulatory </w:t>
      </w:r>
      <w:r w:rsidRPr="007B09AE">
        <w:t>activities requested by an entity should be recovered fro</w:t>
      </w:r>
      <w:r>
        <w:t>m that entity. This will commence from 1 July </w:t>
      </w:r>
      <w:r w:rsidRPr="007B09AE">
        <w:t>2018.</w:t>
      </w:r>
      <w:r w:rsidR="00265BB2">
        <w:t xml:space="preserve"> These fees are imposed under the </w:t>
      </w:r>
      <w:r w:rsidR="00265BB2" w:rsidRPr="00265BB2">
        <w:rPr>
          <w:i/>
        </w:rPr>
        <w:t>Corporations (Fees) Act 2001</w:t>
      </w:r>
      <w:r w:rsidR="00265BB2">
        <w:t xml:space="preserve"> and specified in the </w:t>
      </w:r>
      <w:r w:rsidR="00265BB2" w:rsidRPr="00265BB2">
        <w:rPr>
          <w:i/>
        </w:rPr>
        <w:t>Corporations (Fees) Regulations 2001</w:t>
      </w:r>
      <w:r w:rsidR="00265BB2">
        <w:t>.</w:t>
      </w:r>
    </w:p>
    <w:p w14:paraId="6A93101B" w14:textId="31C6EF07" w:rsidR="00DA2DF6" w:rsidRDefault="00DA2DF6" w:rsidP="00DA2DF6">
      <w:r>
        <w:t xml:space="preserve">Currently, the fees associated with these activities do not reflect the costs to ASIC of undertaking these activities. </w:t>
      </w:r>
      <w:r w:rsidR="00265BB2">
        <w:t>Traditionally, these activities have only attracted a nominal fee, which has not been subject to any review. The impact of th</w:t>
      </w:r>
      <w:r w:rsidR="00695C40">
        <w:t>is</w:t>
      </w:r>
      <w:r w:rsidR="00265BB2">
        <w:t xml:space="preserve"> is that the cost of these activities </w:t>
      </w:r>
      <w:r w:rsidR="00CD0EF0">
        <w:t>has</w:t>
      </w:r>
      <w:r w:rsidR="00265BB2">
        <w:t xml:space="preserve"> been subsidised by taxpayers. </w:t>
      </w:r>
      <w:r>
        <w:t>Under the ASIC</w:t>
      </w:r>
      <w:r w:rsidR="006D27CF">
        <w:t xml:space="preserve"> </w:t>
      </w:r>
      <w:r w:rsidR="00CD0EF0">
        <w:t>Industry Funding M</w:t>
      </w:r>
      <w:r w:rsidR="006D27CF">
        <w:t>odel, from 1 July </w:t>
      </w:r>
      <w:r>
        <w:t>2018 fees</w:t>
      </w:r>
      <w:r>
        <w:noBreakHyphen/>
        <w:t>for</w:t>
      </w:r>
      <w:r>
        <w:noBreakHyphen/>
        <w:t xml:space="preserve">service will be introduced to recover ASIC regulatory costs that are </w:t>
      </w:r>
      <w:r w:rsidR="00265BB2">
        <w:t xml:space="preserve">directly </w:t>
      </w:r>
      <w:r>
        <w:t>attributable to a si</w:t>
      </w:r>
      <w:r w:rsidR="00265BB2">
        <w:t>ngle, identifiable, entity. Cost recovery</w:t>
      </w:r>
      <w:r>
        <w:t xml:space="preserve"> will apply to the following regulatory activities</w:t>
      </w:r>
      <w:r w:rsidR="006D27CF">
        <w:t xml:space="preserve"> captured in Table 1</w:t>
      </w:r>
      <w:r w:rsidR="00B11272">
        <w:t>.</w:t>
      </w:r>
    </w:p>
    <w:p w14:paraId="26DDC83B" w14:textId="77777777" w:rsidR="00DA2DF6" w:rsidRPr="00413850" w:rsidRDefault="00DA2DF6" w:rsidP="00B11272">
      <w:pPr>
        <w:pStyle w:val="TableMainHeading"/>
      </w:pPr>
      <w:bookmarkStart w:id="22" w:name="_Toc497212013"/>
      <w:r>
        <w:t>Table </w:t>
      </w:r>
      <w:r w:rsidR="006D27CF">
        <w:t>1</w:t>
      </w:r>
      <w:r w:rsidRPr="00413850">
        <w:t xml:space="preserve">: Specific </w:t>
      </w:r>
      <w:r w:rsidRPr="00B11272">
        <w:t>fee</w:t>
      </w:r>
      <w:r w:rsidRPr="00413850">
        <w:noBreakHyphen/>
        <w:t>for</w:t>
      </w:r>
      <w:r w:rsidRPr="00413850">
        <w:noBreakHyphen/>
      </w:r>
      <w:r>
        <w:t>s</w:t>
      </w:r>
      <w:r w:rsidRPr="00413850">
        <w:t xml:space="preserve">ervice </w:t>
      </w:r>
      <w:r>
        <w:t>a</w:t>
      </w:r>
      <w:r w:rsidRPr="00413850">
        <w:t xml:space="preserve">ctivities and </w:t>
      </w:r>
      <w:r>
        <w:t>a</w:t>
      </w:r>
      <w:r w:rsidRPr="00413850">
        <w:t>ffected sectors</w:t>
      </w:r>
      <w:bookmarkEnd w:id="22"/>
    </w:p>
    <w:tbl>
      <w:tblPr>
        <w:tblW w:w="9298" w:type="dxa"/>
        <w:tblLook w:val="04A0" w:firstRow="1" w:lastRow="0" w:firstColumn="1" w:lastColumn="0" w:noHBand="0" w:noVBand="1"/>
      </w:tblPr>
      <w:tblGrid>
        <w:gridCol w:w="4649"/>
        <w:gridCol w:w="4649"/>
      </w:tblGrid>
      <w:tr w:rsidR="00DA2DF6" w:rsidRPr="00172580" w14:paraId="002B2A22" w14:textId="77777777" w:rsidTr="00172580">
        <w:trPr>
          <w:trHeight w:val="164"/>
        </w:trPr>
        <w:tc>
          <w:tcPr>
            <w:tcW w:w="4649" w:type="dxa"/>
            <w:tcBorders>
              <w:top w:val="single" w:sz="4" w:space="0" w:color="004A7F"/>
              <w:bottom w:val="single" w:sz="4" w:space="0" w:color="004A7F"/>
            </w:tcBorders>
            <w:shd w:val="clear" w:color="auto" w:fill="DEEAF6" w:themeFill="accent1" w:themeFillTint="33"/>
          </w:tcPr>
          <w:p w14:paraId="255752E8" w14:textId="77777777" w:rsidR="00DA2DF6" w:rsidRPr="00172580" w:rsidRDefault="00DA2DF6" w:rsidP="00172580">
            <w:pPr>
              <w:pStyle w:val="TableColumnHeadingLeft"/>
            </w:pPr>
            <w:r w:rsidRPr="00172580">
              <w:t>Activity</w:t>
            </w:r>
          </w:p>
        </w:tc>
        <w:tc>
          <w:tcPr>
            <w:tcW w:w="4649" w:type="dxa"/>
            <w:tcBorders>
              <w:top w:val="single" w:sz="4" w:space="0" w:color="004A7F"/>
              <w:bottom w:val="single" w:sz="4" w:space="0" w:color="004A7F"/>
            </w:tcBorders>
            <w:shd w:val="clear" w:color="auto" w:fill="DEEAF6" w:themeFill="accent1" w:themeFillTint="33"/>
          </w:tcPr>
          <w:p w14:paraId="22144F19" w14:textId="77777777" w:rsidR="00DA2DF6" w:rsidRPr="00172580" w:rsidRDefault="0043300E" w:rsidP="00172580">
            <w:pPr>
              <w:pStyle w:val="TableColumnHeadingLeft"/>
            </w:pPr>
            <w:r w:rsidRPr="00172580">
              <w:t>Affected subsectors</w:t>
            </w:r>
          </w:p>
        </w:tc>
      </w:tr>
      <w:tr w:rsidR="00DA2DF6" w14:paraId="1785022D" w14:textId="77777777" w:rsidTr="00172580">
        <w:tc>
          <w:tcPr>
            <w:tcW w:w="4649" w:type="dxa"/>
            <w:tcBorders>
              <w:top w:val="single" w:sz="4" w:space="0" w:color="004A7F"/>
            </w:tcBorders>
          </w:tcPr>
          <w:p w14:paraId="12FC08BC" w14:textId="77777777" w:rsidR="00DA2DF6" w:rsidRPr="00666F98" w:rsidRDefault="00DA2DF6" w:rsidP="00B11272">
            <w:pPr>
              <w:pStyle w:val="TableTextLeft"/>
            </w:pPr>
            <w:r w:rsidRPr="00666F98">
              <w:t>Document compliance reviews (such as prospectuses, compliance documents)</w:t>
            </w:r>
          </w:p>
        </w:tc>
        <w:tc>
          <w:tcPr>
            <w:tcW w:w="4649" w:type="dxa"/>
            <w:tcBorders>
              <w:top w:val="single" w:sz="4" w:space="0" w:color="004A7F"/>
            </w:tcBorders>
          </w:tcPr>
          <w:p w14:paraId="69E7D87B" w14:textId="77777777" w:rsidR="00DA2DF6" w:rsidRPr="00666F98" w:rsidRDefault="00DA2DF6" w:rsidP="00B11272">
            <w:pPr>
              <w:pStyle w:val="TableTextLeft"/>
            </w:pPr>
            <w:r w:rsidRPr="00666F98">
              <w:t>Companies (all sub</w:t>
            </w:r>
            <w:r w:rsidRPr="00666F98">
              <w:noBreakHyphen/>
              <w:t>sectors)</w:t>
            </w:r>
          </w:p>
          <w:p w14:paraId="7E68DA20" w14:textId="1A6E3917" w:rsidR="00DA2DF6" w:rsidRPr="00666F98" w:rsidRDefault="0043300E" w:rsidP="00172580">
            <w:pPr>
              <w:pStyle w:val="TableTextLeft"/>
            </w:pPr>
            <w:r>
              <w:t>Australian Financial Services (AFS)</w:t>
            </w:r>
            <w:r w:rsidR="00DA2DF6" w:rsidRPr="00666F98">
              <w:t xml:space="preserve"> </w:t>
            </w:r>
            <w:proofErr w:type="spellStart"/>
            <w:r w:rsidR="00DA2DF6" w:rsidRPr="00666F98">
              <w:t>L</w:t>
            </w:r>
            <w:r w:rsidR="00DA2DF6">
              <w:t>icence</w:t>
            </w:r>
            <w:r w:rsidR="00DA2DF6" w:rsidRPr="00666F98">
              <w:t>es</w:t>
            </w:r>
            <w:proofErr w:type="spellEnd"/>
            <w:r w:rsidR="00172580">
              <w:br/>
            </w:r>
            <w:r w:rsidR="00DA2DF6" w:rsidRPr="00666F98">
              <w:t>(all sub</w:t>
            </w:r>
            <w:r w:rsidR="00DA2DF6" w:rsidRPr="00666F98">
              <w:noBreakHyphen/>
              <w:t>sectors)</w:t>
            </w:r>
          </w:p>
        </w:tc>
      </w:tr>
      <w:tr w:rsidR="00DA2DF6" w14:paraId="15C98216" w14:textId="77777777" w:rsidTr="00172580">
        <w:tc>
          <w:tcPr>
            <w:tcW w:w="4649" w:type="dxa"/>
            <w:shd w:val="clear" w:color="auto" w:fill="F2F2F2" w:themeFill="background1" w:themeFillShade="F2"/>
          </w:tcPr>
          <w:p w14:paraId="64B13842" w14:textId="77777777" w:rsidR="00DA2DF6" w:rsidRPr="00666F98" w:rsidRDefault="00DA2DF6" w:rsidP="00B11272">
            <w:pPr>
              <w:pStyle w:val="TableTextLeft"/>
            </w:pPr>
            <w:r w:rsidRPr="00666F98">
              <w:t>Licence application</w:t>
            </w:r>
            <w:r w:rsidR="00265EDD">
              <w:t>s</w:t>
            </w:r>
            <w:r w:rsidRPr="00666F98">
              <w:t xml:space="preserve"> or variations</w:t>
            </w:r>
          </w:p>
        </w:tc>
        <w:tc>
          <w:tcPr>
            <w:tcW w:w="4649" w:type="dxa"/>
            <w:shd w:val="clear" w:color="auto" w:fill="F2F2F2" w:themeFill="background1" w:themeFillShade="F2"/>
          </w:tcPr>
          <w:p w14:paraId="7DC839DA" w14:textId="77777777" w:rsidR="00DA2DF6" w:rsidRPr="00666F98" w:rsidRDefault="00DA2DF6" w:rsidP="00B11272">
            <w:pPr>
              <w:pStyle w:val="TableTextLeft"/>
            </w:pPr>
            <w:r w:rsidRPr="00666F98">
              <w:t xml:space="preserve">Australian Credit </w:t>
            </w:r>
            <w:proofErr w:type="spellStart"/>
            <w:r w:rsidRPr="00666F98">
              <w:t>L</w:t>
            </w:r>
            <w:r>
              <w:t>icence</w:t>
            </w:r>
            <w:r w:rsidRPr="00666F98">
              <w:t>es</w:t>
            </w:r>
            <w:proofErr w:type="spellEnd"/>
            <w:r w:rsidRPr="00666F98">
              <w:t xml:space="preserve"> (all sub</w:t>
            </w:r>
            <w:r w:rsidRPr="00666F98">
              <w:noBreakHyphen/>
              <w:t>sectors)</w:t>
            </w:r>
          </w:p>
          <w:p w14:paraId="05606665" w14:textId="77777777" w:rsidR="00DA2DF6" w:rsidRPr="00666F98" w:rsidRDefault="00DA2DF6" w:rsidP="00B11272">
            <w:pPr>
              <w:pStyle w:val="TableTextLeft"/>
            </w:pPr>
            <w:r w:rsidRPr="00666F98">
              <w:t xml:space="preserve">AFS </w:t>
            </w:r>
            <w:proofErr w:type="spellStart"/>
            <w:r w:rsidRPr="00666F98">
              <w:t>L</w:t>
            </w:r>
            <w:r>
              <w:t>icence</w:t>
            </w:r>
            <w:r w:rsidRPr="00666F98">
              <w:t>es</w:t>
            </w:r>
            <w:proofErr w:type="spellEnd"/>
            <w:r w:rsidRPr="00666F98">
              <w:t xml:space="preserve"> (all sub</w:t>
            </w:r>
            <w:r w:rsidRPr="00666F98">
              <w:noBreakHyphen/>
              <w:t>sectors)</w:t>
            </w:r>
          </w:p>
          <w:p w14:paraId="5E44F074" w14:textId="77777777" w:rsidR="00DA2DF6" w:rsidRPr="00666F98" w:rsidRDefault="00DA2DF6" w:rsidP="00B11272">
            <w:pPr>
              <w:pStyle w:val="TableTextLeft"/>
            </w:pPr>
            <w:r w:rsidRPr="00666F98">
              <w:t>Market infrastructure providers (all sub</w:t>
            </w:r>
            <w:r w:rsidRPr="00666F98">
              <w:noBreakHyphen/>
              <w:t>sectors)</w:t>
            </w:r>
          </w:p>
        </w:tc>
      </w:tr>
      <w:tr w:rsidR="00DA2DF6" w14:paraId="1C6FA179" w14:textId="77777777" w:rsidTr="00172580">
        <w:tc>
          <w:tcPr>
            <w:tcW w:w="4649" w:type="dxa"/>
          </w:tcPr>
          <w:p w14:paraId="6E9047B4" w14:textId="77777777" w:rsidR="00DA2DF6" w:rsidRPr="00666F98" w:rsidRDefault="00DA2DF6" w:rsidP="00B11272">
            <w:pPr>
              <w:pStyle w:val="TableTextLeft"/>
            </w:pPr>
            <w:r w:rsidRPr="00666F98">
              <w:t>Applications for registration</w:t>
            </w:r>
          </w:p>
        </w:tc>
        <w:tc>
          <w:tcPr>
            <w:tcW w:w="4649" w:type="dxa"/>
          </w:tcPr>
          <w:p w14:paraId="301BA9B2" w14:textId="77777777" w:rsidR="00DA2DF6" w:rsidRPr="00666F98" w:rsidRDefault="00DA2DF6" w:rsidP="00B11272">
            <w:pPr>
              <w:pStyle w:val="TableTextLeft"/>
            </w:pPr>
            <w:r w:rsidRPr="00666F98">
              <w:t xml:space="preserve">AFS </w:t>
            </w:r>
            <w:proofErr w:type="spellStart"/>
            <w:r w:rsidRPr="00666F98">
              <w:t>L</w:t>
            </w:r>
            <w:r>
              <w:t>icence</w:t>
            </w:r>
            <w:r w:rsidRPr="00666F98">
              <w:t>es</w:t>
            </w:r>
            <w:proofErr w:type="spellEnd"/>
            <w:r w:rsidRPr="00666F98">
              <w:t xml:space="preserve"> – Managed investment schemes</w:t>
            </w:r>
          </w:p>
          <w:p w14:paraId="3049DB52" w14:textId="77777777" w:rsidR="00DA2DF6" w:rsidRPr="00666F98" w:rsidRDefault="00DA2DF6" w:rsidP="00B11272">
            <w:pPr>
              <w:pStyle w:val="TableTextLeft"/>
            </w:pPr>
            <w:r w:rsidRPr="00666F98">
              <w:t>Liquidators (all sub</w:t>
            </w:r>
            <w:r w:rsidRPr="00666F98">
              <w:noBreakHyphen/>
              <w:t>sectors)</w:t>
            </w:r>
          </w:p>
        </w:tc>
      </w:tr>
      <w:tr w:rsidR="00DA2DF6" w14:paraId="7B58C24F" w14:textId="77777777" w:rsidTr="00172580">
        <w:tc>
          <w:tcPr>
            <w:tcW w:w="4649" w:type="dxa"/>
            <w:shd w:val="clear" w:color="auto" w:fill="F2F2F2" w:themeFill="background1" w:themeFillShade="F2"/>
          </w:tcPr>
          <w:p w14:paraId="019259C8" w14:textId="77777777" w:rsidR="00DA2DF6" w:rsidRPr="00666F98" w:rsidRDefault="00DA2DF6" w:rsidP="00B11272">
            <w:pPr>
              <w:pStyle w:val="TableTextLeft"/>
            </w:pPr>
            <w:r w:rsidRPr="00666F98">
              <w:t>Requests for changes to market integrity rules or procedures</w:t>
            </w:r>
          </w:p>
        </w:tc>
        <w:tc>
          <w:tcPr>
            <w:tcW w:w="4649" w:type="dxa"/>
            <w:shd w:val="clear" w:color="auto" w:fill="F2F2F2" w:themeFill="background1" w:themeFillShade="F2"/>
          </w:tcPr>
          <w:p w14:paraId="668AF152" w14:textId="77777777" w:rsidR="00DA2DF6" w:rsidRPr="00666F98" w:rsidRDefault="00DA2DF6" w:rsidP="00B11272">
            <w:pPr>
              <w:pStyle w:val="TableTextLeft"/>
            </w:pPr>
            <w:r w:rsidRPr="00666F98">
              <w:t>Market infrastructure providers (all sub</w:t>
            </w:r>
            <w:r w:rsidRPr="00666F98">
              <w:noBreakHyphen/>
              <w:t>sectors)</w:t>
            </w:r>
          </w:p>
        </w:tc>
      </w:tr>
      <w:tr w:rsidR="00DA2DF6" w14:paraId="1C0B8FBE" w14:textId="77777777" w:rsidTr="00172580">
        <w:tc>
          <w:tcPr>
            <w:tcW w:w="4649" w:type="dxa"/>
            <w:tcBorders>
              <w:bottom w:val="single" w:sz="4" w:space="0" w:color="004A7F"/>
            </w:tcBorders>
          </w:tcPr>
          <w:p w14:paraId="17234F1B" w14:textId="3642EB08" w:rsidR="00DA2DF6" w:rsidRPr="00666F98" w:rsidRDefault="00DA2DF6" w:rsidP="00B11272">
            <w:pPr>
              <w:pStyle w:val="TableTextLeft"/>
            </w:pPr>
            <w:r w:rsidRPr="00666F98">
              <w:t>Applications for relief</w:t>
            </w:r>
          </w:p>
        </w:tc>
        <w:tc>
          <w:tcPr>
            <w:tcW w:w="4649" w:type="dxa"/>
            <w:tcBorders>
              <w:bottom w:val="single" w:sz="4" w:space="0" w:color="004A7F"/>
            </w:tcBorders>
          </w:tcPr>
          <w:p w14:paraId="409E82C5" w14:textId="77777777" w:rsidR="00DA2DF6" w:rsidRPr="00666F98" w:rsidRDefault="00DA2DF6" w:rsidP="00B11272">
            <w:pPr>
              <w:pStyle w:val="TableTextLeft"/>
            </w:pPr>
            <w:r w:rsidRPr="00666F98">
              <w:t>All sectors and sub</w:t>
            </w:r>
            <w:r w:rsidRPr="00666F98">
              <w:noBreakHyphen/>
              <w:t>sectors</w:t>
            </w:r>
          </w:p>
        </w:tc>
      </w:tr>
    </w:tbl>
    <w:p w14:paraId="02962D24" w14:textId="77777777" w:rsidR="00DA2DF6" w:rsidRPr="00172580" w:rsidRDefault="00DA2DF6" w:rsidP="00172580">
      <w:pPr>
        <w:rPr>
          <w:rFonts w:eastAsiaTheme="minorHAnsi"/>
        </w:rPr>
      </w:pPr>
    </w:p>
    <w:p w14:paraId="564E6BA2" w14:textId="77777777" w:rsidR="00265BB2" w:rsidRPr="007A3995" w:rsidRDefault="00DA2DF6" w:rsidP="00B11272">
      <w:pPr>
        <w:pStyle w:val="Bullet"/>
        <w:numPr>
          <w:ilvl w:val="0"/>
          <w:numId w:val="0"/>
        </w:numPr>
      </w:pPr>
      <w:r>
        <w:t>The Government prev</w:t>
      </w:r>
      <w:r w:rsidR="00265BB2">
        <w:t>iously consulted on this policy</w:t>
      </w:r>
      <w:r>
        <w:t xml:space="preserve"> in 2015. </w:t>
      </w:r>
      <w:r w:rsidR="00265BB2">
        <w:rPr>
          <w:rFonts w:eastAsiaTheme="minorHAnsi"/>
          <w:lang w:eastAsia="en-US"/>
        </w:rPr>
        <w:t>Stakeholder feedback in 2015 supported the principle that a fee should be paid for ASIC’s demand</w:t>
      </w:r>
      <w:r w:rsidR="00265BB2">
        <w:rPr>
          <w:rFonts w:eastAsiaTheme="minorHAnsi"/>
          <w:lang w:eastAsia="en-US"/>
        </w:rPr>
        <w:noBreakHyphen/>
        <w:t>driven services, such as processing a licence or registration application, provided that the fee directly represents the efficient costs of providing the regulatory activity or service. Stakeholders were concerned that there was little information to support the sizing of the fees.</w:t>
      </w:r>
      <w:r w:rsidR="00265BB2">
        <w:t xml:space="preserve"> </w:t>
      </w:r>
      <w:r w:rsidR="00265BB2">
        <w:rPr>
          <w:rFonts w:eastAsiaTheme="minorHAnsi"/>
          <w:lang w:eastAsia="en-US"/>
        </w:rPr>
        <w:t>Some stakeholders have expressed concern that the fees may also raise potential barriers to innovation. Most significantly, the $21,000 fee for novel relief applications</w:t>
      </w:r>
      <w:r w:rsidR="00265BB2" w:rsidRPr="001069D6">
        <w:rPr>
          <w:rFonts w:eastAsiaTheme="minorHAnsi"/>
          <w:lang w:eastAsia="en-US"/>
        </w:rPr>
        <w:t>, previously proposed, considerably increased the costs for first mo</w:t>
      </w:r>
      <w:r w:rsidR="00265BB2">
        <w:rPr>
          <w:rFonts w:eastAsiaTheme="minorHAnsi"/>
          <w:lang w:eastAsia="en-US"/>
        </w:rPr>
        <w:t xml:space="preserve">vers bringing new products to market that may require ASIC regulatory relief. </w:t>
      </w:r>
      <w:r w:rsidR="00265BB2" w:rsidRPr="000D255A">
        <w:t xml:space="preserve">There was broad support for </w:t>
      </w:r>
      <w:r w:rsidR="00265BB2" w:rsidRPr="003D1FC1">
        <w:rPr>
          <w:rFonts w:eastAsiaTheme="minorHAnsi"/>
          <w:lang w:eastAsia="en-US"/>
        </w:rPr>
        <w:t>reviewing</w:t>
      </w:r>
      <w:r w:rsidR="00265BB2" w:rsidRPr="000D255A">
        <w:t xml:space="preserve"> fees</w:t>
      </w:r>
      <w:r w:rsidR="00265BB2" w:rsidRPr="000D255A">
        <w:noBreakHyphen/>
        <w:t>for</w:t>
      </w:r>
      <w:r w:rsidR="00265BB2" w:rsidRPr="000D255A">
        <w:noBreakHyphen/>
        <w:t>service every three years.</w:t>
      </w:r>
    </w:p>
    <w:p w14:paraId="1984107B" w14:textId="06E68EFB" w:rsidR="00DA2DF6" w:rsidRDefault="00265BB2" w:rsidP="00265BB2">
      <w:r>
        <w:t>To address the feedback received, the implementation of the revised fees</w:t>
      </w:r>
      <w:r>
        <w:noBreakHyphen/>
        <w:t>for</w:t>
      </w:r>
      <w:r>
        <w:noBreakHyphen/>
        <w:t xml:space="preserve">service proposal was </w:t>
      </w:r>
      <w:r w:rsidDel="003B78E3">
        <w:t xml:space="preserve">delayed </w:t>
      </w:r>
      <w:r>
        <w:t xml:space="preserve">to allow time to refine the model by gathering further </w:t>
      </w:r>
      <w:r w:rsidRPr="003D1FC1">
        <w:rPr>
          <w:rFonts w:eastAsiaTheme="minorHAnsi"/>
          <w:lang w:eastAsia="en-US"/>
        </w:rPr>
        <w:t>data</w:t>
      </w:r>
      <w:r>
        <w:t xml:space="preserve"> to support the pricing fees, in particular through time recording. Existing fees in the </w:t>
      </w:r>
      <w:r>
        <w:rPr>
          <w:i/>
        </w:rPr>
        <w:t>Corporation (Fees) Act 2001</w:t>
      </w:r>
      <w:r>
        <w:t xml:space="preserve"> and regulations would continue to apply from </w:t>
      </w:r>
      <w:r w:rsidR="00CD0EF0">
        <w:t xml:space="preserve">the </w:t>
      </w:r>
      <w:r w:rsidRPr="003D1FC1">
        <w:rPr>
          <w:rFonts w:eastAsiaTheme="minorHAnsi"/>
          <w:lang w:eastAsia="en-US"/>
        </w:rPr>
        <w:t>commencement</w:t>
      </w:r>
      <w:r>
        <w:t xml:space="preserve"> of the industry funding model on 1 July 2017 until the new fees</w:t>
      </w:r>
      <w:r>
        <w:noBreakHyphen/>
        <w:t>for</w:t>
      </w:r>
      <w:r>
        <w:noBreakHyphen/>
        <w:t>service schedule for industry funding is introduced.</w:t>
      </w:r>
    </w:p>
    <w:p w14:paraId="7A78F501" w14:textId="77777777" w:rsidR="00DA2DF6" w:rsidRDefault="00265BB2" w:rsidP="00DA2DF6">
      <w:r>
        <w:t>S</w:t>
      </w:r>
      <w:r w:rsidR="00DA2DF6">
        <w:t>takeholder feedback is being sought on three areas associated with the implementati</w:t>
      </w:r>
      <w:r w:rsidR="00BF4BDD">
        <w:t xml:space="preserve">on and operation of the model: </w:t>
      </w:r>
      <w:r w:rsidR="00DA2DF6">
        <w:t>1) proposed fee</w:t>
      </w:r>
      <w:r w:rsidR="00DA2DF6">
        <w:noBreakHyphen/>
        <w:t>fo</w:t>
      </w:r>
      <w:r w:rsidR="00BF4BDD">
        <w:t>r</w:t>
      </w:r>
      <w:r w:rsidR="00BF4BDD">
        <w:noBreakHyphen/>
        <w:t xml:space="preserve">service model; </w:t>
      </w:r>
      <w:r w:rsidR="00DA2DF6">
        <w:t xml:space="preserve">2) ASIC stakeholder </w:t>
      </w:r>
      <w:r w:rsidR="00BF4BDD">
        <w:t xml:space="preserve">engagement and accountability; </w:t>
      </w:r>
      <w:r w:rsidR="00DA2DF6">
        <w:t>and 3) competition and innovation aspects.</w:t>
      </w:r>
    </w:p>
    <w:p w14:paraId="0D5C1BA8" w14:textId="713AFD5B" w:rsidR="00265BB2" w:rsidRPr="00B11272" w:rsidRDefault="00265BB2" w:rsidP="00EA14E2">
      <w:pPr>
        <w:pStyle w:val="Heading2"/>
      </w:pPr>
      <w:bookmarkStart w:id="23" w:name="_Toc496873270"/>
      <w:bookmarkStart w:id="24" w:name="_Toc497212014"/>
      <w:bookmarkStart w:id="25" w:name="_Toc497403321"/>
      <w:bookmarkStart w:id="26" w:name="_Toc498596543"/>
      <w:r w:rsidRPr="00B11272">
        <w:t xml:space="preserve">ASIC </w:t>
      </w:r>
      <w:r w:rsidR="00CD0EF0" w:rsidRPr="00B11272">
        <w:t>fees outside</w:t>
      </w:r>
      <w:r w:rsidRPr="00B11272">
        <w:t xml:space="preserve"> of </w:t>
      </w:r>
      <w:r w:rsidR="00CD0EF0" w:rsidRPr="00B11272">
        <w:t>s</w:t>
      </w:r>
      <w:r w:rsidRPr="00B11272">
        <w:t>cope of Industry Funding Model</w:t>
      </w:r>
      <w:bookmarkEnd w:id="23"/>
      <w:bookmarkEnd w:id="24"/>
      <w:bookmarkEnd w:id="25"/>
      <w:bookmarkEnd w:id="26"/>
    </w:p>
    <w:p w14:paraId="219DABEA" w14:textId="443C50F8" w:rsidR="00265BB2" w:rsidRPr="00EA14E2" w:rsidRDefault="00F53177" w:rsidP="00EA14E2">
      <w:r w:rsidRPr="00EA14E2">
        <w:t>T</w:t>
      </w:r>
      <w:r w:rsidR="00265BB2" w:rsidRPr="00EA14E2">
        <w:t xml:space="preserve">he fees attached to ASIC forms relating to </w:t>
      </w:r>
      <w:r w:rsidR="00F3567F" w:rsidRPr="00EA14E2">
        <w:t xml:space="preserve">updating an ASIC registry database </w:t>
      </w:r>
      <w:r w:rsidR="00D777CD" w:rsidRPr="00EA14E2">
        <w:t xml:space="preserve">(compared with regulatory fees where the benefit of the activity primarily accrues to the individual entity) </w:t>
      </w:r>
      <w:r w:rsidR="00265BB2" w:rsidRPr="00EA14E2">
        <w:t>are not in scope for industry funding and will not be cost recovered under the Government Charging Framework. The fees for lodging these forms will continue to be set separately.</w:t>
      </w:r>
    </w:p>
    <w:p w14:paraId="7A89591F" w14:textId="77777777" w:rsidR="00EA14E2" w:rsidRPr="00EA14E2" w:rsidRDefault="00EA14E2" w:rsidP="00EA14E2">
      <w:bookmarkStart w:id="27" w:name="_Toc306887372"/>
      <w:bookmarkStart w:id="28" w:name="_Toc432064636"/>
      <w:bookmarkStart w:id="29" w:name="_Toc489541614"/>
      <w:bookmarkStart w:id="30" w:name="_Toc492908194"/>
      <w:bookmarkStart w:id="31" w:name="_Toc496021443"/>
      <w:bookmarkStart w:id="32" w:name="_Toc497212015"/>
      <w:bookmarkStart w:id="33" w:name="_Toc497403322"/>
    </w:p>
    <w:p w14:paraId="022CED48" w14:textId="77777777" w:rsidR="00EA14E2" w:rsidRPr="00EA14E2" w:rsidRDefault="00EA14E2" w:rsidP="00EA14E2"/>
    <w:p w14:paraId="2172226D" w14:textId="77777777" w:rsidR="00EA14E2" w:rsidRPr="00EA14E2" w:rsidRDefault="00EA14E2" w:rsidP="00EA14E2">
      <w:pPr>
        <w:sectPr w:rsidR="00EA14E2" w:rsidRPr="00EA14E2" w:rsidSect="00D33904">
          <w:type w:val="oddPage"/>
          <w:pgSz w:w="11906" w:h="16838" w:code="9"/>
          <w:pgMar w:top="1418" w:right="1418" w:bottom="1418" w:left="1418" w:header="709" w:footer="709" w:gutter="0"/>
          <w:cols w:space="708"/>
          <w:titlePg/>
          <w:docGrid w:linePitch="360"/>
        </w:sectPr>
      </w:pPr>
    </w:p>
    <w:p w14:paraId="74007931" w14:textId="10978FBE" w:rsidR="00DA2DF6" w:rsidRPr="00B11272" w:rsidRDefault="00DA2DF6" w:rsidP="00EA14E2">
      <w:pPr>
        <w:pStyle w:val="Heading1"/>
      </w:pPr>
      <w:bookmarkStart w:id="34" w:name="_Toc498596544"/>
      <w:r w:rsidRPr="00B11272">
        <w:t>Purpose</w:t>
      </w:r>
      <w:bookmarkEnd w:id="27"/>
      <w:bookmarkEnd w:id="28"/>
      <w:bookmarkEnd w:id="29"/>
      <w:bookmarkEnd w:id="30"/>
      <w:bookmarkEnd w:id="31"/>
      <w:bookmarkEnd w:id="32"/>
      <w:bookmarkEnd w:id="33"/>
      <w:bookmarkEnd w:id="34"/>
    </w:p>
    <w:p w14:paraId="51362F68" w14:textId="77777777" w:rsidR="00265BB2" w:rsidRDefault="00265BB2" w:rsidP="00265BB2">
      <w:bookmarkStart w:id="35" w:name="_Toc489541615"/>
      <w:bookmarkStart w:id="36" w:name="_Toc492908195"/>
      <w:bookmarkStart w:id="37" w:name="_Toc496021444"/>
      <w:r>
        <w:t>The recovery of ASIC’s regulatory costs that are attributable to a single, identifiable, entity is to be consistent with the Australian Government Charging Framework and model design objectives outlined below.</w:t>
      </w:r>
    </w:p>
    <w:p w14:paraId="26C5841F" w14:textId="77777777" w:rsidR="00DA2DF6" w:rsidRPr="00B11272" w:rsidRDefault="00DA2DF6" w:rsidP="00EA14E2">
      <w:pPr>
        <w:pStyle w:val="Heading2"/>
      </w:pPr>
      <w:bookmarkStart w:id="38" w:name="_Toc497212016"/>
      <w:bookmarkStart w:id="39" w:name="_Toc497403323"/>
      <w:bookmarkStart w:id="40" w:name="_Toc498596545"/>
      <w:r w:rsidRPr="00B11272">
        <w:t>The Australian Government Charging Framework</w:t>
      </w:r>
      <w:bookmarkEnd w:id="35"/>
      <w:bookmarkEnd w:id="36"/>
      <w:bookmarkEnd w:id="37"/>
      <w:bookmarkEnd w:id="38"/>
      <w:bookmarkEnd w:id="39"/>
      <w:bookmarkEnd w:id="40"/>
    </w:p>
    <w:p w14:paraId="026A5CDA" w14:textId="77777777" w:rsidR="00265BB2" w:rsidRDefault="00265BB2" w:rsidP="00B11272">
      <w:pPr>
        <w:pStyle w:val="Bullet"/>
        <w:numPr>
          <w:ilvl w:val="0"/>
          <w:numId w:val="0"/>
        </w:numPr>
        <w:rPr>
          <w:lang w:val="en"/>
        </w:rPr>
      </w:pPr>
      <w:bookmarkStart w:id="41" w:name="_Toc489541616"/>
      <w:bookmarkStart w:id="42" w:name="_Toc492908196"/>
      <w:bookmarkStart w:id="43" w:name="_Toc496021445"/>
      <w:r>
        <w:t>In July 2015, the Australian Government agreed to implement a whole-of-government Charging Framework (Charging Framework) to apply across the general government sector. T</w:t>
      </w:r>
      <w:r>
        <w:rPr>
          <w:lang w:val="en"/>
        </w:rPr>
        <w:t>he Charging Framework covers activities where the government charges the non-government sector for a specific government activity such as regulation, goods, services, or access to resources or infrastructure.</w:t>
      </w:r>
    </w:p>
    <w:p w14:paraId="4578C487" w14:textId="77777777" w:rsidR="00265BB2" w:rsidRDefault="00265BB2" w:rsidP="00B11272">
      <w:pPr>
        <w:pStyle w:val="Bullet"/>
        <w:numPr>
          <w:ilvl w:val="0"/>
          <w:numId w:val="0"/>
        </w:numPr>
        <w:rPr>
          <w:lang w:val="en"/>
        </w:rPr>
      </w:pPr>
      <w:r>
        <w:rPr>
          <w:lang w:val="en"/>
        </w:rPr>
        <w:t xml:space="preserve">The Charging Framework builds on the Australian </w:t>
      </w:r>
      <w:r w:rsidRPr="003D1FC1">
        <w:t>Government</w:t>
      </w:r>
      <w:r>
        <w:rPr>
          <w:lang w:val="en"/>
        </w:rPr>
        <w:t xml:space="preserve"> Cost Recovery Guidelines (CRGs).</w:t>
      </w:r>
      <w:r>
        <w:rPr>
          <w:rStyle w:val="FootnoteReference"/>
        </w:rPr>
        <w:footnoteReference w:id="2"/>
      </w:r>
      <w:r>
        <w:rPr>
          <w:lang w:val="en"/>
        </w:rPr>
        <w:t xml:space="preserve"> It encourages a common approach to planning, designing, implementing and reviewing government charging activities, which should lead to improvements in government charging.</w:t>
      </w:r>
    </w:p>
    <w:p w14:paraId="20A458A2" w14:textId="77777777" w:rsidR="00265BB2" w:rsidRDefault="00265BB2" w:rsidP="00265BB2">
      <w:pPr>
        <w:rPr>
          <w:rFonts w:asciiTheme="minorHAnsi" w:eastAsiaTheme="minorHAnsi" w:hAnsiTheme="minorHAnsi" w:cstheme="minorBidi"/>
          <w:szCs w:val="22"/>
          <w:lang w:val="en" w:eastAsia="en-US"/>
        </w:rPr>
      </w:pPr>
      <w:r>
        <w:rPr>
          <w:rFonts w:asciiTheme="minorHAnsi" w:eastAsiaTheme="minorHAnsi" w:hAnsiTheme="minorHAnsi" w:cstheme="minorBidi"/>
          <w:szCs w:val="22"/>
          <w:lang w:val="en" w:eastAsia="en-US"/>
        </w:rPr>
        <w:t>Charging for government activities can:</w:t>
      </w:r>
    </w:p>
    <w:p w14:paraId="5BE8F94B" w14:textId="77777777" w:rsidR="00265BB2" w:rsidRPr="00B11272" w:rsidRDefault="00265BB2" w:rsidP="00B11272">
      <w:pPr>
        <w:pStyle w:val="Bullet"/>
      </w:pPr>
      <w:r w:rsidRPr="00B11272">
        <w:t>promote equity, whereby the recipients who create the need for a government activity, rather than the general public, bear its costs;</w:t>
      </w:r>
    </w:p>
    <w:p w14:paraId="13B0A62A" w14:textId="77777777" w:rsidR="00265BB2" w:rsidRPr="00B11272" w:rsidRDefault="00265BB2" w:rsidP="00B11272">
      <w:pPr>
        <w:pStyle w:val="Bullet"/>
      </w:pPr>
      <w:r w:rsidRPr="00B11272">
        <w:t>influence demand for government activities;</w:t>
      </w:r>
    </w:p>
    <w:p w14:paraId="7AE34CA8" w14:textId="77777777" w:rsidR="00265BB2" w:rsidRPr="00B11272" w:rsidRDefault="00265BB2" w:rsidP="00B11272">
      <w:pPr>
        <w:pStyle w:val="Bullet"/>
      </w:pPr>
      <w:r w:rsidRPr="00B11272">
        <w:t>improve the efficiency, productivity and responsiveness of government activities and accountability for those activities; and</w:t>
      </w:r>
    </w:p>
    <w:p w14:paraId="7D00BA18" w14:textId="77777777" w:rsidR="00265BB2" w:rsidRPr="00B11272" w:rsidRDefault="00265BB2" w:rsidP="00B11272">
      <w:pPr>
        <w:pStyle w:val="Bullet"/>
      </w:pPr>
      <w:r w:rsidRPr="00B11272">
        <w:t>increase cost consciousness for all stakeholders by raising awareness of how much a government activity costs.</w:t>
      </w:r>
    </w:p>
    <w:p w14:paraId="1FF02EAB" w14:textId="77777777" w:rsidR="00265BB2" w:rsidRDefault="00265BB2" w:rsidP="00B11272">
      <w:pPr>
        <w:pStyle w:val="Bullet"/>
        <w:numPr>
          <w:ilvl w:val="0"/>
          <w:numId w:val="0"/>
        </w:numPr>
      </w:pPr>
      <w:r>
        <w:t xml:space="preserve">The Charging Framework includes a Charging Policy Statement that underpins all Australian Government charging and provides that </w:t>
      </w:r>
      <w:r w:rsidRPr="000A7DD2">
        <w:rPr>
          <w:i/>
        </w:rPr>
        <w:t>‘</w:t>
      </w:r>
      <w:r w:rsidRPr="00E47AF9">
        <w:rPr>
          <w:i/>
        </w:rPr>
        <w:t>where</w:t>
      </w:r>
      <w:r>
        <w:rPr>
          <w:i/>
        </w:rPr>
        <w:t xml:space="preserve"> specific demand for a government activity is created by identifiable individuals or groups they should be charged for it unless the Government has decided to fund that activity’</w:t>
      </w:r>
      <w:r>
        <w:t>.</w:t>
      </w:r>
      <w:r>
        <w:rPr>
          <w:rStyle w:val="FootnoteReference"/>
        </w:rPr>
        <w:footnoteReference w:id="3"/>
      </w:r>
    </w:p>
    <w:p w14:paraId="64EE0A93" w14:textId="77777777" w:rsidR="00265BB2" w:rsidRDefault="00265BB2" w:rsidP="00B11272">
      <w:pPr>
        <w:pStyle w:val="Bullet"/>
        <w:numPr>
          <w:ilvl w:val="0"/>
          <w:numId w:val="0"/>
        </w:numPr>
      </w:pPr>
      <w:r>
        <w:t>The Charging Framework requires that for regulatory charging activities the CRGs apply. The CRGs set out the requirements of how government entities design, implement and review regulatory activities.</w:t>
      </w:r>
    </w:p>
    <w:p w14:paraId="0C4B9188" w14:textId="77777777" w:rsidR="00A4214E" w:rsidRDefault="00A4214E">
      <w:pPr>
        <w:spacing w:after="160" w:line="259" w:lineRule="auto"/>
        <w:jc w:val="left"/>
      </w:pPr>
      <w:r>
        <w:br w:type="page"/>
      </w:r>
    </w:p>
    <w:p w14:paraId="1B18863E" w14:textId="4505D866" w:rsidR="00265BB2" w:rsidRDefault="00265BB2" w:rsidP="00265BB2">
      <w:r>
        <w:t>The CRGs are underpinned by the following six principles:</w:t>
      </w:r>
    </w:p>
    <w:p w14:paraId="16E2AE06" w14:textId="609BDD95" w:rsidR="00265BB2" w:rsidRDefault="00B51FD2" w:rsidP="00461E2E">
      <w:pPr>
        <w:pStyle w:val="OutlineNumbered1"/>
        <w:numPr>
          <w:ilvl w:val="0"/>
          <w:numId w:val="30"/>
        </w:numPr>
      </w:pPr>
      <w:r w:rsidRPr="00461E2E">
        <w:rPr>
          <w:b/>
          <w:i/>
          <w:color w:val="004A7F"/>
        </w:rPr>
        <w:t>T</w:t>
      </w:r>
      <w:r w:rsidR="00265BB2" w:rsidRPr="00461E2E">
        <w:rPr>
          <w:b/>
          <w:i/>
          <w:color w:val="004A7F"/>
        </w:rPr>
        <w:t>ransparency</w:t>
      </w:r>
      <w:r w:rsidR="00265BB2" w:rsidRPr="00461E2E">
        <w:rPr>
          <w:color w:val="004A7F"/>
        </w:rPr>
        <w:t xml:space="preserve"> </w:t>
      </w:r>
      <w:r w:rsidR="00265BB2">
        <w:t>–</w:t>
      </w:r>
      <w:r w:rsidR="00E741EA">
        <w:t xml:space="preserve"> </w:t>
      </w:r>
      <w:r w:rsidR="00265BB2">
        <w:t>making available key information about the activity, such as the authority to charge, charging rates, and, where relevant, the basis of the charges</w:t>
      </w:r>
      <w:r>
        <w:t>.</w:t>
      </w:r>
    </w:p>
    <w:p w14:paraId="113AEA2F" w14:textId="4FE35E0C" w:rsidR="00265BB2" w:rsidRDefault="00B51FD2" w:rsidP="00461E2E">
      <w:pPr>
        <w:pStyle w:val="OutlineNumbered1"/>
      </w:pPr>
      <w:r w:rsidRPr="00B11272">
        <w:rPr>
          <w:b/>
          <w:i/>
          <w:color w:val="004A7F"/>
        </w:rPr>
        <w:t>E</w:t>
      </w:r>
      <w:r w:rsidR="00265BB2" w:rsidRPr="00B11272">
        <w:rPr>
          <w:b/>
          <w:i/>
          <w:color w:val="004A7F"/>
        </w:rPr>
        <w:t>fficiency</w:t>
      </w:r>
      <w:r w:rsidR="00265BB2" w:rsidRPr="00B11272">
        <w:rPr>
          <w:color w:val="004A7F"/>
        </w:rPr>
        <w:t xml:space="preserve"> </w:t>
      </w:r>
      <w:r w:rsidR="00265BB2">
        <w:t>–</w:t>
      </w:r>
      <w:r w:rsidR="00E741EA">
        <w:t xml:space="preserve"> </w:t>
      </w:r>
      <w:r w:rsidR="00265BB2">
        <w:t>delivering activities at least cost, while achieving the policy objectives and meeting the legislative requiremen</w:t>
      </w:r>
      <w:r>
        <w:t>ts of the Australian Government.</w:t>
      </w:r>
    </w:p>
    <w:p w14:paraId="1C36C3ED" w14:textId="3E51016B" w:rsidR="00265BB2" w:rsidRDefault="00B51FD2" w:rsidP="00461E2E">
      <w:pPr>
        <w:pStyle w:val="OutlineNumbered1"/>
      </w:pPr>
      <w:r w:rsidRPr="00B11272">
        <w:rPr>
          <w:b/>
          <w:i/>
          <w:color w:val="004A7F"/>
        </w:rPr>
        <w:t>P</w:t>
      </w:r>
      <w:r w:rsidR="00265BB2" w:rsidRPr="00B11272">
        <w:rPr>
          <w:b/>
          <w:i/>
          <w:color w:val="004A7F"/>
        </w:rPr>
        <w:t>erformance</w:t>
      </w:r>
      <w:r w:rsidR="00265BB2" w:rsidRPr="00B11272">
        <w:rPr>
          <w:color w:val="004A7F"/>
        </w:rPr>
        <w:t xml:space="preserve"> </w:t>
      </w:r>
      <w:r w:rsidR="00265BB2">
        <w:t>– which relates to effectiveness, risk mitigation, sust</w:t>
      </w:r>
      <w:r w:rsidR="00A84FDE">
        <w:t xml:space="preserve">ainability and responsiveness. </w:t>
      </w:r>
      <w:r w:rsidR="00265BB2">
        <w:t>Engagement with stakeholders is a key element of managing and achieving performance. Entities must regularly review and evaluate charges in consultation with stakeholders to assess their impact and whether they are contributing to government outcomes</w:t>
      </w:r>
      <w:r>
        <w:t>.</w:t>
      </w:r>
    </w:p>
    <w:p w14:paraId="7C070D12" w14:textId="229B4CAA" w:rsidR="00265BB2" w:rsidRDefault="00B51FD2" w:rsidP="00461E2E">
      <w:pPr>
        <w:pStyle w:val="OutlineNumbered1"/>
      </w:pPr>
      <w:r w:rsidRPr="00B11272">
        <w:rPr>
          <w:b/>
          <w:i/>
          <w:color w:val="004A7F"/>
        </w:rPr>
        <w:t>E</w:t>
      </w:r>
      <w:r w:rsidR="00265BB2" w:rsidRPr="00B11272">
        <w:rPr>
          <w:b/>
          <w:i/>
          <w:color w:val="004A7F"/>
        </w:rPr>
        <w:t>quity</w:t>
      </w:r>
      <w:r w:rsidR="00265BB2" w:rsidRPr="00B11272">
        <w:rPr>
          <w:color w:val="004A7F"/>
        </w:rPr>
        <w:t xml:space="preserve"> </w:t>
      </w:r>
      <w:r w:rsidR="00265BB2">
        <w:t xml:space="preserve">– where specific demand for a government activity is created by identifiable individuals or groups they should be charged for it, unless the Government has </w:t>
      </w:r>
      <w:r w:rsidR="00AF73FD">
        <w:t xml:space="preserve">decided to fund that activity. </w:t>
      </w:r>
      <w:r w:rsidR="00265BB2">
        <w:t>Equity is also achieved through the Government’s social safety net, to ensure that vulnerable citizens are not further disadvantaged through the imposition of a charge</w:t>
      </w:r>
      <w:r>
        <w:t>.</w:t>
      </w:r>
    </w:p>
    <w:p w14:paraId="358D71A9" w14:textId="6A42E014" w:rsidR="00265BB2" w:rsidRDefault="00B51FD2" w:rsidP="00461E2E">
      <w:pPr>
        <w:pStyle w:val="OutlineNumbered1"/>
      </w:pPr>
      <w:r w:rsidRPr="00B11272">
        <w:rPr>
          <w:b/>
          <w:i/>
          <w:color w:val="004A7F"/>
        </w:rPr>
        <w:t>S</w:t>
      </w:r>
      <w:r w:rsidR="00265BB2" w:rsidRPr="00B11272">
        <w:rPr>
          <w:b/>
          <w:i/>
          <w:color w:val="004A7F"/>
        </w:rPr>
        <w:t>implicity</w:t>
      </w:r>
      <w:r w:rsidR="00265BB2" w:rsidRPr="00B11272">
        <w:rPr>
          <w:color w:val="004A7F"/>
        </w:rPr>
        <w:t xml:space="preserve"> </w:t>
      </w:r>
      <w:r w:rsidR="00265BB2">
        <w:t>– whereby charges should be straightforward, practical, easy to understand and collect</w:t>
      </w:r>
      <w:r>
        <w:t>.</w:t>
      </w:r>
    </w:p>
    <w:p w14:paraId="0E4E3FA2" w14:textId="20E3CAC8" w:rsidR="00265BB2" w:rsidRDefault="00B51FD2" w:rsidP="00461E2E">
      <w:pPr>
        <w:pStyle w:val="OutlineNumbered1"/>
      </w:pPr>
      <w:r w:rsidRPr="00B11272">
        <w:rPr>
          <w:b/>
          <w:i/>
          <w:color w:val="004A7F"/>
        </w:rPr>
        <w:t>P</w:t>
      </w:r>
      <w:r w:rsidR="00265BB2" w:rsidRPr="00B11272">
        <w:rPr>
          <w:b/>
          <w:i/>
          <w:color w:val="004A7F"/>
        </w:rPr>
        <w:t>olicy consistency</w:t>
      </w:r>
      <w:r w:rsidR="00265BB2" w:rsidRPr="00B11272">
        <w:rPr>
          <w:color w:val="004A7F"/>
        </w:rPr>
        <w:t xml:space="preserve"> </w:t>
      </w:r>
      <w:r w:rsidR="00265BB2">
        <w:t>– charges must be consistent with Australian Government priorities and policies, including entity purpose and outcomes. Australian Government agreement may be required for the introduction of new charges and/or changes to charges.</w:t>
      </w:r>
    </w:p>
    <w:p w14:paraId="6AEBD828" w14:textId="77777777" w:rsidR="00265BB2" w:rsidRDefault="00265BB2" w:rsidP="00B11272">
      <w:pPr>
        <w:pStyle w:val="Bullet"/>
        <w:numPr>
          <w:ilvl w:val="0"/>
          <w:numId w:val="0"/>
        </w:numPr>
      </w:pPr>
      <w:r>
        <w:t>The industry funding model for ASIC has been designed to comply with these principles. To further build on these principles and to ensure consistency across ASIC’s regulated population, a number of objectives have been developed for the industry funding model as discussed in ‘Model Design Objectives</w:t>
      </w:r>
      <w:r w:rsidRPr="000B0931">
        <w:t>’</w:t>
      </w:r>
      <w:r>
        <w:t xml:space="preserve"> section</w:t>
      </w:r>
      <w:r w:rsidRPr="000B0931">
        <w:t>.</w:t>
      </w:r>
    </w:p>
    <w:p w14:paraId="74D05A1C" w14:textId="1CAD9E4A" w:rsidR="00265BB2" w:rsidRDefault="00265BB2" w:rsidP="00B11272">
      <w:pPr>
        <w:pStyle w:val="Bullet"/>
        <w:numPr>
          <w:ilvl w:val="0"/>
          <w:numId w:val="0"/>
        </w:numPr>
      </w:pPr>
      <w:r>
        <w:t>The Charging Framework requires that there is an alignment between the expenses of the regulatory activity (the costs involved in prov</w:t>
      </w:r>
      <w:r w:rsidR="00E741EA">
        <w:t xml:space="preserve">iding it) and the revenue (the </w:t>
      </w:r>
      <w:r>
        <w:t xml:space="preserve">revenue generated through the </w:t>
      </w:r>
      <w:r w:rsidR="00CD0EF0">
        <w:t>fees</w:t>
      </w:r>
      <w:r w:rsidR="00CD0EF0">
        <w:noBreakHyphen/>
      </w:r>
      <w:r>
        <w:t>for</w:t>
      </w:r>
      <w:r w:rsidR="00CD0EF0">
        <w:noBreakHyphen/>
      </w:r>
      <w:r>
        <w:t>services charged). Regulatory charges are required to be:</w:t>
      </w:r>
    </w:p>
    <w:p w14:paraId="781DCD71" w14:textId="44CE0C51" w:rsidR="00265BB2" w:rsidRPr="00B11272" w:rsidRDefault="00B53A2D" w:rsidP="00B11272">
      <w:pPr>
        <w:pStyle w:val="Bullet"/>
      </w:pPr>
      <w:r>
        <w:t>clear and easy to understand;</w:t>
      </w:r>
    </w:p>
    <w:p w14:paraId="2A5F7032" w14:textId="77777777" w:rsidR="00265BB2" w:rsidRPr="00B11272" w:rsidRDefault="00265BB2" w:rsidP="00B11272">
      <w:pPr>
        <w:pStyle w:val="Bullet"/>
      </w:pPr>
      <w:r w:rsidRPr="00B11272">
        <w:t>closely linked to the specific activity;</w:t>
      </w:r>
    </w:p>
    <w:p w14:paraId="2A6009A7" w14:textId="0E9A4D09" w:rsidR="00265BB2" w:rsidRPr="00B11272" w:rsidRDefault="00265BB2" w:rsidP="00B11272">
      <w:pPr>
        <w:pStyle w:val="Bullet"/>
      </w:pPr>
      <w:r w:rsidRPr="00B11272">
        <w:t>set to recover the full efficient costs of the specific activity</w:t>
      </w:r>
      <w:r w:rsidR="00B11272">
        <w:t>;</w:t>
      </w:r>
      <w:r w:rsidRPr="00B11272">
        <w:rPr>
          <w:rStyle w:val="FootnoteReference"/>
        </w:rPr>
        <w:footnoteReference w:id="4"/>
      </w:r>
    </w:p>
    <w:p w14:paraId="78EFAC40" w14:textId="77777777" w:rsidR="00265BB2" w:rsidRPr="00B11272" w:rsidRDefault="00265BB2" w:rsidP="00B11272">
      <w:pPr>
        <w:pStyle w:val="Bullet"/>
      </w:pPr>
      <w:r w:rsidRPr="00B11272">
        <w:t>efficient to determine, collect and enforce; and</w:t>
      </w:r>
    </w:p>
    <w:p w14:paraId="1DB01015" w14:textId="77777777" w:rsidR="00265BB2" w:rsidRPr="00B11272" w:rsidRDefault="00265BB2" w:rsidP="00B11272">
      <w:pPr>
        <w:pStyle w:val="Bullet"/>
      </w:pPr>
      <w:r w:rsidRPr="00B11272">
        <w:t>set to avoid volatility, while still being flexible enough to allow for changes based on fluctuations in demand or costs.</w:t>
      </w:r>
    </w:p>
    <w:p w14:paraId="30FC04EA" w14:textId="77777777" w:rsidR="00265BB2" w:rsidRDefault="00265BB2" w:rsidP="00B11272">
      <w:pPr>
        <w:pStyle w:val="Bullet"/>
        <w:numPr>
          <w:ilvl w:val="0"/>
          <w:numId w:val="0"/>
        </w:numPr>
      </w:pPr>
      <w:r>
        <w:t>Ideally, the expenses and revenue should be aligned on a yearly basis. However, where justified, they can be aligned over a longer period (for example, the business cycle of the activity). There must not be systematic over- or under</w:t>
      </w:r>
      <w:r>
        <w:noBreakHyphen/>
        <w:t>recovery of costs over time.</w:t>
      </w:r>
    </w:p>
    <w:p w14:paraId="08A1999E" w14:textId="4F554D03" w:rsidR="00265BB2" w:rsidRDefault="00265BB2" w:rsidP="005541E6">
      <w:pPr>
        <w:pStyle w:val="Bullet"/>
        <w:numPr>
          <w:ilvl w:val="0"/>
          <w:numId w:val="0"/>
        </w:numPr>
        <w:spacing w:after="220"/>
      </w:pPr>
      <w:r>
        <w:t>The characteristics of a government activity determine the type of charge to be used. There are two types of regulatory charges:</w:t>
      </w:r>
    </w:p>
    <w:p w14:paraId="3A8EF786" w14:textId="77777777" w:rsidR="00265BB2" w:rsidRPr="00B11272" w:rsidRDefault="00265BB2" w:rsidP="005541E6">
      <w:pPr>
        <w:pStyle w:val="Bullet"/>
        <w:spacing w:after="220"/>
        <w:rPr>
          <w:rStyle w:val="BulletChar"/>
        </w:rPr>
      </w:pPr>
      <w:r w:rsidRPr="00B11272">
        <w:rPr>
          <w:rStyle w:val="BulletChar"/>
          <w:b/>
          <w:i/>
          <w:color w:val="004A7F"/>
        </w:rPr>
        <w:t>regulatory levies</w:t>
      </w:r>
      <w:r w:rsidRPr="00B11272">
        <w:rPr>
          <w:rStyle w:val="BulletChar"/>
          <w:color w:val="004A7F"/>
        </w:rPr>
        <w:t xml:space="preserve"> </w:t>
      </w:r>
      <w:r w:rsidRPr="00B11272">
        <w:rPr>
          <w:rStyle w:val="BulletChar"/>
        </w:rPr>
        <w:t>- charges imposed when a good, service or regulation is provided to a group of individuals or organisations (for example, an industry sector or subsector) rather than to a specific individual or organisation.</w:t>
      </w:r>
    </w:p>
    <w:p w14:paraId="19BAA134" w14:textId="77777777" w:rsidR="00265BB2" w:rsidRPr="00B11272" w:rsidRDefault="00265BB2" w:rsidP="005541E6">
      <w:pPr>
        <w:pStyle w:val="Bullet"/>
        <w:spacing w:after="220"/>
        <w:rPr>
          <w:rStyle w:val="BulletChar"/>
        </w:rPr>
      </w:pPr>
      <w:r w:rsidRPr="00B11272">
        <w:rPr>
          <w:rStyle w:val="BulletChar"/>
          <w:b/>
          <w:i/>
          <w:color w:val="004A7F"/>
        </w:rPr>
        <w:t>regulatory fees</w:t>
      </w:r>
      <w:r w:rsidRPr="00B11272">
        <w:rPr>
          <w:rStyle w:val="BulletChar"/>
          <w:color w:val="004A7F"/>
        </w:rPr>
        <w:t xml:space="preserve"> </w:t>
      </w:r>
      <w:r w:rsidRPr="00B11272">
        <w:rPr>
          <w:rStyle w:val="BulletChar"/>
        </w:rPr>
        <w:t>- fees charged when</w:t>
      </w:r>
      <w:r w:rsidR="000F54D3" w:rsidRPr="00B11272">
        <w:rPr>
          <w:rStyle w:val="BulletChar"/>
        </w:rPr>
        <w:t xml:space="preserve"> a good, service or regulation </w:t>
      </w:r>
      <w:r w:rsidRPr="00B11272">
        <w:rPr>
          <w:rStyle w:val="BulletChar"/>
        </w:rPr>
        <w:t>is provided directly to a specific individual or organisation. Examples of activities that are charged through a regulatory fee include licences, registrations and approvals.</w:t>
      </w:r>
    </w:p>
    <w:p w14:paraId="27C71358" w14:textId="77777777" w:rsidR="00265BB2" w:rsidRDefault="00265BB2" w:rsidP="005541E6">
      <w:pPr>
        <w:pStyle w:val="Bullet"/>
        <w:numPr>
          <w:ilvl w:val="0"/>
          <w:numId w:val="0"/>
        </w:numPr>
        <w:spacing w:after="220"/>
      </w:pPr>
      <w:r>
        <w:t>This consultation paper focusses on the regulatory fees aspect.</w:t>
      </w:r>
    </w:p>
    <w:p w14:paraId="1B3DED70" w14:textId="77777777" w:rsidR="009B0833" w:rsidRDefault="004C158B" w:rsidP="00EA14E2">
      <w:pPr>
        <w:pStyle w:val="Heading2"/>
      </w:pPr>
      <w:bookmarkStart w:id="44" w:name="_Toc497212017"/>
      <w:bookmarkStart w:id="45" w:name="_Toc497403324"/>
      <w:bookmarkStart w:id="46" w:name="_Toc498596546"/>
      <w:r>
        <w:t>Legislation</w:t>
      </w:r>
      <w:bookmarkEnd w:id="44"/>
      <w:bookmarkEnd w:id="45"/>
      <w:bookmarkEnd w:id="46"/>
    </w:p>
    <w:p w14:paraId="31CAACB1" w14:textId="3FBB8A21" w:rsidR="004C158B" w:rsidRDefault="000F54D3" w:rsidP="00A4214E">
      <w:pPr>
        <w:pStyle w:val="Bullet"/>
        <w:numPr>
          <w:ilvl w:val="0"/>
          <w:numId w:val="0"/>
        </w:numPr>
        <w:spacing w:after="220"/>
      </w:pPr>
      <w:r>
        <w:t xml:space="preserve">Currently the legislation that gives effect to the regulatory fees is captured under the </w:t>
      </w:r>
      <w:r w:rsidRPr="0014381A">
        <w:rPr>
          <w:i/>
        </w:rPr>
        <w:t>Corporations (Fees)</w:t>
      </w:r>
      <w:r w:rsidR="0014381A" w:rsidRPr="0014381A">
        <w:rPr>
          <w:i/>
        </w:rPr>
        <w:t xml:space="preserve"> Act 2001</w:t>
      </w:r>
      <w:r w:rsidR="0014381A">
        <w:t xml:space="preserve"> through the </w:t>
      </w:r>
      <w:r w:rsidR="0014381A" w:rsidRPr="0014381A">
        <w:rPr>
          <w:i/>
        </w:rPr>
        <w:t>Corporations (Fees) Regulations 2001</w:t>
      </w:r>
      <w:r w:rsidR="0014381A">
        <w:t xml:space="preserve">. </w:t>
      </w:r>
      <w:r w:rsidR="004C158B">
        <w:t xml:space="preserve">These </w:t>
      </w:r>
      <w:r w:rsidR="00CD0EF0">
        <w:t>r</w:t>
      </w:r>
      <w:r w:rsidR="004C158B">
        <w:t xml:space="preserve">egulations specify both the regulatory and the registry fees. This provides a single source on ASIC fees. Following the passage of these reforms, some of the fees in the </w:t>
      </w:r>
      <w:r w:rsidR="00CD0EF0">
        <w:t>r</w:t>
      </w:r>
      <w:r w:rsidR="004C158B">
        <w:t>egulations will be determined on a cost recovery basis (the</w:t>
      </w:r>
      <w:r w:rsidR="00224E71">
        <w:t> </w:t>
      </w:r>
      <w:r w:rsidR="004C158B">
        <w:t xml:space="preserve">regulatory fees) whereas other fees will not be on a cost </w:t>
      </w:r>
      <w:r w:rsidR="00B53A2D">
        <w:t>recovery basis (registry fees).</w:t>
      </w:r>
    </w:p>
    <w:p w14:paraId="474FD552" w14:textId="3F119097" w:rsidR="00DA2DF6" w:rsidRPr="00F00D04" w:rsidRDefault="00DA2DF6" w:rsidP="00EA14E2">
      <w:pPr>
        <w:pStyle w:val="Heading2"/>
      </w:pPr>
      <w:bookmarkStart w:id="47" w:name="_Toc497212018"/>
      <w:bookmarkStart w:id="48" w:name="_Toc497403325"/>
      <w:bookmarkStart w:id="49" w:name="_Toc498596547"/>
      <w:bookmarkEnd w:id="41"/>
      <w:bookmarkEnd w:id="42"/>
      <w:bookmarkEnd w:id="43"/>
      <w:r w:rsidRPr="00F00D04">
        <w:t xml:space="preserve">Model </w:t>
      </w:r>
      <w:r w:rsidR="00CD0EF0">
        <w:t>d</w:t>
      </w:r>
      <w:r w:rsidRPr="00F13A87">
        <w:t>esign</w:t>
      </w:r>
      <w:r w:rsidR="00CD0EF0">
        <w:t xml:space="preserve"> o</w:t>
      </w:r>
      <w:r w:rsidRPr="00F00D04">
        <w:t>bjectives</w:t>
      </w:r>
      <w:bookmarkEnd w:id="47"/>
      <w:bookmarkEnd w:id="48"/>
      <w:bookmarkEnd w:id="49"/>
    </w:p>
    <w:p w14:paraId="5CB78E84" w14:textId="77777777" w:rsidR="00265BB2" w:rsidRDefault="00AF73FD" w:rsidP="00A4214E">
      <w:pPr>
        <w:pStyle w:val="Bullet"/>
        <w:numPr>
          <w:ilvl w:val="0"/>
          <w:numId w:val="0"/>
        </w:numPr>
        <w:spacing w:after="220"/>
      </w:pPr>
      <w:r>
        <w:t>The design objectives in Table </w:t>
      </w:r>
      <w:r w:rsidR="00265BB2">
        <w:t>2 for the industry funding model have been developed following feedback received from stakeholders in developing the levy model. They have been used to apply a consistent approach to setting fees across ASIC’s regulated population. These are in addition to, and consistent with, the Australian Government Charging Framework principles described previously.</w:t>
      </w:r>
    </w:p>
    <w:p w14:paraId="08E35518" w14:textId="77777777" w:rsidR="00DA2DF6" w:rsidRPr="000B0931" w:rsidRDefault="006D27CF" w:rsidP="00B11272">
      <w:pPr>
        <w:pStyle w:val="TableMainHeading"/>
      </w:pPr>
      <w:bookmarkStart w:id="50" w:name="_Toc497212019"/>
      <w:bookmarkStart w:id="51" w:name="_Toc497403326"/>
      <w:r>
        <w:t>Table 2</w:t>
      </w:r>
      <w:r w:rsidR="00DA2DF6" w:rsidRPr="000B0931">
        <w:t>: Model design objectives</w:t>
      </w:r>
      <w:bookmarkEnd w:id="50"/>
      <w:bookmarkEnd w:id="51"/>
    </w:p>
    <w:tbl>
      <w:tblPr>
        <w:tblW w:w="9241" w:type="dxa"/>
        <w:tblLook w:val="04A0" w:firstRow="1" w:lastRow="0" w:firstColumn="1" w:lastColumn="0" w:noHBand="0" w:noVBand="1"/>
      </w:tblPr>
      <w:tblGrid>
        <w:gridCol w:w="1587"/>
        <w:gridCol w:w="7654"/>
      </w:tblGrid>
      <w:tr w:rsidR="00DA2DF6" w:rsidRPr="00172580" w14:paraId="101369DA" w14:textId="77777777" w:rsidTr="00A4214E">
        <w:trPr>
          <w:trHeight w:val="151"/>
        </w:trPr>
        <w:tc>
          <w:tcPr>
            <w:tcW w:w="1587" w:type="dxa"/>
            <w:tcBorders>
              <w:top w:val="single" w:sz="4" w:space="0" w:color="004A7F"/>
              <w:bottom w:val="single" w:sz="4" w:space="0" w:color="004A7F"/>
            </w:tcBorders>
            <w:shd w:val="clear" w:color="auto" w:fill="DEEAF6" w:themeFill="accent1" w:themeFillTint="33"/>
            <w:hideMark/>
          </w:tcPr>
          <w:p w14:paraId="144425DB" w14:textId="77777777" w:rsidR="00DA2DF6" w:rsidRPr="00172580" w:rsidRDefault="00DA2DF6" w:rsidP="00172580">
            <w:pPr>
              <w:pStyle w:val="TableColumnHeadingLeft"/>
              <w:rPr>
                <w:rFonts w:eastAsiaTheme="minorHAnsi"/>
              </w:rPr>
            </w:pPr>
            <w:r w:rsidRPr="00172580">
              <w:t>Objectives</w:t>
            </w:r>
          </w:p>
        </w:tc>
        <w:tc>
          <w:tcPr>
            <w:tcW w:w="7654" w:type="dxa"/>
            <w:tcBorders>
              <w:top w:val="single" w:sz="4" w:space="0" w:color="004A7F"/>
              <w:bottom w:val="single" w:sz="4" w:space="0" w:color="004A7F"/>
            </w:tcBorders>
            <w:shd w:val="clear" w:color="auto" w:fill="DEEAF6" w:themeFill="accent1" w:themeFillTint="33"/>
            <w:hideMark/>
          </w:tcPr>
          <w:p w14:paraId="156CF583" w14:textId="77777777" w:rsidR="00DA2DF6" w:rsidRPr="00172580" w:rsidRDefault="00DA2DF6" w:rsidP="00172580">
            <w:pPr>
              <w:pStyle w:val="TableColumnHeadingLeft"/>
              <w:rPr>
                <w:rFonts w:eastAsiaTheme="minorHAnsi"/>
              </w:rPr>
            </w:pPr>
            <w:r w:rsidRPr="00172580">
              <w:t>Description</w:t>
            </w:r>
          </w:p>
        </w:tc>
      </w:tr>
      <w:tr w:rsidR="00DA2DF6" w:rsidRPr="000B0931" w14:paraId="6480E776" w14:textId="77777777" w:rsidTr="00A4214E">
        <w:trPr>
          <w:trHeight w:val="354"/>
        </w:trPr>
        <w:tc>
          <w:tcPr>
            <w:tcW w:w="1587" w:type="dxa"/>
            <w:tcBorders>
              <w:top w:val="single" w:sz="4" w:space="0" w:color="004A7F"/>
            </w:tcBorders>
            <w:hideMark/>
          </w:tcPr>
          <w:p w14:paraId="53D079B4" w14:textId="77777777" w:rsidR="00DA2DF6" w:rsidRPr="00172580" w:rsidRDefault="00DA2DF6" w:rsidP="00172580">
            <w:pPr>
              <w:pStyle w:val="TableRowHeadingLeft"/>
            </w:pPr>
            <w:r w:rsidRPr="00172580">
              <w:t>Simple</w:t>
            </w:r>
          </w:p>
        </w:tc>
        <w:tc>
          <w:tcPr>
            <w:tcW w:w="7654" w:type="dxa"/>
            <w:tcBorders>
              <w:top w:val="single" w:sz="4" w:space="0" w:color="004A7F"/>
            </w:tcBorders>
            <w:hideMark/>
          </w:tcPr>
          <w:p w14:paraId="7FD9E05A" w14:textId="77777777" w:rsidR="00DA2DF6" w:rsidRPr="00172580" w:rsidRDefault="00DA2DF6" w:rsidP="00172580">
            <w:pPr>
              <w:pStyle w:val="TableTextLeft"/>
              <w:rPr>
                <w:rFonts w:eastAsiaTheme="minorHAnsi"/>
              </w:rPr>
            </w:pPr>
            <w:r w:rsidRPr="00172580">
              <w:t>The model should be simple and enable any entity to calculate its applicable fee.</w:t>
            </w:r>
          </w:p>
        </w:tc>
      </w:tr>
      <w:tr w:rsidR="00DA2DF6" w:rsidRPr="000B0931" w14:paraId="23DF68AF" w14:textId="77777777" w:rsidTr="00A4214E">
        <w:trPr>
          <w:trHeight w:val="304"/>
        </w:trPr>
        <w:tc>
          <w:tcPr>
            <w:tcW w:w="1587" w:type="dxa"/>
            <w:shd w:val="clear" w:color="auto" w:fill="F2F2F2" w:themeFill="background1" w:themeFillShade="F2"/>
            <w:hideMark/>
          </w:tcPr>
          <w:p w14:paraId="403C82FE" w14:textId="77777777" w:rsidR="00DA2DF6" w:rsidRPr="00172580" w:rsidRDefault="00DA2DF6" w:rsidP="00172580">
            <w:pPr>
              <w:pStyle w:val="TableRowHeadingLeft"/>
            </w:pPr>
            <w:r w:rsidRPr="00172580">
              <w:t>Certain</w:t>
            </w:r>
          </w:p>
        </w:tc>
        <w:tc>
          <w:tcPr>
            <w:tcW w:w="7654" w:type="dxa"/>
            <w:shd w:val="clear" w:color="auto" w:fill="F2F2F2" w:themeFill="background1" w:themeFillShade="F2"/>
            <w:hideMark/>
          </w:tcPr>
          <w:p w14:paraId="6C7A1E0A" w14:textId="77777777" w:rsidR="00DA2DF6" w:rsidRPr="00172580" w:rsidRDefault="00DA2DF6" w:rsidP="00172580">
            <w:pPr>
              <w:pStyle w:val="TableTextLeft"/>
              <w:rPr>
                <w:rFonts w:eastAsiaTheme="minorHAnsi"/>
              </w:rPr>
            </w:pPr>
            <w:r w:rsidRPr="00172580">
              <w:t>Fees should, wherever possible, provide enough certainty for entities to allow them to incorporate the fees into commercial decisions.</w:t>
            </w:r>
          </w:p>
        </w:tc>
      </w:tr>
      <w:tr w:rsidR="00DA2DF6" w:rsidRPr="000B0931" w14:paraId="7415BA5F" w14:textId="77777777" w:rsidTr="00A4214E">
        <w:trPr>
          <w:trHeight w:val="39"/>
        </w:trPr>
        <w:tc>
          <w:tcPr>
            <w:tcW w:w="1587" w:type="dxa"/>
            <w:hideMark/>
          </w:tcPr>
          <w:p w14:paraId="4CBFCF93" w14:textId="77777777" w:rsidR="00DA2DF6" w:rsidRPr="00172580" w:rsidRDefault="00DA2DF6" w:rsidP="00172580">
            <w:pPr>
              <w:pStyle w:val="TableRowHeadingLeft"/>
            </w:pPr>
            <w:r w:rsidRPr="00172580">
              <w:t>Transparency</w:t>
            </w:r>
          </w:p>
        </w:tc>
        <w:tc>
          <w:tcPr>
            <w:tcW w:w="7654" w:type="dxa"/>
            <w:hideMark/>
          </w:tcPr>
          <w:p w14:paraId="758B179C" w14:textId="77777777" w:rsidR="00DA2DF6" w:rsidRPr="00172580" w:rsidRDefault="00DA2DF6" w:rsidP="00172580">
            <w:pPr>
              <w:pStyle w:val="TableTextLeft"/>
            </w:pPr>
            <w:r w:rsidRPr="00172580">
              <w:t>The determination process of fees is to provide certainty for entities and ensure the delivery of services is at most efficient cost.</w:t>
            </w:r>
          </w:p>
        </w:tc>
      </w:tr>
      <w:tr w:rsidR="00DA2DF6" w:rsidRPr="000B0931" w14:paraId="1B53ECAF" w14:textId="77777777" w:rsidTr="00A4214E">
        <w:trPr>
          <w:trHeight w:val="500"/>
        </w:trPr>
        <w:tc>
          <w:tcPr>
            <w:tcW w:w="1587" w:type="dxa"/>
            <w:shd w:val="clear" w:color="auto" w:fill="F2F2F2" w:themeFill="background1" w:themeFillShade="F2"/>
            <w:hideMark/>
          </w:tcPr>
          <w:p w14:paraId="009BD4B6" w14:textId="77777777" w:rsidR="00DA2DF6" w:rsidRPr="00172580" w:rsidRDefault="00DA2DF6" w:rsidP="00172580">
            <w:pPr>
              <w:pStyle w:val="TableRowHeadingLeft"/>
            </w:pPr>
            <w:r w:rsidRPr="00172580">
              <w:t>Competition and innovation</w:t>
            </w:r>
          </w:p>
        </w:tc>
        <w:tc>
          <w:tcPr>
            <w:tcW w:w="7654" w:type="dxa"/>
            <w:shd w:val="clear" w:color="auto" w:fill="F2F2F2" w:themeFill="background1" w:themeFillShade="F2"/>
            <w:hideMark/>
          </w:tcPr>
          <w:p w14:paraId="753C09E1" w14:textId="77777777" w:rsidR="00DA2DF6" w:rsidRPr="00172580" w:rsidRDefault="00DA2DF6" w:rsidP="00172580">
            <w:pPr>
              <w:pStyle w:val="TableTextLeft"/>
              <w:rPr>
                <w:rFonts w:eastAsiaTheme="minorHAnsi"/>
              </w:rPr>
            </w:pPr>
            <w:r w:rsidRPr="00172580">
              <w:t>The model supports financial system innovation, while balancing financial stability objectives.</w:t>
            </w:r>
          </w:p>
        </w:tc>
      </w:tr>
      <w:tr w:rsidR="00DA2DF6" w:rsidRPr="000B0931" w14:paraId="4DBC2B9E" w14:textId="77777777" w:rsidTr="00A4214E">
        <w:trPr>
          <w:trHeight w:val="456"/>
        </w:trPr>
        <w:tc>
          <w:tcPr>
            <w:tcW w:w="1587" w:type="dxa"/>
            <w:tcBorders>
              <w:bottom w:val="single" w:sz="4" w:space="0" w:color="004A7F"/>
            </w:tcBorders>
            <w:hideMark/>
          </w:tcPr>
          <w:p w14:paraId="7DABC2D2" w14:textId="77777777" w:rsidR="00DA2DF6" w:rsidRPr="00172580" w:rsidRDefault="00DA2DF6" w:rsidP="00172580">
            <w:pPr>
              <w:pStyle w:val="TableRowHeadingLeft"/>
            </w:pPr>
            <w:r w:rsidRPr="00172580">
              <w:t>Efficient processing</w:t>
            </w:r>
          </w:p>
        </w:tc>
        <w:tc>
          <w:tcPr>
            <w:tcW w:w="7654" w:type="dxa"/>
            <w:tcBorders>
              <w:bottom w:val="single" w:sz="4" w:space="0" w:color="004A7F"/>
            </w:tcBorders>
            <w:hideMark/>
          </w:tcPr>
          <w:p w14:paraId="415DFCE8" w14:textId="77777777" w:rsidR="00DA2DF6" w:rsidRPr="00172580" w:rsidRDefault="00DA2DF6" w:rsidP="00172580">
            <w:pPr>
              <w:pStyle w:val="TableTextLeft"/>
              <w:rPr>
                <w:rFonts w:eastAsiaTheme="minorHAnsi"/>
              </w:rPr>
            </w:pPr>
            <w:r w:rsidRPr="00172580">
              <w:t>Billing and business activity collection should be done through a web portal that users find simple, clear and fast to use, and that is seamlessly connected to ASIC databases.</w:t>
            </w:r>
          </w:p>
        </w:tc>
      </w:tr>
    </w:tbl>
    <w:p w14:paraId="46E23659" w14:textId="77777777" w:rsidR="00DA2DF6" w:rsidRDefault="00DA2DF6" w:rsidP="005541E6">
      <w:pPr>
        <w:spacing w:after="120"/>
      </w:pP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A4214E" w14:paraId="6F2600B9" w14:textId="77777777" w:rsidTr="00A4214E">
        <w:tc>
          <w:tcPr>
            <w:tcW w:w="9286" w:type="dxa"/>
            <w:shd w:val="clear" w:color="auto" w:fill="DEEAF6" w:themeFill="accent1" w:themeFillTint="33"/>
          </w:tcPr>
          <w:p w14:paraId="15153697" w14:textId="77777777" w:rsidR="00A4214E" w:rsidRPr="00A4214E" w:rsidRDefault="00A4214E" w:rsidP="00A4214E">
            <w:pPr>
              <w:pStyle w:val="BoxHeading"/>
            </w:pPr>
            <w:r w:rsidRPr="00A4214E">
              <w:t>Questions</w:t>
            </w:r>
          </w:p>
          <w:p w14:paraId="0F7E6A91" w14:textId="77777777" w:rsidR="00A4214E" w:rsidRDefault="00A4214E" w:rsidP="00461E2E">
            <w:pPr>
              <w:pStyle w:val="BoxQuestions"/>
            </w:pPr>
            <w:r>
              <w:t xml:space="preserve">Do you have any comments on whether the </w:t>
            </w:r>
            <w:r w:rsidRPr="0014381A">
              <w:rPr>
                <w:i/>
              </w:rPr>
              <w:t>Corporations (Fees) Regulations 2001</w:t>
            </w:r>
            <w:r>
              <w:rPr>
                <w:i/>
              </w:rPr>
              <w:t xml:space="preserve"> </w:t>
            </w:r>
            <w:r w:rsidRPr="004C158B">
              <w:t>should con</w:t>
            </w:r>
            <w:r>
              <w:t>tinue to specify all ASIC fees regardless of whether they are determined on a cost-recovery basis or whether the cost-recovery fees should be specified in a separate instrument so they can be more clearly differentiated from non-cost recovery fees?</w:t>
            </w:r>
          </w:p>
          <w:p w14:paraId="00058759" w14:textId="7FCAE2F6" w:rsidR="00A4214E" w:rsidRDefault="00A4214E" w:rsidP="00461E2E">
            <w:pPr>
              <w:pStyle w:val="BoxQuestions"/>
            </w:pPr>
            <w:r>
              <w:t>Do you have any feedback regarding the model objectives?</w:t>
            </w:r>
          </w:p>
        </w:tc>
      </w:tr>
    </w:tbl>
    <w:p w14:paraId="09279FAF" w14:textId="77777777" w:rsidR="00EA14E2" w:rsidRPr="00EA14E2" w:rsidRDefault="00EA14E2" w:rsidP="00A4214E">
      <w:pPr>
        <w:pStyle w:val="Zero"/>
      </w:pPr>
      <w:bookmarkStart w:id="52" w:name="_Toc306887373"/>
      <w:bookmarkStart w:id="53" w:name="_Toc432064637"/>
      <w:bookmarkStart w:id="54" w:name="_Toc489541617"/>
      <w:bookmarkStart w:id="55" w:name="_Toc492908197"/>
      <w:bookmarkStart w:id="56" w:name="_Toc496021447"/>
      <w:bookmarkStart w:id="57" w:name="_Toc497212020"/>
      <w:bookmarkStart w:id="58" w:name="_Toc497403327"/>
    </w:p>
    <w:p w14:paraId="5025B2F9" w14:textId="77777777" w:rsidR="00EA14E2" w:rsidRPr="00EA14E2" w:rsidRDefault="00EA14E2" w:rsidP="00A4214E">
      <w:pPr>
        <w:pStyle w:val="Zero"/>
        <w:sectPr w:rsidR="00EA14E2" w:rsidRPr="00EA14E2" w:rsidSect="00D33904">
          <w:type w:val="oddPage"/>
          <w:pgSz w:w="11906" w:h="16838" w:code="9"/>
          <w:pgMar w:top="1418" w:right="1418" w:bottom="1418" w:left="1418" w:header="709" w:footer="709" w:gutter="0"/>
          <w:cols w:space="708"/>
          <w:titlePg/>
          <w:docGrid w:linePitch="360"/>
        </w:sectPr>
      </w:pPr>
    </w:p>
    <w:p w14:paraId="61F45DE0" w14:textId="4A5C9CC5" w:rsidR="00DA2DF6" w:rsidRPr="002A1A28" w:rsidRDefault="00DA2DF6" w:rsidP="00EA14E2">
      <w:pPr>
        <w:pStyle w:val="Heading1"/>
      </w:pPr>
      <w:bookmarkStart w:id="59" w:name="_Toc498596548"/>
      <w:r w:rsidRPr="002A1A28">
        <w:t>Issues for discussion</w:t>
      </w:r>
      <w:bookmarkEnd w:id="52"/>
      <w:bookmarkEnd w:id="53"/>
      <w:bookmarkEnd w:id="54"/>
      <w:bookmarkEnd w:id="55"/>
      <w:bookmarkEnd w:id="56"/>
      <w:bookmarkEnd w:id="57"/>
      <w:bookmarkEnd w:id="58"/>
      <w:bookmarkEnd w:id="59"/>
    </w:p>
    <w:p w14:paraId="76C24751" w14:textId="3EF317D7" w:rsidR="00CE5896" w:rsidRPr="002A1A28" w:rsidRDefault="00CE5896" w:rsidP="002A1A28">
      <w:bookmarkStart w:id="60" w:name="_Toc489541618"/>
      <w:bookmarkStart w:id="61" w:name="_Toc492908198"/>
      <w:bookmarkStart w:id="62" w:name="_Toc496021448"/>
      <w:r w:rsidRPr="002A1A28">
        <w:t>Stakeholder feedback is being sought on three areas associated with the implementat</w:t>
      </w:r>
      <w:r w:rsidR="00A4214E">
        <w:t>ion and operation of the model:</w:t>
      </w:r>
    </w:p>
    <w:p w14:paraId="1636F2AD" w14:textId="0765AC88" w:rsidR="00CE5896" w:rsidRDefault="00CE5896" w:rsidP="00461E2E">
      <w:pPr>
        <w:pStyle w:val="OutlineNumbered1"/>
        <w:numPr>
          <w:ilvl w:val="0"/>
          <w:numId w:val="31"/>
        </w:numPr>
      </w:pPr>
      <w:r>
        <w:t>proposed fee</w:t>
      </w:r>
      <w:r w:rsidR="00CD0EF0">
        <w:t>s</w:t>
      </w:r>
      <w:r w:rsidR="00B53A2D">
        <w:noBreakHyphen/>
        <w:t>for</w:t>
      </w:r>
      <w:r w:rsidR="00B53A2D">
        <w:noBreakHyphen/>
        <w:t>service model;</w:t>
      </w:r>
    </w:p>
    <w:p w14:paraId="5508A140" w14:textId="77777777" w:rsidR="00CE5896" w:rsidRDefault="00CE5896" w:rsidP="00461E2E">
      <w:pPr>
        <w:pStyle w:val="OutlineNumbered1"/>
      </w:pPr>
      <w:r>
        <w:t>methods of ASIC stakeholder engagement and accountability; and</w:t>
      </w:r>
    </w:p>
    <w:p w14:paraId="471EFC40" w14:textId="77777777" w:rsidR="00CE5896" w:rsidRDefault="00CE5896" w:rsidP="00461E2E">
      <w:pPr>
        <w:pStyle w:val="OutlineNumbered1"/>
      </w:pPr>
      <w:r>
        <w:t>competition and innovation aspects.</w:t>
      </w:r>
    </w:p>
    <w:p w14:paraId="0AC00197" w14:textId="62988EB5" w:rsidR="00DA2DF6" w:rsidRPr="00F00D04" w:rsidRDefault="00DA2DF6" w:rsidP="00EA14E2">
      <w:pPr>
        <w:pStyle w:val="Heading2"/>
      </w:pPr>
      <w:bookmarkStart w:id="63" w:name="_Toc497212021"/>
      <w:bookmarkStart w:id="64" w:name="_Toc497403328"/>
      <w:bookmarkStart w:id="65" w:name="_Toc498596549"/>
      <w:r>
        <w:t>Proposed fee</w:t>
      </w:r>
      <w:r w:rsidR="00CD0EF0">
        <w:t>s</w:t>
      </w:r>
      <w:r>
        <w:noBreakHyphen/>
        <w:t>for</w:t>
      </w:r>
      <w:r>
        <w:noBreakHyphen/>
        <w:t>service model</w:t>
      </w:r>
      <w:bookmarkEnd w:id="60"/>
      <w:bookmarkEnd w:id="61"/>
      <w:bookmarkEnd w:id="62"/>
      <w:bookmarkEnd w:id="63"/>
      <w:bookmarkEnd w:id="64"/>
      <w:bookmarkEnd w:id="65"/>
    </w:p>
    <w:p w14:paraId="0309A546" w14:textId="6739297D" w:rsidR="00CE5896" w:rsidRDefault="00CE5896" w:rsidP="00B11272">
      <w:pPr>
        <w:pStyle w:val="Bullet"/>
        <w:numPr>
          <w:ilvl w:val="0"/>
          <w:numId w:val="0"/>
        </w:numPr>
      </w:pPr>
      <w:r w:rsidRPr="00255D54">
        <w:t>Under an industry funding model for ASIC's regulatory activities, the Gov</w:t>
      </w:r>
      <w:r w:rsidR="00B53A2D">
        <w:t>ernment would charge a fee for:</w:t>
      </w:r>
    </w:p>
    <w:p w14:paraId="24161060" w14:textId="242B9B69" w:rsidR="00707F39" w:rsidRPr="002A1A28" w:rsidRDefault="00CD0EF0" w:rsidP="002A1A28">
      <w:pPr>
        <w:pStyle w:val="Bullet"/>
      </w:pPr>
      <w:r w:rsidRPr="002A1A28">
        <w:t>l</w:t>
      </w:r>
      <w:r w:rsidR="00CE5896" w:rsidRPr="002A1A28">
        <w:t xml:space="preserve">icensing </w:t>
      </w:r>
      <w:r w:rsidR="00707F39" w:rsidRPr="002A1A28">
        <w:t>application or variations services;</w:t>
      </w:r>
    </w:p>
    <w:p w14:paraId="7D7EF137" w14:textId="7E351F80" w:rsidR="00CE5896" w:rsidRPr="002A1A28" w:rsidRDefault="00CD0EF0" w:rsidP="002A1A28">
      <w:pPr>
        <w:pStyle w:val="Bullet"/>
      </w:pPr>
      <w:r w:rsidRPr="002A1A28">
        <w:t>a</w:t>
      </w:r>
      <w:r w:rsidR="00707F39" w:rsidRPr="002A1A28">
        <w:t xml:space="preserve">pplication for </w:t>
      </w:r>
      <w:r w:rsidR="00B53A2D">
        <w:t>registration services;</w:t>
      </w:r>
    </w:p>
    <w:p w14:paraId="09F8C09F" w14:textId="5A2321C1" w:rsidR="00707F39" w:rsidRPr="002A1A28" w:rsidRDefault="00CD0EF0" w:rsidP="002A1A28">
      <w:pPr>
        <w:pStyle w:val="Bullet"/>
      </w:pPr>
      <w:r w:rsidRPr="002A1A28">
        <w:t>r</w:t>
      </w:r>
      <w:r w:rsidR="00707F39" w:rsidRPr="002A1A28">
        <w:t>equests for changes to market integrity rules or procedures;</w:t>
      </w:r>
    </w:p>
    <w:p w14:paraId="27024E22" w14:textId="2E8109EA" w:rsidR="00CE5896" w:rsidRPr="002A1A28" w:rsidRDefault="00CD0EF0" w:rsidP="002A1A28">
      <w:pPr>
        <w:pStyle w:val="Bullet"/>
      </w:pPr>
      <w:r w:rsidRPr="002A1A28">
        <w:t>t</w:t>
      </w:r>
      <w:r w:rsidR="00CE5896" w:rsidRPr="002A1A28">
        <w:t>he processing of applications f</w:t>
      </w:r>
      <w:r w:rsidR="00B53A2D">
        <w:t>or relief lodged with ASIC; and</w:t>
      </w:r>
    </w:p>
    <w:p w14:paraId="1E7C34F0" w14:textId="2766170C" w:rsidR="00CE5896" w:rsidRPr="002A1A28" w:rsidRDefault="00CE5896" w:rsidP="002A1A28">
      <w:pPr>
        <w:pStyle w:val="Bullet"/>
      </w:pPr>
      <w:r w:rsidRPr="002A1A28">
        <w:t>ASIC's formal compliance review of documents lodged by enti</w:t>
      </w:r>
      <w:r w:rsidR="00707F39" w:rsidRPr="002A1A28">
        <w:t xml:space="preserve">ties under the </w:t>
      </w:r>
      <w:r w:rsidR="00707F39" w:rsidRPr="002A1A28">
        <w:rPr>
          <w:i/>
        </w:rPr>
        <w:t>Corporations</w:t>
      </w:r>
      <w:r w:rsidR="00CD0EF0" w:rsidRPr="002A1A28">
        <w:rPr>
          <w:i/>
        </w:rPr>
        <w:t> </w:t>
      </w:r>
      <w:r w:rsidR="00707F39" w:rsidRPr="002A1A28">
        <w:rPr>
          <w:i/>
        </w:rPr>
        <w:t>Act</w:t>
      </w:r>
      <w:r w:rsidR="00CD0EF0" w:rsidRPr="002A1A28">
        <w:rPr>
          <w:i/>
        </w:rPr>
        <w:t> 2001</w:t>
      </w:r>
      <w:r w:rsidR="00707F39" w:rsidRPr="002A1A28">
        <w:t>, such as prospectuses and compliance documents.</w:t>
      </w:r>
    </w:p>
    <w:p w14:paraId="1E0792B6" w14:textId="12538ADC" w:rsidR="00CE5896" w:rsidRPr="00255D54" w:rsidRDefault="00CE5896" w:rsidP="00B11272">
      <w:pPr>
        <w:pStyle w:val="Bullet"/>
        <w:numPr>
          <w:ilvl w:val="0"/>
          <w:numId w:val="0"/>
        </w:numPr>
      </w:pPr>
      <w:r w:rsidRPr="00255D54">
        <w:t>These activities are completed at the request of, and for the benefit of, a specific entity.</w:t>
      </w:r>
      <w:r>
        <w:t xml:space="preserve"> These fees will be subject to full cost recovery. The Government is not proposing for any regulatory fees </w:t>
      </w:r>
      <w:r w:rsidR="002A1A28">
        <w:t>to be partially cost recovered.</w:t>
      </w:r>
    </w:p>
    <w:p w14:paraId="23941A73" w14:textId="0590FBA0" w:rsidR="00CE5896" w:rsidRDefault="00CE5896" w:rsidP="00B11272">
      <w:pPr>
        <w:pStyle w:val="Bullet"/>
        <w:numPr>
          <w:ilvl w:val="0"/>
          <w:numId w:val="0"/>
        </w:numPr>
      </w:pPr>
      <w:r>
        <w:t xml:space="preserve">ASIC </w:t>
      </w:r>
      <w:r w:rsidRPr="00255D54">
        <w:t xml:space="preserve">already charges industry fees for </w:t>
      </w:r>
      <w:r>
        <w:t xml:space="preserve">lodging </w:t>
      </w:r>
      <w:r w:rsidR="00ED0B5D">
        <w:t>around 180 </w:t>
      </w:r>
      <w:r w:rsidR="0038206D">
        <w:t>separate regulatory forms;</w:t>
      </w:r>
      <w:r w:rsidRPr="00255D54">
        <w:t xml:space="preserve"> however</w:t>
      </w:r>
      <w:r w:rsidR="00CD0EF0">
        <w:t>,</w:t>
      </w:r>
      <w:r w:rsidRPr="00255D54">
        <w:t xml:space="preserve"> the fees associated with </w:t>
      </w:r>
      <w:r>
        <w:t xml:space="preserve">lodging </w:t>
      </w:r>
      <w:r w:rsidRPr="00255D54">
        <w:t xml:space="preserve">these forms do not closely reflect the cost to ASIC </w:t>
      </w:r>
      <w:r>
        <w:t>of</w:t>
      </w:r>
      <w:r w:rsidRPr="00255D54">
        <w:t xml:space="preserve"> processing and assessing them. Under the industry funding model, fees would be set to </w:t>
      </w:r>
      <w:r>
        <w:t xml:space="preserve">recover the efficient costs to </w:t>
      </w:r>
      <w:r w:rsidRPr="00255D54">
        <w:t>process and assess these forms.</w:t>
      </w:r>
    </w:p>
    <w:p w14:paraId="03C76873" w14:textId="56907432" w:rsidR="005E2AD5" w:rsidRPr="00707F39" w:rsidRDefault="005E2AD5" w:rsidP="005E2AD5">
      <w:pPr>
        <w:pStyle w:val="Numberedpara1stindent"/>
        <w:ind w:left="0" w:firstLine="0"/>
        <w:rPr>
          <w:rFonts w:asciiTheme="minorHAnsi" w:hAnsiTheme="minorHAnsi"/>
        </w:rPr>
      </w:pPr>
      <w:r w:rsidRPr="00707F39">
        <w:rPr>
          <w:rFonts w:asciiTheme="minorHAnsi" w:hAnsiTheme="minorHAnsi"/>
        </w:rPr>
        <w:t>The Australian Government Cost Recovery Guidelines state that:</w:t>
      </w:r>
    </w:p>
    <w:p w14:paraId="13FEBFDF" w14:textId="09A357A8" w:rsidR="005E2AD5" w:rsidRPr="005E2AD5" w:rsidRDefault="005E2AD5" w:rsidP="00461E2E">
      <w:pPr>
        <w:pStyle w:val="OutlineNumbered1"/>
        <w:numPr>
          <w:ilvl w:val="0"/>
          <w:numId w:val="32"/>
        </w:numPr>
      </w:pPr>
      <w:r w:rsidRPr="005E2AD5">
        <w:t>Entity staff should break down the activity into distinct outputs (</w:t>
      </w:r>
      <w:r w:rsidR="002A1A28">
        <w:t>for example,</w:t>
      </w:r>
      <w:r w:rsidRPr="005E2AD5">
        <w:t xml:space="preserve"> registrations, audits, or the development of standards) and the key business processes that are used to produce those outputs. Outputs should have a discernible link with the costs, charges and performance of the activity, which should be explained in the CRIS. Techniques for identifying business processes include process modelling, performance measurement and workflow analysis. Staff should monitor and re-examine business processes periodically to ensure that the processes continue to produce outputs efficiently and effectively.</w:t>
      </w:r>
    </w:p>
    <w:p w14:paraId="3A9D7E30" w14:textId="77777777" w:rsidR="00A4214E" w:rsidRPr="00A4214E" w:rsidRDefault="00A4214E" w:rsidP="00A4214E">
      <w:r w:rsidRPr="00A4214E">
        <w:br w:type="page"/>
      </w:r>
    </w:p>
    <w:p w14:paraId="2F139B6A" w14:textId="3DE19A41" w:rsidR="005E2AD5" w:rsidRPr="005E2AD5" w:rsidRDefault="005E2AD5" w:rsidP="00461E2E">
      <w:pPr>
        <w:pStyle w:val="OutlineNumbered1"/>
      </w:pPr>
      <w:r w:rsidRPr="005E2AD5">
        <w:t>The level to which the activity is broken down (</w:t>
      </w:r>
      <w:r w:rsidR="002A1A28">
        <w:t xml:space="preserve">for example, </w:t>
      </w:r>
      <w:r w:rsidRPr="005E2AD5">
        <w:t>outputs versus business processes) for reporting and costing purposes should be proportional to its complexity, materiality and sensitivity. If the activity has multiple outputs and business processes, it may be appropriate to group them together for presentation in the CRIS. As an example, the following business processes may be involved in the assessment of a permit application (</w:t>
      </w:r>
      <w:r w:rsidR="002A1A28">
        <w:t>that</w:t>
      </w:r>
      <w:r w:rsidR="00461E2E">
        <w:t> </w:t>
      </w:r>
      <w:r w:rsidR="002A1A28">
        <w:t>is,</w:t>
      </w:r>
      <w:r w:rsidRPr="005E2AD5">
        <w:t xml:space="preserve"> the output of the cost recovered activity):</w:t>
      </w:r>
    </w:p>
    <w:p w14:paraId="1E3DFD56" w14:textId="2611E78B" w:rsidR="005E2AD5" w:rsidRPr="002A1A28" w:rsidRDefault="005E2AD5" w:rsidP="002A1A28">
      <w:pPr>
        <w:pStyle w:val="Bullet-Indent"/>
      </w:pPr>
      <w:r w:rsidRPr="002A1A28">
        <w:t>receiving an application</w:t>
      </w:r>
      <w:r w:rsidR="00CD0EF0" w:rsidRPr="002A1A28">
        <w:t>;</w:t>
      </w:r>
    </w:p>
    <w:p w14:paraId="4B2C9F30" w14:textId="75529835" w:rsidR="005E2AD5" w:rsidRPr="00707F39" w:rsidRDefault="005E2AD5" w:rsidP="002A1A28">
      <w:pPr>
        <w:pStyle w:val="Bullet-Indent"/>
      </w:pPr>
      <w:r w:rsidRPr="00707F39">
        <w:t>checking the accuracy of information in the application</w:t>
      </w:r>
      <w:r w:rsidR="00CD0EF0">
        <w:t>;</w:t>
      </w:r>
    </w:p>
    <w:p w14:paraId="09E3D134" w14:textId="6CA929C7" w:rsidR="005E2AD5" w:rsidRPr="00707F39" w:rsidRDefault="005E2AD5" w:rsidP="002A1A28">
      <w:pPr>
        <w:pStyle w:val="Bullet-Indent"/>
      </w:pPr>
      <w:r w:rsidRPr="00707F39">
        <w:t>assessing the application</w:t>
      </w:r>
      <w:r w:rsidR="00CD0EF0">
        <w:t>;</w:t>
      </w:r>
    </w:p>
    <w:p w14:paraId="03DD666D" w14:textId="1B28E83B" w:rsidR="005E2AD5" w:rsidRPr="00707F39" w:rsidRDefault="005E2AD5" w:rsidP="002A1A28">
      <w:pPr>
        <w:pStyle w:val="Bullet-Indent"/>
      </w:pPr>
      <w:r w:rsidRPr="00707F39">
        <w:t>deciding on the application</w:t>
      </w:r>
      <w:r w:rsidR="00CD0EF0">
        <w:t>; or</w:t>
      </w:r>
    </w:p>
    <w:p w14:paraId="5FAF0F5B" w14:textId="77777777" w:rsidR="005E2AD5" w:rsidRPr="00707F39" w:rsidRDefault="005E2AD5" w:rsidP="002A1A28">
      <w:pPr>
        <w:pStyle w:val="Bullet-Indent"/>
      </w:pPr>
      <w:r w:rsidRPr="00707F39">
        <w:t>notifying the applicant of the decision.</w:t>
      </w:r>
    </w:p>
    <w:p w14:paraId="59ECF2E5" w14:textId="77777777" w:rsidR="00DA2DF6" w:rsidRPr="002A1A28" w:rsidRDefault="00DA2DF6" w:rsidP="00EA14E2">
      <w:pPr>
        <w:pStyle w:val="Heading3"/>
      </w:pPr>
      <w:r w:rsidRPr="002A1A28">
        <w:t>Fee for service methodology</w:t>
      </w:r>
    </w:p>
    <w:p w14:paraId="722F170D" w14:textId="15882F26" w:rsidR="00DA2DF6" w:rsidRDefault="00DA2DF6" w:rsidP="00B11272">
      <w:pPr>
        <w:pStyle w:val="Bullet"/>
        <w:numPr>
          <w:ilvl w:val="0"/>
          <w:numId w:val="0"/>
        </w:numPr>
      </w:pPr>
      <w:r w:rsidRPr="00255D54">
        <w:t>The proposed methodology for calculating the cost of fee</w:t>
      </w:r>
      <w:r w:rsidR="00CD0EF0">
        <w:t>s</w:t>
      </w:r>
      <w:r w:rsidRPr="00255D54">
        <w:noBreakHyphen/>
        <w:t>for</w:t>
      </w:r>
      <w:r w:rsidRPr="00255D54">
        <w:noBreakHyphen/>
        <w:t xml:space="preserve">service transactions is based on the </w:t>
      </w:r>
      <w:r w:rsidR="00B51FD2">
        <w:t xml:space="preserve">Australian Government Cost Recovery Guidelines and the </w:t>
      </w:r>
      <w:r w:rsidRPr="00255D54">
        <w:t xml:space="preserve">model design objectives </w:t>
      </w:r>
      <w:r w:rsidR="00B51FD2">
        <w:t xml:space="preserve">to </w:t>
      </w:r>
      <w:r w:rsidRPr="00255D54">
        <w:t xml:space="preserve">ensure a close alignment with ASIC's actual costs to undertaking </w:t>
      </w:r>
      <w:r w:rsidRPr="00DA251A">
        <w:t>fee</w:t>
      </w:r>
      <w:r w:rsidR="00CD0EF0">
        <w:t>s</w:t>
      </w:r>
      <w:r w:rsidRPr="00DA251A">
        <w:noBreakHyphen/>
        <w:t>for</w:t>
      </w:r>
      <w:r w:rsidRPr="00DA251A">
        <w:noBreakHyphen/>
        <w:t>service activities.</w:t>
      </w:r>
    </w:p>
    <w:p w14:paraId="6A07A4E2" w14:textId="4825583F" w:rsidR="00061D5C" w:rsidRDefault="00714F7E" w:rsidP="006D1810">
      <w:pPr>
        <w:pStyle w:val="Bullet"/>
        <w:numPr>
          <w:ilvl w:val="0"/>
          <w:numId w:val="0"/>
        </w:numPr>
      </w:pPr>
      <w:r>
        <w:t>The fee for each</w:t>
      </w:r>
      <w:r w:rsidRPr="00DA251A">
        <w:t xml:space="preserve"> </w:t>
      </w:r>
      <w:r>
        <w:t xml:space="preserve">form will be calculated using a weighted </w:t>
      </w:r>
      <w:r w:rsidRPr="00DA251A">
        <w:t xml:space="preserve">average </w:t>
      </w:r>
      <w:r>
        <w:t>hourly</w:t>
      </w:r>
      <w:r w:rsidRPr="00DA251A">
        <w:t xml:space="preserve"> rate (</w:t>
      </w:r>
      <w:r>
        <w:t xml:space="preserve">calculated for each </w:t>
      </w:r>
      <w:r w:rsidRPr="00DA251A">
        <w:t xml:space="preserve">team </w:t>
      </w:r>
      <w:r>
        <w:t>associated with the form, and includes indirect cost</w:t>
      </w:r>
      <w:r w:rsidR="003C062C">
        <w:t>s</w:t>
      </w:r>
      <w:r w:rsidRPr="00DA251A">
        <w:t>) multiplied by the regulatory effort (</w:t>
      </w:r>
      <w:r w:rsidR="002A1A28">
        <w:t>that</w:t>
      </w:r>
      <w:r w:rsidR="00224E71">
        <w:t> </w:t>
      </w:r>
      <w:r w:rsidR="002A1A28">
        <w:t xml:space="preserve">is, </w:t>
      </w:r>
      <w:r w:rsidRPr="00DA251A">
        <w:t>the average number of hours) required to assess and process each form type.</w:t>
      </w:r>
    </w:p>
    <w:p w14:paraId="682E3A1A" w14:textId="1258FCBD" w:rsidR="00ED0B5D" w:rsidRDefault="00714F7E" w:rsidP="00E676BF">
      <w:r>
        <w:t>The regulatory teams in ASIC are not structured in an identical fashion and comprise a varying mix of staff at different levels of seniority and at different salary bands within those seniority levels. Therefore, to ensure that ASIC only recovers efficient costs</w:t>
      </w:r>
      <w:r w:rsidR="00CD0EF0">
        <w:t xml:space="preserve"> (</w:t>
      </w:r>
      <w:r>
        <w:t>the minimum costs necessary to provide the activity while achieving the policy objectives and legislative functions of the Australian Government</w:t>
      </w:r>
      <w:r w:rsidR="00CD0EF0">
        <w:t>)</w:t>
      </w:r>
      <w:r>
        <w:t>, ASIC has not set a standard hourly charge rate for the agency as a whole but has instead calculated weighted hourly charge rates in accordance with the specific profile of the different regulatory teams.</w:t>
      </w:r>
      <w:r w:rsidR="00B51FD2">
        <w:t xml:space="preserve"> The weighted average hourly staff rate is multiplied by the average number of hours to undertake the activity to determine the fee amount as</w:t>
      </w:r>
      <w:r w:rsidR="002A1A28">
        <w:t xml:space="preserve"> outlined in the diagram below.</w:t>
      </w:r>
    </w:p>
    <w:p w14:paraId="07637CD4" w14:textId="7AE49F18" w:rsidR="00A84129" w:rsidRDefault="00061D5C" w:rsidP="00E676BF">
      <w:r>
        <w:rPr>
          <w:noProof/>
        </w:rPr>
        <mc:AlternateContent>
          <mc:Choice Requires="wpg">
            <w:drawing>
              <wp:anchor distT="0" distB="0" distL="114300" distR="114300" simplePos="0" relativeHeight="251658240" behindDoc="0" locked="0" layoutInCell="1" allowOverlap="1" wp14:anchorId="52910930" wp14:editId="0BBF1F1A">
                <wp:simplePos x="0" y="0"/>
                <wp:positionH relativeFrom="column">
                  <wp:posOffset>-11909</wp:posOffset>
                </wp:positionH>
                <wp:positionV relativeFrom="paragraph">
                  <wp:posOffset>112179</wp:posOffset>
                </wp:positionV>
                <wp:extent cx="5767070" cy="974725"/>
                <wp:effectExtent l="19050" t="19050" r="24130" b="15875"/>
                <wp:wrapNone/>
                <wp:docPr id="10" name="Group 10"/>
                <wp:cNvGraphicFramePr/>
                <a:graphic xmlns:a="http://schemas.openxmlformats.org/drawingml/2006/main">
                  <a:graphicData uri="http://schemas.microsoft.com/office/word/2010/wordprocessingGroup">
                    <wpg:wgp>
                      <wpg:cNvGrpSpPr/>
                      <wpg:grpSpPr>
                        <a:xfrm>
                          <a:off x="0" y="0"/>
                          <a:ext cx="5767070" cy="974725"/>
                          <a:chOff x="0" y="0"/>
                          <a:chExt cx="5767132" cy="974725"/>
                        </a:xfrm>
                      </wpg:grpSpPr>
                      <wps:wsp>
                        <wps:cNvPr id="5" name="Oval 5"/>
                        <wps:cNvSpPr/>
                        <wps:spPr>
                          <a:xfrm>
                            <a:off x="0" y="0"/>
                            <a:ext cx="1727835" cy="974725"/>
                          </a:xfrm>
                          <a:prstGeom prst="ellipse">
                            <a:avLst/>
                          </a:prstGeom>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C71E5" w14:textId="736A02C7" w:rsidR="005541E6" w:rsidRPr="00A84129" w:rsidRDefault="005541E6" w:rsidP="00A84129">
                              <w:pPr>
                                <w:spacing w:before="120" w:after="120" w:line="240" w:lineRule="auto"/>
                                <w:jc w:val="center"/>
                                <w:rPr>
                                  <w:b/>
                                </w:rPr>
                              </w:pPr>
                              <w:r w:rsidRPr="00A84129">
                                <w:rPr>
                                  <w:b/>
                                </w:rPr>
                                <w:t>Weighted average hourly staff rate</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6" name="Oval 6"/>
                        <wps:cNvSpPr/>
                        <wps:spPr>
                          <a:xfrm>
                            <a:off x="2113471" y="0"/>
                            <a:ext cx="1727835" cy="974725"/>
                          </a:xfrm>
                          <a:prstGeom prst="ellipse">
                            <a:avLst/>
                          </a:prstGeom>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E0CFC" w14:textId="25787BCB" w:rsidR="005541E6" w:rsidRPr="00A84129" w:rsidRDefault="005541E6" w:rsidP="00A84129">
                              <w:pPr>
                                <w:spacing w:after="0" w:line="240" w:lineRule="auto"/>
                                <w:jc w:val="center"/>
                                <w:rPr>
                                  <w:b/>
                                </w:rPr>
                              </w:pPr>
                              <w:r>
                                <w:rPr>
                                  <w:b/>
                                </w:rPr>
                                <w:t>Average number of hours to assess and process the form</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7" name="Rectangle 7"/>
                        <wps:cNvSpPr/>
                        <wps:spPr>
                          <a:xfrm>
                            <a:off x="4615132" y="60386"/>
                            <a:ext cx="1152000" cy="863600"/>
                          </a:xfrm>
                          <a:prstGeom prst="rect">
                            <a:avLst/>
                          </a:prstGeom>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EFCBB" w14:textId="66B7F832" w:rsidR="005541E6" w:rsidRPr="00061D5C" w:rsidRDefault="005541E6" w:rsidP="00061D5C">
                              <w:pPr>
                                <w:spacing w:before="120" w:after="140"/>
                                <w:jc w:val="center"/>
                                <w:rPr>
                                  <w:b/>
                                </w:rPr>
                              </w:pPr>
                              <w:r w:rsidRPr="00061D5C">
                                <w:rPr>
                                  <w:b/>
                                </w:rPr>
                                <w:t>Fee amount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8" name="Right Arrow 8"/>
                        <wps:cNvSpPr/>
                        <wps:spPr>
                          <a:xfrm>
                            <a:off x="3950898" y="362310"/>
                            <a:ext cx="539750" cy="251460"/>
                          </a:xfrm>
                          <a:prstGeom prst="rightArrow">
                            <a:avLst/>
                          </a:prstGeom>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785668" y="345057"/>
                            <a:ext cx="293298" cy="320471"/>
                          </a:xfrm>
                          <a:prstGeom prst="rect">
                            <a:avLst/>
                          </a:prstGeom>
                          <a:noFill/>
                          <a:ln w="9525">
                            <a:noFill/>
                            <a:miter lim="800000"/>
                            <a:headEnd/>
                            <a:tailEnd/>
                          </a:ln>
                        </wps:spPr>
                        <wps:txbx>
                          <w:txbxContent>
                            <w:p w14:paraId="32DF388F" w14:textId="66CCC6AF" w:rsidR="005541E6" w:rsidRPr="00061D5C" w:rsidRDefault="005541E6">
                              <w:pPr>
                                <w:rPr>
                                  <w:b/>
                                  <w:color w:val="44546A" w:themeColor="text2"/>
                                  <w:sz w:val="24"/>
                                </w:rPr>
                              </w:pPr>
                              <w:r w:rsidRPr="00061D5C">
                                <w:rPr>
                                  <w:b/>
                                  <w:color w:val="44546A" w:themeColor="text2"/>
                                  <w:sz w:val="24"/>
                                </w:rPr>
                                <w:t>X</w:t>
                              </w:r>
                            </w:p>
                          </w:txbxContent>
                        </wps:txbx>
                        <wps:bodyPr rot="0" vert="horz" wrap="square" lIns="91440" tIns="45720" rIns="91440" bIns="45720" anchor="t" anchorCtr="0">
                          <a:noAutofit/>
                        </wps:bodyPr>
                      </wps:wsp>
                    </wpg:wgp>
                  </a:graphicData>
                </a:graphic>
              </wp:anchor>
            </w:drawing>
          </mc:Choice>
          <mc:Fallback>
            <w:pict>
              <v:group id="Group 10" o:spid="_x0000_s1026" style="position:absolute;left:0;text-align:left;margin-left:-.95pt;margin-top:8.85pt;width:454.1pt;height:76.75pt;z-index:251658240" coordsize="57671,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">
                <v:oval id="Oval 5" o:spid="_x0000_s1027" style="position:absolute;width:17278;height:9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h+cUA&#10;AADaAAAADwAAAGRycy9kb3ducmV2LnhtbESPQWvCQBSE7wX/w/KEXopuIrSU1FUkEPQSsNZSvD2y&#10;r0lM9m3Irib5991CocdhZr5h1tvRtOJOvastK4iXEQjiwuqaSwXnj2zxCsJ5ZI2tZVIwkYPtZvaw&#10;xkTbgd/pfvKlCBB2CSqovO8SKV1RkUG3tB1x8L5tb9AH2ZdS9zgEuGnlKopepMGaw0KFHaUVFc3p&#10;ZhQ0+aVp4vo4ZcP5ip/HbJ/mT19KPc7H3RsIT6P/D/+1D1rBM/xeCT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5SH5xQAAANoAAAAPAAAAAAAAAAAAAAAAAJgCAABkcnMv&#10;ZG93bnJldi54bWxQSwUGAAAAAAQABAD1AAAAigMAAAAA&#10;" fillcolor="#5b9bd5 [3204]" strokecolor="#44546a [3215]" strokeweight="3pt">
                  <v:stroke joinstyle="miter"/>
                  <v:textbox inset="2mm,0,2mm,0">
                    <w:txbxContent>
                      <w:p w14:paraId="496C71E5" w14:textId="736A02C7" w:rsidR="005541E6" w:rsidRPr="00A84129" w:rsidRDefault="005541E6" w:rsidP="00A84129">
                        <w:pPr>
                          <w:spacing w:before="120" w:after="120" w:line="240" w:lineRule="auto"/>
                          <w:jc w:val="center"/>
                          <w:rPr>
                            <w:b/>
                          </w:rPr>
                        </w:pPr>
                        <w:r w:rsidRPr="00A84129">
                          <w:rPr>
                            <w:b/>
                          </w:rPr>
                          <w:t>Weighted average hourly staff rate</w:t>
                        </w:r>
                      </w:p>
                    </w:txbxContent>
                  </v:textbox>
                </v:oval>
                <v:oval id="Oval 6" o:spid="_x0000_s1028" style="position:absolute;left:21134;width:17279;height:9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jsUA&#10;AADaAAAADwAAAGRycy9kb3ducmV2LnhtbESPQWuDQBSE74H+h+UVegnJag8h2GxCEaS9BGxiCL09&#10;3Be1um/F3Ub9991CocdhZr5hdofJdOJOg2ssK4jXEQji0uqGKwXFOVttQTiPrLGzTApmcnDYPyx2&#10;mGg78gfdT74SAcIuQQW1930ipStrMujWticO3s0OBn2QQyX1gGOAm04+R9FGGmw4LNTYU1pT2Z6+&#10;jYL2+Nm2cZPP2Vh84SXP3tLj8qrU0+P0+gLC0+T/w3/td61gA79Xwg2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7+OxQAAANoAAAAPAAAAAAAAAAAAAAAAAJgCAABkcnMv&#10;ZG93bnJldi54bWxQSwUGAAAAAAQABAD1AAAAigMAAAAA&#10;" fillcolor="#5b9bd5 [3204]" strokecolor="#44546a [3215]" strokeweight="3pt">
                  <v:stroke joinstyle="miter"/>
                  <v:textbox inset="2mm,0,2mm,0">
                    <w:txbxContent>
                      <w:p w14:paraId="0A8E0CFC" w14:textId="25787BCB" w:rsidR="005541E6" w:rsidRPr="00A84129" w:rsidRDefault="005541E6" w:rsidP="00A84129">
                        <w:pPr>
                          <w:spacing w:after="0" w:line="240" w:lineRule="auto"/>
                          <w:jc w:val="center"/>
                          <w:rPr>
                            <w:b/>
                          </w:rPr>
                        </w:pPr>
                        <w:r>
                          <w:rPr>
                            <w:b/>
                          </w:rPr>
                          <w:t>Average number of hours to assess and process the form</w:t>
                        </w:r>
                      </w:p>
                    </w:txbxContent>
                  </v:textbox>
                </v:oval>
                <v:rect id="Rectangle 7" o:spid="_x0000_s1029" style="position:absolute;left:46151;top:603;width:11520;height:8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XjsMA&#10;AADaAAAADwAAAGRycy9kb3ducmV2LnhtbESPT2vCQBTE7wW/w/IEb3VjD7ZGV9FKQOop/oEcH9ln&#10;EpJ9G3ZXTb99t1DocZiZ3zCrzWA68SDnG8sKZtMEBHFpdcOVgss5e/0A4QOyxs4yKfgmD5v16GWF&#10;qbZPzulxCpWIEPYpKqhD6FMpfVmTQT+1PXH0btYZDFG6SmqHzwg3nXxLkrk02HBcqLGnz5rK9nQ3&#10;Coo23xWHvD26tth3iybLvo7FVanJeNguQQQawn/4r33QCt7h90q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5XjsMAAADaAAAADwAAAAAAAAAAAAAAAACYAgAAZHJzL2Rv&#10;d25yZXYueG1sUEsFBgAAAAAEAAQA9QAAAIgDAAAAAA==&#10;" fillcolor="#5b9bd5 [3204]" strokecolor="#44546a [3215]" strokeweight="3pt">
                  <v:textbox inset="2mm,0,2mm,0">
                    <w:txbxContent>
                      <w:p w14:paraId="255EFCBB" w14:textId="66B7F832" w:rsidR="005541E6" w:rsidRPr="00061D5C" w:rsidRDefault="005541E6" w:rsidP="00061D5C">
                        <w:pPr>
                          <w:spacing w:before="120" w:after="140"/>
                          <w:jc w:val="center"/>
                          <w:rPr>
                            <w:b/>
                          </w:rPr>
                        </w:pPr>
                        <w:r w:rsidRPr="00061D5C">
                          <w:rPr>
                            <w:b/>
                          </w:rPr>
                          <w:t>Fee amount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30" type="#_x0000_t13" style="position:absolute;left:39508;top:3623;width:5398;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lFb4A&#10;AADaAAAADwAAAGRycy9kb3ducmV2LnhtbERPy4rCMBTdC/MP4Q7MTtORoUg1LSKMyKx8dOHyklzb&#10;anNTmqgdv94sBJeH814Ug23FjXrfOFbwPUlAEGtnGq4UlIff8QyED8gGW8ek4J88FPnHaIGZcXfe&#10;0W0fKhFD2GeooA6hy6T0uiaLfuI64sidXG8xRNhX0vR4j+G2ldMkSaXFhmNDjR2tatKX/dUqSPlY&#10;po/LbI1u+5NW2p01/x2U+voclnMQgYbwFr/cG6Mgbo1X4g2Q+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IpRW+AAAA2gAAAA8AAAAAAAAAAAAAAAAAmAIAAGRycy9kb3ducmV2&#10;LnhtbFBLBQYAAAAABAAEAPUAAACDAwAAAAA=&#10;" adj="16568" fillcolor="#5b9bd5 [3204]" strokecolor="#44546a [3215]" strokeweight="2.25pt"/>
                <v:shapetype id="_x0000_t202" coordsize="21600,21600" o:spt="202" path="m,l,21600r21600,l21600,xe">
                  <v:stroke joinstyle="miter"/>
                  <v:path gradientshapeok="t" o:connecttype="rect"/>
                </v:shapetype>
                <v:shape id="Text Box 2" o:spid="_x0000_s1031" type="#_x0000_t202" style="position:absolute;left:17856;top:3450;width:2933;height:3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32DF388F" w14:textId="66CCC6AF" w:rsidR="005541E6" w:rsidRPr="00061D5C" w:rsidRDefault="005541E6">
                        <w:pPr>
                          <w:rPr>
                            <w:b/>
                            <w:color w:val="44546A" w:themeColor="text2"/>
                            <w:sz w:val="24"/>
                          </w:rPr>
                        </w:pPr>
                        <w:r w:rsidRPr="00061D5C">
                          <w:rPr>
                            <w:b/>
                            <w:color w:val="44546A" w:themeColor="text2"/>
                            <w:sz w:val="24"/>
                          </w:rPr>
                          <w:t>X</w:t>
                        </w:r>
                      </w:p>
                    </w:txbxContent>
                  </v:textbox>
                </v:shape>
              </v:group>
            </w:pict>
          </mc:Fallback>
        </mc:AlternateContent>
      </w:r>
    </w:p>
    <w:p w14:paraId="215103A4" w14:textId="77777777" w:rsidR="00A84129" w:rsidRDefault="00A84129" w:rsidP="00E676BF"/>
    <w:p w14:paraId="397E35C0" w14:textId="77777777" w:rsidR="00A84129" w:rsidRDefault="00A84129" w:rsidP="00E676BF"/>
    <w:p w14:paraId="5077D315" w14:textId="4844C138" w:rsidR="00ED0B5D" w:rsidRDefault="00ED0B5D" w:rsidP="002A1A28">
      <w:pPr>
        <w:pStyle w:val="TableGraphic"/>
      </w:pPr>
    </w:p>
    <w:p w14:paraId="1FE9AC17" w14:textId="77777777" w:rsidR="00ED0B5D" w:rsidRDefault="00ED0B5D" w:rsidP="002A1A28">
      <w:pPr>
        <w:pStyle w:val="SingleParagraph"/>
      </w:pPr>
    </w:p>
    <w:p w14:paraId="37F76ABE" w14:textId="77777777" w:rsidR="00A4214E" w:rsidRDefault="00A4214E">
      <w:pPr>
        <w:spacing w:after="160" w:line="259" w:lineRule="auto"/>
        <w:jc w:val="left"/>
      </w:pPr>
      <w:r>
        <w:br w:type="page"/>
      </w:r>
    </w:p>
    <w:p w14:paraId="627BB190" w14:textId="46FECC7B" w:rsidR="00714F7E" w:rsidRDefault="0038206D" w:rsidP="00312730">
      <w:pPr>
        <w:pStyle w:val="Bullet"/>
        <w:numPr>
          <w:ilvl w:val="0"/>
          <w:numId w:val="0"/>
        </w:numPr>
        <w:spacing w:after="220"/>
        <w:rPr>
          <w:szCs w:val="22"/>
        </w:rPr>
      </w:pPr>
      <w:r w:rsidRPr="0038206D">
        <w:t xml:space="preserve">Where there is considerable variance in the actual process or assessment, it is proposed that ASIC would tier the charges to reflect the associated effort in each of these activities. Different weighted costs are applied </w:t>
      </w:r>
      <w:r w:rsidR="00CD0EF0">
        <w:t>(</w:t>
      </w:r>
      <w:r w:rsidRPr="0038206D">
        <w:t>reflecting where applications have contributions from more than one ASIC unit team</w:t>
      </w:r>
      <w:r w:rsidR="00CD0EF0">
        <w:t>)</w:t>
      </w:r>
      <w:r w:rsidRPr="0038206D">
        <w:t xml:space="preserve"> to capture ASIC’s efficient costs of </w:t>
      </w:r>
      <w:r w:rsidR="00CA1B76">
        <w:t xml:space="preserve">the </w:t>
      </w:r>
      <w:r w:rsidRPr="0038206D">
        <w:t xml:space="preserve">activity. </w:t>
      </w:r>
      <w:r w:rsidR="00714F7E">
        <w:rPr>
          <w:szCs w:val="22"/>
        </w:rPr>
        <w:t>Specifically, ASIC has applied tiered fees with respect to the following forms:</w:t>
      </w:r>
    </w:p>
    <w:p w14:paraId="3E57DEE5" w14:textId="6CDD3291" w:rsidR="00714F7E" w:rsidRPr="002A1A28" w:rsidRDefault="00714F7E" w:rsidP="00312730">
      <w:pPr>
        <w:pStyle w:val="Bullet"/>
        <w:spacing w:after="220"/>
      </w:pPr>
      <w:r w:rsidRPr="002A1A28">
        <w:t xml:space="preserve">Australian Financial Services Licence </w:t>
      </w:r>
      <w:r w:rsidR="00CD0EF0" w:rsidRPr="002A1A28">
        <w:t>a</w:t>
      </w:r>
      <w:r w:rsidRPr="002A1A28">
        <w:t>pplications (electronic and paper);</w:t>
      </w:r>
    </w:p>
    <w:p w14:paraId="4C0EBB27" w14:textId="273F4FA2" w:rsidR="00714F7E" w:rsidRPr="002A1A28" w:rsidRDefault="00714F7E" w:rsidP="00312730">
      <w:pPr>
        <w:pStyle w:val="Bullet"/>
        <w:spacing w:after="220"/>
      </w:pPr>
      <w:r w:rsidRPr="002A1A28">
        <w:t xml:space="preserve">Licence Authorisation Variation </w:t>
      </w:r>
      <w:r w:rsidR="00CD0EF0" w:rsidRPr="002A1A28">
        <w:t>a</w:t>
      </w:r>
      <w:r w:rsidRPr="002A1A28">
        <w:t>pplications (electronic and paper);</w:t>
      </w:r>
    </w:p>
    <w:p w14:paraId="6C2E9757" w14:textId="7BCFB5EF" w:rsidR="00714F7E" w:rsidRPr="002A1A28" w:rsidRDefault="00714F7E" w:rsidP="00312730">
      <w:pPr>
        <w:pStyle w:val="Bullet"/>
        <w:spacing w:after="220"/>
      </w:pPr>
      <w:r w:rsidRPr="002A1A28">
        <w:t xml:space="preserve">Australian Credit Licence </w:t>
      </w:r>
      <w:r w:rsidR="00CD0EF0" w:rsidRPr="002A1A28">
        <w:t>a</w:t>
      </w:r>
      <w:r w:rsidRPr="002A1A28">
        <w:t>pplications;</w:t>
      </w:r>
    </w:p>
    <w:p w14:paraId="5270CC15" w14:textId="2984BE26" w:rsidR="00714F7E" w:rsidRPr="002A1A28" w:rsidRDefault="00714F7E" w:rsidP="00312730">
      <w:pPr>
        <w:pStyle w:val="Bullet"/>
        <w:spacing w:after="220"/>
      </w:pPr>
      <w:r w:rsidRPr="002A1A28">
        <w:t xml:space="preserve">Applications to vary authorisations or conditions of an Australian </w:t>
      </w:r>
      <w:r w:rsidR="00CD0EF0" w:rsidRPr="002A1A28">
        <w:t>C</w:t>
      </w:r>
      <w:r w:rsidRPr="002A1A28">
        <w:t xml:space="preserve">redit </w:t>
      </w:r>
      <w:r w:rsidR="00CD0EF0" w:rsidRPr="002A1A28">
        <w:t>L</w:t>
      </w:r>
      <w:r w:rsidRPr="002A1A28">
        <w:t>icence</w:t>
      </w:r>
      <w:r w:rsidR="009627D1" w:rsidRPr="002A1A28">
        <w:t>;</w:t>
      </w:r>
    </w:p>
    <w:p w14:paraId="4C5215A0" w14:textId="73477AE1" w:rsidR="00714F7E" w:rsidRPr="002A1A28" w:rsidRDefault="00714F7E" w:rsidP="00312730">
      <w:pPr>
        <w:pStyle w:val="Bullet"/>
        <w:spacing w:after="220"/>
      </w:pPr>
      <w:r w:rsidRPr="002A1A28">
        <w:t xml:space="preserve">Australian Markets Licence </w:t>
      </w:r>
      <w:r w:rsidR="00CD0EF0" w:rsidRPr="002A1A28">
        <w:t>a</w:t>
      </w:r>
      <w:r w:rsidRPr="002A1A28">
        <w:t>pplications</w:t>
      </w:r>
      <w:r w:rsidR="009627D1" w:rsidRPr="002A1A28">
        <w:t>;</w:t>
      </w:r>
    </w:p>
    <w:p w14:paraId="0414665B" w14:textId="5F7D1499" w:rsidR="00714F7E" w:rsidRPr="002A1A28" w:rsidRDefault="00714F7E" w:rsidP="00312730">
      <w:pPr>
        <w:pStyle w:val="Bullet"/>
        <w:spacing w:after="220"/>
      </w:pPr>
      <w:r w:rsidRPr="002A1A28">
        <w:t xml:space="preserve">Markets </w:t>
      </w:r>
      <w:r w:rsidR="00224E71">
        <w:t>-</w:t>
      </w:r>
      <w:r w:rsidRPr="002A1A28">
        <w:t xml:space="preserve"> Notic</w:t>
      </w:r>
      <w:r w:rsidR="009627D1" w:rsidRPr="002A1A28">
        <w:t>e of changes to operating rules</w:t>
      </w:r>
      <w:r w:rsidR="00695C40" w:rsidRPr="002A1A28">
        <w:t xml:space="preserve"> Section</w:t>
      </w:r>
      <w:r w:rsidR="00CD0EF0" w:rsidRPr="002A1A28">
        <w:t> </w:t>
      </w:r>
      <w:r w:rsidR="00695C40" w:rsidRPr="002A1A28">
        <w:t>793D</w:t>
      </w:r>
      <w:r w:rsidR="009627D1" w:rsidRPr="002A1A28">
        <w:t>;</w:t>
      </w:r>
    </w:p>
    <w:p w14:paraId="1DA772A0" w14:textId="77777777" w:rsidR="00714F7E" w:rsidRPr="002A1A28" w:rsidRDefault="00714F7E" w:rsidP="00312730">
      <w:pPr>
        <w:pStyle w:val="Bullet"/>
        <w:spacing w:after="220"/>
      </w:pPr>
      <w:r w:rsidRPr="002A1A28">
        <w:t>Markets - Notic</w:t>
      </w:r>
      <w:r w:rsidR="009627D1" w:rsidRPr="002A1A28">
        <w:t>e of changes to operating rules</w:t>
      </w:r>
      <w:r w:rsidR="00695C40" w:rsidRPr="002A1A28">
        <w:t xml:space="preserve"> Section 822D</w:t>
      </w:r>
      <w:r w:rsidR="009627D1" w:rsidRPr="002A1A28">
        <w:t>; and</w:t>
      </w:r>
    </w:p>
    <w:p w14:paraId="3BE51521" w14:textId="1BD19680" w:rsidR="00714F7E" w:rsidRPr="002A1A28" w:rsidRDefault="00714F7E" w:rsidP="00312730">
      <w:pPr>
        <w:pStyle w:val="Bullet"/>
        <w:spacing w:after="220"/>
      </w:pPr>
      <w:r w:rsidRPr="002A1A28">
        <w:t xml:space="preserve">Australian clearing and settlement (CS) facility licence </w:t>
      </w:r>
      <w:r w:rsidR="00CD0EF0" w:rsidRPr="002A1A28">
        <w:t>a</w:t>
      </w:r>
      <w:r w:rsidRPr="002A1A28">
        <w:t>pplications</w:t>
      </w:r>
      <w:r w:rsidR="009627D1" w:rsidRPr="002A1A28">
        <w:t>.</w:t>
      </w:r>
    </w:p>
    <w:p w14:paraId="5E6864E2" w14:textId="20F20CDA" w:rsidR="0038206D" w:rsidRDefault="0038206D" w:rsidP="00312730">
      <w:pPr>
        <w:pStyle w:val="Bullet"/>
        <w:numPr>
          <w:ilvl w:val="0"/>
          <w:numId w:val="0"/>
        </w:numPr>
        <w:spacing w:after="220"/>
      </w:pPr>
      <w:r w:rsidRPr="0038206D">
        <w:t>Example</w:t>
      </w:r>
      <w:r w:rsidR="00CA1B76">
        <w:t>s</w:t>
      </w:r>
      <w:r w:rsidRPr="0038206D">
        <w:t xml:space="preserve"> of </w:t>
      </w:r>
      <w:r w:rsidR="00CA1B76">
        <w:t xml:space="preserve">the </w:t>
      </w:r>
      <w:r w:rsidRPr="0038206D">
        <w:t>assessment and processing of application</w:t>
      </w:r>
      <w:r w:rsidR="00CA1B76">
        <w:t>s</w:t>
      </w:r>
      <w:r w:rsidRPr="0038206D">
        <w:t xml:space="preserve"> </w:t>
      </w:r>
      <w:r w:rsidR="00CD0EF0">
        <w:t>are</w:t>
      </w:r>
      <w:r w:rsidRPr="0038206D">
        <w:t xml:space="preserve"> </w:t>
      </w:r>
      <w:r w:rsidR="00CD0EF0">
        <w:t>outlined</w:t>
      </w:r>
      <w:r w:rsidRPr="0038206D">
        <w:t xml:space="preserve"> in Box 1 and Box 2.</w:t>
      </w:r>
    </w:p>
    <w:p w14:paraId="65F32065" w14:textId="16A70093" w:rsidR="00714F7E" w:rsidRPr="00312730" w:rsidRDefault="00566A8C" w:rsidP="00312730">
      <w:pPr>
        <w:pStyle w:val="BoxHeading-Outside"/>
      </w:pPr>
      <w:r w:rsidRPr="00312730">
        <w:t>Box 1:</w:t>
      </w:r>
      <w:r w:rsidR="00312730" w:rsidRPr="00312730">
        <w:tab/>
      </w:r>
      <w:r w:rsidRPr="00312730">
        <w:t>Multiple team regulatory effort: Application for registration as a</w:t>
      </w:r>
      <w:r w:rsidR="00D83D5A" w:rsidRPr="00312730">
        <w:t xml:space="preserve"> registered company auditor</w:t>
      </w:r>
    </w:p>
    <w:tbl>
      <w:tblPr>
        <w:tblW w:w="0" w:type="auto"/>
        <w:tblBorders>
          <w:top w:val="single" w:sz="4" w:space="0" w:color="004A7F"/>
          <w:left w:val="single" w:sz="4" w:space="0" w:color="004A7F"/>
          <w:bottom w:val="single" w:sz="4" w:space="0" w:color="004A7F"/>
          <w:right w:val="single" w:sz="4" w:space="0" w:color="004A7F"/>
        </w:tblBorders>
        <w:shd w:val="clear" w:color="auto" w:fill="F2F2F2" w:themeFill="background1" w:themeFillShade="F2"/>
        <w:tblLook w:val="04A0" w:firstRow="1" w:lastRow="0" w:firstColumn="1" w:lastColumn="0" w:noHBand="0" w:noVBand="1"/>
      </w:tblPr>
      <w:tblGrid>
        <w:gridCol w:w="9286"/>
      </w:tblGrid>
      <w:tr w:rsidR="00A4214E" w14:paraId="121F4591" w14:textId="77777777" w:rsidTr="00A4214E">
        <w:tc>
          <w:tcPr>
            <w:tcW w:w="9286" w:type="dxa"/>
            <w:shd w:val="clear" w:color="auto" w:fill="F2F2F2" w:themeFill="background1" w:themeFillShade="F2"/>
          </w:tcPr>
          <w:p w14:paraId="6DCFED03" w14:textId="113F6972" w:rsidR="00A4214E" w:rsidRDefault="00A4214E" w:rsidP="00A4214E">
            <w:pPr>
              <w:pStyle w:val="BoxText"/>
            </w:pPr>
            <w:r>
              <w:t>Regulatory effort for an application for registration as a registered company auditor is spread across two</w:t>
            </w:r>
            <w:r w:rsidR="00312730">
              <w:t> </w:t>
            </w:r>
            <w:r>
              <w:t>teams in ASIC: the Licencing team and the Fina</w:t>
            </w:r>
            <w:r w:rsidR="00B53A2D">
              <w:t>ncial Reporting and Audit team.</w:t>
            </w:r>
          </w:p>
          <w:p w14:paraId="6FB399F5" w14:textId="77777777" w:rsidR="00A4214E" w:rsidRPr="00EE4DE2" w:rsidRDefault="00A4214E" w:rsidP="00A4214E">
            <w:pPr>
              <w:pStyle w:val="BoxText"/>
            </w:pPr>
            <w:r>
              <w:t>Work undertaken by the</w:t>
            </w:r>
            <w:r w:rsidRPr="00EE4DE2">
              <w:t xml:space="preserve"> </w:t>
            </w:r>
            <w:r>
              <w:t>L</w:t>
            </w:r>
            <w:r w:rsidRPr="00EE4DE2">
              <w:t>icensing team includes:</w:t>
            </w:r>
          </w:p>
          <w:p w14:paraId="58263FC4" w14:textId="77777777" w:rsidR="00A4214E" w:rsidRPr="00312730" w:rsidRDefault="00A4214E" w:rsidP="00461E2E">
            <w:pPr>
              <w:pStyle w:val="BoxNumber-Alpha"/>
            </w:pPr>
            <w:r w:rsidRPr="00312730">
              <w:t>ASIC receives an application into its workflow systems, which includes the submission of an electronic form and supporting proof documents.</w:t>
            </w:r>
          </w:p>
          <w:p w14:paraId="4453C3CA" w14:textId="77777777" w:rsidR="00A4214E" w:rsidRPr="00312730" w:rsidRDefault="00A4214E" w:rsidP="00461E2E">
            <w:pPr>
              <w:pStyle w:val="BoxNumber-Alpha"/>
            </w:pPr>
            <w:r w:rsidRPr="00312730">
              <w:t>An analyst is assigned the application and will initially review it at a high level to determine if the applicant provided the required information. If the application was incomplete it may be rejected and not accepted for lodgement.</w:t>
            </w:r>
          </w:p>
          <w:p w14:paraId="5C8AFE9D" w14:textId="77777777" w:rsidR="00A4214E" w:rsidRPr="00312730" w:rsidRDefault="00A4214E" w:rsidP="00461E2E">
            <w:pPr>
              <w:pStyle w:val="BoxNumber-Alpha"/>
            </w:pPr>
            <w:r w:rsidRPr="00312730">
              <w:t>If accepted, the analyst will review to determine the scope of the assessment process and whether the analyst should consult ASIC's specialist stakeholder teams in relation to the application. The analyst will review the application and supporting documentation in detail. The analyst may also requisition the applicant and have to assess further supporting information.</w:t>
            </w:r>
          </w:p>
          <w:p w14:paraId="5B56ABE5" w14:textId="77777777" w:rsidR="00A4214E" w:rsidRPr="00312730" w:rsidRDefault="00A4214E" w:rsidP="00461E2E">
            <w:pPr>
              <w:pStyle w:val="BoxNumber-Alpha"/>
            </w:pPr>
            <w:r w:rsidRPr="00312730">
              <w:t>The analyst's role is to assess whether ASIC is satisfied that the applicant is capable of performing the duties of an auditor (including meeting the auditing competency standards or having the requisite practical experience) and is a fit and proper person to be registered as an auditor.</w:t>
            </w:r>
            <w:r w:rsidRPr="00312730" w:rsidDel="00E70206">
              <w:t xml:space="preserve"> </w:t>
            </w:r>
            <w:r w:rsidRPr="00312730">
              <w:t>The analyst will document their assessment of the material in an assessment worksheet. This worksheet is subject to supervisor review.</w:t>
            </w:r>
          </w:p>
          <w:p w14:paraId="70268DEA" w14:textId="6A688C4D" w:rsidR="00A4214E" w:rsidRDefault="00A4214E" w:rsidP="00461E2E">
            <w:pPr>
              <w:pStyle w:val="BoxNumber-Alpha"/>
            </w:pPr>
            <w:r w:rsidRPr="00312730">
              <w:t>If the application is to be refused, a detailed statement of concerns is sent to the applicant who may contest the analyst's concerns or withdraw their application. If the application is contested, the analyst prepares a detailed brief to be reviewed by a senior person prior to it being referred to an ASIC delegate who will convene an administrative hearing to provide the applicant an opportunity to be heard prior to final determination by the ASIC delegate.</w:t>
            </w:r>
          </w:p>
        </w:tc>
      </w:tr>
    </w:tbl>
    <w:p w14:paraId="63FC55DD" w14:textId="77777777" w:rsidR="00312730" w:rsidRDefault="00312730" w:rsidP="00312730">
      <w:pPr>
        <w:pStyle w:val="Zero"/>
      </w:pPr>
      <w:r>
        <w:br w:type="page"/>
      </w:r>
    </w:p>
    <w:p w14:paraId="6276F42C" w14:textId="331CE525" w:rsidR="00312730" w:rsidRPr="00312730" w:rsidRDefault="00312730" w:rsidP="00312730">
      <w:pPr>
        <w:pStyle w:val="BoxHeading-Outside"/>
      </w:pPr>
      <w:r w:rsidRPr="00312730">
        <w:t>Box 1:</w:t>
      </w:r>
      <w:r w:rsidRPr="00312730">
        <w:tab/>
        <w:t>Multiple team regulatory effort: Application for registration as a registered company auditor (continued)</w:t>
      </w:r>
    </w:p>
    <w:tbl>
      <w:tblPr>
        <w:tblW w:w="0" w:type="auto"/>
        <w:tblBorders>
          <w:top w:val="single" w:sz="4" w:space="0" w:color="004A7F"/>
          <w:left w:val="single" w:sz="4" w:space="0" w:color="004A7F"/>
          <w:bottom w:val="single" w:sz="4" w:space="0" w:color="004A7F"/>
          <w:right w:val="single" w:sz="4" w:space="0" w:color="004A7F"/>
        </w:tblBorders>
        <w:shd w:val="clear" w:color="auto" w:fill="F2F2F2" w:themeFill="background1" w:themeFillShade="F2"/>
        <w:tblLook w:val="04A0" w:firstRow="1" w:lastRow="0" w:firstColumn="1" w:lastColumn="0" w:noHBand="0" w:noVBand="1"/>
      </w:tblPr>
      <w:tblGrid>
        <w:gridCol w:w="9286"/>
      </w:tblGrid>
      <w:tr w:rsidR="00312730" w14:paraId="78486CF7" w14:textId="77777777" w:rsidTr="00A4214E">
        <w:tc>
          <w:tcPr>
            <w:tcW w:w="9286" w:type="dxa"/>
            <w:shd w:val="clear" w:color="auto" w:fill="F2F2F2" w:themeFill="background1" w:themeFillShade="F2"/>
          </w:tcPr>
          <w:p w14:paraId="4876C3ED" w14:textId="77777777" w:rsidR="00312730" w:rsidRDefault="00312730" w:rsidP="00312730">
            <w:pPr>
              <w:pStyle w:val="BoxText"/>
            </w:pPr>
            <w:r>
              <w:t>Work undertaken by the Financial Reporting and Audit team includes:</w:t>
            </w:r>
          </w:p>
          <w:p w14:paraId="1BCE1BDD" w14:textId="77777777" w:rsidR="00312730" w:rsidRPr="00461E2E" w:rsidRDefault="00312730" w:rsidP="00461E2E">
            <w:pPr>
              <w:pStyle w:val="BoxNumber-Alpha"/>
              <w:numPr>
                <w:ilvl w:val="0"/>
                <w:numId w:val="46"/>
              </w:numPr>
            </w:pPr>
            <w:r w:rsidRPr="00461E2E">
              <w:t>technical advice on accounting and auditing issues;</w:t>
            </w:r>
          </w:p>
          <w:p w14:paraId="4D0F9BE4" w14:textId="77777777" w:rsidR="00312730" w:rsidRPr="00312730" w:rsidRDefault="00312730" w:rsidP="00461E2E">
            <w:pPr>
              <w:pStyle w:val="BoxNumber-Alpha"/>
            </w:pPr>
            <w:r w:rsidRPr="00312730">
              <w:t>investigating whether the requirements of RG 180 (Auditor registration) have been complied with; and</w:t>
            </w:r>
          </w:p>
          <w:p w14:paraId="3386EC9D" w14:textId="77777777" w:rsidR="00312730" w:rsidRPr="00657E99" w:rsidRDefault="00312730" w:rsidP="00461E2E">
            <w:pPr>
              <w:pStyle w:val="BoxNumber-Alpha"/>
              <w:rPr>
                <w:rFonts w:asciiTheme="minorHAnsi" w:hAnsiTheme="minorHAnsi"/>
              </w:rPr>
            </w:pPr>
            <w:r w:rsidRPr="00312730">
              <w:t>in certain cases, obtaining and reviewing audit engagement files to ascertain the capability of the applicant to be registered.</w:t>
            </w:r>
          </w:p>
          <w:p w14:paraId="553F4BB6" w14:textId="3B596862" w:rsidR="00657E99" w:rsidRPr="00312730" w:rsidRDefault="00657E99" w:rsidP="00657E99">
            <w:pPr>
              <w:pStyle w:val="BoxNumber-Alpha"/>
              <w:numPr>
                <w:ilvl w:val="0"/>
                <w:numId w:val="0"/>
              </w:numPr>
              <w:rPr>
                <w:rFonts w:asciiTheme="minorHAnsi" w:hAnsiTheme="minorHAnsi"/>
              </w:rPr>
            </w:pPr>
            <w:r>
              <w:t>To determine the efficient cost associated with an application for registration as a registered company auditor, the weighted average staff cost for the Licencing team is multiplied by the average time spent by the Licencing team to process the registration. The same calculation is performed for the Financial Reporting and Audit team. These amounts are added together to get the total cost that is charged for the activity.</w:t>
            </w:r>
          </w:p>
        </w:tc>
      </w:tr>
    </w:tbl>
    <w:p w14:paraId="75EB188B" w14:textId="70065E1A" w:rsidR="00566A8C" w:rsidRDefault="00566A8C" w:rsidP="00B11272">
      <w:pPr>
        <w:pStyle w:val="Bullet"/>
        <w:numPr>
          <w:ilvl w:val="0"/>
          <w:numId w:val="0"/>
        </w:numPr>
      </w:pPr>
    </w:p>
    <w:p w14:paraId="3DA943AE" w14:textId="15AB36B9" w:rsidR="00312730" w:rsidRPr="00312730" w:rsidRDefault="00312730" w:rsidP="00312730">
      <w:pPr>
        <w:pStyle w:val="BoxHeading-Outside"/>
      </w:pPr>
      <w:r w:rsidRPr="00312730">
        <w:t>Box 2:</w:t>
      </w:r>
      <w:r>
        <w:tab/>
      </w:r>
      <w:r w:rsidRPr="00312730">
        <w:t>Tier applications:</w:t>
      </w:r>
      <w:r w:rsidR="00B53A2D">
        <w:t xml:space="preserve"> Application for an AFS Licence</w:t>
      </w:r>
    </w:p>
    <w:tbl>
      <w:tblPr>
        <w:tblW w:w="0" w:type="auto"/>
        <w:tblBorders>
          <w:top w:val="single" w:sz="4" w:space="0" w:color="004A7F"/>
          <w:left w:val="single" w:sz="4" w:space="0" w:color="004A7F"/>
          <w:bottom w:val="single" w:sz="4" w:space="0" w:color="004A7F"/>
          <w:right w:val="single" w:sz="4" w:space="0" w:color="004A7F"/>
        </w:tblBorders>
        <w:shd w:val="clear" w:color="auto" w:fill="F2F2F2" w:themeFill="background1" w:themeFillShade="F2"/>
        <w:tblLook w:val="04A0" w:firstRow="1" w:lastRow="0" w:firstColumn="1" w:lastColumn="0" w:noHBand="0" w:noVBand="1"/>
      </w:tblPr>
      <w:tblGrid>
        <w:gridCol w:w="9286"/>
      </w:tblGrid>
      <w:tr w:rsidR="00312730" w14:paraId="5F4CB853" w14:textId="77777777" w:rsidTr="00312730">
        <w:tc>
          <w:tcPr>
            <w:tcW w:w="9286" w:type="dxa"/>
            <w:shd w:val="clear" w:color="auto" w:fill="F2F2F2" w:themeFill="background1" w:themeFillShade="F2"/>
          </w:tcPr>
          <w:p w14:paraId="6856C743" w14:textId="2F969150" w:rsidR="00312730" w:rsidRPr="00312730" w:rsidRDefault="00312730" w:rsidP="00312730">
            <w:pPr>
              <w:pStyle w:val="BoxText"/>
            </w:pPr>
            <w:r w:rsidRPr="00312730">
              <w:t>The AFS Licence application has been divided into eight different categories of application as outlined in the fee schedule (Schedule A) to reflect the range</w:t>
            </w:r>
            <w:r w:rsidR="00B53A2D">
              <w:t xml:space="preserve"> of regulatory effort required.</w:t>
            </w:r>
          </w:p>
          <w:p w14:paraId="642742A9" w14:textId="5701D4D1" w:rsidR="00312730" w:rsidRPr="00312730" w:rsidRDefault="00312730" w:rsidP="00312730">
            <w:pPr>
              <w:pStyle w:val="BoxText"/>
            </w:pPr>
            <w:r w:rsidRPr="00312730">
              <w:t>To determine the efficient cost associated with an application for AFS Licence, the weighted average staff cost for the Licencing team is multiplied by the average time spent by the Licencing team to process the application. The level of complexity of the application determines the level of staff working on the form. This correlates for higher complexity applications to a higher hourly rate and therefore higher weighted average staff cost. The higher level of complexity also increases the aver</w:t>
            </w:r>
            <w:r w:rsidR="00B53A2D">
              <w:t>age time taken per application.</w:t>
            </w:r>
          </w:p>
          <w:p w14:paraId="6C4CF480" w14:textId="0A4DBAB3" w:rsidR="00312730" w:rsidRDefault="00312730" w:rsidP="00312730">
            <w:pPr>
              <w:pStyle w:val="BoxText"/>
            </w:pPr>
            <w:r w:rsidRPr="00312730">
              <w:t>This ultimately determines the final cos</w:t>
            </w:r>
            <w:r w:rsidR="00A84E89">
              <w:t>ts which range from $1,488 to $7</w:t>
            </w:r>
            <w:r w:rsidRPr="00312730">
              <w:t>,</w:t>
            </w:r>
            <w:r w:rsidR="00A84E89">
              <w:t>357</w:t>
            </w:r>
            <w:r w:rsidRPr="00312730">
              <w:t xml:space="preserve"> across the eight categories under the application for an AFS Licence</w:t>
            </w:r>
            <w:r w:rsidR="00A84E89">
              <w:t xml:space="preserve"> (assuming electronic lodgement)</w:t>
            </w:r>
            <w:r w:rsidRPr="00312730">
              <w:t>.</w:t>
            </w:r>
          </w:p>
        </w:tc>
      </w:tr>
    </w:tbl>
    <w:p w14:paraId="7CF7603E" w14:textId="77777777" w:rsidR="00151867" w:rsidRDefault="00151867" w:rsidP="00312730">
      <w:pPr>
        <w:pStyle w:val="SingleParagraph"/>
      </w:pPr>
    </w:p>
    <w:p w14:paraId="0E2B8134" w14:textId="5D6BD0CE" w:rsidR="00AF6A0F" w:rsidRPr="00312730" w:rsidRDefault="00AF6A0F" w:rsidP="00AF6A0F">
      <w:pPr>
        <w:pStyle w:val="Bullet"/>
        <w:numPr>
          <w:ilvl w:val="0"/>
          <w:numId w:val="0"/>
        </w:numPr>
      </w:pPr>
      <w:r w:rsidRPr="00312730">
        <w:t>The proposed fee schedule to commence on 1 July 2018 based on this methodology is outlined at Schedule A. It should be noted that in a number of cases, the proposed fees outlined in Schedule A have significantly increased from their current level. This reflects the fact that currently, for a large number of regulatory activities, only nominal fees are charged. Full cost recovery for these activities means that the cost of these activities will be solely borne by the individual responsible for generating the activity and will no longer be</w:t>
      </w:r>
      <w:r w:rsidR="00B53A2D">
        <w:t xml:space="preserve"> cross-subsidised by taxpayers.</w:t>
      </w:r>
    </w:p>
    <w:p w14:paraId="472D2D81" w14:textId="360865A2" w:rsidR="00AF6A0F" w:rsidRDefault="00AF6A0F" w:rsidP="00AF6A0F">
      <w:pPr>
        <w:pStyle w:val="Bullet"/>
        <w:numPr>
          <w:ilvl w:val="0"/>
          <w:numId w:val="0"/>
        </w:numPr>
      </w:pPr>
      <w:r w:rsidRPr="00312730">
        <w:t>In addition, there are approximately 60 ASIC forms to support work across an industry, rather than activities undertaken for the benefit of an individual entity. For example, the lodgement of annual compliance certificates for Australian Credit Licensees. Fees associated with these forms will no longer be charged at the point of lodgement of these, rather ASIC's regulatory costs associated with those forms will be collected as part of the regulatory levies which commenced on 1 July 2017. These fees are outlined in Scheduled </w:t>
      </w:r>
      <w:r>
        <w:t>B.</w:t>
      </w:r>
    </w:p>
    <w:p w14:paraId="31D5A3CA" w14:textId="77777777" w:rsidR="00312730" w:rsidRDefault="00312730">
      <w:pPr>
        <w:spacing w:after="160" w:line="259" w:lineRule="auto"/>
        <w:jc w:val="left"/>
        <w:rPr>
          <w:rFonts w:cs="Arial"/>
          <w:b/>
          <w:color w:val="004A7F"/>
          <w:kern w:val="32"/>
          <w:sz w:val="32"/>
          <w:szCs w:val="26"/>
        </w:rPr>
      </w:pPr>
      <w:r>
        <w:br w:type="page"/>
      </w:r>
    </w:p>
    <w:p w14:paraId="1CAC78A1" w14:textId="59A1DE2F" w:rsidR="00DA2DF6" w:rsidRPr="00820B7C" w:rsidRDefault="00DA2DF6" w:rsidP="00EA14E2">
      <w:pPr>
        <w:pStyle w:val="Heading3"/>
      </w:pPr>
      <w:r w:rsidRPr="00982781">
        <w:t>International</w:t>
      </w:r>
      <w:r w:rsidRPr="00820B7C">
        <w:t xml:space="preserve"> comparisons</w:t>
      </w:r>
    </w:p>
    <w:p w14:paraId="1F9C6E97" w14:textId="77777777" w:rsidR="00DA2DF6" w:rsidRPr="00820B7C" w:rsidRDefault="00DA2DF6" w:rsidP="00B11272">
      <w:pPr>
        <w:pStyle w:val="Bullet"/>
        <w:numPr>
          <w:ilvl w:val="0"/>
          <w:numId w:val="0"/>
        </w:numPr>
      </w:pPr>
      <w:r w:rsidRPr="00820B7C">
        <w:t>Many financial services and markets regulators are funded by industry, or by a combinati</w:t>
      </w:r>
      <w:r>
        <w:t>on of industry and government. In 2017, 28 </w:t>
      </w:r>
      <w:r w:rsidRPr="00820B7C">
        <w:t>regulators (including corporate and secu</w:t>
      </w:r>
      <w:r>
        <w:t>rities regulators) are industry</w:t>
      </w:r>
      <w:r>
        <w:noBreakHyphen/>
      </w:r>
      <w:r w:rsidRPr="00820B7C">
        <w:t>funded through fees from regu</w:t>
      </w:r>
      <w:r>
        <w:t>lated entities or fines for non</w:t>
      </w:r>
      <w:r>
        <w:noBreakHyphen/>
      </w:r>
      <w:r w:rsidRPr="00820B7C">
        <w:t>compliance, eight are partially funded by fees from</w:t>
      </w:r>
      <w:r>
        <w:t xml:space="preserve"> regulated entities and, and 13 </w:t>
      </w:r>
      <w:r w:rsidRPr="00820B7C">
        <w:t>were fully funded by government.</w:t>
      </w:r>
      <w:r w:rsidRPr="00820B7C">
        <w:rPr>
          <w:rStyle w:val="FootnoteReference"/>
        </w:rPr>
        <w:footnoteReference w:id="5"/>
      </w:r>
    </w:p>
    <w:p w14:paraId="2C984686" w14:textId="5771C92E" w:rsidR="00DA2DF6" w:rsidRDefault="00DA2DF6" w:rsidP="00B11272">
      <w:pPr>
        <w:pStyle w:val="Bullet"/>
        <w:numPr>
          <w:ilvl w:val="0"/>
          <w:numId w:val="0"/>
        </w:numPr>
      </w:pPr>
      <w:r>
        <w:t xml:space="preserve">Benchmarking </w:t>
      </w:r>
      <w:r w:rsidRPr="00820B7C">
        <w:t xml:space="preserve">fee for service levels against other international regulator fee models should have regard to different regulatory frameworks between jurisdictions. A direct comparison of fees </w:t>
      </w:r>
      <w:r w:rsidR="003B4338">
        <w:t xml:space="preserve">is not </w:t>
      </w:r>
      <w:r w:rsidRPr="00820B7C">
        <w:t>possible for certain industry sectors given the different regulatory approaches adopted in each jurisdiction.</w:t>
      </w:r>
      <w:r>
        <w:t xml:space="preserve"> In addition, even in jurisdictions where the regulators are funded by industry, it may not be in accordance with similar cost recovery </w:t>
      </w:r>
      <w:r w:rsidR="00264F90">
        <w:t>guidelines</w:t>
      </w:r>
      <w:r w:rsidR="002A1A28">
        <w:t xml:space="preserve"> to Australia.</w:t>
      </w:r>
    </w:p>
    <w:tbl>
      <w:tblPr>
        <w:tblStyle w:val="TableGrid"/>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982781" w14:paraId="0A1BCF25" w14:textId="77777777" w:rsidTr="00982781">
        <w:tc>
          <w:tcPr>
            <w:tcW w:w="9286" w:type="dxa"/>
            <w:shd w:val="clear" w:color="auto" w:fill="DEEAF6" w:themeFill="accent1" w:themeFillTint="33"/>
          </w:tcPr>
          <w:p w14:paraId="00836E3A" w14:textId="77777777" w:rsidR="00982781" w:rsidRPr="00982781" w:rsidRDefault="00982781" w:rsidP="00982781">
            <w:pPr>
              <w:pStyle w:val="BoxHeading"/>
            </w:pPr>
            <w:r w:rsidRPr="00982781">
              <w:t>Questions</w:t>
            </w:r>
          </w:p>
          <w:p w14:paraId="4D2844D1" w14:textId="77777777" w:rsidR="00982781" w:rsidRPr="00DA2DF6" w:rsidRDefault="00982781" w:rsidP="00982781">
            <w:pPr>
              <w:pStyle w:val="BoxQuestions"/>
            </w:pPr>
            <w:r w:rsidRPr="00DA2DF6">
              <w:t>Is the proposed methodology for calculating fees-for-service appropriate? If not, why not?</w:t>
            </w:r>
          </w:p>
          <w:p w14:paraId="1CE4E40A" w14:textId="77777777" w:rsidR="00982781" w:rsidRPr="00DA2DF6" w:rsidRDefault="00982781" w:rsidP="00982781">
            <w:pPr>
              <w:pStyle w:val="BoxQuestions"/>
            </w:pPr>
            <w:r w:rsidRPr="00DA2DF6">
              <w:t>Are there any other sectors where a tiered approach to setting fees would be appropriate?</w:t>
            </w:r>
          </w:p>
          <w:p w14:paraId="078B67DA" w14:textId="140D17F8" w:rsidR="00982781" w:rsidRDefault="00982781" w:rsidP="00982781">
            <w:pPr>
              <w:pStyle w:val="BoxQuestions"/>
            </w:pPr>
            <w:r w:rsidRPr="00DA2DF6">
              <w:t>Do you have any suggestions for how the proposed methodology could be modified? If so, please provide details?</w:t>
            </w:r>
          </w:p>
        </w:tc>
      </w:tr>
    </w:tbl>
    <w:p w14:paraId="48435FB4" w14:textId="13FFD63D" w:rsidR="00982781" w:rsidRDefault="00982781" w:rsidP="00982781">
      <w:pPr>
        <w:pStyle w:val="SingleParagraph"/>
      </w:pPr>
    </w:p>
    <w:p w14:paraId="55F4335C" w14:textId="433FCAE5" w:rsidR="00DA2DF6" w:rsidRPr="00F00D04" w:rsidRDefault="00DA2DF6" w:rsidP="00EA14E2">
      <w:pPr>
        <w:pStyle w:val="Heading2"/>
      </w:pPr>
      <w:bookmarkStart w:id="66" w:name="_Toc489541619"/>
      <w:bookmarkStart w:id="67" w:name="_Toc492908199"/>
      <w:bookmarkStart w:id="68" w:name="_Toc496021449"/>
      <w:bookmarkStart w:id="69" w:name="_Toc497212024"/>
      <w:bookmarkStart w:id="70" w:name="_Toc497403329"/>
      <w:bookmarkStart w:id="71" w:name="_Toc498596550"/>
      <w:r>
        <w:t xml:space="preserve">ASIC </w:t>
      </w:r>
      <w:r w:rsidRPr="00F13A87">
        <w:t>stakeholder</w:t>
      </w:r>
      <w:r>
        <w:t xml:space="preserve"> engagement and accountability</w:t>
      </w:r>
      <w:bookmarkEnd w:id="66"/>
      <w:bookmarkEnd w:id="67"/>
      <w:bookmarkEnd w:id="68"/>
      <w:bookmarkEnd w:id="69"/>
      <w:bookmarkEnd w:id="70"/>
      <w:bookmarkEnd w:id="71"/>
    </w:p>
    <w:p w14:paraId="14633129" w14:textId="56B1DD05" w:rsidR="00DA2DF6" w:rsidRPr="007A6009" w:rsidRDefault="00DA2DF6" w:rsidP="00EA14E2">
      <w:pPr>
        <w:pStyle w:val="Heading3"/>
      </w:pPr>
      <w:r w:rsidRPr="007A6009">
        <w:t xml:space="preserve">Review of </w:t>
      </w:r>
      <w:r w:rsidR="00CD0EF0">
        <w:t>fee s</w:t>
      </w:r>
      <w:r w:rsidRPr="007A6009">
        <w:t>chedule</w:t>
      </w:r>
    </w:p>
    <w:p w14:paraId="0AB1921B" w14:textId="1DC1F627" w:rsidR="003B4338" w:rsidRDefault="00DA2DF6" w:rsidP="00B11272">
      <w:pPr>
        <w:pStyle w:val="Bullet"/>
        <w:numPr>
          <w:ilvl w:val="0"/>
          <w:numId w:val="0"/>
        </w:numPr>
      </w:pPr>
      <w:r w:rsidRPr="00C34DAA">
        <w:t xml:space="preserve">Better practice regulators actively contribute to the continuous improvement of regulatory frameworks. No service remains the same over time, and continuous improvement ensures </w:t>
      </w:r>
      <w:r>
        <w:t>the</w:t>
      </w:r>
      <w:r w:rsidRPr="00C34DAA">
        <w:t xml:space="preserve"> regulatory framework has the flexibility to adjust to changing circumstances.</w:t>
      </w:r>
      <w:r>
        <w:t xml:space="preserve"> </w:t>
      </w:r>
      <w:r w:rsidR="003B4338">
        <w:t>As part of this measure, it is proposed that ASIC’s regulatory fees be reviewed e</w:t>
      </w:r>
      <w:r>
        <w:t>very three year</w:t>
      </w:r>
      <w:r w:rsidR="00B53A2D">
        <w:t>s.</w:t>
      </w:r>
    </w:p>
    <w:p w14:paraId="3C619D94" w14:textId="38BA56E2" w:rsidR="00DA2DF6" w:rsidRDefault="00DA2DF6" w:rsidP="00B11272">
      <w:pPr>
        <w:pStyle w:val="Bullet"/>
        <w:numPr>
          <w:ilvl w:val="0"/>
          <w:numId w:val="0"/>
        </w:numPr>
      </w:pPr>
      <w:r>
        <w:t>Determining fee amounts every three years would provide certainty for regulated entities and provide an incentive for ASIC to ensure that it is delivering its services at the most efficient cost. If</w:t>
      </w:r>
      <w:r w:rsidR="00224E71">
        <w:t> </w:t>
      </w:r>
      <w:r>
        <w:t>there is an unforeseen change to the work required to provide a particular fee</w:t>
      </w:r>
      <w:r>
        <w:noBreakHyphen/>
        <w:t>for</w:t>
      </w:r>
      <w:r>
        <w:noBreakHyphen/>
        <w:t>service, consultation on ASIC’s fees may need to occur earlier. Any revision to the</w:t>
      </w:r>
      <w:r w:rsidRPr="007B09AE">
        <w:t xml:space="preserve"> predefined fee schedule</w:t>
      </w:r>
      <w:r>
        <w:t xml:space="preserve"> will involve consultation on the legislative regulations as per the Australian Government legislative consultation process.</w:t>
      </w:r>
    </w:p>
    <w:p w14:paraId="07E70CA3" w14:textId="14EBC9E7" w:rsidR="00DA2DF6" w:rsidRPr="008B3862" w:rsidRDefault="00DA2DF6" w:rsidP="00B11272">
      <w:pPr>
        <w:pStyle w:val="Bullet"/>
        <w:numPr>
          <w:ilvl w:val="0"/>
          <w:numId w:val="0"/>
        </w:numPr>
      </w:pPr>
      <w:r w:rsidRPr="008B3862">
        <w:t>To support the review process</w:t>
      </w:r>
      <w:r w:rsidR="00532DBA">
        <w:t>,</w:t>
      </w:r>
      <w:r w:rsidRPr="008B3862">
        <w:t xml:space="preserve"> ASIC will implement a program of assessment to ensure that the f</w:t>
      </w:r>
      <w:r w:rsidR="00532DBA">
        <w:t>ee imposed on activities remain</w:t>
      </w:r>
      <w:r w:rsidRPr="008B3862">
        <w:t xml:space="preserve"> appropriate. </w:t>
      </w:r>
      <w:r>
        <w:t>ASIC is currently developing the formal assessment process and will release details in the near future</w:t>
      </w:r>
      <w:r w:rsidRPr="008B3862">
        <w:t>.</w:t>
      </w:r>
    </w:p>
    <w:p w14:paraId="32E2267B" w14:textId="77777777" w:rsidR="00982781" w:rsidRPr="00982781" w:rsidRDefault="00982781" w:rsidP="00982781">
      <w:r w:rsidRPr="00982781">
        <w:br w:type="page"/>
      </w:r>
    </w:p>
    <w:p w14:paraId="45DC82D6" w14:textId="572EA0F8" w:rsidR="00DA2DF6" w:rsidRPr="00657E95" w:rsidRDefault="00DA2DF6" w:rsidP="00EA14E2">
      <w:pPr>
        <w:pStyle w:val="Heading3"/>
      </w:pPr>
      <w:r w:rsidRPr="00657E95">
        <w:t>Cost Recovery Implementation Statement (CRIS)</w:t>
      </w:r>
    </w:p>
    <w:p w14:paraId="3794195E" w14:textId="68028ADB" w:rsidR="00DA2DF6" w:rsidRDefault="00DA2DF6" w:rsidP="00DA2DF6">
      <w:pPr>
        <w:spacing w:after="220"/>
      </w:pPr>
      <w:r>
        <w:rPr>
          <w:rFonts w:eastAsiaTheme="minorHAnsi"/>
          <w:lang w:eastAsia="en-US"/>
        </w:rPr>
        <w:t>As required under the Australian Government Cost Recovery Guidelines, ASIC publish</w:t>
      </w:r>
      <w:r w:rsidR="003B4338">
        <w:rPr>
          <w:rFonts w:eastAsiaTheme="minorHAnsi"/>
          <w:lang w:eastAsia="en-US"/>
        </w:rPr>
        <w:t>es</w:t>
      </w:r>
      <w:r>
        <w:rPr>
          <w:rFonts w:eastAsiaTheme="minorHAnsi"/>
          <w:lang w:eastAsia="en-US"/>
        </w:rPr>
        <w:t xml:space="preserve"> a Cost</w:t>
      </w:r>
      <w:r w:rsidR="00982781">
        <w:rPr>
          <w:rFonts w:eastAsiaTheme="minorHAnsi"/>
          <w:lang w:eastAsia="en-US"/>
        </w:rPr>
        <w:t> </w:t>
      </w:r>
      <w:r>
        <w:rPr>
          <w:rFonts w:eastAsiaTheme="minorHAnsi"/>
          <w:lang w:eastAsia="en-US"/>
        </w:rPr>
        <w:t>Recovery Implementation Statement (CRIS) each October. The CRIS provide</w:t>
      </w:r>
      <w:r w:rsidR="003B4338">
        <w:rPr>
          <w:rFonts w:eastAsiaTheme="minorHAnsi"/>
          <w:lang w:eastAsia="en-US"/>
        </w:rPr>
        <w:t>s</w:t>
      </w:r>
      <w:r>
        <w:rPr>
          <w:rFonts w:eastAsiaTheme="minorHAnsi"/>
          <w:lang w:eastAsia="en-US"/>
        </w:rPr>
        <w:t xml:space="preserve"> information on how ASIC’s regulatory activities are cost recovered from the relevant sectors. It will also include information on the breakdown of each regulatory activity, an explanation of how the activity was costed and an explanation of the design of levy or fee charges.</w:t>
      </w:r>
    </w:p>
    <w:p w14:paraId="479E0BE1" w14:textId="77777777" w:rsidR="00DA2DF6" w:rsidRDefault="00DA2DF6" w:rsidP="00DA2DF6">
      <w:pPr>
        <w:spacing w:after="220"/>
      </w:pPr>
      <w:r>
        <w:t>The information captured in the CRIS includes:</w:t>
      </w:r>
    </w:p>
    <w:p w14:paraId="153AA3B0" w14:textId="74918B17" w:rsidR="00DA2DF6" w:rsidRPr="002A1A28" w:rsidRDefault="00CD0EF0" w:rsidP="002A1A28">
      <w:pPr>
        <w:pStyle w:val="Bullet"/>
      </w:pPr>
      <w:r w:rsidRPr="002A1A28">
        <w:t>p</w:t>
      </w:r>
      <w:r w:rsidR="00DA2DF6" w:rsidRPr="002A1A28">
        <w:t>olicy and statutory authority;</w:t>
      </w:r>
    </w:p>
    <w:p w14:paraId="05A64E77" w14:textId="0E75B5E2" w:rsidR="00DA2DF6" w:rsidRPr="002A1A28" w:rsidRDefault="00CD0EF0" w:rsidP="002A1A28">
      <w:pPr>
        <w:pStyle w:val="Bullet"/>
      </w:pPr>
      <w:r w:rsidRPr="002A1A28">
        <w:t>c</w:t>
      </w:r>
      <w:r w:rsidR="00DA2DF6" w:rsidRPr="002A1A28">
        <w:t>ost recovery model – outputs, costs, charges;</w:t>
      </w:r>
    </w:p>
    <w:p w14:paraId="581CCF32" w14:textId="05A0285E" w:rsidR="00DA2DF6" w:rsidRPr="002A1A28" w:rsidRDefault="00CD0EF0" w:rsidP="002A1A28">
      <w:pPr>
        <w:pStyle w:val="Bullet"/>
      </w:pPr>
      <w:r w:rsidRPr="002A1A28">
        <w:t>r</w:t>
      </w:r>
      <w:r w:rsidR="00DA2DF6" w:rsidRPr="002A1A28">
        <w:t>isk assessment;</w:t>
      </w:r>
    </w:p>
    <w:p w14:paraId="64459232" w14:textId="23BA4646" w:rsidR="00DA2DF6" w:rsidRPr="002A1A28" w:rsidRDefault="00CD0EF0" w:rsidP="002A1A28">
      <w:pPr>
        <w:pStyle w:val="Bullet"/>
      </w:pPr>
      <w:r w:rsidRPr="002A1A28">
        <w:t>s</w:t>
      </w:r>
      <w:r w:rsidR="00DA2DF6" w:rsidRPr="002A1A28">
        <w:t>takeholder engagement;</w:t>
      </w:r>
    </w:p>
    <w:p w14:paraId="5C066A9E" w14:textId="25FA67F5" w:rsidR="00DA2DF6" w:rsidRPr="002A1A28" w:rsidRDefault="00CD0EF0" w:rsidP="002A1A28">
      <w:pPr>
        <w:pStyle w:val="Bullet"/>
      </w:pPr>
      <w:r w:rsidRPr="002A1A28">
        <w:t>f</w:t>
      </w:r>
      <w:r w:rsidR="00DA2DF6" w:rsidRPr="002A1A28">
        <w:t>inancial estimates – four years;</w:t>
      </w:r>
    </w:p>
    <w:p w14:paraId="7D352329" w14:textId="73B1E2BE" w:rsidR="00DA2DF6" w:rsidRPr="002A1A28" w:rsidRDefault="00CD0EF0" w:rsidP="002A1A28">
      <w:pPr>
        <w:pStyle w:val="Bullet"/>
      </w:pPr>
      <w:r w:rsidRPr="002A1A28">
        <w:t>f</w:t>
      </w:r>
      <w:r w:rsidR="00DA2DF6" w:rsidRPr="002A1A28">
        <w:t>inancial performance – past four years; and</w:t>
      </w:r>
    </w:p>
    <w:p w14:paraId="6CF8F4EF" w14:textId="622B435D" w:rsidR="00DA2DF6" w:rsidRDefault="00CD0EF0" w:rsidP="002A1A28">
      <w:pPr>
        <w:pStyle w:val="Bullet"/>
      </w:pPr>
      <w:r w:rsidRPr="002A1A28">
        <w:t>n</w:t>
      </w:r>
      <w:r w:rsidR="00DA2DF6" w:rsidRPr="002A1A28">
        <w:t>on</w:t>
      </w:r>
      <w:r w:rsidR="00DA2DF6" w:rsidRPr="002A1A28">
        <w:noBreakHyphen/>
        <w:t>financial performance – for examp</w:t>
      </w:r>
      <w:r w:rsidR="002A1A28">
        <w:t>le, key performance indicators.</w:t>
      </w:r>
    </w:p>
    <w:p w14:paraId="25D97807" w14:textId="30C42233" w:rsidR="00DA2DF6" w:rsidRPr="008B3862" w:rsidRDefault="00DA2DF6" w:rsidP="00EA14E2">
      <w:pPr>
        <w:pStyle w:val="Heading3"/>
      </w:pPr>
      <w:bookmarkStart w:id="72" w:name="_Toc466038554"/>
      <w:r w:rsidRPr="008B3862">
        <w:t>Other accountability measures</w:t>
      </w:r>
      <w:bookmarkEnd w:id="72"/>
    </w:p>
    <w:p w14:paraId="22DE5A1E" w14:textId="77777777" w:rsidR="00DA2DF6" w:rsidRPr="002A1A28" w:rsidRDefault="00DA2DF6" w:rsidP="00EA14E2">
      <w:pPr>
        <w:pStyle w:val="Heading4"/>
      </w:pPr>
      <w:bookmarkStart w:id="73" w:name="_Toc454898029"/>
      <w:bookmarkStart w:id="74" w:name="_Toc454874910"/>
      <w:r w:rsidRPr="002A1A28">
        <w:t>ASIC Corporate Plan</w:t>
      </w:r>
      <w:bookmarkEnd w:id="73"/>
      <w:bookmarkEnd w:id="74"/>
    </w:p>
    <w:p w14:paraId="473405DE" w14:textId="77777777" w:rsidR="00DA2DF6" w:rsidRPr="008B3862" w:rsidRDefault="00DA2DF6" w:rsidP="00DA2DF6">
      <w:pPr>
        <w:spacing w:after="220"/>
      </w:pPr>
      <w:r w:rsidRPr="008B3862">
        <w:t>The ASIC Corporate Plan, published each August, details the strategic risks that ASIC intends to focus on in the coming year, as well as the emerging risks over the forward three years. The identified risks are the result of consultation between ASIC and stakeholders in March each year.</w:t>
      </w:r>
      <w:r w:rsidRPr="00570176">
        <w:t xml:space="preserve"> </w:t>
      </w:r>
      <w:r>
        <w:t>The Corporate Plan explains how ASIC will</w:t>
      </w:r>
      <w:r w:rsidR="00EB4D2C">
        <w:t xml:space="preserve"> address these short and medium</w:t>
      </w:r>
      <w:r w:rsidR="00EB4D2C">
        <w:noBreakHyphen/>
      </w:r>
      <w:r>
        <w:t>term risks, build its capability and measure its performance.</w:t>
      </w:r>
    </w:p>
    <w:p w14:paraId="31D1EEBD" w14:textId="77777777" w:rsidR="00DA2DF6" w:rsidRPr="008B3862" w:rsidRDefault="00DA2DF6" w:rsidP="00EA14E2">
      <w:pPr>
        <w:pStyle w:val="Heading4"/>
      </w:pPr>
      <w:r w:rsidRPr="008B3862">
        <w:t>ASIC Annual Report</w:t>
      </w:r>
    </w:p>
    <w:p w14:paraId="5DC0A160" w14:textId="77777777" w:rsidR="00DA2DF6" w:rsidRDefault="00DA2DF6" w:rsidP="00DA2DF6">
      <w:pPr>
        <w:spacing w:after="220"/>
      </w:pPr>
      <w:r w:rsidRPr="008B3862">
        <w:t>ASIC's Annual report, published each October, i</w:t>
      </w:r>
      <w:r>
        <w:t>ncludes</w:t>
      </w:r>
      <w:r w:rsidRPr="008B3862">
        <w:t xml:space="preserve"> an annual performance statement </w:t>
      </w:r>
      <w:r>
        <w:t>and provides further details on ASIC's performance outcomes for that year. The Annual Report</w:t>
      </w:r>
      <w:r w:rsidRPr="008B3862">
        <w:t xml:space="preserve"> provides transparency </w:t>
      </w:r>
      <w:r>
        <w:t>around</w:t>
      </w:r>
      <w:r w:rsidRPr="008B3862">
        <w:t xml:space="preserve"> the activities that ASIC has undertaken </w:t>
      </w:r>
      <w:r>
        <w:t xml:space="preserve">in each industry sector </w:t>
      </w:r>
      <w:r w:rsidRPr="008B3862">
        <w:t xml:space="preserve">and </w:t>
      </w:r>
      <w:r>
        <w:t xml:space="preserve">also </w:t>
      </w:r>
      <w:r w:rsidRPr="008B3862">
        <w:t>includes the independently audited financial statements.</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982781" w14:paraId="5FAB4A6B" w14:textId="77777777" w:rsidTr="00982781">
        <w:tc>
          <w:tcPr>
            <w:tcW w:w="9286" w:type="dxa"/>
            <w:shd w:val="clear" w:color="auto" w:fill="DEEAF6" w:themeFill="accent1" w:themeFillTint="33"/>
          </w:tcPr>
          <w:p w14:paraId="1B26497A" w14:textId="208E2C05" w:rsidR="00982781" w:rsidRPr="00982781" w:rsidRDefault="00982781" w:rsidP="00982781">
            <w:pPr>
              <w:pStyle w:val="BoxHeading"/>
            </w:pPr>
            <w:r w:rsidRPr="00982781">
              <w:t>Question</w:t>
            </w:r>
          </w:p>
          <w:p w14:paraId="6D473438" w14:textId="26DD8538" w:rsidR="00982781" w:rsidRDefault="00982781" w:rsidP="00982781">
            <w:pPr>
              <w:pStyle w:val="BoxQuestions"/>
            </w:pPr>
            <w:r w:rsidRPr="00DA2DF6">
              <w:t>Are the proposed accountability measures for ASIC appropriate? If not, please provide details.</w:t>
            </w:r>
          </w:p>
        </w:tc>
      </w:tr>
    </w:tbl>
    <w:p w14:paraId="285AD3F1" w14:textId="77777777" w:rsidR="00982781" w:rsidRPr="00982781" w:rsidRDefault="00982781" w:rsidP="00982781">
      <w:bookmarkStart w:id="75" w:name="_Toc496021450"/>
      <w:bookmarkStart w:id="76" w:name="_Toc489541620"/>
      <w:bookmarkStart w:id="77" w:name="_Toc492908200"/>
    </w:p>
    <w:p w14:paraId="7E58DEFD" w14:textId="77777777" w:rsidR="00982781" w:rsidRDefault="00982781">
      <w:pPr>
        <w:spacing w:after="160" w:line="259" w:lineRule="auto"/>
        <w:jc w:val="left"/>
        <w:rPr>
          <w:rFonts w:cs="Arial"/>
          <w:b/>
          <w:iCs/>
          <w:color w:val="595959" w:themeColor="text1" w:themeTint="A6"/>
          <w:kern w:val="32"/>
          <w:sz w:val="40"/>
          <w:szCs w:val="28"/>
        </w:rPr>
      </w:pPr>
      <w:r>
        <w:br w:type="page"/>
      </w:r>
    </w:p>
    <w:p w14:paraId="550D59C7" w14:textId="350D08D1" w:rsidR="00DA2DF6" w:rsidRPr="00F00D04" w:rsidRDefault="00DA2DF6" w:rsidP="00EA14E2">
      <w:pPr>
        <w:pStyle w:val="Heading2"/>
      </w:pPr>
      <w:bookmarkStart w:id="78" w:name="_Toc498596551"/>
      <w:r w:rsidRPr="00F13A87">
        <w:t>Competition</w:t>
      </w:r>
      <w:r w:rsidRPr="00F00D04">
        <w:t xml:space="preserve"> and innovation</w:t>
      </w:r>
      <w:bookmarkEnd w:id="75"/>
      <w:bookmarkEnd w:id="76"/>
      <w:bookmarkEnd w:id="77"/>
      <w:bookmarkEnd w:id="78"/>
    </w:p>
    <w:p w14:paraId="7C3A0E51" w14:textId="77777777" w:rsidR="00DA2DF6" w:rsidRDefault="00DA2DF6" w:rsidP="00B11272">
      <w:pPr>
        <w:pStyle w:val="Bullet"/>
        <w:numPr>
          <w:ilvl w:val="0"/>
          <w:numId w:val="0"/>
        </w:numPr>
      </w:pPr>
      <w:r w:rsidRPr="00437338">
        <w:t>Competitive markets play an important role in delivering good investor and consumer outcomes in the financial system and competition is a key contributor to efficient outcomes for price, quality, choice and innovation. Regulators, product issuers, distributors and consumers all play a role in shaping the competitive landscape.</w:t>
      </w:r>
    </w:p>
    <w:p w14:paraId="5A443043" w14:textId="77777777" w:rsidR="00DA2DF6" w:rsidRPr="003A361D" w:rsidRDefault="00DA2DF6" w:rsidP="00EA14E2">
      <w:pPr>
        <w:pStyle w:val="Heading3"/>
      </w:pPr>
      <w:r w:rsidRPr="003A361D">
        <w:t>ASIC and com</w:t>
      </w:r>
      <w:r w:rsidRPr="00881EB6">
        <w:t>p</w:t>
      </w:r>
      <w:r w:rsidRPr="003A361D">
        <w:t>etition</w:t>
      </w:r>
    </w:p>
    <w:p w14:paraId="04FC577B" w14:textId="42FDE2F1" w:rsidR="00DA2DF6" w:rsidRPr="00912A9A" w:rsidRDefault="00DA2DF6" w:rsidP="00B11272">
      <w:pPr>
        <w:pStyle w:val="Bullet"/>
        <w:numPr>
          <w:ilvl w:val="0"/>
          <w:numId w:val="0"/>
        </w:numPr>
      </w:pPr>
      <w:r w:rsidRPr="00912A9A">
        <w:t>ASIC is not a competition regulator but its regulatory framework, policies and dec</w:t>
      </w:r>
      <w:r w:rsidR="00CD0EF0">
        <w:t>isions</w:t>
      </w:r>
      <w:r w:rsidRPr="00912A9A">
        <w:t xml:space="preserve"> play an important role in shaping competition in the financial system. Where possible, ASIC considers compet</w:t>
      </w:r>
      <w:r w:rsidR="00B53A2D">
        <w:t>ition in carrying out its work.</w:t>
      </w:r>
    </w:p>
    <w:p w14:paraId="5FB4B4B1" w14:textId="77777777" w:rsidR="00DA2DF6" w:rsidRPr="00437338" w:rsidRDefault="00DA2DF6" w:rsidP="00B11272">
      <w:pPr>
        <w:pStyle w:val="Bullet"/>
        <w:numPr>
          <w:ilvl w:val="0"/>
          <w:numId w:val="0"/>
        </w:numPr>
      </w:pPr>
      <w:r w:rsidRPr="00912A9A">
        <w:t>ASIC has undertaken a number of actions to actively encourage competition with the aim of improving consumer outcomes. For example:</w:t>
      </w:r>
    </w:p>
    <w:p w14:paraId="3284CE2E" w14:textId="60118ACC" w:rsidR="00DA2DF6" w:rsidRPr="002A1A28" w:rsidRDefault="00DA2DF6" w:rsidP="002A1A28">
      <w:pPr>
        <w:pStyle w:val="Bullet"/>
      </w:pPr>
      <w:r w:rsidRPr="002A1A28">
        <w:t>ASIC's Innovation Hub helps financial technology (</w:t>
      </w:r>
      <w:proofErr w:type="spellStart"/>
      <w:r w:rsidRPr="002A1A28">
        <w:t>fintech</w:t>
      </w:r>
      <w:proofErr w:type="spellEnd"/>
      <w:r w:rsidRPr="002A1A28">
        <w:t>) start</w:t>
      </w:r>
      <w:r w:rsidRPr="002A1A28">
        <w:noBreakHyphen/>
        <w:t>ups with innovative, new</w:t>
      </w:r>
      <w:r w:rsidR="00224E71">
        <w:t> </w:t>
      </w:r>
      <w:r w:rsidRPr="002A1A28">
        <w:t>business models to navigate our regulatory system without compromising investor and financial consumer trust and confidence. The Innovation Hub has assisted more than 160 entities in areas including digital advice, marketplace lending, crowd</w:t>
      </w:r>
      <w:r w:rsidRPr="002A1A28">
        <w:noBreakHyphen/>
        <w:t xml:space="preserve">sourced funding, and consumer credit. ASIC’s ‘regulatory sandbox’ framework enables eligible </w:t>
      </w:r>
      <w:proofErr w:type="spellStart"/>
      <w:r w:rsidRPr="002A1A28">
        <w:t>fintech</w:t>
      </w:r>
      <w:proofErr w:type="spellEnd"/>
      <w:r w:rsidRPr="002A1A28">
        <w:t xml:space="preserve"> businesses to test certain specified products or services for up to 12 months without an AFS licence or credit licence.</w:t>
      </w:r>
    </w:p>
    <w:p w14:paraId="2BE6996C" w14:textId="77777777" w:rsidR="00DA2DF6" w:rsidRPr="002A1A28" w:rsidRDefault="00DA2DF6" w:rsidP="002A1A28">
      <w:pPr>
        <w:pStyle w:val="Bullet"/>
      </w:pPr>
      <w:r w:rsidRPr="002A1A28">
        <w:t>ASIC’s work through the Council of Financial Regulators, which comprises the RBA, APRA, ASIC and the Australian Treasury, has established, with the ACCC, a robust regulatory framework for introducing safe and effective competition for critical centralised financial market infrastructure. ASIC has also facilitated the entry into Australia of global market infrastructure providers, and facilitated Australian institutions accessing overseas capital markets efficiently.</w:t>
      </w:r>
    </w:p>
    <w:p w14:paraId="48988E7D" w14:textId="665E6AE8" w:rsidR="00DA2DF6" w:rsidRPr="002A1A28" w:rsidRDefault="00DA2DF6" w:rsidP="002A1A28">
      <w:pPr>
        <w:pStyle w:val="Bullet"/>
      </w:pPr>
      <w:r w:rsidRPr="002A1A28">
        <w:t>ASIC continues to take a multifaceted approach to reducing red tape, consistent with the Government’s regulatory reform agenda</w:t>
      </w:r>
      <w:r w:rsidR="002A1A28">
        <w:t>,</w:t>
      </w:r>
      <w:r w:rsidRPr="002A1A28">
        <w:rPr>
          <w:rStyle w:val="FootnoteReference"/>
        </w:rPr>
        <w:footnoteReference w:id="6"/>
      </w:r>
      <w:r w:rsidRPr="002A1A28">
        <w:t xml:space="preserve"> with the aims of removing any regulatory barriers to competition, reducing costs to business overall, and ensuring its regulation is appropriate and proportionate. For example, ASIC has undertaken significant work to improve and streamline ex</w:t>
      </w:r>
      <w:r w:rsidR="00B53A2D">
        <w:t>isting regulatory requirements.</w:t>
      </w:r>
    </w:p>
    <w:p w14:paraId="3853A789" w14:textId="77777777" w:rsidR="00DA2DF6" w:rsidRPr="003A361D" w:rsidRDefault="00DA2DF6" w:rsidP="00EA14E2">
      <w:pPr>
        <w:pStyle w:val="Heading3"/>
      </w:pPr>
      <w:r w:rsidRPr="003A361D">
        <w:t>Feedback from stakeholder consultation</w:t>
      </w:r>
    </w:p>
    <w:p w14:paraId="7C4EFFCB" w14:textId="77777777" w:rsidR="00DA2DF6" w:rsidRPr="00912A9A" w:rsidRDefault="00DA2DF6" w:rsidP="00B11272">
      <w:pPr>
        <w:pStyle w:val="Bullet"/>
        <w:numPr>
          <w:ilvl w:val="0"/>
          <w:numId w:val="0"/>
        </w:numPr>
      </w:pPr>
      <w:r w:rsidRPr="00912A9A">
        <w:t xml:space="preserve">Feedback to </w:t>
      </w:r>
      <w:r>
        <w:t>the Government's August 2015 consultation paper</w:t>
      </w:r>
      <w:r w:rsidRPr="00A20006">
        <w:t xml:space="preserve"> </w:t>
      </w:r>
      <w:r w:rsidRPr="00912A9A">
        <w:t>indicated concerns abou</w:t>
      </w:r>
      <w:r>
        <w:t>t the size of the proposed fees</w:t>
      </w:r>
      <w:r>
        <w:noBreakHyphen/>
        <w:t>for</w:t>
      </w:r>
      <w:r>
        <w:noBreakHyphen/>
      </w:r>
      <w:r w:rsidRPr="00912A9A">
        <w:t>service and suggested that the model may have a negative impact on competition, potentially creating new barriers to</w:t>
      </w:r>
      <w:r>
        <w:t xml:space="preserve"> entry into financial markets.</w:t>
      </w:r>
    </w:p>
    <w:p w14:paraId="7DB80474" w14:textId="77777777" w:rsidR="00DA2DF6" w:rsidRPr="001D3B45" w:rsidRDefault="00DA2DF6" w:rsidP="00B11272">
      <w:pPr>
        <w:pStyle w:val="Bullet"/>
        <w:numPr>
          <w:ilvl w:val="0"/>
          <w:numId w:val="0"/>
        </w:numPr>
      </w:pPr>
      <w:r>
        <w:t>The Government</w:t>
      </w:r>
      <w:r w:rsidRPr="00912A9A">
        <w:t xml:space="preserve"> has taken this </w:t>
      </w:r>
      <w:r w:rsidRPr="000277E5">
        <w:t xml:space="preserve">feedback into account in revising the proposed fees-for-service model, and has adopted a more granular approach (where appropriate), which more closely aligns </w:t>
      </w:r>
      <w:r w:rsidRPr="000277E5">
        <w:rPr>
          <w:rFonts w:asciiTheme="minorHAnsi" w:hAnsiTheme="minorHAnsi"/>
        </w:rPr>
        <w:t>the fee to the amount of regulatory effort involved in assessing the application</w:t>
      </w:r>
      <w:r w:rsidRPr="000277E5">
        <w:t>.</w:t>
      </w:r>
    </w:p>
    <w:p w14:paraId="178FE422" w14:textId="77777777" w:rsidR="00DA2DF6" w:rsidRPr="00912A9A" w:rsidRDefault="00DA2DF6" w:rsidP="00982781">
      <w:pPr>
        <w:pStyle w:val="Bullet"/>
        <w:numPr>
          <w:ilvl w:val="0"/>
          <w:numId w:val="0"/>
        </w:numPr>
        <w:spacing w:after="220"/>
      </w:pPr>
      <w:r w:rsidRPr="00912A9A">
        <w:t xml:space="preserve">Specific examples where </w:t>
      </w:r>
      <w:r>
        <w:t xml:space="preserve">ASIC </w:t>
      </w:r>
      <w:r w:rsidRPr="00912A9A">
        <w:t xml:space="preserve">have </w:t>
      </w:r>
      <w:r>
        <w:t xml:space="preserve">undertaken additional research and consideration </w:t>
      </w:r>
      <w:r w:rsidRPr="00912A9A">
        <w:t>to minimise the impact on competition and innovation include ASIC’s relief application and licensing fees.</w:t>
      </w:r>
    </w:p>
    <w:p w14:paraId="062FA7EC" w14:textId="77777777" w:rsidR="00DA2DF6" w:rsidRPr="003A361D" w:rsidRDefault="00DA2DF6" w:rsidP="00EA14E2">
      <w:pPr>
        <w:pStyle w:val="Heading3"/>
      </w:pPr>
      <w:r w:rsidRPr="00912A9A">
        <w:t>Relief applications</w:t>
      </w:r>
    </w:p>
    <w:p w14:paraId="6D49CBB8" w14:textId="4CC0E1CB" w:rsidR="00DA2DF6" w:rsidRPr="00623176" w:rsidRDefault="00DA2DF6" w:rsidP="00982781">
      <w:pPr>
        <w:spacing w:after="220"/>
      </w:pPr>
      <w:r>
        <w:t>T</w:t>
      </w:r>
      <w:r w:rsidRPr="00623176">
        <w:t xml:space="preserve">he </w:t>
      </w:r>
      <w:r>
        <w:t xml:space="preserve">Government’s </w:t>
      </w:r>
      <w:r w:rsidRPr="00623176">
        <w:t>August</w:t>
      </w:r>
      <w:r>
        <w:t> </w:t>
      </w:r>
      <w:r w:rsidRPr="00623176">
        <w:t>2015 consultation paper proposed a fee structure that outlined three</w:t>
      </w:r>
      <w:r w:rsidR="003E394A">
        <w:t> </w:t>
      </w:r>
      <w:r w:rsidRPr="00623176">
        <w:t>different fees dependant on three categories of relief as follows:</w:t>
      </w:r>
    </w:p>
    <w:p w14:paraId="43193A85" w14:textId="77777777" w:rsidR="00DA2DF6" w:rsidRPr="002A1A28" w:rsidRDefault="00DA2DF6" w:rsidP="00982781">
      <w:pPr>
        <w:pStyle w:val="Bullet"/>
        <w:spacing w:after="220"/>
      </w:pPr>
      <w:r w:rsidRPr="002A1A28">
        <w:t>‘Standard’ applications seek relief precisely in line with the terms of published ASIC policy and pro forma instruments.</w:t>
      </w:r>
    </w:p>
    <w:p w14:paraId="39E6D0B7" w14:textId="77777777" w:rsidR="00DA2DF6" w:rsidRPr="002A1A28" w:rsidRDefault="00DA2DF6" w:rsidP="00982781">
      <w:pPr>
        <w:pStyle w:val="Bullet"/>
        <w:spacing w:after="220"/>
      </w:pPr>
      <w:r w:rsidRPr="002A1A28">
        <w:t>‘Minor and technical’ applications are not completely standard but are clearly within the policy of the Corporations Act, existing ASIC policy, or other relevant legislation.</w:t>
      </w:r>
    </w:p>
    <w:p w14:paraId="66E1D27F" w14:textId="77777777" w:rsidR="00DA2DF6" w:rsidRPr="002A1A28" w:rsidRDefault="00DA2DF6" w:rsidP="00982781">
      <w:pPr>
        <w:pStyle w:val="Bullet"/>
        <w:spacing w:after="220"/>
      </w:pPr>
      <w:r w:rsidRPr="002A1A28">
        <w:t>‘Novel’ applications require ASIC to formulate substantive new policy. This may be because they raise new policy considerations, involve more than minor or technical variations to existing policy, or involve a significant change to (or reversal of) existing policy.</w:t>
      </w:r>
    </w:p>
    <w:p w14:paraId="00554010" w14:textId="6105E0E2" w:rsidR="00DA2DF6" w:rsidRPr="00CF287F" w:rsidRDefault="00DA2DF6" w:rsidP="00982781">
      <w:pPr>
        <w:spacing w:after="220"/>
        <w:rPr>
          <w:lang w:val="en"/>
        </w:rPr>
      </w:pPr>
      <w:r w:rsidRPr="00CF287F">
        <w:rPr>
          <w:lang w:val="en"/>
        </w:rPr>
        <w:t xml:space="preserve">If an </w:t>
      </w:r>
      <w:r w:rsidRPr="00CF287F">
        <w:t>application</w:t>
      </w:r>
      <w:r w:rsidRPr="00CF287F">
        <w:rPr>
          <w:lang w:val="en"/>
        </w:rPr>
        <w:t xml:space="preserve"> is neither standard </w:t>
      </w:r>
      <w:r w:rsidR="00CD0EF0">
        <w:rPr>
          <w:lang w:val="en"/>
        </w:rPr>
        <w:t>n</w:t>
      </w:r>
      <w:r w:rsidRPr="00CF287F">
        <w:rPr>
          <w:lang w:val="en"/>
        </w:rPr>
        <w:t>or minor and technical, it is automatically a novel application.</w:t>
      </w:r>
    </w:p>
    <w:p w14:paraId="618744D5" w14:textId="77777777" w:rsidR="00DA2DF6" w:rsidRPr="00437338" w:rsidRDefault="00DA2DF6" w:rsidP="00982781">
      <w:pPr>
        <w:pStyle w:val="Bullet"/>
        <w:numPr>
          <w:ilvl w:val="0"/>
          <w:numId w:val="0"/>
        </w:numPr>
        <w:spacing w:after="220"/>
      </w:pPr>
      <w:r w:rsidRPr="00437338">
        <w:t>Whil</w:t>
      </w:r>
      <w:r>
        <w:t>e</w:t>
      </w:r>
      <w:r w:rsidRPr="00437338">
        <w:t xml:space="preserve"> providing feedback on the </w:t>
      </w:r>
      <w:r>
        <w:t xml:space="preserve">Government’s </w:t>
      </w:r>
      <w:r w:rsidRPr="00437338">
        <w:t>2015 consultation paper some stakeholders expressed concern that the fees for relief may also raise potential barriers to innovation. Most significantly, the $21,000 fee for novel relief applications, previously proposed, considerably increased the costs for first movers bringing new products to market that may require ASIC regulatory relief.</w:t>
      </w:r>
    </w:p>
    <w:p w14:paraId="2B0B93A7" w14:textId="7EAE09FF" w:rsidR="00A84FDE" w:rsidRDefault="003B4338" w:rsidP="00982781">
      <w:pPr>
        <w:pStyle w:val="Bullet"/>
        <w:numPr>
          <w:ilvl w:val="0"/>
          <w:numId w:val="0"/>
        </w:numPr>
        <w:spacing w:after="220"/>
      </w:pPr>
      <w:r>
        <w:t xml:space="preserve">Following this feedback the allocation of fees for novel relief applications was reviewed and it was decided </w:t>
      </w:r>
      <w:r w:rsidR="00A84FDE">
        <w:t xml:space="preserve">that </w:t>
      </w:r>
      <w:r w:rsidR="00A84FDE" w:rsidRPr="00023053">
        <w:t>a single fee for applications for relief be charged, rather than distinguishing between standard, minor and technical, and novel. The additional cost associated with novel applications over and above the flat fee will be rolled into the levy system</w:t>
      </w:r>
      <w:r w:rsidR="00A84FDE">
        <w:t>.</w:t>
      </w:r>
    </w:p>
    <w:p w14:paraId="4D246C36" w14:textId="2918021E" w:rsidR="00CE5896" w:rsidRPr="00623176" w:rsidRDefault="00CE5896" w:rsidP="00982781">
      <w:pPr>
        <w:pStyle w:val="Bullet"/>
        <w:numPr>
          <w:ilvl w:val="0"/>
          <w:numId w:val="0"/>
        </w:numPr>
        <w:spacing w:after="220"/>
        <w:rPr>
          <w:lang w:val="en"/>
        </w:rPr>
      </w:pPr>
      <w:r w:rsidRPr="00623176">
        <w:rPr>
          <w:lang w:val="en"/>
        </w:rPr>
        <w:t xml:space="preserve">The rationale for </w:t>
      </w:r>
      <w:r w:rsidRPr="00623176">
        <w:t>rolling</w:t>
      </w:r>
      <w:r w:rsidRPr="00623176">
        <w:rPr>
          <w:lang w:val="en"/>
        </w:rPr>
        <w:t xml:space="preserve"> </w:t>
      </w:r>
      <w:r w:rsidR="00A84FDE" w:rsidRPr="00023053">
        <w:rPr>
          <w:lang w:val="en"/>
        </w:rPr>
        <w:t>the additional cost component of</w:t>
      </w:r>
      <w:r w:rsidR="00A84FDE">
        <w:rPr>
          <w:lang w:val="en"/>
        </w:rPr>
        <w:t xml:space="preserve"> </w:t>
      </w:r>
      <w:r w:rsidRPr="00623176">
        <w:rPr>
          <w:lang w:val="en"/>
        </w:rPr>
        <w:t>novel application</w:t>
      </w:r>
      <w:r w:rsidR="00A84FDE">
        <w:rPr>
          <w:lang w:val="en"/>
        </w:rPr>
        <w:t>s</w:t>
      </w:r>
      <w:r w:rsidRPr="00623176">
        <w:rPr>
          <w:lang w:val="en"/>
        </w:rPr>
        <w:t xml:space="preserve"> for relief into the levy system is multifaceted:</w:t>
      </w:r>
    </w:p>
    <w:p w14:paraId="095829DD" w14:textId="411F6111" w:rsidR="00DA2DF6" w:rsidRPr="002A1A28" w:rsidRDefault="00DA2DF6" w:rsidP="00982781">
      <w:pPr>
        <w:pStyle w:val="Bullet"/>
        <w:spacing w:after="220"/>
      </w:pPr>
      <w:r w:rsidRPr="002A1A28">
        <w:t xml:space="preserve">Novel applications </w:t>
      </w:r>
      <w:r w:rsidR="003B4338" w:rsidRPr="002A1A28">
        <w:t>often</w:t>
      </w:r>
      <w:r w:rsidRPr="002A1A28">
        <w:t xml:space="preserve"> have a wider industry benefit by highlighting the need for regulatory change or clarification where there are unin</w:t>
      </w:r>
      <w:r w:rsidR="00B53A2D">
        <w:t>tended consequences of the law.</w:t>
      </w:r>
    </w:p>
    <w:p w14:paraId="164AB963" w14:textId="77777777" w:rsidR="00DA2DF6" w:rsidRPr="002A1A28" w:rsidRDefault="00DA2DF6" w:rsidP="00982781">
      <w:pPr>
        <w:pStyle w:val="Bullet"/>
        <w:spacing w:after="220"/>
      </w:pPr>
      <w:r w:rsidRPr="002A1A28">
        <w:t>The significantly higher costs that are associated with novel application for relief may deter applicants from seeking relief in respect of areas of law or policy where regulatory change is desirable.</w:t>
      </w:r>
    </w:p>
    <w:p w14:paraId="4BB6C3FC" w14:textId="77777777" w:rsidR="00DA2DF6" w:rsidRPr="002A1A28" w:rsidRDefault="00DA2DF6" w:rsidP="00982781">
      <w:pPr>
        <w:pStyle w:val="Bullet"/>
        <w:spacing w:after="220"/>
      </w:pPr>
      <w:r w:rsidRPr="002A1A28">
        <w:t>A subsequent decrease in novel applications may mean that individually, companies face an increased regulatory burden, and on a macro level, innovation and new policy development is hindered.</w:t>
      </w:r>
    </w:p>
    <w:p w14:paraId="3D897D27" w14:textId="77777777" w:rsidR="00DA2DF6" w:rsidRPr="00623176" w:rsidRDefault="00DA2DF6" w:rsidP="00982781">
      <w:pPr>
        <w:pStyle w:val="Bullet"/>
        <w:numPr>
          <w:ilvl w:val="0"/>
          <w:numId w:val="0"/>
        </w:numPr>
        <w:spacing w:after="220"/>
      </w:pPr>
      <w:r w:rsidRPr="00623176">
        <w:t xml:space="preserve">The </w:t>
      </w:r>
      <w:r w:rsidRPr="00623176">
        <w:rPr>
          <w:lang w:val="en"/>
        </w:rPr>
        <w:t>rationale</w:t>
      </w:r>
      <w:r w:rsidRPr="00623176">
        <w:t xml:space="preserve"> for merging standard applications for relief with minor and technical applications for relief is </w:t>
      </w:r>
      <w:r>
        <w:t>that</w:t>
      </w:r>
      <w:r w:rsidRPr="00623176">
        <w:t>:</w:t>
      </w:r>
    </w:p>
    <w:p w14:paraId="5E931C81" w14:textId="77777777" w:rsidR="00DA2DF6" w:rsidRPr="002A1A28" w:rsidRDefault="00DA2DF6" w:rsidP="00982781">
      <w:pPr>
        <w:pStyle w:val="Bullet"/>
        <w:spacing w:after="220"/>
      </w:pPr>
      <w:r w:rsidRPr="002A1A28">
        <w:t>Class relief by legislative instrument has eliminated the need for many types of standard applications; and</w:t>
      </w:r>
    </w:p>
    <w:p w14:paraId="4CB96AD0" w14:textId="77777777" w:rsidR="00DA2DF6" w:rsidRPr="002A1A28" w:rsidRDefault="00DA2DF6" w:rsidP="00982781">
      <w:pPr>
        <w:pStyle w:val="Bullet"/>
        <w:spacing w:after="220"/>
      </w:pPr>
      <w:r w:rsidRPr="002A1A28">
        <w:t>There is a fine distinction between standard and minor and technical relief applications which is not always evident when the application is made.</w:t>
      </w:r>
    </w:p>
    <w:p w14:paraId="00438143" w14:textId="77777777" w:rsidR="00DA2DF6" w:rsidRPr="00C90F99" w:rsidRDefault="00DA2DF6" w:rsidP="00EA14E2">
      <w:pPr>
        <w:pStyle w:val="Heading3"/>
      </w:pPr>
      <w:r w:rsidRPr="00C90F99">
        <w:t>Licensing fees</w:t>
      </w:r>
    </w:p>
    <w:p w14:paraId="38C296B2" w14:textId="77777777" w:rsidR="00DA2DF6" w:rsidRDefault="00DA2DF6" w:rsidP="00B11272">
      <w:pPr>
        <w:pStyle w:val="Bullet"/>
        <w:numPr>
          <w:ilvl w:val="0"/>
          <w:numId w:val="0"/>
        </w:numPr>
        <w:rPr>
          <w:rFonts w:asciiTheme="minorHAnsi" w:hAnsiTheme="minorHAnsi"/>
        </w:rPr>
      </w:pPr>
      <w:r w:rsidRPr="000277E5">
        <w:t>As noted in the explanation on fee methodology, ASIC is now proposing to cost some licence applications at a more granular level (through tiering)</w:t>
      </w:r>
      <w:r>
        <w:t>,</w:t>
      </w:r>
      <w:r w:rsidRPr="000277E5">
        <w:t xml:space="preserve"> </w:t>
      </w:r>
      <w:r w:rsidRPr="000277E5">
        <w:rPr>
          <w:rFonts w:asciiTheme="minorHAnsi" w:hAnsiTheme="minorHAnsi"/>
        </w:rPr>
        <w:t>which more closely aligns the fee being charged to the regulatory effort involved in assessing the application. This recognises stakeholder feedback that costing both full and limited licence applications at the same set fee may be a potential hindrance to encouraging entities from applying from a limited licence.</w:t>
      </w:r>
    </w:p>
    <w:p w14:paraId="3B789C4A" w14:textId="77777777" w:rsidR="002A1A28" w:rsidRDefault="00DA2DF6" w:rsidP="00B11272">
      <w:pPr>
        <w:pStyle w:val="Bullet"/>
        <w:numPr>
          <w:ilvl w:val="0"/>
          <w:numId w:val="0"/>
        </w:numPr>
      </w:pPr>
      <w:r w:rsidRPr="009E40B8">
        <w:t>The complexity relating to A</w:t>
      </w:r>
      <w:r w:rsidR="00CD0EF0">
        <w:t>FS</w:t>
      </w:r>
      <w:r w:rsidRPr="009E40B8">
        <w:t xml:space="preserve"> licence applica</w:t>
      </w:r>
      <w:r w:rsidR="00CE5896">
        <w:t>tions will be determined depende</w:t>
      </w:r>
      <w:r w:rsidRPr="009E40B8">
        <w:t xml:space="preserve">nt on client type and </w:t>
      </w:r>
      <w:r w:rsidR="00532DBA">
        <w:t xml:space="preserve">the </w:t>
      </w:r>
      <w:r w:rsidRPr="009E40B8">
        <w:t>services and products selected when applying. Market licence applicants however will be directed to contact a member of ASIC</w:t>
      </w:r>
      <w:r>
        <w:t>’</w:t>
      </w:r>
      <w:r w:rsidRPr="009E40B8">
        <w:t>s Market Infrastructure team for a preliminary assessment of complexity when submitting an application.</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982781" w14:paraId="0672D11A" w14:textId="77777777" w:rsidTr="00982781">
        <w:tc>
          <w:tcPr>
            <w:tcW w:w="9286" w:type="dxa"/>
            <w:shd w:val="clear" w:color="auto" w:fill="DEEAF6" w:themeFill="accent1" w:themeFillTint="33"/>
          </w:tcPr>
          <w:p w14:paraId="71B01EF7" w14:textId="7EC3977F" w:rsidR="00982781" w:rsidRPr="00982781" w:rsidRDefault="00982781" w:rsidP="00982781">
            <w:pPr>
              <w:pStyle w:val="BoxHeading"/>
            </w:pPr>
            <w:r>
              <w:t>Question</w:t>
            </w:r>
          </w:p>
          <w:p w14:paraId="4569C9E3" w14:textId="0CA0E584" w:rsidR="00982781" w:rsidRDefault="00982781" w:rsidP="00982781">
            <w:pPr>
              <w:pStyle w:val="BoxQuestions"/>
            </w:pPr>
            <w:r w:rsidRPr="00DA2DF6">
              <w:t>Will the proposed fees</w:t>
            </w:r>
            <w:r w:rsidRPr="00DA2DF6">
              <w:noBreakHyphen/>
              <w:t>for</w:t>
            </w:r>
            <w:r w:rsidRPr="00DA2DF6">
              <w:noBreakHyphen/>
              <w:t>service model have an effect on competition and innovation? If so, please provide details</w:t>
            </w:r>
            <w:r>
              <w:t>, including possible ways to mitigate the effect.</w:t>
            </w:r>
          </w:p>
        </w:tc>
      </w:tr>
    </w:tbl>
    <w:p w14:paraId="5A8A8F08" w14:textId="77777777" w:rsidR="00982781" w:rsidRPr="00982781" w:rsidRDefault="00982781" w:rsidP="00982781">
      <w:bookmarkStart w:id="79" w:name="_Toc489541622"/>
      <w:bookmarkStart w:id="80" w:name="_Toc492908202"/>
      <w:bookmarkStart w:id="81" w:name="_Toc496021452"/>
      <w:bookmarkStart w:id="82" w:name="_Toc497212026"/>
      <w:bookmarkStart w:id="83" w:name="_Toc497403331"/>
    </w:p>
    <w:p w14:paraId="0E40DAC5" w14:textId="77777777" w:rsidR="00DA2DF6" w:rsidRPr="001610B8" w:rsidRDefault="00DA2DF6" w:rsidP="00C35775">
      <w:pPr>
        <w:pStyle w:val="Heading2"/>
      </w:pPr>
      <w:bookmarkStart w:id="84" w:name="_Toc498596552"/>
      <w:r w:rsidRPr="001610B8">
        <w:t xml:space="preserve">Timeline for </w:t>
      </w:r>
      <w:r w:rsidRPr="00F13A87">
        <w:t>implementation</w:t>
      </w:r>
      <w:r>
        <w:t xml:space="preserve"> and next steps</w:t>
      </w:r>
      <w:bookmarkEnd w:id="79"/>
      <w:bookmarkEnd w:id="80"/>
      <w:bookmarkEnd w:id="81"/>
      <w:bookmarkEnd w:id="82"/>
      <w:bookmarkEnd w:id="83"/>
      <w:bookmarkEnd w:id="84"/>
    </w:p>
    <w:p w14:paraId="691564F9" w14:textId="5BA9748D" w:rsidR="00DA2DF6" w:rsidRDefault="00DA2DF6" w:rsidP="00DA2DF6">
      <w:r>
        <w:t>An outline of the key processes and indicative timing for implementing fee</w:t>
      </w:r>
      <w:r w:rsidR="00E7566A">
        <w:t>s</w:t>
      </w:r>
      <w:r>
        <w:noBreakHyphen/>
        <w:t>for</w:t>
      </w:r>
      <w:r>
        <w:noBreakHyphen/>
        <w:t>service</w:t>
      </w:r>
      <w:r w:rsidR="00E7566A">
        <w:t xml:space="preserve"> reforms</w:t>
      </w:r>
      <w:r>
        <w:t xml:space="preserve"> is set out below.</w:t>
      </w:r>
    </w:p>
    <w:tbl>
      <w:tblPr>
        <w:tblW w:w="9291" w:type="dxa"/>
        <w:tblLook w:val="04A0" w:firstRow="1" w:lastRow="0" w:firstColumn="1" w:lastColumn="0" w:noHBand="0" w:noVBand="1"/>
      </w:tblPr>
      <w:tblGrid>
        <w:gridCol w:w="1746"/>
        <w:gridCol w:w="7545"/>
      </w:tblGrid>
      <w:tr w:rsidR="00DA2DF6" w:rsidRPr="002A1A28" w14:paraId="52248A64" w14:textId="77777777" w:rsidTr="00982781">
        <w:trPr>
          <w:trHeight w:val="20"/>
        </w:trPr>
        <w:tc>
          <w:tcPr>
            <w:tcW w:w="1746" w:type="dxa"/>
            <w:tcBorders>
              <w:top w:val="single" w:sz="4" w:space="0" w:color="004A7F"/>
              <w:bottom w:val="single" w:sz="4" w:space="0" w:color="004A7F"/>
            </w:tcBorders>
            <w:shd w:val="clear" w:color="auto" w:fill="DEEAF6" w:themeFill="accent1" w:themeFillTint="33"/>
            <w:hideMark/>
          </w:tcPr>
          <w:p w14:paraId="74CF8124" w14:textId="77777777" w:rsidR="00DA2DF6" w:rsidRPr="002A1A28" w:rsidRDefault="00DA2DF6" w:rsidP="002A1A28">
            <w:pPr>
              <w:pStyle w:val="TableColumnHeadingLeft"/>
              <w:rPr>
                <w:rFonts w:eastAsiaTheme="minorHAnsi"/>
              </w:rPr>
            </w:pPr>
            <w:r w:rsidRPr="002A1A28">
              <w:t>Timing</w:t>
            </w:r>
          </w:p>
        </w:tc>
        <w:tc>
          <w:tcPr>
            <w:tcW w:w="7545" w:type="dxa"/>
            <w:tcBorders>
              <w:top w:val="single" w:sz="4" w:space="0" w:color="004A7F"/>
              <w:bottom w:val="single" w:sz="4" w:space="0" w:color="004A7F"/>
            </w:tcBorders>
            <w:shd w:val="clear" w:color="auto" w:fill="DEEAF6" w:themeFill="accent1" w:themeFillTint="33"/>
            <w:hideMark/>
          </w:tcPr>
          <w:p w14:paraId="579A365E" w14:textId="77777777" w:rsidR="00DA2DF6" w:rsidRPr="002A1A28" w:rsidRDefault="00DA2DF6" w:rsidP="002A1A28">
            <w:pPr>
              <w:pStyle w:val="TableColumnHeadingLeft"/>
              <w:rPr>
                <w:rFonts w:eastAsiaTheme="minorHAnsi"/>
              </w:rPr>
            </w:pPr>
            <w:r w:rsidRPr="002A1A28">
              <w:t>Process</w:t>
            </w:r>
          </w:p>
        </w:tc>
      </w:tr>
      <w:tr w:rsidR="00DA2DF6" w:rsidRPr="001610B8" w14:paraId="45099FCF" w14:textId="77777777" w:rsidTr="00982781">
        <w:trPr>
          <w:trHeight w:val="20"/>
        </w:trPr>
        <w:tc>
          <w:tcPr>
            <w:tcW w:w="1746" w:type="dxa"/>
            <w:tcBorders>
              <w:top w:val="single" w:sz="4" w:space="0" w:color="004A7F"/>
            </w:tcBorders>
          </w:tcPr>
          <w:p w14:paraId="5EDDFACA" w14:textId="77777777" w:rsidR="00DA2DF6" w:rsidRPr="002A1A28" w:rsidRDefault="00DA2DF6" w:rsidP="002A1A28">
            <w:pPr>
              <w:pStyle w:val="TableRowHeadingLeft"/>
            </w:pPr>
            <w:r w:rsidRPr="002A1A28">
              <w:t>November 2017</w:t>
            </w:r>
          </w:p>
        </w:tc>
        <w:tc>
          <w:tcPr>
            <w:tcW w:w="7545" w:type="dxa"/>
            <w:tcBorders>
              <w:top w:val="single" w:sz="4" w:space="0" w:color="004A7F"/>
            </w:tcBorders>
          </w:tcPr>
          <w:p w14:paraId="04EAF6C5" w14:textId="77777777" w:rsidR="00DA2DF6" w:rsidRPr="002A1A28" w:rsidRDefault="00DA2DF6" w:rsidP="002A1A28">
            <w:pPr>
              <w:pStyle w:val="TableTextLeft"/>
              <w:rPr>
                <w:rFonts w:eastAsiaTheme="minorHAnsi"/>
              </w:rPr>
            </w:pPr>
            <w:r w:rsidRPr="002A1A28">
              <w:rPr>
                <w:rFonts w:eastAsiaTheme="minorHAnsi"/>
              </w:rPr>
              <w:t>Consultation paper released for stakeholder comment.</w:t>
            </w:r>
          </w:p>
        </w:tc>
      </w:tr>
      <w:tr w:rsidR="00DA2DF6" w:rsidRPr="001610B8" w14:paraId="314F6E8A" w14:textId="77777777" w:rsidTr="00982781">
        <w:trPr>
          <w:trHeight w:val="20"/>
        </w:trPr>
        <w:tc>
          <w:tcPr>
            <w:tcW w:w="1746" w:type="dxa"/>
            <w:shd w:val="clear" w:color="auto" w:fill="F2F2F2" w:themeFill="background1" w:themeFillShade="F2"/>
          </w:tcPr>
          <w:p w14:paraId="1D44A38A" w14:textId="77777777" w:rsidR="00DA2DF6" w:rsidRPr="002A1A28" w:rsidRDefault="00DA2DF6" w:rsidP="002A1A28">
            <w:pPr>
              <w:pStyle w:val="TableRowHeadingLeft"/>
            </w:pPr>
            <w:r w:rsidRPr="002A1A28">
              <w:t>December 2017</w:t>
            </w:r>
          </w:p>
        </w:tc>
        <w:tc>
          <w:tcPr>
            <w:tcW w:w="7545" w:type="dxa"/>
            <w:shd w:val="clear" w:color="auto" w:fill="F2F2F2" w:themeFill="background1" w:themeFillShade="F2"/>
          </w:tcPr>
          <w:p w14:paraId="6D42A8B7" w14:textId="77777777" w:rsidR="00DA2DF6" w:rsidRPr="002A1A28" w:rsidRDefault="00DA2DF6" w:rsidP="002A1A28">
            <w:pPr>
              <w:pStyle w:val="TableTextLeft"/>
              <w:rPr>
                <w:rFonts w:eastAsiaTheme="minorHAnsi"/>
              </w:rPr>
            </w:pPr>
            <w:r w:rsidRPr="002A1A28">
              <w:rPr>
                <w:rFonts w:eastAsiaTheme="minorHAnsi"/>
              </w:rPr>
              <w:t>Consultation period closes.</w:t>
            </w:r>
          </w:p>
        </w:tc>
      </w:tr>
      <w:tr w:rsidR="00DA2DF6" w:rsidRPr="001610B8" w14:paraId="1FF4F449" w14:textId="77777777" w:rsidTr="00982781">
        <w:trPr>
          <w:trHeight w:val="303"/>
        </w:trPr>
        <w:tc>
          <w:tcPr>
            <w:tcW w:w="1746" w:type="dxa"/>
          </w:tcPr>
          <w:p w14:paraId="4F5079ED" w14:textId="77777777" w:rsidR="00DA2DF6" w:rsidRPr="002A1A28" w:rsidRDefault="00DA2DF6" w:rsidP="002A1A28">
            <w:pPr>
              <w:pStyle w:val="TableRowHeadingLeft"/>
            </w:pPr>
            <w:r w:rsidRPr="002A1A28">
              <w:t>First half of 2018</w:t>
            </w:r>
          </w:p>
        </w:tc>
        <w:tc>
          <w:tcPr>
            <w:tcW w:w="7545" w:type="dxa"/>
          </w:tcPr>
          <w:p w14:paraId="5D62521C" w14:textId="77777777" w:rsidR="00DA2DF6" w:rsidRPr="002A1A28" w:rsidRDefault="00DA2DF6" w:rsidP="002A1A28">
            <w:pPr>
              <w:pStyle w:val="TableTextLeft"/>
              <w:rPr>
                <w:rFonts w:eastAsiaTheme="minorHAnsi"/>
              </w:rPr>
            </w:pPr>
            <w:r w:rsidRPr="002A1A28">
              <w:rPr>
                <w:rFonts w:eastAsiaTheme="minorHAnsi"/>
              </w:rPr>
              <w:t xml:space="preserve">Proposed amendments to </w:t>
            </w:r>
            <w:r w:rsidRPr="002A1A28">
              <w:rPr>
                <w:i/>
              </w:rPr>
              <w:t>Corporations (Fees) Act 2001</w:t>
            </w:r>
            <w:r w:rsidRPr="002A1A28">
              <w:t xml:space="preserve"> and </w:t>
            </w:r>
            <w:r w:rsidRPr="002A1A28">
              <w:rPr>
                <w:i/>
              </w:rPr>
              <w:t>Corporations (Fees) Regulations 2001</w:t>
            </w:r>
            <w:r w:rsidRPr="002A1A28">
              <w:t xml:space="preserve"> introduced to Parliament to give effect to the ASIC fees</w:t>
            </w:r>
            <w:r w:rsidRPr="002A1A28">
              <w:noBreakHyphen/>
              <w:t>for</w:t>
            </w:r>
            <w:r w:rsidRPr="002A1A28">
              <w:noBreakHyphen/>
              <w:t>service model.</w:t>
            </w:r>
          </w:p>
        </w:tc>
      </w:tr>
      <w:tr w:rsidR="00DA2DF6" w:rsidRPr="001610B8" w14:paraId="7A0F5393" w14:textId="77777777" w:rsidTr="00982781">
        <w:trPr>
          <w:trHeight w:val="20"/>
        </w:trPr>
        <w:tc>
          <w:tcPr>
            <w:tcW w:w="1746" w:type="dxa"/>
            <w:shd w:val="clear" w:color="auto" w:fill="F2F2F2" w:themeFill="background1" w:themeFillShade="F2"/>
          </w:tcPr>
          <w:p w14:paraId="134C4E84" w14:textId="77777777" w:rsidR="00DA2DF6" w:rsidRPr="002A1A28" w:rsidRDefault="00DA2DF6" w:rsidP="002A1A28">
            <w:pPr>
              <w:pStyle w:val="TableRowHeadingLeft"/>
            </w:pPr>
            <w:r w:rsidRPr="002A1A28">
              <w:t>First half of 2018</w:t>
            </w:r>
          </w:p>
        </w:tc>
        <w:tc>
          <w:tcPr>
            <w:tcW w:w="7545" w:type="dxa"/>
            <w:shd w:val="clear" w:color="auto" w:fill="F2F2F2" w:themeFill="background1" w:themeFillShade="F2"/>
          </w:tcPr>
          <w:p w14:paraId="716CE80E" w14:textId="5081611C" w:rsidR="00DA2DF6" w:rsidRPr="002A1A28" w:rsidRDefault="00CE5896" w:rsidP="002A1A28">
            <w:pPr>
              <w:pStyle w:val="TableTextLeft"/>
              <w:rPr>
                <w:rFonts w:eastAsiaTheme="minorHAnsi"/>
              </w:rPr>
            </w:pPr>
            <w:r w:rsidRPr="002A1A28">
              <w:rPr>
                <w:rFonts w:eastAsiaTheme="minorHAnsi"/>
              </w:rPr>
              <w:t>Cost Recovery Implementation</w:t>
            </w:r>
            <w:r w:rsidR="00DA2DF6" w:rsidRPr="002A1A28">
              <w:rPr>
                <w:rFonts w:eastAsiaTheme="minorHAnsi"/>
              </w:rPr>
              <w:t xml:space="preserve"> Statement released.</w:t>
            </w:r>
          </w:p>
        </w:tc>
      </w:tr>
      <w:tr w:rsidR="00DA2DF6" w:rsidRPr="001610B8" w14:paraId="08EF7CD0" w14:textId="77777777" w:rsidTr="00982781">
        <w:trPr>
          <w:trHeight w:val="20"/>
        </w:trPr>
        <w:tc>
          <w:tcPr>
            <w:tcW w:w="1746" w:type="dxa"/>
            <w:tcBorders>
              <w:bottom w:val="single" w:sz="4" w:space="0" w:color="004A7F"/>
            </w:tcBorders>
          </w:tcPr>
          <w:p w14:paraId="39061D39" w14:textId="77777777" w:rsidR="00DA2DF6" w:rsidRPr="002A1A28" w:rsidRDefault="00DA2DF6" w:rsidP="002A1A28">
            <w:pPr>
              <w:pStyle w:val="TableRowHeadingLeft"/>
            </w:pPr>
            <w:r w:rsidRPr="002A1A28">
              <w:t>1 July 2018</w:t>
            </w:r>
          </w:p>
        </w:tc>
        <w:tc>
          <w:tcPr>
            <w:tcW w:w="7545" w:type="dxa"/>
            <w:tcBorders>
              <w:bottom w:val="single" w:sz="4" w:space="0" w:color="004A7F"/>
            </w:tcBorders>
          </w:tcPr>
          <w:p w14:paraId="3A9BE00F" w14:textId="77777777" w:rsidR="00DA2DF6" w:rsidRPr="002A1A28" w:rsidRDefault="00DA2DF6" w:rsidP="002A1A28">
            <w:pPr>
              <w:pStyle w:val="TableTextLeft"/>
              <w:rPr>
                <w:rFonts w:eastAsiaTheme="minorHAnsi"/>
              </w:rPr>
            </w:pPr>
            <w:r w:rsidRPr="002A1A28">
              <w:rPr>
                <w:rFonts w:eastAsiaTheme="minorHAnsi"/>
              </w:rPr>
              <w:t>Commencement of ASIC fees</w:t>
            </w:r>
            <w:r w:rsidRPr="002A1A28">
              <w:rPr>
                <w:rFonts w:eastAsiaTheme="minorHAnsi"/>
              </w:rPr>
              <w:noBreakHyphen/>
              <w:t>for</w:t>
            </w:r>
            <w:r w:rsidRPr="002A1A28">
              <w:rPr>
                <w:rFonts w:eastAsiaTheme="minorHAnsi"/>
              </w:rPr>
              <w:noBreakHyphen/>
              <w:t>service model.</w:t>
            </w:r>
          </w:p>
        </w:tc>
      </w:tr>
    </w:tbl>
    <w:p w14:paraId="6693F779" w14:textId="77777777" w:rsidR="00DA2DF6" w:rsidRDefault="00DA2DF6" w:rsidP="00B11272">
      <w:pPr>
        <w:pStyle w:val="Bullet"/>
        <w:numPr>
          <w:ilvl w:val="0"/>
          <w:numId w:val="0"/>
        </w:numPr>
      </w:pPr>
    </w:p>
    <w:p w14:paraId="0F5AD6D3" w14:textId="77777777" w:rsidR="003C39B6" w:rsidRDefault="003C39B6" w:rsidP="00DA2DF6">
      <w:pPr>
        <w:spacing w:after="160" w:line="259" w:lineRule="auto"/>
      </w:pPr>
    </w:p>
    <w:p w14:paraId="5A5F08DA" w14:textId="77777777" w:rsidR="003C39B6" w:rsidRDefault="003C39B6" w:rsidP="00DA2DF6">
      <w:pPr>
        <w:spacing w:after="160" w:line="259" w:lineRule="auto"/>
        <w:sectPr w:rsidR="003C39B6" w:rsidSect="005541E6">
          <w:footerReference w:type="first" r:id="rId37"/>
          <w:pgSz w:w="11906" w:h="16838" w:code="9"/>
          <w:pgMar w:top="1418" w:right="1418" w:bottom="1418" w:left="1418" w:header="709" w:footer="709" w:gutter="0"/>
          <w:cols w:space="708"/>
          <w:titlePg/>
          <w:docGrid w:linePitch="360"/>
        </w:sectPr>
      </w:pPr>
    </w:p>
    <w:p w14:paraId="249D2394" w14:textId="4BB8E5F5" w:rsidR="00DA2DF6" w:rsidRDefault="00DA2DF6" w:rsidP="00A049DE">
      <w:pPr>
        <w:pStyle w:val="Heading1"/>
      </w:pPr>
      <w:bookmarkStart w:id="85" w:name="_Toc496021453"/>
      <w:bookmarkStart w:id="86" w:name="_Toc497212027"/>
      <w:bookmarkStart w:id="87" w:name="_Toc497403332"/>
      <w:bookmarkStart w:id="88" w:name="_Toc498596553"/>
      <w:bookmarkStart w:id="89" w:name="_Toc489541623"/>
      <w:bookmarkStart w:id="90" w:name="_Toc492908203"/>
      <w:r>
        <w:t>Schedule A</w:t>
      </w:r>
      <w:r w:rsidR="003C39B6">
        <w:t xml:space="preserve">: </w:t>
      </w:r>
      <w:r w:rsidRPr="00BE11F5">
        <w:t>Proposed</w:t>
      </w:r>
      <w:r>
        <w:t xml:space="preserve"> Fee Schedule</w:t>
      </w:r>
      <w:bookmarkEnd w:id="85"/>
      <w:bookmarkEnd w:id="86"/>
      <w:bookmarkEnd w:id="87"/>
      <w:bookmarkEnd w:id="88"/>
    </w:p>
    <w:tbl>
      <w:tblPr>
        <w:tblW w:w="9277" w:type="dxa"/>
        <w:tblLayout w:type="fixed"/>
        <w:tblLook w:val="04A0" w:firstRow="1" w:lastRow="0" w:firstColumn="1" w:lastColumn="0" w:noHBand="0" w:noVBand="1"/>
      </w:tblPr>
      <w:tblGrid>
        <w:gridCol w:w="1502"/>
        <w:gridCol w:w="3742"/>
        <w:gridCol w:w="1871"/>
        <w:gridCol w:w="2162"/>
      </w:tblGrid>
      <w:tr w:rsidR="00144E7F" w:rsidRPr="00144E7F" w14:paraId="5AC77072" w14:textId="77777777" w:rsidTr="00737E5E">
        <w:trPr>
          <w:cantSplit/>
        </w:trPr>
        <w:tc>
          <w:tcPr>
            <w:tcW w:w="1502" w:type="dxa"/>
            <w:tcBorders>
              <w:top w:val="single" w:sz="4" w:space="0" w:color="004A7F"/>
              <w:bottom w:val="single" w:sz="4" w:space="0" w:color="004A7F"/>
            </w:tcBorders>
            <w:shd w:val="clear" w:color="auto" w:fill="DEEAF6" w:themeFill="accent1" w:themeFillTint="33"/>
          </w:tcPr>
          <w:p w14:paraId="0F23C7B5" w14:textId="77777777" w:rsidR="00144E7F" w:rsidRPr="00144E7F" w:rsidRDefault="00144E7F" w:rsidP="00144E7F">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6AB1263F" w14:textId="77777777" w:rsidR="00144E7F" w:rsidRPr="00144E7F" w:rsidRDefault="00144E7F" w:rsidP="00144E7F">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1" w:type="dxa"/>
            <w:tcBorders>
              <w:top w:val="single" w:sz="4" w:space="0" w:color="004A7F"/>
              <w:bottom w:val="single" w:sz="4" w:space="0" w:color="004A7F"/>
            </w:tcBorders>
            <w:shd w:val="clear" w:color="auto" w:fill="DEEAF6" w:themeFill="accent1" w:themeFillTint="33"/>
          </w:tcPr>
          <w:p w14:paraId="29152145" w14:textId="77777777" w:rsidR="00144E7F" w:rsidRPr="00144E7F" w:rsidRDefault="00144E7F" w:rsidP="00144E7F">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62" w:type="dxa"/>
            <w:tcBorders>
              <w:top w:val="single" w:sz="4" w:space="0" w:color="004A7F"/>
              <w:bottom w:val="single" w:sz="4" w:space="0" w:color="004A7F"/>
            </w:tcBorders>
            <w:shd w:val="clear" w:color="auto" w:fill="DEEAF6" w:themeFill="accent1" w:themeFillTint="33"/>
          </w:tcPr>
          <w:p w14:paraId="2AAA1A80" w14:textId="77777777" w:rsidR="00144E7F" w:rsidRPr="00144E7F" w:rsidRDefault="00144E7F" w:rsidP="00144E7F">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0934965B" w14:textId="77777777" w:rsidTr="00983BAF">
        <w:trPr>
          <w:cantSplit/>
          <w:trHeight w:val="603"/>
        </w:trPr>
        <w:tc>
          <w:tcPr>
            <w:tcW w:w="1502" w:type="dxa"/>
            <w:tcBorders>
              <w:top w:val="single" w:sz="4" w:space="0" w:color="004A7F"/>
            </w:tcBorders>
          </w:tcPr>
          <w:p w14:paraId="7F603C9D" w14:textId="66FFFF89"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116</w:t>
            </w:r>
            <w:r>
              <w:rPr>
                <w:rFonts w:ascii="Arial" w:hAnsi="Arial"/>
                <w:color w:val="000000"/>
                <w:sz w:val="18"/>
              </w:rPr>
              <w:br/>
            </w:r>
            <w:r w:rsidRPr="00144E7F">
              <w:rPr>
                <w:rFonts w:ascii="Arial" w:hAnsi="Arial"/>
                <w:color w:val="000000"/>
                <w:sz w:val="18"/>
              </w:rPr>
              <w:t>(Fee also applies to Sub</w:t>
            </w:r>
            <w:r>
              <w:rPr>
                <w:rFonts w:ascii="Arial" w:hAnsi="Arial"/>
                <w:color w:val="000000"/>
                <w:sz w:val="18"/>
              </w:rPr>
              <w:t> </w:t>
            </w:r>
            <w:r w:rsidRPr="00144E7F">
              <w:rPr>
                <w:rFonts w:ascii="Arial" w:hAnsi="Arial"/>
                <w:color w:val="000000"/>
                <w:sz w:val="18"/>
              </w:rPr>
              <w:t>form 116A)</w:t>
            </w:r>
          </w:p>
        </w:tc>
        <w:tc>
          <w:tcPr>
            <w:tcW w:w="3742" w:type="dxa"/>
            <w:tcBorders>
              <w:top w:val="single" w:sz="4" w:space="0" w:color="004A7F"/>
            </w:tcBorders>
          </w:tcPr>
          <w:p w14:paraId="2A023C89" w14:textId="7F4094A9" w:rsidR="00144E7F" w:rsidRPr="00144E7F" w:rsidRDefault="00144E7F" w:rsidP="00215208">
            <w:pPr>
              <w:spacing w:before="80" w:after="80" w:line="240" w:lineRule="auto"/>
              <w:jc w:val="left"/>
              <w:rPr>
                <w:rFonts w:ascii="Arial" w:hAnsi="Arial"/>
                <w:color w:val="000000"/>
                <w:sz w:val="18"/>
              </w:rPr>
            </w:pPr>
            <w:r w:rsidRPr="00144E7F">
              <w:rPr>
                <w:rFonts w:ascii="Arial" w:hAnsi="Arial"/>
                <w:color w:val="000000"/>
                <w:sz w:val="18"/>
              </w:rPr>
              <w:t>Scheme for transfer and amalgamation of life insurance business includes section</w:t>
            </w:r>
            <w:r w:rsidR="00215208">
              <w:rPr>
                <w:rFonts w:ascii="Arial" w:hAnsi="Arial"/>
                <w:color w:val="000000"/>
                <w:sz w:val="18"/>
              </w:rPr>
              <w:t> </w:t>
            </w:r>
            <w:r w:rsidRPr="00144E7F">
              <w:rPr>
                <w:rFonts w:ascii="Arial" w:hAnsi="Arial"/>
                <w:color w:val="000000"/>
                <w:sz w:val="18"/>
              </w:rPr>
              <w:t xml:space="preserve">116A </w:t>
            </w:r>
            <w:r w:rsidR="0074484C">
              <w:rPr>
                <w:rFonts w:ascii="Arial" w:hAnsi="Arial"/>
                <w:bCs/>
                <w:color w:val="000000"/>
                <w:sz w:val="18"/>
              </w:rPr>
              <w:t>–</w:t>
            </w:r>
            <w:r w:rsidRPr="00144E7F">
              <w:rPr>
                <w:rFonts w:ascii="Arial" w:hAnsi="Arial"/>
                <w:color w:val="000000"/>
                <w:sz w:val="18"/>
              </w:rPr>
              <w:t xml:space="preserve"> scheme for transfer and amalgamation of general insurance business</w:t>
            </w:r>
          </w:p>
        </w:tc>
        <w:tc>
          <w:tcPr>
            <w:tcW w:w="1871" w:type="dxa"/>
            <w:tcBorders>
              <w:top w:val="single" w:sz="4" w:space="0" w:color="004A7F"/>
            </w:tcBorders>
          </w:tcPr>
          <w:p w14:paraId="32D9240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62" w:type="dxa"/>
            <w:tcBorders>
              <w:top w:val="single" w:sz="4" w:space="0" w:color="004A7F"/>
            </w:tcBorders>
          </w:tcPr>
          <w:p w14:paraId="4F479BE6" w14:textId="7AB6A32D"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2,695</w:t>
            </w:r>
          </w:p>
        </w:tc>
      </w:tr>
      <w:tr w:rsidR="00144E7F" w:rsidRPr="00144E7F" w14:paraId="4CFD990C" w14:textId="77777777" w:rsidTr="00983BAF">
        <w:trPr>
          <w:cantSplit/>
          <w:trHeight w:val="119"/>
        </w:trPr>
        <w:tc>
          <w:tcPr>
            <w:tcW w:w="1502" w:type="dxa"/>
            <w:shd w:val="clear" w:color="auto" w:fill="F2F2F2" w:themeFill="background1" w:themeFillShade="F2"/>
          </w:tcPr>
          <w:p w14:paraId="4178E5B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145</w:t>
            </w:r>
          </w:p>
        </w:tc>
        <w:tc>
          <w:tcPr>
            <w:tcW w:w="3742" w:type="dxa"/>
            <w:shd w:val="clear" w:color="auto" w:fill="F2F2F2" w:themeFill="background1" w:themeFillShade="F2"/>
          </w:tcPr>
          <w:p w14:paraId="56109FD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registration of disclosure statement (demutualisation)</w:t>
            </w:r>
          </w:p>
        </w:tc>
        <w:tc>
          <w:tcPr>
            <w:tcW w:w="1871" w:type="dxa"/>
            <w:shd w:val="clear" w:color="auto" w:fill="F2F2F2" w:themeFill="background1" w:themeFillShade="F2"/>
          </w:tcPr>
          <w:p w14:paraId="56D04A6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62" w:type="dxa"/>
            <w:shd w:val="clear" w:color="auto" w:fill="F2F2F2" w:themeFill="background1" w:themeFillShade="F2"/>
          </w:tcPr>
          <w:p w14:paraId="0FC328B6" w14:textId="75B11A6F"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2,695</w:t>
            </w:r>
          </w:p>
        </w:tc>
      </w:tr>
      <w:tr w:rsidR="00144E7F" w:rsidRPr="00144E7F" w14:paraId="01933C50" w14:textId="77777777" w:rsidTr="00737E5E">
        <w:trPr>
          <w:cantSplit/>
          <w:trHeight w:val="508"/>
        </w:trPr>
        <w:tc>
          <w:tcPr>
            <w:tcW w:w="1502" w:type="dxa"/>
          </w:tcPr>
          <w:p w14:paraId="37E52D6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517</w:t>
            </w:r>
          </w:p>
        </w:tc>
        <w:tc>
          <w:tcPr>
            <w:tcW w:w="3742" w:type="dxa"/>
          </w:tcPr>
          <w:p w14:paraId="6E0BFCF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 for Dealing with Formal Proof of Debt/Claim</w:t>
            </w:r>
          </w:p>
        </w:tc>
        <w:tc>
          <w:tcPr>
            <w:tcW w:w="1871" w:type="dxa"/>
          </w:tcPr>
          <w:p w14:paraId="5CF5930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tcPr>
          <w:p w14:paraId="5416965C" w14:textId="5E0CCB04"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r w:rsidR="00144E7F" w:rsidRPr="00144E7F" w14:paraId="34F73B69" w14:textId="77777777" w:rsidTr="00737E5E">
        <w:trPr>
          <w:cantSplit/>
          <w:trHeight w:val="249"/>
        </w:trPr>
        <w:tc>
          <w:tcPr>
            <w:tcW w:w="1502" w:type="dxa"/>
            <w:shd w:val="clear" w:color="auto" w:fill="F2F2F2" w:themeFill="background1" w:themeFillShade="F2"/>
          </w:tcPr>
          <w:p w14:paraId="087D8A5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563</w:t>
            </w:r>
          </w:p>
        </w:tc>
        <w:tc>
          <w:tcPr>
            <w:tcW w:w="3742" w:type="dxa"/>
            <w:shd w:val="clear" w:color="auto" w:fill="F2F2F2" w:themeFill="background1" w:themeFillShade="F2"/>
          </w:tcPr>
          <w:p w14:paraId="5330740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 lodge preliminary report</w:t>
            </w:r>
          </w:p>
        </w:tc>
        <w:tc>
          <w:tcPr>
            <w:tcW w:w="1871" w:type="dxa"/>
            <w:shd w:val="clear" w:color="auto" w:fill="F2F2F2" w:themeFill="background1" w:themeFillShade="F2"/>
          </w:tcPr>
          <w:p w14:paraId="04DF5E9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shd w:val="clear" w:color="auto" w:fill="F2F2F2" w:themeFill="background1" w:themeFillShade="F2"/>
          </w:tcPr>
          <w:p w14:paraId="083D5BCB" w14:textId="73108E50"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r w:rsidR="00144E7F" w:rsidRPr="00144E7F" w14:paraId="162F9B50" w14:textId="77777777" w:rsidTr="00737E5E">
        <w:trPr>
          <w:cantSplit/>
          <w:trHeight w:val="508"/>
        </w:trPr>
        <w:tc>
          <w:tcPr>
            <w:tcW w:w="1502" w:type="dxa"/>
          </w:tcPr>
          <w:p w14:paraId="0BAEFB9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568</w:t>
            </w:r>
          </w:p>
        </w:tc>
        <w:tc>
          <w:tcPr>
            <w:tcW w:w="3742" w:type="dxa"/>
          </w:tcPr>
          <w:p w14:paraId="52F7B96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 to lodge declaration of solvency</w:t>
            </w:r>
          </w:p>
        </w:tc>
        <w:tc>
          <w:tcPr>
            <w:tcW w:w="1871" w:type="dxa"/>
          </w:tcPr>
          <w:p w14:paraId="048FCE6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tcPr>
          <w:p w14:paraId="1BEE0B2E" w14:textId="424DFD17"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r w:rsidR="00144E7F" w:rsidRPr="00144E7F" w14:paraId="5B0A8C4C" w14:textId="77777777" w:rsidTr="00737E5E">
        <w:trPr>
          <w:cantSplit/>
          <w:trHeight w:val="508"/>
        </w:trPr>
        <w:tc>
          <w:tcPr>
            <w:tcW w:w="1502" w:type="dxa"/>
            <w:shd w:val="clear" w:color="auto" w:fill="F2F2F2" w:themeFill="background1" w:themeFillShade="F2"/>
          </w:tcPr>
          <w:p w14:paraId="3B65F6F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569</w:t>
            </w:r>
          </w:p>
        </w:tc>
        <w:tc>
          <w:tcPr>
            <w:tcW w:w="3742" w:type="dxa"/>
            <w:shd w:val="clear" w:color="auto" w:fill="F2F2F2" w:themeFill="background1" w:themeFillShade="F2"/>
          </w:tcPr>
          <w:p w14:paraId="51C1718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 to pass resolution regarding voluntary winding up</w:t>
            </w:r>
          </w:p>
        </w:tc>
        <w:tc>
          <w:tcPr>
            <w:tcW w:w="1871" w:type="dxa"/>
            <w:shd w:val="clear" w:color="auto" w:fill="F2F2F2" w:themeFill="background1" w:themeFillShade="F2"/>
          </w:tcPr>
          <w:p w14:paraId="052DEAB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shd w:val="clear" w:color="auto" w:fill="F2F2F2" w:themeFill="background1" w:themeFillShade="F2"/>
          </w:tcPr>
          <w:p w14:paraId="4D91522E" w14:textId="0E3F8254"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r w:rsidR="00144E7F" w:rsidRPr="00144E7F" w14:paraId="2332FCDD" w14:textId="77777777" w:rsidTr="00737E5E">
        <w:trPr>
          <w:cantSplit/>
          <w:trHeight w:val="508"/>
        </w:trPr>
        <w:tc>
          <w:tcPr>
            <w:tcW w:w="1502" w:type="dxa"/>
          </w:tcPr>
          <w:p w14:paraId="3EB5146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572</w:t>
            </w:r>
          </w:p>
        </w:tc>
        <w:tc>
          <w:tcPr>
            <w:tcW w:w="3742" w:type="dxa"/>
          </w:tcPr>
          <w:p w14:paraId="43DD8B1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direction section 532(6) does not apply</w:t>
            </w:r>
          </w:p>
        </w:tc>
        <w:tc>
          <w:tcPr>
            <w:tcW w:w="1871" w:type="dxa"/>
          </w:tcPr>
          <w:p w14:paraId="252EB87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tcPr>
          <w:p w14:paraId="0C689544" w14:textId="0BC21A82"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r w:rsidR="00144E7F" w:rsidRPr="00144E7F" w14:paraId="3A5285FA" w14:textId="77777777" w:rsidTr="00737E5E">
        <w:trPr>
          <w:cantSplit/>
          <w:trHeight w:val="508"/>
        </w:trPr>
        <w:tc>
          <w:tcPr>
            <w:tcW w:w="1502" w:type="dxa"/>
            <w:shd w:val="clear" w:color="auto" w:fill="F2F2F2" w:themeFill="background1" w:themeFillShade="F2"/>
          </w:tcPr>
          <w:p w14:paraId="761B75B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575</w:t>
            </w:r>
          </w:p>
        </w:tc>
        <w:tc>
          <w:tcPr>
            <w:tcW w:w="3742" w:type="dxa"/>
            <w:shd w:val="clear" w:color="auto" w:fill="F2F2F2" w:themeFill="background1" w:themeFillShade="F2"/>
          </w:tcPr>
          <w:p w14:paraId="1680AA2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direct liquidators to incur expenses</w:t>
            </w:r>
          </w:p>
        </w:tc>
        <w:tc>
          <w:tcPr>
            <w:tcW w:w="1871" w:type="dxa"/>
            <w:shd w:val="clear" w:color="auto" w:fill="F2F2F2" w:themeFill="background1" w:themeFillShade="F2"/>
          </w:tcPr>
          <w:p w14:paraId="610B7EF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shd w:val="clear" w:color="auto" w:fill="F2F2F2" w:themeFill="background1" w:themeFillShade="F2"/>
          </w:tcPr>
          <w:p w14:paraId="1113A94C" w14:textId="201C6A4A"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r w:rsidR="00144E7F" w:rsidRPr="00144E7F" w14:paraId="30877D19" w14:textId="77777777" w:rsidTr="00737E5E">
        <w:trPr>
          <w:cantSplit/>
          <w:trHeight w:val="508"/>
        </w:trPr>
        <w:tc>
          <w:tcPr>
            <w:tcW w:w="1502" w:type="dxa"/>
          </w:tcPr>
          <w:p w14:paraId="0AEA9899"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584</w:t>
            </w:r>
          </w:p>
        </w:tc>
        <w:tc>
          <w:tcPr>
            <w:tcW w:w="3742" w:type="dxa"/>
          </w:tcPr>
          <w:p w14:paraId="64ECD1B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the Commonwealth to exercise powers of defunct company</w:t>
            </w:r>
          </w:p>
        </w:tc>
        <w:tc>
          <w:tcPr>
            <w:tcW w:w="1871" w:type="dxa"/>
          </w:tcPr>
          <w:p w14:paraId="6C3632C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646</w:t>
            </w:r>
          </w:p>
        </w:tc>
        <w:tc>
          <w:tcPr>
            <w:tcW w:w="2162" w:type="dxa"/>
          </w:tcPr>
          <w:p w14:paraId="7647835D" w14:textId="7B288C97"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934</w:t>
            </w:r>
          </w:p>
        </w:tc>
      </w:tr>
      <w:tr w:rsidR="00144E7F" w:rsidRPr="00144E7F" w14:paraId="5409DD21" w14:textId="77777777" w:rsidTr="00737E5E">
        <w:trPr>
          <w:cantSplit/>
          <w:trHeight w:val="508"/>
        </w:trPr>
        <w:tc>
          <w:tcPr>
            <w:tcW w:w="1502" w:type="dxa"/>
            <w:shd w:val="clear" w:color="auto" w:fill="F2F2F2" w:themeFill="background1" w:themeFillShade="F2"/>
          </w:tcPr>
          <w:p w14:paraId="4A5D98D2" w14:textId="10406B0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595</w:t>
            </w:r>
            <w:r w:rsidR="00983BAF">
              <w:rPr>
                <w:rFonts w:ascii="Arial" w:hAnsi="Arial"/>
                <w:color w:val="000000"/>
                <w:sz w:val="18"/>
              </w:rPr>
              <w:br/>
            </w:r>
            <w:r w:rsidR="00983BAF">
              <w:rPr>
                <w:rFonts w:ascii="Arial" w:hAnsi="Arial"/>
                <w:color w:val="000000"/>
                <w:sz w:val="18"/>
              </w:rPr>
              <w:br/>
            </w:r>
            <w:r w:rsidRPr="00144E7F">
              <w:rPr>
                <w:rFonts w:ascii="Arial" w:hAnsi="Arial"/>
                <w:color w:val="000000"/>
                <w:sz w:val="18"/>
              </w:rPr>
              <w:t>Fee includes</w:t>
            </w:r>
            <w:r w:rsidR="0074484C">
              <w:rPr>
                <w:rFonts w:ascii="Arial" w:hAnsi="Arial"/>
                <w:color w:val="000000"/>
                <w:sz w:val="18"/>
              </w:rPr>
              <w:t>:</w:t>
            </w:r>
          </w:p>
          <w:p w14:paraId="00D210F3" w14:textId="50DE3CC6" w:rsidR="00144E7F" w:rsidRPr="00144E7F" w:rsidRDefault="00144E7F" w:rsidP="00BE11F5">
            <w:pPr>
              <w:spacing w:before="80" w:after="80" w:line="240" w:lineRule="auto"/>
              <w:jc w:val="left"/>
              <w:rPr>
                <w:rFonts w:ascii="Arial" w:hAnsi="Arial"/>
                <w:bCs/>
                <w:color w:val="000000"/>
                <w:sz w:val="18"/>
              </w:rPr>
            </w:pPr>
            <w:r w:rsidRPr="00144E7F">
              <w:rPr>
                <w:rFonts w:ascii="Arial" w:hAnsi="Arial"/>
                <w:color w:val="000000"/>
                <w:sz w:val="18"/>
              </w:rPr>
              <w:t>592</w:t>
            </w:r>
          </w:p>
        </w:tc>
        <w:tc>
          <w:tcPr>
            <w:tcW w:w="3742" w:type="dxa"/>
            <w:shd w:val="clear" w:color="auto" w:fill="F2F2F2" w:themeFill="background1" w:themeFillShade="F2"/>
          </w:tcPr>
          <w:p w14:paraId="15E0F58C" w14:textId="39FD4112" w:rsid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Draft explanatory statement regarding c</w:t>
            </w:r>
            <w:r w:rsidR="00BE11F5">
              <w:rPr>
                <w:rFonts w:ascii="Arial" w:hAnsi="Arial"/>
                <w:color w:val="000000"/>
                <w:sz w:val="18"/>
              </w:rPr>
              <w:t>ompromise or arrangement</w:t>
            </w:r>
          </w:p>
          <w:p w14:paraId="0790C68B" w14:textId="72068420" w:rsidR="00144E7F" w:rsidRPr="00144E7F" w:rsidRDefault="00983BAF" w:rsidP="00BE11F5">
            <w:pPr>
              <w:spacing w:before="80" w:after="80" w:line="240" w:lineRule="auto"/>
              <w:jc w:val="left"/>
              <w:rPr>
                <w:rFonts w:ascii="Arial" w:hAnsi="Arial"/>
                <w:color w:val="000000"/>
                <w:sz w:val="18"/>
              </w:rPr>
            </w:pPr>
            <w:r>
              <w:rPr>
                <w:rFonts w:ascii="Arial" w:hAnsi="Arial"/>
                <w:bCs/>
                <w:color w:val="000000"/>
                <w:sz w:val="18"/>
              </w:rPr>
              <w:br/>
            </w:r>
            <w:r w:rsidR="00144E7F" w:rsidRPr="00144E7F">
              <w:rPr>
                <w:rFonts w:ascii="Arial" w:hAnsi="Arial"/>
                <w:bCs/>
                <w:color w:val="000000"/>
                <w:sz w:val="18"/>
              </w:rPr>
              <w:t>Notice of Hearing for Scheme of Arrangement</w:t>
            </w:r>
          </w:p>
        </w:tc>
        <w:tc>
          <w:tcPr>
            <w:tcW w:w="1871" w:type="dxa"/>
            <w:shd w:val="clear" w:color="auto" w:fill="F2F2F2" w:themeFill="background1" w:themeFillShade="F2"/>
          </w:tcPr>
          <w:p w14:paraId="581D7991" w14:textId="77777777" w:rsidR="00144E7F" w:rsidRPr="00144E7F" w:rsidRDefault="00144E7F" w:rsidP="00144E7F">
            <w:pPr>
              <w:spacing w:before="80" w:after="80" w:line="240" w:lineRule="auto"/>
              <w:jc w:val="right"/>
              <w:rPr>
                <w:rFonts w:ascii="Arial" w:hAnsi="Arial"/>
                <w:bCs/>
                <w:color w:val="000000"/>
                <w:sz w:val="18"/>
              </w:rPr>
            </w:pPr>
            <w:r w:rsidRPr="00144E7F">
              <w:rPr>
                <w:rFonts w:ascii="Arial" w:hAnsi="Arial"/>
                <w:color w:val="000000"/>
                <w:sz w:val="18"/>
              </w:rPr>
              <w:t>800</w:t>
            </w:r>
          </w:p>
        </w:tc>
        <w:tc>
          <w:tcPr>
            <w:tcW w:w="2162" w:type="dxa"/>
            <w:shd w:val="clear" w:color="auto" w:fill="F2F2F2" w:themeFill="background1" w:themeFillShade="F2"/>
          </w:tcPr>
          <w:p w14:paraId="7DCD9CEB" w14:textId="4766D620" w:rsidR="00144E7F" w:rsidRPr="00144E7F" w:rsidRDefault="00737E5E" w:rsidP="00144E7F">
            <w:pPr>
              <w:spacing w:before="80" w:after="80" w:line="240" w:lineRule="auto"/>
              <w:jc w:val="right"/>
              <w:rPr>
                <w:rFonts w:ascii="Arial" w:hAnsi="Arial"/>
                <w:bCs/>
                <w:color w:val="000000"/>
                <w:sz w:val="18"/>
              </w:rPr>
            </w:pPr>
            <w:r>
              <w:rPr>
                <w:rFonts w:ascii="Arial" w:hAnsi="Arial"/>
                <w:color w:val="000000"/>
                <w:sz w:val="18"/>
              </w:rPr>
              <w:t>5,290</w:t>
            </w:r>
          </w:p>
        </w:tc>
      </w:tr>
      <w:tr w:rsidR="00144E7F" w:rsidRPr="00144E7F" w14:paraId="387E673A" w14:textId="77777777" w:rsidTr="00737E5E">
        <w:trPr>
          <w:cantSplit/>
          <w:trHeight w:val="508"/>
        </w:trPr>
        <w:tc>
          <w:tcPr>
            <w:tcW w:w="1502" w:type="dxa"/>
          </w:tcPr>
          <w:p w14:paraId="3CA40F91" w14:textId="6A4E7196" w:rsidR="00144E7F" w:rsidRPr="00144E7F" w:rsidRDefault="00144E7F" w:rsidP="00144E7F">
            <w:pPr>
              <w:spacing w:before="80" w:after="80" w:line="240" w:lineRule="auto"/>
              <w:jc w:val="left"/>
              <w:rPr>
                <w:rFonts w:ascii="Arial" w:hAnsi="Arial"/>
                <w:bCs/>
                <w:color w:val="000000"/>
                <w:sz w:val="18"/>
              </w:rPr>
            </w:pPr>
            <w:r w:rsidRPr="00144E7F">
              <w:rPr>
                <w:rFonts w:ascii="Arial" w:hAnsi="Arial"/>
                <w:color w:val="000000"/>
                <w:sz w:val="18"/>
              </w:rPr>
              <w:t>675</w:t>
            </w:r>
            <w:r>
              <w:rPr>
                <w:rFonts w:ascii="Arial" w:hAnsi="Arial"/>
                <w:color w:val="000000"/>
                <w:sz w:val="18"/>
              </w:rPr>
              <w:br/>
            </w:r>
            <w:r w:rsidRPr="00144E7F">
              <w:rPr>
                <w:rFonts w:ascii="Arial" w:hAnsi="Arial"/>
                <w:color w:val="000000"/>
                <w:sz w:val="18"/>
              </w:rPr>
              <w:t>(Fee also applies to sub forms 675A &amp; 675B)</w:t>
            </w:r>
          </w:p>
        </w:tc>
        <w:tc>
          <w:tcPr>
            <w:tcW w:w="3742" w:type="dxa"/>
          </w:tcPr>
          <w:p w14:paraId="7CF5FDEC" w14:textId="1972551E" w:rsidR="00144E7F" w:rsidRPr="00144E7F" w:rsidRDefault="00144E7F" w:rsidP="00144E7F">
            <w:pPr>
              <w:spacing w:before="80" w:after="80" w:line="240" w:lineRule="auto"/>
              <w:jc w:val="left"/>
              <w:rPr>
                <w:rFonts w:ascii="Arial" w:hAnsi="Arial"/>
                <w:bCs/>
                <w:color w:val="000000"/>
                <w:sz w:val="18"/>
              </w:rPr>
            </w:pPr>
            <w:r w:rsidRPr="00144E7F">
              <w:rPr>
                <w:rFonts w:ascii="Arial" w:hAnsi="Arial"/>
                <w:color w:val="000000"/>
                <w:sz w:val="18"/>
              </w:rPr>
              <w:t>Supplementary s</w:t>
            </w:r>
            <w:r w:rsidR="00737E5E">
              <w:rPr>
                <w:rFonts w:ascii="Arial" w:hAnsi="Arial"/>
                <w:color w:val="000000"/>
                <w:sz w:val="18"/>
              </w:rPr>
              <w:t>tatement regarding takeover bid</w:t>
            </w:r>
          </w:p>
        </w:tc>
        <w:tc>
          <w:tcPr>
            <w:tcW w:w="1871" w:type="dxa"/>
          </w:tcPr>
          <w:p w14:paraId="041B352F" w14:textId="77777777" w:rsidR="00144E7F" w:rsidRPr="00144E7F" w:rsidRDefault="00144E7F" w:rsidP="00144E7F">
            <w:pPr>
              <w:spacing w:before="80" w:after="80" w:line="240" w:lineRule="auto"/>
              <w:jc w:val="right"/>
              <w:rPr>
                <w:rFonts w:ascii="Arial" w:hAnsi="Arial"/>
                <w:bCs/>
                <w:color w:val="000000"/>
                <w:sz w:val="18"/>
              </w:rPr>
            </w:pPr>
            <w:r w:rsidRPr="00144E7F">
              <w:rPr>
                <w:rFonts w:ascii="Arial" w:hAnsi="Arial"/>
                <w:bCs/>
                <w:color w:val="000000"/>
                <w:sz w:val="18"/>
              </w:rPr>
              <w:t>0</w:t>
            </w:r>
          </w:p>
        </w:tc>
        <w:tc>
          <w:tcPr>
            <w:tcW w:w="2162" w:type="dxa"/>
          </w:tcPr>
          <w:p w14:paraId="22D3F583" w14:textId="4052E2D1" w:rsidR="00144E7F" w:rsidRPr="00144E7F" w:rsidRDefault="00144E7F" w:rsidP="00144E7F">
            <w:pPr>
              <w:spacing w:before="80" w:after="80" w:line="240" w:lineRule="auto"/>
              <w:jc w:val="right"/>
              <w:rPr>
                <w:rFonts w:ascii="Arial" w:hAnsi="Arial"/>
                <w:bCs/>
                <w:color w:val="000000"/>
                <w:sz w:val="18"/>
              </w:rPr>
            </w:pPr>
            <w:r w:rsidRPr="00144E7F">
              <w:rPr>
                <w:rFonts w:ascii="Arial" w:hAnsi="Arial"/>
                <w:color w:val="000000"/>
                <w:sz w:val="18"/>
              </w:rPr>
              <w:t>802</w:t>
            </w:r>
          </w:p>
        </w:tc>
      </w:tr>
      <w:tr w:rsidR="00144E7F" w:rsidRPr="00144E7F" w14:paraId="058DF852" w14:textId="77777777" w:rsidTr="00737E5E">
        <w:trPr>
          <w:cantSplit/>
          <w:trHeight w:val="277"/>
        </w:trPr>
        <w:tc>
          <w:tcPr>
            <w:tcW w:w="1502" w:type="dxa"/>
            <w:shd w:val="clear" w:color="auto" w:fill="F2F2F2" w:themeFill="background1" w:themeFillShade="F2"/>
          </w:tcPr>
          <w:p w14:paraId="644ADE3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752</w:t>
            </w:r>
          </w:p>
        </w:tc>
        <w:tc>
          <w:tcPr>
            <w:tcW w:w="3742" w:type="dxa"/>
            <w:shd w:val="clear" w:color="auto" w:fill="F2F2F2" w:themeFill="background1" w:themeFillShade="F2"/>
          </w:tcPr>
          <w:p w14:paraId="273C662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Document lodged in relation to short form prospectus</w:t>
            </w:r>
          </w:p>
        </w:tc>
        <w:tc>
          <w:tcPr>
            <w:tcW w:w="1871" w:type="dxa"/>
            <w:shd w:val="clear" w:color="auto" w:fill="F2F2F2" w:themeFill="background1" w:themeFillShade="F2"/>
          </w:tcPr>
          <w:p w14:paraId="5328F05D" w14:textId="77777777" w:rsidR="00144E7F" w:rsidRPr="00144E7F" w:rsidRDefault="00144E7F" w:rsidP="00144E7F">
            <w:pPr>
              <w:spacing w:before="80" w:after="80" w:line="240" w:lineRule="auto"/>
              <w:jc w:val="right"/>
              <w:rPr>
                <w:rFonts w:ascii="Arial" w:hAnsi="Arial"/>
                <w:color w:val="000000"/>
                <w:sz w:val="18"/>
                <w:highlight w:val="yellow"/>
              </w:rPr>
            </w:pPr>
            <w:r w:rsidRPr="00144E7F">
              <w:rPr>
                <w:rFonts w:ascii="Arial" w:hAnsi="Arial"/>
                <w:color w:val="000000"/>
                <w:sz w:val="18"/>
              </w:rPr>
              <w:t>39</w:t>
            </w:r>
          </w:p>
        </w:tc>
        <w:tc>
          <w:tcPr>
            <w:tcW w:w="2162" w:type="dxa"/>
            <w:shd w:val="clear" w:color="auto" w:fill="F2F2F2" w:themeFill="background1" w:themeFillShade="F2"/>
          </w:tcPr>
          <w:p w14:paraId="649A1113" w14:textId="4EE9C735"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321</w:t>
            </w:r>
          </w:p>
        </w:tc>
      </w:tr>
      <w:tr w:rsidR="00144E7F" w:rsidRPr="00144E7F" w14:paraId="462D5937" w14:textId="77777777" w:rsidTr="00737E5E">
        <w:trPr>
          <w:cantSplit/>
          <w:trHeight w:val="272"/>
        </w:trPr>
        <w:tc>
          <w:tcPr>
            <w:tcW w:w="1502" w:type="dxa"/>
          </w:tcPr>
          <w:p w14:paraId="327C234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771</w:t>
            </w:r>
          </w:p>
        </w:tc>
        <w:tc>
          <w:tcPr>
            <w:tcW w:w="3742" w:type="dxa"/>
          </w:tcPr>
          <w:p w14:paraId="5F622B3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Permission to act as a debenture trustee</w:t>
            </w:r>
          </w:p>
        </w:tc>
        <w:tc>
          <w:tcPr>
            <w:tcW w:w="1871" w:type="dxa"/>
          </w:tcPr>
          <w:p w14:paraId="541FCCD1" w14:textId="77777777" w:rsidR="00144E7F" w:rsidRPr="00144E7F" w:rsidRDefault="00144E7F" w:rsidP="00144E7F">
            <w:pPr>
              <w:spacing w:before="80" w:after="80" w:line="240" w:lineRule="auto"/>
              <w:jc w:val="right"/>
              <w:rPr>
                <w:rFonts w:ascii="Arial" w:hAnsi="Arial"/>
                <w:color w:val="000000"/>
                <w:sz w:val="18"/>
                <w:highlight w:val="yellow"/>
              </w:rPr>
            </w:pPr>
            <w:r w:rsidRPr="00144E7F">
              <w:rPr>
                <w:rFonts w:ascii="Arial" w:hAnsi="Arial"/>
                <w:color w:val="000000"/>
                <w:sz w:val="18"/>
              </w:rPr>
              <w:t>78</w:t>
            </w:r>
          </w:p>
        </w:tc>
        <w:tc>
          <w:tcPr>
            <w:tcW w:w="2162" w:type="dxa"/>
          </w:tcPr>
          <w:p w14:paraId="63015BD8" w14:textId="73E74C42"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16,030</w:t>
            </w:r>
          </w:p>
        </w:tc>
      </w:tr>
      <w:tr w:rsidR="00144E7F" w:rsidRPr="00144E7F" w14:paraId="33CF73C8" w14:textId="77777777" w:rsidTr="00737E5E">
        <w:trPr>
          <w:cantSplit/>
          <w:trHeight w:val="333"/>
        </w:trPr>
        <w:tc>
          <w:tcPr>
            <w:tcW w:w="1502" w:type="dxa"/>
            <w:shd w:val="clear" w:color="auto" w:fill="F2F2F2" w:themeFill="background1" w:themeFillShade="F2"/>
          </w:tcPr>
          <w:p w14:paraId="54C4747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877</w:t>
            </w:r>
          </w:p>
        </w:tc>
        <w:tc>
          <w:tcPr>
            <w:tcW w:w="3742" w:type="dxa"/>
            <w:shd w:val="clear" w:color="auto" w:fill="F2F2F2" w:themeFill="background1" w:themeFillShade="F2"/>
          </w:tcPr>
          <w:p w14:paraId="0FB4B8C6" w14:textId="714CA7C3" w:rsidR="00144E7F" w:rsidRPr="00144E7F" w:rsidRDefault="00144E7F" w:rsidP="00983BAF">
            <w:pPr>
              <w:spacing w:before="80" w:after="80" w:line="240" w:lineRule="auto"/>
              <w:jc w:val="left"/>
              <w:rPr>
                <w:rFonts w:ascii="Arial" w:hAnsi="Arial"/>
                <w:color w:val="000000"/>
                <w:sz w:val="18"/>
              </w:rPr>
            </w:pPr>
            <w:r w:rsidRPr="00144E7F">
              <w:rPr>
                <w:rFonts w:ascii="Arial" w:hAnsi="Arial"/>
                <w:color w:val="000000"/>
                <w:sz w:val="18"/>
              </w:rPr>
              <w:t xml:space="preserve">Change to offer document </w:t>
            </w:r>
            <w:r w:rsidR="00983BAF">
              <w:rPr>
                <w:rFonts w:ascii="Arial" w:hAnsi="Arial"/>
                <w:bCs/>
                <w:color w:val="000000"/>
                <w:sz w:val="18"/>
              </w:rPr>
              <w:t>–</w:t>
            </w:r>
            <w:r w:rsidRPr="00144E7F">
              <w:rPr>
                <w:rFonts w:ascii="Arial" w:hAnsi="Arial"/>
                <w:color w:val="000000"/>
                <w:sz w:val="18"/>
              </w:rPr>
              <w:t xml:space="preserve"> Mutual recognition scheme</w:t>
            </w:r>
          </w:p>
        </w:tc>
        <w:tc>
          <w:tcPr>
            <w:tcW w:w="1871" w:type="dxa"/>
            <w:shd w:val="clear" w:color="auto" w:fill="F2F2F2" w:themeFill="background1" w:themeFillShade="F2"/>
          </w:tcPr>
          <w:p w14:paraId="2321389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62" w:type="dxa"/>
            <w:shd w:val="clear" w:color="auto" w:fill="F2F2F2" w:themeFill="background1" w:themeFillShade="F2"/>
          </w:tcPr>
          <w:p w14:paraId="4C856062" w14:textId="72359D3F"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160</w:t>
            </w:r>
          </w:p>
        </w:tc>
      </w:tr>
      <w:tr w:rsidR="00144E7F" w:rsidRPr="00144E7F" w14:paraId="08BD9FB6" w14:textId="77777777" w:rsidTr="00737E5E">
        <w:trPr>
          <w:cantSplit/>
          <w:trHeight w:val="327"/>
        </w:trPr>
        <w:tc>
          <w:tcPr>
            <w:tcW w:w="1502" w:type="dxa"/>
          </w:tcPr>
          <w:p w14:paraId="389993E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975</w:t>
            </w:r>
          </w:p>
        </w:tc>
        <w:tc>
          <w:tcPr>
            <w:tcW w:w="3742" w:type="dxa"/>
          </w:tcPr>
          <w:p w14:paraId="76CAD88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 for annual statement by liquidator</w:t>
            </w:r>
          </w:p>
        </w:tc>
        <w:tc>
          <w:tcPr>
            <w:tcW w:w="1871" w:type="dxa"/>
          </w:tcPr>
          <w:p w14:paraId="5EE0CEC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tcPr>
          <w:p w14:paraId="7169F3DF" w14:textId="0C6F0022"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r w:rsidR="00144E7F" w:rsidRPr="00144E7F" w14:paraId="0191C809" w14:textId="77777777" w:rsidTr="00737E5E">
        <w:trPr>
          <w:cantSplit/>
          <w:trHeight w:val="179"/>
        </w:trPr>
        <w:tc>
          <w:tcPr>
            <w:tcW w:w="1502" w:type="dxa"/>
            <w:shd w:val="clear" w:color="auto" w:fill="F2F2F2" w:themeFill="background1" w:themeFillShade="F2"/>
          </w:tcPr>
          <w:p w14:paraId="6DA4B99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5030</w:t>
            </w:r>
          </w:p>
        </w:tc>
        <w:tc>
          <w:tcPr>
            <w:tcW w:w="3742" w:type="dxa"/>
            <w:shd w:val="clear" w:color="auto" w:fill="F2F2F2" w:themeFill="background1" w:themeFillShade="F2"/>
          </w:tcPr>
          <w:p w14:paraId="6370EA1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Registration copy of explanatory statement</w:t>
            </w:r>
          </w:p>
        </w:tc>
        <w:tc>
          <w:tcPr>
            <w:tcW w:w="1871" w:type="dxa"/>
            <w:shd w:val="clear" w:color="auto" w:fill="F2F2F2" w:themeFill="background1" w:themeFillShade="F2"/>
          </w:tcPr>
          <w:p w14:paraId="7DD04C9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shd w:val="clear" w:color="auto" w:fill="F2F2F2" w:themeFill="background1" w:themeFillShade="F2"/>
          </w:tcPr>
          <w:p w14:paraId="3B172275" w14:textId="76F5BE0E"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321</w:t>
            </w:r>
          </w:p>
        </w:tc>
      </w:tr>
      <w:tr w:rsidR="00144E7F" w:rsidRPr="00144E7F" w14:paraId="39CE0126" w14:textId="77777777" w:rsidTr="00737E5E">
        <w:trPr>
          <w:cantSplit/>
          <w:trHeight w:val="369"/>
        </w:trPr>
        <w:tc>
          <w:tcPr>
            <w:tcW w:w="1502" w:type="dxa"/>
            <w:tcBorders>
              <w:bottom w:val="single" w:sz="4" w:space="0" w:color="004A7F"/>
            </w:tcBorders>
          </w:tcPr>
          <w:p w14:paraId="50B3B97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5054</w:t>
            </w:r>
          </w:p>
        </w:tc>
        <w:tc>
          <w:tcPr>
            <w:tcW w:w="3742" w:type="dxa"/>
            <w:tcBorders>
              <w:bottom w:val="single" w:sz="4" w:space="0" w:color="004A7F"/>
            </w:tcBorders>
          </w:tcPr>
          <w:p w14:paraId="19DEECE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 for dealing with formal proof of debt/claim</w:t>
            </w:r>
          </w:p>
        </w:tc>
        <w:tc>
          <w:tcPr>
            <w:tcW w:w="1871" w:type="dxa"/>
            <w:tcBorders>
              <w:bottom w:val="single" w:sz="4" w:space="0" w:color="004A7F"/>
            </w:tcBorders>
          </w:tcPr>
          <w:p w14:paraId="1833946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62" w:type="dxa"/>
            <w:tcBorders>
              <w:bottom w:val="single" w:sz="4" w:space="0" w:color="004A7F"/>
            </w:tcBorders>
          </w:tcPr>
          <w:p w14:paraId="0DD18452" w14:textId="6737938B"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156</w:t>
            </w:r>
          </w:p>
        </w:tc>
      </w:tr>
    </w:tbl>
    <w:p w14:paraId="5E85F73B" w14:textId="77777777" w:rsidR="00D840F3" w:rsidRDefault="00D840F3">
      <w:r>
        <w:rPr>
          <w:b/>
          <w:caps/>
        </w:rPr>
        <w:br w:type="page"/>
      </w:r>
    </w:p>
    <w:tbl>
      <w:tblPr>
        <w:tblW w:w="9277" w:type="dxa"/>
        <w:tblLayout w:type="fixed"/>
        <w:tblLook w:val="04A0" w:firstRow="1" w:lastRow="0" w:firstColumn="1" w:lastColumn="0" w:noHBand="0" w:noVBand="1"/>
      </w:tblPr>
      <w:tblGrid>
        <w:gridCol w:w="1502"/>
        <w:gridCol w:w="3742"/>
        <w:gridCol w:w="1877"/>
        <w:gridCol w:w="2156"/>
      </w:tblGrid>
      <w:tr w:rsidR="00D840F3" w:rsidRPr="00144E7F" w14:paraId="01866417" w14:textId="77777777" w:rsidTr="00737E5E">
        <w:trPr>
          <w:cantSplit/>
        </w:trPr>
        <w:tc>
          <w:tcPr>
            <w:tcW w:w="1502" w:type="dxa"/>
            <w:tcBorders>
              <w:top w:val="single" w:sz="4" w:space="0" w:color="004A7F"/>
              <w:bottom w:val="single" w:sz="4" w:space="0" w:color="004A7F"/>
            </w:tcBorders>
            <w:shd w:val="clear" w:color="auto" w:fill="DEEAF6" w:themeFill="accent1" w:themeFillTint="33"/>
          </w:tcPr>
          <w:p w14:paraId="22F0D134" w14:textId="30A2543A" w:rsidR="00D840F3" w:rsidRPr="00144E7F" w:rsidRDefault="00D840F3" w:rsidP="007E535E">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0B967CFA" w14:textId="77777777" w:rsidR="00D840F3" w:rsidRPr="00144E7F" w:rsidRDefault="00D840F3" w:rsidP="007E535E">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2745486E"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tcBorders>
              <w:top w:val="single" w:sz="4" w:space="0" w:color="004A7F"/>
              <w:bottom w:val="single" w:sz="4" w:space="0" w:color="004A7F"/>
            </w:tcBorders>
            <w:shd w:val="clear" w:color="auto" w:fill="DEEAF6" w:themeFill="accent1" w:themeFillTint="33"/>
          </w:tcPr>
          <w:p w14:paraId="27F873FC"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1A79F8A2" w14:textId="77777777" w:rsidTr="00737E5E">
        <w:trPr>
          <w:cantSplit/>
          <w:trHeight w:val="508"/>
        </w:trPr>
        <w:tc>
          <w:tcPr>
            <w:tcW w:w="1502" w:type="dxa"/>
          </w:tcPr>
          <w:p w14:paraId="6BB1E015" w14:textId="6B4FE7A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5057</w:t>
            </w:r>
            <w:r>
              <w:rPr>
                <w:rFonts w:ascii="Arial" w:hAnsi="Arial"/>
                <w:color w:val="000000"/>
                <w:sz w:val="18"/>
              </w:rPr>
              <w:br/>
            </w:r>
            <w:r w:rsidRPr="00144E7F">
              <w:rPr>
                <w:rFonts w:ascii="Arial" w:hAnsi="Arial"/>
                <w:color w:val="000000"/>
                <w:sz w:val="18"/>
              </w:rPr>
              <w:t>(Fee also applies to sub forms 5057A - 5057D)</w:t>
            </w:r>
          </w:p>
        </w:tc>
        <w:tc>
          <w:tcPr>
            <w:tcW w:w="3742" w:type="dxa"/>
          </w:tcPr>
          <w:p w14:paraId="21EE7CEB" w14:textId="11F8EFBF"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Related party benefits - proposed notice, explanatory sta</w:t>
            </w:r>
            <w:r w:rsidR="00737E5E">
              <w:rPr>
                <w:rFonts w:ascii="Arial" w:hAnsi="Arial"/>
                <w:color w:val="000000"/>
                <w:sz w:val="18"/>
              </w:rPr>
              <w:t>tement &amp; accompanying documents</w:t>
            </w:r>
          </w:p>
        </w:tc>
        <w:tc>
          <w:tcPr>
            <w:tcW w:w="1877" w:type="dxa"/>
          </w:tcPr>
          <w:p w14:paraId="553AFD71" w14:textId="77777777" w:rsidR="00144E7F" w:rsidRPr="00144E7F" w:rsidRDefault="00144E7F" w:rsidP="00737E5E">
            <w:pPr>
              <w:pStyle w:val="TableTextRight"/>
            </w:pPr>
            <w:r w:rsidRPr="00144E7F">
              <w:t>39</w:t>
            </w:r>
          </w:p>
        </w:tc>
        <w:tc>
          <w:tcPr>
            <w:tcW w:w="2156" w:type="dxa"/>
          </w:tcPr>
          <w:p w14:paraId="5319A91F" w14:textId="4EBEFA11" w:rsidR="00144E7F" w:rsidRPr="00144E7F" w:rsidRDefault="00737E5E" w:rsidP="00737E5E">
            <w:pPr>
              <w:pStyle w:val="TableTextRight"/>
            </w:pPr>
            <w:r>
              <w:t>802</w:t>
            </w:r>
          </w:p>
        </w:tc>
      </w:tr>
      <w:tr w:rsidR="00144E7F" w:rsidRPr="00144E7F" w14:paraId="04D6D572" w14:textId="77777777" w:rsidTr="00737E5E">
        <w:trPr>
          <w:cantSplit/>
          <w:trHeight w:val="508"/>
        </w:trPr>
        <w:tc>
          <w:tcPr>
            <w:tcW w:w="1502" w:type="dxa"/>
            <w:shd w:val="clear" w:color="auto" w:fill="F2F2F2" w:themeFill="background1" w:themeFillShade="F2"/>
          </w:tcPr>
          <w:p w14:paraId="544427A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5071</w:t>
            </w:r>
          </w:p>
        </w:tc>
        <w:tc>
          <w:tcPr>
            <w:tcW w:w="3742" w:type="dxa"/>
            <w:shd w:val="clear" w:color="auto" w:fill="F2F2F2" w:themeFill="background1" w:themeFillShade="F2"/>
          </w:tcPr>
          <w:p w14:paraId="55B32D5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direction that paragraph 448C(3)(b) does not apply</w:t>
            </w:r>
          </w:p>
        </w:tc>
        <w:tc>
          <w:tcPr>
            <w:tcW w:w="1877" w:type="dxa"/>
            <w:shd w:val="clear" w:color="auto" w:fill="F2F2F2" w:themeFill="background1" w:themeFillShade="F2"/>
          </w:tcPr>
          <w:p w14:paraId="55DED7AA" w14:textId="77777777" w:rsidR="00144E7F" w:rsidRPr="00144E7F" w:rsidRDefault="00144E7F" w:rsidP="00737E5E">
            <w:pPr>
              <w:pStyle w:val="TableTextRight"/>
            </w:pPr>
            <w:r w:rsidRPr="00144E7F">
              <w:t>39</w:t>
            </w:r>
          </w:p>
        </w:tc>
        <w:tc>
          <w:tcPr>
            <w:tcW w:w="2156" w:type="dxa"/>
            <w:shd w:val="clear" w:color="auto" w:fill="F2F2F2" w:themeFill="background1" w:themeFillShade="F2"/>
          </w:tcPr>
          <w:p w14:paraId="61048107" w14:textId="346DDDD6" w:rsidR="00144E7F" w:rsidRPr="00144E7F" w:rsidRDefault="00737E5E" w:rsidP="00737E5E">
            <w:pPr>
              <w:pStyle w:val="TableTextRight"/>
            </w:pPr>
            <w:r>
              <w:t>156</w:t>
            </w:r>
          </w:p>
        </w:tc>
      </w:tr>
      <w:tr w:rsidR="00144E7F" w:rsidRPr="00144E7F" w14:paraId="68E0A67B" w14:textId="77777777" w:rsidTr="00737E5E">
        <w:trPr>
          <w:cantSplit/>
          <w:trHeight w:val="508"/>
        </w:trPr>
        <w:tc>
          <w:tcPr>
            <w:tcW w:w="1502" w:type="dxa"/>
          </w:tcPr>
          <w:p w14:paraId="40C7191B" w14:textId="087B553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5100 (Fee also applies to sub forms)</w:t>
            </w:r>
          </w:p>
          <w:p w14:paraId="311AFE7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5100A, 5100B &amp; 5100C)</w:t>
            </w:r>
          </w:p>
          <w:p w14:paraId="73A11D61" w14:textId="21F89273" w:rsid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And includes</w:t>
            </w:r>
            <w:r>
              <w:rPr>
                <w:rFonts w:ascii="Arial" w:hAnsi="Arial"/>
                <w:color w:val="000000"/>
                <w:sz w:val="18"/>
              </w:rPr>
              <w:t>:</w:t>
            </w:r>
          </w:p>
          <w:p w14:paraId="06F0FFA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5101A</w:t>
            </w:r>
          </w:p>
          <w:p w14:paraId="668BCB2E" w14:textId="77777777" w:rsidR="00144E7F" w:rsidRPr="00144E7F" w:rsidRDefault="00144E7F" w:rsidP="005B6360">
            <w:pPr>
              <w:spacing w:after="0" w:line="240" w:lineRule="auto"/>
              <w:jc w:val="left"/>
              <w:rPr>
                <w:rFonts w:ascii="Arial" w:hAnsi="Arial"/>
                <w:color w:val="000000"/>
                <w:sz w:val="18"/>
              </w:rPr>
            </w:pPr>
          </w:p>
          <w:p w14:paraId="276A8E5E" w14:textId="77777777" w:rsidR="005B6360" w:rsidRDefault="00144E7F" w:rsidP="005B6360">
            <w:pPr>
              <w:spacing w:after="0" w:line="240" w:lineRule="auto"/>
              <w:jc w:val="left"/>
              <w:rPr>
                <w:rFonts w:ascii="Arial" w:hAnsi="Arial"/>
                <w:color w:val="000000"/>
                <w:sz w:val="18"/>
              </w:rPr>
            </w:pPr>
            <w:r w:rsidRPr="00144E7F">
              <w:rPr>
                <w:rFonts w:ascii="Arial" w:hAnsi="Arial"/>
                <w:color w:val="000000"/>
                <w:sz w:val="18"/>
              </w:rPr>
              <w:t>5102A</w:t>
            </w:r>
          </w:p>
          <w:p w14:paraId="33A98597" w14:textId="7FD030CA" w:rsidR="005B6360" w:rsidRDefault="005B6360" w:rsidP="005B6360">
            <w:pPr>
              <w:spacing w:after="0" w:line="240" w:lineRule="auto"/>
              <w:jc w:val="left"/>
              <w:rPr>
                <w:rFonts w:ascii="Arial" w:hAnsi="Arial"/>
                <w:color w:val="000000"/>
                <w:sz w:val="18"/>
              </w:rPr>
            </w:pPr>
          </w:p>
          <w:p w14:paraId="687CAA55" w14:textId="2D296092" w:rsidR="00144E7F" w:rsidRPr="00144E7F" w:rsidRDefault="00144E7F" w:rsidP="005B6360">
            <w:pPr>
              <w:spacing w:before="80" w:after="0" w:line="240" w:lineRule="auto"/>
              <w:jc w:val="left"/>
              <w:rPr>
                <w:rFonts w:ascii="Arial" w:hAnsi="Arial"/>
                <w:color w:val="000000"/>
                <w:sz w:val="18"/>
              </w:rPr>
            </w:pPr>
            <w:r w:rsidRPr="00144E7F">
              <w:rPr>
                <w:rFonts w:ascii="Arial" w:hAnsi="Arial"/>
                <w:color w:val="000000"/>
                <w:sz w:val="18"/>
              </w:rPr>
              <w:t>5103</w:t>
            </w:r>
          </w:p>
        </w:tc>
        <w:tc>
          <w:tcPr>
            <w:tcW w:w="3742" w:type="dxa"/>
          </w:tcPr>
          <w:p w14:paraId="4B87D6BE" w14:textId="5C88D9E1" w:rsidR="005B6360"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registrati</w:t>
            </w:r>
            <w:r w:rsidR="005B6360">
              <w:rPr>
                <w:rFonts w:ascii="Arial" w:hAnsi="Arial"/>
                <w:color w:val="000000"/>
                <w:sz w:val="18"/>
              </w:rPr>
              <w:t>on of managed investment scheme</w:t>
            </w:r>
            <w:r w:rsidR="005B6360">
              <w:rPr>
                <w:rFonts w:ascii="Arial" w:hAnsi="Arial"/>
                <w:color w:val="000000"/>
                <w:sz w:val="18"/>
              </w:rPr>
              <w:br/>
            </w:r>
          </w:p>
          <w:p w14:paraId="01982636" w14:textId="77777777" w:rsidR="005B6360" w:rsidRDefault="005B6360" w:rsidP="00144E7F">
            <w:pPr>
              <w:spacing w:before="80" w:after="80" w:line="240" w:lineRule="auto"/>
              <w:jc w:val="left"/>
              <w:rPr>
                <w:rFonts w:ascii="Arial" w:hAnsi="Arial"/>
                <w:bCs/>
                <w:color w:val="000000"/>
                <w:sz w:val="18"/>
              </w:rPr>
            </w:pPr>
            <w:r>
              <w:rPr>
                <w:rFonts w:ascii="Arial" w:hAnsi="Arial"/>
                <w:color w:val="000000"/>
                <w:sz w:val="18"/>
              </w:rPr>
              <w:br/>
            </w:r>
          </w:p>
          <w:p w14:paraId="38922BDA" w14:textId="77777777" w:rsidR="005B6360" w:rsidRDefault="005B6360" w:rsidP="00144E7F">
            <w:pPr>
              <w:spacing w:before="80" w:after="80" w:line="240" w:lineRule="auto"/>
              <w:jc w:val="left"/>
              <w:rPr>
                <w:rFonts w:ascii="Arial" w:hAnsi="Arial"/>
                <w:bCs/>
                <w:color w:val="000000"/>
                <w:sz w:val="18"/>
              </w:rPr>
            </w:pPr>
          </w:p>
          <w:p w14:paraId="053926BD" w14:textId="77777777" w:rsidR="005B6360" w:rsidRDefault="00144E7F" w:rsidP="00144E7F">
            <w:pPr>
              <w:spacing w:before="80" w:after="80" w:line="240" w:lineRule="auto"/>
              <w:jc w:val="left"/>
              <w:rPr>
                <w:rFonts w:ascii="Arial" w:hAnsi="Arial"/>
                <w:bCs/>
                <w:color w:val="000000"/>
                <w:sz w:val="18"/>
              </w:rPr>
            </w:pPr>
            <w:r w:rsidRPr="00144E7F">
              <w:rPr>
                <w:rFonts w:ascii="Arial" w:hAnsi="Arial"/>
                <w:bCs/>
                <w:color w:val="000000"/>
                <w:sz w:val="18"/>
              </w:rPr>
              <w:t>Notification of change to managed investment scheme's constitution</w:t>
            </w:r>
          </w:p>
          <w:p w14:paraId="5297F2A9" w14:textId="344B9A14" w:rsidR="00144E7F" w:rsidRPr="00144E7F" w:rsidRDefault="00144E7F" w:rsidP="00144E7F">
            <w:pPr>
              <w:spacing w:before="80" w:after="80" w:line="240" w:lineRule="auto"/>
              <w:jc w:val="left"/>
              <w:rPr>
                <w:rFonts w:ascii="Arial" w:hAnsi="Arial"/>
                <w:bCs/>
                <w:color w:val="000000"/>
                <w:sz w:val="18"/>
              </w:rPr>
            </w:pPr>
            <w:r w:rsidRPr="00144E7F">
              <w:rPr>
                <w:rFonts w:ascii="Arial" w:hAnsi="Arial"/>
                <w:bCs/>
                <w:color w:val="000000"/>
                <w:sz w:val="18"/>
              </w:rPr>
              <w:t>Compliance plan for managed investment scheme</w:t>
            </w:r>
          </w:p>
          <w:p w14:paraId="2A45113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bCs/>
                <w:color w:val="000000"/>
                <w:sz w:val="18"/>
              </w:rPr>
              <w:t>Directors' statement relating to application for registration of  a managed investment scheme</w:t>
            </w:r>
          </w:p>
        </w:tc>
        <w:tc>
          <w:tcPr>
            <w:tcW w:w="1877" w:type="dxa"/>
          </w:tcPr>
          <w:p w14:paraId="36B334D1" w14:textId="071A8726" w:rsidR="00144E7F" w:rsidRPr="00144E7F" w:rsidRDefault="00144E7F" w:rsidP="00737E5E">
            <w:pPr>
              <w:pStyle w:val="TableTextRight"/>
            </w:pPr>
            <w:r w:rsidRPr="00144E7F">
              <w:t xml:space="preserve">5100 A </w:t>
            </w:r>
            <w:r w:rsidR="00737E5E">
              <w:t xml:space="preserve">– </w:t>
            </w:r>
            <w:r w:rsidRPr="00144E7F">
              <w:t>2,400</w:t>
            </w:r>
          </w:p>
          <w:p w14:paraId="13FDFFBC" w14:textId="77777777" w:rsidR="00144E7F" w:rsidRPr="00144E7F" w:rsidRDefault="00144E7F" w:rsidP="00737E5E">
            <w:pPr>
              <w:pStyle w:val="TableTextRight"/>
            </w:pPr>
            <w:r w:rsidRPr="00144E7F">
              <w:t>5100 B – 926</w:t>
            </w:r>
          </w:p>
          <w:p w14:paraId="23359F0A" w14:textId="7532A2D9" w:rsidR="00144E7F" w:rsidRPr="00144E7F" w:rsidRDefault="00737E5E" w:rsidP="00737E5E">
            <w:pPr>
              <w:pStyle w:val="TableTextRight"/>
            </w:pPr>
            <w:r>
              <w:t>5100C – 2,400</w:t>
            </w:r>
          </w:p>
        </w:tc>
        <w:tc>
          <w:tcPr>
            <w:tcW w:w="2156" w:type="dxa"/>
          </w:tcPr>
          <w:p w14:paraId="5B2300C0" w14:textId="75EDF2B3" w:rsidR="00144E7F" w:rsidRPr="00144E7F" w:rsidRDefault="00737E5E" w:rsidP="00737E5E">
            <w:pPr>
              <w:pStyle w:val="TableTextRight"/>
            </w:pPr>
            <w:r>
              <w:t>3,029</w:t>
            </w:r>
          </w:p>
        </w:tc>
      </w:tr>
      <w:tr w:rsidR="00144E7F" w:rsidRPr="00144E7F" w14:paraId="3EE4A331" w14:textId="77777777" w:rsidTr="007E535E">
        <w:trPr>
          <w:cantSplit/>
          <w:trHeight w:val="681"/>
        </w:trPr>
        <w:tc>
          <w:tcPr>
            <w:tcW w:w="1502" w:type="dxa"/>
            <w:shd w:val="clear" w:color="auto" w:fill="F2F2F2" w:themeFill="background1" w:themeFillShade="F2"/>
          </w:tcPr>
          <w:p w14:paraId="0D5FA9A2" w14:textId="77777777" w:rsidR="00144E7F" w:rsidRPr="00144E7F" w:rsidRDefault="00144E7F" w:rsidP="00144E7F">
            <w:pPr>
              <w:spacing w:before="80" w:after="80" w:line="240" w:lineRule="auto"/>
              <w:jc w:val="left"/>
              <w:rPr>
                <w:rFonts w:ascii="Arial" w:hAnsi="Arial"/>
                <w:bCs/>
                <w:color w:val="000000"/>
                <w:sz w:val="18"/>
              </w:rPr>
            </w:pPr>
            <w:r w:rsidRPr="00144E7F">
              <w:rPr>
                <w:rFonts w:ascii="Arial" w:hAnsi="Arial"/>
                <w:color w:val="000000"/>
                <w:sz w:val="18"/>
              </w:rPr>
              <w:t>5107 (Fee also applies to sub forms 5107A to 5107D)</w:t>
            </w:r>
          </w:p>
        </w:tc>
        <w:tc>
          <w:tcPr>
            <w:tcW w:w="3742" w:type="dxa"/>
            <w:shd w:val="clear" w:color="auto" w:fill="F2F2F2" w:themeFill="background1" w:themeFillShade="F2"/>
          </w:tcPr>
          <w:p w14:paraId="29FB6360" w14:textId="779D0898" w:rsidR="00144E7F" w:rsidRPr="00144E7F" w:rsidRDefault="00144E7F" w:rsidP="007E535E">
            <w:pPr>
              <w:spacing w:before="80" w:after="80" w:line="240" w:lineRule="auto"/>
              <w:jc w:val="left"/>
              <w:rPr>
                <w:rFonts w:ascii="Arial" w:hAnsi="Arial"/>
                <w:b/>
                <w:bCs/>
                <w:color w:val="000000"/>
                <w:sz w:val="18"/>
              </w:rPr>
            </w:pPr>
            <w:r w:rsidRPr="00144E7F">
              <w:rPr>
                <w:rFonts w:ascii="Arial" w:hAnsi="Arial"/>
                <w:color w:val="000000"/>
                <w:sz w:val="18"/>
              </w:rPr>
              <w:t>Notification of change of responsible entity of a registered scheme</w:t>
            </w:r>
          </w:p>
        </w:tc>
        <w:tc>
          <w:tcPr>
            <w:tcW w:w="1877" w:type="dxa"/>
            <w:shd w:val="clear" w:color="auto" w:fill="F2F2F2" w:themeFill="background1" w:themeFillShade="F2"/>
          </w:tcPr>
          <w:p w14:paraId="2C202435" w14:textId="77777777" w:rsidR="00144E7F" w:rsidRPr="00144E7F" w:rsidRDefault="00144E7F" w:rsidP="00144E7F">
            <w:pPr>
              <w:spacing w:before="80" w:after="80" w:line="240" w:lineRule="auto"/>
              <w:jc w:val="right"/>
              <w:rPr>
                <w:rFonts w:ascii="Arial" w:hAnsi="Arial"/>
                <w:b/>
                <w:bCs/>
                <w:color w:val="000000"/>
                <w:sz w:val="18"/>
              </w:rPr>
            </w:pPr>
            <w:r w:rsidRPr="00144E7F">
              <w:rPr>
                <w:rFonts w:ascii="Arial" w:hAnsi="Arial"/>
                <w:color w:val="000000"/>
                <w:sz w:val="18"/>
              </w:rPr>
              <w:t>39</w:t>
            </w:r>
          </w:p>
        </w:tc>
        <w:tc>
          <w:tcPr>
            <w:tcW w:w="2156" w:type="dxa"/>
            <w:shd w:val="clear" w:color="auto" w:fill="F2F2F2" w:themeFill="background1" w:themeFillShade="F2"/>
          </w:tcPr>
          <w:p w14:paraId="6819BFEC" w14:textId="2CBE017D" w:rsidR="00144E7F" w:rsidRPr="00144E7F" w:rsidRDefault="00737E5E" w:rsidP="00144E7F">
            <w:pPr>
              <w:spacing w:before="80" w:after="80" w:line="240" w:lineRule="auto"/>
              <w:jc w:val="right"/>
              <w:rPr>
                <w:rFonts w:ascii="Arial" w:hAnsi="Arial"/>
                <w:b/>
                <w:bCs/>
                <w:color w:val="000000"/>
                <w:sz w:val="18"/>
              </w:rPr>
            </w:pPr>
            <w:r>
              <w:rPr>
                <w:rFonts w:ascii="Arial" w:hAnsi="Arial"/>
                <w:color w:val="000000"/>
                <w:sz w:val="18"/>
              </w:rPr>
              <w:t>1,187</w:t>
            </w:r>
          </w:p>
        </w:tc>
      </w:tr>
      <w:tr w:rsidR="00144E7F" w:rsidRPr="00144E7F" w14:paraId="615D1155" w14:textId="77777777" w:rsidTr="00737E5E">
        <w:trPr>
          <w:cantSplit/>
          <w:trHeight w:val="508"/>
        </w:trPr>
        <w:tc>
          <w:tcPr>
            <w:tcW w:w="1502" w:type="dxa"/>
          </w:tcPr>
          <w:p w14:paraId="64555C3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5108</w:t>
            </w:r>
          </w:p>
        </w:tc>
        <w:tc>
          <w:tcPr>
            <w:tcW w:w="3742" w:type="dxa"/>
          </w:tcPr>
          <w:p w14:paraId="39BF02B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Notification of appointment of temporary responsible entity</w:t>
            </w:r>
          </w:p>
        </w:tc>
        <w:tc>
          <w:tcPr>
            <w:tcW w:w="1877" w:type="dxa"/>
          </w:tcPr>
          <w:p w14:paraId="6FD81FC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tcPr>
          <w:p w14:paraId="51486525" w14:textId="483119A2" w:rsidR="00144E7F" w:rsidRPr="00144E7F" w:rsidRDefault="00737E5E" w:rsidP="00144E7F">
            <w:pPr>
              <w:spacing w:before="80" w:after="80" w:line="240" w:lineRule="auto"/>
              <w:jc w:val="right"/>
              <w:rPr>
                <w:rFonts w:ascii="Arial" w:hAnsi="Arial"/>
                <w:color w:val="000000"/>
                <w:sz w:val="18"/>
              </w:rPr>
            </w:pPr>
            <w:r>
              <w:rPr>
                <w:rFonts w:ascii="Arial" w:hAnsi="Arial"/>
                <w:color w:val="000000"/>
                <w:sz w:val="18"/>
              </w:rPr>
              <w:t>1,187</w:t>
            </w:r>
          </w:p>
        </w:tc>
      </w:tr>
      <w:tr w:rsidR="00144E7F" w:rsidRPr="00144E7F" w14:paraId="1F7935D7" w14:textId="77777777" w:rsidTr="00737E5E">
        <w:trPr>
          <w:cantSplit/>
          <w:trHeight w:val="508"/>
        </w:trPr>
        <w:tc>
          <w:tcPr>
            <w:tcW w:w="1502" w:type="dxa"/>
            <w:shd w:val="clear" w:color="auto" w:fill="F2F2F2" w:themeFill="background1" w:themeFillShade="F2"/>
          </w:tcPr>
          <w:p w14:paraId="4A6EE25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5109</w:t>
            </w:r>
          </w:p>
        </w:tc>
        <w:tc>
          <w:tcPr>
            <w:tcW w:w="3742" w:type="dxa"/>
            <w:shd w:val="clear" w:color="auto" w:fill="F2F2F2" w:themeFill="background1" w:themeFillShade="F2"/>
          </w:tcPr>
          <w:p w14:paraId="1AEEE6A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Notification of request by temporary responsible entity to add new responsible entity</w:t>
            </w:r>
          </w:p>
        </w:tc>
        <w:tc>
          <w:tcPr>
            <w:tcW w:w="1877" w:type="dxa"/>
            <w:shd w:val="clear" w:color="auto" w:fill="F2F2F2" w:themeFill="background1" w:themeFillShade="F2"/>
          </w:tcPr>
          <w:p w14:paraId="5A123D9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shd w:val="clear" w:color="auto" w:fill="F2F2F2" w:themeFill="background1" w:themeFillShade="F2"/>
          </w:tcPr>
          <w:p w14:paraId="08D2F121" w14:textId="1813875E"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1,187</w:t>
            </w:r>
          </w:p>
        </w:tc>
      </w:tr>
      <w:tr w:rsidR="00144E7F" w:rsidRPr="00144E7F" w14:paraId="3F7AD3F6" w14:textId="77777777" w:rsidTr="00737E5E">
        <w:trPr>
          <w:cantSplit/>
          <w:trHeight w:val="508"/>
        </w:trPr>
        <w:tc>
          <w:tcPr>
            <w:tcW w:w="1502" w:type="dxa"/>
          </w:tcPr>
          <w:p w14:paraId="08132B1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5112</w:t>
            </w:r>
          </w:p>
        </w:tc>
        <w:tc>
          <w:tcPr>
            <w:tcW w:w="3742" w:type="dxa"/>
          </w:tcPr>
          <w:p w14:paraId="6268A46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consent to remove compliance plan auditor</w:t>
            </w:r>
          </w:p>
        </w:tc>
        <w:tc>
          <w:tcPr>
            <w:tcW w:w="1877" w:type="dxa"/>
          </w:tcPr>
          <w:p w14:paraId="6377490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tcPr>
          <w:p w14:paraId="723A3E74" w14:textId="1C3E4E0E"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791</w:t>
            </w:r>
          </w:p>
        </w:tc>
      </w:tr>
      <w:tr w:rsidR="00144E7F" w:rsidRPr="00144E7F" w14:paraId="428F6F4A" w14:textId="77777777" w:rsidTr="00737E5E">
        <w:trPr>
          <w:cantSplit/>
          <w:trHeight w:val="508"/>
        </w:trPr>
        <w:tc>
          <w:tcPr>
            <w:tcW w:w="1502" w:type="dxa"/>
            <w:shd w:val="clear" w:color="auto" w:fill="F2F2F2" w:themeFill="background1" w:themeFillShade="F2"/>
          </w:tcPr>
          <w:p w14:paraId="66226CE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5127</w:t>
            </w:r>
          </w:p>
        </w:tc>
        <w:tc>
          <w:tcPr>
            <w:tcW w:w="3742" w:type="dxa"/>
            <w:shd w:val="clear" w:color="auto" w:fill="F2F2F2" w:themeFill="background1" w:themeFillShade="F2"/>
          </w:tcPr>
          <w:p w14:paraId="51B84F9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proposed modification to prescribed interest deed</w:t>
            </w:r>
          </w:p>
        </w:tc>
        <w:tc>
          <w:tcPr>
            <w:tcW w:w="1877" w:type="dxa"/>
            <w:shd w:val="clear" w:color="auto" w:fill="F2F2F2" w:themeFill="background1" w:themeFillShade="F2"/>
          </w:tcPr>
          <w:p w14:paraId="26D1B80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568EE260" w14:textId="57527FE8"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478</w:t>
            </w:r>
          </w:p>
        </w:tc>
      </w:tr>
      <w:tr w:rsidR="00144E7F" w:rsidRPr="00144E7F" w14:paraId="6A2559BC" w14:textId="77777777" w:rsidTr="00737E5E">
        <w:trPr>
          <w:cantSplit/>
          <w:trHeight w:val="317"/>
        </w:trPr>
        <w:tc>
          <w:tcPr>
            <w:tcW w:w="1502" w:type="dxa"/>
          </w:tcPr>
          <w:p w14:paraId="13AD51B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5128</w:t>
            </w:r>
          </w:p>
        </w:tc>
        <w:tc>
          <w:tcPr>
            <w:tcW w:w="3742" w:type="dxa"/>
          </w:tcPr>
          <w:p w14:paraId="7B2569B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ratification of modification to deed</w:t>
            </w:r>
          </w:p>
        </w:tc>
        <w:tc>
          <w:tcPr>
            <w:tcW w:w="1877" w:type="dxa"/>
          </w:tcPr>
          <w:p w14:paraId="6554A7AE"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7BB1AC21" w14:textId="6747403D"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478</w:t>
            </w:r>
          </w:p>
        </w:tc>
      </w:tr>
      <w:tr w:rsidR="00144E7F" w:rsidRPr="00144E7F" w14:paraId="402F9AE9" w14:textId="77777777" w:rsidTr="00737E5E">
        <w:trPr>
          <w:cantSplit/>
          <w:trHeight w:val="508"/>
        </w:trPr>
        <w:tc>
          <w:tcPr>
            <w:tcW w:w="1502" w:type="dxa"/>
            <w:shd w:val="clear" w:color="auto" w:fill="F2F2F2" w:themeFill="background1" w:themeFillShade="F2"/>
          </w:tcPr>
          <w:p w14:paraId="35F062C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5605</w:t>
            </w:r>
          </w:p>
        </w:tc>
        <w:tc>
          <w:tcPr>
            <w:tcW w:w="3742" w:type="dxa"/>
            <w:shd w:val="clear" w:color="auto" w:fill="F2F2F2" w:themeFill="background1" w:themeFillShade="F2"/>
          </w:tcPr>
          <w:p w14:paraId="620A523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ASIC to appoint a reviewing liquidator</w:t>
            </w:r>
          </w:p>
        </w:tc>
        <w:tc>
          <w:tcPr>
            <w:tcW w:w="1877" w:type="dxa"/>
            <w:shd w:val="clear" w:color="auto" w:fill="F2F2F2" w:themeFill="background1" w:themeFillShade="F2"/>
          </w:tcPr>
          <w:p w14:paraId="4100233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shd w:val="clear" w:color="auto" w:fill="F2F2F2" w:themeFill="background1" w:themeFillShade="F2"/>
          </w:tcPr>
          <w:p w14:paraId="3D534FF7" w14:textId="0DCA7635"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156</w:t>
            </w:r>
          </w:p>
        </w:tc>
      </w:tr>
      <w:tr w:rsidR="00144E7F" w:rsidRPr="00144E7F" w14:paraId="02329625" w14:textId="77777777" w:rsidTr="00737E5E">
        <w:trPr>
          <w:cantSplit/>
          <w:trHeight w:val="508"/>
        </w:trPr>
        <w:tc>
          <w:tcPr>
            <w:tcW w:w="1502" w:type="dxa"/>
          </w:tcPr>
          <w:p w14:paraId="7D56B0DC" w14:textId="77777777" w:rsidR="00144E7F" w:rsidRPr="00144E7F" w:rsidRDefault="00144E7F" w:rsidP="00144E7F">
            <w:pPr>
              <w:spacing w:before="80" w:after="80" w:line="240" w:lineRule="auto"/>
              <w:jc w:val="left"/>
              <w:rPr>
                <w:rFonts w:ascii="Arial" w:hAnsi="Arial"/>
                <w:bCs/>
                <w:color w:val="000000"/>
                <w:sz w:val="18"/>
              </w:rPr>
            </w:pPr>
            <w:r w:rsidRPr="00144E7F">
              <w:rPr>
                <w:rFonts w:ascii="Arial" w:hAnsi="Arial"/>
                <w:color w:val="000000"/>
                <w:sz w:val="18"/>
              </w:rPr>
              <w:t>6019</w:t>
            </w:r>
          </w:p>
        </w:tc>
        <w:tc>
          <w:tcPr>
            <w:tcW w:w="3742" w:type="dxa"/>
          </w:tcPr>
          <w:p w14:paraId="01CBEE6C" w14:textId="77777777" w:rsidR="00144E7F" w:rsidRPr="00144E7F" w:rsidRDefault="00144E7F" w:rsidP="00144E7F">
            <w:pPr>
              <w:spacing w:before="80" w:after="80" w:line="240" w:lineRule="auto"/>
              <w:jc w:val="left"/>
              <w:rPr>
                <w:rFonts w:ascii="Arial" w:hAnsi="Arial"/>
                <w:b/>
                <w:bCs/>
                <w:color w:val="000000"/>
                <w:sz w:val="18"/>
              </w:rPr>
            </w:pPr>
            <w:r w:rsidRPr="00144E7F">
              <w:rPr>
                <w:rFonts w:ascii="Arial" w:hAnsi="Arial"/>
                <w:color w:val="000000"/>
                <w:sz w:val="18"/>
              </w:rPr>
              <w:t>Application for voluntary transfer determination under section 601WBA</w:t>
            </w:r>
          </w:p>
        </w:tc>
        <w:tc>
          <w:tcPr>
            <w:tcW w:w="1877" w:type="dxa"/>
          </w:tcPr>
          <w:p w14:paraId="07865A83" w14:textId="77777777" w:rsidR="00144E7F" w:rsidRPr="00144E7F" w:rsidRDefault="00144E7F" w:rsidP="00144E7F">
            <w:pPr>
              <w:spacing w:before="80" w:after="80" w:line="240" w:lineRule="auto"/>
              <w:jc w:val="right"/>
              <w:rPr>
                <w:rFonts w:ascii="Arial" w:hAnsi="Arial"/>
                <w:b/>
                <w:bCs/>
                <w:color w:val="000000"/>
                <w:sz w:val="18"/>
              </w:rPr>
            </w:pPr>
            <w:r w:rsidRPr="00144E7F">
              <w:rPr>
                <w:rFonts w:ascii="Arial" w:hAnsi="Arial"/>
                <w:color w:val="000000"/>
                <w:sz w:val="18"/>
              </w:rPr>
              <w:t>39</w:t>
            </w:r>
          </w:p>
        </w:tc>
        <w:tc>
          <w:tcPr>
            <w:tcW w:w="2156" w:type="dxa"/>
          </w:tcPr>
          <w:p w14:paraId="484B0CB0" w14:textId="35934C4C" w:rsidR="00144E7F" w:rsidRPr="00144E7F" w:rsidRDefault="00144E7F" w:rsidP="00737E5E">
            <w:pPr>
              <w:spacing w:before="80" w:after="80" w:line="240" w:lineRule="auto"/>
              <w:jc w:val="right"/>
              <w:rPr>
                <w:rFonts w:ascii="Arial" w:hAnsi="Arial"/>
                <w:b/>
                <w:bCs/>
                <w:color w:val="000000"/>
                <w:sz w:val="18"/>
              </w:rPr>
            </w:pPr>
            <w:r w:rsidRPr="00144E7F">
              <w:rPr>
                <w:rFonts w:ascii="Arial" w:hAnsi="Arial"/>
                <w:color w:val="000000"/>
                <w:sz w:val="18"/>
              </w:rPr>
              <w:t>5,775</w:t>
            </w:r>
          </w:p>
        </w:tc>
      </w:tr>
      <w:tr w:rsidR="00144E7F" w:rsidRPr="00144E7F" w14:paraId="3D57F413" w14:textId="77777777" w:rsidTr="00737E5E">
        <w:trPr>
          <w:cantSplit/>
          <w:trHeight w:val="508"/>
        </w:trPr>
        <w:tc>
          <w:tcPr>
            <w:tcW w:w="1502" w:type="dxa"/>
            <w:shd w:val="clear" w:color="auto" w:fill="F2F2F2" w:themeFill="background1" w:themeFillShade="F2"/>
          </w:tcPr>
          <w:p w14:paraId="69B6C84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6021</w:t>
            </w:r>
          </w:p>
        </w:tc>
        <w:tc>
          <w:tcPr>
            <w:tcW w:w="3742" w:type="dxa"/>
            <w:shd w:val="clear" w:color="auto" w:fill="F2F2F2" w:themeFill="background1" w:themeFillShade="F2"/>
          </w:tcPr>
          <w:p w14:paraId="242F416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compulsory acquisition following takeover bid - notice to dissenting member</w:t>
            </w:r>
          </w:p>
        </w:tc>
        <w:tc>
          <w:tcPr>
            <w:tcW w:w="1877" w:type="dxa"/>
            <w:shd w:val="clear" w:color="auto" w:fill="F2F2F2" w:themeFill="background1" w:themeFillShade="F2"/>
          </w:tcPr>
          <w:p w14:paraId="43EC56C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5CC99B4E" w14:textId="1D1C842B"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802</w:t>
            </w:r>
          </w:p>
        </w:tc>
      </w:tr>
      <w:tr w:rsidR="00144E7F" w:rsidRPr="00144E7F" w14:paraId="3C2AE314" w14:textId="77777777" w:rsidTr="00737E5E">
        <w:trPr>
          <w:cantSplit/>
          <w:trHeight w:val="508"/>
        </w:trPr>
        <w:tc>
          <w:tcPr>
            <w:tcW w:w="1502" w:type="dxa"/>
          </w:tcPr>
          <w:p w14:paraId="723B569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6022</w:t>
            </w:r>
          </w:p>
        </w:tc>
        <w:tc>
          <w:tcPr>
            <w:tcW w:w="3742" w:type="dxa"/>
          </w:tcPr>
          <w:p w14:paraId="6975C8F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right of buy out to remaining holder of securities following a takeover bid</w:t>
            </w:r>
          </w:p>
        </w:tc>
        <w:tc>
          <w:tcPr>
            <w:tcW w:w="1877" w:type="dxa"/>
          </w:tcPr>
          <w:p w14:paraId="66AB1A4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4D1BBCE8" w14:textId="18ADB9E9"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641</w:t>
            </w:r>
          </w:p>
        </w:tc>
      </w:tr>
      <w:tr w:rsidR="00144E7F" w:rsidRPr="00144E7F" w14:paraId="7F8AE67F" w14:textId="77777777" w:rsidTr="007E535E">
        <w:trPr>
          <w:cantSplit/>
          <w:trHeight w:val="342"/>
        </w:trPr>
        <w:tc>
          <w:tcPr>
            <w:tcW w:w="1502" w:type="dxa"/>
            <w:shd w:val="clear" w:color="auto" w:fill="F2F2F2" w:themeFill="background1" w:themeFillShade="F2"/>
          </w:tcPr>
          <w:p w14:paraId="5456451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6023</w:t>
            </w:r>
          </w:p>
        </w:tc>
        <w:tc>
          <w:tcPr>
            <w:tcW w:w="3742" w:type="dxa"/>
            <w:shd w:val="clear" w:color="auto" w:fill="F2F2F2" w:themeFill="background1" w:themeFillShade="F2"/>
          </w:tcPr>
          <w:p w14:paraId="0CA5607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right of buy out to holders of convertible securities following a takeover bid</w:t>
            </w:r>
          </w:p>
        </w:tc>
        <w:tc>
          <w:tcPr>
            <w:tcW w:w="1877" w:type="dxa"/>
            <w:shd w:val="clear" w:color="auto" w:fill="F2F2F2" w:themeFill="background1" w:themeFillShade="F2"/>
          </w:tcPr>
          <w:p w14:paraId="3F73932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4FE0D652" w14:textId="795CCF1F"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160</w:t>
            </w:r>
          </w:p>
        </w:tc>
      </w:tr>
      <w:tr w:rsidR="00144E7F" w:rsidRPr="00144E7F" w14:paraId="1052602E" w14:textId="77777777" w:rsidTr="00737E5E">
        <w:trPr>
          <w:cantSplit/>
          <w:trHeight w:val="305"/>
        </w:trPr>
        <w:tc>
          <w:tcPr>
            <w:tcW w:w="1502" w:type="dxa"/>
          </w:tcPr>
          <w:p w14:paraId="0EB986C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6024</w:t>
            </w:r>
          </w:p>
        </w:tc>
        <w:tc>
          <w:tcPr>
            <w:tcW w:w="3742" w:type="dxa"/>
          </w:tcPr>
          <w:p w14:paraId="7E73744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compulsory acquisition</w:t>
            </w:r>
          </w:p>
        </w:tc>
        <w:tc>
          <w:tcPr>
            <w:tcW w:w="1877" w:type="dxa"/>
          </w:tcPr>
          <w:p w14:paraId="2E3FA8C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5B3B6303" w14:textId="727883DA"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802</w:t>
            </w:r>
          </w:p>
        </w:tc>
      </w:tr>
      <w:tr w:rsidR="00144E7F" w:rsidRPr="00144E7F" w14:paraId="1BC42812" w14:textId="77777777" w:rsidTr="00737E5E">
        <w:trPr>
          <w:cantSplit/>
          <w:trHeight w:val="508"/>
        </w:trPr>
        <w:tc>
          <w:tcPr>
            <w:tcW w:w="1502" w:type="dxa"/>
            <w:shd w:val="clear" w:color="auto" w:fill="F2F2F2" w:themeFill="background1" w:themeFillShade="F2"/>
          </w:tcPr>
          <w:p w14:paraId="4340826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6025</w:t>
            </w:r>
          </w:p>
        </w:tc>
        <w:tc>
          <w:tcPr>
            <w:tcW w:w="3742" w:type="dxa"/>
            <w:shd w:val="clear" w:color="auto" w:fill="F2F2F2" w:themeFill="background1" w:themeFillShade="F2"/>
          </w:tcPr>
          <w:p w14:paraId="1CD6898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right of buy out to holders of convertible securities by 100% holder</w:t>
            </w:r>
          </w:p>
        </w:tc>
        <w:tc>
          <w:tcPr>
            <w:tcW w:w="1877" w:type="dxa"/>
            <w:shd w:val="clear" w:color="auto" w:fill="F2F2F2" w:themeFill="background1" w:themeFillShade="F2"/>
          </w:tcPr>
          <w:p w14:paraId="6D669BB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146FB01E" w14:textId="62007029"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160</w:t>
            </w:r>
          </w:p>
        </w:tc>
      </w:tr>
      <w:tr w:rsidR="00144E7F" w:rsidRPr="00144E7F" w14:paraId="56CA24D8" w14:textId="77777777" w:rsidTr="00737E5E">
        <w:trPr>
          <w:cantSplit/>
          <w:trHeight w:val="508"/>
        </w:trPr>
        <w:tc>
          <w:tcPr>
            <w:tcW w:w="1502" w:type="dxa"/>
            <w:tcBorders>
              <w:bottom w:val="single" w:sz="4" w:space="0" w:color="004A7F"/>
            </w:tcBorders>
          </w:tcPr>
          <w:p w14:paraId="4F4204B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6026</w:t>
            </w:r>
          </w:p>
        </w:tc>
        <w:tc>
          <w:tcPr>
            <w:tcW w:w="3742" w:type="dxa"/>
            <w:tcBorders>
              <w:bottom w:val="single" w:sz="4" w:space="0" w:color="004A7F"/>
            </w:tcBorders>
          </w:tcPr>
          <w:p w14:paraId="32BBD9F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objection regarding compulsory acquisition/buy out</w:t>
            </w:r>
          </w:p>
        </w:tc>
        <w:tc>
          <w:tcPr>
            <w:tcW w:w="1877" w:type="dxa"/>
            <w:tcBorders>
              <w:bottom w:val="single" w:sz="4" w:space="0" w:color="004A7F"/>
            </w:tcBorders>
          </w:tcPr>
          <w:p w14:paraId="6BA4B6E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Borders>
              <w:bottom w:val="single" w:sz="4" w:space="0" w:color="004A7F"/>
            </w:tcBorders>
          </w:tcPr>
          <w:p w14:paraId="2908EF1E" w14:textId="00A67578" w:rsidR="00144E7F" w:rsidRPr="00144E7F" w:rsidRDefault="00144E7F" w:rsidP="00737E5E">
            <w:pPr>
              <w:spacing w:before="80" w:after="80" w:line="240" w:lineRule="auto"/>
              <w:jc w:val="right"/>
              <w:rPr>
                <w:rFonts w:ascii="Arial" w:hAnsi="Arial"/>
                <w:color w:val="000000"/>
                <w:sz w:val="18"/>
              </w:rPr>
            </w:pPr>
            <w:r w:rsidRPr="00144E7F">
              <w:rPr>
                <w:rFonts w:ascii="Arial" w:hAnsi="Arial"/>
                <w:color w:val="000000"/>
                <w:sz w:val="18"/>
              </w:rPr>
              <w:t>802</w:t>
            </w:r>
          </w:p>
        </w:tc>
      </w:tr>
      <w:tr w:rsidR="00D840F3" w:rsidRPr="00144E7F" w14:paraId="17AFD9D2" w14:textId="77777777" w:rsidTr="00737E5E">
        <w:trPr>
          <w:cantSplit/>
        </w:trPr>
        <w:tc>
          <w:tcPr>
            <w:tcW w:w="1502" w:type="dxa"/>
            <w:tcBorders>
              <w:top w:val="single" w:sz="4" w:space="0" w:color="004A7F"/>
              <w:bottom w:val="single" w:sz="4" w:space="0" w:color="004A7F"/>
            </w:tcBorders>
            <w:shd w:val="clear" w:color="auto" w:fill="DEEAF6" w:themeFill="accent1" w:themeFillTint="33"/>
          </w:tcPr>
          <w:p w14:paraId="0E498E15" w14:textId="77777777" w:rsidR="00D840F3" w:rsidRPr="00144E7F" w:rsidRDefault="00D840F3" w:rsidP="007E535E">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36DC6152" w14:textId="77777777" w:rsidR="00D840F3" w:rsidRPr="00144E7F" w:rsidRDefault="00D840F3" w:rsidP="007E535E">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3F8E4847"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tcBorders>
              <w:top w:val="single" w:sz="4" w:space="0" w:color="004A7F"/>
              <w:bottom w:val="single" w:sz="4" w:space="0" w:color="004A7F"/>
            </w:tcBorders>
            <w:shd w:val="clear" w:color="auto" w:fill="DEEAF6" w:themeFill="accent1" w:themeFillTint="33"/>
          </w:tcPr>
          <w:p w14:paraId="50779C31"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615B3395" w14:textId="77777777" w:rsidTr="00737E5E">
        <w:trPr>
          <w:cantSplit/>
          <w:trHeight w:val="508"/>
        </w:trPr>
        <w:tc>
          <w:tcPr>
            <w:tcW w:w="1502" w:type="dxa"/>
          </w:tcPr>
          <w:p w14:paraId="23F44F3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6027</w:t>
            </w:r>
          </w:p>
        </w:tc>
        <w:tc>
          <w:tcPr>
            <w:tcW w:w="3742" w:type="dxa"/>
          </w:tcPr>
          <w:p w14:paraId="6E905F5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List of members objecting to compulsory acquisition/buy out</w:t>
            </w:r>
          </w:p>
        </w:tc>
        <w:tc>
          <w:tcPr>
            <w:tcW w:w="1877" w:type="dxa"/>
          </w:tcPr>
          <w:p w14:paraId="33A5EBA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7F4DA90C" w14:textId="6261FD3A"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160</w:t>
            </w:r>
          </w:p>
        </w:tc>
      </w:tr>
      <w:tr w:rsidR="00144E7F" w:rsidRPr="00144E7F" w14:paraId="56CBFC69" w14:textId="77777777" w:rsidTr="00737E5E">
        <w:trPr>
          <w:cantSplit/>
          <w:trHeight w:val="508"/>
        </w:trPr>
        <w:tc>
          <w:tcPr>
            <w:tcW w:w="1502" w:type="dxa"/>
            <w:shd w:val="clear" w:color="auto" w:fill="F2F2F2" w:themeFill="background1" w:themeFillShade="F2"/>
          </w:tcPr>
          <w:p w14:paraId="05E2F1FD" w14:textId="71665E89"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6181</w:t>
            </w:r>
            <w:r>
              <w:rPr>
                <w:rFonts w:ascii="Arial" w:hAnsi="Arial"/>
                <w:color w:val="000000"/>
                <w:sz w:val="18"/>
              </w:rPr>
              <w:br/>
            </w:r>
            <w:r w:rsidRPr="00144E7F">
              <w:rPr>
                <w:rFonts w:ascii="Arial" w:hAnsi="Arial"/>
                <w:color w:val="000000"/>
                <w:sz w:val="18"/>
              </w:rPr>
              <w:t>(Fee also applies to sub forms 6181A &amp; 6181B)</w:t>
            </w:r>
          </w:p>
          <w:p w14:paraId="6E6A28E3" w14:textId="77777777" w:rsid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And includes</w:t>
            </w:r>
            <w:r>
              <w:rPr>
                <w:rFonts w:ascii="Arial" w:hAnsi="Arial"/>
                <w:color w:val="000000"/>
                <w:sz w:val="18"/>
              </w:rPr>
              <w:t>:</w:t>
            </w:r>
          </w:p>
          <w:p w14:paraId="5D49F028" w14:textId="13007353"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670</w:t>
            </w:r>
            <w:r w:rsidR="00E666EE">
              <w:rPr>
                <w:rFonts w:ascii="Arial" w:hAnsi="Arial"/>
                <w:color w:val="000000"/>
                <w:sz w:val="18"/>
              </w:rPr>
              <w:br/>
            </w:r>
          </w:p>
          <w:p w14:paraId="23496A4A" w14:textId="3D8B9F36" w:rsidR="00144E7F" w:rsidRDefault="00144E7F" w:rsidP="00E666EE">
            <w:pPr>
              <w:spacing w:after="0" w:line="240" w:lineRule="auto"/>
              <w:jc w:val="left"/>
              <w:rPr>
                <w:rFonts w:ascii="Arial" w:hAnsi="Arial"/>
                <w:color w:val="000000"/>
                <w:sz w:val="18"/>
              </w:rPr>
            </w:pPr>
            <w:r w:rsidRPr="00144E7F">
              <w:rPr>
                <w:rFonts w:ascii="Arial" w:hAnsi="Arial"/>
                <w:color w:val="000000"/>
                <w:sz w:val="18"/>
              </w:rPr>
              <w:t>672, 672A &amp; 672B</w:t>
            </w:r>
            <w:r w:rsidR="00E666EE">
              <w:rPr>
                <w:rFonts w:ascii="Arial" w:hAnsi="Arial"/>
                <w:color w:val="000000"/>
                <w:sz w:val="18"/>
              </w:rPr>
              <w:br/>
            </w:r>
          </w:p>
          <w:p w14:paraId="793C701B" w14:textId="40EA3615" w:rsidR="00144E7F" w:rsidRPr="00144E7F" w:rsidRDefault="00144E7F" w:rsidP="005B6360">
            <w:pPr>
              <w:spacing w:after="0" w:line="240" w:lineRule="auto"/>
              <w:jc w:val="left"/>
              <w:rPr>
                <w:rFonts w:ascii="Arial" w:hAnsi="Arial"/>
                <w:color w:val="000000"/>
                <w:sz w:val="18"/>
              </w:rPr>
            </w:pPr>
            <w:r w:rsidRPr="00144E7F">
              <w:rPr>
                <w:rFonts w:ascii="Arial" w:hAnsi="Arial"/>
                <w:color w:val="000000"/>
                <w:sz w:val="18"/>
              </w:rPr>
              <w:t>6011</w:t>
            </w:r>
            <w:r w:rsidR="005B6360">
              <w:rPr>
                <w:rFonts w:ascii="Arial" w:hAnsi="Arial"/>
                <w:color w:val="000000"/>
                <w:sz w:val="18"/>
              </w:rPr>
              <w:br/>
            </w:r>
            <w:r w:rsidR="005B6360">
              <w:rPr>
                <w:rFonts w:ascii="Arial" w:hAnsi="Arial"/>
                <w:color w:val="000000"/>
                <w:sz w:val="18"/>
              </w:rPr>
              <w:br/>
            </w:r>
          </w:p>
          <w:p w14:paraId="1EA5C335" w14:textId="77777777" w:rsidR="00144E7F" w:rsidRPr="00144E7F" w:rsidRDefault="00144E7F" w:rsidP="005B6360">
            <w:pPr>
              <w:spacing w:after="80" w:line="240" w:lineRule="auto"/>
              <w:jc w:val="left"/>
              <w:rPr>
                <w:rFonts w:ascii="Arial" w:hAnsi="Arial"/>
                <w:color w:val="000000"/>
                <w:sz w:val="18"/>
              </w:rPr>
            </w:pPr>
            <w:r w:rsidRPr="00144E7F">
              <w:rPr>
                <w:rFonts w:ascii="Arial" w:hAnsi="Arial"/>
                <w:color w:val="000000"/>
                <w:sz w:val="18"/>
              </w:rPr>
              <w:t>6201</w:t>
            </w:r>
          </w:p>
        </w:tc>
        <w:tc>
          <w:tcPr>
            <w:tcW w:w="3742" w:type="dxa"/>
            <w:shd w:val="clear" w:color="auto" w:fill="F2F2F2" w:themeFill="background1" w:themeFillShade="F2"/>
          </w:tcPr>
          <w:p w14:paraId="583E846C" w14:textId="22A4ED0B"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Bidder's statement and offer - off market</w:t>
            </w:r>
          </w:p>
          <w:p w14:paraId="3F6D6916" w14:textId="77777777" w:rsidR="00E666EE" w:rsidRDefault="00E666EE" w:rsidP="00144E7F">
            <w:pPr>
              <w:spacing w:before="80" w:after="80" w:line="240" w:lineRule="auto"/>
              <w:jc w:val="left"/>
              <w:rPr>
                <w:rFonts w:ascii="Arial" w:hAnsi="Arial"/>
                <w:bCs/>
                <w:color w:val="000000"/>
                <w:sz w:val="18"/>
              </w:rPr>
            </w:pPr>
            <w:r>
              <w:rPr>
                <w:rFonts w:ascii="Arial" w:hAnsi="Arial"/>
                <w:bCs/>
                <w:color w:val="000000"/>
                <w:sz w:val="18"/>
              </w:rPr>
              <w:br/>
            </w:r>
            <w:r>
              <w:rPr>
                <w:rFonts w:ascii="Arial" w:hAnsi="Arial"/>
                <w:bCs/>
                <w:color w:val="000000"/>
                <w:sz w:val="18"/>
              </w:rPr>
              <w:br/>
            </w:r>
            <w:r>
              <w:rPr>
                <w:rFonts w:ascii="Arial" w:hAnsi="Arial"/>
                <w:bCs/>
                <w:color w:val="000000"/>
                <w:sz w:val="18"/>
              </w:rPr>
              <w:br/>
            </w:r>
            <w:r>
              <w:rPr>
                <w:rFonts w:ascii="Arial" w:hAnsi="Arial"/>
                <w:bCs/>
                <w:color w:val="000000"/>
                <w:sz w:val="18"/>
              </w:rPr>
              <w:br/>
            </w:r>
          </w:p>
          <w:p w14:paraId="45BD4893" w14:textId="01A14ACF" w:rsidR="00E666EE" w:rsidRDefault="00144E7F" w:rsidP="00144E7F">
            <w:pPr>
              <w:spacing w:before="80" w:after="80" w:line="240" w:lineRule="auto"/>
              <w:jc w:val="left"/>
              <w:rPr>
                <w:rFonts w:ascii="Arial" w:hAnsi="Arial"/>
                <w:bCs/>
                <w:color w:val="000000"/>
                <w:sz w:val="18"/>
              </w:rPr>
            </w:pPr>
            <w:r w:rsidRPr="00144E7F">
              <w:rPr>
                <w:rFonts w:ascii="Arial" w:hAnsi="Arial"/>
                <w:bCs/>
                <w:color w:val="000000"/>
                <w:sz w:val="18"/>
              </w:rPr>
              <w:t xml:space="preserve">Notice date set for determining holders of securities </w:t>
            </w:r>
            <w:r w:rsidR="00CA5987">
              <w:rPr>
                <w:rFonts w:ascii="Arial" w:hAnsi="Arial"/>
                <w:bCs/>
                <w:color w:val="000000"/>
                <w:sz w:val="18"/>
              </w:rPr>
              <w:t>–</w:t>
            </w:r>
            <w:r w:rsidRPr="00144E7F">
              <w:rPr>
                <w:rFonts w:ascii="Arial" w:hAnsi="Arial"/>
                <w:bCs/>
                <w:color w:val="000000"/>
                <w:sz w:val="18"/>
              </w:rPr>
              <w:t xml:space="preserve"> off market</w:t>
            </w:r>
          </w:p>
          <w:p w14:paraId="4A6BBEE6" w14:textId="4253E105" w:rsidR="00E666EE" w:rsidRPr="00144E7F" w:rsidRDefault="00144E7F" w:rsidP="00E666EE">
            <w:pPr>
              <w:spacing w:after="0" w:line="240" w:lineRule="auto"/>
              <w:jc w:val="left"/>
              <w:rPr>
                <w:rFonts w:ascii="Arial" w:hAnsi="Arial"/>
                <w:bCs/>
                <w:color w:val="000000"/>
                <w:sz w:val="18"/>
              </w:rPr>
            </w:pPr>
            <w:r w:rsidRPr="00144E7F">
              <w:rPr>
                <w:rFonts w:ascii="Arial" w:hAnsi="Arial"/>
                <w:bCs/>
                <w:color w:val="000000"/>
                <w:sz w:val="18"/>
              </w:rPr>
              <w:t xml:space="preserve">Notice of status of defeating condition </w:t>
            </w:r>
            <w:r w:rsidR="00CA5987">
              <w:rPr>
                <w:rFonts w:ascii="Arial" w:hAnsi="Arial"/>
                <w:bCs/>
                <w:color w:val="000000"/>
                <w:sz w:val="18"/>
              </w:rPr>
              <w:t>–</w:t>
            </w:r>
            <w:r w:rsidR="00E666EE">
              <w:rPr>
                <w:rFonts w:ascii="Arial" w:hAnsi="Arial"/>
                <w:bCs/>
                <w:color w:val="000000"/>
                <w:sz w:val="18"/>
              </w:rPr>
              <w:t>unquoted bid class securities</w:t>
            </w:r>
            <w:r w:rsidR="00E666EE">
              <w:rPr>
                <w:rFonts w:ascii="Arial" w:hAnsi="Arial"/>
                <w:bCs/>
                <w:color w:val="000000"/>
                <w:sz w:val="18"/>
              </w:rPr>
              <w:br/>
            </w:r>
          </w:p>
          <w:p w14:paraId="213DC07D" w14:textId="4D989DE4" w:rsidR="00144E7F" w:rsidRPr="00144E7F" w:rsidRDefault="00144E7F" w:rsidP="005B6360">
            <w:pPr>
              <w:spacing w:after="0" w:line="240" w:lineRule="auto"/>
              <w:jc w:val="left"/>
              <w:rPr>
                <w:rFonts w:ascii="Arial" w:hAnsi="Arial"/>
                <w:bCs/>
                <w:color w:val="000000"/>
                <w:sz w:val="18"/>
              </w:rPr>
            </w:pPr>
            <w:r w:rsidRPr="00144E7F">
              <w:rPr>
                <w:rFonts w:ascii="Arial" w:hAnsi="Arial"/>
                <w:bCs/>
                <w:color w:val="000000"/>
                <w:sz w:val="18"/>
              </w:rPr>
              <w:t xml:space="preserve">Notice of service of bidder's statement </w:t>
            </w:r>
            <w:r w:rsidR="007E535E">
              <w:rPr>
                <w:rFonts w:ascii="Arial" w:hAnsi="Arial"/>
                <w:bCs/>
                <w:color w:val="000000"/>
                <w:sz w:val="18"/>
              </w:rPr>
              <w:t>–</w:t>
            </w:r>
            <w:r w:rsidRPr="00144E7F">
              <w:rPr>
                <w:rFonts w:ascii="Arial" w:hAnsi="Arial"/>
                <w:bCs/>
                <w:color w:val="000000"/>
                <w:sz w:val="18"/>
              </w:rPr>
              <w:t xml:space="preserve"> off</w:t>
            </w:r>
            <w:r w:rsidR="007E535E">
              <w:rPr>
                <w:rFonts w:ascii="Arial" w:hAnsi="Arial"/>
                <w:bCs/>
                <w:color w:val="000000"/>
                <w:sz w:val="18"/>
              </w:rPr>
              <w:t> </w:t>
            </w:r>
            <w:r w:rsidRPr="00144E7F">
              <w:rPr>
                <w:rFonts w:ascii="Arial" w:hAnsi="Arial"/>
                <w:bCs/>
                <w:color w:val="000000"/>
                <w:sz w:val="18"/>
              </w:rPr>
              <w:t>market</w:t>
            </w:r>
            <w:r w:rsidR="00E666EE">
              <w:rPr>
                <w:rFonts w:ascii="Arial" w:hAnsi="Arial"/>
                <w:bCs/>
                <w:color w:val="000000"/>
                <w:sz w:val="18"/>
              </w:rPr>
              <w:br/>
            </w:r>
          </w:p>
          <w:p w14:paraId="590E2E49" w14:textId="153D789D" w:rsidR="00144E7F" w:rsidRPr="00144E7F" w:rsidRDefault="00144E7F" w:rsidP="005B6360">
            <w:pPr>
              <w:spacing w:after="80" w:line="240" w:lineRule="auto"/>
              <w:jc w:val="left"/>
              <w:rPr>
                <w:rFonts w:ascii="Arial" w:hAnsi="Arial"/>
                <w:color w:val="000000"/>
                <w:sz w:val="18"/>
              </w:rPr>
            </w:pPr>
            <w:r w:rsidRPr="00144E7F">
              <w:rPr>
                <w:rFonts w:ascii="Arial" w:hAnsi="Arial"/>
                <w:bCs/>
                <w:color w:val="000000"/>
                <w:sz w:val="18"/>
              </w:rPr>
              <w:t xml:space="preserve">Notice that takeover offers have been sent </w:t>
            </w:r>
            <w:r w:rsidR="00CA5987">
              <w:rPr>
                <w:rFonts w:ascii="Arial" w:hAnsi="Arial"/>
                <w:bCs/>
                <w:color w:val="000000"/>
                <w:sz w:val="18"/>
              </w:rPr>
              <w:t>–</w:t>
            </w:r>
            <w:r w:rsidRPr="00144E7F">
              <w:rPr>
                <w:rFonts w:ascii="Arial" w:hAnsi="Arial"/>
                <w:bCs/>
                <w:color w:val="000000"/>
                <w:sz w:val="18"/>
              </w:rPr>
              <w:t xml:space="preserve"> off marke</w:t>
            </w:r>
            <w:r w:rsidRPr="00144E7F">
              <w:rPr>
                <w:rFonts w:ascii="Arial" w:hAnsi="Arial"/>
                <w:color w:val="000000"/>
                <w:sz w:val="18"/>
              </w:rPr>
              <w:t>t</w:t>
            </w:r>
          </w:p>
        </w:tc>
        <w:tc>
          <w:tcPr>
            <w:tcW w:w="1877" w:type="dxa"/>
            <w:shd w:val="clear" w:color="auto" w:fill="F2F2F2" w:themeFill="background1" w:themeFillShade="F2"/>
          </w:tcPr>
          <w:p w14:paraId="10128D2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2,400</w:t>
            </w:r>
          </w:p>
        </w:tc>
        <w:tc>
          <w:tcPr>
            <w:tcW w:w="2156" w:type="dxa"/>
            <w:shd w:val="clear" w:color="auto" w:fill="F2F2F2" w:themeFill="background1" w:themeFillShade="F2"/>
          </w:tcPr>
          <w:p w14:paraId="32BEA4FB" w14:textId="5BF57E1C" w:rsidR="00144E7F" w:rsidRPr="00144E7F" w:rsidRDefault="007E535E" w:rsidP="00144E7F">
            <w:pPr>
              <w:spacing w:before="80" w:after="80" w:line="240" w:lineRule="auto"/>
              <w:jc w:val="right"/>
              <w:rPr>
                <w:rFonts w:ascii="Arial" w:hAnsi="Arial"/>
                <w:color w:val="000000"/>
                <w:sz w:val="18"/>
              </w:rPr>
            </w:pPr>
            <w:r>
              <w:rPr>
                <w:rFonts w:ascii="Arial" w:hAnsi="Arial"/>
                <w:color w:val="000000"/>
                <w:sz w:val="18"/>
              </w:rPr>
              <w:t>5,264</w:t>
            </w:r>
          </w:p>
        </w:tc>
      </w:tr>
      <w:tr w:rsidR="00144E7F" w:rsidRPr="00144E7F" w14:paraId="6E8C7AAC" w14:textId="77777777" w:rsidTr="00737E5E">
        <w:trPr>
          <w:cantSplit/>
          <w:trHeight w:val="184"/>
        </w:trPr>
        <w:tc>
          <w:tcPr>
            <w:tcW w:w="1502" w:type="dxa"/>
          </w:tcPr>
          <w:p w14:paraId="6A9F3011" w14:textId="77777777" w:rsidR="00144E7F" w:rsidRPr="00144E7F" w:rsidRDefault="00144E7F" w:rsidP="00144E7F">
            <w:pPr>
              <w:spacing w:before="80" w:after="80" w:line="240" w:lineRule="auto"/>
              <w:jc w:val="left"/>
              <w:rPr>
                <w:rFonts w:ascii="Arial" w:hAnsi="Arial"/>
                <w:bCs/>
                <w:color w:val="000000"/>
                <w:sz w:val="18"/>
              </w:rPr>
            </w:pPr>
            <w:r w:rsidRPr="00144E7F">
              <w:rPr>
                <w:rFonts w:ascii="Arial" w:hAnsi="Arial"/>
                <w:color w:val="000000"/>
                <w:sz w:val="18"/>
              </w:rPr>
              <w:t>6211</w:t>
            </w:r>
          </w:p>
        </w:tc>
        <w:tc>
          <w:tcPr>
            <w:tcW w:w="3742" w:type="dxa"/>
          </w:tcPr>
          <w:p w14:paraId="7803F9E7" w14:textId="77777777" w:rsidR="00144E7F" w:rsidRPr="00144E7F" w:rsidRDefault="00144E7F" w:rsidP="00144E7F">
            <w:pPr>
              <w:spacing w:before="80" w:after="80" w:line="240" w:lineRule="auto"/>
              <w:jc w:val="left"/>
              <w:rPr>
                <w:rFonts w:ascii="Arial" w:hAnsi="Arial"/>
                <w:b/>
                <w:bCs/>
                <w:color w:val="000000"/>
                <w:sz w:val="18"/>
              </w:rPr>
            </w:pPr>
            <w:r w:rsidRPr="00144E7F">
              <w:rPr>
                <w:rFonts w:ascii="Arial" w:hAnsi="Arial"/>
                <w:color w:val="000000"/>
                <w:sz w:val="18"/>
              </w:rPr>
              <w:t xml:space="preserve">Target statement and reports - off market </w:t>
            </w:r>
          </w:p>
        </w:tc>
        <w:tc>
          <w:tcPr>
            <w:tcW w:w="1877" w:type="dxa"/>
          </w:tcPr>
          <w:p w14:paraId="4B970B2D" w14:textId="77777777" w:rsidR="00144E7F" w:rsidRPr="00144E7F" w:rsidRDefault="00144E7F" w:rsidP="00144E7F">
            <w:pPr>
              <w:spacing w:before="80" w:after="80" w:line="240" w:lineRule="auto"/>
              <w:jc w:val="right"/>
              <w:rPr>
                <w:rFonts w:ascii="Arial" w:hAnsi="Arial"/>
                <w:bCs/>
                <w:color w:val="000000"/>
                <w:sz w:val="18"/>
              </w:rPr>
            </w:pPr>
            <w:r w:rsidRPr="00144E7F">
              <w:rPr>
                <w:rFonts w:ascii="Arial" w:hAnsi="Arial"/>
                <w:bCs/>
                <w:color w:val="000000"/>
                <w:sz w:val="18"/>
              </w:rPr>
              <w:t>0</w:t>
            </w:r>
          </w:p>
        </w:tc>
        <w:tc>
          <w:tcPr>
            <w:tcW w:w="2156" w:type="dxa"/>
          </w:tcPr>
          <w:p w14:paraId="7C94ABB7" w14:textId="3014011C" w:rsidR="00144E7F" w:rsidRPr="00144E7F" w:rsidRDefault="00144E7F" w:rsidP="007E535E">
            <w:pPr>
              <w:spacing w:before="80" w:after="80" w:line="240" w:lineRule="auto"/>
              <w:jc w:val="right"/>
              <w:rPr>
                <w:rFonts w:ascii="Arial" w:hAnsi="Arial"/>
                <w:b/>
                <w:bCs/>
                <w:color w:val="000000"/>
                <w:sz w:val="18"/>
              </w:rPr>
            </w:pPr>
            <w:r w:rsidRPr="00144E7F">
              <w:rPr>
                <w:rFonts w:ascii="Arial" w:hAnsi="Arial"/>
                <w:color w:val="000000"/>
                <w:sz w:val="18"/>
              </w:rPr>
              <w:t>2,565</w:t>
            </w:r>
          </w:p>
        </w:tc>
      </w:tr>
      <w:tr w:rsidR="00144E7F" w:rsidRPr="00144E7F" w14:paraId="1C9EC676" w14:textId="77777777" w:rsidTr="00737E5E">
        <w:trPr>
          <w:cantSplit/>
          <w:trHeight w:val="508"/>
        </w:trPr>
        <w:tc>
          <w:tcPr>
            <w:tcW w:w="1502" w:type="dxa"/>
            <w:shd w:val="clear" w:color="auto" w:fill="F2F2F2" w:themeFill="background1" w:themeFillShade="F2"/>
          </w:tcPr>
          <w:p w14:paraId="1E4B079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6261</w:t>
            </w:r>
          </w:p>
        </w:tc>
        <w:tc>
          <w:tcPr>
            <w:tcW w:w="3742" w:type="dxa"/>
            <w:shd w:val="clear" w:color="auto" w:fill="F2F2F2" w:themeFill="background1" w:themeFillShade="F2"/>
          </w:tcPr>
          <w:p w14:paraId="3F6F872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offers free of defeating condition - off market bid</w:t>
            </w:r>
          </w:p>
        </w:tc>
        <w:tc>
          <w:tcPr>
            <w:tcW w:w="1877" w:type="dxa"/>
            <w:shd w:val="clear" w:color="auto" w:fill="F2F2F2" w:themeFill="background1" w:themeFillShade="F2"/>
          </w:tcPr>
          <w:p w14:paraId="34A16FDD" w14:textId="77777777" w:rsidR="00144E7F" w:rsidRPr="00144E7F" w:rsidRDefault="00144E7F" w:rsidP="00144E7F">
            <w:pPr>
              <w:spacing w:before="80" w:after="80" w:line="240" w:lineRule="auto"/>
              <w:jc w:val="right"/>
              <w:rPr>
                <w:rFonts w:ascii="Arial" w:hAnsi="Arial"/>
                <w:bCs/>
                <w:color w:val="000000"/>
                <w:sz w:val="18"/>
              </w:rPr>
            </w:pPr>
            <w:r w:rsidRPr="00144E7F">
              <w:rPr>
                <w:rFonts w:ascii="Arial" w:hAnsi="Arial"/>
                <w:bCs/>
                <w:color w:val="000000"/>
                <w:sz w:val="18"/>
              </w:rPr>
              <w:t>0</w:t>
            </w:r>
          </w:p>
        </w:tc>
        <w:tc>
          <w:tcPr>
            <w:tcW w:w="2156" w:type="dxa"/>
            <w:shd w:val="clear" w:color="auto" w:fill="F2F2F2" w:themeFill="background1" w:themeFillShade="F2"/>
          </w:tcPr>
          <w:p w14:paraId="304D32B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160</w:t>
            </w:r>
          </w:p>
        </w:tc>
      </w:tr>
      <w:tr w:rsidR="00144E7F" w:rsidRPr="00144E7F" w14:paraId="1CA1018C" w14:textId="77777777" w:rsidTr="00737E5E">
        <w:trPr>
          <w:cantSplit/>
          <w:trHeight w:val="508"/>
        </w:trPr>
        <w:tc>
          <w:tcPr>
            <w:tcW w:w="1502" w:type="dxa"/>
          </w:tcPr>
          <w:p w14:paraId="6292911F" w14:textId="2E3BA61F"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6291</w:t>
            </w:r>
            <w:r>
              <w:rPr>
                <w:rFonts w:ascii="Arial" w:hAnsi="Arial"/>
                <w:color w:val="000000"/>
                <w:sz w:val="18"/>
              </w:rPr>
              <w:br/>
            </w:r>
            <w:r w:rsidRPr="00144E7F">
              <w:rPr>
                <w:rFonts w:ascii="Arial" w:hAnsi="Arial"/>
                <w:color w:val="000000"/>
                <w:sz w:val="18"/>
              </w:rPr>
              <w:t>(Fee also applies to sub forms 6291A &amp; 6291B)</w:t>
            </w:r>
          </w:p>
          <w:p w14:paraId="2BD64188" w14:textId="4160D1BF"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And includes</w:t>
            </w:r>
            <w:r>
              <w:rPr>
                <w:rFonts w:ascii="Arial" w:hAnsi="Arial"/>
                <w:color w:val="000000"/>
                <w:sz w:val="18"/>
              </w:rPr>
              <w:t>:</w:t>
            </w:r>
          </w:p>
          <w:p w14:paraId="559CCE21" w14:textId="77777777" w:rsidR="00144E7F" w:rsidRPr="00144E7F" w:rsidRDefault="00144E7F" w:rsidP="00144E7F">
            <w:pPr>
              <w:spacing w:before="80" w:after="80" w:line="240" w:lineRule="auto"/>
              <w:jc w:val="left"/>
              <w:rPr>
                <w:rFonts w:ascii="Arial" w:hAnsi="Arial"/>
                <w:bCs/>
                <w:color w:val="000000"/>
                <w:sz w:val="18"/>
              </w:rPr>
            </w:pPr>
            <w:r w:rsidRPr="00144E7F">
              <w:rPr>
                <w:rFonts w:ascii="Arial" w:hAnsi="Arial"/>
                <w:color w:val="000000"/>
                <w:sz w:val="18"/>
              </w:rPr>
              <w:t>6301</w:t>
            </w:r>
          </w:p>
        </w:tc>
        <w:tc>
          <w:tcPr>
            <w:tcW w:w="3742" w:type="dxa"/>
          </w:tcPr>
          <w:p w14:paraId="7B9CAC04" w14:textId="31513733"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Takeover bidders statement and documents sent to securities exchange - on market</w:t>
            </w:r>
          </w:p>
          <w:p w14:paraId="4C21DE1B" w14:textId="77777777" w:rsidR="005B6360" w:rsidRDefault="005B6360" w:rsidP="005B6360">
            <w:pPr>
              <w:spacing w:before="80" w:after="80" w:line="240" w:lineRule="auto"/>
              <w:jc w:val="left"/>
              <w:rPr>
                <w:rFonts w:ascii="Arial" w:hAnsi="Arial"/>
                <w:bCs/>
                <w:color w:val="000000"/>
                <w:sz w:val="18"/>
              </w:rPr>
            </w:pPr>
          </w:p>
          <w:p w14:paraId="7DDD6174" w14:textId="753D99A7" w:rsidR="00144E7F" w:rsidRPr="00144E7F" w:rsidRDefault="00236D5C" w:rsidP="005B6360">
            <w:pPr>
              <w:spacing w:before="80" w:after="80" w:line="240" w:lineRule="auto"/>
              <w:jc w:val="left"/>
              <w:rPr>
                <w:rFonts w:ascii="Arial" w:hAnsi="Arial"/>
                <w:b/>
                <w:bCs/>
                <w:color w:val="000000"/>
                <w:sz w:val="18"/>
              </w:rPr>
            </w:pPr>
            <w:r>
              <w:rPr>
                <w:rFonts w:ascii="Arial" w:hAnsi="Arial"/>
                <w:bCs/>
                <w:color w:val="000000"/>
                <w:sz w:val="18"/>
              </w:rPr>
              <w:br/>
            </w:r>
            <w:r w:rsidR="005B6360">
              <w:rPr>
                <w:rFonts w:ascii="Arial" w:hAnsi="Arial"/>
                <w:bCs/>
                <w:color w:val="000000"/>
                <w:sz w:val="18"/>
              </w:rPr>
              <w:br/>
            </w:r>
            <w:r w:rsidR="005B6360">
              <w:rPr>
                <w:rFonts w:ascii="Arial" w:hAnsi="Arial"/>
                <w:bCs/>
                <w:color w:val="000000"/>
                <w:sz w:val="18"/>
              </w:rPr>
              <w:br/>
            </w:r>
            <w:r w:rsidR="00144E7F" w:rsidRPr="00144E7F">
              <w:rPr>
                <w:rFonts w:ascii="Arial" w:hAnsi="Arial"/>
                <w:bCs/>
                <w:color w:val="000000"/>
                <w:sz w:val="18"/>
              </w:rPr>
              <w:t xml:space="preserve">Document accompanying bidders statement </w:t>
            </w:r>
            <w:r w:rsidR="00983BAF" w:rsidRPr="00983BAF">
              <w:rPr>
                <w:rFonts w:ascii="Arial" w:hAnsi="Arial"/>
                <w:bCs/>
                <w:color w:val="000000"/>
                <w:sz w:val="18"/>
              </w:rPr>
              <w:t>–</w:t>
            </w:r>
            <w:r w:rsidR="00144E7F" w:rsidRPr="00144E7F">
              <w:rPr>
                <w:rFonts w:ascii="Arial" w:hAnsi="Arial"/>
                <w:bCs/>
                <w:color w:val="000000"/>
                <w:sz w:val="18"/>
              </w:rPr>
              <w:t xml:space="preserve"> on market</w:t>
            </w:r>
          </w:p>
        </w:tc>
        <w:tc>
          <w:tcPr>
            <w:tcW w:w="1877" w:type="dxa"/>
          </w:tcPr>
          <w:p w14:paraId="30F0A051" w14:textId="77777777" w:rsidR="00144E7F" w:rsidRPr="00144E7F" w:rsidRDefault="00144E7F" w:rsidP="00144E7F">
            <w:pPr>
              <w:spacing w:before="80" w:after="80" w:line="240" w:lineRule="auto"/>
              <w:jc w:val="right"/>
              <w:rPr>
                <w:rFonts w:ascii="Arial" w:hAnsi="Arial"/>
                <w:b/>
                <w:bCs/>
                <w:color w:val="000000"/>
                <w:sz w:val="18"/>
              </w:rPr>
            </w:pPr>
            <w:r w:rsidRPr="00144E7F">
              <w:rPr>
                <w:rFonts w:ascii="Arial" w:hAnsi="Arial"/>
                <w:color w:val="000000"/>
                <w:sz w:val="18"/>
              </w:rPr>
              <w:t>1,194</w:t>
            </w:r>
          </w:p>
        </w:tc>
        <w:tc>
          <w:tcPr>
            <w:tcW w:w="2156" w:type="dxa"/>
          </w:tcPr>
          <w:p w14:paraId="1A4322F6" w14:textId="20AB5CE4" w:rsidR="00144E7F" w:rsidRPr="00144E7F" w:rsidRDefault="00144E7F" w:rsidP="007E535E">
            <w:pPr>
              <w:spacing w:before="80" w:after="80" w:line="240" w:lineRule="auto"/>
              <w:jc w:val="right"/>
              <w:rPr>
                <w:rFonts w:ascii="Arial" w:hAnsi="Arial"/>
                <w:b/>
                <w:bCs/>
                <w:color w:val="000000"/>
                <w:sz w:val="18"/>
              </w:rPr>
            </w:pPr>
            <w:r w:rsidRPr="00144E7F">
              <w:rPr>
                <w:rFonts w:ascii="Arial" w:hAnsi="Arial"/>
                <w:color w:val="000000"/>
                <w:sz w:val="18"/>
              </w:rPr>
              <w:t>5,130</w:t>
            </w:r>
          </w:p>
        </w:tc>
      </w:tr>
      <w:tr w:rsidR="00144E7F" w:rsidRPr="00144E7F" w14:paraId="32A52FA0" w14:textId="77777777" w:rsidTr="00737E5E">
        <w:trPr>
          <w:cantSplit/>
          <w:trHeight w:val="508"/>
        </w:trPr>
        <w:tc>
          <w:tcPr>
            <w:tcW w:w="1502" w:type="dxa"/>
            <w:shd w:val="clear" w:color="auto" w:fill="F2F2F2" w:themeFill="background1" w:themeFillShade="F2"/>
          </w:tcPr>
          <w:p w14:paraId="67C52AF4" w14:textId="77777777" w:rsidR="00144E7F" w:rsidRPr="00144E7F" w:rsidRDefault="00144E7F" w:rsidP="00144E7F">
            <w:pPr>
              <w:spacing w:before="80" w:after="80" w:line="240" w:lineRule="auto"/>
              <w:jc w:val="left"/>
              <w:rPr>
                <w:rFonts w:ascii="Arial" w:hAnsi="Arial"/>
                <w:bCs/>
                <w:color w:val="000000"/>
                <w:sz w:val="18"/>
              </w:rPr>
            </w:pPr>
            <w:r w:rsidRPr="00144E7F">
              <w:rPr>
                <w:rFonts w:ascii="Arial" w:hAnsi="Arial"/>
                <w:color w:val="000000"/>
                <w:sz w:val="18"/>
              </w:rPr>
              <w:t>6321 (Fee also applies to sub forms 6321A &amp; 6321B)</w:t>
            </w:r>
          </w:p>
        </w:tc>
        <w:tc>
          <w:tcPr>
            <w:tcW w:w="3742" w:type="dxa"/>
            <w:shd w:val="clear" w:color="auto" w:fill="F2F2F2" w:themeFill="background1" w:themeFillShade="F2"/>
          </w:tcPr>
          <w:p w14:paraId="120DBD57" w14:textId="4A0FA1F0" w:rsidR="00144E7F" w:rsidRPr="00144E7F" w:rsidRDefault="00144E7F" w:rsidP="00144E7F">
            <w:pPr>
              <w:spacing w:before="80" w:after="80" w:line="240" w:lineRule="auto"/>
              <w:jc w:val="left"/>
              <w:rPr>
                <w:rFonts w:ascii="Arial" w:hAnsi="Arial"/>
                <w:b/>
                <w:bCs/>
                <w:color w:val="000000"/>
                <w:sz w:val="18"/>
              </w:rPr>
            </w:pPr>
            <w:r w:rsidRPr="00144E7F">
              <w:rPr>
                <w:rFonts w:ascii="Arial" w:hAnsi="Arial"/>
                <w:color w:val="000000"/>
                <w:sz w:val="18"/>
              </w:rPr>
              <w:t>Notice</w:t>
            </w:r>
            <w:r w:rsidR="00BE11F5">
              <w:rPr>
                <w:rFonts w:ascii="Arial" w:hAnsi="Arial"/>
                <w:color w:val="000000"/>
                <w:sz w:val="18"/>
              </w:rPr>
              <w:t xml:space="preserve"> in variation in takeover offer</w:t>
            </w:r>
          </w:p>
        </w:tc>
        <w:tc>
          <w:tcPr>
            <w:tcW w:w="1877" w:type="dxa"/>
            <w:shd w:val="clear" w:color="auto" w:fill="F2F2F2" w:themeFill="background1" w:themeFillShade="F2"/>
          </w:tcPr>
          <w:p w14:paraId="34257F42" w14:textId="77777777" w:rsidR="00144E7F" w:rsidRPr="00144E7F" w:rsidRDefault="00144E7F" w:rsidP="00144E7F">
            <w:pPr>
              <w:spacing w:before="80" w:after="80" w:line="240" w:lineRule="auto"/>
              <w:jc w:val="right"/>
              <w:rPr>
                <w:rFonts w:ascii="Arial" w:hAnsi="Arial"/>
                <w:b/>
                <w:bCs/>
                <w:color w:val="000000"/>
                <w:sz w:val="18"/>
              </w:rPr>
            </w:pPr>
            <w:r w:rsidRPr="00144E7F">
              <w:rPr>
                <w:rFonts w:ascii="Arial" w:hAnsi="Arial"/>
                <w:color w:val="000000"/>
                <w:sz w:val="18"/>
              </w:rPr>
              <w:t>1,194</w:t>
            </w:r>
          </w:p>
        </w:tc>
        <w:tc>
          <w:tcPr>
            <w:tcW w:w="2156" w:type="dxa"/>
            <w:shd w:val="clear" w:color="auto" w:fill="F2F2F2" w:themeFill="background1" w:themeFillShade="F2"/>
          </w:tcPr>
          <w:p w14:paraId="1D8FD9DA" w14:textId="77777777" w:rsidR="00144E7F" w:rsidRPr="00144E7F" w:rsidRDefault="00144E7F" w:rsidP="00144E7F">
            <w:pPr>
              <w:spacing w:before="80" w:after="80" w:line="240" w:lineRule="auto"/>
              <w:jc w:val="right"/>
              <w:rPr>
                <w:rFonts w:ascii="Arial" w:hAnsi="Arial"/>
                <w:b/>
                <w:bCs/>
                <w:color w:val="000000"/>
                <w:sz w:val="18"/>
              </w:rPr>
            </w:pPr>
            <w:r w:rsidRPr="00144E7F">
              <w:rPr>
                <w:rFonts w:ascii="Arial" w:hAnsi="Arial"/>
                <w:color w:val="000000"/>
                <w:sz w:val="18"/>
              </w:rPr>
              <w:t>802</w:t>
            </w:r>
          </w:p>
        </w:tc>
      </w:tr>
      <w:tr w:rsidR="00144E7F" w:rsidRPr="00144E7F" w14:paraId="1794FE4B" w14:textId="77777777" w:rsidTr="00737E5E">
        <w:trPr>
          <w:cantSplit/>
          <w:trHeight w:val="241"/>
        </w:trPr>
        <w:tc>
          <w:tcPr>
            <w:tcW w:w="1502" w:type="dxa"/>
          </w:tcPr>
          <w:p w14:paraId="0620E62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6331</w:t>
            </w:r>
          </w:p>
        </w:tc>
        <w:tc>
          <w:tcPr>
            <w:tcW w:w="3742" w:type="dxa"/>
          </w:tcPr>
          <w:p w14:paraId="3729C4D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Target statement and report - on market</w:t>
            </w:r>
          </w:p>
        </w:tc>
        <w:tc>
          <w:tcPr>
            <w:tcW w:w="1877" w:type="dxa"/>
          </w:tcPr>
          <w:p w14:paraId="5870B30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76904431" w14:textId="20354CA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2,565</w:t>
            </w:r>
          </w:p>
        </w:tc>
      </w:tr>
      <w:tr w:rsidR="00144E7F" w:rsidRPr="00144E7F" w14:paraId="1FD1A814" w14:textId="77777777" w:rsidTr="00737E5E">
        <w:trPr>
          <w:cantSplit/>
          <w:trHeight w:val="508"/>
        </w:trPr>
        <w:tc>
          <w:tcPr>
            <w:tcW w:w="1502" w:type="dxa"/>
            <w:shd w:val="clear" w:color="auto" w:fill="F2F2F2" w:themeFill="background1" w:themeFillShade="F2"/>
          </w:tcPr>
          <w:p w14:paraId="092104AC" w14:textId="4E36F9AE"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7015</w:t>
            </w:r>
            <w:r>
              <w:rPr>
                <w:rFonts w:ascii="Arial" w:hAnsi="Arial"/>
                <w:color w:val="000000"/>
                <w:sz w:val="18"/>
              </w:rPr>
              <w:br/>
            </w:r>
            <w:r w:rsidRPr="00144E7F">
              <w:rPr>
                <w:rFonts w:ascii="Arial" w:hAnsi="Arial"/>
                <w:color w:val="000000"/>
                <w:sz w:val="18"/>
              </w:rPr>
              <w:t>(Fee also applies to sub forms 7015A</w:t>
            </w:r>
            <w:r w:rsidRPr="00144E7F">
              <w:rPr>
                <w:rFonts w:ascii="Arial" w:hAnsi="Arial"/>
                <w:color w:val="000000"/>
                <w:sz w:val="18"/>
              </w:rPr>
              <w:noBreakHyphen/>
              <w:t>D)</w:t>
            </w:r>
          </w:p>
        </w:tc>
        <w:tc>
          <w:tcPr>
            <w:tcW w:w="3742" w:type="dxa"/>
            <w:shd w:val="clear" w:color="auto" w:fill="F2F2F2" w:themeFill="background1" w:themeFillShade="F2"/>
          </w:tcPr>
          <w:p w14:paraId="52BCEA83" w14:textId="0B3145DD"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w:t>
            </w:r>
            <w:r w:rsidR="00BE11F5">
              <w:rPr>
                <w:rFonts w:ascii="Arial" w:hAnsi="Arial"/>
                <w:color w:val="000000"/>
                <w:sz w:val="18"/>
              </w:rPr>
              <w:t>ation for discharge of security</w:t>
            </w:r>
          </w:p>
        </w:tc>
        <w:tc>
          <w:tcPr>
            <w:tcW w:w="1877" w:type="dxa"/>
            <w:shd w:val="clear" w:color="auto" w:fill="F2F2F2" w:themeFill="background1" w:themeFillShade="F2"/>
          </w:tcPr>
          <w:p w14:paraId="347D8DF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shd w:val="clear" w:color="auto" w:fill="F2F2F2" w:themeFill="background1" w:themeFillShade="F2"/>
          </w:tcPr>
          <w:p w14:paraId="4FBCFA0D" w14:textId="0DC4A0BC"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1,284</w:t>
            </w:r>
          </w:p>
        </w:tc>
      </w:tr>
      <w:tr w:rsidR="00144E7F" w:rsidRPr="00144E7F" w14:paraId="3AD76874" w14:textId="77777777" w:rsidTr="00737E5E">
        <w:trPr>
          <w:cantSplit/>
          <w:trHeight w:val="323"/>
        </w:trPr>
        <w:tc>
          <w:tcPr>
            <w:tcW w:w="1502" w:type="dxa"/>
          </w:tcPr>
          <w:p w14:paraId="65D8E40C" w14:textId="0509224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7021</w:t>
            </w:r>
            <w:r>
              <w:rPr>
                <w:rFonts w:ascii="Arial" w:hAnsi="Arial"/>
                <w:color w:val="000000"/>
                <w:sz w:val="18"/>
              </w:rPr>
              <w:br/>
            </w:r>
            <w:r w:rsidRPr="00144E7F">
              <w:rPr>
                <w:rFonts w:ascii="Arial" w:hAnsi="Arial"/>
                <w:color w:val="000000"/>
                <w:sz w:val="18"/>
              </w:rPr>
              <w:t>(Fee also applies to sub forms 7021 A &amp; 7021 B)</w:t>
            </w:r>
          </w:p>
        </w:tc>
        <w:tc>
          <w:tcPr>
            <w:tcW w:w="3742" w:type="dxa"/>
          </w:tcPr>
          <w:p w14:paraId="4CB19E2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Executed deed</w:t>
            </w:r>
          </w:p>
        </w:tc>
        <w:tc>
          <w:tcPr>
            <w:tcW w:w="1877" w:type="dxa"/>
          </w:tcPr>
          <w:p w14:paraId="550D8A1F" w14:textId="77777777" w:rsidR="00144E7F" w:rsidRPr="00144E7F" w:rsidRDefault="00144E7F" w:rsidP="00737E5E">
            <w:pPr>
              <w:pStyle w:val="TableTextRight"/>
            </w:pPr>
            <w:r w:rsidRPr="00144E7F">
              <w:t>7021 A – 1,781</w:t>
            </w:r>
          </w:p>
          <w:p w14:paraId="0378B170" w14:textId="0BCDC827" w:rsidR="00144E7F" w:rsidRPr="00144E7F" w:rsidRDefault="00144E7F" w:rsidP="00737E5E">
            <w:pPr>
              <w:pStyle w:val="TableTextRight"/>
            </w:pPr>
            <w:r w:rsidRPr="00144E7F">
              <w:t xml:space="preserve">7021 B </w:t>
            </w:r>
            <w:r w:rsidR="00737E5E">
              <w:t>–</w:t>
            </w:r>
            <w:r w:rsidRPr="00144E7F">
              <w:t xml:space="preserve"> 206</w:t>
            </w:r>
          </w:p>
        </w:tc>
        <w:tc>
          <w:tcPr>
            <w:tcW w:w="2156" w:type="dxa"/>
          </w:tcPr>
          <w:p w14:paraId="483BD7ED" w14:textId="56959EBC"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478</w:t>
            </w:r>
          </w:p>
        </w:tc>
      </w:tr>
      <w:tr w:rsidR="00144E7F" w:rsidRPr="00144E7F" w14:paraId="6D2C15AA" w14:textId="77777777" w:rsidTr="00737E5E">
        <w:trPr>
          <w:cantSplit/>
          <w:trHeight w:val="508"/>
        </w:trPr>
        <w:tc>
          <w:tcPr>
            <w:tcW w:w="1502" w:type="dxa"/>
            <w:shd w:val="clear" w:color="auto" w:fill="F2F2F2" w:themeFill="background1" w:themeFillShade="F2"/>
          </w:tcPr>
          <w:p w14:paraId="74CEFD4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7070</w:t>
            </w:r>
          </w:p>
        </w:tc>
        <w:tc>
          <w:tcPr>
            <w:tcW w:w="3742" w:type="dxa"/>
            <w:shd w:val="clear" w:color="auto" w:fill="F2F2F2" w:themeFill="background1" w:themeFillShade="F2"/>
          </w:tcPr>
          <w:p w14:paraId="43D8B15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revoke approval of trustee or representative</w:t>
            </w:r>
          </w:p>
        </w:tc>
        <w:tc>
          <w:tcPr>
            <w:tcW w:w="1877" w:type="dxa"/>
            <w:shd w:val="clear" w:color="auto" w:fill="F2F2F2" w:themeFill="background1" w:themeFillShade="F2"/>
          </w:tcPr>
          <w:p w14:paraId="6B192BC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78</w:t>
            </w:r>
          </w:p>
        </w:tc>
        <w:tc>
          <w:tcPr>
            <w:tcW w:w="2156" w:type="dxa"/>
            <w:shd w:val="clear" w:color="auto" w:fill="F2F2F2" w:themeFill="background1" w:themeFillShade="F2"/>
          </w:tcPr>
          <w:p w14:paraId="3FB06554" w14:textId="4A423D29"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1,196</w:t>
            </w:r>
          </w:p>
        </w:tc>
      </w:tr>
      <w:tr w:rsidR="00144E7F" w:rsidRPr="00144E7F" w14:paraId="003EE4DA" w14:textId="77777777" w:rsidTr="00737E5E">
        <w:trPr>
          <w:cantSplit/>
          <w:trHeight w:val="508"/>
        </w:trPr>
        <w:tc>
          <w:tcPr>
            <w:tcW w:w="1502" w:type="dxa"/>
          </w:tcPr>
          <w:p w14:paraId="4F4805E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7078</w:t>
            </w:r>
          </w:p>
        </w:tc>
        <w:tc>
          <w:tcPr>
            <w:tcW w:w="3742" w:type="dxa"/>
          </w:tcPr>
          <w:p w14:paraId="1917656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by charity to register identification statement s741</w:t>
            </w:r>
          </w:p>
        </w:tc>
        <w:tc>
          <w:tcPr>
            <w:tcW w:w="1877" w:type="dxa"/>
          </w:tcPr>
          <w:p w14:paraId="31991AB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tcPr>
          <w:p w14:paraId="59A3E96D" w14:textId="3541CFA3" w:rsidR="00144E7F" w:rsidRPr="00144E7F" w:rsidRDefault="007E535E" w:rsidP="00144E7F">
            <w:pPr>
              <w:spacing w:before="80" w:after="80" w:line="240" w:lineRule="auto"/>
              <w:jc w:val="right"/>
              <w:rPr>
                <w:rFonts w:ascii="Arial" w:hAnsi="Arial"/>
                <w:color w:val="000000"/>
                <w:sz w:val="18"/>
              </w:rPr>
            </w:pPr>
            <w:r>
              <w:rPr>
                <w:rFonts w:ascii="Arial" w:hAnsi="Arial"/>
                <w:color w:val="000000"/>
                <w:sz w:val="18"/>
              </w:rPr>
              <w:t>2,391</w:t>
            </w:r>
          </w:p>
        </w:tc>
      </w:tr>
      <w:tr w:rsidR="00144E7F" w:rsidRPr="00144E7F" w14:paraId="262C86E5" w14:textId="77777777" w:rsidTr="00737E5E">
        <w:trPr>
          <w:cantSplit/>
          <w:trHeight w:val="508"/>
        </w:trPr>
        <w:tc>
          <w:tcPr>
            <w:tcW w:w="1502" w:type="dxa"/>
            <w:shd w:val="clear" w:color="auto" w:fill="F2F2F2" w:themeFill="background1" w:themeFillShade="F2"/>
          </w:tcPr>
          <w:p w14:paraId="07DE220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7096</w:t>
            </w:r>
          </w:p>
        </w:tc>
        <w:tc>
          <w:tcPr>
            <w:tcW w:w="3742" w:type="dxa"/>
            <w:shd w:val="clear" w:color="auto" w:fill="F2F2F2" w:themeFill="background1" w:themeFillShade="F2"/>
          </w:tcPr>
          <w:p w14:paraId="6FCC9ED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vary conditions of approval to a person acting as trustee or representative</w:t>
            </w:r>
          </w:p>
        </w:tc>
        <w:tc>
          <w:tcPr>
            <w:tcW w:w="1877" w:type="dxa"/>
            <w:shd w:val="clear" w:color="auto" w:fill="F2F2F2" w:themeFill="background1" w:themeFillShade="F2"/>
          </w:tcPr>
          <w:p w14:paraId="17F78C9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78</w:t>
            </w:r>
          </w:p>
        </w:tc>
        <w:tc>
          <w:tcPr>
            <w:tcW w:w="2156" w:type="dxa"/>
            <w:shd w:val="clear" w:color="auto" w:fill="F2F2F2" w:themeFill="background1" w:themeFillShade="F2"/>
          </w:tcPr>
          <w:p w14:paraId="0ED8972E" w14:textId="2F86E799"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1,196</w:t>
            </w:r>
          </w:p>
        </w:tc>
      </w:tr>
      <w:tr w:rsidR="00144E7F" w:rsidRPr="00144E7F" w14:paraId="34C894D6" w14:textId="77777777" w:rsidTr="00737E5E">
        <w:trPr>
          <w:cantSplit/>
          <w:trHeight w:val="321"/>
        </w:trPr>
        <w:tc>
          <w:tcPr>
            <w:tcW w:w="1502" w:type="dxa"/>
          </w:tcPr>
          <w:p w14:paraId="153FC819"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4AEC36C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Eligible applicant requests</w:t>
            </w:r>
          </w:p>
        </w:tc>
        <w:tc>
          <w:tcPr>
            <w:tcW w:w="1877" w:type="dxa"/>
          </w:tcPr>
          <w:p w14:paraId="62FF60D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tcPr>
          <w:p w14:paraId="7A33EAEE" w14:textId="43A0F94B"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468</w:t>
            </w:r>
          </w:p>
        </w:tc>
      </w:tr>
      <w:tr w:rsidR="00144E7F" w:rsidRPr="00144E7F" w14:paraId="37166182" w14:textId="77777777" w:rsidTr="00737E5E">
        <w:trPr>
          <w:cantSplit/>
          <w:trHeight w:val="279"/>
        </w:trPr>
        <w:tc>
          <w:tcPr>
            <w:tcW w:w="1502" w:type="dxa"/>
            <w:shd w:val="clear" w:color="auto" w:fill="F2F2F2" w:themeFill="background1" w:themeFillShade="F2"/>
          </w:tcPr>
          <w:p w14:paraId="0E02B0A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7000A</w:t>
            </w:r>
          </w:p>
        </w:tc>
        <w:tc>
          <w:tcPr>
            <w:tcW w:w="3742" w:type="dxa"/>
            <w:shd w:val="clear" w:color="auto" w:fill="F2F2F2" w:themeFill="background1" w:themeFillShade="F2"/>
          </w:tcPr>
          <w:p w14:paraId="183EF6F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Covenants not required section 1069(3)</w:t>
            </w:r>
          </w:p>
        </w:tc>
        <w:tc>
          <w:tcPr>
            <w:tcW w:w="1877" w:type="dxa"/>
            <w:shd w:val="clear" w:color="auto" w:fill="F2F2F2" w:themeFill="background1" w:themeFillShade="F2"/>
          </w:tcPr>
          <w:p w14:paraId="4296345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1762745A" w14:textId="1B0C733A"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3,587</w:t>
            </w:r>
          </w:p>
        </w:tc>
      </w:tr>
      <w:tr w:rsidR="00144E7F" w:rsidRPr="00144E7F" w14:paraId="6A2120F9" w14:textId="77777777" w:rsidTr="00737E5E">
        <w:trPr>
          <w:cantSplit/>
          <w:trHeight w:val="283"/>
        </w:trPr>
        <w:tc>
          <w:tcPr>
            <w:tcW w:w="1502" w:type="dxa"/>
            <w:tcBorders>
              <w:bottom w:val="single" w:sz="4" w:space="0" w:color="004A7F"/>
            </w:tcBorders>
          </w:tcPr>
          <w:p w14:paraId="70A796A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7000D</w:t>
            </w:r>
          </w:p>
        </w:tc>
        <w:tc>
          <w:tcPr>
            <w:tcW w:w="3742" w:type="dxa"/>
            <w:tcBorders>
              <w:bottom w:val="single" w:sz="4" w:space="0" w:color="004A7F"/>
            </w:tcBorders>
          </w:tcPr>
          <w:p w14:paraId="684ABFF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Trust Deed section 1084(2)</w:t>
            </w:r>
          </w:p>
        </w:tc>
        <w:tc>
          <w:tcPr>
            <w:tcW w:w="1877" w:type="dxa"/>
            <w:tcBorders>
              <w:bottom w:val="single" w:sz="4" w:space="0" w:color="004A7F"/>
            </w:tcBorders>
          </w:tcPr>
          <w:p w14:paraId="16B304A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Borders>
              <w:bottom w:val="single" w:sz="4" w:space="0" w:color="004A7F"/>
            </w:tcBorders>
          </w:tcPr>
          <w:p w14:paraId="6CC55A2B" w14:textId="33721C23"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159</w:t>
            </w:r>
          </w:p>
        </w:tc>
      </w:tr>
      <w:tr w:rsidR="00D840F3" w:rsidRPr="00144E7F" w14:paraId="32A384C8" w14:textId="77777777" w:rsidTr="00737E5E">
        <w:trPr>
          <w:cantSplit/>
        </w:trPr>
        <w:tc>
          <w:tcPr>
            <w:tcW w:w="1502" w:type="dxa"/>
            <w:tcBorders>
              <w:top w:val="single" w:sz="4" w:space="0" w:color="004A7F"/>
              <w:bottom w:val="single" w:sz="4" w:space="0" w:color="004A7F"/>
            </w:tcBorders>
            <w:shd w:val="clear" w:color="auto" w:fill="DEEAF6" w:themeFill="accent1" w:themeFillTint="33"/>
          </w:tcPr>
          <w:p w14:paraId="67BCB576" w14:textId="77777777" w:rsidR="00D840F3" w:rsidRPr="00144E7F" w:rsidRDefault="00D840F3" w:rsidP="007E535E">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4D8A55C5" w14:textId="77777777" w:rsidR="00D840F3" w:rsidRPr="00144E7F" w:rsidRDefault="00D840F3" w:rsidP="007E535E">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4F09419B"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tcBorders>
              <w:top w:val="single" w:sz="4" w:space="0" w:color="004A7F"/>
              <w:bottom w:val="single" w:sz="4" w:space="0" w:color="004A7F"/>
            </w:tcBorders>
            <w:shd w:val="clear" w:color="auto" w:fill="DEEAF6" w:themeFill="accent1" w:themeFillTint="33"/>
          </w:tcPr>
          <w:p w14:paraId="3126A563"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2835FC45" w14:textId="77777777" w:rsidTr="00737E5E">
        <w:trPr>
          <w:cantSplit/>
          <w:trHeight w:val="259"/>
        </w:trPr>
        <w:tc>
          <w:tcPr>
            <w:tcW w:w="1502" w:type="dxa"/>
          </w:tcPr>
          <w:p w14:paraId="13FAEC5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7000E</w:t>
            </w:r>
          </w:p>
        </w:tc>
        <w:tc>
          <w:tcPr>
            <w:tcW w:w="3742" w:type="dxa"/>
          </w:tcPr>
          <w:p w14:paraId="1C489C9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Trust Deed section 1094(6)</w:t>
            </w:r>
          </w:p>
        </w:tc>
        <w:tc>
          <w:tcPr>
            <w:tcW w:w="1877" w:type="dxa"/>
          </w:tcPr>
          <w:p w14:paraId="28AB48E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4E18CB24" w14:textId="280AA1DE" w:rsidR="00144E7F" w:rsidRPr="00144E7F" w:rsidRDefault="007E535E" w:rsidP="00144E7F">
            <w:pPr>
              <w:spacing w:before="80" w:after="80" w:line="240" w:lineRule="auto"/>
              <w:jc w:val="right"/>
              <w:rPr>
                <w:rFonts w:ascii="Arial" w:hAnsi="Arial"/>
                <w:color w:val="000000"/>
                <w:sz w:val="18"/>
              </w:rPr>
            </w:pPr>
            <w:r>
              <w:rPr>
                <w:rFonts w:ascii="Arial" w:hAnsi="Arial"/>
                <w:color w:val="000000"/>
                <w:sz w:val="18"/>
              </w:rPr>
              <w:t>159</w:t>
            </w:r>
          </w:p>
        </w:tc>
      </w:tr>
      <w:tr w:rsidR="00144E7F" w:rsidRPr="00144E7F" w14:paraId="12B640CD" w14:textId="77777777" w:rsidTr="00737E5E">
        <w:trPr>
          <w:cantSplit/>
          <w:trHeight w:val="508"/>
        </w:trPr>
        <w:tc>
          <w:tcPr>
            <w:tcW w:w="1502" w:type="dxa"/>
            <w:shd w:val="clear" w:color="auto" w:fill="F2F2F2" w:themeFill="background1" w:themeFillShade="F2"/>
          </w:tcPr>
          <w:p w14:paraId="53F74FCA" w14:textId="1383593F"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754B</w:t>
            </w:r>
            <w:r>
              <w:rPr>
                <w:rFonts w:ascii="Arial" w:hAnsi="Arial"/>
                <w:color w:val="000000"/>
                <w:sz w:val="18"/>
              </w:rPr>
              <w:br/>
            </w:r>
            <w:r w:rsidRPr="00144E7F">
              <w:rPr>
                <w:rFonts w:ascii="Arial" w:hAnsi="Arial"/>
                <w:color w:val="000000"/>
                <w:sz w:val="18"/>
              </w:rPr>
              <w:t>(Fee also applies to sub forms 754BA &amp; 754BB)</w:t>
            </w:r>
          </w:p>
        </w:tc>
        <w:tc>
          <w:tcPr>
            <w:tcW w:w="3742" w:type="dxa"/>
            <w:shd w:val="clear" w:color="auto" w:fill="F2F2F2" w:themeFill="background1" w:themeFillShade="F2"/>
          </w:tcPr>
          <w:p w14:paraId="51BCE4BA" w14:textId="6CD4003E"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Repl</w:t>
            </w:r>
            <w:r w:rsidR="00BE11F5">
              <w:rPr>
                <w:rFonts w:ascii="Arial" w:hAnsi="Arial"/>
                <w:color w:val="000000"/>
                <w:sz w:val="18"/>
              </w:rPr>
              <w:t>acement prospectus for equities</w:t>
            </w:r>
          </w:p>
        </w:tc>
        <w:tc>
          <w:tcPr>
            <w:tcW w:w="1877" w:type="dxa"/>
            <w:shd w:val="clear" w:color="auto" w:fill="F2F2F2" w:themeFill="background1" w:themeFillShade="F2"/>
          </w:tcPr>
          <w:p w14:paraId="569FA66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45C0DB9F" w14:textId="7E5AD754"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802</w:t>
            </w:r>
          </w:p>
        </w:tc>
      </w:tr>
      <w:tr w:rsidR="00144E7F" w:rsidRPr="00144E7F" w14:paraId="34B46C37" w14:textId="77777777" w:rsidTr="00737E5E">
        <w:trPr>
          <w:cantSplit/>
          <w:trHeight w:val="508"/>
        </w:trPr>
        <w:tc>
          <w:tcPr>
            <w:tcW w:w="1502" w:type="dxa"/>
          </w:tcPr>
          <w:p w14:paraId="69F4FDAA" w14:textId="78E361AB"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754E</w:t>
            </w:r>
            <w:r>
              <w:rPr>
                <w:rFonts w:ascii="Arial" w:hAnsi="Arial"/>
                <w:color w:val="000000"/>
                <w:sz w:val="18"/>
              </w:rPr>
              <w:br/>
            </w:r>
            <w:r w:rsidRPr="00144E7F">
              <w:rPr>
                <w:rFonts w:ascii="Arial" w:hAnsi="Arial"/>
                <w:color w:val="000000"/>
                <w:sz w:val="18"/>
              </w:rPr>
              <w:t>(Fee also applies to sub forms 754EA – equities and 754EB - Managed investment schemes)</w:t>
            </w:r>
          </w:p>
        </w:tc>
        <w:tc>
          <w:tcPr>
            <w:tcW w:w="3742" w:type="dxa"/>
          </w:tcPr>
          <w:p w14:paraId="76B44609" w14:textId="3481380C"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Replacem</w:t>
            </w:r>
            <w:r w:rsidR="00BE11F5">
              <w:rPr>
                <w:rFonts w:ascii="Arial" w:hAnsi="Arial"/>
                <w:color w:val="000000"/>
                <w:sz w:val="18"/>
              </w:rPr>
              <w:t>ent offer information statement</w:t>
            </w:r>
          </w:p>
        </w:tc>
        <w:tc>
          <w:tcPr>
            <w:tcW w:w="1877" w:type="dxa"/>
          </w:tcPr>
          <w:p w14:paraId="7CEFBAF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13E4343B" w14:textId="19AD6EE2"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321</w:t>
            </w:r>
          </w:p>
        </w:tc>
      </w:tr>
      <w:tr w:rsidR="00144E7F" w:rsidRPr="00144E7F" w14:paraId="67B12770" w14:textId="77777777" w:rsidTr="00737E5E">
        <w:trPr>
          <w:cantSplit/>
          <w:trHeight w:val="508"/>
        </w:trPr>
        <w:tc>
          <w:tcPr>
            <w:tcW w:w="1502" w:type="dxa"/>
            <w:shd w:val="clear" w:color="auto" w:fill="F2F2F2" w:themeFill="background1" w:themeFillShade="F2"/>
          </w:tcPr>
          <w:p w14:paraId="3851C2C1" w14:textId="30DDF7A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754F</w:t>
            </w:r>
            <w:r>
              <w:rPr>
                <w:rFonts w:ascii="Arial" w:hAnsi="Arial"/>
                <w:color w:val="000000"/>
                <w:sz w:val="18"/>
              </w:rPr>
              <w:br/>
            </w:r>
            <w:r w:rsidRPr="00144E7F">
              <w:rPr>
                <w:rFonts w:ascii="Arial" w:hAnsi="Arial"/>
                <w:color w:val="000000"/>
                <w:sz w:val="18"/>
              </w:rPr>
              <w:t>(Fee also applies to sub forms 754FA &amp; 754FB)</w:t>
            </w:r>
          </w:p>
        </w:tc>
        <w:tc>
          <w:tcPr>
            <w:tcW w:w="3742" w:type="dxa"/>
            <w:shd w:val="clear" w:color="auto" w:fill="F2F2F2" w:themeFill="background1" w:themeFillShade="F2"/>
          </w:tcPr>
          <w:p w14:paraId="33A926DA" w14:textId="01FD718B"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Replacement profile statement</w:t>
            </w:r>
          </w:p>
        </w:tc>
        <w:tc>
          <w:tcPr>
            <w:tcW w:w="1877" w:type="dxa"/>
            <w:shd w:val="clear" w:color="auto" w:fill="F2F2F2" w:themeFill="background1" w:themeFillShade="F2"/>
          </w:tcPr>
          <w:p w14:paraId="7B4450A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06D65615" w14:textId="57C733B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802</w:t>
            </w:r>
          </w:p>
        </w:tc>
      </w:tr>
      <w:tr w:rsidR="00144E7F" w:rsidRPr="00144E7F" w14:paraId="0396DB8F" w14:textId="77777777" w:rsidTr="00737E5E">
        <w:trPr>
          <w:cantSplit/>
          <w:trHeight w:val="508"/>
        </w:trPr>
        <w:tc>
          <w:tcPr>
            <w:tcW w:w="1502" w:type="dxa"/>
          </w:tcPr>
          <w:p w14:paraId="2A09CC3D" w14:textId="75438FA9"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754G</w:t>
            </w:r>
            <w:r>
              <w:rPr>
                <w:rFonts w:ascii="Arial" w:hAnsi="Arial"/>
                <w:color w:val="000000"/>
                <w:sz w:val="18"/>
              </w:rPr>
              <w:br/>
            </w:r>
            <w:r w:rsidRPr="00144E7F">
              <w:rPr>
                <w:rFonts w:ascii="Arial" w:hAnsi="Arial"/>
                <w:color w:val="000000"/>
                <w:sz w:val="18"/>
              </w:rPr>
              <w:t>(Fee also applies to sub forms 754GA &amp; 754GB)</w:t>
            </w:r>
          </w:p>
        </w:tc>
        <w:tc>
          <w:tcPr>
            <w:tcW w:w="3742" w:type="dxa"/>
          </w:tcPr>
          <w:p w14:paraId="54ED1354" w14:textId="6A2E5924"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Replacement sho</w:t>
            </w:r>
            <w:r w:rsidR="00BE11F5">
              <w:rPr>
                <w:rFonts w:ascii="Arial" w:hAnsi="Arial"/>
                <w:color w:val="000000"/>
                <w:sz w:val="18"/>
              </w:rPr>
              <w:t>rt form prospectus for equities</w:t>
            </w:r>
          </w:p>
        </w:tc>
        <w:tc>
          <w:tcPr>
            <w:tcW w:w="1877" w:type="dxa"/>
          </w:tcPr>
          <w:p w14:paraId="260B6F2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1FB5269B" w14:textId="6C95C59E"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802</w:t>
            </w:r>
          </w:p>
        </w:tc>
      </w:tr>
      <w:tr w:rsidR="00144E7F" w:rsidRPr="00144E7F" w14:paraId="13E9F05E" w14:textId="77777777" w:rsidTr="00737E5E">
        <w:trPr>
          <w:cantSplit/>
          <w:trHeight w:val="508"/>
        </w:trPr>
        <w:tc>
          <w:tcPr>
            <w:tcW w:w="1502" w:type="dxa"/>
            <w:shd w:val="clear" w:color="auto" w:fill="F2F2F2" w:themeFill="background1" w:themeFillShade="F2"/>
          </w:tcPr>
          <w:p w14:paraId="1C67C455" w14:textId="3E70818A"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764B</w:t>
            </w:r>
            <w:r>
              <w:rPr>
                <w:rFonts w:ascii="Arial" w:hAnsi="Arial"/>
                <w:color w:val="000000"/>
                <w:sz w:val="18"/>
              </w:rPr>
              <w:br/>
            </w:r>
            <w:r w:rsidRPr="00144E7F">
              <w:rPr>
                <w:rFonts w:ascii="Arial" w:hAnsi="Arial"/>
                <w:color w:val="000000"/>
                <w:sz w:val="18"/>
              </w:rPr>
              <w:t>(Fee also applies to  sub forms 764BA &amp; 764BB)</w:t>
            </w:r>
          </w:p>
        </w:tc>
        <w:tc>
          <w:tcPr>
            <w:tcW w:w="3742" w:type="dxa"/>
            <w:shd w:val="clear" w:color="auto" w:fill="F2F2F2" w:themeFill="background1" w:themeFillShade="F2"/>
          </w:tcPr>
          <w:p w14:paraId="53E3C47F" w14:textId="73DB7E86"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Prospectus for equities</w:t>
            </w:r>
          </w:p>
        </w:tc>
        <w:tc>
          <w:tcPr>
            <w:tcW w:w="1877" w:type="dxa"/>
            <w:shd w:val="clear" w:color="auto" w:fill="F2F2F2" w:themeFill="background1" w:themeFillShade="F2"/>
          </w:tcPr>
          <w:p w14:paraId="63F6313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2,400</w:t>
            </w:r>
          </w:p>
        </w:tc>
        <w:tc>
          <w:tcPr>
            <w:tcW w:w="2156" w:type="dxa"/>
            <w:shd w:val="clear" w:color="auto" w:fill="F2F2F2" w:themeFill="background1" w:themeFillShade="F2"/>
          </w:tcPr>
          <w:p w14:paraId="76CC3A6A" w14:textId="4A1DBEC5"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3,206</w:t>
            </w:r>
          </w:p>
        </w:tc>
      </w:tr>
      <w:tr w:rsidR="00144E7F" w:rsidRPr="00144E7F" w14:paraId="44C087F8" w14:textId="77777777" w:rsidTr="00737E5E">
        <w:trPr>
          <w:cantSplit/>
          <w:trHeight w:val="508"/>
        </w:trPr>
        <w:tc>
          <w:tcPr>
            <w:tcW w:w="1502" w:type="dxa"/>
          </w:tcPr>
          <w:p w14:paraId="5808EFFC" w14:textId="092FBC0F"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764E</w:t>
            </w:r>
            <w:r>
              <w:rPr>
                <w:rFonts w:ascii="Arial" w:hAnsi="Arial"/>
                <w:color w:val="000000"/>
                <w:sz w:val="18"/>
              </w:rPr>
              <w:br/>
            </w:r>
            <w:r w:rsidRPr="00144E7F">
              <w:rPr>
                <w:rFonts w:ascii="Arial" w:hAnsi="Arial"/>
                <w:color w:val="000000"/>
                <w:sz w:val="18"/>
              </w:rPr>
              <w:t>(Fee also applies to sub forms 764EA &amp; 764EB)</w:t>
            </w:r>
          </w:p>
        </w:tc>
        <w:tc>
          <w:tcPr>
            <w:tcW w:w="3742" w:type="dxa"/>
          </w:tcPr>
          <w:p w14:paraId="69EB7148" w14:textId="63842D7C"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Offer information statement</w:t>
            </w:r>
          </w:p>
        </w:tc>
        <w:tc>
          <w:tcPr>
            <w:tcW w:w="1877" w:type="dxa"/>
          </w:tcPr>
          <w:p w14:paraId="0865D61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2,400</w:t>
            </w:r>
          </w:p>
        </w:tc>
        <w:tc>
          <w:tcPr>
            <w:tcW w:w="2156" w:type="dxa"/>
          </w:tcPr>
          <w:p w14:paraId="45D2D84B" w14:textId="5A98941F"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1,924</w:t>
            </w:r>
          </w:p>
        </w:tc>
      </w:tr>
      <w:tr w:rsidR="00144E7F" w:rsidRPr="00144E7F" w14:paraId="20128885" w14:textId="77777777" w:rsidTr="00737E5E">
        <w:trPr>
          <w:cantSplit/>
          <w:trHeight w:val="508"/>
        </w:trPr>
        <w:tc>
          <w:tcPr>
            <w:tcW w:w="1502" w:type="dxa"/>
            <w:shd w:val="clear" w:color="auto" w:fill="F2F2F2" w:themeFill="background1" w:themeFillShade="F2"/>
          </w:tcPr>
          <w:p w14:paraId="3DF0D789" w14:textId="619FA6F2"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764F </w:t>
            </w:r>
            <w:r>
              <w:rPr>
                <w:rFonts w:ascii="Arial" w:hAnsi="Arial"/>
                <w:color w:val="000000"/>
                <w:sz w:val="18"/>
              </w:rPr>
              <w:br/>
            </w:r>
            <w:r w:rsidRPr="00144E7F">
              <w:rPr>
                <w:rFonts w:ascii="Arial" w:hAnsi="Arial"/>
                <w:color w:val="000000"/>
                <w:sz w:val="18"/>
              </w:rPr>
              <w:t>(Fee also applies to sub forms 764FA &amp; 764FB)</w:t>
            </w:r>
          </w:p>
        </w:tc>
        <w:tc>
          <w:tcPr>
            <w:tcW w:w="3742" w:type="dxa"/>
            <w:shd w:val="clear" w:color="auto" w:fill="F2F2F2" w:themeFill="background1" w:themeFillShade="F2"/>
          </w:tcPr>
          <w:p w14:paraId="5B8973C4" w14:textId="6FBF49A7"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Profile statement</w:t>
            </w:r>
          </w:p>
        </w:tc>
        <w:tc>
          <w:tcPr>
            <w:tcW w:w="1877" w:type="dxa"/>
            <w:shd w:val="clear" w:color="auto" w:fill="F2F2F2" w:themeFill="background1" w:themeFillShade="F2"/>
          </w:tcPr>
          <w:p w14:paraId="65B5C042" w14:textId="4C2801D0" w:rsidR="00144E7F" w:rsidRPr="00144E7F" w:rsidRDefault="00BE11F5" w:rsidP="00BE11F5">
            <w:pPr>
              <w:spacing w:before="80" w:after="80" w:line="240" w:lineRule="auto"/>
              <w:jc w:val="right"/>
              <w:rPr>
                <w:rFonts w:ascii="Arial" w:hAnsi="Arial"/>
                <w:color w:val="000000"/>
                <w:sz w:val="18"/>
              </w:rPr>
            </w:pPr>
            <w:r>
              <w:rPr>
                <w:rFonts w:ascii="Arial" w:hAnsi="Arial"/>
                <w:color w:val="000000"/>
                <w:sz w:val="18"/>
              </w:rPr>
              <w:t>2,400</w:t>
            </w:r>
          </w:p>
        </w:tc>
        <w:tc>
          <w:tcPr>
            <w:tcW w:w="2156" w:type="dxa"/>
            <w:shd w:val="clear" w:color="auto" w:fill="F2F2F2" w:themeFill="background1" w:themeFillShade="F2"/>
          </w:tcPr>
          <w:p w14:paraId="089D92B9" w14:textId="1ED73C38"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1,924</w:t>
            </w:r>
          </w:p>
        </w:tc>
      </w:tr>
      <w:tr w:rsidR="00144E7F" w:rsidRPr="00144E7F" w14:paraId="0A13050D" w14:textId="77777777" w:rsidTr="00737E5E">
        <w:trPr>
          <w:cantSplit/>
          <w:trHeight w:val="263"/>
        </w:trPr>
        <w:tc>
          <w:tcPr>
            <w:tcW w:w="1502" w:type="dxa"/>
          </w:tcPr>
          <w:p w14:paraId="020C0A7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764G</w:t>
            </w:r>
          </w:p>
        </w:tc>
        <w:tc>
          <w:tcPr>
            <w:tcW w:w="3742" w:type="dxa"/>
          </w:tcPr>
          <w:p w14:paraId="22FA614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Short form prospectus for equities</w:t>
            </w:r>
          </w:p>
        </w:tc>
        <w:tc>
          <w:tcPr>
            <w:tcW w:w="1877" w:type="dxa"/>
          </w:tcPr>
          <w:p w14:paraId="7A71D54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2,400</w:t>
            </w:r>
          </w:p>
        </w:tc>
        <w:tc>
          <w:tcPr>
            <w:tcW w:w="2156" w:type="dxa"/>
          </w:tcPr>
          <w:p w14:paraId="7C0FED64" w14:textId="0B709753"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3,206</w:t>
            </w:r>
          </w:p>
        </w:tc>
      </w:tr>
      <w:tr w:rsidR="00144E7F" w:rsidRPr="00144E7F" w14:paraId="2E061BDD" w14:textId="77777777" w:rsidTr="00737E5E">
        <w:trPr>
          <w:cantSplit/>
          <w:trHeight w:val="281"/>
        </w:trPr>
        <w:tc>
          <w:tcPr>
            <w:tcW w:w="1502" w:type="dxa"/>
            <w:shd w:val="clear" w:color="auto" w:fill="F2F2F2" w:themeFill="background1" w:themeFillShade="F2"/>
          </w:tcPr>
          <w:p w14:paraId="16B5709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764K</w:t>
            </w:r>
          </w:p>
        </w:tc>
        <w:tc>
          <w:tcPr>
            <w:tcW w:w="3742" w:type="dxa"/>
            <w:shd w:val="clear" w:color="auto" w:fill="F2F2F2" w:themeFill="background1" w:themeFillShade="F2"/>
          </w:tcPr>
          <w:p w14:paraId="49ADBC9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PDS Lodgement</w:t>
            </w:r>
          </w:p>
        </w:tc>
        <w:tc>
          <w:tcPr>
            <w:tcW w:w="1877" w:type="dxa"/>
            <w:shd w:val="clear" w:color="auto" w:fill="F2F2F2" w:themeFill="background1" w:themeFillShade="F2"/>
          </w:tcPr>
          <w:p w14:paraId="2928648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2,400</w:t>
            </w:r>
          </w:p>
        </w:tc>
        <w:tc>
          <w:tcPr>
            <w:tcW w:w="2156" w:type="dxa"/>
            <w:shd w:val="clear" w:color="auto" w:fill="F2F2F2" w:themeFill="background1" w:themeFillShade="F2"/>
          </w:tcPr>
          <w:p w14:paraId="0DA5D5C2" w14:textId="295245F3"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1,993</w:t>
            </w:r>
          </w:p>
        </w:tc>
      </w:tr>
      <w:tr w:rsidR="00144E7F" w:rsidRPr="00144E7F" w14:paraId="106286BF" w14:textId="77777777" w:rsidTr="00737E5E">
        <w:trPr>
          <w:cantSplit/>
          <w:trHeight w:val="508"/>
        </w:trPr>
        <w:tc>
          <w:tcPr>
            <w:tcW w:w="1502" w:type="dxa"/>
          </w:tcPr>
          <w:p w14:paraId="3B67C37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766B</w:t>
            </w:r>
          </w:p>
        </w:tc>
        <w:tc>
          <w:tcPr>
            <w:tcW w:w="3742" w:type="dxa"/>
          </w:tcPr>
          <w:p w14:paraId="16C20EA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Supplementary disclosure document for equities</w:t>
            </w:r>
          </w:p>
        </w:tc>
        <w:tc>
          <w:tcPr>
            <w:tcW w:w="1877" w:type="dxa"/>
          </w:tcPr>
          <w:p w14:paraId="2DB8405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Pr>
          <w:p w14:paraId="1089C54B" w14:textId="167BF28C"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802</w:t>
            </w:r>
          </w:p>
        </w:tc>
      </w:tr>
      <w:tr w:rsidR="00144E7F" w:rsidRPr="00144E7F" w14:paraId="77536C01" w14:textId="77777777" w:rsidTr="00737E5E">
        <w:trPr>
          <w:cantSplit/>
          <w:trHeight w:val="508"/>
        </w:trPr>
        <w:tc>
          <w:tcPr>
            <w:tcW w:w="1502" w:type="dxa"/>
            <w:shd w:val="clear" w:color="auto" w:fill="F2F2F2" w:themeFill="background1" w:themeFillShade="F2"/>
          </w:tcPr>
          <w:p w14:paraId="2ED7FF3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875 (same as N/A7)</w:t>
            </w:r>
          </w:p>
        </w:tc>
        <w:tc>
          <w:tcPr>
            <w:tcW w:w="3742" w:type="dxa"/>
            <w:shd w:val="clear" w:color="auto" w:fill="F2F2F2" w:themeFill="background1" w:themeFillShade="F2"/>
          </w:tcPr>
          <w:p w14:paraId="2F66B2C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Offer document - mutual recognition scheme</w:t>
            </w:r>
          </w:p>
        </w:tc>
        <w:tc>
          <w:tcPr>
            <w:tcW w:w="1877" w:type="dxa"/>
            <w:shd w:val="clear" w:color="auto" w:fill="F2F2F2" w:themeFill="background1" w:themeFillShade="F2"/>
          </w:tcPr>
          <w:p w14:paraId="11E649C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shd w:val="clear" w:color="auto" w:fill="F2F2F2" w:themeFill="background1" w:themeFillShade="F2"/>
          </w:tcPr>
          <w:p w14:paraId="4AAA0375" w14:textId="27B062E0"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321</w:t>
            </w:r>
          </w:p>
        </w:tc>
      </w:tr>
      <w:tr w:rsidR="00144E7F" w:rsidRPr="00144E7F" w14:paraId="1D756621" w14:textId="77777777" w:rsidTr="00737E5E">
        <w:trPr>
          <w:cantSplit/>
          <w:trHeight w:val="477"/>
        </w:trPr>
        <w:tc>
          <w:tcPr>
            <w:tcW w:w="1502" w:type="dxa"/>
            <w:tcBorders>
              <w:bottom w:val="single" w:sz="4" w:space="0" w:color="004A7F"/>
            </w:tcBorders>
          </w:tcPr>
          <w:p w14:paraId="56634DA9"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876 (same as N/A8)</w:t>
            </w:r>
          </w:p>
        </w:tc>
        <w:tc>
          <w:tcPr>
            <w:tcW w:w="3742" w:type="dxa"/>
            <w:tcBorders>
              <w:bottom w:val="single" w:sz="4" w:space="0" w:color="004A7F"/>
            </w:tcBorders>
          </w:tcPr>
          <w:p w14:paraId="3AA72A6E" w14:textId="60D25B2D"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Supplementary or replacement document </w:t>
            </w:r>
            <w:r w:rsidR="00983BAF" w:rsidRPr="00983BAF">
              <w:rPr>
                <w:rFonts w:ascii="Arial" w:hAnsi="Arial"/>
                <w:color w:val="000000"/>
                <w:sz w:val="18"/>
              </w:rPr>
              <w:t>–</w:t>
            </w:r>
            <w:r w:rsidRPr="00144E7F">
              <w:rPr>
                <w:rFonts w:ascii="Arial" w:hAnsi="Arial"/>
                <w:color w:val="000000"/>
                <w:sz w:val="18"/>
              </w:rPr>
              <w:t xml:space="preserve"> Mutual recognition</w:t>
            </w:r>
          </w:p>
        </w:tc>
        <w:tc>
          <w:tcPr>
            <w:tcW w:w="1877" w:type="dxa"/>
            <w:tcBorders>
              <w:bottom w:val="single" w:sz="4" w:space="0" w:color="004A7F"/>
            </w:tcBorders>
          </w:tcPr>
          <w:p w14:paraId="3A13963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tcBorders>
              <w:bottom w:val="single" w:sz="4" w:space="0" w:color="004A7F"/>
            </w:tcBorders>
          </w:tcPr>
          <w:p w14:paraId="1C7707DD" w14:textId="55794156"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160</w:t>
            </w:r>
          </w:p>
        </w:tc>
      </w:tr>
    </w:tbl>
    <w:p w14:paraId="4B516606" w14:textId="77777777" w:rsidR="00D840F3" w:rsidRDefault="00D840F3">
      <w:r>
        <w:rPr>
          <w:b/>
          <w:caps/>
        </w:rPr>
        <w:br w:type="page"/>
      </w:r>
    </w:p>
    <w:tbl>
      <w:tblPr>
        <w:tblW w:w="9277" w:type="dxa"/>
        <w:tblLayout w:type="fixed"/>
        <w:tblLook w:val="04A0" w:firstRow="1" w:lastRow="0" w:firstColumn="1" w:lastColumn="0" w:noHBand="0" w:noVBand="1"/>
      </w:tblPr>
      <w:tblGrid>
        <w:gridCol w:w="1502"/>
        <w:gridCol w:w="3742"/>
        <w:gridCol w:w="1877"/>
        <w:gridCol w:w="1351"/>
        <w:gridCol w:w="805"/>
      </w:tblGrid>
      <w:tr w:rsidR="00D840F3" w:rsidRPr="00144E7F" w14:paraId="0DBB6F76" w14:textId="77777777" w:rsidTr="00737E5E">
        <w:trPr>
          <w:cantSplit/>
        </w:trPr>
        <w:tc>
          <w:tcPr>
            <w:tcW w:w="1502" w:type="dxa"/>
            <w:tcBorders>
              <w:top w:val="single" w:sz="4" w:space="0" w:color="004A7F"/>
              <w:bottom w:val="single" w:sz="4" w:space="0" w:color="004A7F"/>
            </w:tcBorders>
            <w:shd w:val="clear" w:color="auto" w:fill="DEEAF6" w:themeFill="accent1" w:themeFillTint="33"/>
          </w:tcPr>
          <w:p w14:paraId="3D8D5CB5" w14:textId="0A3C6DEA" w:rsidR="00D840F3" w:rsidRPr="00144E7F" w:rsidRDefault="00D840F3" w:rsidP="007E535E">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732A6298" w14:textId="77777777" w:rsidR="00D840F3" w:rsidRPr="00144E7F" w:rsidRDefault="00D840F3" w:rsidP="007E535E">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3C154F10"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gridSpan w:val="2"/>
            <w:tcBorders>
              <w:top w:val="single" w:sz="4" w:space="0" w:color="004A7F"/>
              <w:bottom w:val="single" w:sz="4" w:space="0" w:color="004A7F"/>
            </w:tcBorders>
            <w:shd w:val="clear" w:color="auto" w:fill="DEEAF6" w:themeFill="accent1" w:themeFillTint="33"/>
          </w:tcPr>
          <w:p w14:paraId="1886FD98"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70C2A5BD" w14:textId="77777777" w:rsidTr="00737E5E">
        <w:trPr>
          <w:cantSplit/>
          <w:trHeight w:val="991"/>
        </w:trPr>
        <w:tc>
          <w:tcPr>
            <w:tcW w:w="1502" w:type="dxa"/>
            <w:vMerge w:val="restart"/>
          </w:tcPr>
          <w:p w14:paraId="79550D4F" w14:textId="73B0A2F1" w:rsidR="00144E7F" w:rsidRPr="00144E7F" w:rsidRDefault="00621544" w:rsidP="00144E7F">
            <w:pPr>
              <w:spacing w:before="80" w:after="80" w:line="240" w:lineRule="auto"/>
              <w:jc w:val="left"/>
              <w:rPr>
                <w:rFonts w:ascii="Arial" w:hAnsi="Arial"/>
                <w:color w:val="000000"/>
                <w:sz w:val="18"/>
              </w:rPr>
            </w:pPr>
            <w:r>
              <w:rPr>
                <w:rFonts w:ascii="Arial" w:hAnsi="Arial"/>
                <w:color w:val="000000"/>
                <w:sz w:val="18"/>
              </w:rPr>
              <w:t>903A</w:t>
            </w:r>
          </w:p>
        </w:tc>
        <w:tc>
          <w:tcPr>
            <w:tcW w:w="3742" w:type="dxa"/>
            <w:vMerge w:val="restart"/>
          </w:tcPr>
          <w:p w14:paraId="63E0A818" w14:textId="5271D2C9" w:rsidR="00144E7F" w:rsidRPr="00144E7F" w:rsidRDefault="00144E7F" w:rsidP="00D840F3">
            <w:pPr>
              <w:spacing w:before="80" w:after="80" w:line="240" w:lineRule="auto"/>
              <w:jc w:val="left"/>
              <w:rPr>
                <w:rFonts w:ascii="Arial" w:hAnsi="Arial"/>
                <w:color w:val="000000"/>
                <w:sz w:val="18"/>
              </w:rPr>
            </w:pPr>
            <w:r w:rsidRPr="00144E7F">
              <w:rPr>
                <w:rFonts w:ascii="Arial" w:hAnsi="Arial"/>
                <w:color w:val="000000"/>
                <w:sz w:val="18"/>
              </w:rPr>
              <w:t>Application for recognition as an auditor/authorised audit company</w:t>
            </w:r>
            <w:r w:rsidR="00D840F3">
              <w:rPr>
                <w:rFonts w:ascii="Arial" w:hAnsi="Arial"/>
                <w:color w:val="000000"/>
                <w:sz w:val="18"/>
              </w:rPr>
              <w:br/>
            </w:r>
            <w:r w:rsidRPr="00144E7F">
              <w:rPr>
                <w:rFonts w:ascii="Arial" w:hAnsi="Arial"/>
                <w:color w:val="000000"/>
                <w:sz w:val="18"/>
              </w:rPr>
              <w:t>(includes sub forms903AA, 903AB, 903AC, 903AZ, &amp; 903AD</w:t>
            </w:r>
          </w:p>
        </w:tc>
        <w:tc>
          <w:tcPr>
            <w:tcW w:w="1877" w:type="dxa"/>
            <w:vMerge w:val="restart"/>
          </w:tcPr>
          <w:p w14:paraId="3C9D94B5" w14:textId="77777777" w:rsidR="00144E7F" w:rsidRPr="00144E7F" w:rsidRDefault="00144E7F" w:rsidP="00737E5E">
            <w:pPr>
              <w:pStyle w:val="TableTextRight"/>
            </w:pPr>
            <w:r w:rsidRPr="00144E7F">
              <w:t>903 AA – 153 (online)</w:t>
            </w:r>
          </w:p>
          <w:p w14:paraId="73B05BCF" w14:textId="77777777" w:rsidR="00D840F3" w:rsidRDefault="00144E7F" w:rsidP="00737E5E">
            <w:pPr>
              <w:pStyle w:val="TableTextRight"/>
            </w:pPr>
            <w:r w:rsidRPr="00144E7F">
              <w:t>903 AA – 337 (paper application)</w:t>
            </w:r>
          </w:p>
          <w:p w14:paraId="045EC47E" w14:textId="5B473176" w:rsidR="00144E7F" w:rsidRPr="00144E7F" w:rsidRDefault="00144E7F" w:rsidP="00737E5E">
            <w:pPr>
              <w:pStyle w:val="TableTextRight"/>
            </w:pPr>
            <w:r w:rsidRPr="00144E7F">
              <w:t xml:space="preserve">903 AB – 323 (online) </w:t>
            </w:r>
          </w:p>
          <w:p w14:paraId="42A4B5FE" w14:textId="1F3CE674" w:rsidR="00144E7F" w:rsidRPr="00144E7F" w:rsidRDefault="00144E7F" w:rsidP="00737E5E">
            <w:pPr>
              <w:pStyle w:val="TableTextRight"/>
            </w:pPr>
            <w:r w:rsidRPr="00144E7F">
              <w:t>903 AB – 646 (paper application)</w:t>
            </w:r>
            <w:r w:rsidRPr="00144E7F">
              <w:br/>
              <w:t xml:space="preserve">903 AC </w:t>
            </w:r>
            <w:r w:rsidR="00737E5E">
              <w:t>–</w:t>
            </w:r>
            <w:r w:rsidRPr="00144E7F">
              <w:t xml:space="preserve"> 337</w:t>
            </w:r>
            <w:r w:rsidRPr="00144E7F">
              <w:br/>
              <w:t>903 AD – 646</w:t>
            </w:r>
          </w:p>
        </w:tc>
        <w:tc>
          <w:tcPr>
            <w:tcW w:w="1351" w:type="dxa"/>
          </w:tcPr>
          <w:p w14:paraId="43E6AF29" w14:textId="5C5D6EDA" w:rsidR="00D840F3" w:rsidRPr="00144E7F" w:rsidRDefault="00144E7F" w:rsidP="00D840F3">
            <w:pPr>
              <w:spacing w:before="80" w:after="80" w:line="240" w:lineRule="auto"/>
              <w:jc w:val="right"/>
              <w:rPr>
                <w:rFonts w:ascii="Arial" w:hAnsi="Arial"/>
                <w:color w:val="000000"/>
                <w:sz w:val="18"/>
              </w:rPr>
            </w:pPr>
            <w:r w:rsidRPr="00144E7F">
              <w:rPr>
                <w:rFonts w:ascii="Arial" w:hAnsi="Arial"/>
                <w:color w:val="000000"/>
                <w:sz w:val="18"/>
              </w:rPr>
              <w:t>903AA, 903AC</w:t>
            </w:r>
          </w:p>
        </w:tc>
        <w:tc>
          <w:tcPr>
            <w:tcW w:w="805" w:type="dxa"/>
          </w:tcPr>
          <w:p w14:paraId="03DA823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338</w:t>
            </w:r>
          </w:p>
        </w:tc>
      </w:tr>
      <w:tr w:rsidR="00144E7F" w:rsidRPr="00144E7F" w14:paraId="0AA26315" w14:textId="77777777" w:rsidTr="00737E5E">
        <w:trPr>
          <w:cantSplit/>
          <w:trHeight w:val="523"/>
        </w:trPr>
        <w:tc>
          <w:tcPr>
            <w:tcW w:w="1502" w:type="dxa"/>
            <w:vMerge/>
          </w:tcPr>
          <w:p w14:paraId="765D261D"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6E8C1A4C"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0FD9C7E1"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11C1ED66" w14:textId="4A4420E4" w:rsidR="00144E7F" w:rsidRPr="00144E7F" w:rsidRDefault="00737E5E" w:rsidP="00737E5E">
            <w:pPr>
              <w:spacing w:before="80" w:after="80" w:line="240" w:lineRule="auto"/>
              <w:jc w:val="right"/>
              <w:rPr>
                <w:rFonts w:ascii="Arial" w:hAnsi="Arial"/>
                <w:color w:val="000000"/>
                <w:sz w:val="18"/>
              </w:rPr>
            </w:pPr>
            <w:r>
              <w:rPr>
                <w:rFonts w:ascii="Arial" w:hAnsi="Arial"/>
                <w:color w:val="000000"/>
                <w:sz w:val="18"/>
              </w:rPr>
              <w:t>903AB, 903AD</w:t>
            </w:r>
          </w:p>
        </w:tc>
        <w:tc>
          <w:tcPr>
            <w:tcW w:w="805" w:type="dxa"/>
          </w:tcPr>
          <w:p w14:paraId="57BD0CD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3,429</w:t>
            </w:r>
          </w:p>
        </w:tc>
      </w:tr>
      <w:tr w:rsidR="00737E5E" w:rsidRPr="00144E7F" w14:paraId="6579F102" w14:textId="77777777" w:rsidTr="00737E5E">
        <w:trPr>
          <w:cantSplit/>
          <w:trHeight w:val="279"/>
        </w:trPr>
        <w:tc>
          <w:tcPr>
            <w:tcW w:w="1502" w:type="dxa"/>
            <w:vMerge w:val="restart"/>
            <w:shd w:val="clear" w:color="auto" w:fill="F2F2F2" w:themeFill="background1" w:themeFillShade="F2"/>
          </w:tcPr>
          <w:p w14:paraId="66348FBC" w14:textId="73E2CD32"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903B</w:t>
            </w:r>
          </w:p>
        </w:tc>
        <w:tc>
          <w:tcPr>
            <w:tcW w:w="3742" w:type="dxa"/>
            <w:vMerge w:val="restart"/>
            <w:shd w:val="clear" w:color="auto" w:fill="F2F2F2" w:themeFill="background1" w:themeFillShade="F2"/>
          </w:tcPr>
          <w:p w14:paraId="4F5272C3" w14:textId="003A050E" w:rsidR="00144E7F" w:rsidRPr="00144E7F" w:rsidRDefault="00144E7F" w:rsidP="00983BAF">
            <w:pPr>
              <w:spacing w:before="80" w:after="80" w:line="240" w:lineRule="auto"/>
              <w:jc w:val="left"/>
              <w:rPr>
                <w:rFonts w:ascii="Arial" w:hAnsi="Arial"/>
                <w:color w:val="000000"/>
                <w:sz w:val="18"/>
              </w:rPr>
            </w:pPr>
            <w:r w:rsidRPr="00144E7F">
              <w:rPr>
                <w:rFonts w:ascii="Arial" w:hAnsi="Arial"/>
                <w:color w:val="000000"/>
                <w:sz w:val="18"/>
              </w:rPr>
              <w:t>Application for registration as a liquidator</w:t>
            </w:r>
            <w:r w:rsidR="00983BAF">
              <w:rPr>
                <w:rFonts w:ascii="Arial" w:hAnsi="Arial"/>
                <w:color w:val="000000"/>
                <w:sz w:val="18"/>
              </w:rPr>
              <w:t xml:space="preserve"> </w:t>
            </w:r>
            <w:r w:rsidRPr="00144E7F">
              <w:rPr>
                <w:rFonts w:ascii="Arial" w:hAnsi="Arial"/>
                <w:color w:val="000000"/>
                <w:sz w:val="18"/>
              </w:rPr>
              <w:t>(includes sub forms 903BA &amp; 903BB)</w:t>
            </w:r>
          </w:p>
        </w:tc>
        <w:tc>
          <w:tcPr>
            <w:tcW w:w="1877" w:type="dxa"/>
            <w:shd w:val="clear" w:color="auto" w:fill="F2F2F2" w:themeFill="background1" w:themeFillShade="F2"/>
          </w:tcPr>
          <w:p w14:paraId="2909909D" w14:textId="77777777" w:rsidR="00144E7F" w:rsidRPr="00737E5E" w:rsidRDefault="00144E7F" w:rsidP="00737E5E">
            <w:pPr>
              <w:pStyle w:val="TableTextRight"/>
            </w:pPr>
            <w:r w:rsidRPr="00737E5E">
              <w:t>Application fee – 2,247</w:t>
            </w:r>
          </w:p>
        </w:tc>
        <w:tc>
          <w:tcPr>
            <w:tcW w:w="1351" w:type="dxa"/>
            <w:shd w:val="clear" w:color="auto" w:fill="F2F2F2" w:themeFill="background1" w:themeFillShade="F2"/>
          </w:tcPr>
          <w:p w14:paraId="6EFD8E7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Application fee</w:t>
            </w:r>
          </w:p>
        </w:tc>
        <w:tc>
          <w:tcPr>
            <w:tcW w:w="805" w:type="dxa"/>
            <w:shd w:val="clear" w:color="auto" w:fill="F2F2F2" w:themeFill="background1" w:themeFillShade="F2"/>
          </w:tcPr>
          <w:p w14:paraId="104FEE6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2,200</w:t>
            </w:r>
          </w:p>
        </w:tc>
      </w:tr>
      <w:tr w:rsidR="00737E5E" w:rsidRPr="00144E7F" w14:paraId="3338BC40" w14:textId="77777777" w:rsidTr="00737E5E">
        <w:trPr>
          <w:cantSplit/>
          <w:trHeight w:val="278"/>
        </w:trPr>
        <w:tc>
          <w:tcPr>
            <w:tcW w:w="1502" w:type="dxa"/>
            <w:vMerge/>
            <w:shd w:val="clear" w:color="auto" w:fill="F2F2F2" w:themeFill="background1" w:themeFillShade="F2"/>
          </w:tcPr>
          <w:p w14:paraId="121FC2C7"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67801918" w14:textId="77777777" w:rsidR="00144E7F" w:rsidRPr="00144E7F" w:rsidRDefault="00144E7F" w:rsidP="00144E7F">
            <w:pPr>
              <w:spacing w:before="80" w:after="80" w:line="240" w:lineRule="auto"/>
              <w:jc w:val="left"/>
              <w:rPr>
                <w:rFonts w:ascii="Arial" w:hAnsi="Arial"/>
                <w:color w:val="000000"/>
                <w:sz w:val="18"/>
              </w:rPr>
            </w:pPr>
          </w:p>
        </w:tc>
        <w:tc>
          <w:tcPr>
            <w:tcW w:w="1877" w:type="dxa"/>
            <w:shd w:val="clear" w:color="auto" w:fill="F2F2F2" w:themeFill="background1" w:themeFillShade="F2"/>
          </w:tcPr>
          <w:p w14:paraId="384F8E87" w14:textId="6D86380E" w:rsidR="00144E7F" w:rsidRPr="00737E5E" w:rsidRDefault="00144E7F" w:rsidP="00737E5E">
            <w:pPr>
              <w:pStyle w:val="TableTextRight"/>
            </w:pPr>
            <w:r w:rsidRPr="00737E5E">
              <w:t xml:space="preserve">Registration fee </w:t>
            </w:r>
            <w:r w:rsidR="00737E5E" w:rsidRPr="00737E5E">
              <w:t>–</w:t>
            </w:r>
            <w:r w:rsidRPr="00737E5E">
              <w:t xml:space="preserve"> 1,328</w:t>
            </w:r>
          </w:p>
        </w:tc>
        <w:tc>
          <w:tcPr>
            <w:tcW w:w="1351" w:type="dxa"/>
            <w:shd w:val="clear" w:color="auto" w:fill="F2F2F2" w:themeFill="background1" w:themeFillShade="F2"/>
          </w:tcPr>
          <w:p w14:paraId="5F1B9E9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Registration fee</w:t>
            </w:r>
          </w:p>
        </w:tc>
        <w:tc>
          <w:tcPr>
            <w:tcW w:w="805" w:type="dxa"/>
            <w:shd w:val="clear" w:color="auto" w:fill="F2F2F2" w:themeFill="background1" w:themeFillShade="F2"/>
          </w:tcPr>
          <w:p w14:paraId="41A006F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1,300</w:t>
            </w:r>
          </w:p>
        </w:tc>
      </w:tr>
      <w:tr w:rsidR="00144E7F" w:rsidRPr="00144E7F" w14:paraId="41AEB5B7" w14:textId="77777777" w:rsidTr="00737E5E">
        <w:trPr>
          <w:cantSplit/>
          <w:trHeight w:val="508"/>
        </w:trPr>
        <w:tc>
          <w:tcPr>
            <w:tcW w:w="1502" w:type="dxa"/>
          </w:tcPr>
          <w:p w14:paraId="25E1C6B1" w14:textId="49CE7B98"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917A &amp; B</w:t>
            </w:r>
            <w:r>
              <w:rPr>
                <w:rFonts w:ascii="Arial" w:hAnsi="Arial"/>
                <w:color w:val="000000"/>
                <w:sz w:val="18"/>
              </w:rPr>
              <w:br/>
            </w:r>
            <w:r w:rsidRPr="00144E7F">
              <w:rPr>
                <w:rFonts w:ascii="Arial" w:hAnsi="Arial"/>
                <w:color w:val="000000"/>
                <w:sz w:val="18"/>
              </w:rPr>
              <w:t>(Fee also applies to sub forms 917A &amp; 917B)</w:t>
            </w:r>
          </w:p>
        </w:tc>
        <w:tc>
          <w:tcPr>
            <w:tcW w:w="3742" w:type="dxa"/>
          </w:tcPr>
          <w:p w14:paraId="61904393" w14:textId="6104D505"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Vary Conditions Imp</w:t>
            </w:r>
            <w:r w:rsidR="00BE11F5">
              <w:rPr>
                <w:rFonts w:ascii="Arial" w:hAnsi="Arial"/>
                <w:color w:val="000000"/>
                <w:sz w:val="18"/>
              </w:rPr>
              <w:t>osed on Auditor's Registration</w:t>
            </w:r>
          </w:p>
        </w:tc>
        <w:tc>
          <w:tcPr>
            <w:tcW w:w="1877" w:type="dxa"/>
          </w:tcPr>
          <w:p w14:paraId="767D3EF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tcPr>
          <w:p w14:paraId="3DE6288E"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1,028</w:t>
            </w:r>
          </w:p>
        </w:tc>
      </w:tr>
      <w:tr w:rsidR="00144E7F" w:rsidRPr="00144E7F" w14:paraId="3A791D18" w14:textId="77777777" w:rsidTr="00737E5E">
        <w:trPr>
          <w:cantSplit/>
          <w:trHeight w:val="508"/>
        </w:trPr>
        <w:tc>
          <w:tcPr>
            <w:tcW w:w="1502" w:type="dxa"/>
            <w:shd w:val="clear" w:color="auto" w:fill="F2F2F2" w:themeFill="background1" w:themeFillShade="F2"/>
          </w:tcPr>
          <w:p w14:paraId="097BE287" w14:textId="5EE6F664"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New TBC</w:t>
            </w:r>
          </w:p>
        </w:tc>
        <w:tc>
          <w:tcPr>
            <w:tcW w:w="3742" w:type="dxa"/>
            <w:shd w:val="clear" w:color="auto" w:fill="F2F2F2" w:themeFill="background1" w:themeFillShade="F2"/>
          </w:tcPr>
          <w:p w14:paraId="70AE13F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financial benchmark licence (section 908BD)</w:t>
            </w:r>
          </w:p>
        </w:tc>
        <w:tc>
          <w:tcPr>
            <w:tcW w:w="1877" w:type="dxa"/>
            <w:shd w:val="clear" w:color="auto" w:fill="F2F2F2" w:themeFill="background1" w:themeFillShade="F2"/>
          </w:tcPr>
          <w:p w14:paraId="6141743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2713B7A6" w14:textId="44BD322D" w:rsidR="00144E7F" w:rsidRPr="00144E7F" w:rsidRDefault="007E535E" w:rsidP="00144E7F">
            <w:pPr>
              <w:spacing w:before="80" w:after="80" w:line="240" w:lineRule="auto"/>
              <w:jc w:val="right"/>
              <w:rPr>
                <w:rFonts w:ascii="Arial" w:hAnsi="Arial"/>
                <w:color w:val="000000"/>
                <w:sz w:val="18"/>
              </w:rPr>
            </w:pPr>
            <w:r>
              <w:rPr>
                <w:rFonts w:ascii="Arial" w:hAnsi="Arial"/>
                <w:color w:val="000000"/>
                <w:sz w:val="18"/>
              </w:rPr>
              <w:t>154,596</w:t>
            </w:r>
          </w:p>
        </w:tc>
      </w:tr>
      <w:tr w:rsidR="00144E7F" w:rsidRPr="00144E7F" w14:paraId="200B5748" w14:textId="77777777" w:rsidTr="00737E5E">
        <w:trPr>
          <w:cantSplit/>
          <w:trHeight w:val="508"/>
        </w:trPr>
        <w:tc>
          <w:tcPr>
            <w:tcW w:w="1502" w:type="dxa"/>
          </w:tcPr>
          <w:p w14:paraId="548BD105" w14:textId="5D874480"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New TBC</w:t>
            </w:r>
          </w:p>
        </w:tc>
        <w:tc>
          <w:tcPr>
            <w:tcW w:w="3742" w:type="dxa"/>
          </w:tcPr>
          <w:p w14:paraId="12DE9C3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Benchmarks licence application for imposing licence conditions</w:t>
            </w:r>
          </w:p>
        </w:tc>
        <w:tc>
          <w:tcPr>
            <w:tcW w:w="1877" w:type="dxa"/>
          </w:tcPr>
          <w:p w14:paraId="011C877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3E856F4B" w14:textId="79BEED90"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02ECDB35" w14:textId="77777777" w:rsidTr="00737E5E">
        <w:trPr>
          <w:cantSplit/>
          <w:trHeight w:val="271"/>
        </w:trPr>
        <w:tc>
          <w:tcPr>
            <w:tcW w:w="1502" w:type="dxa"/>
            <w:shd w:val="clear" w:color="auto" w:fill="F2F2F2" w:themeFill="background1" w:themeFillShade="F2"/>
          </w:tcPr>
          <w:p w14:paraId="6E202B9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63350FC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Benchmarks licence exemption</w:t>
            </w:r>
          </w:p>
        </w:tc>
        <w:tc>
          <w:tcPr>
            <w:tcW w:w="1877" w:type="dxa"/>
            <w:shd w:val="clear" w:color="auto" w:fill="F2F2F2" w:themeFill="background1" w:themeFillShade="F2"/>
          </w:tcPr>
          <w:p w14:paraId="05AC247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380069F0" w14:textId="758DB574"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37FF35E2" w14:textId="77777777" w:rsidTr="00D6307B">
        <w:trPr>
          <w:cantSplit/>
          <w:trHeight w:val="217"/>
        </w:trPr>
        <w:tc>
          <w:tcPr>
            <w:tcW w:w="1502" w:type="dxa"/>
          </w:tcPr>
          <w:p w14:paraId="0F45CE85" w14:textId="295BCB1A"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New TBC</w:t>
            </w:r>
          </w:p>
        </w:tc>
        <w:tc>
          <w:tcPr>
            <w:tcW w:w="3742" w:type="dxa"/>
          </w:tcPr>
          <w:p w14:paraId="0410702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Benchmarks licence removing from significant declaration</w:t>
            </w:r>
          </w:p>
        </w:tc>
        <w:tc>
          <w:tcPr>
            <w:tcW w:w="1877" w:type="dxa"/>
          </w:tcPr>
          <w:p w14:paraId="05AB459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169A496A" w14:textId="59C3B78B"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6708D3B6" w14:textId="77777777" w:rsidTr="00737E5E">
        <w:trPr>
          <w:cantSplit/>
          <w:trHeight w:val="508"/>
        </w:trPr>
        <w:tc>
          <w:tcPr>
            <w:tcW w:w="1502" w:type="dxa"/>
            <w:shd w:val="clear" w:color="auto" w:fill="F2F2F2" w:themeFill="background1" w:themeFillShade="F2"/>
          </w:tcPr>
          <w:p w14:paraId="54C2F8C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CA912</w:t>
            </w:r>
          </w:p>
        </w:tc>
        <w:tc>
          <w:tcPr>
            <w:tcW w:w="3742" w:type="dxa"/>
            <w:shd w:val="clear" w:color="auto" w:fill="F2F2F2" w:themeFill="background1" w:themeFillShade="F2"/>
          </w:tcPr>
          <w:p w14:paraId="56CF477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approval of alternative arrangements under section 912b(2)(b)</w:t>
            </w:r>
          </w:p>
        </w:tc>
        <w:tc>
          <w:tcPr>
            <w:tcW w:w="1877" w:type="dxa"/>
            <w:shd w:val="clear" w:color="auto" w:fill="F2F2F2" w:themeFill="background1" w:themeFillShade="F2"/>
          </w:tcPr>
          <w:p w14:paraId="68F61B5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shd w:val="clear" w:color="auto" w:fill="F2F2F2" w:themeFill="background1" w:themeFillShade="F2"/>
          </w:tcPr>
          <w:p w14:paraId="4482BFE7" w14:textId="08A49FF7"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1,540</w:t>
            </w:r>
          </w:p>
        </w:tc>
      </w:tr>
      <w:tr w:rsidR="00144E7F" w:rsidRPr="00144E7F" w14:paraId="1D84617A" w14:textId="77777777" w:rsidTr="00737E5E">
        <w:trPr>
          <w:cantSplit/>
          <w:trHeight w:val="508"/>
        </w:trPr>
        <w:tc>
          <w:tcPr>
            <w:tcW w:w="1502" w:type="dxa"/>
          </w:tcPr>
          <w:p w14:paraId="58AEE24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CH5DA</w:t>
            </w:r>
          </w:p>
        </w:tc>
        <w:tc>
          <w:tcPr>
            <w:tcW w:w="3742" w:type="dxa"/>
          </w:tcPr>
          <w:p w14:paraId="482CA779" w14:textId="63CC4A9C"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to exceed voting power limit </w:t>
            </w:r>
            <w:r w:rsidR="00983BAF" w:rsidRPr="00983BAF">
              <w:rPr>
                <w:rFonts w:ascii="Arial" w:hAnsi="Arial"/>
                <w:color w:val="000000"/>
                <w:sz w:val="18"/>
              </w:rPr>
              <w:t>–</w:t>
            </w:r>
            <w:r w:rsidRPr="00144E7F">
              <w:rPr>
                <w:rFonts w:ascii="Arial" w:hAnsi="Arial"/>
                <w:color w:val="000000"/>
                <w:sz w:val="18"/>
              </w:rPr>
              <w:t xml:space="preserve"> licenced trustee company</w:t>
            </w:r>
          </w:p>
        </w:tc>
        <w:tc>
          <w:tcPr>
            <w:tcW w:w="1877" w:type="dxa"/>
          </w:tcPr>
          <w:p w14:paraId="74219E5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tcPr>
          <w:p w14:paraId="48C3E065" w14:textId="15C8E19A"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11,550</w:t>
            </w:r>
          </w:p>
        </w:tc>
      </w:tr>
      <w:tr w:rsidR="00144E7F" w:rsidRPr="00144E7F" w14:paraId="69ED28A0" w14:textId="77777777" w:rsidTr="00737E5E">
        <w:trPr>
          <w:cantSplit/>
          <w:trHeight w:val="508"/>
        </w:trPr>
        <w:tc>
          <w:tcPr>
            <w:tcW w:w="1502" w:type="dxa"/>
            <w:shd w:val="clear" w:color="auto" w:fill="F2F2F2" w:themeFill="background1" w:themeFillShade="F2"/>
          </w:tcPr>
          <w:p w14:paraId="7A9C568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CH5DB</w:t>
            </w:r>
          </w:p>
        </w:tc>
        <w:tc>
          <w:tcPr>
            <w:tcW w:w="3742" w:type="dxa"/>
            <w:shd w:val="clear" w:color="auto" w:fill="F2F2F2" w:themeFill="background1" w:themeFillShade="F2"/>
          </w:tcPr>
          <w:p w14:paraId="5AB0E870" w14:textId="3B2ADC38"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to extend period for voting power limit approval </w:t>
            </w:r>
            <w:r w:rsidR="00983BAF" w:rsidRPr="00983BAF">
              <w:rPr>
                <w:rFonts w:ascii="Arial" w:hAnsi="Arial"/>
                <w:color w:val="000000"/>
                <w:sz w:val="18"/>
              </w:rPr>
              <w:t>–</w:t>
            </w:r>
            <w:r w:rsidRPr="00144E7F">
              <w:rPr>
                <w:rFonts w:ascii="Arial" w:hAnsi="Arial"/>
                <w:color w:val="000000"/>
                <w:sz w:val="18"/>
              </w:rPr>
              <w:t xml:space="preserve"> licenced trustee company</w:t>
            </w:r>
          </w:p>
        </w:tc>
        <w:tc>
          <w:tcPr>
            <w:tcW w:w="1877" w:type="dxa"/>
            <w:shd w:val="clear" w:color="auto" w:fill="F2F2F2" w:themeFill="background1" w:themeFillShade="F2"/>
          </w:tcPr>
          <w:p w14:paraId="4FD1F7B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shd w:val="clear" w:color="auto" w:fill="F2F2F2" w:themeFill="background1" w:themeFillShade="F2"/>
          </w:tcPr>
          <w:p w14:paraId="4518F7F4" w14:textId="2A213274"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5,775</w:t>
            </w:r>
          </w:p>
        </w:tc>
      </w:tr>
      <w:tr w:rsidR="00144E7F" w:rsidRPr="00144E7F" w14:paraId="2ACEF5F3" w14:textId="77777777" w:rsidTr="00737E5E">
        <w:trPr>
          <w:cantSplit/>
          <w:trHeight w:val="508"/>
        </w:trPr>
        <w:tc>
          <w:tcPr>
            <w:tcW w:w="1502" w:type="dxa"/>
          </w:tcPr>
          <w:p w14:paraId="4A3C6BE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CH5DC</w:t>
            </w:r>
          </w:p>
        </w:tc>
        <w:tc>
          <w:tcPr>
            <w:tcW w:w="3742" w:type="dxa"/>
          </w:tcPr>
          <w:p w14:paraId="0B0528DC" w14:textId="38483366"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to vary voting power limit approval </w:t>
            </w:r>
            <w:r w:rsidR="00983BAF" w:rsidRPr="00983BAF">
              <w:rPr>
                <w:rFonts w:ascii="Arial" w:hAnsi="Arial"/>
                <w:color w:val="000000"/>
                <w:sz w:val="18"/>
              </w:rPr>
              <w:t>–</w:t>
            </w:r>
            <w:r w:rsidRPr="00144E7F">
              <w:rPr>
                <w:rFonts w:ascii="Arial" w:hAnsi="Arial"/>
                <w:color w:val="000000"/>
                <w:sz w:val="18"/>
              </w:rPr>
              <w:t xml:space="preserve"> licenced trustee company</w:t>
            </w:r>
          </w:p>
        </w:tc>
        <w:tc>
          <w:tcPr>
            <w:tcW w:w="1877" w:type="dxa"/>
          </w:tcPr>
          <w:p w14:paraId="5FFD378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tcPr>
          <w:p w14:paraId="1047BA9E" w14:textId="165D64B8"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5,775</w:t>
            </w:r>
          </w:p>
        </w:tc>
      </w:tr>
      <w:tr w:rsidR="00144E7F" w:rsidRPr="00144E7F" w14:paraId="12AC3BD5" w14:textId="77777777" w:rsidTr="00737E5E">
        <w:trPr>
          <w:cantSplit/>
          <w:trHeight w:val="754"/>
        </w:trPr>
        <w:tc>
          <w:tcPr>
            <w:tcW w:w="1502" w:type="dxa"/>
            <w:vMerge w:val="restart"/>
            <w:shd w:val="clear" w:color="auto" w:fill="F2F2F2" w:themeFill="background1" w:themeFillShade="F2"/>
          </w:tcPr>
          <w:p w14:paraId="7A079443" w14:textId="21F0E46E" w:rsidR="00144E7F" w:rsidRPr="00144E7F" w:rsidRDefault="00BE11F5" w:rsidP="00144E7F">
            <w:pPr>
              <w:spacing w:before="80" w:after="80" w:line="240" w:lineRule="auto"/>
              <w:jc w:val="left"/>
              <w:rPr>
                <w:rFonts w:ascii="Arial" w:hAnsi="Arial"/>
                <w:color w:val="000000"/>
                <w:sz w:val="18"/>
              </w:rPr>
            </w:pPr>
            <w:r>
              <w:rPr>
                <w:rFonts w:ascii="Arial" w:hAnsi="Arial"/>
                <w:color w:val="000000"/>
                <w:sz w:val="18"/>
              </w:rPr>
              <w:t>CL01</w:t>
            </w:r>
          </w:p>
        </w:tc>
        <w:tc>
          <w:tcPr>
            <w:tcW w:w="3742" w:type="dxa"/>
            <w:vMerge w:val="restart"/>
            <w:shd w:val="clear" w:color="auto" w:fill="F2F2F2" w:themeFill="background1" w:themeFillShade="F2"/>
          </w:tcPr>
          <w:p w14:paraId="0FCFD24B" w14:textId="6E01F23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Australian credit licence application</w:t>
            </w:r>
            <w:r w:rsidRPr="00144E7F">
              <w:rPr>
                <w:rFonts w:ascii="Arial" w:hAnsi="Arial"/>
                <w:color w:val="000000"/>
                <w:sz w:val="18"/>
              </w:rPr>
              <w:br/>
              <w:t xml:space="preserve">(includes </w:t>
            </w:r>
            <w:r w:rsidR="007E535E" w:rsidRPr="00144E7F">
              <w:rPr>
                <w:rFonts w:ascii="Arial" w:hAnsi="Arial"/>
                <w:color w:val="000000"/>
                <w:sz w:val="18"/>
              </w:rPr>
              <w:t>sub forms</w:t>
            </w:r>
            <w:r w:rsidRPr="00144E7F">
              <w:rPr>
                <w:rFonts w:ascii="Arial" w:hAnsi="Arial"/>
                <w:color w:val="000000"/>
                <w:sz w:val="18"/>
              </w:rPr>
              <w:t xml:space="preserve"> CL1AA</w:t>
            </w:r>
            <w:r w:rsidR="007E535E">
              <w:rPr>
                <w:rFonts w:ascii="Arial" w:hAnsi="Arial"/>
                <w:color w:val="000000"/>
                <w:sz w:val="18"/>
              </w:rPr>
              <w:t>,</w:t>
            </w:r>
            <w:r w:rsidRPr="00144E7F">
              <w:rPr>
                <w:rFonts w:ascii="Arial" w:hAnsi="Arial"/>
                <w:color w:val="000000"/>
                <w:sz w:val="18"/>
              </w:rPr>
              <w:t xml:space="preserve"> CL1AB</w:t>
            </w:r>
            <w:r w:rsidR="007E535E">
              <w:rPr>
                <w:rFonts w:ascii="Arial" w:hAnsi="Arial"/>
                <w:color w:val="000000"/>
                <w:sz w:val="18"/>
              </w:rPr>
              <w:t>,</w:t>
            </w:r>
            <w:r w:rsidRPr="00144E7F">
              <w:rPr>
                <w:rFonts w:ascii="Arial" w:hAnsi="Arial"/>
                <w:color w:val="000000"/>
                <w:sz w:val="18"/>
              </w:rPr>
              <w:t xml:space="preserve"> CL1AC</w:t>
            </w:r>
            <w:r w:rsidR="007E535E">
              <w:rPr>
                <w:rFonts w:ascii="Arial" w:hAnsi="Arial"/>
                <w:color w:val="000000"/>
                <w:sz w:val="18"/>
              </w:rPr>
              <w:t>,</w:t>
            </w:r>
            <w:r w:rsidRPr="00144E7F">
              <w:rPr>
                <w:rFonts w:ascii="Arial" w:hAnsi="Arial"/>
                <w:color w:val="000000"/>
                <w:sz w:val="18"/>
              </w:rPr>
              <w:t xml:space="preserve"> CL1AD</w:t>
            </w:r>
            <w:r w:rsidR="007E535E">
              <w:rPr>
                <w:rFonts w:ascii="Arial" w:hAnsi="Arial"/>
                <w:color w:val="000000"/>
                <w:sz w:val="18"/>
              </w:rPr>
              <w:t>,</w:t>
            </w:r>
            <w:r w:rsidRPr="00144E7F">
              <w:rPr>
                <w:rFonts w:ascii="Arial" w:hAnsi="Arial"/>
                <w:color w:val="000000"/>
                <w:sz w:val="18"/>
              </w:rPr>
              <w:t xml:space="preserve"> CL1AE</w:t>
            </w:r>
            <w:r w:rsidR="007E535E">
              <w:rPr>
                <w:rFonts w:ascii="Arial" w:hAnsi="Arial"/>
                <w:color w:val="000000"/>
                <w:sz w:val="18"/>
              </w:rPr>
              <w:t>,</w:t>
            </w:r>
            <w:r w:rsidRPr="00144E7F">
              <w:rPr>
                <w:rFonts w:ascii="Arial" w:hAnsi="Arial"/>
                <w:color w:val="000000"/>
                <w:sz w:val="18"/>
              </w:rPr>
              <w:t xml:space="preserve"> CL1AF</w:t>
            </w:r>
            <w:r w:rsidR="007E535E">
              <w:rPr>
                <w:rFonts w:ascii="Arial" w:hAnsi="Arial"/>
                <w:color w:val="000000"/>
                <w:sz w:val="18"/>
              </w:rPr>
              <w:t>,</w:t>
            </w:r>
            <w:r w:rsidRPr="00144E7F">
              <w:rPr>
                <w:rFonts w:ascii="Arial" w:hAnsi="Arial"/>
                <w:color w:val="000000"/>
                <w:sz w:val="18"/>
              </w:rPr>
              <w:t xml:space="preserve"> CL1AG</w:t>
            </w:r>
            <w:r w:rsidR="007E535E">
              <w:rPr>
                <w:rFonts w:ascii="Arial" w:hAnsi="Arial"/>
                <w:color w:val="000000"/>
                <w:sz w:val="18"/>
              </w:rPr>
              <w:t>,</w:t>
            </w:r>
            <w:r w:rsidRPr="00144E7F">
              <w:rPr>
                <w:rFonts w:ascii="Arial" w:hAnsi="Arial"/>
                <w:color w:val="000000"/>
                <w:sz w:val="18"/>
              </w:rPr>
              <w:t xml:space="preserve"> CL1AH</w:t>
            </w:r>
            <w:r w:rsidR="007E535E">
              <w:rPr>
                <w:rFonts w:ascii="Arial" w:hAnsi="Arial"/>
                <w:color w:val="000000"/>
                <w:sz w:val="18"/>
              </w:rPr>
              <w:t>,</w:t>
            </w:r>
            <w:r w:rsidRPr="00144E7F">
              <w:rPr>
                <w:rFonts w:ascii="Arial" w:hAnsi="Arial"/>
                <w:color w:val="000000"/>
                <w:sz w:val="18"/>
              </w:rPr>
              <w:t xml:space="preserve"> CL1AI</w:t>
            </w:r>
            <w:r w:rsidR="007E535E">
              <w:rPr>
                <w:rFonts w:ascii="Arial" w:hAnsi="Arial"/>
                <w:color w:val="000000"/>
                <w:sz w:val="18"/>
              </w:rPr>
              <w:t>,</w:t>
            </w:r>
            <w:r w:rsidRPr="00144E7F">
              <w:rPr>
                <w:rFonts w:ascii="Arial" w:hAnsi="Arial"/>
                <w:color w:val="000000"/>
                <w:sz w:val="18"/>
              </w:rPr>
              <w:t xml:space="preserve"> CL1BA</w:t>
            </w:r>
            <w:r w:rsidR="007E535E">
              <w:rPr>
                <w:rFonts w:ascii="Arial" w:hAnsi="Arial"/>
                <w:color w:val="000000"/>
                <w:sz w:val="18"/>
              </w:rPr>
              <w:t>,</w:t>
            </w:r>
            <w:r w:rsidRPr="00144E7F">
              <w:rPr>
                <w:rFonts w:ascii="Arial" w:hAnsi="Arial"/>
                <w:color w:val="000000"/>
                <w:sz w:val="18"/>
              </w:rPr>
              <w:t xml:space="preserve"> CL1BB</w:t>
            </w:r>
            <w:r w:rsidR="007E535E">
              <w:rPr>
                <w:rFonts w:ascii="Arial" w:hAnsi="Arial"/>
                <w:color w:val="000000"/>
                <w:sz w:val="18"/>
              </w:rPr>
              <w:t>,</w:t>
            </w:r>
            <w:r w:rsidRPr="00144E7F">
              <w:rPr>
                <w:rFonts w:ascii="Arial" w:hAnsi="Arial"/>
                <w:color w:val="000000"/>
                <w:sz w:val="18"/>
              </w:rPr>
              <w:t xml:space="preserve"> CL1BC</w:t>
            </w:r>
            <w:r w:rsidR="007E535E">
              <w:rPr>
                <w:rFonts w:ascii="Arial" w:hAnsi="Arial"/>
                <w:color w:val="000000"/>
                <w:sz w:val="18"/>
              </w:rPr>
              <w:t>,</w:t>
            </w:r>
            <w:r w:rsidRPr="00144E7F">
              <w:rPr>
                <w:rFonts w:ascii="Arial" w:hAnsi="Arial"/>
                <w:color w:val="000000"/>
                <w:sz w:val="18"/>
              </w:rPr>
              <w:t xml:space="preserve"> CL1BD</w:t>
            </w:r>
            <w:r w:rsidR="007E535E">
              <w:rPr>
                <w:rFonts w:ascii="Arial" w:hAnsi="Arial"/>
                <w:color w:val="000000"/>
                <w:sz w:val="18"/>
              </w:rPr>
              <w:t>,</w:t>
            </w:r>
            <w:r w:rsidRPr="00144E7F">
              <w:rPr>
                <w:rFonts w:ascii="Arial" w:hAnsi="Arial"/>
                <w:color w:val="000000"/>
                <w:sz w:val="18"/>
              </w:rPr>
              <w:t xml:space="preserve"> CL1BE</w:t>
            </w:r>
            <w:r w:rsidR="007E535E">
              <w:rPr>
                <w:rFonts w:ascii="Arial" w:hAnsi="Arial"/>
                <w:color w:val="000000"/>
                <w:sz w:val="18"/>
              </w:rPr>
              <w:t>,</w:t>
            </w:r>
            <w:r w:rsidRPr="00144E7F">
              <w:rPr>
                <w:rFonts w:ascii="Arial" w:hAnsi="Arial"/>
                <w:color w:val="000000"/>
                <w:sz w:val="18"/>
              </w:rPr>
              <w:t xml:space="preserve"> CL1BF</w:t>
            </w:r>
            <w:r w:rsidR="007E535E">
              <w:rPr>
                <w:rFonts w:ascii="Arial" w:hAnsi="Arial"/>
                <w:color w:val="000000"/>
                <w:sz w:val="18"/>
              </w:rPr>
              <w:t>,</w:t>
            </w:r>
            <w:r w:rsidRPr="00144E7F">
              <w:rPr>
                <w:rFonts w:ascii="Arial" w:hAnsi="Arial"/>
                <w:color w:val="000000"/>
                <w:sz w:val="18"/>
              </w:rPr>
              <w:t xml:space="preserve"> CL1BG</w:t>
            </w:r>
            <w:r w:rsidR="007E535E">
              <w:rPr>
                <w:rFonts w:ascii="Arial" w:hAnsi="Arial"/>
                <w:color w:val="000000"/>
                <w:sz w:val="18"/>
              </w:rPr>
              <w:t>,</w:t>
            </w:r>
            <w:r w:rsidRPr="00144E7F">
              <w:rPr>
                <w:rFonts w:ascii="Arial" w:hAnsi="Arial"/>
                <w:color w:val="000000"/>
                <w:sz w:val="18"/>
              </w:rPr>
              <w:t xml:space="preserve"> CL1BH</w:t>
            </w:r>
            <w:r w:rsidR="007E535E">
              <w:rPr>
                <w:rFonts w:ascii="Arial" w:hAnsi="Arial"/>
                <w:color w:val="000000"/>
                <w:sz w:val="18"/>
              </w:rPr>
              <w:t>,</w:t>
            </w:r>
            <w:r w:rsidRPr="00144E7F">
              <w:rPr>
                <w:rFonts w:ascii="Arial" w:hAnsi="Arial"/>
                <w:color w:val="000000"/>
                <w:sz w:val="18"/>
              </w:rPr>
              <w:t xml:space="preserve"> CL1BI</w:t>
            </w:r>
            <w:r w:rsidR="007E535E">
              <w:rPr>
                <w:rFonts w:ascii="Arial" w:hAnsi="Arial"/>
                <w:color w:val="000000"/>
                <w:sz w:val="18"/>
              </w:rPr>
              <w:t>,</w:t>
            </w:r>
            <w:r w:rsidRPr="00144E7F">
              <w:rPr>
                <w:rFonts w:ascii="Arial" w:hAnsi="Arial"/>
                <w:color w:val="000000"/>
                <w:sz w:val="18"/>
              </w:rPr>
              <w:t xml:space="preserve"> CL1CA</w:t>
            </w:r>
            <w:r w:rsidR="007E535E">
              <w:rPr>
                <w:rFonts w:ascii="Arial" w:hAnsi="Arial"/>
                <w:color w:val="000000"/>
                <w:sz w:val="18"/>
              </w:rPr>
              <w:t>,</w:t>
            </w:r>
            <w:r w:rsidRPr="00144E7F">
              <w:rPr>
                <w:rFonts w:ascii="Arial" w:hAnsi="Arial"/>
                <w:color w:val="000000"/>
                <w:sz w:val="18"/>
              </w:rPr>
              <w:t xml:space="preserve"> CL1CB</w:t>
            </w:r>
            <w:r w:rsidR="007E535E">
              <w:rPr>
                <w:rFonts w:ascii="Arial" w:hAnsi="Arial"/>
                <w:color w:val="000000"/>
                <w:sz w:val="18"/>
              </w:rPr>
              <w:t>,</w:t>
            </w:r>
            <w:r w:rsidRPr="00144E7F">
              <w:rPr>
                <w:rFonts w:ascii="Arial" w:hAnsi="Arial"/>
                <w:color w:val="000000"/>
                <w:sz w:val="18"/>
              </w:rPr>
              <w:t xml:space="preserve"> CL1CC</w:t>
            </w:r>
            <w:r w:rsidR="007E535E">
              <w:rPr>
                <w:rFonts w:ascii="Arial" w:hAnsi="Arial"/>
                <w:color w:val="000000"/>
                <w:sz w:val="18"/>
              </w:rPr>
              <w:t>,</w:t>
            </w:r>
            <w:r w:rsidRPr="00144E7F">
              <w:rPr>
                <w:rFonts w:ascii="Arial" w:hAnsi="Arial"/>
                <w:color w:val="000000"/>
                <w:sz w:val="18"/>
              </w:rPr>
              <w:t xml:space="preserve"> CL1CD</w:t>
            </w:r>
            <w:r w:rsidR="007E535E">
              <w:rPr>
                <w:rFonts w:ascii="Arial" w:hAnsi="Arial"/>
                <w:color w:val="000000"/>
                <w:sz w:val="18"/>
              </w:rPr>
              <w:t>,</w:t>
            </w:r>
            <w:r w:rsidRPr="00144E7F">
              <w:rPr>
                <w:rFonts w:ascii="Arial" w:hAnsi="Arial"/>
                <w:color w:val="000000"/>
                <w:sz w:val="18"/>
              </w:rPr>
              <w:t xml:space="preserve"> CL1CE</w:t>
            </w:r>
            <w:r w:rsidR="007E535E">
              <w:rPr>
                <w:rFonts w:ascii="Arial" w:hAnsi="Arial"/>
                <w:color w:val="000000"/>
                <w:sz w:val="18"/>
              </w:rPr>
              <w:t>,</w:t>
            </w:r>
            <w:r w:rsidRPr="00144E7F">
              <w:rPr>
                <w:rFonts w:ascii="Arial" w:hAnsi="Arial"/>
                <w:color w:val="000000"/>
                <w:sz w:val="18"/>
              </w:rPr>
              <w:t xml:space="preserve"> CL1CF</w:t>
            </w:r>
            <w:r w:rsidR="007E535E">
              <w:rPr>
                <w:rFonts w:ascii="Arial" w:hAnsi="Arial"/>
                <w:color w:val="000000"/>
                <w:sz w:val="18"/>
              </w:rPr>
              <w:t>,</w:t>
            </w:r>
            <w:r w:rsidRPr="00144E7F">
              <w:rPr>
                <w:rFonts w:ascii="Arial" w:hAnsi="Arial"/>
                <w:color w:val="000000"/>
                <w:sz w:val="18"/>
              </w:rPr>
              <w:t xml:space="preserve"> CL1CG</w:t>
            </w:r>
            <w:r w:rsidR="007E535E">
              <w:rPr>
                <w:rFonts w:ascii="Arial" w:hAnsi="Arial"/>
                <w:color w:val="000000"/>
                <w:sz w:val="18"/>
              </w:rPr>
              <w:t>,</w:t>
            </w:r>
            <w:r w:rsidRPr="00144E7F">
              <w:rPr>
                <w:rFonts w:ascii="Arial" w:hAnsi="Arial"/>
                <w:color w:val="000000"/>
                <w:sz w:val="18"/>
              </w:rPr>
              <w:t xml:space="preserve"> CL1CH</w:t>
            </w:r>
            <w:r w:rsidR="007E535E">
              <w:rPr>
                <w:rFonts w:ascii="Arial" w:hAnsi="Arial"/>
                <w:color w:val="000000"/>
                <w:sz w:val="18"/>
              </w:rPr>
              <w:t>,</w:t>
            </w:r>
            <w:r w:rsidRPr="00144E7F">
              <w:rPr>
                <w:rFonts w:ascii="Arial" w:hAnsi="Arial"/>
                <w:color w:val="000000"/>
                <w:sz w:val="18"/>
              </w:rPr>
              <w:t xml:space="preserve"> CL1CI</w:t>
            </w:r>
            <w:r w:rsidR="007E535E">
              <w:rPr>
                <w:rFonts w:ascii="Arial" w:hAnsi="Arial"/>
                <w:color w:val="000000"/>
                <w:sz w:val="18"/>
              </w:rPr>
              <w:t>,</w:t>
            </w:r>
            <w:r w:rsidRPr="00144E7F">
              <w:rPr>
                <w:rFonts w:ascii="Arial" w:hAnsi="Arial"/>
                <w:color w:val="000000"/>
                <w:sz w:val="18"/>
              </w:rPr>
              <w:t xml:space="preserve"> CL1DA</w:t>
            </w:r>
            <w:r w:rsidR="007E535E">
              <w:rPr>
                <w:rFonts w:ascii="Arial" w:hAnsi="Arial"/>
                <w:color w:val="000000"/>
                <w:sz w:val="18"/>
              </w:rPr>
              <w:t>,</w:t>
            </w:r>
            <w:r w:rsidRPr="00144E7F">
              <w:rPr>
                <w:rFonts w:ascii="Arial" w:hAnsi="Arial"/>
                <w:color w:val="000000"/>
                <w:sz w:val="18"/>
              </w:rPr>
              <w:t xml:space="preserve"> CL1DB</w:t>
            </w:r>
            <w:r w:rsidR="007E535E">
              <w:rPr>
                <w:rFonts w:ascii="Arial" w:hAnsi="Arial"/>
                <w:color w:val="000000"/>
                <w:sz w:val="18"/>
              </w:rPr>
              <w:t>,</w:t>
            </w:r>
            <w:r w:rsidRPr="00144E7F">
              <w:rPr>
                <w:rFonts w:ascii="Arial" w:hAnsi="Arial"/>
                <w:color w:val="000000"/>
                <w:sz w:val="18"/>
              </w:rPr>
              <w:t xml:space="preserve"> CL1DC</w:t>
            </w:r>
            <w:r w:rsidR="007E535E">
              <w:rPr>
                <w:rFonts w:ascii="Arial" w:hAnsi="Arial"/>
                <w:color w:val="000000"/>
                <w:sz w:val="18"/>
              </w:rPr>
              <w:t>,</w:t>
            </w:r>
            <w:r w:rsidRPr="00144E7F">
              <w:rPr>
                <w:rFonts w:ascii="Arial" w:hAnsi="Arial"/>
                <w:color w:val="000000"/>
                <w:sz w:val="18"/>
              </w:rPr>
              <w:t xml:space="preserve"> CL1DD</w:t>
            </w:r>
            <w:r w:rsidR="007E535E">
              <w:rPr>
                <w:rFonts w:ascii="Arial" w:hAnsi="Arial"/>
                <w:color w:val="000000"/>
                <w:sz w:val="18"/>
              </w:rPr>
              <w:t>,</w:t>
            </w:r>
            <w:r w:rsidRPr="00144E7F">
              <w:rPr>
                <w:rFonts w:ascii="Arial" w:hAnsi="Arial"/>
                <w:color w:val="000000"/>
                <w:sz w:val="18"/>
              </w:rPr>
              <w:t xml:space="preserve"> CL1DE</w:t>
            </w:r>
            <w:r w:rsidR="007E535E">
              <w:rPr>
                <w:rFonts w:ascii="Arial" w:hAnsi="Arial"/>
                <w:color w:val="000000"/>
                <w:sz w:val="18"/>
              </w:rPr>
              <w:t>,</w:t>
            </w:r>
            <w:r w:rsidRPr="00144E7F">
              <w:rPr>
                <w:rFonts w:ascii="Arial" w:hAnsi="Arial"/>
                <w:color w:val="000000"/>
                <w:sz w:val="18"/>
              </w:rPr>
              <w:t xml:space="preserve"> CL1DF</w:t>
            </w:r>
            <w:r w:rsidR="007E535E">
              <w:rPr>
                <w:rFonts w:ascii="Arial" w:hAnsi="Arial"/>
                <w:color w:val="000000"/>
                <w:sz w:val="18"/>
              </w:rPr>
              <w:t>,</w:t>
            </w:r>
            <w:r w:rsidRPr="00144E7F">
              <w:rPr>
                <w:rFonts w:ascii="Arial" w:hAnsi="Arial"/>
                <w:color w:val="000000"/>
                <w:sz w:val="18"/>
              </w:rPr>
              <w:t xml:space="preserve"> CL1DG</w:t>
            </w:r>
            <w:r w:rsidR="007E535E">
              <w:rPr>
                <w:rFonts w:ascii="Arial" w:hAnsi="Arial"/>
                <w:color w:val="000000"/>
                <w:sz w:val="18"/>
              </w:rPr>
              <w:t>,</w:t>
            </w:r>
            <w:r w:rsidRPr="00144E7F">
              <w:rPr>
                <w:rFonts w:ascii="Arial" w:hAnsi="Arial"/>
                <w:color w:val="000000"/>
                <w:sz w:val="18"/>
              </w:rPr>
              <w:t xml:space="preserve"> CL1DH</w:t>
            </w:r>
            <w:r w:rsidR="007E535E">
              <w:rPr>
                <w:rFonts w:ascii="Arial" w:hAnsi="Arial"/>
                <w:color w:val="000000"/>
                <w:sz w:val="18"/>
              </w:rPr>
              <w:t>,</w:t>
            </w:r>
            <w:r w:rsidRPr="00144E7F">
              <w:rPr>
                <w:rFonts w:ascii="Arial" w:hAnsi="Arial"/>
                <w:color w:val="000000"/>
                <w:sz w:val="18"/>
              </w:rPr>
              <w:t xml:space="preserve"> CL1DI</w:t>
            </w:r>
            <w:r w:rsidR="007E535E">
              <w:rPr>
                <w:rFonts w:ascii="Arial" w:hAnsi="Arial"/>
                <w:color w:val="000000"/>
                <w:sz w:val="18"/>
              </w:rPr>
              <w:t>,</w:t>
            </w:r>
            <w:r w:rsidRPr="00144E7F">
              <w:rPr>
                <w:rFonts w:ascii="Arial" w:hAnsi="Arial"/>
                <w:color w:val="000000"/>
                <w:sz w:val="18"/>
              </w:rPr>
              <w:t xml:space="preserve"> CL1Z)</w:t>
            </w:r>
          </w:p>
        </w:tc>
        <w:tc>
          <w:tcPr>
            <w:tcW w:w="1877" w:type="dxa"/>
            <w:vMerge w:val="restart"/>
            <w:shd w:val="clear" w:color="auto" w:fill="F2F2F2" w:themeFill="background1" w:themeFillShade="F2"/>
          </w:tcPr>
          <w:p w14:paraId="32C335C7" w14:textId="296948BE" w:rsidR="00144E7F" w:rsidRPr="00144E7F" w:rsidRDefault="00144E7F" w:rsidP="00737E5E">
            <w:pPr>
              <w:pStyle w:val="TableTextRight"/>
            </w:pPr>
            <w:r w:rsidRPr="00144E7F">
              <w:t xml:space="preserve">CL1AA </w:t>
            </w:r>
            <w:r w:rsidR="00737E5E">
              <w:t>–</w:t>
            </w:r>
            <w:r w:rsidRPr="00144E7F">
              <w:t xml:space="preserve"> 523</w:t>
            </w:r>
            <w:r w:rsidRPr="00144E7F">
              <w:br/>
              <w:t>CL1AB – 1,160</w:t>
            </w:r>
            <w:r w:rsidRPr="00144E7F">
              <w:br/>
              <w:t xml:space="preserve">CL1AC </w:t>
            </w:r>
            <w:r w:rsidR="00737E5E">
              <w:t>–</w:t>
            </w:r>
            <w:r w:rsidRPr="00144E7F">
              <w:t xml:space="preserve"> 1,160</w:t>
            </w:r>
            <w:r w:rsidRPr="00144E7F">
              <w:br/>
              <w:t>CL1AD – 4,644</w:t>
            </w:r>
            <w:r w:rsidRPr="00144E7F">
              <w:br/>
              <w:t>CL1CC – 1,044</w:t>
            </w:r>
            <w:r w:rsidRPr="00144E7F">
              <w:br/>
            </w:r>
          </w:p>
        </w:tc>
        <w:tc>
          <w:tcPr>
            <w:tcW w:w="1351" w:type="dxa"/>
            <w:shd w:val="clear" w:color="auto" w:fill="F2F2F2" w:themeFill="background1" w:themeFillShade="F2"/>
          </w:tcPr>
          <w:p w14:paraId="05F2E56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Individual other than credit provider</w:t>
            </w:r>
          </w:p>
        </w:tc>
        <w:tc>
          <w:tcPr>
            <w:tcW w:w="805" w:type="dxa"/>
            <w:shd w:val="clear" w:color="auto" w:fill="F2F2F2" w:themeFill="background1" w:themeFillShade="F2"/>
          </w:tcPr>
          <w:p w14:paraId="5257F05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1,798</w:t>
            </w:r>
          </w:p>
        </w:tc>
      </w:tr>
      <w:tr w:rsidR="00144E7F" w:rsidRPr="00144E7F" w14:paraId="53A16B64" w14:textId="77777777" w:rsidTr="00737E5E">
        <w:trPr>
          <w:cantSplit/>
          <w:trHeight w:val="567"/>
        </w:trPr>
        <w:tc>
          <w:tcPr>
            <w:tcW w:w="1502" w:type="dxa"/>
            <w:vMerge/>
          </w:tcPr>
          <w:p w14:paraId="74802860"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7399EE72"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735D8A1D"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668880B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Individual credit provider</w:t>
            </w:r>
          </w:p>
        </w:tc>
        <w:tc>
          <w:tcPr>
            <w:tcW w:w="805" w:type="dxa"/>
            <w:shd w:val="clear" w:color="auto" w:fill="F2F2F2" w:themeFill="background1" w:themeFillShade="F2"/>
          </w:tcPr>
          <w:p w14:paraId="1DBF6C1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3,468</w:t>
            </w:r>
          </w:p>
        </w:tc>
      </w:tr>
      <w:tr w:rsidR="00144E7F" w:rsidRPr="00144E7F" w14:paraId="083BEA0A" w14:textId="77777777" w:rsidTr="00737E5E">
        <w:trPr>
          <w:cantSplit/>
          <w:trHeight w:val="988"/>
        </w:trPr>
        <w:tc>
          <w:tcPr>
            <w:tcW w:w="1502" w:type="dxa"/>
            <w:vMerge/>
          </w:tcPr>
          <w:p w14:paraId="72A1C367"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42D22BB9"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13E421DD"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31F3E3F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Other body corporate other than credit provider</w:t>
            </w:r>
          </w:p>
        </w:tc>
        <w:tc>
          <w:tcPr>
            <w:tcW w:w="805" w:type="dxa"/>
            <w:shd w:val="clear" w:color="auto" w:fill="F2F2F2" w:themeFill="background1" w:themeFillShade="F2"/>
          </w:tcPr>
          <w:p w14:paraId="747D5BE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2,055</w:t>
            </w:r>
          </w:p>
        </w:tc>
      </w:tr>
      <w:tr w:rsidR="00144E7F" w:rsidRPr="00144E7F" w14:paraId="7C515DD8" w14:textId="77777777" w:rsidTr="00737E5E">
        <w:trPr>
          <w:cantSplit/>
          <w:trHeight w:val="688"/>
        </w:trPr>
        <w:tc>
          <w:tcPr>
            <w:tcW w:w="1502" w:type="dxa"/>
            <w:vMerge/>
            <w:tcBorders>
              <w:bottom w:val="single" w:sz="4" w:space="0" w:color="004A7F"/>
            </w:tcBorders>
          </w:tcPr>
          <w:p w14:paraId="7D8E46CA"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Borders>
              <w:bottom w:val="single" w:sz="4" w:space="0" w:color="004A7F"/>
            </w:tcBorders>
          </w:tcPr>
          <w:p w14:paraId="563EA652"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Borders>
              <w:bottom w:val="single" w:sz="4" w:space="0" w:color="004A7F"/>
            </w:tcBorders>
          </w:tcPr>
          <w:p w14:paraId="3C7F8A0E" w14:textId="77777777" w:rsidR="00144E7F" w:rsidRPr="00144E7F" w:rsidRDefault="00144E7F" w:rsidP="00144E7F">
            <w:pPr>
              <w:spacing w:before="80" w:after="80" w:line="240" w:lineRule="auto"/>
              <w:jc w:val="right"/>
              <w:rPr>
                <w:rFonts w:ascii="Arial" w:hAnsi="Arial"/>
                <w:color w:val="000000"/>
                <w:sz w:val="18"/>
              </w:rPr>
            </w:pPr>
          </w:p>
        </w:tc>
        <w:tc>
          <w:tcPr>
            <w:tcW w:w="1351" w:type="dxa"/>
            <w:tcBorders>
              <w:bottom w:val="single" w:sz="4" w:space="0" w:color="004A7F"/>
            </w:tcBorders>
            <w:shd w:val="clear" w:color="auto" w:fill="F2F2F2" w:themeFill="background1" w:themeFillShade="F2"/>
          </w:tcPr>
          <w:p w14:paraId="03E0150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Other body corporate credit provider</w:t>
            </w:r>
          </w:p>
        </w:tc>
        <w:tc>
          <w:tcPr>
            <w:tcW w:w="805" w:type="dxa"/>
            <w:tcBorders>
              <w:bottom w:val="single" w:sz="4" w:space="0" w:color="004A7F"/>
            </w:tcBorders>
            <w:shd w:val="clear" w:color="auto" w:fill="F2F2F2" w:themeFill="background1" w:themeFillShade="F2"/>
          </w:tcPr>
          <w:p w14:paraId="469279A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4,624</w:t>
            </w:r>
          </w:p>
        </w:tc>
      </w:tr>
    </w:tbl>
    <w:p w14:paraId="73A6B1D8" w14:textId="77777777" w:rsidR="00D840F3" w:rsidRDefault="00D840F3" w:rsidP="00737E5E">
      <w:pPr>
        <w:pStyle w:val="Zero"/>
      </w:pPr>
      <w:r>
        <w:br w:type="page"/>
      </w:r>
    </w:p>
    <w:tbl>
      <w:tblPr>
        <w:tblW w:w="9277" w:type="dxa"/>
        <w:tblLayout w:type="fixed"/>
        <w:tblLook w:val="04A0" w:firstRow="1" w:lastRow="0" w:firstColumn="1" w:lastColumn="0" w:noHBand="0" w:noVBand="1"/>
      </w:tblPr>
      <w:tblGrid>
        <w:gridCol w:w="1502"/>
        <w:gridCol w:w="3742"/>
        <w:gridCol w:w="1877"/>
        <w:gridCol w:w="1351"/>
        <w:gridCol w:w="805"/>
      </w:tblGrid>
      <w:tr w:rsidR="00D840F3" w:rsidRPr="00144E7F" w14:paraId="598BDF1A" w14:textId="77777777" w:rsidTr="00CA5987">
        <w:trPr>
          <w:cantSplit/>
        </w:trPr>
        <w:tc>
          <w:tcPr>
            <w:tcW w:w="1502" w:type="dxa"/>
            <w:tcBorders>
              <w:top w:val="single" w:sz="4" w:space="0" w:color="004A7F"/>
              <w:bottom w:val="single" w:sz="4" w:space="0" w:color="004A7F"/>
            </w:tcBorders>
            <w:shd w:val="clear" w:color="auto" w:fill="DEEAF6" w:themeFill="accent1" w:themeFillTint="33"/>
          </w:tcPr>
          <w:p w14:paraId="7CC501BD" w14:textId="6ABD1A4B" w:rsidR="00D840F3" w:rsidRPr="00144E7F" w:rsidRDefault="00D840F3" w:rsidP="007E535E">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2CE0BA47" w14:textId="77777777" w:rsidR="00D840F3" w:rsidRPr="00144E7F" w:rsidRDefault="00D840F3" w:rsidP="007E535E">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445710FB"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gridSpan w:val="2"/>
            <w:tcBorders>
              <w:top w:val="single" w:sz="4" w:space="0" w:color="004A7F"/>
              <w:bottom w:val="single" w:sz="4" w:space="0" w:color="004A7F"/>
            </w:tcBorders>
            <w:shd w:val="clear" w:color="auto" w:fill="DEEAF6" w:themeFill="accent1" w:themeFillTint="33"/>
          </w:tcPr>
          <w:p w14:paraId="5B334932" w14:textId="77777777" w:rsidR="00D840F3" w:rsidRPr="00144E7F" w:rsidRDefault="00D840F3" w:rsidP="007E535E">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682653C7" w14:textId="77777777" w:rsidTr="00CA5987">
        <w:trPr>
          <w:cantSplit/>
          <w:trHeight w:val="567"/>
        </w:trPr>
        <w:tc>
          <w:tcPr>
            <w:tcW w:w="1502" w:type="dxa"/>
            <w:vMerge w:val="restart"/>
          </w:tcPr>
          <w:p w14:paraId="457196A1" w14:textId="16359DBC"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CL</w:t>
            </w:r>
            <w:r w:rsidR="00BE11F5">
              <w:rPr>
                <w:rFonts w:ascii="Arial" w:hAnsi="Arial"/>
                <w:color w:val="000000"/>
                <w:sz w:val="18"/>
              </w:rPr>
              <w:t>03</w:t>
            </w:r>
          </w:p>
        </w:tc>
        <w:tc>
          <w:tcPr>
            <w:tcW w:w="3742" w:type="dxa"/>
            <w:vMerge w:val="restart"/>
          </w:tcPr>
          <w:p w14:paraId="31AC8331" w14:textId="7E0A57C3" w:rsidR="00144E7F" w:rsidRPr="00144E7F" w:rsidRDefault="00144E7F" w:rsidP="00D6307B">
            <w:pPr>
              <w:spacing w:before="80" w:after="80" w:line="240" w:lineRule="auto"/>
              <w:jc w:val="left"/>
              <w:rPr>
                <w:rFonts w:ascii="Arial" w:hAnsi="Arial"/>
                <w:color w:val="000000"/>
                <w:sz w:val="18"/>
              </w:rPr>
            </w:pPr>
            <w:r w:rsidRPr="00144E7F">
              <w:rPr>
                <w:rFonts w:ascii="Arial" w:hAnsi="Arial"/>
                <w:color w:val="000000"/>
                <w:sz w:val="18"/>
              </w:rPr>
              <w:t>Vary authorisations or conditions of an Australian credit licence</w:t>
            </w:r>
            <w:r w:rsidRPr="00144E7F">
              <w:rPr>
                <w:rFonts w:ascii="Arial" w:hAnsi="Arial"/>
                <w:color w:val="000000"/>
                <w:sz w:val="18"/>
              </w:rPr>
              <w:br/>
              <w:t>(includes sub forms CL03A, CL03B, CL03C &amp; CL03Z)</w:t>
            </w:r>
          </w:p>
        </w:tc>
        <w:tc>
          <w:tcPr>
            <w:tcW w:w="1877" w:type="dxa"/>
            <w:vMerge w:val="restart"/>
          </w:tcPr>
          <w:p w14:paraId="4231CD6F" w14:textId="3090A350" w:rsidR="00144E7F" w:rsidRPr="00144E7F" w:rsidRDefault="00144E7F" w:rsidP="00737E5E">
            <w:pPr>
              <w:pStyle w:val="TableTextRight"/>
            </w:pPr>
            <w:r w:rsidRPr="00144E7F">
              <w:t xml:space="preserve">CL03A – 115 (online) </w:t>
            </w:r>
            <w:r w:rsidRPr="00144E7F">
              <w:br/>
              <w:t>CL03B – 140</w:t>
            </w:r>
            <w:r w:rsidR="00737E5E">
              <w:t xml:space="preserve"> </w:t>
            </w:r>
            <w:r w:rsidRPr="00144E7F">
              <w:t>(paper)</w:t>
            </w:r>
          </w:p>
        </w:tc>
        <w:tc>
          <w:tcPr>
            <w:tcW w:w="1351" w:type="dxa"/>
          </w:tcPr>
          <w:p w14:paraId="0BA304F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Individual other than credit provider</w:t>
            </w:r>
          </w:p>
        </w:tc>
        <w:tc>
          <w:tcPr>
            <w:tcW w:w="805" w:type="dxa"/>
          </w:tcPr>
          <w:p w14:paraId="0802A2A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1,156</w:t>
            </w:r>
          </w:p>
        </w:tc>
      </w:tr>
      <w:tr w:rsidR="00144E7F" w:rsidRPr="00144E7F" w14:paraId="248DCB42" w14:textId="77777777" w:rsidTr="00CA5987">
        <w:trPr>
          <w:cantSplit/>
          <w:trHeight w:val="781"/>
        </w:trPr>
        <w:tc>
          <w:tcPr>
            <w:tcW w:w="1502" w:type="dxa"/>
            <w:vMerge/>
          </w:tcPr>
          <w:p w14:paraId="2168F035"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51D3DED8"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4818EA25"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7EDB79E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Individual credit provider</w:t>
            </w:r>
          </w:p>
        </w:tc>
        <w:tc>
          <w:tcPr>
            <w:tcW w:w="805" w:type="dxa"/>
          </w:tcPr>
          <w:p w14:paraId="44E1C6A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2,183</w:t>
            </w:r>
          </w:p>
        </w:tc>
      </w:tr>
      <w:tr w:rsidR="00144E7F" w:rsidRPr="00144E7F" w14:paraId="25F00CB9" w14:textId="77777777" w:rsidTr="00CA5987">
        <w:trPr>
          <w:cantSplit/>
          <w:trHeight w:val="781"/>
        </w:trPr>
        <w:tc>
          <w:tcPr>
            <w:tcW w:w="1502" w:type="dxa"/>
            <w:vMerge/>
          </w:tcPr>
          <w:p w14:paraId="6EBB625D"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25B97D40"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5806D6A4"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19653BF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Other body corporate other than credit provider</w:t>
            </w:r>
          </w:p>
        </w:tc>
        <w:tc>
          <w:tcPr>
            <w:tcW w:w="805" w:type="dxa"/>
          </w:tcPr>
          <w:p w14:paraId="5BBABCF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1,284</w:t>
            </w:r>
          </w:p>
        </w:tc>
      </w:tr>
      <w:tr w:rsidR="00144E7F" w:rsidRPr="00144E7F" w14:paraId="46F925EE" w14:textId="77777777" w:rsidTr="00CA5987">
        <w:trPr>
          <w:cantSplit/>
          <w:trHeight w:val="781"/>
        </w:trPr>
        <w:tc>
          <w:tcPr>
            <w:tcW w:w="1502" w:type="dxa"/>
            <w:vMerge/>
          </w:tcPr>
          <w:p w14:paraId="0524E981"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741EBA99"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59E97D63"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6D7C17E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Other body corporate credit provider</w:t>
            </w:r>
          </w:p>
        </w:tc>
        <w:tc>
          <w:tcPr>
            <w:tcW w:w="805" w:type="dxa"/>
          </w:tcPr>
          <w:p w14:paraId="4CADEA0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2,826</w:t>
            </w:r>
          </w:p>
        </w:tc>
      </w:tr>
      <w:tr w:rsidR="00144E7F" w:rsidRPr="00144E7F" w14:paraId="0109AD3B" w14:textId="77777777" w:rsidTr="00CA5987">
        <w:trPr>
          <w:cantSplit/>
          <w:trHeight w:val="508"/>
        </w:trPr>
        <w:tc>
          <w:tcPr>
            <w:tcW w:w="1502" w:type="dxa"/>
            <w:shd w:val="clear" w:color="auto" w:fill="F2F2F2" w:themeFill="background1" w:themeFillShade="F2"/>
          </w:tcPr>
          <w:p w14:paraId="5F30E53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CL40</w:t>
            </w:r>
          </w:p>
        </w:tc>
        <w:tc>
          <w:tcPr>
            <w:tcW w:w="3742" w:type="dxa"/>
            <w:shd w:val="clear" w:color="auto" w:fill="F2F2F2" w:themeFill="background1" w:themeFillShade="F2"/>
          </w:tcPr>
          <w:p w14:paraId="71D5587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seeking ACL under mutual recognition</w:t>
            </w:r>
          </w:p>
        </w:tc>
        <w:tc>
          <w:tcPr>
            <w:tcW w:w="1877" w:type="dxa"/>
            <w:shd w:val="clear" w:color="auto" w:fill="F2F2F2" w:themeFill="background1" w:themeFillShade="F2"/>
          </w:tcPr>
          <w:p w14:paraId="20AF10D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gridSpan w:val="2"/>
            <w:shd w:val="clear" w:color="auto" w:fill="F2F2F2" w:themeFill="background1" w:themeFillShade="F2"/>
          </w:tcPr>
          <w:p w14:paraId="7725D282" w14:textId="4CD69621"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514</w:t>
            </w:r>
          </w:p>
        </w:tc>
      </w:tr>
      <w:tr w:rsidR="00144E7F" w:rsidRPr="00144E7F" w14:paraId="1C7DCC3A" w14:textId="77777777" w:rsidTr="00CA5987">
        <w:trPr>
          <w:cantSplit/>
          <w:trHeight w:val="508"/>
        </w:trPr>
        <w:tc>
          <w:tcPr>
            <w:tcW w:w="1502" w:type="dxa"/>
          </w:tcPr>
          <w:p w14:paraId="6B47686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CL51</w:t>
            </w:r>
          </w:p>
        </w:tc>
        <w:tc>
          <w:tcPr>
            <w:tcW w:w="3742" w:type="dxa"/>
          </w:tcPr>
          <w:p w14:paraId="2D7D2B8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 to lodge annual compliance certificate</w:t>
            </w:r>
          </w:p>
        </w:tc>
        <w:tc>
          <w:tcPr>
            <w:tcW w:w="1877" w:type="dxa"/>
          </w:tcPr>
          <w:p w14:paraId="35FCE0C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gridSpan w:val="2"/>
          </w:tcPr>
          <w:p w14:paraId="4148AF67" w14:textId="686D3B91"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1,155</w:t>
            </w:r>
          </w:p>
        </w:tc>
      </w:tr>
      <w:tr w:rsidR="00144E7F" w:rsidRPr="00144E7F" w14:paraId="5A0489A3" w14:textId="77777777" w:rsidTr="00CA5987">
        <w:trPr>
          <w:cantSplit/>
          <w:trHeight w:val="508"/>
        </w:trPr>
        <w:tc>
          <w:tcPr>
            <w:tcW w:w="1502" w:type="dxa"/>
            <w:shd w:val="clear" w:color="auto" w:fill="F2F2F2" w:themeFill="background1" w:themeFillShade="F2"/>
          </w:tcPr>
          <w:p w14:paraId="10A4B218" w14:textId="39223A78"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CL73</w:t>
            </w:r>
            <w:r>
              <w:rPr>
                <w:rFonts w:ascii="Arial" w:hAnsi="Arial"/>
                <w:color w:val="000000"/>
                <w:sz w:val="18"/>
              </w:rPr>
              <w:br/>
            </w:r>
            <w:r w:rsidRPr="00144E7F">
              <w:rPr>
                <w:rFonts w:ascii="Arial" w:hAnsi="Arial"/>
                <w:color w:val="000000"/>
                <w:sz w:val="18"/>
              </w:rPr>
              <w:t>(Fee includes CL73A &amp; CL73B)</w:t>
            </w:r>
          </w:p>
        </w:tc>
        <w:tc>
          <w:tcPr>
            <w:tcW w:w="3742" w:type="dxa"/>
            <w:shd w:val="clear" w:color="auto" w:fill="F2F2F2" w:themeFill="background1" w:themeFillShade="F2"/>
          </w:tcPr>
          <w:p w14:paraId="19510D80" w14:textId="1D99680A"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extension of time</w:t>
            </w:r>
            <w:r w:rsidR="00BE11F5">
              <w:rPr>
                <w:rFonts w:ascii="Arial" w:hAnsi="Arial"/>
                <w:color w:val="000000"/>
                <w:sz w:val="18"/>
              </w:rPr>
              <w:t xml:space="preserve"> to lodge credit trust accounts</w:t>
            </w:r>
          </w:p>
        </w:tc>
        <w:tc>
          <w:tcPr>
            <w:tcW w:w="1877" w:type="dxa"/>
            <w:shd w:val="clear" w:color="auto" w:fill="F2F2F2" w:themeFill="background1" w:themeFillShade="F2"/>
          </w:tcPr>
          <w:p w14:paraId="557FA59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gridSpan w:val="2"/>
            <w:shd w:val="clear" w:color="auto" w:fill="F2F2F2" w:themeFill="background1" w:themeFillShade="F2"/>
          </w:tcPr>
          <w:p w14:paraId="1D016821" w14:textId="5F23FEBC"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1,155</w:t>
            </w:r>
          </w:p>
        </w:tc>
      </w:tr>
      <w:tr w:rsidR="00144E7F" w:rsidRPr="00144E7F" w14:paraId="56335EE2" w14:textId="77777777" w:rsidTr="00CA5987">
        <w:trPr>
          <w:cantSplit/>
          <w:trHeight w:val="508"/>
        </w:trPr>
        <w:tc>
          <w:tcPr>
            <w:tcW w:w="1502" w:type="dxa"/>
          </w:tcPr>
          <w:p w14:paraId="7B210F4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CR762</w:t>
            </w:r>
          </w:p>
        </w:tc>
        <w:tc>
          <w:tcPr>
            <w:tcW w:w="3742" w:type="dxa"/>
          </w:tcPr>
          <w:p w14:paraId="3E53E13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approval of guarantees under regulation 7.6.02aaa(3)(b)</w:t>
            </w:r>
          </w:p>
        </w:tc>
        <w:tc>
          <w:tcPr>
            <w:tcW w:w="1877" w:type="dxa"/>
          </w:tcPr>
          <w:p w14:paraId="32F3233E"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tcPr>
          <w:p w14:paraId="349BC077" w14:textId="20E41657"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1,540</w:t>
            </w:r>
          </w:p>
        </w:tc>
      </w:tr>
      <w:tr w:rsidR="00104090" w:rsidRPr="00144E7F" w14:paraId="6A7E8CE0" w14:textId="77777777" w:rsidTr="00CA5987">
        <w:trPr>
          <w:cantSplit/>
          <w:trHeight w:val="508"/>
        </w:trPr>
        <w:tc>
          <w:tcPr>
            <w:tcW w:w="1502" w:type="dxa"/>
            <w:shd w:val="clear" w:color="auto" w:fill="F2F2F2" w:themeFill="background1" w:themeFillShade="F2"/>
          </w:tcPr>
          <w:p w14:paraId="0BCBF326" w14:textId="659B80AD" w:rsidR="00104090" w:rsidRPr="00144E7F" w:rsidRDefault="00104090" w:rsidP="00144E7F">
            <w:pPr>
              <w:spacing w:before="80" w:after="80" w:line="240" w:lineRule="auto"/>
              <w:jc w:val="left"/>
              <w:rPr>
                <w:rFonts w:ascii="Arial" w:hAnsi="Arial"/>
                <w:color w:val="000000"/>
                <w:sz w:val="18"/>
              </w:rPr>
            </w:pPr>
            <w:r>
              <w:rPr>
                <w:rFonts w:ascii="Arial" w:hAnsi="Arial"/>
                <w:color w:val="000000"/>
                <w:sz w:val="18"/>
              </w:rPr>
              <w:t>New TBC</w:t>
            </w:r>
          </w:p>
        </w:tc>
        <w:tc>
          <w:tcPr>
            <w:tcW w:w="3742" w:type="dxa"/>
            <w:shd w:val="clear" w:color="auto" w:fill="F2F2F2" w:themeFill="background1" w:themeFillShade="F2"/>
          </w:tcPr>
          <w:p w14:paraId="2A3BB3A0" w14:textId="5955D55C" w:rsidR="00104090" w:rsidRPr="00144E7F" w:rsidRDefault="00104090" w:rsidP="00144E7F">
            <w:pPr>
              <w:spacing w:before="80" w:after="80" w:line="240" w:lineRule="auto"/>
              <w:jc w:val="left"/>
              <w:rPr>
                <w:rFonts w:ascii="Arial" w:hAnsi="Arial"/>
                <w:color w:val="000000"/>
                <w:sz w:val="18"/>
              </w:rPr>
            </w:pPr>
            <w:r>
              <w:rPr>
                <w:rFonts w:ascii="Arial" w:hAnsi="Arial"/>
                <w:color w:val="000000"/>
                <w:sz w:val="18"/>
                <w:lang w:eastAsia="en-US"/>
              </w:rPr>
              <w:t>Clearing and Settlement Licence – application for revocation of exemption</w:t>
            </w:r>
          </w:p>
        </w:tc>
        <w:tc>
          <w:tcPr>
            <w:tcW w:w="1877" w:type="dxa"/>
            <w:shd w:val="clear" w:color="auto" w:fill="F2F2F2" w:themeFill="background1" w:themeFillShade="F2"/>
          </w:tcPr>
          <w:p w14:paraId="4F66CB27" w14:textId="77777777" w:rsidR="00104090" w:rsidRPr="00144E7F" w:rsidRDefault="00104090"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358C82B1" w14:textId="579A0F96" w:rsidR="00104090" w:rsidRPr="00144E7F" w:rsidRDefault="00104090" w:rsidP="007E535E">
            <w:pPr>
              <w:spacing w:before="80" w:after="80" w:line="240" w:lineRule="auto"/>
              <w:jc w:val="right"/>
              <w:rPr>
                <w:rFonts w:ascii="Arial" w:hAnsi="Arial"/>
                <w:color w:val="000000"/>
                <w:sz w:val="18"/>
              </w:rPr>
            </w:pPr>
            <w:r w:rsidRPr="00144E7F">
              <w:rPr>
                <w:rFonts w:ascii="Arial" w:hAnsi="Arial"/>
                <w:color w:val="000000"/>
                <w:sz w:val="18"/>
              </w:rPr>
              <w:t>12,886</w:t>
            </w:r>
          </w:p>
        </w:tc>
      </w:tr>
      <w:tr w:rsidR="00104090" w:rsidRPr="00144E7F" w14:paraId="4786D5E5" w14:textId="77777777" w:rsidTr="00CA5987">
        <w:trPr>
          <w:cantSplit/>
          <w:trHeight w:val="508"/>
        </w:trPr>
        <w:tc>
          <w:tcPr>
            <w:tcW w:w="1502" w:type="dxa"/>
          </w:tcPr>
          <w:p w14:paraId="13EF5FA5" w14:textId="4EF936F2" w:rsidR="00104090" w:rsidRPr="00144E7F" w:rsidRDefault="00104090" w:rsidP="00144E7F">
            <w:pPr>
              <w:spacing w:before="80" w:after="80" w:line="240" w:lineRule="auto"/>
              <w:jc w:val="left"/>
              <w:rPr>
                <w:rFonts w:ascii="Arial" w:hAnsi="Arial"/>
                <w:color w:val="000000"/>
                <w:sz w:val="18"/>
              </w:rPr>
            </w:pPr>
            <w:r>
              <w:rPr>
                <w:rFonts w:ascii="Arial" w:hAnsi="Arial"/>
                <w:color w:val="000000"/>
                <w:sz w:val="18"/>
              </w:rPr>
              <w:t>New TBC</w:t>
            </w:r>
          </w:p>
        </w:tc>
        <w:tc>
          <w:tcPr>
            <w:tcW w:w="3742" w:type="dxa"/>
          </w:tcPr>
          <w:p w14:paraId="6134F07E" w14:textId="55D4CD6D" w:rsidR="00104090" w:rsidRPr="00144E7F" w:rsidRDefault="00104090" w:rsidP="00144E7F">
            <w:pPr>
              <w:spacing w:before="80" w:after="80" w:line="240" w:lineRule="auto"/>
              <w:jc w:val="left"/>
              <w:rPr>
                <w:rFonts w:ascii="Arial" w:hAnsi="Arial"/>
                <w:color w:val="000000"/>
                <w:sz w:val="18"/>
              </w:rPr>
            </w:pPr>
            <w:r>
              <w:rPr>
                <w:rFonts w:ascii="Arial" w:hAnsi="Arial"/>
                <w:color w:val="000000"/>
                <w:sz w:val="18"/>
                <w:lang w:eastAsia="en-US"/>
              </w:rPr>
              <w:t>Clearing and Settlement Licence – application for imposing licence conditions</w:t>
            </w:r>
          </w:p>
        </w:tc>
        <w:tc>
          <w:tcPr>
            <w:tcW w:w="1877" w:type="dxa"/>
          </w:tcPr>
          <w:p w14:paraId="46FAEA6A" w14:textId="77777777" w:rsidR="00104090" w:rsidRPr="00144E7F" w:rsidRDefault="00104090"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22FFB9C7" w14:textId="4CCC81A8" w:rsidR="00104090" w:rsidRPr="00144E7F" w:rsidRDefault="00104090"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5DC02583" w14:textId="77777777" w:rsidTr="00D6307B">
        <w:trPr>
          <w:cantSplit/>
          <w:trHeight w:val="508"/>
        </w:trPr>
        <w:tc>
          <w:tcPr>
            <w:tcW w:w="1502" w:type="dxa"/>
            <w:shd w:val="clear" w:color="auto" w:fill="F2F2F2" w:themeFill="background1" w:themeFillShade="F2"/>
          </w:tcPr>
          <w:p w14:paraId="1AC87A6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F104</w:t>
            </w:r>
          </w:p>
        </w:tc>
        <w:tc>
          <w:tcPr>
            <w:tcW w:w="3742" w:type="dxa"/>
            <w:shd w:val="clear" w:color="auto" w:fill="F2F2F2" w:themeFill="background1" w:themeFillShade="F2"/>
          </w:tcPr>
          <w:p w14:paraId="180D5EF9" w14:textId="180602AF"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Document lodged under item 7 section 611 </w:t>
            </w:r>
            <w:r w:rsidR="00983BAF" w:rsidRPr="00983BAF">
              <w:rPr>
                <w:rFonts w:ascii="Arial" w:hAnsi="Arial"/>
                <w:color w:val="000000"/>
                <w:sz w:val="18"/>
              </w:rPr>
              <w:t>–</w:t>
            </w:r>
            <w:r w:rsidRPr="00144E7F">
              <w:rPr>
                <w:rFonts w:ascii="Arial" w:hAnsi="Arial"/>
                <w:color w:val="000000"/>
                <w:sz w:val="18"/>
              </w:rPr>
              <w:t xml:space="preserve"> corporate finance</w:t>
            </w:r>
          </w:p>
        </w:tc>
        <w:tc>
          <w:tcPr>
            <w:tcW w:w="1877" w:type="dxa"/>
            <w:shd w:val="clear" w:color="auto" w:fill="F2F2F2" w:themeFill="background1" w:themeFillShade="F2"/>
          </w:tcPr>
          <w:p w14:paraId="540132D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gridSpan w:val="2"/>
            <w:shd w:val="clear" w:color="auto" w:fill="F2F2F2" w:themeFill="background1" w:themeFillShade="F2"/>
          </w:tcPr>
          <w:p w14:paraId="4D08981B" w14:textId="64393F28"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2,565</w:t>
            </w:r>
          </w:p>
        </w:tc>
      </w:tr>
      <w:tr w:rsidR="00144E7F" w:rsidRPr="00144E7F" w14:paraId="05338792" w14:textId="77777777" w:rsidTr="00CA5987">
        <w:trPr>
          <w:cantSplit/>
          <w:trHeight w:val="136"/>
        </w:trPr>
        <w:tc>
          <w:tcPr>
            <w:tcW w:w="1502" w:type="dxa"/>
            <w:vMerge w:val="restart"/>
          </w:tcPr>
          <w:p w14:paraId="45D2A2F7" w14:textId="4C87EC01" w:rsidR="00144E7F" w:rsidRPr="00144E7F" w:rsidRDefault="00144E7F" w:rsidP="00E666EE">
            <w:pPr>
              <w:spacing w:before="80" w:after="80" w:line="240" w:lineRule="auto"/>
              <w:jc w:val="left"/>
              <w:rPr>
                <w:rFonts w:ascii="Arial" w:hAnsi="Arial"/>
                <w:color w:val="000000"/>
                <w:sz w:val="18"/>
              </w:rPr>
            </w:pPr>
            <w:r w:rsidRPr="00144E7F">
              <w:rPr>
                <w:rFonts w:ascii="Arial" w:hAnsi="Arial"/>
                <w:color w:val="000000"/>
                <w:sz w:val="18"/>
              </w:rPr>
              <w:t>FS01</w:t>
            </w:r>
            <w:r w:rsidR="00E666EE">
              <w:rPr>
                <w:rFonts w:ascii="Arial" w:hAnsi="Arial"/>
                <w:color w:val="000000"/>
                <w:sz w:val="18"/>
              </w:rPr>
              <w:br/>
              <w:t>Electronic format</w:t>
            </w:r>
          </w:p>
        </w:tc>
        <w:tc>
          <w:tcPr>
            <w:tcW w:w="3742" w:type="dxa"/>
            <w:vMerge w:val="restart"/>
          </w:tcPr>
          <w:p w14:paraId="3CC2C0D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Australian financial services licence application (electronic format)</w:t>
            </w:r>
          </w:p>
          <w:p w14:paraId="166D9DA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(includes sub forms FS01A to FS01H &amp; FS01J to FS01Q &amp; FS01Z)</w:t>
            </w:r>
          </w:p>
        </w:tc>
        <w:tc>
          <w:tcPr>
            <w:tcW w:w="1877" w:type="dxa"/>
            <w:vMerge w:val="restart"/>
          </w:tcPr>
          <w:p w14:paraId="0646C2F4" w14:textId="4E6CD0A5" w:rsidR="00144E7F" w:rsidRPr="00144E7F" w:rsidRDefault="00144E7F" w:rsidP="00737E5E">
            <w:pPr>
              <w:pStyle w:val="TableTextRight"/>
            </w:pPr>
            <w:r w:rsidRPr="00144E7F">
              <w:t xml:space="preserve">FS01A – 1,643 </w:t>
            </w:r>
            <w:r w:rsidRPr="00144E7F">
              <w:br/>
              <w:t xml:space="preserve">FS01B </w:t>
            </w:r>
            <w:r w:rsidR="00737E5E">
              <w:t>–</w:t>
            </w:r>
            <w:r w:rsidRPr="00144E7F">
              <w:t xml:space="preserve"> 914</w:t>
            </w:r>
            <w:r w:rsidRPr="00144E7F">
              <w:br/>
              <w:t>FS01C – 1,643</w:t>
            </w:r>
            <w:r w:rsidRPr="00144E7F">
              <w:br/>
              <w:t xml:space="preserve">FS01D </w:t>
            </w:r>
            <w:r w:rsidR="00737E5E">
              <w:t>–</w:t>
            </w:r>
            <w:r w:rsidRPr="00144E7F">
              <w:t xml:space="preserve"> 914 FS01AA </w:t>
            </w:r>
            <w:r w:rsidR="00737E5E">
              <w:t>–</w:t>
            </w:r>
            <w:r w:rsidRPr="00144E7F">
              <w:t xml:space="preserve"> 39</w:t>
            </w:r>
            <w:r w:rsidRPr="00144E7F">
              <w:br/>
              <w:t>FS01 BA – 376</w:t>
            </w:r>
          </w:p>
        </w:tc>
        <w:tc>
          <w:tcPr>
            <w:tcW w:w="1351" w:type="dxa"/>
          </w:tcPr>
          <w:p w14:paraId="63B1BA9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low complexity</w:t>
            </w:r>
          </w:p>
        </w:tc>
        <w:tc>
          <w:tcPr>
            <w:tcW w:w="805" w:type="dxa"/>
          </w:tcPr>
          <w:p w14:paraId="34503CA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2,233</w:t>
            </w:r>
          </w:p>
        </w:tc>
      </w:tr>
      <w:tr w:rsidR="00144E7F" w:rsidRPr="00144E7F" w14:paraId="48E2DEAF" w14:textId="77777777" w:rsidTr="00CA5987">
        <w:trPr>
          <w:cantSplit/>
          <w:trHeight w:val="130"/>
        </w:trPr>
        <w:tc>
          <w:tcPr>
            <w:tcW w:w="1502" w:type="dxa"/>
            <w:vMerge/>
          </w:tcPr>
          <w:p w14:paraId="24E4A8A8"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73270CD8"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3C24B62D"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676DB1F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high complexity</w:t>
            </w:r>
          </w:p>
        </w:tc>
        <w:tc>
          <w:tcPr>
            <w:tcW w:w="805" w:type="dxa"/>
          </w:tcPr>
          <w:p w14:paraId="7652285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5,025</w:t>
            </w:r>
          </w:p>
        </w:tc>
      </w:tr>
      <w:tr w:rsidR="00144E7F" w:rsidRPr="00144E7F" w14:paraId="2686D6D7" w14:textId="77777777" w:rsidTr="00CA5987">
        <w:trPr>
          <w:cantSplit/>
          <w:trHeight w:val="130"/>
        </w:trPr>
        <w:tc>
          <w:tcPr>
            <w:tcW w:w="1502" w:type="dxa"/>
            <w:vMerge/>
          </w:tcPr>
          <w:p w14:paraId="4285BF42"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20071F18"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4C40A692"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67431A7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other body corporate low complexity</w:t>
            </w:r>
          </w:p>
        </w:tc>
        <w:tc>
          <w:tcPr>
            <w:tcW w:w="805" w:type="dxa"/>
          </w:tcPr>
          <w:p w14:paraId="145BF30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3,721</w:t>
            </w:r>
          </w:p>
        </w:tc>
      </w:tr>
      <w:tr w:rsidR="00144E7F" w:rsidRPr="00144E7F" w14:paraId="2131246C" w14:textId="77777777" w:rsidTr="00CA5987">
        <w:trPr>
          <w:cantSplit/>
          <w:trHeight w:val="130"/>
        </w:trPr>
        <w:tc>
          <w:tcPr>
            <w:tcW w:w="1502" w:type="dxa"/>
            <w:vMerge/>
          </w:tcPr>
          <w:p w14:paraId="1DECCFA6"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20E6C91B"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50BDD451"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1D871A8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 xml:space="preserve">Retail other  body corporate high complexity </w:t>
            </w:r>
          </w:p>
        </w:tc>
        <w:tc>
          <w:tcPr>
            <w:tcW w:w="805" w:type="dxa"/>
          </w:tcPr>
          <w:p w14:paraId="631113C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7,537</w:t>
            </w:r>
          </w:p>
        </w:tc>
      </w:tr>
      <w:tr w:rsidR="00144E7F" w:rsidRPr="00144E7F" w14:paraId="1638DBF4" w14:textId="77777777" w:rsidTr="00D6307B">
        <w:trPr>
          <w:cantSplit/>
          <w:trHeight w:val="130"/>
        </w:trPr>
        <w:tc>
          <w:tcPr>
            <w:tcW w:w="1502" w:type="dxa"/>
            <w:vMerge/>
            <w:tcBorders>
              <w:bottom w:val="single" w:sz="4" w:space="0" w:color="004A7F"/>
            </w:tcBorders>
          </w:tcPr>
          <w:p w14:paraId="754EF642"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Borders>
              <w:bottom w:val="single" w:sz="4" w:space="0" w:color="004A7F"/>
            </w:tcBorders>
          </w:tcPr>
          <w:p w14:paraId="714A3690"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Borders>
              <w:bottom w:val="single" w:sz="4" w:space="0" w:color="004A7F"/>
            </w:tcBorders>
          </w:tcPr>
          <w:p w14:paraId="471C246E" w14:textId="77777777" w:rsidR="00144E7F" w:rsidRPr="00144E7F" w:rsidRDefault="00144E7F" w:rsidP="00144E7F">
            <w:pPr>
              <w:spacing w:before="80" w:after="80" w:line="240" w:lineRule="auto"/>
              <w:jc w:val="right"/>
              <w:rPr>
                <w:rFonts w:ascii="Arial" w:hAnsi="Arial"/>
                <w:color w:val="000000"/>
                <w:sz w:val="18"/>
              </w:rPr>
            </w:pPr>
          </w:p>
        </w:tc>
        <w:tc>
          <w:tcPr>
            <w:tcW w:w="1351" w:type="dxa"/>
            <w:tcBorders>
              <w:bottom w:val="single" w:sz="4" w:space="0" w:color="004A7F"/>
            </w:tcBorders>
          </w:tcPr>
          <w:p w14:paraId="1DAE5C0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low complexity</w:t>
            </w:r>
          </w:p>
        </w:tc>
        <w:tc>
          <w:tcPr>
            <w:tcW w:w="805" w:type="dxa"/>
            <w:tcBorders>
              <w:bottom w:val="single" w:sz="4" w:space="0" w:color="004A7F"/>
            </w:tcBorders>
          </w:tcPr>
          <w:p w14:paraId="450CC6F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1,488</w:t>
            </w:r>
          </w:p>
        </w:tc>
      </w:tr>
    </w:tbl>
    <w:p w14:paraId="627BC1ED" w14:textId="77777777" w:rsidR="00CA5987" w:rsidRDefault="00CA5987">
      <w:r>
        <w:br w:type="page"/>
      </w:r>
    </w:p>
    <w:tbl>
      <w:tblPr>
        <w:tblW w:w="9277" w:type="dxa"/>
        <w:tblLayout w:type="fixed"/>
        <w:tblLook w:val="04A0" w:firstRow="1" w:lastRow="0" w:firstColumn="1" w:lastColumn="0" w:noHBand="0" w:noVBand="1"/>
      </w:tblPr>
      <w:tblGrid>
        <w:gridCol w:w="1502"/>
        <w:gridCol w:w="3742"/>
        <w:gridCol w:w="1877"/>
        <w:gridCol w:w="1351"/>
        <w:gridCol w:w="805"/>
      </w:tblGrid>
      <w:tr w:rsidR="00CA5987" w:rsidRPr="00144E7F" w14:paraId="6F55558F" w14:textId="77777777" w:rsidTr="00AB1802">
        <w:trPr>
          <w:cantSplit/>
        </w:trPr>
        <w:tc>
          <w:tcPr>
            <w:tcW w:w="1502" w:type="dxa"/>
            <w:tcBorders>
              <w:top w:val="single" w:sz="4" w:space="0" w:color="004A7F"/>
              <w:bottom w:val="single" w:sz="4" w:space="0" w:color="004A7F"/>
            </w:tcBorders>
            <w:shd w:val="clear" w:color="auto" w:fill="DEEAF6" w:themeFill="accent1" w:themeFillTint="33"/>
          </w:tcPr>
          <w:p w14:paraId="60526E7A" w14:textId="77777777" w:rsidR="00CA5987" w:rsidRPr="00144E7F" w:rsidRDefault="00CA5987" w:rsidP="00AB1802">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5565275E" w14:textId="77777777" w:rsidR="00CA5987" w:rsidRPr="00144E7F" w:rsidRDefault="00CA5987" w:rsidP="00AB1802">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24A43451"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gridSpan w:val="2"/>
            <w:tcBorders>
              <w:top w:val="single" w:sz="4" w:space="0" w:color="004A7F"/>
              <w:bottom w:val="single" w:sz="4" w:space="0" w:color="004A7F"/>
            </w:tcBorders>
            <w:shd w:val="clear" w:color="auto" w:fill="DEEAF6" w:themeFill="accent1" w:themeFillTint="33"/>
          </w:tcPr>
          <w:p w14:paraId="4A77C1DF"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5A801B8C" w14:textId="77777777" w:rsidTr="00CA5987">
        <w:trPr>
          <w:cantSplit/>
          <w:trHeight w:val="130"/>
        </w:trPr>
        <w:tc>
          <w:tcPr>
            <w:tcW w:w="1502" w:type="dxa"/>
            <w:vMerge w:val="restart"/>
          </w:tcPr>
          <w:p w14:paraId="1E5ACF4C"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val="restart"/>
          </w:tcPr>
          <w:p w14:paraId="1CCF5E2B"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val="restart"/>
          </w:tcPr>
          <w:p w14:paraId="5A5C5D01"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2468D0D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high complexity</w:t>
            </w:r>
          </w:p>
        </w:tc>
        <w:tc>
          <w:tcPr>
            <w:tcW w:w="805" w:type="dxa"/>
          </w:tcPr>
          <w:p w14:paraId="6420D45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3,350</w:t>
            </w:r>
          </w:p>
        </w:tc>
      </w:tr>
      <w:tr w:rsidR="00144E7F" w:rsidRPr="00144E7F" w14:paraId="35190DB6" w14:textId="77777777" w:rsidTr="00CA5987">
        <w:trPr>
          <w:cantSplit/>
          <w:trHeight w:val="130"/>
        </w:trPr>
        <w:tc>
          <w:tcPr>
            <w:tcW w:w="1502" w:type="dxa"/>
            <w:vMerge/>
          </w:tcPr>
          <w:p w14:paraId="7FADBE4B"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476A4DCA"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543712AD"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5FD45DF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low complexity</w:t>
            </w:r>
          </w:p>
        </w:tc>
        <w:tc>
          <w:tcPr>
            <w:tcW w:w="805" w:type="dxa"/>
          </w:tcPr>
          <w:p w14:paraId="71250AB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2,233</w:t>
            </w:r>
          </w:p>
        </w:tc>
      </w:tr>
      <w:tr w:rsidR="00144E7F" w:rsidRPr="00144E7F" w14:paraId="0C10E555" w14:textId="77777777" w:rsidTr="00CA5987">
        <w:trPr>
          <w:cantSplit/>
          <w:trHeight w:val="130"/>
        </w:trPr>
        <w:tc>
          <w:tcPr>
            <w:tcW w:w="1502" w:type="dxa"/>
            <w:vMerge/>
          </w:tcPr>
          <w:p w14:paraId="1D2FC2EE"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4C55E6B2"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16802A63"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4DE6C4C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high complexity</w:t>
            </w:r>
          </w:p>
        </w:tc>
        <w:tc>
          <w:tcPr>
            <w:tcW w:w="805" w:type="dxa"/>
          </w:tcPr>
          <w:p w14:paraId="2917AB3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5,025</w:t>
            </w:r>
          </w:p>
        </w:tc>
      </w:tr>
      <w:tr w:rsidR="00144E7F" w:rsidRPr="00144E7F" w14:paraId="4AAB43D2" w14:textId="77777777" w:rsidTr="00CA5987">
        <w:trPr>
          <w:cantSplit/>
          <w:trHeight w:val="493"/>
        </w:trPr>
        <w:tc>
          <w:tcPr>
            <w:tcW w:w="1502" w:type="dxa"/>
            <w:vMerge w:val="restart"/>
            <w:shd w:val="clear" w:color="auto" w:fill="F2F2F2" w:themeFill="background1" w:themeFillShade="F2"/>
          </w:tcPr>
          <w:p w14:paraId="7F3A9AC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FS01</w:t>
            </w:r>
          </w:p>
          <w:p w14:paraId="2FB39E85" w14:textId="7A5160A1" w:rsidR="00144E7F" w:rsidRPr="00144E7F" w:rsidRDefault="00E666EE" w:rsidP="00E666EE">
            <w:pPr>
              <w:spacing w:before="80" w:after="80" w:line="240" w:lineRule="auto"/>
              <w:jc w:val="left"/>
              <w:rPr>
                <w:rFonts w:ascii="Arial" w:hAnsi="Arial"/>
                <w:color w:val="000000"/>
                <w:sz w:val="18"/>
              </w:rPr>
            </w:pPr>
            <w:r>
              <w:rPr>
                <w:rFonts w:ascii="Arial" w:hAnsi="Arial"/>
                <w:color w:val="000000"/>
                <w:sz w:val="18"/>
              </w:rPr>
              <w:br/>
            </w:r>
            <w:r w:rsidR="00144E7F" w:rsidRPr="00144E7F">
              <w:rPr>
                <w:rFonts w:ascii="Arial" w:hAnsi="Arial"/>
                <w:color w:val="000000"/>
                <w:sz w:val="18"/>
              </w:rPr>
              <w:t>Paper format</w:t>
            </w:r>
            <w:r>
              <w:rPr>
                <w:rFonts w:ascii="Arial" w:hAnsi="Arial"/>
                <w:color w:val="000000"/>
                <w:sz w:val="18"/>
              </w:rPr>
              <w:br/>
            </w:r>
            <w:r w:rsidR="00144E7F" w:rsidRPr="00144E7F">
              <w:rPr>
                <w:rFonts w:ascii="Arial" w:hAnsi="Arial"/>
                <w:color w:val="000000"/>
                <w:sz w:val="18"/>
              </w:rPr>
              <w:t xml:space="preserve">(fee includes FS05) </w:t>
            </w:r>
          </w:p>
        </w:tc>
        <w:tc>
          <w:tcPr>
            <w:tcW w:w="3742" w:type="dxa"/>
            <w:vMerge w:val="restart"/>
            <w:shd w:val="clear" w:color="auto" w:fill="F2F2F2" w:themeFill="background1" w:themeFillShade="F2"/>
          </w:tcPr>
          <w:p w14:paraId="18D52A7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Australian financial services licence application (paper format)</w:t>
            </w:r>
          </w:p>
          <w:p w14:paraId="54A70DA3" w14:textId="26925E78"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Preliminary application for an Austra</w:t>
            </w:r>
            <w:r w:rsidR="00BE11F5">
              <w:rPr>
                <w:rFonts w:ascii="Arial" w:hAnsi="Arial"/>
                <w:color w:val="000000"/>
                <w:sz w:val="18"/>
              </w:rPr>
              <w:t>lian financial services licence</w:t>
            </w:r>
          </w:p>
        </w:tc>
        <w:tc>
          <w:tcPr>
            <w:tcW w:w="1877" w:type="dxa"/>
            <w:vMerge w:val="restart"/>
            <w:shd w:val="clear" w:color="auto" w:fill="F2F2F2" w:themeFill="background1" w:themeFillShade="F2"/>
          </w:tcPr>
          <w:p w14:paraId="0027DC47" w14:textId="50FE9233" w:rsidR="00144E7F" w:rsidRPr="00144E7F" w:rsidRDefault="00144E7F" w:rsidP="00737E5E">
            <w:pPr>
              <w:pStyle w:val="TableTextRight"/>
            </w:pPr>
            <w:r w:rsidRPr="00144E7F">
              <w:t xml:space="preserve">FS01A – 1,643 </w:t>
            </w:r>
            <w:r w:rsidRPr="00144E7F">
              <w:br/>
              <w:t xml:space="preserve">FS01B </w:t>
            </w:r>
            <w:r w:rsidR="00737E5E">
              <w:t>–</w:t>
            </w:r>
            <w:r w:rsidRPr="00144E7F">
              <w:t xml:space="preserve"> 914</w:t>
            </w:r>
            <w:r w:rsidRPr="00144E7F">
              <w:br/>
              <w:t>FS01C – 1,643</w:t>
            </w:r>
            <w:r w:rsidRPr="00144E7F">
              <w:br/>
              <w:t xml:space="preserve">FS01D </w:t>
            </w:r>
            <w:r w:rsidR="00737E5E">
              <w:t>–</w:t>
            </w:r>
            <w:r w:rsidRPr="00144E7F">
              <w:t xml:space="preserve"> 914 FS01AA </w:t>
            </w:r>
            <w:r w:rsidR="00737E5E">
              <w:t>–</w:t>
            </w:r>
            <w:r w:rsidRPr="00144E7F">
              <w:t xml:space="preserve"> 39</w:t>
            </w:r>
            <w:r w:rsidRPr="00144E7F">
              <w:br/>
              <w:t>FS01 BA – 376</w:t>
            </w:r>
          </w:p>
        </w:tc>
        <w:tc>
          <w:tcPr>
            <w:tcW w:w="1351" w:type="dxa"/>
            <w:shd w:val="clear" w:color="auto" w:fill="F2F2F2" w:themeFill="background1" w:themeFillShade="F2"/>
          </w:tcPr>
          <w:p w14:paraId="143A41A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low complexity</w:t>
            </w:r>
          </w:p>
        </w:tc>
        <w:tc>
          <w:tcPr>
            <w:tcW w:w="805" w:type="dxa"/>
            <w:shd w:val="clear" w:color="auto" w:fill="F2F2F2" w:themeFill="background1" w:themeFillShade="F2"/>
          </w:tcPr>
          <w:p w14:paraId="19F4429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3,349</w:t>
            </w:r>
          </w:p>
        </w:tc>
      </w:tr>
      <w:tr w:rsidR="00144E7F" w:rsidRPr="00144E7F" w14:paraId="67E5AEB9" w14:textId="77777777" w:rsidTr="00CA5987">
        <w:trPr>
          <w:cantSplit/>
          <w:trHeight w:val="491"/>
        </w:trPr>
        <w:tc>
          <w:tcPr>
            <w:tcW w:w="1502" w:type="dxa"/>
            <w:vMerge/>
            <w:shd w:val="clear" w:color="auto" w:fill="F2F2F2" w:themeFill="background1" w:themeFillShade="F2"/>
          </w:tcPr>
          <w:p w14:paraId="2755BEB1"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1F814B78"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3E38F2CA"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29C7121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high complexity</w:t>
            </w:r>
          </w:p>
        </w:tc>
        <w:tc>
          <w:tcPr>
            <w:tcW w:w="805" w:type="dxa"/>
            <w:shd w:val="clear" w:color="auto" w:fill="F2F2F2" w:themeFill="background1" w:themeFillShade="F2"/>
          </w:tcPr>
          <w:p w14:paraId="550CD21E"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7,537</w:t>
            </w:r>
          </w:p>
        </w:tc>
      </w:tr>
      <w:tr w:rsidR="00144E7F" w:rsidRPr="00144E7F" w14:paraId="6C354F82" w14:textId="77777777" w:rsidTr="00CA5987">
        <w:trPr>
          <w:cantSplit/>
          <w:trHeight w:val="491"/>
        </w:trPr>
        <w:tc>
          <w:tcPr>
            <w:tcW w:w="1502" w:type="dxa"/>
            <w:vMerge/>
            <w:shd w:val="clear" w:color="auto" w:fill="F2F2F2" w:themeFill="background1" w:themeFillShade="F2"/>
          </w:tcPr>
          <w:p w14:paraId="716CE9A3"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7A4C0AC5"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524631CF"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69F1B0F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other body corporate low complexity</w:t>
            </w:r>
          </w:p>
        </w:tc>
        <w:tc>
          <w:tcPr>
            <w:tcW w:w="805" w:type="dxa"/>
            <w:shd w:val="clear" w:color="auto" w:fill="F2F2F2" w:themeFill="background1" w:themeFillShade="F2"/>
          </w:tcPr>
          <w:p w14:paraId="781F84C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5,582</w:t>
            </w:r>
          </w:p>
        </w:tc>
      </w:tr>
      <w:tr w:rsidR="00144E7F" w:rsidRPr="00144E7F" w14:paraId="14A79F85" w14:textId="77777777" w:rsidTr="00CA5987">
        <w:trPr>
          <w:cantSplit/>
          <w:trHeight w:val="491"/>
        </w:trPr>
        <w:tc>
          <w:tcPr>
            <w:tcW w:w="1502" w:type="dxa"/>
            <w:vMerge/>
            <w:shd w:val="clear" w:color="auto" w:fill="F2F2F2" w:themeFill="background1" w:themeFillShade="F2"/>
          </w:tcPr>
          <w:p w14:paraId="54381541"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06942F2A"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7DE21BD8"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6653398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other  body corporate high complexity</w:t>
            </w:r>
          </w:p>
        </w:tc>
        <w:tc>
          <w:tcPr>
            <w:tcW w:w="805" w:type="dxa"/>
            <w:shd w:val="clear" w:color="auto" w:fill="F2F2F2" w:themeFill="background1" w:themeFillShade="F2"/>
          </w:tcPr>
          <w:p w14:paraId="21D21CCD" w14:textId="77777777" w:rsidR="00144E7F" w:rsidRPr="00144E7F" w:rsidRDefault="00144E7F" w:rsidP="00236D5C">
            <w:pPr>
              <w:spacing w:before="80" w:after="80" w:line="240" w:lineRule="auto"/>
              <w:ind w:left="-113"/>
              <w:jc w:val="right"/>
              <w:rPr>
                <w:rFonts w:ascii="Arial" w:hAnsi="Arial"/>
                <w:color w:val="000000"/>
                <w:sz w:val="18"/>
              </w:rPr>
            </w:pPr>
            <w:r w:rsidRPr="00144E7F">
              <w:rPr>
                <w:rFonts w:ascii="Arial" w:hAnsi="Arial"/>
                <w:color w:val="000000"/>
                <w:sz w:val="18"/>
              </w:rPr>
              <w:t>11,305</w:t>
            </w:r>
          </w:p>
        </w:tc>
      </w:tr>
      <w:tr w:rsidR="00144E7F" w:rsidRPr="00144E7F" w14:paraId="00151E95" w14:textId="77777777" w:rsidTr="00CA5987">
        <w:trPr>
          <w:cantSplit/>
          <w:trHeight w:val="491"/>
        </w:trPr>
        <w:tc>
          <w:tcPr>
            <w:tcW w:w="1502" w:type="dxa"/>
            <w:vMerge/>
            <w:shd w:val="clear" w:color="auto" w:fill="F2F2F2" w:themeFill="background1" w:themeFillShade="F2"/>
          </w:tcPr>
          <w:p w14:paraId="7D9F69E2"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67AE089F"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1A8DAFD4"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489F195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low complexity</w:t>
            </w:r>
          </w:p>
        </w:tc>
        <w:tc>
          <w:tcPr>
            <w:tcW w:w="805" w:type="dxa"/>
            <w:shd w:val="clear" w:color="auto" w:fill="F2F2F2" w:themeFill="background1" w:themeFillShade="F2"/>
          </w:tcPr>
          <w:p w14:paraId="1A9C7A8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2,233</w:t>
            </w:r>
          </w:p>
        </w:tc>
      </w:tr>
      <w:tr w:rsidR="00144E7F" w:rsidRPr="00144E7F" w14:paraId="7FF4642A" w14:textId="77777777" w:rsidTr="00CA5987">
        <w:trPr>
          <w:cantSplit/>
          <w:trHeight w:val="491"/>
        </w:trPr>
        <w:tc>
          <w:tcPr>
            <w:tcW w:w="1502" w:type="dxa"/>
            <w:vMerge/>
            <w:shd w:val="clear" w:color="auto" w:fill="F2F2F2" w:themeFill="background1" w:themeFillShade="F2"/>
          </w:tcPr>
          <w:p w14:paraId="4542DA93"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30C805D5"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049487FC"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51318C9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high complexity</w:t>
            </w:r>
          </w:p>
        </w:tc>
        <w:tc>
          <w:tcPr>
            <w:tcW w:w="805" w:type="dxa"/>
            <w:shd w:val="clear" w:color="auto" w:fill="F2F2F2" w:themeFill="background1" w:themeFillShade="F2"/>
          </w:tcPr>
          <w:p w14:paraId="74EB3F9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2,025</w:t>
            </w:r>
          </w:p>
        </w:tc>
      </w:tr>
      <w:tr w:rsidR="00144E7F" w:rsidRPr="00144E7F" w14:paraId="23C40310" w14:textId="77777777" w:rsidTr="00CA5987">
        <w:trPr>
          <w:cantSplit/>
          <w:trHeight w:val="491"/>
        </w:trPr>
        <w:tc>
          <w:tcPr>
            <w:tcW w:w="1502" w:type="dxa"/>
            <w:vMerge/>
            <w:shd w:val="clear" w:color="auto" w:fill="F2F2F2" w:themeFill="background1" w:themeFillShade="F2"/>
          </w:tcPr>
          <w:p w14:paraId="5DB3A24E"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4F667EB3"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2A17763D"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611FDA8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low complexity</w:t>
            </w:r>
          </w:p>
        </w:tc>
        <w:tc>
          <w:tcPr>
            <w:tcW w:w="805" w:type="dxa"/>
            <w:shd w:val="clear" w:color="auto" w:fill="F2F2F2" w:themeFill="background1" w:themeFillShade="F2"/>
          </w:tcPr>
          <w:p w14:paraId="1E0E404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3,349</w:t>
            </w:r>
          </w:p>
        </w:tc>
      </w:tr>
      <w:tr w:rsidR="00144E7F" w:rsidRPr="00144E7F" w14:paraId="79722C77" w14:textId="77777777" w:rsidTr="00D6307B">
        <w:trPr>
          <w:cantSplit/>
          <w:trHeight w:val="491"/>
        </w:trPr>
        <w:tc>
          <w:tcPr>
            <w:tcW w:w="1502" w:type="dxa"/>
            <w:vMerge/>
            <w:shd w:val="clear" w:color="auto" w:fill="F2F2F2" w:themeFill="background1" w:themeFillShade="F2"/>
          </w:tcPr>
          <w:p w14:paraId="31B6438C"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384A1752"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0D6D66E1"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3910812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high complexity</w:t>
            </w:r>
          </w:p>
        </w:tc>
        <w:tc>
          <w:tcPr>
            <w:tcW w:w="805" w:type="dxa"/>
            <w:shd w:val="clear" w:color="auto" w:fill="F2F2F2" w:themeFill="background1" w:themeFillShade="F2"/>
          </w:tcPr>
          <w:p w14:paraId="4937B6F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7,537</w:t>
            </w:r>
          </w:p>
        </w:tc>
      </w:tr>
      <w:tr w:rsidR="00144E7F" w:rsidRPr="00144E7F" w14:paraId="515B742C" w14:textId="77777777" w:rsidTr="00CA5987">
        <w:trPr>
          <w:cantSplit/>
          <w:trHeight w:val="79"/>
        </w:trPr>
        <w:tc>
          <w:tcPr>
            <w:tcW w:w="1502" w:type="dxa"/>
            <w:vMerge w:val="restart"/>
          </w:tcPr>
          <w:p w14:paraId="1F5A4502" w14:textId="1F741C85" w:rsidR="00144E7F" w:rsidRPr="00144E7F" w:rsidRDefault="00144E7F" w:rsidP="00E666EE">
            <w:pPr>
              <w:spacing w:before="80" w:after="80" w:line="240" w:lineRule="auto"/>
              <w:jc w:val="left"/>
              <w:rPr>
                <w:rFonts w:ascii="Arial" w:hAnsi="Arial"/>
                <w:color w:val="000000"/>
                <w:sz w:val="18"/>
              </w:rPr>
            </w:pPr>
            <w:r w:rsidRPr="00144E7F">
              <w:rPr>
                <w:rFonts w:ascii="Arial" w:hAnsi="Arial"/>
                <w:color w:val="000000"/>
                <w:sz w:val="18"/>
              </w:rPr>
              <w:t>FS03</w:t>
            </w:r>
            <w:r w:rsidR="00E666EE">
              <w:rPr>
                <w:rFonts w:ascii="Arial" w:hAnsi="Arial"/>
                <w:color w:val="000000"/>
                <w:sz w:val="18"/>
              </w:rPr>
              <w:br/>
              <w:t>Electronic format</w:t>
            </w:r>
          </w:p>
        </w:tc>
        <w:tc>
          <w:tcPr>
            <w:tcW w:w="3742" w:type="dxa"/>
            <w:vMerge w:val="restart"/>
          </w:tcPr>
          <w:p w14:paraId="65161EF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vary the authorisation conditions and other conditions of an Australian financial services licence (electronic format)</w:t>
            </w:r>
          </w:p>
          <w:p w14:paraId="1CAFBD4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(includes sub forms FS03A, FS03B, FS03C &amp; FS03Z)</w:t>
            </w:r>
          </w:p>
        </w:tc>
        <w:tc>
          <w:tcPr>
            <w:tcW w:w="1877" w:type="dxa"/>
            <w:vMerge w:val="restart"/>
          </w:tcPr>
          <w:p w14:paraId="1CFCCAC6" w14:textId="47005869" w:rsidR="00144E7F" w:rsidRPr="00144E7F" w:rsidRDefault="00144E7F" w:rsidP="00737E5E">
            <w:pPr>
              <w:pStyle w:val="TableTextRight"/>
            </w:pPr>
            <w:r w:rsidRPr="00144E7F">
              <w:t xml:space="preserve">FS03A </w:t>
            </w:r>
            <w:r w:rsidR="00737E5E">
              <w:t>–</w:t>
            </w:r>
            <w:r w:rsidRPr="00144E7F">
              <w:t xml:space="preserve"> 274</w:t>
            </w:r>
            <w:r w:rsidRPr="00144E7F">
              <w:br/>
              <w:t xml:space="preserve">FS03B </w:t>
            </w:r>
            <w:r w:rsidR="00737E5E">
              <w:t>–</w:t>
            </w:r>
            <w:r w:rsidRPr="00144E7F">
              <w:t xml:space="preserve"> 323</w:t>
            </w:r>
          </w:p>
        </w:tc>
        <w:tc>
          <w:tcPr>
            <w:tcW w:w="1351" w:type="dxa"/>
          </w:tcPr>
          <w:p w14:paraId="28FBC51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low complexity</w:t>
            </w:r>
          </w:p>
        </w:tc>
        <w:tc>
          <w:tcPr>
            <w:tcW w:w="805" w:type="dxa"/>
          </w:tcPr>
          <w:p w14:paraId="5DC45E1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1,364</w:t>
            </w:r>
          </w:p>
        </w:tc>
      </w:tr>
      <w:tr w:rsidR="00144E7F" w:rsidRPr="00144E7F" w14:paraId="1E7F22ED" w14:textId="77777777" w:rsidTr="00D6307B">
        <w:trPr>
          <w:cantSplit/>
          <w:trHeight w:val="78"/>
        </w:trPr>
        <w:tc>
          <w:tcPr>
            <w:tcW w:w="1502" w:type="dxa"/>
            <w:vMerge/>
            <w:tcBorders>
              <w:bottom w:val="single" w:sz="4" w:space="0" w:color="004A7F"/>
            </w:tcBorders>
          </w:tcPr>
          <w:p w14:paraId="3C849C91"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Borders>
              <w:bottom w:val="single" w:sz="4" w:space="0" w:color="004A7F"/>
            </w:tcBorders>
          </w:tcPr>
          <w:p w14:paraId="467745AF"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Borders>
              <w:bottom w:val="single" w:sz="4" w:space="0" w:color="004A7F"/>
            </w:tcBorders>
          </w:tcPr>
          <w:p w14:paraId="68B930B3" w14:textId="77777777" w:rsidR="00144E7F" w:rsidRPr="00144E7F" w:rsidRDefault="00144E7F" w:rsidP="00144E7F">
            <w:pPr>
              <w:spacing w:before="80" w:after="80" w:line="240" w:lineRule="auto"/>
              <w:jc w:val="right"/>
              <w:rPr>
                <w:rFonts w:ascii="Arial" w:hAnsi="Arial"/>
                <w:color w:val="000000"/>
                <w:sz w:val="18"/>
              </w:rPr>
            </w:pPr>
          </w:p>
        </w:tc>
        <w:tc>
          <w:tcPr>
            <w:tcW w:w="1351" w:type="dxa"/>
            <w:tcBorders>
              <w:bottom w:val="single" w:sz="4" w:space="0" w:color="004A7F"/>
            </w:tcBorders>
          </w:tcPr>
          <w:p w14:paraId="238E32F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high complexity</w:t>
            </w:r>
          </w:p>
        </w:tc>
        <w:tc>
          <w:tcPr>
            <w:tcW w:w="805" w:type="dxa"/>
            <w:tcBorders>
              <w:bottom w:val="single" w:sz="4" w:space="0" w:color="004A7F"/>
            </w:tcBorders>
          </w:tcPr>
          <w:p w14:paraId="21463C2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3,071</w:t>
            </w:r>
          </w:p>
        </w:tc>
      </w:tr>
    </w:tbl>
    <w:p w14:paraId="1FA47D14" w14:textId="77777777" w:rsidR="00CA5987" w:rsidRDefault="00CA5987">
      <w:r>
        <w:br w:type="page"/>
      </w:r>
    </w:p>
    <w:tbl>
      <w:tblPr>
        <w:tblW w:w="9277" w:type="dxa"/>
        <w:tblLayout w:type="fixed"/>
        <w:tblLook w:val="04A0" w:firstRow="1" w:lastRow="0" w:firstColumn="1" w:lastColumn="0" w:noHBand="0" w:noVBand="1"/>
      </w:tblPr>
      <w:tblGrid>
        <w:gridCol w:w="1502"/>
        <w:gridCol w:w="3742"/>
        <w:gridCol w:w="1877"/>
        <w:gridCol w:w="1351"/>
        <w:gridCol w:w="805"/>
      </w:tblGrid>
      <w:tr w:rsidR="00CA5987" w:rsidRPr="00144E7F" w14:paraId="69661815" w14:textId="77777777" w:rsidTr="00AB1802">
        <w:trPr>
          <w:cantSplit/>
        </w:trPr>
        <w:tc>
          <w:tcPr>
            <w:tcW w:w="1502" w:type="dxa"/>
            <w:tcBorders>
              <w:top w:val="single" w:sz="4" w:space="0" w:color="004A7F"/>
              <w:bottom w:val="single" w:sz="4" w:space="0" w:color="004A7F"/>
            </w:tcBorders>
            <w:shd w:val="clear" w:color="auto" w:fill="DEEAF6" w:themeFill="accent1" w:themeFillTint="33"/>
          </w:tcPr>
          <w:p w14:paraId="79AF2DFA" w14:textId="77777777" w:rsidR="00CA5987" w:rsidRPr="00144E7F" w:rsidRDefault="00CA5987" w:rsidP="00AB1802">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5083D498" w14:textId="77777777" w:rsidR="00CA5987" w:rsidRPr="00144E7F" w:rsidRDefault="00CA5987" w:rsidP="00AB1802">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6C7F9FF6"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gridSpan w:val="2"/>
            <w:tcBorders>
              <w:top w:val="single" w:sz="4" w:space="0" w:color="004A7F"/>
              <w:bottom w:val="single" w:sz="4" w:space="0" w:color="004A7F"/>
            </w:tcBorders>
            <w:shd w:val="clear" w:color="auto" w:fill="DEEAF6" w:themeFill="accent1" w:themeFillTint="33"/>
          </w:tcPr>
          <w:p w14:paraId="77288AEA"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31010A67" w14:textId="77777777" w:rsidTr="00CA5987">
        <w:trPr>
          <w:cantSplit/>
          <w:trHeight w:val="78"/>
        </w:trPr>
        <w:tc>
          <w:tcPr>
            <w:tcW w:w="1502" w:type="dxa"/>
            <w:vMerge w:val="restart"/>
          </w:tcPr>
          <w:p w14:paraId="0E6BA7C1"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val="restart"/>
          </w:tcPr>
          <w:p w14:paraId="530F5FCB"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val="restart"/>
          </w:tcPr>
          <w:p w14:paraId="0FDACFEE"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5867A77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other body corporate low complexity</w:t>
            </w:r>
          </w:p>
        </w:tc>
        <w:tc>
          <w:tcPr>
            <w:tcW w:w="805" w:type="dxa"/>
          </w:tcPr>
          <w:p w14:paraId="1B9151E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2,233</w:t>
            </w:r>
          </w:p>
        </w:tc>
      </w:tr>
      <w:tr w:rsidR="00144E7F" w:rsidRPr="00144E7F" w14:paraId="02219C83" w14:textId="77777777" w:rsidTr="00CA5987">
        <w:trPr>
          <w:cantSplit/>
          <w:trHeight w:val="78"/>
        </w:trPr>
        <w:tc>
          <w:tcPr>
            <w:tcW w:w="1502" w:type="dxa"/>
            <w:vMerge/>
          </w:tcPr>
          <w:p w14:paraId="0FF8DD53"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594F6CB4"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570A0E08"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37C91E2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other  body corporate high complexity</w:t>
            </w:r>
          </w:p>
        </w:tc>
        <w:tc>
          <w:tcPr>
            <w:tcW w:w="805" w:type="dxa"/>
          </w:tcPr>
          <w:p w14:paraId="399772F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3,210</w:t>
            </w:r>
          </w:p>
        </w:tc>
      </w:tr>
      <w:tr w:rsidR="00144E7F" w:rsidRPr="00144E7F" w14:paraId="14A33321" w14:textId="77777777" w:rsidTr="00CA5987">
        <w:trPr>
          <w:cantSplit/>
          <w:trHeight w:val="78"/>
        </w:trPr>
        <w:tc>
          <w:tcPr>
            <w:tcW w:w="1502" w:type="dxa"/>
            <w:vMerge/>
          </w:tcPr>
          <w:p w14:paraId="5E7E04F6"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23913421"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1489898B"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7B6E4BC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low complexity</w:t>
            </w:r>
          </w:p>
        </w:tc>
        <w:tc>
          <w:tcPr>
            <w:tcW w:w="805" w:type="dxa"/>
          </w:tcPr>
          <w:p w14:paraId="515DC03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930</w:t>
            </w:r>
          </w:p>
        </w:tc>
      </w:tr>
      <w:tr w:rsidR="00144E7F" w:rsidRPr="00144E7F" w14:paraId="031DE843" w14:textId="77777777" w:rsidTr="00CA5987">
        <w:trPr>
          <w:cantSplit/>
          <w:trHeight w:val="78"/>
        </w:trPr>
        <w:tc>
          <w:tcPr>
            <w:tcW w:w="1502" w:type="dxa"/>
            <w:vMerge/>
          </w:tcPr>
          <w:p w14:paraId="53ED4138"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4FEBDF14"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26D9E506"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1033DA1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high complexity</w:t>
            </w:r>
          </w:p>
        </w:tc>
        <w:tc>
          <w:tcPr>
            <w:tcW w:w="805" w:type="dxa"/>
          </w:tcPr>
          <w:p w14:paraId="3042861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3,489</w:t>
            </w:r>
          </w:p>
        </w:tc>
      </w:tr>
      <w:tr w:rsidR="00144E7F" w:rsidRPr="00144E7F" w14:paraId="1B8E7A93" w14:textId="77777777" w:rsidTr="00CA5987">
        <w:trPr>
          <w:cantSplit/>
          <w:trHeight w:val="78"/>
        </w:trPr>
        <w:tc>
          <w:tcPr>
            <w:tcW w:w="1502" w:type="dxa"/>
            <w:vMerge/>
          </w:tcPr>
          <w:p w14:paraId="2D63FAA7"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6F93A7DE"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0E9BE045"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0CF76AD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low complexity</w:t>
            </w:r>
          </w:p>
        </w:tc>
        <w:tc>
          <w:tcPr>
            <w:tcW w:w="805" w:type="dxa"/>
          </w:tcPr>
          <w:p w14:paraId="0ACAA7A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1,364</w:t>
            </w:r>
          </w:p>
        </w:tc>
      </w:tr>
      <w:tr w:rsidR="00144E7F" w:rsidRPr="00144E7F" w14:paraId="1850A50A" w14:textId="77777777" w:rsidTr="00D6307B">
        <w:trPr>
          <w:cantSplit/>
          <w:trHeight w:val="78"/>
        </w:trPr>
        <w:tc>
          <w:tcPr>
            <w:tcW w:w="1502" w:type="dxa"/>
            <w:vMerge/>
          </w:tcPr>
          <w:p w14:paraId="44012920"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7B9394A7"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67BAB750" w14:textId="77777777" w:rsidR="00144E7F" w:rsidRPr="00144E7F" w:rsidRDefault="00144E7F" w:rsidP="00144E7F">
            <w:pPr>
              <w:spacing w:before="80" w:after="80" w:line="240" w:lineRule="auto"/>
              <w:jc w:val="right"/>
              <w:rPr>
                <w:rFonts w:ascii="Arial" w:hAnsi="Arial"/>
                <w:color w:val="000000"/>
                <w:sz w:val="18"/>
              </w:rPr>
            </w:pPr>
          </w:p>
        </w:tc>
        <w:tc>
          <w:tcPr>
            <w:tcW w:w="1351" w:type="dxa"/>
          </w:tcPr>
          <w:p w14:paraId="0117607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high complexity</w:t>
            </w:r>
          </w:p>
        </w:tc>
        <w:tc>
          <w:tcPr>
            <w:tcW w:w="805" w:type="dxa"/>
          </w:tcPr>
          <w:p w14:paraId="78DB837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3,071</w:t>
            </w:r>
          </w:p>
        </w:tc>
      </w:tr>
      <w:tr w:rsidR="00144E7F" w:rsidRPr="00144E7F" w14:paraId="4561F415" w14:textId="77777777" w:rsidTr="00CA5987">
        <w:trPr>
          <w:cantSplit/>
          <w:trHeight w:val="79"/>
        </w:trPr>
        <w:tc>
          <w:tcPr>
            <w:tcW w:w="1502" w:type="dxa"/>
            <w:vMerge w:val="restart"/>
            <w:shd w:val="clear" w:color="auto" w:fill="F2F2F2" w:themeFill="background1" w:themeFillShade="F2"/>
          </w:tcPr>
          <w:p w14:paraId="17AE68FC" w14:textId="3819C387" w:rsidR="00144E7F" w:rsidRPr="00144E7F" w:rsidRDefault="00144E7F" w:rsidP="00E666EE">
            <w:pPr>
              <w:spacing w:before="80" w:after="80" w:line="240" w:lineRule="auto"/>
              <w:jc w:val="left"/>
              <w:rPr>
                <w:rFonts w:ascii="Arial" w:hAnsi="Arial"/>
                <w:color w:val="000000"/>
                <w:sz w:val="18"/>
              </w:rPr>
            </w:pPr>
            <w:r w:rsidRPr="00144E7F">
              <w:rPr>
                <w:rFonts w:ascii="Arial" w:hAnsi="Arial"/>
                <w:color w:val="000000"/>
                <w:sz w:val="18"/>
              </w:rPr>
              <w:t>FS03X</w:t>
            </w:r>
            <w:r w:rsidR="00E666EE">
              <w:rPr>
                <w:rFonts w:ascii="Arial" w:hAnsi="Arial"/>
                <w:color w:val="000000"/>
                <w:sz w:val="18"/>
              </w:rPr>
              <w:br/>
            </w:r>
            <w:r w:rsidRPr="00144E7F">
              <w:rPr>
                <w:rFonts w:ascii="Arial" w:hAnsi="Arial"/>
                <w:color w:val="000000"/>
                <w:sz w:val="18"/>
              </w:rPr>
              <w:t>Paper format</w:t>
            </w:r>
          </w:p>
        </w:tc>
        <w:tc>
          <w:tcPr>
            <w:tcW w:w="3742" w:type="dxa"/>
            <w:vMerge w:val="restart"/>
            <w:shd w:val="clear" w:color="auto" w:fill="F2F2F2" w:themeFill="background1" w:themeFillShade="F2"/>
          </w:tcPr>
          <w:p w14:paraId="18FE44C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vary the authorisation conditions and other conditions of an Australian financial services licence (paper format)</w:t>
            </w:r>
          </w:p>
        </w:tc>
        <w:tc>
          <w:tcPr>
            <w:tcW w:w="1877" w:type="dxa"/>
            <w:vMerge w:val="restart"/>
            <w:shd w:val="clear" w:color="auto" w:fill="F2F2F2" w:themeFill="background1" w:themeFillShade="F2"/>
          </w:tcPr>
          <w:p w14:paraId="6DA1F0E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323</w:t>
            </w:r>
          </w:p>
        </w:tc>
        <w:tc>
          <w:tcPr>
            <w:tcW w:w="1351" w:type="dxa"/>
            <w:shd w:val="clear" w:color="auto" w:fill="F2F2F2" w:themeFill="background1" w:themeFillShade="F2"/>
          </w:tcPr>
          <w:p w14:paraId="78A3502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low complexity</w:t>
            </w:r>
          </w:p>
        </w:tc>
        <w:tc>
          <w:tcPr>
            <w:tcW w:w="805" w:type="dxa"/>
            <w:shd w:val="clear" w:color="auto" w:fill="F2F2F2" w:themeFill="background1" w:themeFillShade="F2"/>
          </w:tcPr>
          <w:p w14:paraId="2C47465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2,047</w:t>
            </w:r>
          </w:p>
        </w:tc>
      </w:tr>
      <w:tr w:rsidR="00144E7F" w:rsidRPr="00144E7F" w14:paraId="6DD73BCB" w14:textId="77777777" w:rsidTr="00CA5987">
        <w:trPr>
          <w:cantSplit/>
          <w:trHeight w:val="78"/>
        </w:trPr>
        <w:tc>
          <w:tcPr>
            <w:tcW w:w="1502" w:type="dxa"/>
            <w:vMerge/>
            <w:shd w:val="clear" w:color="auto" w:fill="F2F2F2" w:themeFill="background1" w:themeFillShade="F2"/>
          </w:tcPr>
          <w:p w14:paraId="59DDB53A"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297E459E"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6C41862D"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28C56D0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individual high complexity</w:t>
            </w:r>
          </w:p>
        </w:tc>
        <w:tc>
          <w:tcPr>
            <w:tcW w:w="805" w:type="dxa"/>
            <w:shd w:val="clear" w:color="auto" w:fill="F2F2F2" w:themeFill="background1" w:themeFillShade="F2"/>
          </w:tcPr>
          <w:p w14:paraId="38F36E3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4,606</w:t>
            </w:r>
          </w:p>
        </w:tc>
      </w:tr>
      <w:tr w:rsidR="00144E7F" w:rsidRPr="00144E7F" w14:paraId="5CFA3861" w14:textId="77777777" w:rsidTr="00CA5987">
        <w:trPr>
          <w:cantSplit/>
          <w:trHeight w:val="78"/>
        </w:trPr>
        <w:tc>
          <w:tcPr>
            <w:tcW w:w="1502" w:type="dxa"/>
            <w:vMerge/>
            <w:shd w:val="clear" w:color="auto" w:fill="F2F2F2" w:themeFill="background1" w:themeFillShade="F2"/>
          </w:tcPr>
          <w:p w14:paraId="751DCD75"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1360054E"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65B8484B"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69BA3F9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other body corporate low complexity</w:t>
            </w:r>
          </w:p>
        </w:tc>
        <w:tc>
          <w:tcPr>
            <w:tcW w:w="805" w:type="dxa"/>
            <w:shd w:val="clear" w:color="auto" w:fill="F2F2F2" w:themeFill="background1" w:themeFillShade="F2"/>
          </w:tcPr>
          <w:p w14:paraId="29271FC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3,349</w:t>
            </w:r>
          </w:p>
        </w:tc>
      </w:tr>
      <w:tr w:rsidR="00144E7F" w:rsidRPr="00144E7F" w14:paraId="549749EB" w14:textId="77777777" w:rsidTr="00CA5987">
        <w:trPr>
          <w:cantSplit/>
          <w:trHeight w:val="78"/>
        </w:trPr>
        <w:tc>
          <w:tcPr>
            <w:tcW w:w="1502" w:type="dxa"/>
            <w:vMerge/>
            <w:shd w:val="clear" w:color="auto" w:fill="F2F2F2" w:themeFill="background1" w:themeFillShade="F2"/>
          </w:tcPr>
          <w:p w14:paraId="0651D874"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0CE98D3F"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76DC58B7"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7E44527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Retail other  body corporate high complexity</w:t>
            </w:r>
          </w:p>
        </w:tc>
        <w:tc>
          <w:tcPr>
            <w:tcW w:w="805" w:type="dxa"/>
            <w:shd w:val="clear" w:color="auto" w:fill="F2F2F2" w:themeFill="background1" w:themeFillShade="F2"/>
          </w:tcPr>
          <w:p w14:paraId="1E1CDEA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4,815</w:t>
            </w:r>
          </w:p>
        </w:tc>
      </w:tr>
      <w:tr w:rsidR="00144E7F" w:rsidRPr="00144E7F" w14:paraId="18BF5DC5" w14:textId="77777777" w:rsidTr="00CA5987">
        <w:trPr>
          <w:cantSplit/>
          <w:trHeight w:val="78"/>
        </w:trPr>
        <w:tc>
          <w:tcPr>
            <w:tcW w:w="1502" w:type="dxa"/>
            <w:vMerge/>
            <w:shd w:val="clear" w:color="auto" w:fill="F2F2F2" w:themeFill="background1" w:themeFillShade="F2"/>
          </w:tcPr>
          <w:p w14:paraId="4AFBA99E"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33A6E5CB"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24CA7CF5"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07287F2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low complexity</w:t>
            </w:r>
          </w:p>
        </w:tc>
        <w:tc>
          <w:tcPr>
            <w:tcW w:w="805" w:type="dxa"/>
            <w:shd w:val="clear" w:color="auto" w:fill="F2F2F2" w:themeFill="background1" w:themeFillShade="F2"/>
          </w:tcPr>
          <w:p w14:paraId="37A38F5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1,426</w:t>
            </w:r>
          </w:p>
        </w:tc>
      </w:tr>
      <w:tr w:rsidR="00144E7F" w:rsidRPr="00144E7F" w14:paraId="1A65799A" w14:textId="77777777" w:rsidTr="00CA5987">
        <w:trPr>
          <w:cantSplit/>
          <w:trHeight w:val="78"/>
        </w:trPr>
        <w:tc>
          <w:tcPr>
            <w:tcW w:w="1502" w:type="dxa"/>
            <w:vMerge/>
            <w:shd w:val="clear" w:color="auto" w:fill="F2F2F2" w:themeFill="background1" w:themeFillShade="F2"/>
          </w:tcPr>
          <w:p w14:paraId="007CFB87"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shd w:val="clear" w:color="auto" w:fill="F2F2F2" w:themeFill="background1" w:themeFillShade="F2"/>
          </w:tcPr>
          <w:p w14:paraId="55CA1CEB"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shd w:val="clear" w:color="auto" w:fill="F2F2F2" w:themeFill="background1" w:themeFillShade="F2"/>
          </w:tcPr>
          <w:p w14:paraId="45C44A06"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1658A7A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individual high complexity</w:t>
            </w:r>
          </w:p>
        </w:tc>
        <w:tc>
          <w:tcPr>
            <w:tcW w:w="805" w:type="dxa"/>
            <w:shd w:val="clear" w:color="auto" w:fill="F2F2F2" w:themeFill="background1" w:themeFillShade="F2"/>
          </w:tcPr>
          <w:p w14:paraId="622401C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5,234</w:t>
            </w:r>
          </w:p>
        </w:tc>
      </w:tr>
      <w:tr w:rsidR="00144E7F" w:rsidRPr="00144E7F" w14:paraId="56713468" w14:textId="77777777" w:rsidTr="00D6307B">
        <w:trPr>
          <w:cantSplit/>
          <w:trHeight w:val="78"/>
        </w:trPr>
        <w:tc>
          <w:tcPr>
            <w:tcW w:w="1502" w:type="dxa"/>
            <w:vMerge/>
            <w:tcBorders>
              <w:bottom w:val="single" w:sz="4" w:space="0" w:color="004A7F"/>
            </w:tcBorders>
            <w:shd w:val="clear" w:color="auto" w:fill="F2F2F2" w:themeFill="background1" w:themeFillShade="F2"/>
          </w:tcPr>
          <w:p w14:paraId="41F6CCE8"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Borders>
              <w:bottom w:val="single" w:sz="4" w:space="0" w:color="004A7F"/>
            </w:tcBorders>
            <w:shd w:val="clear" w:color="auto" w:fill="F2F2F2" w:themeFill="background1" w:themeFillShade="F2"/>
          </w:tcPr>
          <w:p w14:paraId="341FB075"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Borders>
              <w:bottom w:val="single" w:sz="4" w:space="0" w:color="004A7F"/>
            </w:tcBorders>
            <w:shd w:val="clear" w:color="auto" w:fill="F2F2F2" w:themeFill="background1" w:themeFillShade="F2"/>
          </w:tcPr>
          <w:p w14:paraId="3EC1399E" w14:textId="77777777" w:rsidR="00144E7F" w:rsidRPr="00144E7F" w:rsidRDefault="00144E7F" w:rsidP="00144E7F">
            <w:pPr>
              <w:spacing w:before="80" w:after="80" w:line="240" w:lineRule="auto"/>
              <w:jc w:val="right"/>
              <w:rPr>
                <w:rFonts w:ascii="Arial" w:hAnsi="Arial"/>
                <w:color w:val="000000"/>
                <w:sz w:val="18"/>
              </w:rPr>
            </w:pPr>
          </w:p>
        </w:tc>
        <w:tc>
          <w:tcPr>
            <w:tcW w:w="1351" w:type="dxa"/>
            <w:tcBorders>
              <w:bottom w:val="single" w:sz="4" w:space="0" w:color="004A7F"/>
            </w:tcBorders>
            <w:shd w:val="clear" w:color="auto" w:fill="F2F2F2" w:themeFill="background1" w:themeFillShade="F2"/>
          </w:tcPr>
          <w:p w14:paraId="15CC365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low complexity</w:t>
            </w:r>
          </w:p>
        </w:tc>
        <w:tc>
          <w:tcPr>
            <w:tcW w:w="805" w:type="dxa"/>
            <w:tcBorders>
              <w:bottom w:val="single" w:sz="4" w:space="0" w:color="004A7F"/>
            </w:tcBorders>
            <w:shd w:val="clear" w:color="auto" w:fill="F2F2F2" w:themeFill="background1" w:themeFillShade="F2"/>
          </w:tcPr>
          <w:p w14:paraId="564CAC0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2,047</w:t>
            </w:r>
          </w:p>
        </w:tc>
      </w:tr>
    </w:tbl>
    <w:p w14:paraId="00FA9C6A" w14:textId="77777777" w:rsidR="00CA5987" w:rsidRDefault="00CA5987">
      <w:r>
        <w:br w:type="page"/>
      </w:r>
    </w:p>
    <w:tbl>
      <w:tblPr>
        <w:tblW w:w="9277" w:type="dxa"/>
        <w:tblLayout w:type="fixed"/>
        <w:tblLook w:val="04A0" w:firstRow="1" w:lastRow="0" w:firstColumn="1" w:lastColumn="0" w:noHBand="0" w:noVBand="1"/>
      </w:tblPr>
      <w:tblGrid>
        <w:gridCol w:w="1502"/>
        <w:gridCol w:w="3742"/>
        <w:gridCol w:w="1877"/>
        <w:gridCol w:w="1351"/>
        <w:gridCol w:w="805"/>
      </w:tblGrid>
      <w:tr w:rsidR="00CA5987" w:rsidRPr="00144E7F" w14:paraId="3AAF4318" w14:textId="77777777" w:rsidTr="00AB1802">
        <w:trPr>
          <w:cantSplit/>
        </w:trPr>
        <w:tc>
          <w:tcPr>
            <w:tcW w:w="1502" w:type="dxa"/>
            <w:tcBorders>
              <w:top w:val="single" w:sz="4" w:space="0" w:color="004A7F"/>
              <w:bottom w:val="single" w:sz="4" w:space="0" w:color="004A7F"/>
            </w:tcBorders>
            <w:shd w:val="clear" w:color="auto" w:fill="DEEAF6" w:themeFill="accent1" w:themeFillTint="33"/>
          </w:tcPr>
          <w:p w14:paraId="780715E4" w14:textId="77777777" w:rsidR="00CA5987" w:rsidRPr="00144E7F" w:rsidRDefault="00CA5987" w:rsidP="00AB1802">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42DFCA4F" w14:textId="77777777" w:rsidR="00CA5987" w:rsidRPr="00144E7F" w:rsidRDefault="00CA5987" w:rsidP="00AB1802">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1E61038E"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gridSpan w:val="2"/>
            <w:tcBorders>
              <w:top w:val="single" w:sz="4" w:space="0" w:color="004A7F"/>
              <w:bottom w:val="single" w:sz="4" w:space="0" w:color="004A7F"/>
            </w:tcBorders>
            <w:shd w:val="clear" w:color="auto" w:fill="DEEAF6" w:themeFill="accent1" w:themeFillTint="33"/>
          </w:tcPr>
          <w:p w14:paraId="0AD223AC"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34209EA7" w14:textId="77777777" w:rsidTr="00CA5987">
        <w:trPr>
          <w:cantSplit/>
          <w:trHeight w:val="78"/>
        </w:trPr>
        <w:tc>
          <w:tcPr>
            <w:tcW w:w="1502" w:type="dxa"/>
            <w:shd w:val="clear" w:color="auto" w:fill="F2F2F2" w:themeFill="background1" w:themeFillShade="F2"/>
          </w:tcPr>
          <w:p w14:paraId="4FF450C6" w14:textId="77777777" w:rsidR="00144E7F" w:rsidRPr="00144E7F" w:rsidRDefault="00144E7F" w:rsidP="00144E7F">
            <w:pPr>
              <w:spacing w:before="80" w:after="80" w:line="240" w:lineRule="auto"/>
              <w:jc w:val="left"/>
              <w:rPr>
                <w:rFonts w:ascii="Arial" w:hAnsi="Arial"/>
                <w:color w:val="000000"/>
                <w:sz w:val="18"/>
              </w:rPr>
            </w:pPr>
          </w:p>
        </w:tc>
        <w:tc>
          <w:tcPr>
            <w:tcW w:w="3742" w:type="dxa"/>
            <w:shd w:val="clear" w:color="auto" w:fill="F2F2F2" w:themeFill="background1" w:themeFillShade="F2"/>
          </w:tcPr>
          <w:p w14:paraId="6ACB9158" w14:textId="77777777" w:rsidR="00144E7F" w:rsidRPr="00144E7F" w:rsidRDefault="00144E7F" w:rsidP="00144E7F">
            <w:pPr>
              <w:spacing w:before="80" w:after="80" w:line="240" w:lineRule="auto"/>
              <w:jc w:val="left"/>
              <w:rPr>
                <w:rFonts w:ascii="Arial" w:hAnsi="Arial"/>
                <w:color w:val="000000"/>
                <w:sz w:val="18"/>
              </w:rPr>
            </w:pPr>
          </w:p>
        </w:tc>
        <w:tc>
          <w:tcPr>
            <w:tcW w:w="1877" w:type="dxa"/>
            <w:shd w:val="clear" w:color="auto" w:fill="F2F2F2" w:themeFill="background1" w:themeFillShade="F2"/>
          </w:tcPr>
          <w:p w14:paraId="1E93DFDF" w14:textId="77777777" w:rsidR="00144E7F" w:rsidRPr="00144E7F" w:rsidRDefault="00144E7F" w:rsidP="00144E7F">
            <w:pPr>
              <w:spacing w:before="80" w:after="80" w:line="240" w:lineRule="auto"/>
              <w:jc w:val="right"/>
              <w:rPr>
                <w:rFonts w:ascii="Arial" w:hAnsi="Arial"/>
                <w:color w:val="000000"/>
                <w:sz w:val="18"/>
              </w:rPr>
            </w:pPr>
          </w:p>
        </w:tc>
        <w:tc>
          <w:tcPr>
            <w:tcW w:w="1351" w:type="dxa"/>
            <w:shd w:val="clear" w:color="auto" w:fill="F2F2F2" w:themeFill="background1" w:themeFillShade="F2"/>
          </w:tcPr>
          <w:p w14:paraId="2A002E1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Wholesale other  body corporate high complexity</w:t>
            </w:r>
          </w:p>
        </w:tc>
        <w:tc>
          <w:tcPr>
            <w:tcW w:w="805" w:type="dxa"/>
            <w:shd w:val="clear" w:color="auto" w:fill="F2F2F2" w:themeFill="background1" w:themeFillShade="F2"/>
          </w:tcPr>
          <w:p w14:paraId="63F4745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4,606</w:t>
            </w:r>
          </w:p>
        </w:tc>
      </w:tr>
      <w:tr w:rsidR="00144E7F" w:rsidRPr="00144E7F" w14:paraId="5C11FABD" w14:textId="77777777" w:rsidTr="00CA5987">
        <w:trPr>
          <w:cantSplit/>
          <w:trHeight w:val="508"/>
        </w:trPr>
        <w:tc>
          <w:tcPr>
            <w:tcW w:w="1502" w:type="dxa"/>
          </w:tcPr>
          <w:p w14:paraId="62732D1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FS40</w:t>
            </w:r>
          </w:p>
        </w:tc>
        <w:tc>
          <w:tcPr>
            <w:tcW w:w="3742" w:type="dxa"/>
          </w:tcPr>
          <w:p w14:paraId="779646B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seeking Australian financial services licence under mutual recognition</w:t>
            </w:r>
          </w:p>
        </w:tc>
        <w:tc>
          <w:tcPr>
            <w:tcW w:w="1877" w:type="dxa"/>
          </w:tcPr>
          <w:p w14:paraId="5B24AA0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gridSpan w:val="2"/>
          </w:tcPr>
          <w:p w14:paraId="289AF767" w14:textId="09ABA25E"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514</w:t>
            </w:r>
          </w:p>
        </w:tc>
      </w:tr>
      <w:tr w:rsidR="00144E7F" w:rsidRPr="00144E7F" w14:paraId="114B2CFE" w14:textId="77777777" w:rsidTr="00CA5987">
        <w:trPr>
          <w:cantSplit/>
          <w:trHeight w:val="508"/>
        </w:trPr>
        <w:tc>
          <w:tcPr>
            <w:tcW w:w="1502" w:type="dxa"/>
            <w:shd w:val="clear" w:color="auto" w:fill="F2F2F2" w:themeFill="background1" w:themeFillShade="F2"/>
          </w:tcPr>
          <w:p w14:paraId="38CD1A1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FS64</w:t>
            </w:r>
          </w:p>
        </w:tc>
        <w:tc>
          <w:tcPr>
            <w:tcW w:w="3742" w:type="dxa"/>
            <w:shd w:val="clear" w:color="auto" w:fill="F2F2F2" w:themeFill="background1" w:themeFillShade="F2"/>
          </w:tcPr>
          <w:p w14:paraId="2F6E169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Request for voluntary suspension of an Australian financial services licence</w:t>
            </w:r>
          </w:p>
        </w:tc>
        <w:tc>
          <w:tcPr>
            <w:tcW w:w="1877" w:type="dxa"/>
            <w:shd w:val="clear" w:color="auto" w:fill="F2F2F2" w:themeFill="background1" w:themeFillShade="F2"/>
          </w:tcPr>
          <w:p w14:paraId="2D65172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shd w:val="clear" w:color="auto" w:fill="F2F2F2" w:themeFill="background1" w:themeFillShade="F2"/>
          </w:tcPr>
          <w:p w14:paraId="1A357EB9" w14:textId="4F969D54"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899</w:t>
            </w:r>
          </w:p>
        </w:tc>
      </w:tr>
      <w:tr w:rsidR="00144E7F" w:rsidRPr="00144E7F" w14:paraId="7CC88833" w14:textId="77777777" w:rsidTr="00CA5987">
        <w:trPr>
          <w:cantSplit/>
          <w:trHeight w:val="367"/>
        </w:trPr>
        <w:tc>
          <w:tcPr>
            <w:tcW w:w="1502" w:type="dxa"/>
          </w:tcPr>
          <w:p w14:paraId="0C09BF1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FS65</w:t>
            </w:r>
          </w:p>
        </w:tc>
        <w:tc>
          <w:tcPr>
            <w:tcW w:w="3742" w:type="dxa"/>
          </w:tcPr>
          <w:p w14:paraId="6CF41B9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Request to revoke Australian financial services licence</w:t>
            </w:r>
          </w:p>
        </w:tc>
        <w:tc>
          <w:tcPr>
            <w:tcW w:w="1877" w:type="dxa"/>
          </w:tcPr>
          <w:p w14:paraId="6BD3219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tcPr>
          <w:p w14:paraId="1DBD2887" w14:textId="28833E6E"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899</w:t>
            </w:r>
          </w:p>
        </w:tc>
      </w:tr>
      <w:tr w:rsidR="00144E7F" w:rsidRPr="00144E7F" w14:paraId="2BA7080E" w14:textId="77777777" w:rsidTr="00CA5987">
        <w:trPr>
          <w:cantSplit/>
          <w:trHeight w:val="508"/>
        </w:trPr>
        <w:tc>
          <w:tcPr>
            <w:tcW w:w="1502" w:type="dxa"/>
            <w:shd w:val="clear" w:color="auto" w:fill="F2F2F2" w:themeFill="background1" w:themeFillShade="F2"/>
          </w:tcPr>
          <w:p w14:paraId="341DFF7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FS68</w:t>
            </w:r>
          </w:p>
        </w:tc>
        <w:tc>
          <w:tcPr>
            <w:tcW w:w="3742" w:type="dxa"/>
            <w:shd w:val="clear" w:color="auto" w:fill="F2F2F2" w:themeFill="background1" w:themeFillShade="F2"/>
          </w:tcPr>
          <w:p w14:paraId="7DDE6A7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vary/revoke Australian financial services licence suspension</w:t>
            </w:r>
          </w:p>
        </w:tc>
        <w:tc>
          <w:tcPr>
            <w:tcW w:w="1877" w:type="dxa"/>
            <w:shd w:val="clear" w:color="auto" w:fill="F2F2F2" w:themeFill="background1" w:themeFillShade="F2"/>
          </w:tcPr>
          <w:p w14:paraId="58A8640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shd w:val="clear" w:color="auto" w:fill="F2F2F2" w:themeFill="background1" w:themeFillShade="F2"/>
          </w:tcPr>
          <w:p w14:paraId="4F131F5D" w14:textId="7D60273E"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899</w:t>
            </w:r>
          </w:p>
        </w:tc>
      </w:tr>
      <w:tr w:rsidR="00144E7F" w:rsidRPr="00144E7F" w14:paraId="08CD623A" w14:textId="77777777" w:rsidTr="00CA5987">
        <w:trPr>
          <w:cantSplit/>
          <w:trHeight w:val="508"/>
        </w:trPr>
        <w:tc>
          <w:tcPr>
            <w:tcW w:w="1502" w:type="dxa"/>
          </w:tcPr>
          <w:p w14:paraId="34E85B2B" w14:textId="6B3959CD"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FS86</w:t>
            </w:r>
            <w:r w:rsidR="00BE11F5">
              <w:rPr>
                <w:rFonts w:ascii="Arial" w:hAnsi="Arial"/>
                <w:color w:val="000000"/>
                <w:sz w:val="18"/>
              </w:rPr>
              <w:br/>
            </w:r>
            <w:r w:rsidRPr="00144E7F">
              <w:rPr>
                <w:rFonts w:ascii="Arial" w:hAnsi="Arial"/>
                <w:color w:val="000000"/>
                <w:sz w:val="18"/>
              </w:rPr>
              <w:t xml:space="preserve">(Fee also applies to  sub forms FS86A, FS86B, FS86C) </w:t>
            </w:r>
          </w:p>
          <w:p w14:paraId="50FE5E5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FS86D is an application for Relief)</w:t>
            </w:r>
          </w:p>
        </w:tc>
        <w:tc>
          <w:tcPr>
            <w:tcW w:w="3742" w:type="dxa"/>
          </w:tcPr>
          <w:p w14:paraId="4976ABD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Notice of Reliance on Class Order 04/909 </w:t>
            </w:r>
          </w:p>
        </w:tc>
        <w:tc>
          <w:tcPr>
            <w:tcW w:w="1877" w:type="dxa"/>
          </w:tcPr>
          <w:p w14:paraId="68AA33D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gridSpan w:val="2"/>
          </w:tcPr>
          <w:p w14:paraId="64937A72" w14:textId="4DBE03E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319</w:t>
            </w:r>
          </w:p>
        </w:tc>
      </w:tr>
      <w:tr w:rsidR="00144E7F" w:rsidRPr="00144E7F" w14:paraId="0A3E1905" w14:textId="77777777" w:rsidTr="00CA5987">
        <w:trPr>
          <w:cantSplit/>
          <w:trHeight w:val="508"/>
        </w:trPr>
        <w:tc>
          <w:tcPr>
            <w:tcW w:w="1502" w:type="dxa"/>
            <w:shd w:val="clear" w:color="auto" w:fill="F2F2F2" w:themeFill="background1" w:themeFillShade="F2"/>
          </w:tcPr>
          <w:p w14:paraId="4A3DF362" w14:textId="31ABF9BD" w:rsidR="00144E7F" w:rsidRPr="00144E7F" w:rsidRDefault="00E666EE" w:rsidP="00144E7F">
            <w:pPr>
              <w:spacing w:before="80" w:after="80" w:line="240" w:lineRule="auto"/>
              <w:jc w:val="left"/>
              <w:rPr>
                <w:rFonts w:ascii="Arial" w:hAnsi="Arial"/>
                <w:color w:val="000000"/>
                <w:sz w:val="18"/>
              </w:rPr>
            </w:pPr>
            <w:r>
              <w:rPr>
                <w:rFonts w:ascii="Arial" w:hAnsi="Arial"/>
                <w:color w:val="000000"/>
                <w:sz w:val="18"/>
              </w:rPr>
              <w:t>M01</w:t>
            </w:r>
          </w:p>
        </w:tc>
        <w:tc>
          <w:tcPr>
            <w:tcW w:w="3742" w:type="dxa"/>
            <w:shd w:val="clear" w:color="auto" w:fill="F2F2F2" w:themeFill="background1" w:themeFillShade="F2"/>
          </w:tcPr>
          <w:p w14:paraId="45AEC5C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an Australian Markets Licence</w:t>
            </w:r>
          </w:p>
        </w:tc>
        <w:tc>
          <w:tcPr>
            <w:tcW w:w="1877" w:type="dxa"/>
            <w:shd w:val="clear" w:color="auto" w:fill="F2F2F2" w:themeFill="background1" w:themeFillShade="F2"/>
          </w:tcPr>
          <w:p w14:paraId="5CE72316" w14:textId="77777777" w:rsidR="00144E7F" w:rsidRPr="00144E7F" w:rsidRDefault="00144E7F" w:rsidP="00737E5E">
            <w:pPr>
              <w:pStyle w:val="TableTextRight"/>
            </w:pPr>
            <w:r w:rsidRPr="00144E7F">
              <w:t>1600</w:t>
            </w:r>
          </w:p>
        </w:tc>
        <w:tc>
          <w:tcPr>
            <w:tcW w:w="2156" w:type="dxa"/>
            <w:gridSpan w:val="2"/>
            <w:shd w:val="clear" w:color="auto" w:fill="F2F2F2" w:themeFill="background1" w:themeFillShade="F2"/>
          </w:tcPr>
          <w:p w14:paraId="2A39E620" w14:textId="6320FF19" w:rsidR="00144E7F" w:rsidRPr="00144E7F" w:rsidRDefault="00144E7F" w:rsidP="00737E5E">
            <w:pPr>
              <w:pStyle w:val="TableTextRight"/>
            </w:pPr>
            <w:r w:rsidRPr="00144E7F">
              <w:t xml:space="preserve"> Low complexity – 15,</w:t>
            </w:r>
            <w:r w:rsidR="00BE11F5">
              <w:t> </w:t>
            </w:r>
            <w:r w:rsidRPr="00144E7F">
              <w:t>462</w:t>
            </w:r>
            <w:r w:rsidRPr="00144E7F">
              <w:br/>
              <w:t>Med complexity</w:t>
            </w:r>
            <w:r w:rsidR="00BE11F5">
              <w:t xml:space="preserve"> </w:t>
            </w:r>
            <w:r w:rsidRPr="00144E7F">
              <w:t>– 85,888</w:t>
            </w:r>
            <w:r w:rsidRPr="00144E7F">
              <w:br/>
              <w:t>High complexity</w:t>
            </w:r>
            <w:r w:rsidR="00BE11F5">
              <w:t xml:space="preserve"> </w:t>
            </w:r>
            <w:r w:rsidRPr="00144E7F">
              <w:t xml:space="preserve">– 154,596 </w:t>
            </w:r>
          </w:p>
        </w:tc>
      </w:tr>
      <w:tr w:rsidR="00144E7F" w:rsidRPr="00144E7F" w14:paraId="639F9C11" w14:textId="77777777" w:rsidTr="00CA5987">
        <w:trPr>
          <w:cantSplit/>
          <w:trHeight w:val="508"/>
        </w:trPr>
        <w:tc>
          <w:tcPr>
            <w:tcW w:w="1502" w:type="dxa"/>
          </w:tcPr>
          <w:p w14:paraId="0B527B8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M02</w:t>
            </w:r>
          </w:p>
        </w:tc>
        <w:tc>
          <w:tcPr>
            <w:tcW w:w="3742" w:type="dxa"/>
          </w:tcPr>
          <w:p w14:paraId="765ACCE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exemption under section 791C - Markets</w:t>
            </w:r>
          </w:p>
        </w:tc>
        <w:tc>
          <w:tcPr>
            <w:tcW w:w="1877" w:type="dxa"/>
          </w:tcPr>
          <w:p w14:paraId="14739D5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1600</w:t>
            </w:r>
          </w:p>
        </w:tc>
        <w:tc>
          <w:tcPr>
            <w:tcW w:w="2156" w:type="dxa"/>
            <w:gridSpan w:val="2"/>
          </w:tcPr>
          <w:p w14:paraId="32683AAC" w14:textId="60CF8E6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27EF60A2" w14:textId="77777777" w:rsidTr="00CA5987">
        <w:trPr>
          <w:cantSplit/>
          <w:trHeight w:val="508"/>
        </w:trPr>
        <w:tc>
          <w:tcPr>
            <w:tcW w:w="1502" w:type="dxa"/>
            <w:shd w:val="clear" w:color="auto" w:fill="F2F2F2" w:themeFill="background1" w:themeFillShade="F2"/>
          </w:tcPr>
          <w:p w14:paraId="7D33323B" w14:textId="5095BE68"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M03</w:t>
            </w:r>
            <w:r w:rsidRPr="00144E7F">
              <w:rPr>
                <w:rFonts w:ascii="Arial" w:hAnsi="Arial"/>
                <w:color w:val="000000"/>
                <w:sz w:val="18"/>
              </w:rPr>
              <w:br/>
              <w:t>(Fee also ap</w:t>
            </w:r>
            <w:r w:rsidR="00E666EE">
              <w:rPr>
                <w:rFonts w:ascii="Arial" w:hAnsi="Arial"/>
                <w:color w:val="000000"/>
                <w:sz w:val="18"/>
              </w:rPr>
              <w:t>plies to sub forms M03A &amp; M03B)</w:t>
            </w:r>
          </w:p>
        </w:tc>
        <w:tc>
          <w:tcPr>
            <w:tcW w:w="3742" w:type="dxa"/>
            <w:shd w:val="clear" w:color="auto" w:fill="F2F2F2" w:themeFill="background1" w:themeFillShade="F2"/>
          </w:tcPr>
          <w:p w14:paraId="301AFD84" w14:textId="43FCBB95"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changes to opera</w:t>
            </w:r>
            <w:r w:rsidR="005B6360">
              <w:rPr>
                <w:rFonts w:ascii="Arial" w:hAnsi="Arial"/>
                <w:color w:val="000000"/>
                <w:sz w:val="18"/>
              </w:rPr>
              <w:t>ting rules section 793D</w:t>
            </w:r>
          </w:p>
        </w:tc>
        <w:tc>
          <w:tcPr>
            <w:tcW w:w="1877" w:type="dxa"/>
            <w:shd w:val="clear" w:color="auto" w:fill="F2F2F2" w:themeFill="background1" w:themeFillShade="F2"/>
          </w:tcPr>
          <w:p w14:paraId="167C830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161</w:t>
            </w:r>
          </w:p>
        </w:tc>
        <w:tc>
          <w:tcPr>
            <w:tcW w:w="2156" w:type="dxa"/>
            <w:gridSpan w:val="2"/>
            <w:shd w:val="clear" w:color="auto" w:fill="F2F2F2" w:themeFill="background1" w:themeFillShade="F2"/>
          </w:tcPr>
          <w:p w14:paraId="41BA6CDE" w14:textId="64896252" w:rsidR="00144E7F" w:rsidRPr="00737E5E" w:rsidRDefault="00144E7F" w:rsidP="007E535E">
            <w:pPr>
              <w:pStyle w:val="TableTextRight"/>
            </w:pPr>
            <w:r w:rsidRPr="00737E5E">
              <w:t xml:space="preserve"> Low complexity</w:t>
            </w:r>
            <w:r w:rsidR="00BE11F5" w:rsidRPr="00737E5E">
              <w:t xml:space="preserve"> </w:t>
            </w:r>
            <w:r w:rsidR="00737E5E" w:rsidRPr="00737E5E">
              <w:t>–</w:t>
            </w:r>
            <w:r w:rsidR="00737E5E" w:rsidRPr="00737E5E">
              <w:br/>
            </w:r>
            <w:r w:rsidRPr="00737E5E">
              <w:t>2,580</w:t>
            </w:r>
            <w:r w:rsidRPr="00737E5E">
              <w:br/>
              <w:t>Med complexity</w:t>
            </w:r>
            <w:r w:rsidR="00BE11F5" w:rsidRPr="00737E5E">
              <w:t xml:space="preserve"> </w:t>
            </w:r>
            <w:r w:rsidR="00737E5E" w:rsidRPr="00737E5E">
              <w:t>– 38,651</w:t>
            </w:r>
          </w:p>
        </w:tc>
      </w:tr>
      <w:tr w:rsidR="00144E7F" w:rsidRPr="00144E7F" w14:paraId="0B1DF50F" w14:textId="77777777" w:rsidTr="00CA5987">
        <w:trPr>
          <w:cantSplit/>
          <w:trHeight w:val="371"/>
        </w:trPr>
        <w:tc>
          <w:tcPr>
            <w:tcW w:w="1502" w:type="dxa"/>
          </w:tcPr>
          <w:p w14:paraId="255AF47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M04</w:t>
            </w:r>
          </w:p>
        </w:tc>
        <w:tc>
          <w:tcPr>
            <w:tcW w:w="3742" w:type="dxa"/>
          </w:tcPr>
          <w:p w14:paraId="2D61CD0E" w14:textId="25812442" w:rsidR="00144E7F" w:rsidRPr="00144E7F" w:rsidRDefault="00104090" w:rsidP="00104090">
            <w:pPr>
              <w:spacing w:before="80" w:after="80" w:line="240" w:lineRule="auto"/>
              <w:jc w:val="left"/>
              <w:rPr>
                <w:rFonts w:ascii="Arial" w:hAnsi="Arial"/>
                <w:color w:val="000000"/>
                <w:sz w:val="18"/>
              </w:rPr>
            </w:pPr>
            <w:r>
              <w:rPr>
                <w:rFonts w:ascii="Arial" w:hAnsi="Arial"/>
                <w:color w:val="000000"/>
                <w:sz w:val="18"/>
              </w:rPr>
              <w:t>Application for exemption section 820C(1) – Clearing and Settlement Facility</w:t>
            </w:r>
          </w:p>
        </w:tc>
        <w:tc>
          <w:tcPr>
            <w:tcW w:w="1877" w:type="dxa"/>
          </w:tcPr>
          <w:p w14:paraId="1C0458A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1600</w:t>
            </w:r>
          </w:p>
        </w:tc>
        <w:tc>
          <w:tcPr>
            <w:tcW w:w="2156" w:type="dxa"/>
            <w:gridSpan w:val="2"/>
          </w:tcPr>
          <w:p w14:paraId="6DCA7601" w14:textId="75ED388A"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145E919D" w14:textId="77777777" w:rsidTr="00CA5987">
        <w:trPr>
          <w:cantSplit/>
          <w:trHeight w:val="508"/>
        </w:trPr>
        <w:tc>
          <w:tcPr>
            <w:tcW w:w="1502" w:type="dxa"/>
            <w:shd w:val="clear" w:color="auto" w:fill="F2F2F2" w:themeFill="background1" w:themeFillShade="F2"/>
          </w:tcPr>
          <w:p w14:paraId="174EFB1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M07</w:t>
            </w:r>
          </w:p>
        </w:tc>
        <w:tc>
          <w:tcPr>
            <w:tcW w:w="3742" w:type="dxa"/>
            <w:shd w:val="clear" w:color="auto" w:fill="F2F2F2" w:themeFill="background1" w:themeFillShade="F2"/>
          </w:tcPr>
          <w:p w14:paraId="4C04905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changes to Security Exchange Guarantee Corporation operating rules section 890G(1)</w:t>
            </w:r>
          </w:p>
        </w:tc>
        <w:tc>
          <w:tcPr>
            <w:tcW w:w="1877" w:type="dxa"/>
            <w:shd w:val="clear" w:color="auto" w:fill="F2F2F2" w:themeFill="background1" w:themeFillShade="F2"/>
          </w:tcPr>
          <w:p w14:paraId="6622C07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161</w:t>
            </w:r>
          </w:p>
        </w:tc>
        <w:tc>
          <w:tcPr>
            <w:tcW w:w="2156" w:type="dxa"/>
            <w:gridSpan w:val="2"/>
            <w:shd w:val="clear" w:color="auto" w:fill="F2F2F2" w:themeFill="background1" w:themeFillShade="F2"/>
          </w:tcPr>
          <w:p w14:paraId="5E3E3AB1" w14:textId="5F3DED94"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14DBD50A" w14:textId="77777777" w:rsidTr="00CA5987">
        <w:trPr>
          <w:cantSplit/>
          <w:trHeight w:val="508"/>
        </w:trPr>
        <w:tc>
          <w:tcPr>
            <w:tcW w:w="1502" w:type="dxa"/>
          </w:tcPr>
          <w:p w14:paraId="0B04EA7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M09</w:t>
            </w:r>
          </w:p>
        </w:tc>
        <w:tc>
          <w:tcPr>
            <w:tcW w:w="3742" w:type="dxa"/>
          </w:tcPr>
          <w:p w14:paraId="56A2793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variation of conditions markets licence (section 796A(2))</w:t>
            </w:r>
          </w:p>
        </w:tc>
        <w:tc>
          <w:tcPr>
            <w:tcW w:w="1877" w:type="dxa"/>
          </w:tcPr>
          <w:p w14:paraId="32112B7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800</w:t>
            </w:r>
          </w:p>
        </w:tc>
        <w:tc>
          <w:tcPr>
            <w:tcW w:w="2156" w:type="dxa"/>
            <w:gridSpan w:val="2"/>
          </w:tcPr>
          <w:p w14:paraId="57BD5111" w14:textId="0785AF1E"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2F564E2F" w14:textId="77777777" w:rsidTr="00CA5987">
        <w:trPr>
          <w:cantSplit/>
          <w:trHeight w:val="508"/>
        </w:trPr>
        <w:tc>
          <w:tcPr>
            <w:tcW w:w="1502" w:type="dxa"/>
            <w:shd w:val="clear" w:color="auto" w:fill="F2F2F2" w:themeFill="background1" w:themeFillShade="F2"/>
          </w:tcPr>
          <w:p w14:paraId="5088AEA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M10</w:t>
            </w:r>
          </w:p>
        </w:tc>
        <w:tc>
          <w:tcPr>
            <w:tcW w:w="3742" w:type="dxa"/>
            <w:shd w:val="clear" w:color="auto" w:fill="F2F2F2" w:themeFill="background1" w:themeFillShade="F2"/>
          </w:tcPr>
          <w:p w14:paraId="26A05A10" w14:textId="5C4AFE0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for variation of market licence </w:t>
            </w:r>
            <w:r w:rsidR="00983BAF" w:rsidRPr="00983BAF">
              <w:rPr>
                <w:rFonts w:ascii="Arial" w:hAnsi="Arial"/>
                <w:color w:val="000000"/>
                <w:sz w:val="18"/>
              </w:rPr>
              <w:t>–</w:t>
            </w:r>
            <w:r w:rsidRPr="00144E7F">
              <w:rPr>
                <w:rFonts w:ascii="Arial" w:hAnsi="Arial"/>
                <w:color w:val="000000"/>
                <w:sz w:val="18"/>
              </w:rPr>
              <w:t xml:space="preserve"> change of name (section 797A(1))</w:t>
            </w:r>
          </w:p>
        </w:tc>
        <w:tc>
          <w:tcPr>
            <w:tcW w:w="1877" w:type="dxa"/>
            <w:shd w:val="clear" w:color="auto" w:fill="F2F2F2" w:themeFill="background1" w:themeFillShade="F2"/>
          </w:tcPr>
          <w:p w14:paraId="70ABF02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274</w:t>
            </w:r>
          </w:p>
        </w:tc>
        <w:tc>
          <w:tcPr>
            <w:tcW w:w="2156" w:type="dxa"/>
            <w:gridSpan w:val="2"/>
            <w:shd w:val="clear" w:color="auto" w:fill="F2F2F2" w:themeFill="background1" w:themeFillShade="F2"/>
          </w:tcPr>
          <w:p w14:paraId="0F28E7EE" w14:textId="5A47A1C0"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1,549</w:t>
            </w:r>
          </w:p>
        </w:tc>
      </w:tr>
      <w:tr w:rsidR="00144E7F" w:rsidRPr="00144E7F" w14:paraId="32E2925E" w14:textId="77777777" w:rsidTr="00CA5987">
        <w:trPr>
          <w:cantSplit/>
          <w:trHeight w:val="508"/>
        </w:trPr>
        <w:tc>
          <w:tcPr>
            <w:tcW w:w="1502" w:type="dxa"/>
          </w:tcPr>
          <w:p w14:paraId="76BDF5A8" w14:textId="2A509CD9" w:rsidR="00144E7F" w:rsidRPr="00144E7F" w:rsidRDefault="00144E7F" w:rsidP="005B6360">
            <w:pPr>
              <w:spacing w:before="80" w:after="80" w:line="240" w:lineRule="auto"/>
              <w:jc w:val="left"/>
              <w:rPr>
                <w:rFonts w:ascii="Arial" w:hAnsi="Arial"/>
                <w:color w:val="000000"/>
                <w:sz w:val="18"/>
              </w:rPr>
            </w:pPr>
            <w:r w:rsidRPr="00144E7F">
              <w:rPr>
                <w:rFonts w:ascii="Arial" w:hAnsi="Arial"/>
                <w:color w:val="000000"/>
                <w:sz w:val="18"/>
              </w:rPr>
              <w:t>M11</w:t>
            </w:r>
            <w:r w:rsidR="005B6360">
              <w:rPr>
                <w:rFonts w:ascii="Arial" w:hAnsi="Arial"/>
                <w:color w:val="000000"/>
                <w:sz w:val="18"/>
              </w:rPr>
              <w:br/>
            </w:r>
            <w:r w:rsidRPr="00144E7F">
              <w:rPr>
                <w:rFonts w:ascii="Arial" w:hAnsi="Arial"/>
                <w:color w:val="000000"/>
                <w:sz w:val="18"/>
              </w:rPr>
              <w:t>)</w:t>
            </w:r>
          </w:p>
        </w:tc>
        <w:tc>
          <w:tcPr>
            <w:tcW w:w="3742" w:type="dxa"/>
          </w:tcPr>
          <w:p w14:paraId="7086167B" w14:textId="4A54D709"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exemption or decl</w:t>
            </w:r>
            <w:r w:rsidR="00BE11F5">
              <w:rPr>
                <w:rFonts w:ascii="Arial" w:hAnsi="Arial"/>
                <w:color w:val="000000"/>
                <w:sz w:val="18"/>
              </w:rPr>
              <w:t>aration under section 1075A(1)</w:t>
            </w:r>
          </w:p>
        </w:tc>
        <w:tc>
          <w:tcPr>
            <w:tcW w:w="1877" w:type="dxa"/>
          </w:tcPr>
          <w:p w14:paraId="63194E7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800</w:t>
            </w:r>
          </w:p>
        </w:tc>
        <w:tc>
          <w:tcPr>
            <w:tcW w:w="2156" w:type="dxa"/>
            <w:gridSpan w:val="2"/>
          </w:tcPr>
          <w:p w14:paraId="5CE406B7" w14:textId="7C8C8BE2"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17,590</w:t>
            </w:r>
          </w:p>
        </w:tc>
      </w:tr>
      <w:tr w:rsidR="00144E7F" w:rsidRPr="00144E7F" w14:paraId="348E0231" w14:textId="77777777" w:rsidTr="00CA5987">
        <w:trPr>
          <w:cantSplit/>
          <w:trHeight w:val="508"/>
        </w:trPr>
        <w:tc>
          <w:tcPr>
            <w:tcW w:w="1502" w:type="dxa"/>
            <w:shd w:val="clear" w:color="auto" w:fill="F2F2F2" w:themeFill="background1" w:themeFillShade="F2"/>
          </w:tcPr>
          <w:p w14:paraId="18FC496A" w14:textId="54297B64" w:rsidR="00144E7F" w:rsidRPr="00144E7F" w:rsidRDefault="00144E7F" w:rsidP="005B6360">
            <w:pPr>
              <w:spacing w:before="80" w:after="80" w:line="240" w:lineRule="auto"/>
              <w:jc w:val="left"/>
              <w:rPr>
                <w:rFonts w:ascii="Arial" w:hAnsi="Arial"/>
                <w:color w:val="000000"/>
                <w:sz w:val="18"/>
              </w:rPr>
            </w:pPr>
            <w:r w:rsidRPr="00144E7F">
              <w:rPr>
                <w:rFonts w:ascii="Arial" w:hAnsi="Arial"/>
                <w:color w:val="000000"/>
                <w:sz w:val="18"/>
              </w:rPr>
              <w:t>M12</w:t>
            </w:r>
            <w:r w:rsidR="005B6360">
              <w:rPr>
                <w:rFonts w:ascii="Arial" w:hAnsi="Arial"/>
                <w:color w:val="000000"/>
                <w:sz w:val="18"/>
              </w:rPr>
              <w:br/>
            </w:r>
            <w:r w:rsidRPr="00144E7F">
              <w:rPr>
                <w:rFonts w:ascii="Arial" w:hAnsi="Arial"/>
                <w:color w:val="000000"/>
                <w:sz w:val="18"/>
              </w:rPr>
              <w:t>)</w:t>
            </w:r>
          </w:p>
        </w:tc>
        <w:tc>
          <w:tcPr>
            <w:tcW w:w="3742" w:type="dxa"/>
            <w:shd w:val="clear" w:color="auto" w:fill="F2F2F2" w:themeFill="background1" w:themeFillShade="F2"/>
          </w:tcPr>
          <w:p w14:paraId="2199328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for declaration under section 1073E(1) </w:t>
            </w:r>
          </w:p>
        </w:tc>
        <w:tc>
          <w:tcPr>
            <w:tcW w:w="1877" w:type="dxa"/>
            <w:shd w:val="clear" w:color="auto" w:fill="F2F2F2" w:themeFill="background1" w:themeFillShade="F2"/>
          </w:tcPr>
          <w:p w14:paraId="0D339E9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800</w:t>
            </w:r>
          </w:p>
        </w:tc>
        <w:tc>
          <w:tcPr>
            <w:tcW w:w="2156" w:type="dxa"/>
            <w:gridSpan w:val="2"/>
            <w:shd w:val="clear" w:color="auto" w:fill="F2F2F2" w:themeFill="background1" w:themeFillShade="F2"/>
          </w:tcPr>
          <w:p w14:paraId="1058AA68" w14:textId="768A7F33"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17,590</w:t>
            </w:r>
          </w:p>
        </w:tc>
      </w:tr>
      <w:tr w:rsidR="00104090" w:rsidRPr="00144E7F" w14:paraId="05A7396E" w14:textId="77777777" w:rsidTr="00D6307B">
        <w:trPr>
          <w:cantSplit/>
          <w:trHeight w:val="508"/>
        </w:trPr>
        <w:tc>
          <w:tcPr>
            <w:tcW w:w="1502" w:type="dxa"/>
          </w:tcPr>
          <w:p w14:paraId="46F6E44C" w14:textId="77777777" w:rsidR="00104090" w:rsidRPr="00144E7F" w:rsidRDefault="00104090" w:rsidP="00144E7F">
            <w:pPr>
              <w:spacing w:before="80" w:after="80" w:line="240" w:lineRule="auto"/>
              <w:jc w:val="left"/>
              <w:rPr>
                <w:rFonts w:ascii="Arial" w:hAnsi="Arial"/>
                <w:color w:val="000000"/>
                <w:sz w:val="18"/>
              </w:rPr>
            </w:pPr>
            <w:r w:rsidRPr="00144E7F">
              <w:rPr>
                <w:rFonts w:ascii="Arial" w:hAnsi="Arial"/>
                <w:color w:val="000000"/>
                <w:sz w:val="18"/>
              </w:rPr>
              <w:t>M14</w:t>
            </w:r>
          </w:p>
        </w:tc>
        <w:tc>
          <w:tcPr>
            <w:tcW w:w="3742" w:type="dxa"/>
          </w:tcPr>
          <w:p w14:paraId="08A110ED" w14:textId="5AB7CEE7" w:rsidR="00104090" w:rsidRPr="00144E7F" w:rsidRDefault="00104090" w:rsidP="00144E7F">
            <w:pPr>
              <w:spacing w:before="80" w:after="80" w:line="240" w:lineRule="auto"/>
              <w:jc w:val="left"/>
              <w:rPr>
                <w:rFonts w:ascii="Arial" w:hAnsi="Arial"/>
                <w:color w:val="000000"/>
                <w:sz w:val="18"/>
              </w:rPr>
            </w:pPr>
            <w:r>
              <w:rPr>
                <w:rFonts w:ascii="Arial" w:hAnsi="Arial"/>
                <w:color w:val="000000"/>
                <w:sz w:val="18"/>
                <w:lang w:eastAsia="en-US"/>
              </w:rPr>
              <w:t>Application to vary conditions on Clearing and Settlement facility licence</w:t>
            </w:r>
          </w:p>
        </w:tc>
        <w:tc>
          <w:tcPr>
            <w:tcW w:w="1877" w:type="dxa"/>
          </w:tcPr>
          <w:p w14:paraId="26131B5B" w14:textId="77777777" w:rsidR="00104090" w:rsidRPr="00144E7F" w:rsidRDefault="00104090" w:rsidP="00144E7F">
            <w:pPr>
              <w:spacing w:before="80" w:after="80" w:line="240" w:lineRule="auto"/>
              <w:jc w:val="right"/>
              <w:rPr>
                <w:rFonts w:ascii="Arial" w:hAnsi="Arial"/>
                <w:color w:val="000000"/>
                <w:sz w:val="18"/>
              </w:rPr>
            </w:pPr>
            <w:r w:rsidRPr="00144E7F">
              <w:rPr>
                <w:rFonts w:ascii="Arial" w:hAnsi="Arial"/>
                <w:color w:val="000000"/>
                <w:sz w:val="18"/>
              </w:rPr>
              <w:t>800</w:t>
            </w:r>
          </w:p>
        </w:tc>
        <w:tc>
          <w:tcPr>
            <w:tcW w:w="2156" w:type="dxa"/>
            <w:gridSpan w:val="2"/>
          </w:tcPr>
          <w:p w14:paraId="460D41EF" w14:textId="2E645B9F" w:rsidR="00104090" w:rsidRPr="00144E7F" w:rsidRDefault="00104090"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04090" w:rsidRPr="00144E7F" w14:paraId="03C6E70F" w14:textId="77777777" w:rsidTr="00D6307B">
        <w:trPr>
          <w:cantSplit/>
          <w:trHeight w:val="403"/>
        </w:trPr>
        <w:tc>
          <w:tcPr>
            <w:tcW w:w="1502" w:type="dxa"/>
            <w:tcBorders>
              <w:bottom w:val="single" w:sz="4" w:space="0" w:color="004A7F"/>
            </w:tcBorders>
            <w:shd w:val="clear" w:color="auto" w:fill="F2F2F2" w:themeFill="background1" w:themeFillShade="F2"/>
          </w:tcPr>
          <w:p w14:paraId="7B52EF00" w14:textId="77777777" w:rsidR="00104090" w:rsidRPr="00144E7F" w:rsidRDefault="00104090" w:rsidP="00144E7F">
            <w:pPr>
              <w:spacing w:before="80" w:after="80" w:line="240" w:lineRule="auto"/>
              <w:jc w:val="left"/>
              <w:rPr>
                <w:rFonts w:ascii="Arial" w:hAnsi="Arial"/>
                <w:color w:val="000000"/>
                <w:sz w:val="18"/>
              </w:rPr>
            </w:pPr>
            <w:r w:rsidRPr="00144E7F">
              <w:rPr>
                <w:rFonts w:ascii="Arial" w:hAnsi="Arial"/>
                <w:color w:val="000000"/>
                <w:sz w:val="18"/>
              </w:rPr>
              <w:t>M15</w:t>
            </w:r>
          </w:p>
        </w:tc>
        <w:tc>
          <w:tcPr>
            <w:tcW w:w="3742" w:type="dxa"/>
            <w:tcBorders>
              <w:bottom w:val="single" w:sz="4" w:space="0" w:color="004A7F"/>
            </w:tcBorders>
            <w:shd w:val="clear" w:color="auto" w:fill="F2F2F2" w:themeFill="background1" w:themeFillShade="F2"/>
          </w:tcPr>
          <w:p w14:paraId="37A7BC20" w14:textId="259E66FB" w:rsidR="00104090" w:rsidRPr="00144E7F" w:rsidRDefault="00104090" w:rsidP="00144E7F">
            <w:pPr>
              <w:spacing w:before="80" w:after="80" w:line="240" w:lineRule="auto"/>
              <w:jc w:val="left"/>
              <w:rPr>
                <w:rFonts w:ascii="Arial" w:hAnsi="Arial"/>
                <w:color w:val="000000"/>
                <w:sz w:val="18"/>
              </w:rPr>
            </w:pPr>
            <w:r>
              <w:rPr>
                <w:rFonts w:ascii="Arial" w:hAnsi="Arial"/>
                <w:color w:val="000000"/>
                <w:sz w:val="18"/>
                <w:lang w:eastAsia="en-US"/>
              </w:rPr>
              <w:t>Change of name – Clearing and Settlement facility licence</w:t>
            </w:r>
          </w:p>
        </w:tc>
        <w:tc>
          <w:tcPr>
            <w:tcW w:w="1877" w:type="dxa"/>
            <w:tcBorders>
              <w:bottom w:val="single" w:sz="4" w:space="0" w:color="004A7F"/>
            </w:tcBorders>
            <w:shd w:val="clear" w:color="auto" w:fill="F2F2F2" w:themeFill="background1" w:themeFillShade="F2"/>
          </w:tcPr>
          <w:p w14:paraId="38E8EB78" w14:textId="77777777" w:rsidR="00104090" w:rsidRPr="00144E7F" w:rsidRDefault="00104090" w:rsidP="00144E7F">
            <w:pPr>
              <w:spacing w:before="80" w:after="80" w:line="240" w:lineRule="auto"/>
              <w:jc w:val="right"/>
              <w:rPr>
                <w:rFonts w:ascii="Arial" w:hAnsi="Arial"/>
                <w:color w:val="000000"/>
                <w:sz w:val="18"/>
              </w:rPr>
            </w:pPr>
            <w:r w:rsidRPr="00144E7F">
              <w:rPr>
                <w:rFonts w:ascii="Arial" w:hAnsi="Arial"/>
                <w:color w:val="000000"/>
                <w:sz w:val="18"/>
              </w:rPr>
              <w:t>274</w:t>
            </w:r>
          </w:p>
        </w:tc>
        <w:tc>
          <w:tcPr>
            <w:tcW w:w="2156" w:type="dxa"/>
            <w:gridSpan w:val="2"/>
            <w:tcBorders>
              <w:bottom w:val="single" w:sz="4" w:space="0" w:color="004A7F"/>
            </w:tcBorders>
            <w:shd w:val="clear" w:color="auto" w:fill="F2F2F2" w:themeFill="background1" w:themeFillShade="F2"/>
          </w:tcPr>
          <w:p w14:paraId="5A9E3E3F" w14:textId="3BE0150E" w:rsidR="00104090" w:rsidRPr="00144E7F" w:rsidRDefault="00104090" w:rsidP="007E535E">
            <w:pPr>
              <w:spacing w:before="80" w:after="80" w:line="240" w:lineRule="auto"/>
              <w:jc w:val="right"/>
              <w:rPr>
                <w:rFonts w:ascii="Arial" w:hAnsi="Arial"/>
                <w:color w:val="000000"/>
                <w:sz w:val="18"/>
              </w:rPr>
            </w:pPr>
            <w:r w:rsidRPr="00144E7F">
              <w:rPr>
                <w:rFonts w:ascii="Arial" w:hAnsi="Arial"/>
                <w:color w:val="000000"/>
                <w:sz w:val="18"/>
              </w:rPr>
              <w:t>1,549</w:t>
            </w:r>
          </w:p>
        </w:tc>
      </w:tr>
      <w:tr w:rsidR="00CA5987" w:rsidRPr="00144E7F" w14:paraId="56E40EB3" w14:textId="77777777" w:rsidTr="00D6307B">
        <w:trPr>
          <w:cantSplit/>
        </w:trPr>
        <w:tc>
          <w:tcPr>
            <w:tcW w:w="1502" w:type="dxa"/>
            <w:tcBorders>
              <w:top w:val="single" w:sz="4" w:space="0" w:color="004A7F"/>
              <w:bottom w:val="single" w:sz="4" w:space="0" w:color="004A7F"/>
            </w:tcBorders>
            <w:shd w:val="clear" w:color="auto" w:fill="DEEAF6" w:themeFill="accent1" w:themeFillTint="33"/>
          </w:tcPr>
          <w:p w14:paraId="4ECE8673" w14:textId="77777777" w:rsidR="00CA5987" w:rsidRPr="00144E7F" w:rsidRDefault="00CA5987" w:rsidP="00AB1802">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6408C3FD" w14:textId="77777777" w:rsidR="00CA5987" w:rsidRPr="00144E7F" w:rsidRDefault="00CA5987" w:rsidP="00AB1802">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3F53B56D"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gridSpan w:val="2"/>
            <w:tcBorders>
              <w:top w:val="single" w:sz="4" w:space="0" w:color="004A7F"/>
              <w:bottom w:val="single" w:sz="4" w:space="0" w:color="004A7F"/>
            </w:tcBorders>
            <w:shd w:val="clear" w:color="auto" w:fill="DEEAF6" w:themeFill="accent1" w:themeFillTint="33"/>
          </w:tcPr>
          <w:p w14:paraId="0963DB63"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144E7F" w:rsidRPr="00144E7F" w14:paraId="3EE17788" w14:textId="77777777" w:rsidTr="00CA5987">
        <w:trPr>
          <w:cantSplit/>
          <w:trHeight w:val="508"/>
        </w:trPr>
        <w:tc>
          <w:tcPr>
            <w:tcW w:w="1502" w:type="dxa"/>
          </w:tcPr>
          <w:p w14:paraId="009ADAB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M16</w:t>
            </w:r>
          </w:p>
        </w:tc>
        <w:tc>
          <w:tcPr>
            <w:tcW w:w="3742" w:type="dxa"/>
          </w:tcPr>
          <w:p w14:paraId="4FC5045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approval to exceed 15% voting power limit (section 851A(1))</w:t>
            </w:r>
          </w:p>
        </w:tc>
        <w:tc>
          <w:tcPr>
            <w:tcW w:w="1877" w:type="dxa"/>
          </w:tcPr>
          <w:p w14:paraId="5443FBA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800</w:t>
            </w:r>
          </w:p>
        </w:tc>
        <w:tc>
          <w:tcPr>
            <w:tcW w:w="2156" w:type="dxa"/>
            <w:gridSpan w:val="2"/>
          </w:tcPr>
          <w:p w14:paraId="4F1A4BF9" w14:textId="49D6744F"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158,350</w:t>
            </w:r>
          </w:p>
        </w:tc>
      </w:tr>
      <w:tr w:rsidR="00144E7F" w:rsidRPr="00144E7F" w14:paraId="36EBE8AA" w14:textId="77777777" w:rsidTr="00CA5987">
        <w:trPr>
          <w:cantSplit/>
          <w:trHeight w:val="508"/>
        </w:trPr>
        <w:tc>
          <w:tcPr>
            <w:tcW w:w="1502" w:type="dxa"/>
            <w:shd w:val="clear" w:color="auto" w:fill="F2F2F2" w:themeFill="background1" w:themeFillShade="F2"/>
          </w:tcPr>
          <w:p w14:paraId="6AB381B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M18</w:t>
            </w:r>
          </w:p>
        </w:tc>
        <w:tc>
          <w:tcPr>
            <w:tcW w:w="3742" w:type="dxa"/>
            <w:shd w:val="clear" w:color="auto" w:fill="F2F2F2" w:themeFill="background1" w:themeFillShade="F2"/>
          </w:tcPr>
          <w:p w14:paraId="0383ECC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approval of compensation arrangements (section 882B(1))</w:t>
            </w:r>
          </w:p>
        </w:tc>
        <w:tc>
          <w:tcPr>
            <w:tcW w:w="1877" w:type="dxa"/>
            <w:shd w:val="clear" w:color="auto" w:fill="F2F2F2" w:themeFill="background1" w:themeFillShade="F2"/>
          </w:tcPr>
          <w:p w14:paraId="771F309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800</w:t>
            </w:r>
          </w:p>
        </w:tc>
        <w:tc>
          <w:tcPr>
            <w:tcW w:w="2156" w:type="dxa"/>
            <w:gridSpan w:val="2"/>
            <w:shd w:val="clear" w:color="auto" w:fill="F2F2F2" w:themeFill="background1" w:themeFillShade="F2"/>
          </w:tcPr>
          <w:p w14:paraId="0298B1DC" w14:textId="72ECB0F9"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15,462</w:t>
            </w:r>
          </w:p>
        </w:tc>
      </w:tr>
      <w:tr w:rsidR="00144E7F" w:rsidRPr="00144E7F" w14:paraId="4C311F55" w14:textId="77777777" w:rsidTr="00CA5987">
        <w:trPr>
          <w:cantSplit/>
          <w:trHeight w:val="508"/>
        </w:trPr>
        <w:tc>
          <w:tcPr>
            <w:tcW w:w="1502" w:type="dxa"/>
          </w:tcPr>
          <w:p w14:paraId="13498DE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M19</w:t>
            </w:r>
          </w:p>
        </w:tc>
        <w:tc>
          <w:tcPr>
            <w:tcW w:w="3742" w:type="dxa"/>
          </w:tcPr>
          <w:p w14:paraId="07D51CE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change to a matter not in compensation rules (section 884C(2))</w:t>
            </w:r>
          </w:p>
        </w:tc>
        <w:tc>
          <w:tcPr>
            <w:tcW w:w="1877" w:type="dxa"/>
          </w:tcPr>
          <w:p w14:paraId="15C3735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395</w:t>
            </w:r>
          </w:p>
        </w:tc>
        <w:tc>
          <w:tcPr>
            <w:tcW w:w="2156" w:type="dxa"/>
            <w:gridSpan w:val="2"/>
          </w:tcPr>
          <w:p w14:paraId="062B74EB" w14:textId="3CBF2C19"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560D8F51" w14:textId="77777777" w:rsidTr="00CA5987">
        <w:trPr>
          <w:cantSplit/>
          <w:trHeight w:val="508"/>
        </w:trPr>
        <w:tc>
          <w:tcPr>
            <w:tcW w:w="1502" w:type="dxa"/>
            <w:shd w:val="clear" w:color="auto" w:fill="F2F2F2" w:themeFill="background1" w:themeFillShade="F2"/>
          </w:tcPr>
          <w:p w14:paraId="138BD00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M20</w:t>
            </w:r>
            <w:r w:rsidRPr="00144E7F">
              <w:rPr>
                <w:rFonts w:ascii="Arial" w:hAnsi="Arial"/>
                <w:color w:val="000000"/>
                <w:sz w:val="18"/>
              </w:rPr>
              <w:br/>
              <w:t>(Fee also applies to sub forms M20A &amp; M20B)</w:t>
            </w:r>
          </w:p>
        </w:tc>
        <w:tc>
          <w:tcPr>
            <w:tcW w:w="3742" w:type="dxa"/>
            <w:shd w:val="clear" w:color="auto" w:fill="F2F2F2" w:themeFill="background1" w:themeFillShade="F2"/>
          </w:tcPr>
          <w:p w14:paraId="75B96A32"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Notice of changes to operating rules section 822D </w:t>
            </w:r>
          </w:p>
        </w:tc>
        <w:tc>
          <w:tcPr>
            <w:tcW w:w="1877" w:type="dxa"/>
            <w:shd w:val="clear" w:color="auto" w:fill="F2F2F2" w:themeFill="background1" w:themeFillShade="F2"/>
          </w:tcPr>
          <w:p w14:paraId="652BFA72"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161</w:t>
            </w:r>
          </w:p>
        </w:tc>
        <w:tc>
          <w:tcPr>
            <w:tcW w:w="2156" w:type="dxa"/>
            <w:gridSpan w:val="2"/>
            <w:shd w:val="clear" w:color="auto" w:fill="F2F2F2" w:themeFill="background1" w:themeFillShade="F2"/>
          </w:tcPr>
          <w:p w14:paraId="6333D209" w14:textId="13618352" w:rsidR="00144E7F" w:rsidRPr="00144E7F" w:rsidRDefault="00144E7F" w:rsidP="00737E5E">
            <w:pPr>
              <w:pStyle w:val="TableTextRight"/>
            </w:pPr>
            <w:r w:rsidRPr="00144E7F">
              <w:t>Low complexity</w:t>
            </w:r>
            <w:r w:rsidR="00BE11F5">
              <w:t xml:space="preserve"> </w:t>
            </w:r>
            <w:r w:rsidR="00737E5E">
              <w:t>–</w:t>
            </w:r>
            <w:r w:rsidR="00737E5E">
              <w:br/>
            </w:r>
            <w:r w:rsidRPr="00144E7F">
              <w:t>2,580</w:t>
            </w:r>
            <w:r w:rsidRPr="00144E7F">
              <w:br/>
              <w:t>Med complexity</w:t>
            </w:r>
            <w:r w:rsidR="00BE11F5">
              <w:t xml:space="preserve"> </w:t>
            </w:r>
            <w:r w:rsidR="00E666EE">
              <w:t>– 38,651</w:t>
            </w:r>
            <w:r w:rsidRPr="00144E7F">
              <w:t xml:space="preserve"> </w:t>
            </w:r>
          </w:p>
        </w:tc>
      </w:tr>
      <w:tr w:rsidR="00144E7F" w:rsidRPr="00144E7F" w14:paraId="4DD5BA10" w14:textId="77777777" w:rsidTr="00CA5987">
        <w:trPr>
          <w:cantSplit/>
          <w:trHeight w:val="508"/>
        </w:trPr>
        <w:tc>
          <w:tcPr>
            <w:tcW w:w="1502" w:type="dxa"/>
          </w:tcPr>
          <w:p w14:paraId="613FED6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M21</w:t>
            </w:r>
          </w:p>
        </w:tc>
        <w:tc>
          <w:tcPr>
            <w:tcW w:w="3742" w:type="dxa"/>
          </w:tcPr>
          <w:p w14:paraId="6C83F749"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Notice of change to matter dealt with in compensation rules (section 882B(4))</w:t>
            </w:r>
          </w:p>
        </w:tc>
        <w:tc>
          <w:tcPr>
            <w:tcW w:w="1877" w:type="dxa"/>
          </w:tcPr>
          <w:p w14:paraId="1DB2AE6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161</w:t>
            </w:r>
          </w:p>
        </w:tc>
        <w:tc>
          <w:tcPr>
            <w:tcW w:w="2156" w:type="dxa"/>
            <w:gridSpan w:val="2"/>
          </w:tcPr>
          <w:p w14:paraId="6ADA254C" w14:textId="0E9BECEE"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735F6BF7" w14:textId="77777777" w:rsidTr="00CA5987">
        <w:trPr>
          <w:cantSplit/>
          <w:trHeight w:val="508"/>
        </w:trPr>
        <w:tc>
          <w:tcPr>
            <w:tcW w:w="1502" w:type="dxa"/>
            <w:shd w:val="clear" w:color="auto" w:fill="F2F2F2" w:themeFill="background1" w:themeFillShade="F2"/>
          </w:tcPr>
          <w:p w14:paraId="1B4FCF68" w14:textId="79EEC72D" w:rsidR="00144E7F" w:rsidRPr="00144E7F" w:rsidRDefault="00E666EE" w:rsidP="00144E7F">
            <w:pPr>
              <w:spacing w:before="80" w:after="80" w:line="240" w:lineRule="auto"/>
              <w:jc w:val="left"/>
              <w:rPr>
                <w:rFonts w:ascii="Arial" w:hAnsi="Arial"/>
                <w:color w:val="000000"/>
                <w:sz w:val="18"/>
              </w:rPr>
            </w:pPr>
            <w:r>
              <w:rPr>
                <w:rFonts w:ascii="Arial" w:hAnsi="Arial"/>
                <w:color w:val="000000"/>
                <w:sz w:val="18"/>
              </w:rPr>
              <w:t>M22</w:t>
            </w:r>
          </w:p>
        </w:tc>
        <w:tc>
          <w:tcPr>
            <w:tcW w:w="3742" w:type="dxa"/>
            <w:shd w:val="clear" w:color="auto" w:fill="F2F2F2" w:themeFill="background1" w:themeFillShade="F2"/>
          </w:tcPr>
          <w:p w14:paraId="5FD48938" w14:textId="43609742" w:rsidR="00144E7F" w:rsidRPr="00144E7F" w:rsidRDefault="00104090" w:rsidP="00144E7F">
            <w:pPr>
              <w:spacing w:before="80" w:after="80" w:line="240" w:lineRule="auto"/>
              <w:jc w:val="left"/>
              <w:rPr>
                <w:rFonts w:ascii="Arial" w:hAnsi="Arial"/>
                <w:color w:val="000000"/>
                <w:sz w:val="18"/>
              </w:rPr>
            </w:pPr>
            <w:r>
              <w:rPr>
                <w:rFonts w:ascii="Arial" w:hAnsi="Arial"/>
                <w:color w:val="000000"/>
                <w:sz w:val="18"/>
              </w:rPr>
              <w:t>Application for an Australian Clearing and Settlement facility licence</w:t>
            </w:r>
          </w:p>
        </w:tc>
        <w:tc>
          <w:tcPr>
            <w:tcW w:w="1877" w:type="dxa"/>
            <w:shd w:val="clear" w:color="auto" w:fill="F2F2F2" w:themeFill="background1" w:themeFillShade="F2"/>
          </w:tcPr>
          <w:p w14:paraId="77A10B4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1600</w:t>
            </w:r>
          </w:p>
        </w:tc>
        <w:tc>
          <w:tcPr>
            <w:tcW w:w="2156" w:type="dxa"/>
            <w:gridSpan w:val="2"/>
            <w:shd w:val="clear" w:color="auto" w:fill="F2F2F2" w:themeFill="background1" w:themeFillShade="F2"/>
          </w:tcPr>
          <w:p w14:paraId="783A65C7" w14:textId="02D15F21" w:rsidR="00144E7F" w:rsidRPr="00144E7F" w:rsidRDefault="00144E7F" w:rsidP="00737E5E">
            <w:pPr>
              <w:pStyle w:val="TableTextRight"/>
            </w:pPr>
            <w:r w:rsidRPr="00144E7F">
              <w:t>Low complexity – 15,</w:t>
            </w:r>
            <w:r w:rsidR="00E666EE">
              <w:t> </w:t>
            </w:r>
            <w:r w:rsidRPr="00144E7F">
              <w:t>462</w:t>
            </w:r>
            <w:r w:rsidRPr="00144E7F">
              <w:br/>
              <w:t>Med complexity</w:t>
            </w:r>
            <w:r w:rsidR="00BE11F5">
              <w:t xml:space="preserve"> </w:t>
            </w:r>
            <w:r w:rsidRPr="00144E7F">
              <w:t>– 85,888</w:t>
            </w:r>
            <w:r w:rsidRPr="00144E7F">
              <w:br/>
              <w:t>High complexity</w:t>
            </w:r>
            <w:r w:rsidR="00BE11F5">
              <w:t xml:space="preserve"> </w:t>
            </w:r>
            <w:r w:rsidRPr="00144E7F">
              <w:t xml:space="preserve">– 154,596  </w:t>
            </w:r>
          </w:p>
        </w:tc>
      </w:tr>
      <w:tr w:rsidR="00144E7F" w:rsidRPr="00144E7F" w14:paraId="2D2B0C9B" w14:textId="77777777" w:rsidTr="00CA5987">
        <w:trPr>
          <w:cantSplit/>
          <w:trHeight w:val="508"/>
        </w:trPr>
        <w:tc>
          <w:tcPr>
            <w:tcW w:w="1502" w:type="dxa"/>
          </w:tcPr>
          <w:p w14:paraId="2EBDD97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M24</w:t>
            </w:r>
          </w:p>
        </w:tc>
        <w:tc>
          <w:tcPr>
            <w:tcW w:w="3742" w:type="dxa"/>
          </w:tcPr>
          <w:p w14:paraId="444D8CDE" w14:textId="750EE3BA"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for exemption and modification for </w:t>
            </w:r>
            <w:r w:rsidR="00BE11F5" w:rsidRPr="00144E7F">
              <w:rPr>
                <w:rFonts w:ascii="Arial" w:hAnsi="Arial"/>
                <w:color w:val="000000"/>
                <w:sz w:val="18"/>
              </w:rPr>
              <w:t>self-listed</w:t>
            </w:r>
            <w:r w:rsidRPr="00144E7F">
              <w:rPr>
                <w:rFonts w:ascii="Arial" w:hAnsi="Arial"/>
                <w:color w:val="000000"/>
                <w:sz w:val="18"/>
              </w:rPr>
              <w:t xml:space="preserve"> </w:t>
            </w:r>
            <w:proofErr w:type="spellStart"/>
            <w:r w:rsidRPr="00144E7F">
              <w:rPr>
                <w:rFonts w:ascii="Arial" w:hAnsi="Arial"/>
                <w:color w:val="000000"/>
                <w:sz w:val="18"/>
              </w:rPr>
              <w:t>licencee</w:t>
            </w:r>
            <w:proofErr w:type="spellEnd"/>
            <w:r w:rsidRPr="00144E7F">
              <w:rPr>
                <w:rFonts w:ascii="Arial" w:hAnsi="Arial"/>
                <w:color w:val="000000"/>
                <w:sz w:val="18"/>
              </w:rPr>
              <w:t xml:space="preserve"> or related body corporate</w:t>
            </w:r>
          </w:p>
        </w:tc>
        <w:tc>
          <w:tcPr>
            <w:tcW w:w="1877" w:type="dxa"/>
          </w:tcPr>
          <w:p w14:paraId="6E21EF2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tcPr>
          <w:p w14:paraId="26E1529D" w14:textId="35CB6719"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17,180</w:t>
            </w:r>
          </w:p>
        </w:tc>
      </w:tr>
      <w:tr w:rsidR="00144E7F" w:rsidRPr="00144E7F" w14:paraId="24AD9BAE" w14:textId="77777777" w:rsidTr="00CA5987">
        <w:trPr>
          <w:cantSplit/>
          <w:trHeight w:val="508"/>
        </w:trPr>
        <w:tc>
          <w:tcPr>
            <w:tcW w:w="1502" w:type="dxa"/>
            <w:shd w:val="clear" w:color="auto" w:fill="F2F2F2" w:themeFill="background1" w:themeFillShade="F2"/>
          </w:tcPr>
          <w:p w14:paraId="678F594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M31</w:t>
            </w:r>
          </w:p>
        </w:tc>
        <w:tc>
          <w:tcPr>
            <w:tcW w:w="3742" w:type="dxa"/>
            <w:shd w:val="clear" w:color="auto" w:fill="F2F2F2" w:themeFill="background1" w:themeFillShade="F2"/>
          </w:tcPr>
          <w:p w14:paraId="01617AE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ASIC to make decisions and take action in conflict or potential conflict situations</w:t>
            </w:r>
          </w:p>
        </w:tc>
        <w:tc>
          <w:tcPr>
            <w:tcW w:w="1877" w:type="dxa"/>
            <w:shd w:val="clear" w:color="auto" w:fill="F2F2F2" w:themeFill="background1" w:themeFillShade="F2"/>
          </w:tcPr>
          <w:p w14:paraId="13B5800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shd w:val="clear" w:color="auto" w:fill="F2F2F2" w:themeFill="background1" w:themeFillShade="F2"/>
          </w:tcPr>
          <w:p w14:paraId="34FE8E80" w14:textId="39871AE1" w:rsidR="00144E7F" w:rsidRPr="00144E7F" w:rsidRDefault="00144E7F" w:rsidP="00737E5E">
            <w:pPr>
              <w:pStyle w:val="TableTextRight"/>
            </w:pPr>
            <w:r w:rsidRPr="00144E7F">
              <w:t>The fee that will be applied is consistent with section 5 of the Corporations (Fees) Regulations 2001 noting an increase in the existin</w:t>
            </w:r>
            <w:r w:rsidR="007E535E">
              <w:t>g hourly rate of $70 to $175.95</w:t>
            </w:r>
          </w:p>
        </w:tc>
      </w:tr>
      <w:tr w:rsidR="00144E7F" w:rsidRPr="00144E7F" w14:paraId="7E54984D" w14:textId="77777777" w:rsidTr="00CA5987">
        <w:trPr>
          <w:cantSplit/>
          <w:trHeight w:val="309"/>
        </w:trPr>
        <w:tc>
          <w:tcPr>
            <w:tcW w:w="1502" w:type="dxa"/>
          </w:tcPr>
          <w:p w14:paraId="333A35D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M66</w:t>
            </w:r>
          </w:p>
        </w:tc>
        <w:tc>
          <w:tcPr>
            <w:tcW w:w="3742" w:type="dxa"/>
          </w:tcPr>
          <w:p w14:paraId="5B316B1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for MIR waiver</w:t>
            </w:r>
          </w:p>
        </w:tc>
        <w:tc>
          <w:tcPr>
            <w:tcW w:w="1877" w:type="dxa"/>
          </w:tcPr>
          <w:p w14:paraId="11E52C1B"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0</w:t>
            </w:r>
          </w:p>
        </w:tc>
        <w:tc>
          <w:tcPr>
            <w:tcW w:w="2156" w:type="dxa"/>
            <w:gridSpan w:val="2"/>
          </w:tcPr>
          <w:p w14:paraId="1FD9B72A" w14:textId="7775363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14,775</w:t>
            </w:r>
          </w:p>
        </w:tc>
      </w:tr>
      <w:tr w:rsidR="00144E7F" w:rsidRPr="00144E7F" w14:paraId="37B959E1" w14:textId="77777777" w:rsidTr="00CA5987">
        <w:trPr>
          <w:cantSplit/>
          <w:trHeight w:val="508"/>
        </w:trPr>
        <w:tc>
          <w:tcPr>
            <w:tcW w:w="1502" w:type="dxa"/>
            <w:shd w:val="clear" w:color="auto" w:fill="F2F2F2" w:themeFill="background1" w:themeFillShade="F2"/>
          </w:tcPr>
          <w:p w14:paraId="0E63BE3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2384B0E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Markets application for revocation of exemption</w:t>
            </w:r>
          </w:p>
        </w:tc>
        <w:tc>
          <w:tcPr>
            <w:tcW w:w="1877" w:type="dxa"/>
            <w:shd w:val="clear" w:color="auto" w:fill="F2F2F2" w:themeFill="background1" w:themeFillShade="F2"/>
          </w:tcPr>
          <w:p w14:paraId="34824F00"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061D93BC" w14:textId="26061292"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12,886</w:t>
            </w:r>
          </w:p>
        </w:tc>
      </w:tr>
      <w:tr w:rsidR="00144E7F" w:rsidRPr="00144E7F" w14:paraId="024C8775" w14:textId="77777777" w:rsidTr="00CA5987">
        <w:trPr>
          <w:cantSplit/>
          <w:trHeight w:val="508"/>
        </w:trPr>
        <w:tc>
          <w:tcPr>
            <w:tcW w:w="1502" w:type="dxa"/>
          </w:tcPr>
          <w:p w14:paraId="5CB9EA9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636AC67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Markets application for imposing licence conditions</w:t>
            </w:r>
          </w:p>
        </w:tc>
        <w:tc>
          <w:tcPr>
            <w:tcW w:w="1877" w:type="dxa"/>
          </w:tcPr>
          <w:p w14:paraId="124C312D"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10074772" w14:textId="44735A8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6FF8C8EA" w14:textId="77777777" w:rsidTr="00CA5987">
        <w:trPr>
          <w:cantSplit/>
          <w:trHeight w:val="343"/>
        </w:trPr>
        <w:tc>
          <w:tcPr>
            <w:tcW w:w="1502" w:type="dxa"/>
            <w:shd w:val="clear" w:color="auto" w:fill="F2F2F2" w:themeFill="background1" w:themeFillShade="F2"/>
          </w:tcPr>
          <w:p w14:paraId="4CF538F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MI-102</w:t>
            </w:r>
          </w:p>
        </w:tc>
        <w:tc>
          <w:tcPr>
            <w:tcW w:w="3742" w:type="dxa"/>
            <w:shd w:val="clear" w:color="auto" w:fill="F2F2F2" w:themeFill="background1" w:themeFillShade="F2"/>
          </w:tcPr>
          <w:p w14:paraId="7697550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or imposition or variation of conditions on a trade repository licence</w:t>
            </w:r>
          </w:p>
        </w:tc>
        <w:tc>
          <w:tcPr>
            <w:tcW w:w="1877" w:type="dxa"/>
            <w:shd w:val="clear" w:color="auto" w:fill="F2F2F2" w:themeFill="background1" w:themeFillShade="F2"/>
          </w:tcPr>
          <w:p w14:paraId="26A6546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560098F5" w14:textId="20B24D8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60AF1815" w14:textId="77777777" w:rsidTr="00CA5987">
        <w:trPr>
          <w:cantSplit/>
          <w:trHeight w:val="508"/>
        </w:trPr>
        <w:tc>
          <w:tcPr>
            <w:tcW w:w="1502" w:type="dxa"/>
          </w:tcPr>
          <w:p w14:paraId="3640B80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6BE0206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impose licence condition (section 908BG(2)(a)), or vary or revoke licence condition (section 908BG(2)(b))</w:t>
            </w:r>
          </w:p>
        </w:tc>
        <w:tc>
          <w:tcPr>
            <w:tcW w:w="1877" w:type="dxa"/>
          </w:tcPr>
          <w:p w14:paraId="104917E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5F26704D" w14:textId="209F63E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5822F23C" w14:textId="77777777" w:rsidTr="00CA5987">
        <w:trPr>
          <w:cantSplit/>
          <w:trHeight w:val="508"/>
        </w:trPr>
        <w:tc>
          <w:tcPr>
            <w:tcW w:w="1502" w:type="dxa"/>
            <w:shd w:val="clear" w:color="auto" w:fill="F2F2F2" w:themeFill="background1" w:themeFillShade="F2"/>
          </w:tcPr>
          <w:p w14:paraId="383BBCD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66C93EF4"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cancel or suspend licence (section 908BI(1)(c))</w:t>
            </w:r>
          </w:p>
        </w:tc>
        <w:tc>
          <w:tcPr>
            <w:tcW w:w="1877" w:type="dxa"/>
            <w:shd w:val="clear" w:color="auto" w:fill="F2F2F2" w:themeFill="background1" w:themeFillShade="F2"/>
          </w:tcPr>
          <w:p w14:paraId="5180FA38"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5C0C1F8B" w14:textId="296EA8C0"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12,886</w:t>
            </w:r>
          </w:p>
        </w:tc>
      </w:tr>
      <w:tr w:rsidR="00144E7F" w:rsidRPr="00144E7F" w14:paraId="622FAC93" w14:textId="77777777" w:rsidTr="00CA5987">
        <w:trPr>
          <w:cantSplit/>
          <w:trHeight w:val="508"/>
        </w:trPr>
        <w:tc>
          <w:tcPr>
            <w:tcW w:w="1502" w:type="dxa"/>
          </w:tcPr>
          <w:p w14:paraId="4FB3C05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3DE77E1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Revocation/cancellation of AML at request of </w:t>
            </w:r>
            <w:proofErr w:type="spellStart"/>
            <w:r w:rsidRPr="00144E7F">
              <w:rPr>
                <w:rFonts w:ascii="Arial" w:hAnsi="Arial"/>
                <w:color w:val="000000"/>
                <w:sz w:val="18"/>
              </w:rPr>
              <w:t>licencee</w:t>
            </w:r>
            <w:proofErr w:type="spellEnd"/>
            <w:r w:rsidRPr="00144E7F">
              <w:rPr>
                <w:rFonts w:ascii="Arial" w:hAnsi="Arial"/>
                <w:color w:val="000000"/>
                <w:sz w:val="18"/>
              </w:rPr>
              <w:t xml:space="preserve"> (section 797B(c))</w:t>
            </w:r>
          </w:p>
        </w:tc>
        <w:tc>
          <w:tcPr>
            <w:tcW w:w="1877" w:type="dxa"/>
          </w:tcPr>
          <w:p w14:paraId="74DCE4B6"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593F0856" w14:textId="46DAC9A7"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12,886</w:t>
            </w:r>
          </w:p>
        </w:tc>
      </w:tr>
      <w:tr w:rsidR="00144E7F" w:rsidRPr="00144E7F" w14:paraId="11EB5818" w14:textId="77777777" w:rsidTr="00D6307B">
        <w:trPr>
          <w:cantSplit/>
          <w:trHeight w:val="407"/>
        </w:trPr>
        <w:tc>
          <w:tcPr>
            <w:tcW w:w="1502" w:type="dxa"/>
            <w:shd w:val="clear" w:color="auto" w:fill="F2F2F2" w:themeFill="background1" w:themeFillShade="F2"/>
          </w:tcPr>
          <w:p w14:paraId="59FC5B5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414A086E" w14:textId="18C5E304" w:rsidR="00144E7F" w:rsidRPr="00144E7F" w:rsidRDefault="00104090" w:rsidP="00144E7F">
            <w:pPr>
              <w:spacing w:before="80" w:after="80" w:line="240" w:lineRule="auto"/>
              <w:jc w:val="left"/>
              <w:rPr>
                <w:rFonts w:ascii="Arial" w:hAnsi="Arial"/>
                <w:color w:val="000000"/>
                <w:sz w:val="18"/>
              </w:rPr>
            </w:pPr>
            <w:r>
              <w:rPr>
                <w:rFonts w:ascii="Arial" w:hAnsi="Arial"/>
                <w:color w:val="000000"/>
                <w:sz w:val="18"/>
              </w:rPr>
              <w:t xml:space="preserve">Revocation/cancellation of Clearing and Settlement Facility Licence at request of </w:t>
            </w:r>
            <w:proofErr w:type="spellStart"/>
            <w:r>
              <w:rPr>
                <w:rFonts w:ascii="Arial" w:hAnsi="Arial"/>
                <w:color w:val="000000"/>
                <w:sz w:val="18"/>
              </w:rPr>
              <w:t>licencee</w:t>
            </w:r>
            <w:proofErr w:type="spellEnd"/>
            <w:r>
              <w:rPr>
                <w:rFonts w:ascii="Arial" w:hAnsi="Arial"/>
                <w:color w:val="000000"/>
                <w:sz w:val="18"/>
              </w:rPr>
              <w:t xml:space="preserve"> (section 826B(c))</w:t>
            </w:r>
          </w:p>
        </w:tc>
        <w:tc>
          <w:tcPr>
            <w:tcW w:w="1877" w:type="dxa"/>
            <w:shd w:val="clear" w:color="auto" w:fill="F2F2F2" w:themeFill="background1" w:themeFillShade="F2"/>
          </w:tcPr>
          <w:p w14:paraId="5032314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3099A8BE" w14:textId="0F3B79FD"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12,886</w:t>
            </w:r>
          </w:p>
        </w:tc>
      </w:tr>
      <w:tr w:rsidR="00144E7F" w:rsidRPr="00144E7F" w14:paraId="3367B411" w14:textId="77777777" w:rsidTr="00D6307B">
        <w:trPr>
          <w:cantSplit/>
          <w:trHeight w:val="508"/>
        </w:trPr>
        <w:tc>
          <w:tcPr>
            <w:tcW w:w="1502" w:type="dxa"/>
            <w:tcBorders>
              <w:bottom w:val="single" w:sz="4" w:space="0" w:color="004A7F"/>
            </w:tcBorders>
          </w:tcPr>
          <w:p w14:paraId="0C9F46B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Borders>
              <w:bottom w:val="single" w:sz="4" w:space="0" w:color="004A7F"/>
            </w:tcBorders>
          </w:tcPr>
          <w:p w14:paraId="5569BF7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Revocation/cancellation of Trade Repository licence at request of </w:t>
            </w:r>
            <w:proofErr w:type="spellStart"/>
            <w:r w:rsidRPr="00144E7F">
              <w:rPr>
                <w:rFonts w:ascii="Arial" w:hAnsi="Arial"/>
                <w:color w:val="000000"/>
                <w:sz w:val="18"/>
              </w:rPr>
              <w:t>licencee</w:t>
            </w:r>
            <w:proofErr w:type="spellEnd"/>
            <w:r w:rsidRPr="00144E7F">
              <w:rPr>
                <w:rFonts w:ascii="Arial" w:hAnsi="Arial"/>
                <w:color w:val="000000"/>
                <w:sz w:val="18"/>
              </w:rPr>
              <w:t xml:space="preserve"> (section 905H(c))</w:t>
            </w:r>
          </w:p>
        </w:tc>
        <w:tc>
          <w:tcPr>
            <w:tcW w:w="1877" w:type="dxa"/>
            <w:tcBorders>
              <w:bottom w:val="single" w:sz="4" w:space="0" w:color="004A7F"/>
            </w:tcBorders>
          </w:tcPr>
          <w:p w14:paraId="54E2126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Borders>
              <w:bottom w:val="single" w:sz="4" w:space="0" w:color="004A7F"/>
            </w:tcBorders>
          </w:tcPr>
          <w:p w14:paraId="7FE94778" w14:textId="5C6CC6CB"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12,886</w:t>
            </w:r>
          </w:p>
        </w:tc>
      </w:tr>
    </w:tbl>
    <w:p w14:paraId="59CA884B" w14:textId="77777777" w:rsidR="00CA5987" w:rsidRDefault="00CA5987">
      <w:r>
        <w:rPr>
          <w:b/>
          <w:caps/>
        </w:rPr>
        <w:br w:type="page"/>
      </w:r>
    </w:p>
    <w:tbl>
      <w:tblPr>
        <w:tblW w:w="9277" w:type="dxa"/>
        <w:tblLayout w:type="fixed"/>
        <w:tblLook w:val="04A0" w:firstRow="1" w:lastRow="0" w:firstColumn="1" w:lastColumn="0" w:noHBand="0" w:noVBand="1"/>
      </w:tblPr>
      <w:tblGrid>
        <w:gridCol w:w="1502"/>
        <w:gridCol w:w="3742"/>
        <w:gridCol w:w="1877"/>
        <w:gridCol w:w="1358"/>
        <w:gridCol w:w="798"/>
      </w:tblGrid>
      <w:tr w:rsidR="00CA5987" w:rsidRPr="00144E7F" w14:paraId="33DBC5D2" w14:textId="77777777" w:rsidTr="00AB1802">
        <w:trPr>
          <w:cantSplit/>
        </w:trPr>
        <w:tc>
          <w:tcPr>
            <w:tcW w:w="1502" w:type="dxa"/>
            <w:tcBorders>
              <w:top w:val="single" w:sz="4" w:space="0" w:color="004A7F"/>
              <w:bottom w:val="single" w:sz="4" w:space="0" w:color="004A7F"/>
            </w:tcBorders>
            <w:shd w:val="clear" w:color="auto" w:fill="DEEAF6" w:themeFill="accent1" w:themeFillTint="33"/>
          </w:tcPr>
          <w:p w14:paraId="351DE919" w14:textId="0250333E" w:rsidR="00CA5987" w:rsidRPr="00144E7F" w:rsidRDefault="00CA5987" w:rsidP="00AB1802">
            <w:pPr>
              <w:pStyle w:val="TableColumnHeadingLeft"/>
            </w:pPr>
            <w:r w:rsidRPr="00144E7F">
              <w:t>Form code</w:t>
            </w:r>
          </w:p>
        </w:tc>
        <w:tc>
          <w:tcPr>
            <w:tcW w:w="3742" w:type="dxa"/>
            <w:tcBorders>
              <w:top w:val="single" w:sz="4" w:space="0" w:color="004A7F"/>
              <w:bottom w:val="single" w:sz="4" w:space="0" w:color="004A7F"/>
            </w:tcBorders>
            <w:shd w:val="clear" w:color="auto" w:fill="DEEAF6" w:themeFill="accent1" w:themeFillTint="33"/>
          </w:tcPr>
          <w:p w14:paraId="57842DE3" w14:textId="77777777" w:rsidR="00CA5987" w:rsidRPr="00144E7F" w:rsidRDefault="00CA5987" w:rsidP="00AB1802">
            <w:pPr>
              <w:spacing w:before="80" w:after="80" w:line="240" w:lineRule="auto"/>
              <w:jc w:val="left"/>
              <w:rPr>
                <w:rFonts w:ascii="Arial Bold" w:hAnsi="Arial Bold"/>
                <w:b/>
                <w:caps/>
                <w:color w:val="004A7F"/>
                <w:sz w:val="19"/>
              </w:rPr>
            </w:pPr>
            <w:r w:rsidRPr="00144E7F">
              <w:rPr>
                <w:rFonts w:ascii="Arial Bold" w:hAnsi="Arial Bold"/>
                <w:b/>
                <w:caps/>
                <w:color w:val="004A7F"/>
                <w:sz w:val="19"/>
              </w:rPr>
              <w:t>Description</w:t>
            </w:r>
          </w:p>
        </w:tc>
        <w:tc>
          <w:tcPr>
            <w:tcW w:w="1877" w:type="dxa"/>
            <w:tcBorders>
              <w:top w:val="single" w:sz="4" w:space="0" w:color="004A7F"/>
              <w:bottom w:val="single" w:sz="4" w:space="0" w:color="004A7F"/>
            </w:tcBorders>
            <w:shd w:val="clear" w:color="auto" w:fill="DEEAF6" w:themeFill="accent1" w:themeFillTint="33"/>
          </w:tcPr>
          <w:p w14:paraId="04E13416"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Current fee ($)</w:t>
            </w:r>
          </w:p>
        </w:tc>
        <w:tc>
          <w:tcPr>
            <w:tcW w:w="2156" w:type="dxa"/>
            <w:gridSpan w:val="2"/>
            <w:tcBorders>
              <w:top w:val="single" w:sz="4" w:space="0" w:color="004A7F"/>
              <w:bottom w:val="single" w:sz="4" w:space="0" w:color="004A7F"/>
            </w:tcBorders>
            <w:shd w:val="clear" w:color="auto" w:fill="DEEAF6" w:themeFill="accent1" w:themeFillTint="33"/>
          </w:tcPr>
          <w:p w14:paraId="4E97E291" w14:textId="77777777" w:rsidR="00CA5987" w:rsidRPr="00144E7F" w:rsidRDefault="00CA5987" w:rsidP="00AB1802">
            <w:pPr>
              <w:spacing w:before="80" w:after="80" w:line="240" w:lineRule="auto"/>
              <w:jc w:val="right"/>
              <w:rPr>
                <w:rFonts w:ascii="Arial Bold" w:hAnsi="Arial Bold"/>
                <w:b/>
                <w:caps/>
                <w:color w:val="004A7F"/>
                <w:sz w:val="19"/>
              </w:rPr>
            </w:pPr>
            <w:r w:rsidRPr="00144E7F">
              <w:rPr>
                <w:rFonts w:ascii="Arial Bold" w:hAnsi="Arial Bold"/>
                <w:b/>
                <w:caps/>
                <w:color w:val="004A7F"/>
                <w:sz w:val="19"/>
              </w:rPr>
              <w:t>Proposed fee ($)</w:t>
            </w:r>
          </w:p>
        </w:tc>
      </w:tr>
      <w:tr w:rsidR="00F22812" w:rsidRPr="00144E7F" w14:paraId="67DB307E" w14:textId="77777777" w:rsidTr="00CA5987">
        <w:trPr>
          <w:cantSplit/>
          <w:trHeight w:val="508"/>
        </w:trPr>
        <w:tc>
          <w:tcPr>
            <w:tcW w:w="1502" w:type="dxa"/>
          </w:tcPr>
          <w:p w14:paraId="2C73B230" w14:textId="77777777" w:rsidR="00F22812" w:rsidRPr="00144E7F" w:rsidRDefault="00F22812"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6D87B640" w14:textId="24545193" w:rsidR="00F22812" w:rsidRPr="00144E7F" w:rsidRDefault="00F22812" w:rsidP="00144E7F">
            <w:pPr>
              <w:spacing w:before="80" w:after="80" w:line="240" w:lineRule="auto"/>
              <w:jc w:val="left"/>
              <w:rPr>
                <w:rFonts w:ascii="Arial" w:hAnsi="Arial"/>
                <w:color w:val="000000"/>
                <w:sz w:val="18"/>
              </w:rPr>
            </w:pPr>
            <w:r w:rsidRPr="00144E7F">
              <w:rPr>
                <w:rFonts w:ascii="Arial" w:hAnsi="Arial"/>
                <w:color w:val="000000"/>
                <w:sz w:val="18"/>
              </w:rPr>
              <w:t>Application to vary licence for change of name</w:t>
            </w:r>
            <w:r>
              <w:rPr>
                <w:rFonts w:ascii="Arial" w:hAnsi="Arial"/>
                <w:color w:val="000000"/>
                <w:sz w:val="18"/>
              </w:rPr>
              <w:t xml:space="preserve"> of administrator for benchmarks</w:t>
            </w:r>
            <w:r w:rsidRPr="00144E7F">
              <w:rPr>
                <w:rFonts w:ascii="Arial" w:hAnsi="Arial"/>
                <w:color w:val="000000"/>
                <w:sz w:val="18"/>
              </w:rPr>
              <w:t xml:space="preserve"> (section 908BH(a))</w:t>
            </w:r>
          </w:p>
        </w:tc>
        <w:tc>
          <w:tcPr>
            <w:tcW w:w="1877" w:type="dxa"/>
          </w:tcPr>
          <w:p w14:paraId="0A6794CA" w14:textId="77777777" w:rsidR="00F22812" w:rsidRPr="00144E7F" w:rsidRDefault="00F22812"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42C3AD46" w14:textId="6C40A11B" w:rsidR="00F22812" w:rsidRPr="00144E7F" w:rsidRDefault="00F22812" w:rsidP="00144E7F">
            <w:pPr>
              <w:spacing w:before="80" w:after="80" w:line="240" w:lineRule="auto"/>
              <w:jc w:val="right"/>
              <w:rPr>
                <w:rFonts w:ascii="Arial" w:hAnsi="Arial"/>
                <w:color w:val="000000"/>
                <w:sz w:val="18"/>
              </w:rPr>
            </w:pPr>
            <w:r>
              <w:rPr>
                <w:rFonts w:ascii="Arial" w:hAnsi="Arial"/>
                <w:color w:val="000000"/>
                <w:sz w:val="18"/>
              </w:rPr>
              <w:t>1,549</w:t>
            </w:r>
          </w:p>
        </w:tc>
      </w:tr>
      <w:tr w:rsidR="00F22812" w:rsidRPr="00144E7F" w14:paraId="27D3199B" w14:textId="77777777" w:rsidTr="00CA5987">
        <w:trPr>
          <w:cantSplit/>
          <w:trHeight w:val="508"/>
        </w:trPr>
        <w:tc>
          <w:tcPr>
            <w:tcW w:w="1502" w:type="dxa"/>
            <w:shd w:val="clear" w:color="auto" w:fill="F2F2F2" w:themeFill="background1" w:themeFillShade="F2"/>
          </w:tcPr>
          <w:p w14:paraId="5EE03859" w14:textId="77777777" w:rsidR="00F22812" w:rsidRPr="00144E7F" w:rsidRDefault="00F22812"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5ADEA1B8" w14:textId="5908D39E" w:rsidR="00F22812" w:rsidRPr="00144E7F" w:rsidRDefault="00F22812"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to change </w:t>
            </w:r>
            <w:r>
              <w:rPr>
                <w:rFonts w:ascii="Arial" w:hAnsi="Arial"/>
                <w:color w:val="000000"/>
                <w:sz w:val="18"/>
              </w:rPr>
              <w:t xml:space="preserve">details of </w:t>
            </w:r>
            <w:r w:rsidRPr="00144E7F">
              <w:rPr>
                <w:rFonts w:ascii="Arial" w:hAnsi="Arial"/>
                <w:color w:val="000000"/>
                <w:sz w:val="18"/>
              </w:rPr>
              <w:t>financial benchmark licence (section 908BH(b))</w:t>
            </w:r>
          </w:p>
        </w:tc>
        <w:tc>
          <w:tcPr>
            <w:tcW w:w="1877" w:type="dxa"/>
            <w:shd w:val="clear" w:color="auto" w:fill="F2F2F2" w:themeFill="background1" w:themeFillShade="F2"/>
          </w:tcPr>
          <w:p w14:paraId="29EF058F" w14:textId="77777777" w:rsidR="00F22812" w:rsidRPr="00144E7F" w:rsidRDefault="00F22812"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51B50023" w14:textId="70C8AE8A" w:rsidR="00F22812" w:rsidRPr="00144E7F" w:rsidRDefault="00F22812"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F22812" w:rsidRPr="00144E7F" w14:paraId="75EDA127" w14:textId="77777777" w:rsidTr="00CA5987">
        <w:trPr>
          <w:cantSplit/>
          <w:trHeight w:val="508"/>
        </w:trPr>
        <w:tc>
          <w:tcPr>
            <w:tcW w:w="1502" w:type="dxa"/>
          </w:tcPr>
          <w:p w14:paraId="688A0F72" w14:textId="77777777" w:rsidR="00F22812" w:rsidRPr="00144E7F" w:rsidRDefault="00F22812"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137F74D7" w14:textId="3D13C095" w:rsidR="00F22812" w:rsidRPr="00144E7F" w:rsidRDefault="00F22812" w:rsidP="00144E7F">
            <w:pPr>
              <w:spacing w:before="80" w:after="80" w:line="240" w:lineRule="auto"/>
              <w:jc w:val="left"/>
              <w:rPr>
                <w:rFonts w:ascii="Arial" w:hAnsi="Arial"/>
                <w:color w:val="000000"/>
                <w:sz w:val="18"/>
              </w:rPr>
            </w:pPr>
            <w:r w:rsidRPr="00144E7F">
              <w:rPr>
                <w:rFonts w:ascii="Arial" w:hAnsi="Arial"/>
                <w:color w:val="000000"/>
                <w:sz w:val="18"/>
              </w:rPr>
              <w:t xml:space="preserve">Application </w:t>
            </w:r>
            <w:r>
              <w:rPr>
                <w:rFonts w:ascii="Arial" w:hAnsi="Arial"/>
                <w:color w:val="000000"/>
                <w:sz w:val="18"/>
              </w:rPr>
              <w:t xml:space="preserve">by administrator </w:t>
            </w:r>
            <w:r w:rsidRPr="00144E7F">
              <w:rPr>
                <w:rFonts w:ascii="Arial" w:hAnsi="Arial"/>
                <w:color w:val="000000"/>
                <w:sz w:val="18"/>
              </w:rPr>
              <w:t>to add one or more financial benchmarks on licence (section 908BH(c))</w:t>
            </w:r>
          </w:p>
        </w:tc>
        <w:tc>
          <w:tcPr>
            <w:tcW w:w="1877" w:type="dxa"/>
          </w:tcPr>
          <w:p w14:paraId="1BB20937" w14:textId="77777777" w:rsidR="00F22812" w:rsidRPr="00144E7F" w:rsidRDefault="00F22812"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181843CC" w14:textId="5714E317" w:rsidR="00F22812" w:rsidRPr="00144E7F" w:rsidRDefault="00F22812" w:rsidP="007E535E">
            <w:pPr>
              <w:spacing w:before="80" w:after="80" w:line="240" w:lineRule="auto"/>
              <w:jc w:val="right"/>
              <w:rPr>
                <w:rFonts w:ascii="Arial" w:hAnsi="Arial"/>
                <w:color w:val="000000"/>
                <w:sz w:val="18"/>
              </w:rPr>
            </w:pPr>
            <w:r w:rsidRPr="00144E7F">
              <w:rPr>
                <w:rFonts w:ascii="Arial" w:hAnsi="Arial"/>
                <w:color w:val="000000"/>
                <w:sz w:val="18"/>
              </w:rPr>
              <w:t>38,651</w:t>
            </w:r>
          </w:p>
        </w:tc>
      </w:tr>
      <w:tr w:rsidR="00144E7F" w:rsidRPr="00144E7F" w14:paraId="50F2555E" w14:textId="77777777" w:rsidTr="00CA5987">
        <w:trPr>
          <w:cantSplit/>
          <w:trHeight w:val="508"/>
        </w:trPr>
        <w:tc>
          <w:tcPr>
            <w:tcW w:w="1502" w:type="dxa"/>
            <w:shd w:val="clear" w:color="auto" w:fill="F2F2F2" w:themeFill="background1" w:themeFillShade="F2"/>
          </w:tcPr>
          <w:p w14:paraId="384C504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N/A5</w:t>
            </w:r>
          </w:p>
        </w:tc>
        <w:tc>
          <w:tcPr>
            <w:tcW w:w="3742" w:type="dxa"/>
            <w:shd w:val="clear" w:color="auto" w:fill="F2F2F2" w:themeFill="background1" w:themeFillShade="F2"/>
          </w:tcPr>
          <w:p w14:paraId="62B0780D"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Australian trade repository licence application</w:t>
            </w:r>
          </w:p>
        </w:tc>
        <w:tc>
          <w:tcPr>
            <w:tcW w:w="1877" w:type="dxa"/>
            <w:shd w:val="clear" w:color="auto" w:fill="F2F2F2" w:themeFill="background1" w:themeFillShade="F2"/>
          </w:tcPr>
          <w:p w14:paraId="26FA76C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71AB3A8E" w14:textId="3C61CE19"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154,598</w:t>
            </w:r>
          </w:p>
        </w:tc>
      </w:tr>
      <w:tr w:rsidR="00144E7F" w:rsidRPr="00144E7F" w14:paraId="69640188" w14:textId="77777777" w:rsidTr="00CA5987">
        <w:trPr>
          <w:cantSplit/>
          <w:trHeight w:val="508"/>
        </w:trPr>
        <w:tc>
          <w:tcPr>
            <w:tcW w:w="1502" w:type="dxa"/>
          </w:tcPr>
          <w:p w14:paraId="7BC1D3A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SFREG</w:t>
            </w:r>
          </w:p>
        </w:tc>
        <w:tc>
          <w:tcPr>
            <w:tcW w:w="3742" w:type="dxa"/>
          </w:tcPr>
          <w:p w14:paraId="55E2C6ED" w14:textId="3E3A9B12"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SMSF </w:t>
            </w:r>
            <w:r w:rsidR="00983BAF" w:rsidRPr="00983BAF">
              <w:rPr>
                <w:rFonts w:ascii="Arial" w:hAnsi="Arial"/>
                <w:color w:val="000000"/>
                <w:sz w:val="18"/>
              </w:rPr>
              <w:t>–</w:t>
            </w:r>
            <w:r w:rsidRPr="00144E7F">
              <w:rPr>
                <w:rFonts w:ascii="Arial" w:hAnsi="Arial"/>
                <w:color w:val="000000"/>
                <w:sz w:val="18"/>
              </w:rPr>
              <w:t xml:space="preserve"> Application for registration as an auditor/authorised audit company</w:t>
            </w:r>
          </w:p>
        </w:tc>
        <w:tc>
          <w:tcPr>
            <w:tcW w:w="1877" w:type="dxa"/>
          </w:tcPr>
          <w:p w14:paraId="77F6509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-107</w:t>
            </w:r>
          </w:p>
        </w:tc>
        <w:tc>
          <w:tcPr>
            <w:tcW w:w="2156" w:type="dxa"/>
            <w:gridSpan w:val="2"/>
          </w:tcPr>
          <w:p w14:paraId="3F7E3FD7"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3,429</w:t>
            </w:r>
          </w:p>
        </w:tc>
      </w:tr>
      <w:tr w:rsidR="00144E7F" w:rsidRPr="00144E7F" w14:paraId="485F5953" w14:textId="77777777" w:rsidTr="00CA5987">
        <w:trPr>
          <w:cantSplit/>
          <w:trHeight w:val="508"/>
        </w:trPr>
        <w:tc>
          <w:tcPr>
            <w:tcW w:w="1502" w:type="dxa"/>
            <w:shd w:val="clear" w:color="auto" w:fill="F2F2F2" w:themeFill="background1" w:themeFillShade="F2"/>
          </w:tcPr>
          <w:p w14:paraId="3C9BA3D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39EA0684" w14:textId="48A38D97" w:rsidR="00144E7F" w:rsidRPr="00144E7F" w:rsidRDefault="00144E7F" w:rsidP="00983BAF">
            <w:pPr>
              <w:spacing w:before="80" w:after="80" w:line="240" w:lineRule="auto"/>
              <w:jc w:val="left"/>
              <w:rPr>
                <w:rFonts w:ascii="Arial" w:hAnsi="Arial"/>
                <w:color w:val="000000"/>
                <w:sz w:val="18"/>
              </w:rPr>
            </w:pPr>
            <w:r w:rsidRPr="00144E7F">
              <w:rPr>
                <w:rFonts w:ascii="Arial" w:hAnsi="Arial"/>
                <w:color w:val="000000"/>
                <w:sz w:val="18"/>
              </w:rPr>
              <w:t xml:space="preserve">SMSF </w:t>
            </w:r>
            <w:r w:rsidR="00983BAF" w:rsidRPr="00983BAF">
              <w:rPr>
                <w:rFonts w:ascii="Arial" w:hAnsi="Arial"/>
                <w:color w:val="000000"/>
                <w:sz w:val="18"/>
              </w:rPr>
              <w:t>–</w:t>
            </w:r>
            <w:r w:rsidRPr="00144E7F">
              <w:rPr>
                <w:rFonts w:ascii="Arial" w:hAnsi="Arial"/>
                <w:color w:val="000000"/>
                <w:sz w:val="18"/>
              </w:rPr>
              <w:t xml:space="preserve"> Apply to Cancel </w:t>
            </w:r>
            <w:r w:rsidR="00983BAF" w:rsidRPr="00983BAF">
              <w:rPr>
                <w:rFonts w:ascii="Arial" w:hAnsi="Arial"/>
                <w:color w:val="000000"/>
                <w:sz w:val="18"/>
              </w:rPr>
              <w:t>–</w:t>
            </w:r>
            <w:r w:rsidRPr="00144E7F">
              <w:rPr>
                <w:rFonts w:ascii="Arial" w:hAnsi="Arial"/>
                <w:color w:val="000000"/>
                <w:sz w:val="18"/>
              </w:rPr>
              <w:t xml:space="preserve"> requested by SMSF auditor</w:t>
            </w:r>
          </w:p>
        </w:tc>
        <w:tc>
          <w:tcPr>
            <w:tcW w:w="1877" w:type="dxa"/>
            <w:shd w:val="clear" w:color="auto" w:fill="F2F2F2" w:themeFill="background1" w:themeFillShade="F2"/>
          </w:tcPr>
          <w:p w14:paraId="6208B66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0349FC43" w14:textId="1A8E6C44"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899</w:t>
            </w:r>
          </w:p>
        </w:tc>
      </w:tr>
      <w:tr w:rsidR="00144E7F" w:rsidRPr="00144E7F" w14:paraId="140B0F61" w14:textId="77777777" w:rsidTr="00CA5987">
        <w:trPr>
          <w:cantSplit/>
          <w:trHeight w:val="508"/>
        </w:trPr>
        <w:tc>
          <w:tcPr>
            <w:tcW w:w="1502" w:type="dxa"/>
          </w:tcPr>
          <w:p w14:paraId="0CF2ADD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55038557" w14:textId="01ED19F9"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SMSF </w:t>
            </w:r>
            <w:r w:rsidR="00983BAF" w:rsidRPr="00983BAF">
              <w:rPr>
                <w:rFonts w:ascii="Arial" w:hAnsi="Arial"/>
                <w:color w:val="000000"/>
                <w:sz w:val="18"/>
              </w:rPr>
              <w:t>–</w:t>
            </w:r>
            <w:r w:rsidRPr="00144E7F">
              <w:rPr>
                <w:rFonts w:ascii="Arial" w:hAnsi="Arial"/>
                <w:color w:val="000000"/>
                <w:sz w:val="18"/>
              </w:rPr>
              <w:t xml:space="preserve"> Application to Vary Conditions Imposed on Auditor's Registration</w:t>
            </w:r>
          </w:p>
        </w:tc>
        <w:tc>
          <w:tcPr>
            <w:tcW w:w="1877" w:type="dxa"/>
          </w:tcPr>
          <w:p w14:paraId="031F46F5"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61F1CB24" w14:textId="511261BB"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1,028</w:t>
            </w:r>
          </w:p>
        </w:tc>
      </w:tr>
      <w:tr w:rsidR="00144E7F" w:rsidRPr="00144E7F" w14:paraId="16B0C70C" w14:textId="77777777" w:rsidTr="00CA5987">
        <w:trPr>
          <w:cantSplit/>
          <w:trHeight w:val="266"/>
        </w:trPr>
        <w:tc>
          <w:tcPr>
            <w:tcW w:w="1502" w:type="dxa"/>
            <w:shd w:val="clear" w:color="auto" w:fill="F2F2F2" w:themeFill="background1" w:themeFillShade="F2"/>
          </w:tcPr>
          <w:p w14:paraId="0759CAEB"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1ACA423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suite of collective investment vehicles</w:t>
            </w:r>
          </w:p>
        </w:tc>
        <w:tc>
          <w:tcPr>
            <w:tcW w:w="1877" w:type="dxa"/>
            <w:shd w:val="clear" w:color="auto" w:fill="F2F2F2" w:themeFill="background1" w:themeFillShade="F2"/>
          </w:tcPr>
          <w:p w14:paraId="5C5AC4DE"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213F5BC8" w14:textId="133072F5"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3,029</w:t>
            </w:r>
          </w:p>
        </w:tc>
      </w:tr>
      <w:tr w:rsidR="00144E7F" w:rsidRPr="00144E7F" w14:paraId="7305B99A" w14:textId="77777777" w:rsidTr="00CA5987">
        <w:trPr>
          <w:cantSplit/>
          <w:trHeight w:val="186"/>
        </w:trPr>
        <w:tc>
          <w:tcPr>
            <w:tcW w:w="1502" w:type="dxa"/>
          </w:tcPr>
          <w:p w14:paraId="16D0E47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66D9592F"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Asian Region Funds Passport (Australian)</w:t>
            </w:r>
          </w:p>
        </w:tc>
        <w:tc>
          <w:tcPr>
            <w:tcW w:w="1877" w:type="dxa"/>
          </w:tcPr>
          <w:p w14:paraId="3B3F438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050D8721" w14:textId="27004688"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14,346</w:t>
            </w:r>
          </w:p>
        </w:tc>
      </w:tr>
      <w:tr w:rsidR="00144E7F" w:rsidRPr="00144E7F" w14:paraId="2FD599C2" w14:textId="77777777" w:rsidTr="00CA5987">
        <w:trPr>
          <w:cantSplit/>
          <w:trHeight w:val="105"/>
        </w:trPr>
        <w:tc>
          <w:tcPr>
            <w:tcW w:w="1502" w:type="dxa"/>
            <w:shd w:val="clear" w:color="auto" w:fill="F2F2F2" w:themeFill="background1" w:themeFillShade="F2"/>
          </w:tcPr>
          <w:p w14:paraId="3DAE472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TBA</w:t>
            </w:r>
          </w:p>
        </w:tc>
        <w:tc>
          <w:tcPr>
            <w:tcW w:w="3742" w:type="dxa"/>
            <w:shd w:val="clear" w:color="auto" w:fill="F2F2F2" w:themeFill="background1" w:themeFillShade="F2"/>
          </w:tcPr>
          <w:p w14:paraId="61EB6BF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Asian Region Funds Passport (Foreign)</w:t>
            </w:r>
          </w:p>
        </w:tc>
        <w:tc>
          <w:tcPr>
            <w:tcW w:w="1877" w:type="dxa"/>
            <w:shd w:val="clear" w:color="auto" w:fill="F2F2F2" w:themeFill="background1" w:themeFillShade="F2"/>
          </w:tcPr>
          <w:p w14:paraId="1F99DEAA"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6CFFE3DD" w14:textId="38CD7BAE"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2,550</w:t>
            </w:r>
          </w:p>
        </w:tc>
      </w:tr>
      <w:tr w:rsidR="00144E7F" w:rsidRPr="00144E7F" w14:paraId="769A0B64" w14:textId="77777777" w:rsidTr="00CA5987">
        <w:trPr>
          <w:cantSplit/>
          <w:trHeight w:val="153"/>
        </w:trPr>
        <w:tc>
          <w:tcPr>
            <w:tcW w:w="1502" w:type="dxa"/>
          </w:tcPr>
          <w:p w14:paraId="307886B6"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PF225</w:t>
            </w:r>
          </w:p>
        </w:tc>
        <w:tc>
          <w:tcPr>
            <w:tcW w:w="3742" w:type="dxa"/>
          </w:tcPr>
          <w:p w14:paraId="1AD4C8CA"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Pro forma 225 Deed of mutual release</w:t>
            </w:r>
          </w:p>
        </w:tc>
        <w:tc>
          <w:tcPr>
            <w:tcW w:w="1877" w:type="dxa"/>
          </w:tcPr>
          <w:p w14:paraId="7027AA99"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3CC898C8" w14:textId="79E56FA1"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1,798</w:t>
            </w:r>
          </w:p>
        </w:tc>
      </w:tr>
      <w:tr w:rsidR="00144E7F" w:rsidRPr="00144E7F" w14:paraId="0FCA1376" w14:textId="77777777" w:rsidTr="00CA5987">
        <w:trPr>
          <w:cantSplit/>
          <w:trHeight w:val="216"/>
        </w:trPr>
        <w:tc>
          <w:tcPr>
            <w:tcW w:w="1502" w:type="dxa"/>
            <w:shd w:val="clear" w:color="auto" w:fill="F2F2F2" w:themeFill="background1" w:themeFillShade="F2"/>
          </w:tcPr>
          <w:p w14:paraId="0EB3FA43"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PF63</w:t>
            </w:r>
          </w:p>
        </w:tc>
        <w:tc>
          <w:tcPr>
            <w:tcW w:w="3742" w:type="dxa"/>
            <w:shd w:val="clear" w:color="auto" w:fill="F2F2F2" w:themeFill="background1" w:themeFillShade="F2"/>
          </w:tcPr>
          <w:p w14:paraId="2994844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Pro forma 63 Deed of subordination</w:t>
            </w:r>
          </w:p>
        </w:tc>
        <w:tc>
          <w:tcPr>
            <w:tcW w:w="1877" w:type="dxa"/>
            <w:shd w:val="clear" w:color="auto" w:fill="F2F2F2" w:themeFill="background1" w:themeFillShade="F2"/>
          </w:tcPr>
          <w:p w14:paraId="41A36A8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shd w:val="clear" w:color="auto" w:fill="F2F2F2" w:themeFill="background1" w:themeFillShade="F2"/>
          </w:tcPr>
          <w:p w14:paraId="353A11CF" w14:textId="24A81CB2"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1,798</w:t>
            </w:r>
          </w:p>
        </w:tc>
      </w:tr>
      <w:tr w:rsidR="00144E7F" w:rsidRPr="00144E7F" w14:paraId="14985201" w14:textId="77777777" w:rsidTr="00CA5987">
        <w:trPr>
          <w:cantSplit/>
          <w:trHeight w:val="508"/>
        </w:trPr>
        <w:tc>
          <w:tcPr>
            <w:tcW w:w="1502" w:type="dxa"/>
          </w:tcPr>
          <w:p w14:paraId="56594080"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390C55E7" w14:textId="5FA48AC3"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Australian trade repository licence application </w:t>
            </w:r>
            <w:r w:rsidR="00983BAF" w:rsidRPr="00983BAF">
              <w:rPr>
                <w:rFonts w:ascii="Arial" w:hAnsi="Arial"/>
                <w:color w:val="000000"/>
                <w:sz w:val="18"/>
              </w:rPr>
              <w:t>–</w:t>
            </w:r>
            <w:r w:rsidRPr="00144E7F">
              <w:rPr>
                <w:rFonts w:ascii="Arial" w:hAnsi="Arial"/>
                <w:color w:val="000000"/>
                <w:sz w:val="18"/>
              </w:rPr>
              <w:t xml:space="preserve"> revocation of exemptions</w:t>
            </w:r>
          </w:p>
        </w:tc>
        <w:tc>
          <w:tcPr>
            <w:tcW w:w="1877" w:type="dxa"/>
          </w:tcPr>
          <w:p w14:paraId="29484BD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55937264" w14:textId="567D4B39"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12,886</w:t>
            </w:r>
          </w:p>
        </w:tc>
      </w:tr>
      <w:tr w:rsidR="00144E7F" w:rsidRPr="00144E7F" w14:paraId="474D79A2" w14:textId="77777777" w:rsidTr="00CA5987">
        <w:trPr>
          <w:cantSplit/>
          <w:trHeight w:val="231"/>
        </w:trPr>
        <w:tc>
          <w:tcPr>
            <w:tcW w:w="1502" w:type="dxa"/>
            <w:vMerge w:val="restart"/>
            <w:shd w:val="clear" w:color="auto" w:fill="F2F2F2" w:themeFill="background1" w:themeFillShade="F2"/>
          </w:tcPr>
          <w:p w14:paraId="328EA484" w14:textId="376BDCDD" w:rsidR="00144E7F" w:rsidRPr="00144E7F" w:rsidRDefault="00E666EE" w:rsidP="00144E7F">
            <w:pPr>
              <w:spacing w:before="80" w:after="80" w:line="240" w:lineRule="auto"/>
              <w:jc w:val="left"/>
              <w:rPr>
                <w:rFonts w:ascii="Arial" w:hAnsi="Arial"/>
                <w:color w:val="000000"/>
                <w:sz w:val="18"/>
              </w:rPr>
            </w:pPr>
            <w:r>
              <w:rPr>
                <w:rFonts w:ascii="Arial" w:hAnsi="Arial"/>
                <w:color w:val="000000"/>
                <w:sz w:val="18"/>
              </w:rPr>
              <w:t>RL05</w:t>
            </w:r>
          </w:p>
        </w:tc>
        <w:tc>
          <w:tcPr>
            <w:tcW w:w="3742" w:type="dxa"/>
            <w:vMerge w:val="restart"/>
            <w:shd w:val="clear" w:color="auto" w:fill="F2F2F2" w:themeFill="background1" w:themeFillShade="F2"/>
          </w:tcPr>
          <w:p w14:paraId="254A1F9E" w14:textId="4D5D2D1C"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Registered Liquidator renewal </w:t>
            </w:r>
            <w:r w:rsidR="00983BAF" w:rsidRPr="00983BAF">
              <w:rPr>
                <w:rFonts w:ascii="Arial" w:hAnsi="Arial"/>
                <w:color w:val="000000"/>
                <w:sz w:val="18"/>
              </w:rPr>
              <w:t>–</w:t>
            </w:r>
            <w:r w:rsidRPr="00144E7F">
              <w:rPr>
                <w:rFonts w:ascii="Arial" w:hAnsi="Arial"/>
                <w:color w:val="000000"/>
                <w:sz w:val="18"/>
              </w:rPr>
              <w:t xml:space="preserve"> </w:t>
            </w:r>
            <w:r w:rsidRPr="00144E7F">
              <w:rPr>
                <w:rFonts w:ascii="Arial" w:hAnsi="Arial"/>
                <w:color w:val="000000"/>
                <w:sz w:val="18"/>
              </w:rPr>
              <w:br/>
              <w:t>includes RL05A &amp; RL05B</w:t>
            </w:r>
          </w:p>
        </w:tc>
        <w:tc>
          <w:tcPr>
            <w:tcW w:w="1877" w:type="dxa"/>
            <w:vMerge w:val="restart"/>
            <w:shd w:val="clear" w:color="auto" w:fill="F2F2F2" w:themeFill="background1" w:themeFillShade="F2"/>
          </w:tcPr>
          <w:p w14:paraId="27ABA4B3"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RL05A – 1,736</w:t>
            </w:r>
          </w:p>
          <w:p w14:paraId="7EDA389F"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RL05B – 1,961</w:t>
            </w:r>
          </w:p>
        </w:tc>
        <w:tc>
          <w:tcPr>
            <w:tcW w:w="1358" w:type="dxa"/>
            <w:shd w:val="clear" w:color="auto" w:fill="F2F2F2" w:themeFill="background1" w:themeFillShade="F2"/>
          </w:tcPr>
          <w:p w14:paraId="14BB248D" w14:textId="4B3434D2" w:rsidR="00144E7F" w:rsidRPr="00144E7F" w:rsidRDefault="00144E7F" w:rsidP="00BE11F5">
            <w:pPr>
              <w:spacing w:before="80" w:after="80" w:line="240" w:lineRule="auto"/>
              <w:jc w:val="right"/>
              <w:rPr>
                <w:rFonts w:ascii="Arial" w:hAnsi="Arial"/>
                <w:color w:val="000000"/>
                <w:sz w:val="18"/>
              </w:rPr>
            </w:pPr>
            <w:r w:rsidRPr="00144E7F">
              <w:rPr>
                <w:rFonts w:ascii="Arial" w:hAnsi="Arial"/>
                <w:color w:val="000000"/>
                <w:sz w:val="18"/>
              </w:rPr>
              <w:t xml:space="preserve">Standard </w:t>
            </w:r>
          </w:p>
        </w:tc>
        <w:tc>
          <w:tcPr>
            <w:tcW w:w="798" w:type="dxa"/>
            <w:shd w:val="clear" w:color="auto" w:fill="F2F2F2" w:themeFill="background1" w:themeFillShade="F2"/>
          </w:tcPr>
          <w:p w14:paraId="6A75E13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1,920</w:t>
            </w:r>
          </w:p>
        </w:tc>
      </w:tr>
      <w:tr w:rsidR="00144E7F" w:rsidRPr="00144E7F" w14:paraId="693CF136" w14:textId="77777777" w:rsidTr="00CA5987">
        <w:trPr>
          <w:cantSplit/>
          <w:trHeight w:val="191"/>
        </w:trPr>
        <w:tc>
          <w:tcPr>
            <w:tcW w:w="1502" w:type="dxa"/>
            <w:vMerge/>
          </w:tcPr>
          <w:p w14:paraId="02400B5B" w14:textId="77777777" w:rsidR="00144E7F" w:rsidRPr="00144E7F" w:rsidRDefault="00144E7F" w:rsidP="00144E7F">
            <w:pPr>
              <w:spacing w:before="80" w:after="80" w:line="240" w:lineRule="auto"/>
              <w:jc w:val="left"/>
              <w:rPr>
                <w:rFonts w:ascii="Arial" w:hAnsi="Arial"/>
                <w:color w:val="000000"/>
                <w:sz w:val="18"/>
              </w:rPr>
            </w:pPr>
          </w:p>
        </w:tc>
        <w:tc>
          <w:tcPr>
            <w:tcW w:w="3742" w:type="dxa"/>
            <w:vMerge/>
          </w:tcPr>
          <w:p w14:paraId="6E004AD1" w14:textId="77777777" w:rsidR="00144E7F" w:rsidRPr="00144E7F" w:rsidRDefault="00144E7F" w:rsidP="00144E7F">
            <w:pPr>
              <w:spacing w:before="80" w:after="80" w:line="240" w:lineRule="auto"/>
              <w:jc w:val="left"/>
              <w:rPr>
                <w:rFonts w:ascii="Arial" w:hAnsi="Arial"/>
                <w:color w:val="000000"/>
                <w:sz w:val="18"/>
              </w:rPr>
            </w:pPr>
          </w:p>
        </w:tc>
        <w:tc>
          <w:tcPr>
            <w:tcW w:w="1877" w:type="dxa"/>
            <w:vMerge/>
          </w:tcPr>
          <w:p w14:paraId="1C432CF1" w14:textId="77777777" w:rsidR="00144E7F" w:rsidRPr="00144E7F" w:rsidRDefault="00144E7F" w:rsidP="00144E7F">
            <w:pPr>
              <w:spacing w:before="80" w:after="80" w:line="240" w:lineRule="auto"/>
              <w:jc w:val="right"/>
              <w:rPr>
                <w:rFonts w:ascii="Arial" w:hAnsi="Arial"/>
                <w:color w:val="000000"/>
                <w:sz w:val="18"/>
              </w:rPr>
            </w:pPr>
          </w:p>
        </w:tc>
        <w:tc>
          <w:tcPr>
            <w:tcW w:w="1358" w:type="dxa"/>
          </w:tcPr>
          <w:p w14:paraId="581FCB1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Early bird</w:t>
            </w:r>
          </w:p>
        </w:tc>
        <w:tc>
          <w:tcPr>
            <w:tcW w:w="798" w:type="dxa"/>
          </w:tcPr>
          <w:p w14:paraId="56BE9A94"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1,720</w:t>
            </w:r>
          </w:p>
        </w:tc>
      </w:tr>
      <w:tr w:rsidR="00144E7F" w:rsidRPr="00144E7F" w14:paraId="67B997FA" w14:textId="77777777" w:rsidTr="00CA5987">
        <w:trPr>
          <w:cantSplit/>
          <w:trHeight w:val="508"/>
        </w:trPr>
        <w:tc>
          <w:tcPr>
            <w:tcW w:w="1502" w:type="dxa"/>
          </w:tcPr>
          <w:p w14:paraId="61FE8F7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RL06</w:t>
            </w:r>
          </w:p>
        </w:tc>
        <w:tc>
          <w:tcPr>
            <w:tcW w:w="3742" w:type="dxa"/>
          </w:tcPr>
          <w:p w14:paraId="7DD2A2D1"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Application to remove or vary conditions or lift or shorten suspension</w:t>
            </w:r>
          </w:p>
        </w:tc>
        <w:tc>
          <w:tcPr>
            <w:tcW w:w="1877" w:type="dxa"/>
          </w:tcPr>
          <w:p w14:paraId="14BD1CE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tcPr>
          <w:p w14:paraId="360B39EA" w14:textId="4A11911A"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1,018</w:t>
            </w:r>
          </w:p>
        </w:tc>
      </w:tr>
      <w:tr w:rsidR="00144E7F" w:rsidRPr="00144E7F" w14:paraId="4224DBB9" w14:textId="77777777" w:rsidTr="00CA5987">
        <w:trPr>
          <w:cantSplit/>
          <w:trHeight w:val="508"/>
        </w:trPr>
        <w:tc>
          <w:tcPr>
            <w:tcW w:w="1502" w:type="dxa"/>
            <w:shd w:val="clear" w:color="auto" w:fill="F2F2F2" w:themeFill="background1" w:themeFillShade="F2"/>
          </w:tcPr>
          <w:p w14:paraId="5608471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RL08</w:t>
            </w:r>
          </w:p>
        </w:tc>
        <w:tc>
          <w:tcPr>
            <w:tcW w:w="3742" w:type="dxa"/>
            <w:shd w:val="clear" w:color="auto" w:fill="F2F2F2" w:themeFill="background1" w:themeFillShade="F2"/>
          </w:tcPr>
          <w:p w14:paraId="169BD4B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Request to cancel or suspend registration as a liquidator</w:t>
            </w:r>
          </w:p>
        </w:tc>
        <w:tc>
          <w:tcPr>
            <w:tcW w:w="1877" w:type="dxa"/>
            <w:shd w:val="clear" w:color="auto" w:fill="F2F2F2" w:themeFill="background1" w:themeFillShade="F2"/>
          </w:tcPr>
          <w:p w14:paraId="733CFD8C"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39</w:t>
            </w:r>
          </w:p>
        </w:tc>
        <w:tc>
          <w:tcPr>
            <w:tcW w:w="2156" w:type="dxa"/>
            <w:gridSpan w:val="2"/>
            <w:shd w:val="clear" w:color="auto" w:fill="F2F2F2" w:themeFill="background1" w:themeFillShade="F2"/>
          </w:tcPr>
          <w:p w14:paraId="05D7C81E" w14:textId="78F4C3EB" w:rsidR="00144E7F" w:rsidRPr="00144E7F" w:rsidRDefault="00144E7F" w:rsidP="007E535E">
            <w:pPr>
              <w:spacing w:before="80" w:after="80" w:line="240" w:lineRule="auto"/>
              <w:jc w:val="right"/>
              <w:rPr>
                <w:rFonts w:ascii="Arial" w:hAnsi="Arial"/>
                <w:color w:val="000000"/>
                <w:sz w:val="18"/>
              </w:rPr>
            </w:pPr>
            <w:r w:rsidRPr="00144E7F">
              <w:rPr>
                <w:rFonts w:ascii="Arial" w:hAnsi="Arial"/>
                <w:color w:val="000000"/>
                <w:sz w:val="18"/>
              </w:rPr>
              <w:t>234</w:t>
            </w:r>
          </w:p>
        </w:tc>
      </w:tr>
      <w:tr w:rsidR="00144E7F" w:rsidRPr="00144E7F" w14:paraId="0E495433" w14:textId="77777777" w:rsidTr="00CA5987">
        <w:trPr>
          <w:cantSplit/>
          <w:trHeight w:val="516"/>
        </w:trPr>
        <w:tc>
          <w:tcPr>
            <w:tcW w:w="1502" w:type="dxa"/>
          </w:tcPr>
          <w:p w14:paraId="1B0E2439" w14:textId="18375FB6" w:rsidR="00144E7F" w:rsidRPr="00144E7F" w:rsidRDefault="00E666EE" w:rsidP="00144E7F">
            <w:pPr>
              <w:spacing w:before="80" w:after="80" w:line="240" w:lineRule="auto"/>
              <w:jc w:val="left"/>
              <w:rPr>
                <w:rFonts w:ascii="Arial" w:hAnsi="Arial"/>
                <w:color w:val="000000"/>
                <w:sz w:val="18"/>
              </w:rPr>
            </w:pPr>
            <w:r>
              <w:rPr>
                <w:rFonts w:ascii="Arial" w:hAnsi="Arial"/>
                <w:color w:val="000000"/>
                <w:sz w:val="18"/>
              </w:rPr>
              <w:t>New TBC</w:t>
            </w:r>
          </w:p>
        </w:tc>
        <w:tc>
          <w:tcPr>
            <w:tcW w:w="3742" w:type="dxa"/>
          </w:tcPr>
          <w:p w14:paraId="08905449"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Decisions made by ASIC (market </w:t>
            </w:r>
            <w:proofErr w:type="spellStart"/>
            <w:r w:rsidRPr="00144E7F">
              <w:rPr>
                <w:rFonts w:ascii="Arial" w:hAnsi="Arial"/>
                <w:color w:val="000000"/>
                <w:sz w:val="18"/>
              </w:rPr>
              <w:t>licencee</w:t>
            </w:r>
            <w:proofErr w:type="spellEnd"/>
            <w:r w:rsidRPr="00144E7F">
              <w:rPr>
                <w:rFonts w:ascii="Arial" w:hAnsi="Arial"/>
                <w:color w:val="000000"/>
                <w:sz w:val="18"/>
              </w:rPr>
              <w:t>, related body corporate or competitor competing in market) (section 798DA)</w:t>
            </w:r>
          </w:p>
        </w:tc>
        <w:tc>
          <w:tcPr>
            <w:tcW w:w="1877" w:type="dxa"/>
          </w:tcPr>
          <w:p w14:paraId="23FE2321" w14:textId="77777777"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w:t>
            </w:r>
          </w:p>
        </w:tc>
        <w:tc>
          <w:tcPr>
            <w:tcW w:w="2156" w:type="dxa"/>
            <w:gridSpan w:val="2"/>
          </w:tcPr>
          <w:p w14:paraId="67965BB6" w14:textId="792C978C" w:rsidR="00144E7F" w:rsidRPr="00144E7F" w:rsidRDefault="00144E7F" w:rsidP="00144E7F">
            <w:pPr>
              <w:spacing w:before="80" w:after="80" w:line="240" w:lineRule="auto"/>
              <w:jc w:val="right"/>
              <w:rPr>
                <w:rFonts w:ascii="Arial" w:hAnsi="Arial"/>
                <w:color w:val="000000"/>
                <w:sz w:val="18"/>
              </w:rPr>
            </w:pPr>
            <w:r w:rsidRPr="00144E7F">
              <w:rPr>
                <w:rFonts w:ascii="Arial" w:hAnsi="Arial"/>
                <w:color w:val="000000"/>
                <w:sz w:val="18"/>
              </w:rPr>
              <w:t xml:space="preserve">The fee that will be applied is consistent with section 5 of the </w:t>
            </w:r>
            <w:r w:rsidRPr="00E666EE">
              <w:rPr>
                <w:rFonts w:ascii="Arial" w:hAnsi="Arial"/>
                <w:i/>
                <w:color w:val="000000"/>
                <w:sz w:val="18"/>
              </w:rPr>
              <w:t>Corporations (Fees) Regulations 2001</w:t>
            </w:r>
            <w:r w:rsidRPr="00144E7F">
              <w:rPr>
                <w:rFonts w:ascii="Arial" w:hAnsi="Arial"/>
                <w:color w:val="000000"/>
                <w:sz w:val="18"/>
              </w:rPr>
              <w:t xml:space="preserve"> noting an increase in the existin</w:t>
            </w:r>
            <w:r w:rsidR="007E535E">
              <w:rPr>
                <w:rFonts w:ascii="Arial" w:hAnsi="Arial"/>
                <w:color w:val="000000"/>
                <w:sz w:val="18"/>
              </w:rPr>
              <w:t>g hourly rate of $70 to $175.95</w:t>
            </w:r>
          </w:p>
        </w:tc>
      </w:tr>
      <w:tr w:rsidR="00144E7F" w:rsidRPr="00144E7F" w14:paraId="03A91E32" w14:textId="77777777" w:rsidTr="00CA5987">
        <w:trPr>
          <w:cantSplit/>
          <w:trHeight w:val="229"/>
        </w:trPr>
        <w:tc>
          <w:tcPr>
            <w:tcW w:w="1502" w:type="dxa"/>
            <w:shd w:val="clear" w:color="auto" w:fill="F2F2F2" w:themeFill="background1" w:themeFillShade="F2"/>
          </w:tcPr>
          <w:p w14:paraId="2E2FDE67"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shd w:val="clear" w:color="auto" w:fill="F2F2F2" w:themeFill="background1" w:themeFillShade="F2"/>
          </w:tcPr>
          <w:p w14:paraId="7D73DFE5" w14:textId="125A2F9E"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Trade Repository licence </w:t>
            </w:r>
            <w:r w:rsidR="00983BAF" w:rsidRPr="00983BAF">
              <w:rPr>
                <w:rFonts w:ascii="Arial" w:hAnsi="Arial"/>
                <w:color w:val="000000"/>
                <w:sz w:val="18"/>
              </w:rPr>
              <w:t>–</w:t>
            </w:r>
            <w:r w:rsidRPr="00144E7F">
              <w:rPr>
                <w:rFonts w:ascii="Arial" w:hAnsi="Arial"/>
                <w:color w:val="000000"/>
                <w:sz w:val="18"/>
              </w:rPr>
              <w:t xml:space="preserve"> change of name</w:t>
            </w:r>
          </w:p>
        </w:tc>
        <w:tc>
          <w:tcPr>
            <w:tcW w:w="1877" w:type="dxa"/>
            <w:shd w:val="clear" w:color="auto" w:fill="F2F2F2" w:themeFill="background1" w:themeFillShade="F2"/>
          </w:tcPr>
          <w:p w14:paraId="61614329" w14:textId="77777777" w:rsidR="00144E7F" w:rsidRPr="00BE11F5" w:rsidRDefault="00144E7F" w:rsidP="00BE11F5">
            <w:pPr>
              <w:pStyle w:val="TableTextRight"/>
            </w:pPr>
            <w:r w:rsidRPr="00BE11F5">
              <w:t>-</w:t>
            </w:r>
          </w:p>
        </w:tc>
        <w:tc>
          <w:tcPr>
            <w:tcW w:w="2156" w:type="dxa"/>
            <w:gridSpan w:val="2"/>
            <w:shd w:val="clear" w:color="auto" w:fill="F2F2F2" w:themeFill="background1" w:themeFillShade="F2"/>
          </w:tcPr>
          <w:p w14:paraId="6B5A562E" w14:textId="6A71460C" w:rsidR="00144E7F" w:rsidRPr="00BE11F5" w:rsidRDefault="00144E7F" w:rsidP="007E535E">
            <w:pPr>
              <w:pStyle w:val="TableTextRight"/>
            </w:pPr>
            <w:r w:rsidRPr="00BE11F5">
              <w:t>1,549</w:t>
            </w:r>
          </w:p>
        </w:tc>
      </w:tr>
      <w:tr w:rsidR="00144E7F" w:rsidRPr="00144E7F" w14:paraId="4A76A888" w14:textId="77777777" w:rsidTr="00CA5987">
        <w:trPr>
          <w:cantSplit/>
          <w:trHeight w:val="508"/>
        </w:trPr>
        <w:tc>
          <w:tcPr>
            <w:tcW w:w="1502" w:type="dxa"/>
          </w:tcPr>
          <w:p w14:paraId="09F824D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0FA9A97E" w14:textId="69D59B3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 xml:space="preserve">Trade Repository licence </w:t>
            </w:r>
            <w:r w:rsidR="00983BAF" w:rsidRPr="00983BAF">
              <w:rPr>
                <w:rFonts w:ascii="Arial" w:hAnsi="Arial"/>
                <w:color w:val="000000"/>
                <w:sz w:val="18"/>
              </w:rPr>
              <w:t>–</w:t>
            </w:r>
            <w:r w:rsidRPr="00144E7F">
              <w:rPr>
                <w:rFonts w:ascii="Arial" w:hAnsi="Arial"/>
                <w:color w:val="000000"/>
                <w:sz w:val="18"/>
              </w:rPr>
              <w:t xml:space="preserve"> application for imposing licence conditions</w:t>
            </w:r>
          </w:p>
        </w:tc>
        <w:tc>
          <w:tcPr>
            <w:tcW w:w="1877" w:type="dxa"/>
          </w:tcPr>
          <w:p w14:paraId="7AD7FD65" w14:textId="77777777" w:rsidR="00144E7F" w:rsidRPr="00BE11F5" w:rsidRDefault="00144E7F" w:rsidP="00BE11F5">
            <w:pPr>
              <w:pStyle w:val="TableTextRight"/>
            </w:pPr>
            <w:r w:rsidRPr="00BE11F5">
              <w:t>-</w:t>
            </w:r>
          </w:p>
        </w:tc>
        <w:tc>
          <w:tcPr>
            <w:tcW w:w="2156" w:type="dxa"/>
            <w:gridSpan w:val="2"/>
          </w:tcPr>
          <w:p w14:paraId="4B20F57D" w14:textId="5BA65CA5" w:rsidR="00144E7F" w:rsidRPr="00BE11F5" w:rsidRDefault="00144E7F" w:rsidP="007E535E">
            <w:pPr>
              <w:pStyle w:val="TableTextRight"/>
            </w:pPr>
            <w:r w:rsidRPr="00BE11F5">
              <w:t>38,651</w:t>
            </w:r>
          </w:p>
        </w:tc>
      </w:tr>
      <w:tr w:rsidR="00144E7F" w:rsidRPr="00144E7F" w14:paraId="4473D380" w14:textId="77777777" w:rsidTr="00CA5987">
        <w:trPr>
          <w:cantSplit/>
          <w:trHeight w:val="759"/>
        </w:trPr>
        <w:tc>
          <w:tcPr>
            <w:tcW w:w="1502" w:type="dxa"/>
            <w:shd w:val="clear" w:color="auto" w:fill="F2F2F2" w:themeFill="background1" w:themeFillShade="F2"/>
          </w:tcPr>
          <w:p w14:paraId="452C475E" w14:textId="6A1958F4" w:rsidR="00144E7F" w:rsidRPr="00144E7F" w:rsidRDefault="00E666EE" w:rsidP="00144E7F">
            <w:pPr>
              <w:spacing w:before="80" w:after="80" w:line="240" w:lineRule="auto"/>
              <w:jc w:val="left"/>
              <w:rPr>
                <w:rFonts w:ascii="Arial" w:hAnsi="Arial"/>
                <w:color w:val="000000"/>
                <w:sz w:val="18"/>
              </w:rPr>
            </w:pPr>
            <w:r>
              <w:rPr>
                <w:rFonts w:ascii="Arial" w:hAnsi="Arial"/>
                <w:color w:val="000000"/>
                <w:sz w:val="18"/>
              </w:rPr>
              <w:t>New TBC</w:t>
            </w:r>
          </w:p>
        </w:tc>
        <w:tc>
          <w:tcPr>
            <w:tcW w:w="3742" w:type="dxa"/>
            <w:shd w:val="clear" w:color="auto" w:fill="F2F2F2" w:themeFill="background1" w:themeFillShade="F2"/>
          </w:tcPr>
          <w:p w14:paraId="4EBAB272" w14:textId="6C790623" w:rsidR="00144E7F" w:rsidRPr="00144E7F" w:rsidRDefault="00104090" w:rsidP="00144E7F">
            <w:pPr>
              <w:spacing w:before="80" w:after="80" w:line="240" w:lineRule="auto"/>
              <w:jc w:val="left"/>
              <w:rPr>
                <w:rFonts w:ascii="Arial" w:hAnsi="Arial"/>
                <w:color w:val="000000"/>
                <w:sz w:val="18"/>
              </w:rPr>
            </w:pPr>
            <w:r>
              <w:rPr>
                <w:rFonts w:ascii="Arial" w:hAnsi="Arial"/>
                <w:color w:val="000000"/>
                <w:sz w:val="18"/>
              </w:rPr>
              <w:t>Market – application for variation of exemption and Clearing and Settlement licence exemption</w:t>
            </w:r>
          </w:p>
        </w:tc>
        <w:tc>
          <w:tcPr>
            <w:tcW w:w="1877" w:type="dxa"/>
            <w:shd w:val="clear" w:color="auto" w:fill="F2F2F2" w:themeFill="background1" w:themeFillShade="F2"/>
          </w:tcPr>
          <w:p w14:paraId="6B5C9C53" w14:textId="77777777" w:rsidR="00144E7F" w:rsidRPr="00BE11F5" w:rsidRDefault="00144E7F" w:rsidP="00BE11F5">
            <w:pPr>
              <w:pStyle w:val="TableTextRight"/>
            </w:pPr>
            <w:r w:rsidRPr="00BE11F5">
              <w:t>-</w:t>
            </w:r>
          </w:p>
        </w:tc>
        <w:tc>
          <w:tcPr>
            <w:tcW w:w="2156" w:type="dxa"/>
            <w:gridSpan w:val="2"/>
            <w:shd w:val="clear" w:color="auto" w:fill="F2F2F2" w:themeFill="background1" w:themeFillShade="F2"/>
          </w:tcPr>
          <w:p w14:paraId="5AE5FEFB" w14:textId="43D1DB76" w:rsidR="00144E7F" w:rsidRPr="00BE11F5" w:rsidRDefault="00144E7F" w:rsidP="007E535E">
            <w:pPr>
              <w:pStyle w:val="TableTextRight"/>
            </w:pPr>
            <w:r w:rsidRPr="00BE11F5">
              <w:t>17,179</w:t>
            </w:r>
          </w:p>
        </w:tc>
      </w:tr>
      <w:tr w:rsidR="00144E7F" w:rsidRPr="00144E7F" w14:paraId="133CC37F" w14:textId="77777777" w:rsidTr="00CA5987">
        <w:trPr>
          <w:cantSplit/>
          <w:trHeight w:val="285"/>
        </w:trPr>
        <w:tc>
          <w:tcPr>
            <w:tcW w:w="1502" w:type="dxa"/>
          </w:tcPr>
          <w:p w14:paraId="2A85BA0E"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New TBC</w:t>
            </w:r>
          </w:p>
        </w:tc>
        <w:tc>
          <w:tcPr>
            <w:tcW w:w="3742" w:type="dxa"/>
          </w:tcPr>
          <w:p w14:paraId="673F7BC8"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The National Credit Act section s48(2)(b) and Regulation 12</w:t>
            </w:r>
          </w:p>
        </w:tc>
        <w:tc>
          <w:tcPr>
            <w:tcW w:w="1877" w:type="dxa"/>
          </w:tcPr>
          <w:p w14:paraId="097C998D" w14:textId="77777777" w:rsidR="00144E7F" w:rsidRPr="00BE11F5" w:rsidRDefault="00144E7F" w:rsidP="00BE11F5">
            <w:pPr>
              <w:pStyle w:val="TableTextRight"/>
            </w:pPr>
            <w:r w:rsidRPr="00BE11F5">
              <w:t>-</w:t>
            </w:r>
          </w:p>
        </w:tc>
        <w:tc>
          <w:tcPr>
            <w:tcW w:w="2156" w:type="dxa"/>
            <w:gridSpan w:val="2"/>
          </w:tcPr>
          <w:p w14:paraId="0C1B6D4C" w14:textId="37DF3AAE" w:rsidR="00144E7F" w:rsidRPr="00BE11F5" w:rsidRDefault="00144E7F" w:rsidP="007E535E">
            <w:pPr>
              <w:pStyle w:val="TableTextRight"/>
            </w:pPr>
            <w:r w:rsidRPr="00BE11F5">
              <w:t>1,540</w:t>
            </w:r>
          </w:p>
        </w:tc>
      </w:tr>
      <w:tr w:rsidR="00144E7F" w:rsidRPr="00144E7F" w14:paraId="4244D224" w14:textId="77777777" w:rsidTr="00D6307B">
        <w:trPr>
          <w:cantSplit/>
          <w:trHeight w:val="279"/>
        </w:trPr>
        <w:tc>
          <w:tcPr>
            <w:tcW w:w="1502" w:type="dxa"/>
            <w:shd w:val="clear" w:color="auto" w:fill="F2F2F2" w:themeFill="background1" w:themeFillShade="F2"/>
          </w:tcPr>
          <w:p w14:paraId="1D248C2C"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NA</w:t>
            </w:r>
          </w:p>
        </w:tc>
        <w:tc>
          <w:tcPr>
            <w:tcW w:w="3742" w:type="dxa"/>
            <w:shd w:val="clear" w:color="auto" w:fill="F2F2F2" w:themeFill="background1" w:themeFillShade="F2"/>
          </w:tcPr>
          <w:p w14:paraId="1E222DD5" w14:textId="77777777" w:rsidR="00144E7F" w:rsidRPr="00144E7F" w:rsidRDefault="00144E7F" w:rsidP="00144E7F">
            <w:pPr>
              <w:spacing w:before="80" w:after="80" w:line="240" w:lineRule="auto"/>
              <w:jc w:val="left"/>
              <w:rPr>
                <w:rFonts w:ascii="Arial" w:hAnsi="Arial"/>
                <w:color w:val="000000"/>
                <w:sz w:val="18"/>
              </w:rPr>
            </w:pPr>
            <w:r w:rsidRPr="00144E7F">
              <w:rPr>
                <w:rFonts w:ascii="Arial" w:hAnsi="Arial"/>
                <w:color w:val="000000"/>
                <w:sz w:val="18"/>
              </w:rPr>
              <w:t>Relief application: Standard</w:t>
            </w:r>
          </w:p>
        </w:tc>
        <w:tc>
          <w:tcPr>
            <w:tcW w:w="1877" w:type="dxa"/>
            <w:shd w:val="clear" w:color="auto" w:fill="F2F2F2" w:themeFill="background1" w:themeFillShade="F2"/>
          </w:tcPr>
          <w:p w14:paraId="2045008C" w14:textId="77777777" w:rsidR="00144E7F" w:rsidRPr="00BE11F5" w:rsidRDefault="00144E7F" w:rsidP="00BE11F5">
            <w:pPr>
              <w:pStyle w:val="TableTextRight"/>
            </w:pPr>
            <w:r w:rsidRPr="00BE11F5">
              <w:t>0 - 1,169</w:t>
            </w:r>
          </w:p>
        </w:tc>
        <w:tc>
          <w:tcPr>
            <w:tcW w:w="2156" w:type="dxa"/>
            <w:gridSpan w:val="2"/>
            <w:shd w:val="clear" w:color="auto" w:fill="F2F2F2" w:themeFill="background1" w:themeFillShade="F2"/>
          </w:tcPr>
          <w:p w14:paraId="1232CF3B" w14:textId="77777777" w:rsidR="00144E7F" w:rsidRPr="00BE11F5" w:rsidRDefault="00144E7F" w:rsidP="00BE11F5">
            <w:pPr>
              <w:pStyle w:val="TableTextRight"/>
            </w:pPr>
            <w:r w:rsidRPr="00BE11F5">
              <w:t>3,487</w:t>
            </w:r>
          </w:p>
        </w:tc>
      </w:tr>
      <w:tr w:rsidR="00144E7F" w:rsidRPr="00144E7F" w14:paraId="4BAF7273" w14:textId="77777777" w:rsidTr="00D6307B">
        <w:trPr>
          <w:cantSplit/>
          <w:trHeight w:val="185"/>
        </w:trPr>
        <w:tc>
          <w:tcPr>
            <w:tcW w:w="1502" w:type="dxa"/>
            <w:tcBorders>
              <w:bottom w:val="single" w:sz="4" w:space="0" w:color="004A7F"/>
            </w:tcBorders>
          </w:tcPr>
          <w:p w14:paraId="653E8265" w14:textId="77777777" w:rsidR="00144E7F" w:rsidRPr="00023053" w:rsidRDefault="00144E7F" w:rsidP="00144E7F">
            <w:pPr>
              <w:spacing w:before="80" w:after="80" w:line="240" w:lineRule="auto"/>
              <w:jc w:val="left"/>
              <w:rPr>
                <w:rFonts w:ascii="Arial" w:hAnsi="Arial"/>
                <w:color w:val="000000"/>
                <w:sz w:val="18"/>
              </w:rPr>
            </w:pPr>
            <w:r w:rsidRPr="00023053">
              <w:rPr>
                <w:rFonts w:ascii="Arial" w:hAnsi="Arial"/>
                <w:color w:val="000000"/>
                <w:sz w:val="18"/>
              </w:rPr>
              <w:t>NA</w:t>
            </w:r>
          </w:p>
        </w:tc>
        <w:tc>
          <w:tcPr>
            <w:tcW w:w="3742" w:type="dxa"/>
            <w:tcBorders>
              <w:bottom w:val="single" w:sz="4" w:space="0" w:color="004A7F"/>
            </w:tcBorders>
          </w:tcPr>
          <w:p w14:paraId="2A1D5C4C" w14:textId="77777777" w:rsidR="00144E7F" w:rsidRPr="00023053" w:rsidRDefault="00144E7F" w:rsidP="00144E7F">
            <w:pPr>
              <w:spacing w:before="80" w:after="80" w:line="240" w:lineRule="auto"/>
              <w:jc w:val="left"/>
              <w:rPr>
                <w:rFonts w:ascii="Arial" w:hAnsi="Arial"/>
                <w:color w:val="000000"/>
                <w:sz w:val="18"/>
              </w:rPr>
            </w:pPr>
            <w:r w:rsidRPr="00023053">
              <w:rPr>
                <w:rFonts w:ascii="Arial" w:hAnsi="Arial"/>
                <w:color w:val="000000"/>
                <w:sz w:val="18"/>
              </w:rPr>
              <w:t>Relief application: Novel</w:t>
            </w:r>
          </w:p>
        </w:tc>
        <w:tc>
          <w:tcPr>
            <w:tcW w:w="1877" w:type="dxa"/>
            <w:tcBorders>
              <w:bottom w:val="single" w:sz="4" w:space="0" w:color="004A7F"/>
            </w:tcBorders>
          </w:tcPr>
          <w:p w14:paraId="436A8FE6" w14:textId="77777777" w:rsidR="00144E7F" w:rsidRPr="00023053" w:rsidRDefault="00144E7F" w:rsidP="00BE11F5">
            <w:pPr>
              <w:pStyle w:val="TableTextRight"/>
            </w:pPr>
            <w:r w:rsidRPr="00023053">
              <w:t>0 - 1,107</w:t>
            </w:r>
          </w:p>
        </w:tc>
        <w:tc>
          <w:tcPr>
            <w:tcW w:w="2156" w:type="dxa"/>
            <w:gridSpan w:val="2"/>
            <w:tcBorders>
              <w:bottom w:val="single" w:sz="4" w:space="0" w:color="004A7F"/>
            </w:tcBorders>
          </w:tcPr>
          <w:p w14:paraId="6A1F3E8C" w14:textId="783E0D78" w:rsidR="00144E7F" w:rsidRPr="00BE11F5" w:rsidRDefault="00AB49CD" w:rsidP="00BE11F5">
            <w:pPr>
              <w:pStyle w:val="TableTextRight"/>
            </w:pPr>
            <w:r w:rsidRPr="00023053">
              <w:t>3,487</w:t>
            </w:r>
          </w:p>
        </w:tc>
      </w:tr>
      <w:bookmarkEnd w:id="89"/>
      <w:bookmarkEnd w:id="90"/>
    </w:tbl>
    <w:p w14:paraId="2C542253" w14:textId="77777777" w:rsidR="00DA2DF6" w:rsidRPr="008E5F8C" w:rsidRDefault="00DA2DF6" w:rsidP="00B11272">
      <w:pPr>
        <w:pStyle w:val="Bullet"/>
        <w:numPr>
          <w:ilvl w:val="0"/>
          <w:numId w:val="0"/>
        </w:numPr>
      </w:pPr>
    </w:p>
    <w:p w14:paraId="1BA67F36" w14:textId="77777777" w:rsidR="00A049DE" w:rsidRDefault="00A049DE" w:rsidP="00DA2DF6">
      <w:pPr>
        <w:spacing w:after="160" w:line="259" w:lineRule="auto"/>
        <w:sectPr w:rsidR="00A049DE" w:rsidSect="00461E2E">
          <w:footerReference w:type="first" r:id="rId38"/>
          <w:type w:val="oddPage"/>
          <w:pgSz w:w="11906" w:h="16838" w:code="9"/>
          <w:pgMar w:top="1418" w:right="1418" w:bottom="1418" w:left="1418" w:header="709" w:footer="709" w:gutter="0"/>
          <w:cols w:space="708"/>
          <w:titlePg/>
          <w:docGrid w:linePitch="360"/>
        </w:sectPr>
      </w:pPr>
    </w:p>
    <w:p w14:paraId="21F09BEF" w14:textId="77777777" w:rsidR="00DA2DF6" w:rsidRDefault="00DA2DF6" w:rsidP="00A049DE">
      <w:pPr>
        <w:pStyle w:val="Heading1"/>
      </w:pPr>
      <w:bookmarkStart w:id="91" w:name="_Toc496021454"/>
      <w:bookmarkStart w:id="92" w:name="_Toc497212029"/>
      <w:bookmarkStart w:id="93" w:name="_Toc497403333"/>
      <w:bookmarkStart w:id="94" w:name="_Toc498596554"/>
      <w:r>
        <w:t>Schedule B</w:t>
      </w:r>
      <w:r w:rsidRPr="00E51C05">
        <w:t>: Forms that are proposed to have fees removed</w:t>
      </w:r>
      <w:bookmarkEnd w:id="91"/>
      <w:bookmarkEnd w:id="92"/>
      <w:bookmarkEnd w:id="93"/>
      <w:bookmarkEnd w:id="94"/>
    </w:p>
    <w:tbl>
      <w:tblPr>
        <w:tblW w:w="9277" w:type="dxa"/>
        <w:tblLook w:val="04A0" w:firstRow="1" w:lastRow="0" w:firstColumn="1" w:lastColumn="0" w:noHBand="0" w:noVBand="1"/>
      </w:tblPr>
      <w:tblGrid>
        <w:gridCol w:w="1512"/>
        <w:gridCol w:w="3734"/>
        <w:gridCol w:w="1875"/>
        <w:gridCol w:w="2156"/>
      </w:tblGrid>
      <w:tr w:rsidR="00DA2DF6" w:rsidRPr="00A37416" w14:paraId="5136E529" w14:textId="77777777" w:rsidTr="00D6307B">
        <w:trPr>
          <w:trHeight w:val="189"/>
        </w:trPr>
        <w:tc>
          <w:tcPr>
            <w:tcW w:w="1512" w:type="dxa"/>
            <w:tcBorders>
              <w:top w:val="single" w:sz="4" w:space="0" w:color="004A7F"/>
              <w:bottom w:val="single" w:sz="4" w:space="0" w:color="004A7F"/>
            </w:tcBorders>
            <w:shd w:val="clear" w:color="auto" w:fill="DEEAF6" w:themeFill="accent1" w:themeFillTint="33"/>
          </w:tcPr>
          <w:p w14:paraId="269AD1CE" w14:textId="77777777" w:rsidR="00DA2DF6" w:rsidRPr="00B64BFA" w:rsidRDefault="00DA2DF6" w:rsidP="00B64BFA">
            <w:pPr>
              <w:pStyle w:val="TableColumnHeadingLeft"/>
            </w:pPr>
            <w:r w:rsidRPr="00B64BFA">
              <w:t>Form code</w:t>
            </w:r>
          </w:p>
        </w:tc>
        <w:tc>
          <w:tcPr>
            <w:tcW w:w="3734" w:type="dxa"/>
            <w:tcBorders>
              <w:top w:val="single" w:sz="4" w:space="0" w:color="004A7F"/>
              <w:bottom w:val="single" w:sz="4" w:space="0" w:color="004A7F"/>
            </w:tcBorders>
            <w:shd w:val="clear" w:color="auto" w:fill="DEEAF6" w:themeFill="accent1" w:themeFillTint="33"/>
          </w:tcPr>
          <w:p w14:paraId="1C6F853C" w14:textId="77777777" w:rsidR="00DA2DF6" w:rsidRPr="00B64BFA" w:rsidRDefault="00DA2DF6" w:rsidP="00B64BFA">
            <w:pPr>
              <w:pStyle w:val="TableColumnHeadingLeft"/>
            </w:pPr>
            <w:r w:rsidRPr="00B64BFA">
              <w:t>Description</w:t>
            </w:r>
          </w:p>
        </w:tc>
        <w:tc>
          <w:tcPr>
            <w:tcW w:w="1875" w:type="dxa"/>
            <w:tcBorders>
              <w:top w:val="single" w:sz="4" w:space="0" w:color="004A7F"/>
              <w:bottom w:val="single" w:sz="4" w:space="0" w:color="004A7F"/>
            </w:tcBorders>
            <w:shd w:val="clear" w:color="auto" w:fill="DEEAF6" w:themeFill="accent1" w:themeFillTint="33"/>
          </w:tcPr>
          <w:p w14:paraId="0EC8400D" w14:textId="2912137C" w:rsidR="00DA2DF6" w:rsidRPr="00A37416" w:rsidRDefault="00DA2DF6" w:rsidP="008C7D29">
            <w:pPr>
              <w:pStyle w:val="TableColumnHeadingRight"/>
            </w:pPr>
            <w:r>
              <w:t>Current fee</w:t>
            </w:r>
            <w:r w:rsidR="008C7D29">
              <w:t xml:space="preserve"> ($)</w:t>
            </w:r>
          </w:p>
        </w:tc>
        <w:tc>
          <w:tcPr>
            <w:tcW w:w="2156" w:type="dxa"/>
            <w:tcBorders>
              <w:top w:val="single" w:sz="4" w:space="0" w:color="004A7F"/>
              <w:bottom w:val="single" w:sz="4" w:space="0" w:color="004A7F"/>
            </w:tcBorders>
            <w:shd w:val="clear" w:color="auto" w:fill="DEEAF6" w:themeFill="accent1" w:themeFillTint="33"/>
          </w:tcPr>
          <w:p w14:paraId="334DF82F" w14:textId="77777777" w:rsidR="00DA2DF6" w:rsidRPr="00A37416" w:rsidRDefault="00DA2DF6" w:rsidP="008C7D29">
            <w:pPr>
              <w:pStyle w:val="TableColumnHeadingRight"/>
            </w:pPr>
            <w:r>
              <w:t>Proposed fee ($)</w:t>
            </w:r>
          </w:p>
        </w:tc>
      </w:tr>
      <w:tr w:rsidR="00DA2DF6" w:rsidRPr="00A37416" w14:paraId="44A3ADAF" w14:textId="77777777" w:rsidTr="00D6307B">
        <w:tc>
          <w:tcPr>
            <w:tcW w:w="1512" w:type="dxa"/>
            <w:tcBorders>
              <w:top w:val="single" w:sz="4" w:space="0" w:color="004A7F"/>
            </w:tcBorders>
          </w:tcPr>
          <w:p w14:paraId="3C8FEA22" w14:textId="77777777" w:rsidR="00DA2DF6" w:rsidRPr="00B64BFA" w:rsidRDefault="00DA2DF6" w:rsidP="008C7D29">
            <w:pPr>
              <w:pStyle w:val="TableTextLeft"/>
            </w:pPr>
            <w:r w:rsidRPr="00B64BFA">
              <w:t>P-351</w:t>
            </w:r>
          </w:p>
        </w:tc>
        <w:tc>
          <w:tcPr>
            <w:tcW w:w="3734" w:type="dxa"/>
            <w:tcBorders>
              <w:top w:val="single" w:sz="4" w:space="0" w:color="004A7F"/>
            </w:tcBorders>
          </w:tcPr>
          <w:p w14:paraId="781601F9" w14:textId="77777777" w:rsidR="00DA2DF6" w:rsidRPr="00A37416" w:rsidRDefault="00DA2DF6" w:rsidP="008C7D29">
            <w:pPr>
              <w:pStyle w:val="TableTextLeft"/>
            </w:pPr>
            <w:r w:rsidRPr="00A37416">
              <w:t>Deed relating to class order</w:t>
            </w:r>
          </w:p>
        </w:tc>
        <w:tc>
          <w:tcPr>
            <w:tcW w:w="1875" w:type="dxa"/>
            <w:tcBorders>
              <w:top w:val="single" w:sz="4" w:space="0" w:color="004A7F"/>
            </w:tcBorders>
          </w:tcPr>
          <w:p w14:paraId="7F56B5AC" w14:textId="6F6E9E1B" w:rsidR="00DA2DF6" w:rsidRPr="00A37416" w:rsidRDefault="00DA2DF6" w:rsidP="008C7D29">
            <w:pPr>
              <w:pStyle w:val="TableTextRight"/>
            </w:pPr>
            <w:r>
              <w:t>39</w:t>
            </w:r>
          </w:p>
        </w:tc>
        <w:tc>
          <w:tcPr>
            <w:tcW w:w="2156" w:type="dxa"/>
            <w:tcBorders>
              <w:top w:val="single" w:sz="4" w:space="0" w:color="004A7F"/>
            </w:tcBorders>
          </w:tcPr>
          <w:p w14:paraId="3C849061" w14:textId="77777777" w:rsidR="00DA2DF6" w:rsidRPr="00A37416" w:rsidRDefault="00DA2DF6" w:rsidP="008C7D29">
            <w:pPr>
              <w:pStyle w:val="TableTextRight"/>
            </w:pPr>
            <w:r>
              <w:t>0</w:t>
            </w:r>
          </w:p>
        </w:tc>
      </w:tr>
      <w:tr w:rsidR="00DA2DF6" w:rsidRPr="00A37416" w14:paraId="0F409D43" w14:textId="77777777" w:rsidTr="00D6307B">
        <w:tc>
          <w:tcPr>
            <w:tcW w:w="1512" w:type="dxa"/>
            <w:shd w:val="clear" w:color="auto" w:fill="F2F2F2" w:themeFill="background1" w:themeFillShade="F2"/>
          </w:tcPr>
          <w:p w14:paraId="564AE13F" w14:textId="77777777" w:rsidR="00DA2DF6" w:rsidRPr="00B64BFA" w:rsidRDefault="00DA2DF6" w:rsidP="008C7D29">
            <w:pPr>
              <w:pStyle w:val="TableTextLeft"/>
            </w:pPr>
            <w:r w:rsidRPr="00B64BFA">
              <w:t>P-338</w:t>
            </w:r>
          </w:p>
        </w:tc>
        <w:tc>
          <w:tcPr>
            <w:tcW w:w="3734" w:type="dxa"/>
            <w:shd w:val="clear" w:color="auto" w:fill="F2F2F2" w:themeFill="background1" w:themeFillShade="F2"/>
          </w:tcPr>
          <w:p w14:paraId="11B02374" w14:textId="77777777" w:rsidR="00DA2DF6" w:rsidRPr="00A37416" w:rsidRDefault="00DA2DF6" w:rsidP="008C7D29">
            <w:pPr>
              <w:pStyle w:val="TableTextLeft"/>
            </w:pPr>
            <w:r w:rsidRPr="00A37416">
              <w:t>Application for approval of unregistered auditor of proprietary company</w:t>
            </w:r>
          </w:p>
        </w:tc>
        <w:tc>
          <w:tcPr>
            <w:tcW w:w="1875" w:type="dxa"/>
            <w:shd w:val="clear" w:color="auto" w:fill="F2F2F2" w:themeFill="background1" w:themeFillShade="F2"/>
          </w:tcPr>
          <w:p w14:paraId="2D4CCC65" w14:textId="30863882" w:rsidR="00DA2DF6" w:rsidRPr="00A37416" w:rsidRDefault="00DA2DF6" w:rsidP="008C7D29">
            <w:pPr>
              <w:pStyle w:val="TableTextRight"/>
            </w:pPr>
            <w:r>
              <w:t>39</w:t>
            </w:r>
          </w:p>
        </w:tc>
        <w:tc>
          <w:tcPr>
            <w:tcW w:w="2156" w:type="dxa"/>
            <w:shd w:val="clear" w:color="auto" w:fill="F2F2F2" w:themeFill="background1" w:themeFillShade="F2"/>
          </w:tcPr>
          <w:p w14:paraId="7649FB75" w14:textId="77777777" w:rsidR="00DA2DF6" w:rsidRPr="00A37416" w:rsidRDefault="00DA2DF6" w:rsidP="008C7D29">
            <w:pPr>
              <w:pStyle w:val="TableTextRight"/>
            </w:pPr>
            <w:r>
              <w:t>0</w:t>
            </w:r>
          </w:p>
        </w:tc>
      </w:tr>
      <w:tr w:rsidR="00DA2DF6" w:rsidRPr="00A37416" w14:paraId="0D746057" w14:textId="77777777" w:rsidTr="00D6307B">
        <w:tc>
          <w:tcPr>
            <w:tcW w:w="1512" w:type="dxa"/>
          </w:tcPr>
          <w:p w14:paraId="3CDDBA3A" w14:textId="77777777" w:rsidR="00DA2DF6" w:rsidRPr="00B64BFA" w:rsidRDefault="00DA2DF6" w:rsidP="008C7D29">
            <w:pPr>
              <w:pStyle w:val="TableTextLeft"/>
            </w:pPr>
            <w:r w:rsidRPr="00B64BFA">
              <w:t>P-5111</w:t>
            </w:r>
          </w:p>
        </w:tc>
        <w:tc>
          <w:tcPr>
            <w:tcW w:w="3734" w:type="dxa"/>
          </w:tcPr>
          <w:p w14:paraId="213E2754" w14:textId="7CBB84BF" w:rsidR="00DA2DF6" w:rsidRPr="00A37416" w:rsidRDefault="00DA2DF6" w:rsidP="00B64BFA">
            <w:pPr>
              <w:pStyle w:val="TableTextLeft"/>
            </w:pPr>
            <w:r w:rsidRPr="00E20748">
              <w:t>Compliance plan audit report of a registered scheme</w:t>
            </w:r>
            <w:r>
              <w:t xml:space="preserve"> </w:t>
            </w:r>
            <w:r w:rsidRPr="00E20748">
              <w:t xml:space="preserve">(includes </w:t>
            </w:r>
            <w:proofErr w:type="spellStart"/>
            <w:r w:rsidRPr="00E20748">
              <w:t>subform</w:t>
            </w:r>
            <w:proofErr w:type="spellEnd"/>
            <w:r w:rsidR="00B64BFA">
              <w:t> </w:t>
            </w:r>
            <w:r w:rsidRPr="00E20748">
              <w:t>5111Z)</w:t>
            </w:r>
          </w:p>
        </w:tc>
        <w:tc>
          <w:tcPr>
            <w:tcW w:w="1875" w:type="dxa"/>
          </w:tcPr>
          <w:p w14:paraId="68777657" w14:textId="77777777" w:rsidR="00DA2DF6" w:rsidRPr="00A37416" w:rsidRDefault="00DA2DF6" w:rsidP="008C7D29">
            <w:pPr>
              <w:pStyle w:val="TableTextRight"/>
            </w:pPr>
            <w:r>
              <w:t>39</w:t>
            </w:r>
          </w:p>
        </w:tc>
        <w:tc>
          <w:tcPr>
            <w:tcW w:w="2156" w:type="dxa"/>
          </w:tcPr>
          <w:p w14:paraId="4A03C39E" w14:textId="77777777" w:rsidR="00DA2DF6" w:rsidRDefault="00DA2DF6" w:rsidP="008C7D29">
            <w:pPr>
              <w:pStyle w:val="TableTextRight"/>
            </w:pPr>
            <w:r>
              <w:t>0</w:t>
            </w:r>
          </w:p>
        </w:tc>
      </w:tr>
      <w:tr w:rsidR="00DA2DF6" w:rsidRPr="00A37416" w14:paraId="3CF150DC" w14:textId="77777777" w:rsidTr="00D6307B">
        <w:tc>
          <w:tcPr>
            <w:tcW w:w="1512" w:type="dxa"/>
            <w:shd w:val="clear" w:color="auto" w:fill="F2F2F2" w:themeFill="background1" w:themeFillShade="F2"/>
          </w:tcPr>
          <w:p w14:paraId="44A09836" w14:textId="77777777" w:rsidR="00DA2DF6" w:rsidRPr="00B64BFA" w:rsidRDefault="00DA2DF6" w:rsidP="008C7D29">
            <w:pPr>
              <w:pStyle w:val="TableTextLeft"/>
            </w:pPr>
            <w:r w:rsidRPr="00B64BFA">
              <w:t>P-5116</w:t>
            </w:r>
          </w:p>
        </w:tc>
        <w:tc>
          <w:tcPr>
            <w:tcW w:w="3734" w:type="dxa"/>
            <w:shd w:val="clear" w:color="auto" w:fill="F2F2F2" w:themeFill="background1" w:themeFillShade="F2"/>
          </w:tcPr>
          <w:p w14:paraId="5FFC28B5" w14:textId="77777777" w:rsidR="00DA2DF6" w:rsidRPr="00A37416" w:rsidRDefault="00DA2DF6" w:rsidP="008C7D29">
            <w:pPr>
              <w:pStyle w:val="TableTextLeft"/>
            </w:pPr>
            <w:r w:rsidRPr="00A37416">
              <w:t>Notice of withdrawal offer regarding registered scheme</w:t>
            </w:r>
          </w:p>
        </w:tc>
        <w:tc>
          <w:tcPr>
            <w:tcW w:w="1875" w:type="dxa"/>
            <w:shd w:val="clear" w:color="auto" w:fill="F2F2F2" w:themeFill="background1" w:themeFillShade="F2"/>
          </w:tcPr>
          <w:p w14:paraId="67B28078" w14:textId="48B47849" w:rsidR="00DA2DF6" w:rsidRPr="00A37416" w:rsidRDefault="00DA2DF6" w:rsidP="008C7D29">
            <w:pPr>
              <w:pStyle w:val="TableTextRight"/>
            </w:pPr>
            <w:r>
              <w:t>39</w:t>
            </w:r>
          </w:p>
        </w:tc>
        <w:tc>
          <w:tcPr>
            <w:tcW w:w="2156" w:type="dxa"/>
            <w:shd w:val="clear" w:color="auto" w:fill="F2F2F2" w:themeFill="background1" w:themeFillShade="F2"/>
          </w:tcPr>
          <w:p w14:paraId="45F757D5" w14:textId="77777777" w:rsidR="00DA2DF6" w:rsidRPr="00A37416" w:rsidRDefault="00DA2DF6" w:rsidP="008C7D29">
            <w:pPr>
              <w:pStyle w:val="TableTextRight"/>
            </w:pPr>
            <w:r>
              <w:t>0</w:t>
            </w:r>
          </w:p>
        </w:tc>
      </w:tr>
      <w:tr w:rsidR="00DA2DF6" w:rsidRPr="00A37416" w14:paraId="2FAA74E6" w14:textId="77777777" w:rsidTr="00D6307B">
        <w:tc>
          <w:tcPr>
            <w:tcW w:w="1512" w:type="dxa"/>
          </w:tcPr>
          <w:p w14:paraId="10B7D088" w14:textId="77777777" w:rsidR="00DA2DF6" w:rsidRPr="00B64BFA" w:rsidRDefault="00DA2DF6" w:rsidP="008C7D29">
            <w:pPr>
              <w:pStyle w:val="TableTextLeft"/>
            </w:pPr>
            <w:r w:rsidRPr="00B64BFA">
              <w:t>P-5131</w:t>
            </w:r>
          </w:p>
        </w:tc>
        <w:tc>
          <w:tcPr>
            <w:tcW w:w="3734" w:type="dxa"/>
          </w:tcPr>
          <w:p w14:paraId="76C7A541" w14:textId="77777777" w:rsidR="00DA2DF6" w:rsidRPr="00A37416" w:rsidRDefault="00DA2DF6" w:rsidP="008C7D29">
            <w:pPr>
              <w:pStyle w:val="TableTextLeft"/>
            </w:pPr>
            <w:r w:rsidRPr="00A37416">
              <w:t>Application for appointment of scheme auditor by</w:t>
            </w:r>
            <w:r>
              <w:t xml:space="preserve"> a</w:t>
            </w:r>
            <w:r w:rsidRPr="00A37416">
              <w:t xml:space="preserve"> member of a registered scheme</w:t>
            </w:r>
          </w:p>
        </w:tc>
        <w:tc>
          <w:tcPr>
            <w:tcW w:w="1875" w:type="dxa"/>
          </w:tcPr>
          <w:p w14:paraId="641BA320" w14:textId="7AF9FD7C" w:rsidR="00DA2DF6" w:rsidRPr="00A37416" w:rsidRDefault="00DA2DF6" w:rsidP="008C7D29">
            <w:pPr>
              <w:pStyle w:val="TableTextRight"/>
            </w:pPr>
            <w:r>
              <w:t>39</w:t>
            </w:r>
          </w:p>
        </w:tc>
        <w:tc>
          <w:tcPr>
            <w:tcW w:w="2156" w:type="dxa"/>
          </w:tcPr>
          <w:p w14:paraId="134DEDDA" w14:textId="77777777" w:rsidR="00DA2DF6" w:rsidRPr="00A37416" w:rsidRDefault="00DA2DF6" w:rsidP="008C7D29">
            <w:pPr>
              <w:pStyle w:val="TableTextRight"/>
            </w:pPr>
            <w:r>
              <w:t>0</w:t>
            </w:r>
          </w:p>
        </w:tc>
      </w:tr>
      <w:tr w:rsidR="00DA2DF6" w:rsidRPr="00A37416" w14:paraId="3A2F63B4" w14:textId="77777777" w:rsidTr="00D6307B">
        <w:tc>
          <w:tcPr>
            <w:tcW w:w="1512" w:type="dxa"/>
            <w:shd w:val="clear" w:color="auto" w:fill="F2F2F2" w:themeFill="background1" w:themeFillShade="F2"/>
          </w:tcPr>
          <w:p w14:paraId="395377F1" w14:textId="77777777" w:rsidR="00DA2DF6" w:rsidRPr="00B64BFA" w:rsidRDefault="00DA2DF6" w:rsidP="008C7D29">
            <w:pPr>
              <w:pStyle w:val="TableTextLeft"/>
            </w:pPr>
            <w:r w:rsidRPr="00B64BFA">
              <w:t>P-5138</w:t>
            </w:r>
          </w:p>
        </w:tc>
        <w:tc>
          <w:tcPr>
            <w:tcW w:w="3734" w:type="dxa"/>
            <w:shd w:val="clear" w:color="auto" w:fill="F2F2F2" w:themeFill="background1" w:themeFillShade="F2"/>
          </w:tcPr>
          <w:p w14:paraId="522D30F7" w14:textId="77777777" w:rsidR="00DA2DF6" w:rsidRPr="00A37416" w:rsidRDefault="00DA2DF6" w:rsidP="008C7D29">
            <w:pPr>
              <w:pStyle w:val="TableTextLeft"/>
            </w:pPr>
            <w:r w:rsidRPr="00FD17AD">
              <w:t>Notification of commencement or completion of winding up of a registered scheme</w:t>
            </w:r>
          </w:p>
        </w:tc>
        <w:tc>
          <w:tcPr>
            <w:tcW w:w="1875" w:type="dxa"/>
            <w:shd w:val="clear" w:color="auto" w:fill="F2F2F2" w:themeFill="background1" w:themeFillShade="F2"/>
          </w:tcPr>
          <w:p w14:paraId="2ABC5A75" w14:textId="77777777" w:rsidR="00DA2DF6" w:rsidRPr="00A37416" w:rsidRDefault="00DA2DF6" w:rsidP="008C7D29">
            <w:pPr>
              <w:pStyle w:val="TableTextRight"/>
            </w:pPr>
            <w:r>
              <w:t>39</w:t>
            </w:r>
          </w:p>
        </w:tc>
        <w:tc>
          <w:tcPr>
            <w:tcW w:w="2156" w:type="dxa"/>
            <w:shd w:val="clear" w:color="auto" w:fill="F2F2F2" w:themeFill="background1" w:themeFillShade="F2"/>
          </w:tcPr>
          <w:p w14:paraId="16E71578" w14:textId="77777777" w:rsidR="00DA2DF6" w:rsidRDefault="00DA2DF6" w:rsidP="008C7D29">
            <w:pPr>
              <w:pStyle w:val="TableTextRight"/>
            </w:pPr>
            <w:r>
              <w:t>0</w:t>
            </w:r>
          </w:p>
        </w:tc>
      </w:tr>
      <w:tr w:rsidR="00DA2DF6" w:rsidRPr="00A37416" w14:paraId="10DAC729" w14:textId="77777777" w:rsidTr="00D6307B">
        <w:tc>
          <w:tcPr>
            <w:tcW w:w="1512" w:type="dxa"/>
          </w:tcPr>
          <w:p w14:paraId="4710B254" w14:textId="77777777" w:rsidR="00DA2DF6" w:rsidRPr="00B64BFA" w:rsidRDefault="00DA2DF6" w:rsidP="008C7D29">
            <w:pPr>
              <w:pStyle w:val="TableTextLeft"/>
            </w:pPr>
            <w:r w:rsidRPr="00B64BFA">
              <w:t>P-5140</w:t>
            </w:r>
          </w:p>
        </w:tc>
        <w:tc>
          <w:tcPr>
            <w:tcW w:w="3734" w:type="dxa"/>
          </w:tcPr>
          <w:p w14:paraId="6696145C" w14:textId="77777777" w:rsidR="00DA2DF6" w:rsidRPr="00A37416" w:rsidRDefault="00DA2DF6" w:rsidP="008C7D29">
            <w:pPr>
              <w:pStyle w:val="TableTextLeft"/>
            </w:pPr>
            <w:r w:rsidRPr="00A37416">
              <w:t xml:space="preserve">Notification of proposed change of name of </w:t>
            </w:r>
            <w:r>
              <w:t xml:space="preserve">a </w:t>
            </w:r>
            <w:r w:rsidRPr="00A37416">
              <w:t>registered scheme</w:t>
            </w:r>
          </w:p>
        </w:tc>
        <w:tc>
          <w:tcPr>
            <w:tcW w:w="1875" w:type="dxa"/>
          </w:tcPr>
          <w:p w14:paraId="2697F114" w14:textId="0CEABB37" w:rsidR="00DA2DF6" w:rsidRPr="00A37416" w:rsidRDefault="00DA2DF6" w:rsidP="008C7D29">
            <w:pPr>
              <w:pStyle w:val="TableTextRight"/>
            </w:pPr>
            <w:r>
              <w:t>39</w:t>
            </w:r>
          </w:p>
        </w:tc>
        <w:tc>
          <w:tcPr>
            <w:tcW w:w="2156" w:type="dxa"/>
          </w:tcPr>
          <w:p w14:paraId="2E085612" w14:textId="77777777" w:rsidR="00DA2DF6" w:rsidRPr="00A37416" w:rsidRDefault="00DA2DF6" w:rsidP="008C7D29">
            <w:pPr>
              <w:pStyle w:val="TableTextRight"/>
            </w:pPr>
            <w:r>
              <w:t>0</w:t>
            </w:r>
          </w:p>
        </w:tc>
      </w:tr>
      <w:tr w:rsidR="00DA2DF6" w:rsidRPr="00A37416" w14:paraId="2A4C2FB3" w14:textId="77777777" w:rsidTr="00D6307B">
        <w:tc>
          <w:tcPr>
            <w:tcW w:w="1512" w:type="dxa"/>
            <w:shd w:val="clear" w:color="auto" w:fill="F2F2F2" w:themeFill="background1" w:themeFillShade="F2"/>
          </w:tcPr>
          <w:p w14:paraId="34172279" w14:textId="77777777" w:rsidR="00DA2DF6" w:rsidRPr="00B64BFA" w:rsidRDefault="00DA2DF6" w:rsidP="008C7D29">
            <w:pPr>
              <w:pStyle w:val="TableTextLeft"/>
            </w:pPr>
            <w:r w:rsidRPr="00B64BFA">
              <w:t>P-593</w:t>
            </w:r>
          </w:p>
        </w:tc>
        <w:tc>
          <w:tcPr>
            <w:tcW w:w="3734" w:type="dxa"/>
            <w:shd w:val="clear" w:color="auto" w:fill="F2F2F2" w:themeFill="background1" w:themeFillShade="F2"/>
          </w:tcPr>
          <w:p w14:paraId="769246BC" w14:textId="77777777" w:rsidR="00DA2DF6" w:rsidRPr="00A37416" w:rsidRDefault="00DA2DF6" w:rsidP="008C7D29">
            <w:pPr>
              <w:pStyle w:val="TableTextLeft"/>
            </w:pPr>
            <w:r w:rsidRPr="00A37416">
              <w:t>Application for extension of time to provide notice of hearing for a scheme</w:t>
            </w:r>
          </w:p>
        </w:tc>
        <w:tc>
          <w:tcPr>
            <w:tcW w:w="1875" w:type="dxa"/>
            <w:shd w:val="clear" w:color="auto" w:fill="F2F2F2" w:themeFill="background1" w:themeFillShade="F2"/>
          </w:tcPr>
          <w:p w14:paraId="64B07EC6" w14:textId="1BB4FDD0" w:rsidR="00DA2DF6" w:rsidRPr="003D7C99" w:rsidRDefault="00DA2DF6" w:rsidP="008C7D29">
            <w:pPr>
              <w:pStyle w:val="TableTextRight"/>
            </w:pPr>
            <w:r w:rsidRPr="003D7C99">
              <w:t>39</w:t>
            </w:r>
          </w:p>
        </w:tc>
        <w:tc>
          <w:tcPr>
            <w:tcW w:w="2156" w:type="dxa"/>
            <w:shd w:val="clear" w:color="auto" w:fill="F2F2F2" w:themeFill="background1" w:themeFillShade="F2"/>
          </w:tcPr>
          <w:p w14:paraId="61FC6218" w14:textId="77777777" w:rsidR="00DA2DF6" w:rsidRPr="003D7C99" w:rsidRDefault="00DA2DF6" w:rsidP="008C7D29">
            <w:pPr>
              <w:pStyle w:val="TableTextRight"/>
            </w:pPr>
            <w:r w:rsidRPr="003D7C99">
              <w:t>0</w:t>
            </w:r>
          </w:p>
        </w:tc>
      </w:tr>
      <w:tr w:rsidR="00DA2DF6" w:rsidRPr="00A37416" w14:paraId="5A872C83" w14:textId="77777777" w:rsidTr="00D6307B">
        <w:tc>
          <w:tcPr>
            <w:tcW w:w="1512" w:type="dxa"/>
          </w:tcPr>
          <w:p w14:paraId="47CEBEF8" w14:textId="77777777" w:rsidR="00DA2DF6" w:rsidRPr="00B64BFA" w:rsidRDefault="00DA2DF6" w:rsidP="008C7D29">
            <w:pPr>
              <w:pStyle w:val="TableTextLeft"/>
            </w:pPr>
            <w:r w:rsidRPr="00B64BFA">
              <w:t>P-6010A</w:t>
            </w:r>
          </w:p>
        </w:tc>
        <w:tc>
          <w:tcPr>
            <w:tcW w:w="3734" w:type="dxa"/>
          </w:tcPr>
          <w:p w14:paraId="6180FADF" w14:textId="77777777" w:rsidR="00DA2DF6" w:rsidRPr="00A37416" w:rsidRDefault="00DA2DF6" w:rsidP="008C7D29">
            <w:pPr>
              <w:pStyle w:val="TableTextLeft"/>
            </w:pPr>
            <w:r>
              <w:t xml:space="preserve">Application for voluntary deregistration </w:t>
            </w:r>
            <w:r w:rsidRPr="00FD17AD">
              <w:t>of a scheme</w:t>
            </w:r>
          </w:p>
        </w:tc>
        <w:tc>
          <w:tcPr>
            <w:tcW w:w="1875" w:type="dxa"/>
          </w:tcPr>
          <w:p w14:paraId="2C25217E" w14:textId="77777777" w:rsidR="00DA2DF6" w:rsidRPr="00A37416" w:rsidRDefault="00DA2DF6" w:rsidP="008C7D29">
            <w:pPr>
              <w:pStyle w:val="TableTextRight"/>
            </w:pPr>
            <w:r>
              <w:t>39</w:t>
            </w:r>
          </w:p>
        </w:tc>
        <w:tc>
          <w:tcPr>
            <w:tcW w:w="2156" w:type="dxa"/>
          </w:tcPr>
          <w:p w14:paraId="2782A881" w14:textId="77777777" w:rsidR="00DA2DF6" w:rsidRDefault="00DA2DF6" w:rsidP="008C7D29">
            <w:pPr>
              <w:pStyle w:val="TableTextRight"/>
            </w:pPr>
            <w:r>
              <w:t>0</w:t>
            </w:r>
          </w:p>
        </w:tc>
      </w:tr>
      <w:tr w:rsidR="00DA2DF6" w:rsidRPr="00A37416" w14:paraId="64BA3E5E" w14:textId="77777777" w:rsidTr="00D6307B">
        <w:tc>
          <w:tcPr>
            <w:tcW w:w="1512" w:type="dxa"/>
            <w:shd w:val="clear" w:color="auto" w:fill="F2F2F2" w:themeFill="background1" w:themeFillShade="F2"/>
          </w:tcPr>
          <w:p w14:paraId="0EC37AA7" w14:textId="77777777" w:rsidR="00DA2DF6" w:rsidRPr="00B64BFA" w:rsidRDefault="00DA2DF6" w:rsidP="008C7D29">
            <w:pPr>
              <w:pStyle w:val="TableTextLeft"/>
            </w:pPr>
            <w:r w:rsidRPr="00B64BFA">
              <w:t>P-7079</w:t>
            </w:r>
          </w:p>
        </w:tc>
        <w:tc>
          <w:tcPr>
            <w:tcW w:w="3734" w:type="dxa"/>
            <w:shd w:val="clear" w:color="auto" w:fill="F2F2F2" w:themeFill="background1" w:themeFillShade="F2"/>
          </w:tcPr>
          <w:p w14:paraId="7C452312" w14:textId="77777777" w:rsidR="00DA2DF6" w:rsidRPr="00A37416" w:rsidRDefault="00DA2DF6" w:rsidP="008C7D29">
            <w:pPr>
              <w:pStyle w:val="TableTextLeft"/>
            </w:pPr>
            <w:r w:rsidRPr="00A37416">
              <w:t>Supplementary or replacement identification statement</w:t>
            </w:r>
          </w:p>
        </w:tc>
        <w:tc>
          <w:tcPr>
            <w:tcW w:w="1875" w:type="dxa"/>
            <w:shd w:val="clear" w:color="auto" w:fill="F2F2F2" w:themeFill="background1" w:themeFillShade="F2"/>
          </w:tcPr>
          <w:p w14:paraId="035F518B" w14:textId="4A4C66EE" w:rsidR="00DA2DF6" w:rsidRPr="003D7C99" w:rsidRDefault="00DA2DF6" w:rsidP="008C7D29">
            <w:pPr>
              <w:pStyle w:val="TableTextRight"/>
            </w:pPr>
            <w:r w:rsidRPr="003D7C99">
              <w:t>39</w:t>
            </w:r>
          </w:p>
        </w:tc>
        <w:tc>
          <w:tcPr>
            <w:tcW w:w="2156" w:type="dxa"/>
            <w:shd w:val="clear" w:color="auto" w:fill="F2F2F2" w:themeFill="background1" w:themeFillShade="F2"/>
          </w:tcPr>
          <w:p w14:paraId="7AC7F977" w14:textId="77777777" w:rsidR="00DA2DF6" w:rsidRPr="003D7C99" w:rsidRDefault="00DA2DF6" w:rsidP="008C7D29">
            <w:pPr>
              <w:pStyle w:val="TableTextRight"/>
            </w:pPr>
            <w:r w:rsidRPr="003D7C99">
              <w:t>0</w:t>
            </w:r>
          </w:p>
        </w:tc>
      </w:tr>
      <w:tr w:rsidR="00DA2DF6" w:rsidRPr="00A37416" w14:paraId="37DFFC91" w14:textId="77777777" w:rsidTr="00D6307B">
        <w:tc>
          <w:tcPr>
            <w:tcW w:w="1512" w:type="dxa"/>
          </w:tcPr>
          <w:p w14:paraId="57F78AF7" w14:textId="77777777" w:rsidR="00DA2DF6" w:rsidRPr="00B64BFA" w:rsidRDefault="00DA2DF6" w:rsidP="008C7D29">
            <w:pPr>
              <w:pStyle w:val="TableTextLeft"/>
            </w:pPr>
            <w:r w:rsidRPr="00B64BFA">
              <w:t>P-719</w:t>
            </w:r>
          </w:p>
        </w:tc>
        <w:tc>
          <w:tcPr>
            <w:tcW w:w="3734" w:type="dxa"/>
          </w:tcPr>
          <w:p w14:paraId="4E9B185F" w14:textId="77777777" w:rsidR="00DA2DF6" w:rsidRPr="008C7D29" w:rsidRDefault="00DA2DF6" w:rsidP="008C7D29">
            <w:pPr>
              <w:pStyle w:val="TableTextLeft"/>
            </w:pPr>
            <w:r w:rsidRPr="008C7D29">
              <w:t>Statement about payments out of a development account</w:t>
            </w:r>
          </w:p>
        </w:tc>
        <w:tc>
          <w:tcPr>
            <w:tcW w:w="1875" w:type="dxa"/>
          </w:tcPr>
          <w:p w14:paraId="2F02CAE8" w14:textId="0BC39EB4" w:rsidR="00DA2DF6" w:rsidRPr="003D7C99" w:rsidRDefault="00DA2DF6" w:rsidP="008C7D29">
            <w:pPr>
              <w:pStyle w:val="TableTextRight"/>
            </w:pPr>
            <w:r>
              <w:t>39</w:t>
            </w:r>
          </w:p>
        </w:tc>
        <w:tc>
          <w:tcPr>
            <w:tcW w:w="2156" w:type="dxa"/>
          </w:tcPr>
          <w:p w14:paraId="192EEA52" w14:textId="77777777" w:rsidR="00DA2DF6" w:rsidRPr="003D7C99" w:rsidRDefault="00DA2DF6" w:rsidP="008C7D29">
            <w:pPr>
              <w:pStyle w:val="TableTextRight"/>
            </w:pPr>
            <w:r w:rsidRPr="003D7C99">
              <w:t>0</w:t>
            </w:r>
          </w:p>
        </w:tc>
      </w:tr>
      <w:tr w:rsidR="00DA2DF6" w:rsidRPr="00A37416" w14:paraId="2D07CE54" w14:textId="77777777" w:rsidTr="00D6307B">
        <w:tc>
          <w:tcPr>
            <w:tcW w:w="1512" w:type="dxa"/>
            <w:shd w:val="clear" w:color="auto" w:fill="F2F2F2" w:themeFill="background1" w:themeFillShade="F2"/>
          </w:tcPr>
          <w:p w14:paraId="26E92A08" w14:textId="77777777" w:rsidR="00DA2DF6" w:rsidRPr="00B64BFA" w:rsidRDefault="00DA2DF6" w:rsidP="008C7D29">
            <w:pPr>
              <w:pStyle w:val="TableTextLeft"/>
            </w:pPr>
            <w:r w:rsidRPr="00B64BFA">
              <w:t>P-905AA</w:t>
            </w:r>
          </w:p>
        </w:tc>
        <w:tc>
          <w:tcPr>
            <w:tcW w:w="3734" w:type="dxa"/>
            <w:shd w:val="clear" w:color="auto" w:fill="F2F2F2" w:themeFill="background1" w:themeFillShade="F2"/>
          </w:tcPr>
          <w:p w14:paraId="59FE4933" w14:textId="77777777" w:rsidR="00DA2DF6" w:rsidRPr="008C7D29" w:rsidRDefault="00DA2DF6" w:rsidP="008C7D29">
            <w:pPr>
              <w:pStyle w:val="TableTextLeft"/>
            </w:pPr>
            <w:r w:rsidRPr="008C7D29">
              <w:t>Notification of ceasing to act or change to details of a liquidator</w:t>
            </w:r>
          </w:p>
        </w:tc>
        <w:tc>
          <w:tcPr>
            <w:tcW w:w="1875" w:type="dxa"/>
            <w:shd w:val="clear" w:color="auto" w:fill="F2F2F2" w:themeFill="background1" w:themeFillShade="F2"/>
          </w:tcPr>
          <w:p w14:paraId="0B4B10A2" w14:textId="193B96E1" w:rsidR="00DA2DF6" w:rsidRPr="008C7D29" w:rsidRDefault="00DA2DF6" w:rsidP="008C7D29">
            <w:pPr>
              <w:pStyle w:val="TableTextRight"/>
            </w:pPr>
            <w:r w:rsidRPr="008C7D29">
              <w:t>39</w:t>
            </w:r>
          </w:p>
        </w:tc>
        <w:tc>
          <w:tcPr>
            <w:tcW w:w="2156" w:type="dxa"/>
            <w:shd w:val="clear" w:color="auto" w:fill="F2F2F2" w:themeFill="background1" w:themeFillShade="F2"/>
          </w:tcPr>
          <w:p w14:paraId="59C9C7EE" w14:textId="77777777" w:rsidR="00DA2DF6" w:rsidRPr="008C7D29" w:rsidRDefault="00DA2DF6" w:rsidP="008C7D29">
            <w:pPr>
              <w:pStyle w:val="TableTextRight"/>
            </w:pPr>
            <w:r w:rsidRPr="008C7D29">
              <w:t>0</w:t>
            </w:r>
          </w:p>
        </w:tc>
      </w:tr>
      <w:tr w:rsidR="00DA2DF6" w:rsidRPr="00A37416" w14:paraId="0FF80582" w14:textId="77777777" w:rsidTr="00D6307B">
        <w:tc>
          <w:tcPr>
            <w:tcW w:w="1512" w:type="dxa"/>
          </w:tcPr>
          <w:p w14:paraId="1F833054" w14:textId="77777777" w:rsidR="00DA2DF6" w:rsidRPr="00B64BFA" w:rsidRDefault="00DA2DF6" w:rsidP="008C7D29">
            <w:pPr>
              <w:pStyle w:val="TableTextLeft"/>
            </w:pPr>
            <w:r w:rsidRPr="00B64BFA">
              <w:t>P-905B</w:t>
            </w:r>
          </w:p>
        </w:tc>
        <w:tc>
          <w:tcPr>
            <w:tcW w:w="3734" w:type="dxa"/>
          </w:tcPr>
          <w:p w14:paraId="06E1C8C2" w14:textId="77777777" w:rsidR="00DA2DF6" w:rsidRPr="008C7D29" w:rsidRDefault="00DA2DF6" w:rsidP="008C7D29">
            <w:pPr>
              <w:pStyle w:val="TableTextLeft"/>
            </w:pPr>
            <w:r w:rsidRPr="008C7D29">
              <w:t>Notification of ceasing to practise as or change to details of an auditor</w:t>
            </w:r>
          </w:p>
        </w:tc>
        <w:tc>
          <w:tcPr>
            <w:tcW w:w="1875" w:type="dxa"/>
          </w:tcPr>
          <w:p w14:paraId="1EDF5D78" w14:textId="211EBCD9" w:rsidR="00DA2DF6" w:rsidRPr="008C7D29" w:rsidRDefault="00DA2DF6" w:rsidP="008C7D29">
            <w:pPr>
              <w:pStyle w:val="TableTextRight"/>
            </w:pPr>
            <w:r w:rsidRPr="008C7D29">
              <w:t>39</w:t>
            </w:r>
          </w:p>
        </w:tc>
        <w:tc>
          <w:tcPr>
            <w:tcW w:w="2156" w:type="dxa"/>
          </w:tcPr>
          <w:p w14:paraId="7A1197C3" w14:textId="77777777" w:rsidR="00DA2DF6" w:rsidRPr="008C7D29" w:rsidRDefault="00DA2DF6" w:rsidP="008C7D29">
            <w:pPr>
              <w:pStyle w:val="TableTextRight"/>
            </w:pPr>
            <w:r w:rsidRPr="008C7D29">
              <w:t>0</w:t>
            </w:r>
          </w:p>
        </w:tc>
      </w:tr>
      <w:tr w:rsidR="00DA2DF6" w:rsidRPr="00A37416" w14:paraId="685ABADB" w14:textId="77777777" w:rsidTr="00D6307B">
        <w:tc>
          <w:tcPr>
            <w:tcW w:w="1512" w:type="dxa"/>
            <w:shd w:val="clear" w:color="auto" w:fill="F2F2F2" w:themeFill="background1" w:themeFillShade="F2"/>
          </w:tcPr>
          <w:p w14:paraId="38F814D5" w14:textId="77777777" w:rsidR="00DA2DF6" w:rsidRPr="00B64BFA" w:rsidRDefault="00DA2DF6" w:rsidP="008C7D29">
            <w:pPr>
              <w:pStyle w:val="TableTextLeft"/>
            </w:pPr>
            <w:r w:rsidRPr="00B64BFA">
              <w:t>P-905D</w:t>
            </w:r>
          </w:p>
        </w:tc>
        <w:tc>
          <w:tcPr>
            <w:tcW w:w="3734" w:type="dxa"/>
            <w:shd w:val="clear" w:color="auto" w:fill="F2F2F2" w:themeFill="background1" w:themeFillShade="F2"/>
          </w:tcPr>
          <w:p w14:paraId="20440998" w14:textId="77777777" w:rsidR="00DA2DF6" w:rsidRPr="008C7D29" w:rsidRDefault="00DA2DF6" w:rsidP="008C7D29">
            <w:pPr>
              <w:pStyle w:val="TableTextLeft"/>
            </w:pPr>
            <w:r w:rsidRPr="008C7D29">
              <w:t>Notification of ceasing to practise as or change to details of an authorised audit company</w:t>
            </w:r>
          </w:p>
        </w:tc>
        <w:tc>
          <w:tcPr>
            <w:tcW w:w="1875" w:type="dxa"/>
            <w:shd w:val="clear" w:color="auto" w:fill="F2F2F2" w:themeFill="background1" w:themeFillShade="F2"/>
          </w:tcPr>
          <w:p w14:paraId="6D30DA5E" w14:textId="6792CB9C" w:rsidR="00DA2DF6" w:rsidRPr="008C7D29" w:rsidRDefault="00DA2DF6" w:rsidP="008C7D29">
            <w:pPr>
              <w:pStyle w:val="TableTextRight"/>
            </w:pPr>
            <w:r w:rsidRPr="008C7D29">
              <w:t>39</w:t>
            </w:r>
          </w:p>
        </w:tc>
        <w:tc>
          <w:tcPr>
            <w:tcW w:w="2156" w:type="dxa"/>
            <w:shd w:val="clear" w:color="auto" w:fill="F2F2F2" w:themeFill="background1" w:themeFillShade="F2"/>
          </w:tcPr>
          <w:p w14:paraId="0636334D" w14:textId="77777777" w:rsidR="00DA2DF6" w:rsidRPr="008C7D29" w:rsidRDefault="00DA2DF6" w:rsidP="008C7D29">
            <w:pPr>
              <w:pStyle w:val="TableTextRight"/>
            </w:pPr>
            <w:r w:rsidRPr="008C7D29">
              <w:t>0</w:t>
            </w:r>
          </w:p>
        </w:tc>
      </w:tr>
      <w:tr w:rsidR="00DA2DF6" w:rsidRPr="00A37416" w14:paraId="15FA1D49" w14:textId="77777777" w:rsidTr="00D6307B">
        <w:tc>
          <w:tcPr>
            <w:tcW w:w="1512" w:type="dxa"/>
          </w:tcPr>
          <w:p w14:paraId="7BBF5200" w14:textId="77777777" w:rsidR="00DA2DF6" w:rsidRPr="00B64BFA" w:rsidRDefault="00DA2DF6" w:rsidP="008C7D29">
            <w:pPr>
              <w:pStyle w:val="TableTextLeft"/>
            </w:pPr>
            <w:r w:rsidRPr="00B64BFA">
              <w:t>P-908A</w:t>
            </w:r>
          </w:p>
        </w:tc>
        <w:tc>
          <w:tcPr>
            <w:tcW w:w="3734" w:type="dxa"/>
          </w:tcPr>
          <w:p w14:paraId="75B9C029" w14:textId="77777777" w:rsidR="00DA2DF6" w:rsidRPr="008C7D29" w:rsidRDefault="00DA2DF6" w:rsidP="008C7D29">
            <w:pPr>
              <w:pStyle w:val="TableTextLeft"/>
            </w:pPr>
            <w:r w:rsidRPr="008C7D29">
              <w:t>Annual statement by a liquidator</w:t>
            </w:r>
          </w:p>
        </w:tc>
        <w:tc>
          <w:tcPr>
            <w:tcW w:w="1875" w:type="dxa"/>
          </w:tcPr>
          <w:p w14:paraId="720DCFF7" w14:textId="4EE33DD0" w:rsidR="00DA2DF6" w:rsidRPr="008C7D29" w:rsidRDefault="00DA2DF6" w:rsidP="008C7D29">
            <w:pPr>
              <w:pStyle w:val="TableTextRight"/>
            </w:pPr>
            <w:r w:rsidRPr="008C7D29">
              <w:t>0</w:t>
            </w:r>
          </w:p>
        </w:tc>
        <w:tc>
          <w:tcPr>
            <w:tcW w:w="2156" w:type="dxa"/>
          </w:tcPr>
          <w:p w14:paraId="16F0264D" w14:textId="77777777" w:rsidR="00DA2DF6" w:rsidRPr="008C7D29" w:rsidRDefault="00DA2DF6" w:rsidP="008C7D29">
            <w:pPr>
              <w:pStyle w:val="TableTextRight"/>
            </w:pPr>
            <w:r w:rsidRPr="008C7D29">
              <w:t>0</w:t>
            </w:r>
          </w:p>
        </w:tc>
      </w:tr>
      <w:tr w:rsidR="00DA2DF6" w:rsidRPr="00A37416" w14:paraId="207D41B4" w14:textId="77777777" w:rsidTr="00D6307B">
        <w:tc>
          <w:tcPr>
            <w:tcW w:w="1512" w:type="dxa"/>
            <w:shd w:val="clear" w:color="auto" w:fill="F2F2F2" w:themeFill="background1" w:themeFillShade="F2"/>
          </w:tcPr>
          <w:p w14:paraId="37422DAC" w14:textId="77777777" w:rsidR="00DA2DF6" w:rsidRPr="00B64BFA" w:rsidRDefault="00DA2DF6" w:rsidP="008C7D29">
            <w:pPr>
              <w:pStyle w:val="TableTextLeft"/>
            </w:pPr>
            <w:r w:rsidRPr="00B64BFA">
              <w:t>P-912A</w:t>
            </w:r>
          </w:p>
        </w:tc>
        <w:tc>
          <w:tcPr>
            <w:tcW w:w="3734" w:type="dxa"/>
            <w:shd w:val="clear" w:color="auto" w:fill="F2F2F2" w:themeFill="background1" w:themeFillShade="F2"/>
          </w:tcPr>
          <w:p w14:paraId="00DEE326" w14:textId="77777777" w:rsidR="00DA2DF6" w:rsidRPr="008C7D29" w:rsidRDefault="00DA2DF6" w:rsidP="008C7D29">
            <w:pPr>
              <w:pStyle w:val="TableTextLeft"/>
            </w:pPr>
            <w:r w:rsidRPr="008C7D29">
              <w:t>Annual statement by an auditor</w:t>
            </w:r>
          </w:p>
        </w:tc>
        <w:tc>
          <w:tcPr>
            <w:tcW w:w="1875" w:type="dxa"/>
            <w:shd w:val="clear" w:color="auto" w:fill="F2F2F2" w:themeFill="background1" w:themeFillShade="F2"/>
          </w:tcPr>
          <w:p w14:paraId="01BCDD1C" w14:textId="4A465FB4" w:rsidR="00DA2DF6" w:rsidRPr="008C7D29" w:rsidRDefault="00DA2DF6" w:rsidP="008C7D29">
            <w:pPr>
              <w:pStyle w:val="TableTextRight"/>
            </w:pPr>
            <w:r w:rsidRPr="008C7D29">
              <w:t>78</w:t>
            </w:r>
          </w:p>
        </w:tc>
        <w:tc>
          <w:tcPr>
            <w:tcW w:w="2156" w:type="dxa"/>
            <w:shd w:val="clear" w:color="auto" w:fill="F2F2F2" w:themeFill="background1" w:themeFillShade="F2"/>
          </w:tcPr>
          <w:p w14:paraId="457B2668" w14:textId="77777777" w:rsidR="00DA2DF6" w:rsidRPr="008C7D29" w:rsidRDefault="00DA2DF6" w:rsidP="008C7D29">
            <w:pPr>
              <w:pStyle w:val="TableTextRight"/>
            </w:pPr>
            <w:r w:rsidRPr="008C7D29">
              <w:t>0</w:t>
            </w:r>
          </w:p>
        </w:tc>
      </w:tr>
      <w:tr w:rsidR="00DA2DF6" w:rsidRPr="00A37416" w14:paraId="27FC1041" w14:textId="77777777" w:rsidTr="00D6307B">
        <w:tc>
          <w:tcPr>
            <w:tcW w:w="1512" w:type="dxa"/>
          </w:tcPr>
          <w:p w14:paraId="004E606D" w14:textId="77777777" w:rsidR="00DA2DF6" w:rsidRPr="00B64BFA" w:rsidRDefault="00DA2DF6" w:rsidP="008C7D29">
            <w:pPr>
              <w:pStyle w:val="TableTextLeft"/>
            </w:pPr>
            <w:r w:rsidRPr="00B64BFA">
              <w:t>P-912B</w:t>
            </w:r>
          </w:p>
        </w:tc>
        <w:tc>
          <w:tcPr>
            <w:tcW w:w="3734" w:type="dxa"/>
          </w:tcPr>
          <w:p w14:paraId="59D5D464" w14:textId="77777777" w:rsidR="00DA2DF6" w:rsidRPr="008C7D29" w:rsidRDefault="00DA2DF6" w:rsidP="008C7D29">
            <w:pPr>
              <w:pStyle w:val="TableTextLeft"/>
            </w:pPr>
            <w:r w:rsidRPr="008C7D29">
              <w:t>Annual statement by an authorised audit company</w:t>
            </w:r>
          </w:p>
        </w:tc>
        <w:tc>
          <w:tcPr>
            <w:tcW w:w="1875" w:type="dxa"/>
          </w:tcPr>
          <w:p w14:paraId="7B41F344" w14:textId="1AFF012C" w:rsidR="00DA2DF6" w:rsidRPr="008C7D29" w:rsidRDefault="00DA2DF6" w:rsidP="008C7D29">
            <w:pPr>
              <w:pStyle w:val="TableTextRight"/>
            </w:pPr>
            <w:r w:rsidRPr="008C7D29">
              <w:t>161</w:t>
            </w:r>
          </w:p>
        </w:tc>
        <w:tc>
          <w:tcPr>
            <w:tcW w:w="2156" w:type="dxa"/>
          </w:tcPr>
          <w:p w14:paraId="2C1E785B" w14:textId="77777777" w:rsidR="00DA2DF6" w:rsidRPr="008C7D29" w:rsidRDefault="00DA2DF6" w:rsidP="008C7D29">
            <w:pPr>
              <w:pStyle w:val="TableTextRight"/>
            </w:pPr>
            <w:r w:rsidRPr="008C7D29">
              <w:t>0</w:t>
            </w:r>
          </w:p>
        </w:tc>
      </w:tr>
      <w:tr w:rsidR="00DA2DF6" w:rsidRPr="00A37416" w14:paraId="12A401BD" w14:textId="77777777" w:rsidTr="00D6307B">
        <w:tc>
          <w:tcPr>
            <w:tcW w:w="1512" w:type="dxa"/>
            <w:shd w:val="clear" w:color="auto" w:fill="F2F2F2" w:themeFill="background1" w:themeFillShade="F2"/>
          </w:tcPr>
          <w:p w14:paraId="0C085540" w14:textId="777FA728" w:rsidR="00DA2DF6" w:rsidRPr="00B64BFA" w:rsidRDefault="008C7D29" w:rsidP="008C7D29">
            <w:pPr>
              <w:pStyle w:val="TableTextLeft"/>
            </w:pPr>
            <w:r w:rsidRPr="00B64BFA">
              <w:t>P-912</w:t>
            </w:r>
            <w:r w:rsidR="00DA2DF6" w:rsidRPr="00B64BFA">
              <w:t>C</w:t>
            </w:r>
          </w:p>
        </w:tc>
        <w:tc>
          <w:tcPr>
            <w:tcW w:w="3734" w:type="dxa"/>
            <w:shd w:val="clear" w:color="auto" w:fill="F2F2F2" w:themeFill="background1" w:themeFillShade="F2"/>
          </w:tcPr>
          <w:p w14:paraId="36BB1E3D" w14:textId="77777777" w:rsidR="00DA2DF6" w:rsidRPr="008C7D29" w:rsidRDefault="00DA2DF6" w:rsidP="008C7D29">
            <w:pPr>
              <w:pStyle w:val="TableTextLeft"/>
            </w:pPr>
            <w:r w:rsidRPr="008C7D29">
              <w:t>Individual auditor - paper lodgement</w:t>
            </w:r>
          </w:p>
        </w:tc>
        <w:tc>
          <w:tcPr>
            <w:tcW w:w="1875" w:type="dxa"/>
            <w:shd w:val="clear" w:color="auto" w:fill="F2F2F2" w:themeFill="background1" w:themeFillShade="F2"/>
          </w:tcPr>
          <w:p w14:paraId="4383E785" w14:textId="077CC7B8" w:rsidR="00DA2DF6" w:rsidRPr="008C7D29" w:rsidRDefault="00DA2DF6" w:rsidP="008C7D29">
            <w:pPr>
              <w:pStyle w:val="TableTextRight"/>
            </w:pPr>
            <w:r w:rsidRPr="008C7D29">
              <w:t>161</w:t>
            </w:r>
          </w:p>
        </w:tc>
        <w:tc>
          <w:tcPr>
            <w:tcW w:w="2156" w:type="dxa"/>
            <w:shd w:val="clear" w:color="auto" w:fill="F2F2F2" w:themeFill="background1" w:themeFillShade="F2"/>
          </w:tcPr>
          <w:p w14:paraId="3655BF98" w14:textId="77777777" w:rsidR="00DA2DF6" w:rsidRPr="008C7D29" w:rsidRDefault="00DA2DF6" w:rsidP="008C7D29">
            <w:pPr>
              <w:pStyle w:val="TableTextRight"/>
            </w:pPr>
            <w:r w:rsidRPr="008C7D29">
              <w:t>0</w:t>
            </w:r>
          </w:p>
        </w:tc>
      </w:tr>
      <w:tr w:rsidR="00DA2DF6" w:rsidRPr="00A37416" w14:paraId="5EFEA0CA" w14:textId="77777777" w:rsidTr="00D6307B">
        <w:tc>
          <w:tcPr>
            <w:tcW w:w="1512" w:type="dxa"/>
          </w:tcPr>
          <w:p w14:paraId="38E36922" w14:textId="0FE3ED0A" w:rsidR="00DA2DF6" w:rsidRPr="00B64BFA" w:rsidRDefault="008C7D29" w:rsidP="008C7D29">
            <w:pPr>
              <w:pStyle w:val="TableTextLeft"/>
            </w:pPr>
            <w:r w:rsidRPr="00B64BFA">
              <w:t>P-912</w:t>
            </w:r>
            <w:r w:rsidR="00DA2DF6" w:rsidRPr="00B64BFA">
              <w:t>D</w:t>
            </w:r>
          </w:p>
        </w:tc>
        <w:tc>
          <w:tcPr>
            <w:tcW w:w="3734" w:type="dxa"/>
          </w:tcPr>
          <w:p w14:paraId="0744FD0B" w14:textId="77777777" w:rsidR="00DA2DF6" w:rsidRPr="008C7D29" w:rsidRDefault="00DA2DF6" w:rsidP="008C7D29">
            <w:pPr>
              <w:pStyle w:val="TableTextLeft"/>
            </w:pPr>
            <w:r w:rsidRPr="008C7D29">
              <w:t>Authorised audit company - paper lodgement</w:t>
            </w:r>
          </w:p>
        </w:tc>
        <w:tc>
          <w:tcPr>
            <w:tcW w:w="1875" w:type="dxa"/>
          </w:tcPr>
          <w:p w14:paraId="7CAC519B" w14:textId="12414EB8" w:rsidR="00DA2DF6" w:rsidRPr="008C7D29" w:rsidRDefault="00DA2DF6" w:rsidP="008C7D29">
            <w:pPr>
              <w:pStyle w:val="TableTextRight"/>
            </w:pPr>
            <w:r w:rsidRPr="008C7D29">
              <w:t>323</w:t>
            </w:r>
          </w:p>
        </w:tc>
        <w:tc>
          <w:tcPr>
            <w:tcW w:w="2156" w:type="dxa"/>
          </w:tcPr>
          <w:p w14:paraId="79C39380" w14:textId="77777777" w:rsidR="00DA2DF6" w:rsidRPr="008C7D29" w:rsidRDefault="00DA2DF6" w:rsidP="008C7D29">
            <w:pPr>
              <w:pStyle w:val="TableTextRight"/>
            </w:pPr>
            <w:r w:rsidRPr="008C7D29">
              <w:t>0</w:t>
            </w:r>
          </w:p>
        </w:tc>
      </w:tr>
      <w:tr w:rsidR="00DA2DF6" w:rsidRPr="00A37416" w14:paraId="1B14422C" w14:textId="77777777" w:rsidTr="00D6307B">
        <w:tc>
          <w:tcPr>
            <w:tcW w:w="1512" w:type="dxa"/>
            <w:tcBorders>
              <w:bottom w:val="single" w:sz="4" w:space="0" w:color="004A7F"/>
            </w:tcBorders>
            <w:shd w:val="clear" w:color="auto" w:fill="F2F2F2" w:themeFill="background1" w:themeFillShade="F2"/>
          </w:tcPr>
          <w:p w14:paraId="696B58FF" w14:textId="77777777" w:rsidR="00DA2DF6" w:rsidRPr="00B64BFA" w:rsidRDefault="00DA2DF6" w:rsidP="008C7D29">
            <w:pPr>
              <w:pStyle w:val="TableTextLeft"/>
            </w:pPr>
            <w:r w:rsidRPr="00B64BFA">
              <w:t>P-972</w:t>
            </w:r>
          </w:p>
        </w:tc>
        <w:tc>
          <w:tcPr>
            <w:tcW w:w="3734" w:type="dxa"/>
            <w:tcBorders>
              <w:bottom w:val="single" w:sz="4" w:space="0" w:color="004A7F"/>
            </w:tcBorders>
            <w:shd w:val="clear" w:color="auto" w:fill="F2F2F2" w:themeFill="background1" w:themeFillShade="F2"/>
          </w:tcPr>
          <w:p w14:paraId="564212E4" w14:textId="77777777" w:rsidR="00DA2DF6" w:rsidRPr="008C7D29" w:rsidRDefault="00DA2DF6" w:rsidP="008C7D29">
            <w:pPr>
              <w:pStyle w:val="TableTextLeft"/>
            </w:pPr>
            <w:r w:rsidRPr="008C7D29">
              <w:t>Application for registration as official liquidator</w:t>
            </w:r>
          </w:p>
        </w:tc>
        <w:tc>
          <w:tcPr>
            <w:tcW w:w="1875" w:type="dxa"/>
            <w:tcBorders>
              <w:bottom w:val="single" w:sz="4" w:space="0" w:color="004A7F"/>
            </w:tcBorders>
            <w:shd w:val="clear" w:color="auto" w:fill="F2F2F2" w:themeFill="background1" w:themeFillShade="F2"/>
          </w:tcPr>
          <w:p w14:paraId="3FDB9004" w14:textId="42FBD5C6" w:rsidR="00DA2DF6" w:rsidRPr="008C7D29" w:rsidRDefault="00DA2DF6" w:rsidP="008C7D29">
            <w:pPr>
              <w:pStyle w:val="TableTextRight"/>
            </w:pPr>
            <w:r w:rsidRPr="008C7D29">
              <w:t xml:space="preserve">387 </w:t>
            </w:r>
          </w:p>
        </w:tc>
        <w:tc>
          <w:tcPr>
            <w:tcW w:w="2156" w:type="dxa"/>
            <w:tcBorders>
              <w:bottom w:val="single" w:sz="4" w:space="0" w:color="004A7F"/>
            </w:tcBorders>
            <w:shd w:val="clear" w:color="auto" w:fill="F2F2F2" w:themeFill="background1" w:themeFillShade="F2"/>
          </w:tcPr>
          <w:p w14:paraId="6530C577" w14:textId="77777777" w:rsidR="00DA2DF6" w:rsidRPr="008C7D29" w:rsidRDefault="00DA2DF6" w:rsidP="008C7D29">
            <w:pPr>
              <w:pStyle w:val="TableTextRight"/>
            </w:pPr>
            <w:r w:rsidRPr="008C7D29">
              <w:t>0</w:t>
            </w:r>
          </w:p>
        </w:tc>
      </w:tr>
    </w:tbl>
    <w:p w14:paraId="20C8D093" w14:textId="77777777" w:rsidR="00D6307B" w:rsidRDefault="00D6307B">
      <w:r>
        <w:rPr>
          <w:b/>
          <w:caps/>
        </w:rPr>
        <w:br w:type="page"/>
      </w:r>
    </w:p>
    <w:tbl>
      <w:tblPr>
        <w:tblW w:w="9277" w:type="dxa"/>
        <w:tblLook w:val="04A0" w:firstRow="1" w:lastRow="0" w:firstColumn="1" w:lastColumn="0" w:noHBand="0" w:noVBand="1"/>
      </w:tblPr>
      <w:tblGrid>
        <w:gridCol w:w="1512"/>
        <w:gridCol w:w="3734"/>
        <w:gridCol w:w="1875"/>
        <w:gridCol w:w="2156"/>
      </w:tblGrid>
      <w:tr w:rsidR="00B64BFA" w:rsidRPr="00A37416" w14:paraId="7983CE12" w14:textId="77777777" w:rsidTr="00D6307B">
        <w:trPr>
          <w:trHeight w:val="189"/>
        </w:trPr>
        <w:tc>
          <w:tcPr>
            <w:tcW w:w="1512" w:type="dxa"/>
            <w:tcBorders>
              <w:top w:val="single" w:sz="4" w:space="0" w:color="004A7F"/>
              <w:bottom w:val="single" w:sz="4" w:space="0" w:color="004A7F"/>
            </w:tcBorders>
            <w:shd w:val="clear" w:color="auto" w:fill="DEEAF6" w:themeFill="accent1" w:themeFillTint="33"/>
          </w:tcPr>
          <w:p w14:paraId="5F050A0F" w14:textId="77777777" w:rsidR="00B64BFA" w:rsidRPr="00B64BFA" w:rsidRDefault="00B64BFA" w:rsidP="00A84129">
            <w:pPr>
              <w:pStyle w:val="TableColumnHeadingLeft"/>
              <w:rPr>
                <w:b w:val="0"/>
              </w:rPr>
            </w:pPr>
            <w:r w:rsidRPr="00B64BFA">
              <w:rPr>
                <w:b w:val="0"/>
              </w:rPr>
              <w:t>Form code</w:t>
            </w:r>
          </w:p>
        </w:tc>
        <w:tc>
          <w:tcPr>
            <w:tcW w:w="3734" w:type="dxa"/>
            <w:tcBorders>
              <w:top w:val="single" w:sz="4" w:space="0" w:color="004A7F"/>
              <w:bottom w:val="single" w:sz="4" w:space="0" w:color="004A7F"/>
            </w:tcBorders>
            <w:shd w:val="clear" w:color="auto" w:fill="DEEAF6" w:themeFill="accent1" w:themeFillTint="33"/>
          </w:tcPr>
          <w:p w14:paraId="5F5FC4E1" w14:textId="77777777" w:rsidR="00B64BFA" w:rsidRPr="00A37416" w:rsidRDefault="00B64BFA" w:rsidP="00A84129">
            <w:pPr>
              <w:pStyle w:val="TableColumnHeadingLeft"/>
            </w:pPr>
            <w:r w:rsidRPr="00A37416">
              <w:t>Description</w:t>
            </w:r>
          </w:p>
        </w:tc>
        <w:tc>
          <w:tcPr>
            <w:tcW w:w="1875" w:type="dxa"/>
            <w:tcBorders>
              <w:top w:val="single" w:sz="4" w:space="0" w:color="004A7F"/>
              <w:bottom w:val="single" w:sz="4" w:space="0" w:color="004A7F"/>
            </w:tcBorders>
            <w:shd w:val="clear" w:color="auto" w:fill="DEEAF6" w:themeFill="accent1" w:themeFillTint="33"/>
          </w:tcPr>
          <w:p w14:paraId="7810C6FF" w14:textId="77777777" w:rsidR="00B64BFA" w:rsidRPr="00A37416" w:rsidRDefault="00B64BFA" w:rsidP="00A84129">
            <w:pPr>
              <w:pStyle w:val="TableColumnHeadingRight"/>
            </w:pPr>
            <w:r>
              <w:t>Current fee ($)</w:t>
            </w:r>
          </w:p>
        </w:tc>
        <w:tc>
          <w:tcPr>
            <w:tcW w:w="2156" w:type="dxa"/>
            <w:tcBorders>
              <w:top w:val="single" w:sz="4" w:space="0" w:color="004A7F"/>
              <w:bottom w:val="single" w:sz="4" w:space="0" w:color="004A7F"/>
            </w:tcBorders>
            <w:shd w:val="clear" w:color="auto" w:fill="DEEAF6" w:themeFill="accent1" w:themeFillTint="33"/>
          </w:tcPr>
          <w:p w14:paraId="36AF2DFB" w14:textId="77777777" w:rsidR="00B64BFA" w:rsidRPr="00A37416" w:rsidRDefault="00B64BFA" w:rsidP="00A84129">
            <w:pPr>
              <w:pStyle w:val="TableColumnHeadingRight"/>
            </w:pPr>
            <w:r>
              <w:t>Proposed fee ($)</w:t>
            </w:r>
          </w:p>
        </w:tc>
      </w:tr>
      <w:tr w:rsidR="00DA2DF6" w:rsidRPr="00A37416" w14:paraId="45DA38F1" w14:textId="77777777" w:rsidTr="00D6307B">
        <w:tc>
          <w:tcPr>
            <w:tcW w:w="1512" w:type="dxa"/>
          </w:tcPr>
          <w:p w14:paraId="733B4096" w14:textId="77777777" w:rsidR="00DA2DF6" w:rsidRPr="00B64BFA" w:rsidRDefault="00DA2DF6" w:rsidP="00B64BFA">
            <w:pPr>
              <w:pStyle w:val="TableTextLeft"/>
            </w:pPr>
            <w:r w:rsidRPr="00B64BFA">
              <w:t>P-CL04C</w:t>
            </w:r>
          </w:p>
        </w:tc>
        <w:tc>
          <w:tcPr>
            <w:tcW w:w="3734" w:type="dxa"/>
          </w:tcPr>
          <w:p w14:paraId="4329B9F2" w14:textId="77777777" w:rsidR="00DA2DF6" w:rsidRPr="00B64BFA" w:rsidRDefault="00DA2DF6" w:rsidP="00B64BFA">
            <w:pPr>
              <w:pStyle w:val="TableTextLeft"/>
            </w:pPr>
            <w:r w:rsidRPr="00B64BFA">
              <w:t>Change of credit licence name</w:t>
            </w:r>
          </w:p>
        </w:tc>
        <w:tc>
          <w:tcPr>
            <w:tcW w:w="1875" w:type="dxa"/>
          </w:tcPr>
          <w:p w14:paraId="32CF51B5" w14:textId="5244F60E" w:rsidR="00DA2DF6" w:rsidRPr="00A37416" w:rsidRDefault="00DA2DF6" w:rsidP="00B64BFA">
            <w:pPr>
              <w:pStyle w:val="TableTextRight"/>
            </w:pPr>
            <w:r>
              <w:t>25</w:t>
            </w:r>
            <w:r w:rsidRPr="00A37416">
              <w:t xml:space="preserve"> </w:t>
            </w:r>
          </w:p>
        </w:tc>
        <w:tc>
          <w:tcPr>
            <w:tcW w:w="2156" w:type="dxa"/>
          </w:tcPr>
          <w:p w14:paraId="567E4998" w14:textId="77777777" w:rsidR="00DA2DF6" w:rsidRPr="00A37416" w:rsidRDefault="00DA2DF6" w:rsidP="00B64BFA">
            <w:pPr>
              <w:pStyle w:val="TableTextRight"/>
            </w:pPr>
            <w:r>
              <w:t>0</w:t>
            </w:r>
          </w:p>
        </w:tc>
      </w:tr>
      <w:tr w:rsidR="00DA2DF6" w:rsidRPr="00A37416" w14:paraId="2E201164" w14:textId="77777777" w:rsidTr="00D6307B">
        <w:trPr>
          <w:trHeight w:val="307"/>
        </w:trPr>
        <w:tc>
          <w:tcPr>
            <w:tcW w:w="1512" w:type="dxa"/>
            <w:shd w:val="clear" w:color="auto" w:fill="F2F2F2" w:themeFill="background1" w:themeFillShade="F2"/>
          </w:tcPr>
          <w:p w14:paraId="5FC73E88" w14:textId="77777777" w:rsidR="00DA2DF6" w:rsidRPr="00B64BFA" w:rsidRDefault="00DA2DF6" w:rsidP="00B64BFA">
            <w:pPr>
              <w:pStyle w:val="TableTextLeft"/>
            </w:pPr>
            <w:r w:rsidRPr="00B64BFA">
              <w:t>P-CL08B</w:t>
            </w:r>
          </w:p>
        </w:tc>
        <w:tc>
          <w:tcPr>
            <w:tcW w:w="3734" w:type="dxa"/>
            <w:shd w:val="clear" w:color="auto" w:fill="F2F2F2" w:themeFill="background1" w:themeFillShade="F2"/>
          </w:tcPr>
          <w:p w14:paraId="79B6BE18" w14:textId="77777777" w:rsidR="00DA2DF6" w:rsidRPr="00B64BFA" w:rsidRDefault="00DA2DF6" w:rsidP="00B64BFA">
            <w:pPr>
              <w:pStyle w:val="TableTextLeft"/>
            </w:pPr>
            <w:r w:rsidRPr="00B64BFA">
              <w:t>Request to change credit licence status</w:t>
            </w:r>
          </w:p>
        </w:tc>
        <w:tc>
          <w:tcPr>
            <w:tcW w:w="1875" w:type="dxa"/>
            <w:shd w:val="clear" w:color="auto" w:fill="F2F2F2" w:themeFill="background1" w:themeFillShade="F2"/>
          </w:tcPr>
          <w:p w14:paraId="72A7A4FD" w14:textId="3AA04ADB" w:rsidR="00DA2DF6" w:rsidRPr="00A37416" w:rsidRDefault="00DA2DF6" w:rsidP="00B64BFA">
            <w:pPr>
              <w:pStyle w:val="TableTextRight"/>
            </w:pPr>
            <w:r w:rsidRPr="00A37416">
              <w:t xml:space="preserve">25 </w:t>
            </w:r>
          </w:p>
        </w:tc>
        <w:tc>
          <w:tcPr>
            <w:tcW w:w="2156" w:type="dxa"/>
            <w:shd w:val="clear" w:color="auto" w:fill="F2F2F2" w:themeFill="background1" w:themeFillShade="F2"/>
          </w:tcPr>
          <w:p w14:paraId="24716AEF" w14:textId="77777777" w:rsidR="00DA2DF6" w:rsidRPr="00A37416" w:rsidRDefault="00DA2DF6" w:rsidP="00B64BFA">
            <w:pPr>
              <w:pStyle w:val="TableTextRight"/>
            </w:pPr>
            <w:r>
              <w:t>0</w:t>
            </w:r>
          </w:p>
        </w:tc>
      </w:tr>
      <w:tr w:rsidR="00DA2DF6" w:rsidRPr="00A37416" w14:paraId="46170485" w14:textId="77777777" w:rsidTr="00D6307B">
        <w:tc>
          <w:tcPr>
            <w:tcW w:w="1512" w:type="dxa"/>
          </w:tcPr>
          <w:p w14:paraId="1F47F682" w14:textId="77777777" w:rsidR="00DA2DF6" w:rsidRPr="00B64BFA" w:rsidRDefault="00DA2DF6" w:rsidP="00B64BFA">
            <w:pPr>
              <w:pStyle w:val="TableTextLeft"/>
            </w:pPr>
            <w:r w:rsidRPr="00B64BFA">
              <w:t>P-CL20B</w:t>
            </w:r>
          </w:p>
        </w:tc>
        <w:tc>
          <w:tcPr>
            <w:tcW w:w="3734" w:type="dxa"/>
          </w:tcPr>
          <w:p w14:paraId="26C89027" w14:textId="77777777" w:rsidR="00DA2DF6" w:rsidRPr="00B64BFA" w:rsidRDefault="00DA2DF6" w:rsidP="00B64BFA">
            <w:pPr>
              <w:pStyle w:val="TableTextLeft"/>
            </w:pPr>
            <w:r w:rsidRPr="00B64BFA">
              <w:t>Notification of change of credit licence details</w:t>
            </w:r>
          </w:p>
        </w:tc>
        <w:tc>
          <w:tcPr>
            <w:tcW w:w="1875" w:type="dxa"/>
          </w:tcPr>
          <w:p w14:paraId="774EE11C" w14:textId="3264903F" w:rsidR="00DA2DF6" w:rsidRPr="00A37416" w:rsidRDefault="00DA2DF6" w:rsidP="00B64BFA">
            <w:pPr>
              <w:pStyle w:val="TableTextRight"/>
            </w:pPr>
            <w:r w:rsidRPr="00A37416">
              <w:t xml:space="preserve">25 </w:t>
            </w:r>
          </w:p>
        </w:tc>
        <w:tc>
          <w:tcPr>
            <w:tcW w:w="2156" w:type="dxa"/>
          </w:tcPr>
          <w:p w14:paraId="281EF12D" w14:textId="77777777" w:rsidR="00DA2DF6" w:rsidRPr="00A37416" w:rsidRDefault="00DA2DF6" w:rsidP="00B64BFA">
            <w:pPr>
              <w:pStyle w:val="TableTextRight"/>
            </w:pPr>
            <w:r>
              <w:t>0</w:t>
            </w:r>
          </w:p>
        </w:tc>
      </w:tr>
      <w:tr w:rsidR="00DA2DF6" w:rsidRPr="00A37416" w14:paraId="56D51920" w14:textId="77777777" w:rsidTr="00D6307B">
        <w:tc>
          <w:tcPr>
            <w:tcW w:w="1512" w:type="dxa"/>
            <w:shd w:val="clear" w:color="auto" w:fill="F2F2F2" w:themeFill="background1" w:themeFillShade="F2"/>
          </w:tcPr>
          <w:p w14:paraId="7C152C7E" w14:textId="77777777" w:rsidR="00DA2DF6" w:rsidRPr="00B64BFA" w:rsidRDefault="00DA2DF6" w:rsidP="00B64BFA">
            <w:pPr>
              <w:pStyle w:val="TableTextLeft"/>
            </w:pPr>
            <w:r w:rsidRPr="00B64BFA">
              <w:t>P-CL30 B &amp; D</w:t>
            </w:r>
          </w:p>
        </w:tc>
        <w:tc>
          <w:tcPr>
            <w:tcW w:w="3734" w:type="dxa"/>
            <w:shd w:val="clear" w:color="auto" w:fill="F2F2F2" w:themeFill="background1" w:themeFillShade="F2"/>
          </w:tcPr>
          <w:p w14:paraId="5358D73B" w14:textId="77777777" w:rsidR="00DA2DF6" w:rsidRPr="00B64BFA" w:rsidRDefault="00DA2DF6" w:rsidP="00B64BFA">
            <w:pPr>
              <w:pStyle w:val="TableTextLeft"/>
            </w:pPr>
            <w:r w:rsidRPr="00B64BFA">
              <w:t>Appoint a credit representative</w:t>
            </w:r>
          </w:p>
        </w:tc>
        <w:tc>
          <w:tcPr>
            <w:tcW w:w="1875" w:type="dxa"/>
            <w:shd w:val="clear" w:color="auto" w:fill="F2F2F2" w:themeFill="background1" w:themeFillShade="F2"/>
          </w:tcPr>
          <w:p w14:paraId="1245DD36" w14:textId="56FE8ED0" w:rsidR="00DA2DF6" w:rsidRPr="00A37416" w:rsidRDefault="00DA2DF6" w:rsidP="00B64BFA">
            <w:pPr>
              <w:pStyle w:val="TableTextRight"/>
            </w:pPr>
            <w:r w:rsidRPr="00A37416">
              <w:t xml:space="preserve">25 </w:t>
            </w:r>
          </w:p>
        </w:tc>
        <w:tc>
          <w:tcPr>
            <w:tcW w:w="2156" w:type="dxa"/>
            <w:shd w:val="clear" w:color="auto" w:fill="F2F2F2" w:themeFill="background1" w:themeFillShade="F2"/>
          </w:tcPr>
          <w:p w14:paraId="1D440DE0" w14:textId="77777777" w:rsidR="00DA2DF6" w:rsidRPr="00A37416" w:rsidRDefault="00DA2DF6" w:rsidP="00B64BFA">
            <w:pPr>
              <w:pStyle w:val="TableTextRight"/>
            </w:pPr>
            <w:r>
              <w:t>0</w:t>
            </w:r>
          </w:p>
        </w:tc>
      </w:tr>
      <w:tr w:rsidR="00DA2DF6" w:rsidRPr="00A37416" w14:paraId="008A31C6" w14:textId="77777777" w:rsidTr="00D6307B">
        <w:trPr>
          <w:trHeight w:val="300"/>
        </w:trPr>
        <w:tc>
          <w:tcPr>
            <w:tcW w:w="1512" w:type="dxa"/>
            <w:noWrap/>
            <w:hideMark/>
          </w:tcPr>
          <w:p w14:paraId="4831B6CB" w14:textId="77777777" w:rsidR="00DA2DF6" w:rsidRPr="00B64BFA" w:rsidRDefault="00DA2DF6" w:rsidP="00B64BFA">
            <w:pPr>
              <w:pStyle w:val="TableTextLeft"/>
            </w:pPr>
            <w:r w:rsidRPr="00B64BFA">
              <w:t xml:space="preserve">P-CL31 B &amp; D </w:t>
            </w:r>
          </w:p>
        </w:tc>
        <w:tc>
          <w:tcPr>
            <w:tcW w:w="3734" w:type="dxa"/>
            <w:hideMark/>
          </w:tcPr>
          <w:p w14:paraId="363E5F3D" w14:textId="77777777" w:rsidR="00DA2DF6" w:rsidRPr="00B64BFA" w:rsidRDefault="00DA2DF6" w:rsidP="00B64BFA">
            <w:pPr>
              <w:pStyle w:val="TableTextLeft"/>
            </w:pPr>
            <w:r w:rsidRPr="00B64BFA">
              <w:t>Cease a credit representative</w:t>
            </w:r>
          </w:p>
        </w:tc>
        <w:tc>
          <w:tcPr>
            <w:tcW w:w="1875" w:type="dxa"/>
            <w:hideMark/>
          </w:tcPr>
          <w:p w14:paraId="11D88AAB" w14:textId="7EB997CD" w:rsidR="00DA2DF6" w:rsidRPr="00A37416" w:rsidRDefault="00DA2DF6" w:rsidP="00B64BFA">
            <w:pPr>
              <w:pStyle w:val="TableTextRight"/>
            </w:pPr>
            <w:r w:rsidRPr="00A37416">
              <w:t xml:space="preserve">25 </w:t>
            </w:r>
          </w:p>
        </w:tc>
        <w:tc>
          <w:tcPr>
            <w:tcW w:w="2156" w:type="dxa"/>
          </w:tcPr>
          <w:p w14:paraId="3B4C7DFD" w14:textId="77777777" w:rsidR="00DA2DF6" w:rsidRPr="00A37416" w:rsidRDefault="00DA2DF6" w:rsidP="00B64BFA">
            <w:pPr>
              <w:pStyle w:val="TableTextRight"/>
            </w:pPr>
            <w:r>
              <w:t>0</w:t>
            </w:r>
          </w:p>
        </w:tc>
      </w:tr>
      <w:tr w:rsidR="00DA2DF6" w:rsidRPr="00A37416" w14:paraId="5B7D2EC2" w14:textId="77777777" w:rsidTr="00D6307B">
        <w:trPr>
          <w:trHeight w:val="300"/>
        </w:trPr>
        <w:tc>
          <w:tcPr>
            <w:tcW w:w="1512" w:type="dxa"/>
            <w:shd w:val="clear" w:color="auto" w:fill="F2F2F2" w:themeFill="background1" w:themeFillShade="F2"/>
            <w:noWrap/>
            <w:hideMark/>
          </w:tcPr>
          <w:p w14:paraId="50A42AC2" w14:textId="77777777" w:rsidR="00DA2DF6" w:rsidRPr="00B64BFA" w:rsidRDefault="00DA2DF6" w:rsidP="00B64BFA">
            <w:pPr>
              <w:pStyle w:val="TableTextLeft"/>
            </w:pPr>
            <w:r w:rsidRPr="00B64BFA">
              <w:t>P-CL32 B &amp; D</w:t>
            </w:r>
          </w:p>
        </w:tc>
        <w:tc>
          <w:tcPr>
            <w:tcW w:w="3734" w:type="dxa"/>
            <w:shd w:val="clear" w:color="auto" w:fill="F2F2F2" w:themeFill="background1" w:themeFillShade="F2"/>
            <w:hideMark/>
          </w:tcPr>
          <w:p w14:paraId="4509264D" w14:textId="77777777" w:rsidR="00DA2DF6" w:rsidRPr="00B64BFA" w:rsidRDefault="00DA2DF6" w:rsidP="00B64BFA">
            <w:pPr>
              <w:pStyle w:val="TableTextLeft"/>
            </w:pPr>
            <w:r w:rsidRPr="00B64BFA">
              <w:t>Vary the details of a credit representative</w:t>
            </w:r>
          </w:p>
        </w:tc>
        <w:tc>
          <w:tcPr>
            <w:tcW w:w="1875" w:type="dxa"/>
            <w:shd w:val="clear" w:color="auto" w:fill="F2F2F2" w:themeFill="background1" w:themeFillShade="F2"/>
            <w:hideMark/>
          </w:tcPr>
          <w:p w14:paraId="0B0F2467" w14:textId="3101964C" w:rsidR="00DA2DF6" w:rsidRPr="00A37416" w:rsidRDefault="00DA2DF6" w:rsidP="00B64BFA">
            <w:pPr>
              <w:pStyle w:val="TableTextRight"/>
            </w:pPr>
            <w:r w:rsidRPr="00A37416">
              <w:t xml:space="preserve">25 </w:t>
            </w:r>
          </w:p>
        </w:tc>
        <w:tc>
          <w:tcPr>
            <w:tcW w:w="2156" w:type="dxa"/>
            <w:shd w:val="clear" w:color="auto" w:fill="F2F2F2" w:themeFill="background1" w:themeFillShade="F2"/>
          </w:tcPr>
          <w:p w14:paraId="5EF44162" w14:textId="77777777" w:rsidR="00DA2DF6" w:rsidRPr="00A37416" w:rsidRDefault="00DA2DF6" w:rsidP="00B64BFA">
            <w:pPr>
              <w:pStyle w:val="TableTextRight"/>
            </w:pPr>
            <w:r>
              <w:t>0</w:t>
            </w:r>
          </w:p>
        </w:tc>
      </w:tr>
      <w:tr w:rsidR="00DA2DF6" w:rsidRPr="00A37416" w14:paraId="2E988A3C" w14:textId="77777777" w:rsidTr="00D6307B">
        <w:trPr>
          <w:trHeight w:val="514"/>
        </w:trPr>
        <w:tc>
          <w:tcPr>
            <w:tcW w:w="1512" w:type="dxa"/>
            <w:noWrap/>
            <w:hideMark/>
          </w:tcPr>
          <w:p w14:paraId="6C77A05D" w14:textId="77777777" w:rsidR="00DA2DF6" w:rsidRPr="00B64BFA" w:rsidRDefault="00DA2DF6" w:rsidP="00B64BFA">
            <w:pPr>
              <w:pStyle w:val="TableTextLeft"/>
            </w:pPr>
            <w:r w:rsidRPr="00B64BFA">
              <w:t>P-CL5AA</w:t>
            </w:r>
          </w:p>
        </w:tc>
        <w:tc>
          <w:tcPr>
            <w:tcW w:w="3734" w:type="dxa"/>
            <w:hideMark/>
          </w:tcPr>
          <w:p w14:paraId="44501276" w14:textId="0AD2295A"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Person/Sole trader, under $100 million</w:t>
            </w:r>
          </w:p>
        </w:tc>
        <w:tc>
          <w:tcPr>
            <w:tcW w:w="1875" w:type="dxa"/>
            <w:hideMark/>
          </w:tcPr>
          <w:p w14:paraId="4EE10A50" w14:textId="24EFC0FF" w:rsidR="00DA2DF6" w:rsidRPr="000A4E3B" w:rsidRDefault="00DA2DF6" w:rsidP="00B64BFA">
            <w:pPr>
              <w:pStyle w:val="TableTextRight"/>
            </w:pPr>
            <w:r w:rsidRPr="000A4E3B">
              <w:t xml:space="preserve">523 </w:t>
            </w:r>
          </w:p>
        </w:tc>
        <w:tc>
          <w:tcPr>
            <w:tcW w:w="2156" w:type="dxa"/>
          </w:tcPr>
          <w:p w14:paraId="2A5589E9" w14:textId="77777777" w:rsidR="00DA2DF6" w:rsidRPr="000A4E3B" w:rsidRDefault="00DA2DF6" w:rsidP="00B64BFA">
            <w:pPr>
              <w:pStyle w:val="TableTextRight"/>
            </w:pPr>
            <w:r w:rsidRPr="000A4E3B">
              <w:t>0</w:t>
            </w:r>
          </w:p>
        </w:tc>
      </w:tr>
      <w:tr w:rsidR="00DA2DF6" w:rsidRPr="00A37416" w14:paraId="47D0E9DE" w14:textId="77777777" w:rsidTr="00D6307B">
        <w:trPr>
          <w:trHeight w:val="600"/>
        </w:trPr>
        <w:tc>
          <w:tcPr>
            <w:tcW w:w="1512" w:type="dxa"/>
            <w:shd w:val="clear" w:color="auto" w:fill="F2F2F2" w:themeFill="background1" w:themeFillShade="F2"/>
            <w:noWrap/>
            <w:hideMark/>
          </w:tcPr>
          <w:p w14:paraId="2CFBEA6D" w14:textId="77777777" w:rsidR="00DA2DF6" w:rsidRPr="00B64BFA" w:rsidRDefault="00DA2DF6" w:rsidP="00B64BFA">
            <w:pPr>
              <w:pStyle w:val="TableTextLeft"/>
            </w:pPr>
            <w:r w:rsidRPr="00B64BFA">
              <w:t>P-CL5AB</w:t>
            </w:r>
          </w:p>
        </w:tc>
        <w:tc>
          <w:tcPr>
            <w:tcW w:w="3734" w:type="dxa"/>
            <w:shd w:val="clear" w:color="auto" w:fill="F2F2F2" w:themeFill="background1" w:themeFillShade="F2"/>
            <w:hideMark/>
          </w:tcPr>
          <w:p w14:paraId="575D2E24" w14:textId="1FEF5ED4"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Body corporate, under $100 million</w:t>
            </w:r>
          </w:p>
        </w:tc>
        <w:tc>
          <w:tcPr>
            <w:tcW w:w="1875" w:type="dxa"/>
            <w:shd w:val="clear" w:color="auto" w:fill="F2F2F2" w:themeFill="background1" w:themeFillShade="F2"/>
            <w:hideMark/>
          </w:tcPr>
          <w:p w14:paraId="2CBFED0D" w14:textId="1CCBB2E2" w:rsidR="00DA2DF6" w:rsidRPr="000A4E3B" w:rsidRDefault="00DA2DF6" w:rsidP="00B64BFA">
            <w:pPr>
              <w:pStyle w:val="TableTextRight"/>
            </w:pPr>
            <w:r w:rsidRPr="000A4E3B">
              <w:t xml:space="preserve">1,160 </w:t>
            </w:r>
          </w:p>
        </w:tc>
        <w:tc>
          <w:tcPr>
            <w:tcW w:w="2156" w:type="dxa"/>
            <w:shd w:val="clear" w:color="auto" w:fill="F2F2F2" w:themeFill="background1" w:themeFillShade="F2"/>
          </w:tcPr>
          <w:p w14:paraId="59F5DA9F" w14:textId="77777777" w:rsidR="00DA2DF6" w:rsidRPr="000A4E3B" w:rsidRDefault="00DA2DF6" w:rsidP="00B64BFA">
            <w:pPr>
              <w:pStyle w:val="TableTextRight"/>
            </w:pPr>
            <w:r w:rsidRPr="000A4E3B">
              <w:t>0</w:t>
            </w:r>
          </w:p>
        </w:tc>
      </w:tr>
      <w:tr w:rsidR="00DA2DF6" w:rsidRPr="00A37416" w14:paraId="1155DCC3" w14:textId="77777777" w:rsidTr="00D6307B">
        <w:trPr>
          <w:trHeight w:val="600"/>
        </w:trPr>
        <w:tc>
          <w:tcPr>
            <w:tcW w:w="1512" w:type="dxa"/>
            <w:noWrap/>
            <w:hideMark/>
          </w:tcPr>
          <w:p w14:paraId="34A8B6E7" w14:textId="77777777" w:rsidR="00DA2DF6" w:rsidRPr="00B64BFA" w:rsidRDefault="00DA2DF6" w:rsidP="00B64BFA">
            <w:pPr>
              <w:pStyle w:val="TableTextLeft"/>
            </w:pPr>
            <w:r w:rsidRPr="00B64BFA">
              <w:t>P-CL5AC</w:t>
            </w:r>
          </w:p>
        </w:tc>
        <w:tc>
          <w:tcPr>
            <w:tcW w:w="3734" w:type="dxa"/>
            <w:hideMark/>
          </w:tcPr>
          <w:p w14:paraId="477D79CF" w14:textId="124BF0F5"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All, $100 million </w:t>
            </w:r>
            <w:r w:rsidR="00983BAF" w:rsidRPr="00983BAF">
              <w:t>–</w:t>
            </w:r>
            <w:r w:rsidRPr="00B64BFA">
              <w:t xml:space="preserve"> $200 million</w:t>
            </w:r>
          </w:p>
        </w:tc>
        <w:tc>
          <w:tcPr>
            <w:tcW w:w="1875" w:type="dxa"/>
            <w:hideMark/>
          </w:tcPr>
          <w:p w14:paraId="33B6D563" w14:textId="4D9A3D13" w:rsidR="00DA2DF6" w:rsidRPr="000A4E3B" w:rsidRDefault="00DA2DF6" w:rsidP="00B64BFA">
            <w:pPr>
              <w:pStyle w:val="TableTextRight"/>
            </w:pPr>
            <w:r w:rsidRPr="000A4E3B">
              <w:t xml:space="preserve">1,160 </w:t>
            </w:r>
          </w:p>
        </w:tc>
        <w:tc>
          <w:tcPr>
            <w:tcW w:w="2156" w:type="dxa"/>
          </w:tcPr>
          <w:p w14:paraId="082512FB" w14:textId="77777777" w:rsidR="00DA2DF6" w:rsidRPr="000A4E3B" w:rsidRDefault="00DA2DF6" w:rsidP="00B64BFA">
            <w:pPr>
              <w:pStyle w:val="TableTextRight"/>
            </w:pPr>
            <w:r w:rsidRPr="000A4E3B">
              <w:t>0</w:t>
            </w:r>
          </w:p>
        </w:tc>
      </w:tr>
      <w:tr w:rsidR="00DA2DF6" w:rsidRPr="00A37416" w14:paraId="6978D0D7" w14:textId="77777777" w:rsidTr="00D6307B">
        <w:trPr>
          <w:trHeight w:val="600"/>
        </w:trPr>
        <w:tc>
          <w:tcPr>
            <w:tcW w:w="1512" w:type="dxa"/>
            <w:shd w:val="clear" w:color="auto" w:fill="F2F2F2" w:themeFill="background1" w:themeFillShade="F2"/>
            <w:noWrap/>
            <w:hideMark/>
          </w:tcPr>
          <w:p w14:paraId="2602D372" w14:textId="77777777" w:rsidR="00DA2DF6" w:rsidRPr="00B64BFA" w:rsidRDefault="00DA2DF6" w:rsidP="00B64BFA">
            <w:pPr>
              <w:pStyle w:val="TableTextLeft"/>
            </w:pPr>
            <w:r w:rsidRPr="00B64BFA">
              <w:t>P-CL5AD</w:t>
            </w:r>
          </w:p>
        </w:tc>
        <w:tc>
          <w:tcPr>
            <w:tcW w:w="3734" w:type="dxa"/>
            <w:shd w:val="clear" w:color="auto" w:fill="F2F2F2" w:themeFill="background1" w:themeFillShade="F2"/>
            <w:hideMark/>
          </w:tcPr>
          <w:p w14:paraId="55769581" w14:textId="3CA319BB"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All, $200 million </w:t>
            </w:r>
            <w:r w:rsidR="00983BAF" w:rsidRPr="00983BAF">
              <w:t>–</w:t>
            </w:r>
            <w:r w:rsidRPr="00B64BFA">
              <w:t xml:space="preserve"> $600 million</w:t>
            </w:r>
          </w:p>
        </w:tc>
        <w:tc>
          <w:tcPr>
            <w:tcW w:w="1875" w:type="dxa"/>
            <w:shd w:val="clear" w:color="auto" w:fill="F2F2F2" w:themeFill="background1" w:themeFillShade="F2"/>
            <w:hideMark/>
          </w:tcPr>
          <w:p w14:paraId="41524E94" w14:textId="3125EBDA" w:rsidR="00DA2DF6" w:rsidRPr="000A4E3B" w:rsidRDefault="00DA2DF6" w:rsidP="00B64BFA">
            <w:pPr>
              <w:pStyle w:val="TableTextRight"/>
            </w:pPr>
            <w:r w:rsidRPr="000A4E3B">
              <w:t xml:space="preserve">4,644 </w:t>
            </w:r>
          </w:p>
        </w:tc>
        <w:tc>
          <w:tcPr>
            <w:tcW w:w="2156" w:type="dxa"/>
            <w:shd w:val="clear" w:color="auto" w:fill="F2F2F2" w:themeFill="background1" w:themeFillShade="F2"/>
          </w:tcPr>
          <w:p w14:paraId="0D9D6001" w14:textId="77777777" w:rsidR="00DA2DF6" w:rsidRPr="000A4E3B" w:rsidRDefault="00DA2DF6" w:rsidP="00B64BFA">
            <w:pPr>
              <w:pStyle w:val="TableTextRight"/>
            </w:pPr>
            <w:r w:rsidRPr="000A4E3B">
              <w:t>0</w:t>
            </w:r>
          </w:p>
        </w:tc>
      </w:tr>
      <w:tr w:rsidR="00DA2DF6" w:rsidRPr="00A37416" w14:paraId="645E2179" w14:textId="77777777" w:rsidTr="00D6307B">
        <w:trPr>
          <w:trHeight w:val="600"/>
        </w:trPr>
        <w:tc>
          <w:tcPr>
            <w:tcW w:w="1512" w:type="dxa"/>
            <w:noWrap/>
            <w:hideMark/>
          </w:tcPr>
          <w:p w14:paraId="5AF0B713" w14:textId="77777777" w:rsidR="00DA2DF6" w:rsidRPr="00B64BFA" w:rsidRDefault="00DA2DF6" w:rsidP="00B64BFA">
            <w:pPr>
              <w:pStyle w:val="TableTextLeft"/>
            </w:pPr>
            <w:r w:rsidRPr="00B64BFA">
              <w:t>P-CL5AE</w:t>
            </w:r>
          </w:p>
        </w:tc>
        <w:tc>
          <w:tcPr>
            <w:tcW w:w="3734" w:type="dxa"/>
            <w:hideMark/>
          </w:tcPr>
          <w:p w14:paraId="5FAC2E1D" w14:textId="43EC0F2B"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All, $600 million </w:t>
            </w:r>
            <w:r w:rsidR="00983BAF" w:rsidRPr="00983BAF">
              <w:t>–</w:t>
            </w:r>
            <w:r w:rsidRPr="00B64BFA">
              <w:t xml:space="preserve"> $1,000 million</w:t>
            </w:r>
          </w:p>
        </w:tc>
        <w:tc>
          <w:tcPr>
            <w:tcW w:w="1875" w:type="dxa"/>
            <w:hideMark/>
          </w:tcPr>
          <w:p w14:paraId="6B72030C" w14:textId="16D5DDE5" w:rsidR="00DA2DF6" w:rsidRPr="000A4E3B" w:rsidRDefault="00DA2DF6" w:rsidP="00B64BFA">
            <w:pPr>
              <w:pStyle w:val="TableTextRight"/>
            </w:pPr>
            <w:r w:rsidRPr="000A4E3B">
              <w:t xml:space="preserve">9,289 </w:t>
            </w:r>
          </w:p>
        </w:tc>
        <w:tc>
          <w:tcPr>
            <w:tcW w:w="2156" w:type="dxa"/>
          </w:tcPr>
          <w:p w14:paraId="0FEBCE83" w14:textId="77777777" w:rsidR="00DA2DF6" w:rsidRPr="000A4E3B" w:rsidRDefault="00DA2DF6" w:rsidP="00B64BFA">
            <w:pPr>
              <w:pStyle w:val="TableTextRight"/>
            </w:pPr>
            <w:r w:rsidRPr="000A4E3B">
              <w:t>0</w:t>
            </w:r>
          </w:p>
        </w:tc>
      </w:tr>
      <w:tr w:rsidR="00DA2DF6" w:rsidRPr="00A37416" w14:paraId="5396DBB8" w14:textId="77777777" w:rsidTr="00D6307B">
        <w:trPr>
          <w:trHeight w:val="600"/>
        </w:trPr>
        <w:tc>
          <w:tcPr>
            <w:tcW w:w="1512" w:type="dxa"/>
            <w:shd w:val="clear" w:color="auto" w:fill="F2F2F2" w:themeFill="background1" w:themeFillShade="F2"/>
            <w:noWrap/>
            <w:hideMark/>
          </w:tcPr>
          <w:p w14:paraId="0A370D68" w14:textId="77777777" w:rsidR="00DA2DF6" w:rsidRPr="00B64BFA" w:rsidRDefault="00DA2DF6" w:rsidP="00B64BFA">
            <w:pPr>
              <w:pStyle w:val="TableTextLeft"/>
            </w:pPr>
            <w:r w:rsidRPr="00B64BFA">
              <w:t>P-CL5AF</w:t>
            </w:r>
          </w:p>
        </w:tc>
        <w:tc>
          <w:tcPr>
            <w:tcW w:w="3734" w:type="dxa"/>
            <w:shd w:val="clear" w:color="auto" w:fill="F2F2F2" w:themeFill="background1" w:themeFillShade="F2"/>
            <w:hideMark/>
          </w:tcPr>
          <w:p w14:paraId="7D09F837" w14:textId="1D2A494A"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All, $1,000 million </w:t>
            </w:r>
            <w:r w:rsidR="00983BAF" w:rsidRPr="00983BAF">
              <w:t>–</w:t>
            </w:r>
            <w:r w:rsidRPr="00B64BFA">
              <w:t xml:space="preserve"> $1,400 million</w:t>
            </w:r>
          </w:p>
        </w:tc>
        <w:tc>
          <w:tcPr>
            <w:tcW w:w="1875" w:type="dxa"/>
            <w:shd w:val="clear" w:color="auto" w:fill="F2F2F2" w:themeFill="background1" w:themeFillShade="F2"/>
            <w:hideMark/>
          </w:tcPr>
          <w:p w14:paraId="028440FB" w14:textId="25AE498C" w:rsidR="00DA2DF6" w:rsidRPr="000A4E3B" w:rsidRDefault="00DA2DF6" w:rsidP="00B64BFA">
            <w:pPr>
              <w:pStyle w:val="TableTextRight"/>
            </w:pPr>
            <w:r w:rsidRPr="000A4E3B">
              <w:t xml:space="preserve">13,933 </w:t>
            </w:r>
          </w:p>
        </w:tc>
        <w:tc>
          <w:tcPr>
            <w:tcW w:w="2156" w:type="dxa"/>
            <w:shd w:val="clear" w:color="auto" w:fill="F2F2F2" w:themeFill="background1" w:themeFillShade="F2"/>
          </w:tcPr>
          <w:p w14:paraId="26BD9F59" w14:textId="77777777" w:rsidR="00DA2DF6" w:rsidRPr="000A4E3B" w:rsidRDefault="00DA2DF6" w:rsidP="00B64BFA">
            <w:pPr>
              <w:pStyle w:val="TableTextRight"/>
            </w:pPr>
            <w:r w:rsidRPr="000A4E3B">
              <w:t>0</w:t>
            </w:r>
          </w:p>
        </w:tc>
      </w:tr>
      <w:tr w:rsidR="00DA2DF6" w:rsidRPr="00A37416" w14:paraId="7C71DD4D" w14:textId="77777777" w:rsidTr="00D6307B">
        <w:trPr>
          <w:trHeight w:val="600"/>
        </w:trPr>
        <w:tc>
          <w:tcPr>
            <w:tcW w:w="1512" w:type="dxa"/>
            <w:noWrap/>
            <w:hideMark/>
          </w:tcPr>
          <w:p w14:paraId="5D781023" w14:textId="77777777" w:rsidR="00DA2DF6" w:rsidRPr="00B64BFA" w:rsidRDefault="00DA2DF6" w:rsidP="00B64BFA">
            <w:pPr>
              <w:pStyle w:val="TableTextLeft"/>
            </w:pPr>
            <w:r w:rsidRPr="00B64BFA">
              <w:t>P-CL5AG</w:t>
            </w:r>
          </w:p>
        </w:tc>
        <w:tc>
          <w:tcPr>
            <w:tcW w:w="3734" w:type="dxa"/>
            <w:hideMark/>
          </w:tcPr>
          <w:p w14:paraId="620FF6F0" w14:textId="5CBF705D"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All, $1,400 million </w:t>
            </w:r>
            <w:r w:rsidR="00983BAF" w:rsidRPr="00983BAF">
              <w:t>–</w:t>
            </w:r>
            <w:r w:rsidRPr="00B64BFA">
              <w:t xml:space="preserve"> $1,800 million</w:t>
            </w:r>
          </w:p>
        </w:tc>
        <w:tc>
          <w:tcPr>
            <w:tcW w:w="1875" w:type="dxa"/>
            <w:hideMark/>
          </w:tcPr>
          <w:p w14:paraId="1981486E" w14:textId="2A4851E8" w:rsidR="00DA2DF6" w:rsidRPr="000A4E3B" w:rsidRDefault="00DA2DF6" w:rsidP="00B64BFA">
            <w:pPr>
              <w:pStyle w:val="TableTextRight"/>
            </w:pPr>
            <w:r w:rsidRPr="000A4E3B">
              <w:t xml:space="preserve">18,576 </w:t>
            </w:r>
          </w:p>
        </w:tc>
        <w:tc>
          <w:tcPr>
            <w:tcW w:w="2156" w:type="dxa"/>
          </w:tcPr>
          <w:p w14:paraId="0FC46560" w14:textId="77777777" w:rsidR="00DA2DF6" w:rsidRPr="000A4E3B" w:rsidRDefault="00DA2DF6" w:rsidP="00B64BFA">
            <w:pPr>
              <w:pStyle w:val="TableTextRight"/>
            </w:pPr>
            <w:r w:rsidRPr="000A4E3B">
              <w:t>0</w:t>
            </w:r>
          </w:p>
        </w:tc>
      </w:tr>
      <w:tr w:rsidR="00DA2DF6" w:rsidRPr="00A37416" w14:paraId="5A9A7F30" w14:textId="77777777" w:rsidTr="00D6307B">
        <w:trPr>
          <w:trHeight w:val="600"/>
        </w:trPr>
        <w:tc>
          <w:tcPr>
            <w:tcW w:w="1512" w:type="dxa"/>
            <w:shd w:val="clear" w:color="auto" w:fill="F2F2F2" w:themeFill="background1" w:themeFillShade="F2"/>
            <w:noWrap/>
            <w:hideMark/>
          </w:tcPr>
          <w:p w14:paraId="3743D37A" w14:textId="77777777" w:rsidR="00DA2DF6" w:rsidRPr="00B64BFA" w:rsidRDefault="00DA2DF6" w:rsidP="00B64BFA">
            <w:pPr>
              <w:pStyle w:val="TableTextLeft"/>
            </w:pPr>
            <w:r w:rsidRPr="00B64BFA">
              <w:t>P-CL5AH</w:t>
            </w:r>
          </w:p>
        </w:tc>
        <w:tc>
          <w:tcPr>
            <w:tcW w:w="3734" w:type="dxa"/>
            <w:shd w:val="clear" w:color="auto" w:fill="F2F2F2" w:themeFill="background1" w:themeFillShade="F2"/>
            <w:hideMark/>
          </w:tcPr>
          <w:p w14:paraId="4014B694" w14:textId="5F724EDC"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All, $1,800 million </w:t>
            </w:r>
            <w:r w:rsidR="00983BAF" w:rsidRPr="00983BAF">
              <w:t>–</w:t>
            </w:r>
            <w:r w:rsidRPr="00B64BFA">
              <w:t xml:space="preserve"> $2,100 million</w:t>
            </w:r>
          </w:p>
        </w:tc>
        <w:tc>
          <w:tcPr>
            <w:tcW w:w="1875" w:type="dxa"/>
            <w:shd w:val="clear" w:color="auto" w:fill="F2F2F2" w:themeFill="background1" w:themeFillShade="F2"/>
            <w:hideMark/>
          </w:tcPr>
          <w:p w14:paraId="75AD1BA3" w14:textId="337B0726" w:rsidR="00DA2DF6" w:rsidRPr="000A4E3B" w:rsidRDefault="00DA2DF6" w:rsidP="00B64BFA">
            <w:pPr>
              <w:pStyle w:val="TableTextRight"/>
            </w:pPr>
            <w:r w:rsidRPr="000A4E3B">
              <w:t xml:space="preserve">23,220 </w:t>
            </w:r>
          </w:p>
        </w:tc>
        <w:tc>
          <w:tcPr>
            <w:tcW w:w="2156" w:type="dxa"/>
            <w:shd w:val="clear" w:color="auto" w:fill="F2F2F2" w:themeFill="background1" w:themeFillShade="F2"/>
          </w:tcPr>
          <w:p w14:paraId="0D0A2E2F" w14:textId="77777777" w:rsidR="00DA2DF6" w:rsidRPr="000A4E3B" w:rsidRDefault="00DA2DF6" w:rsidP="00B64BFA">
            <w:pPr>
              <w:pStyle w:val="TableTextRight"/>
            </w:pPr>
            <w:r w:rsidRPr="000A4E3B">
              <w:t>0</w:t>
            </w:r>
          </w:p>
        </w:tc>
      </w:tr>
      <w:tr w:rsidR="00DA2DF6" w:rsidRPr="00A37416" w14:paraId="47C6EE25" w14:textId="77777777" w:rsidTr="00D6307B">
        <w:trPr>
          <w:trHeight w:val="600"/>
        </w:trPr>
        <w:tc>
          <w:tcPr>
            <w:tcW w:w="1512" w:type="dxa"/>
            <w:noWrap/>
            <w:hideMark/>
          </w:tcPr>
          <w:p w14:paraId="740E4487" w14:textId="77777777" w:rsidR="00DA2DF6" w:rsidRPr="00B64BFA" w:rsidRDefault="00DA2DF6" w:rsidP="00B64BFA">
            <w:pPr>
              <w:pStyle w:val="TableTextLeft"/>
            </w:pPr>
            <w:r w:rsidRPr="00B64BFA">
              <w:t>P-CL5AI</w:t>
            </w:r>
          </w:p>
        </w:tc>
        <w:tc>
          <w:tcPr>
            <w:tcW w:w="3734" w:type="dxa"/>
            <w:hideMark/>
          </w:tcPr>
          <w:p w14:paraId="6267E50E" w14:textId="13BC5120" w:rsidR="00DA2DF6" w:rsidRPr="00B64BFA" w:rsidRDefault="00DA2DF6" w:rsidP="00B64BFA">
            <w:pPr>
              <w:pStyle w:val="TableTextLeft"/>
            </w:pPr>
            <w:r w:rsidRPr="00B64BFA">
              <w:t xml:space="preserve">Australian credit licence annual compliance certificate </w:t>
            </w:r>
            <w:r w:rsidR="00983BAF" w:rsidRPr="00983BAF">
              <w:t>–</w:t>
            </w:r>
            <w:r w:rsidRPr="00B64BFA">
              <w:t xml:space="preserve"> All, over $2,100 million</w:t>
            </w:r>
          </w:p>
        </w:tc>
        <w:tc>
          <w:tcPr>
            <w:tcW w:w="1875" w:type="dxa"/>
            <w:hideMark/>
          </w:tcPr>
          <w:p w14:paraId="46CB2739" w14:textId="11CE1CCA" w:rsidR="00DA2DF6" w:rsidRPr="000A4E3B" w:rsidRDefault="00DA2DF6" w:rsidP="00B64BFA">
            <w:pPr>
              <w:pStyle w:val="TableTextRight"/>
            </w:pPr>
            <w:r w:rsidRPr="000A4E3B">
              <w:t xml:space="preserve">24,384 </w:t>
            </w:r>
          </w:p>
        </w:tc>
        <w:tc>
          <w:tcPr>
            <w:tcW w:w="2156" w:type="dxa"/>
          </w:tcPr>
          <w:p w14:paraId="7AAC8713" w14:textId="77777777" w:rsidR="00DA2DF6" w:rsidRPr="000A4E3B" w:rsidRDefault="00DA2DF6" w:rsidP="00B64BFA">
            <w:pPr>
              <w:pStyle w:val="TableTextRight"/>
            </w:pPr>
            <w:r w:rsidRPr="000A4E3B">
              <w:t>0</w:t>
            </w:r>
          </w:p>
        </w:tc>
      </w:tr>
      <w:tr w:rsidR="00DA2DF6" w:rsidRPr="00A37416" w14:paraId="3185B2B4" w14:textId="77777777" w:rsidTr="00D6307B">
        <w:trPr>
          <w:trHeight w:val="341"/>
        </w:trPr>
        <w:tc>
          <w:tcPr>
            <w:tcW w:w="1512" w:type="dxa"/>
            <w:shd w:val="clear" w:color="auto" w:fill="F2F2F2" w:themeFill="background1" w:themeFillShade="F2"/>
            <w:noWrap/>
            <w:hideMark/>
          </w:tcPr>
          <w:p w14:paraId="35AAE03A" w14:textId="77777777" w:rsidR="00DA2DF6" w:rsidRPr="00B64BFA" w:rsidRDefault="00DA2DF6" w:rsidP="00B64BFA">
            <w:pPr>
              <w:pStyle w:val="TableTextLeft"/>
            </w:pPr>
            <w:r w:rsidRPr="00B64BFA">
              <w:t>P-CL70 A &amp; B</w:t>
            </w:r>
          </w:p>
        </w:tc>
        <w:tc>
          <w:tcPr>
            <w:tcW w:w="3734" w:type="dxa"/>
            <w:shd w:val="clear" w:color="auto" w:fill="F2F2F2" w:themeFill="background1" w:themeFillShade="F2"/>
            <w:hideMark/>
          </w:tcPr>
          <w:p w14:paraId="7768E24A" w14:textId="6930EBCE" w:rsidR="00DA2DF6" w:rsidRPr="00B64BFA" w:rsidRDefault="00DA2DF6" w:rsidP="00B64BFA">
            <w:pPr>
              <w:pStyle w:val="TableTextLeft"/>
            </w:pPr>
            <w:r w:rsidRPr="00B64BFA">
              <w:t xml:space="preserve">Australian credit licence </w:t>
            </w:r>
            <w:r w:rsidR="00983BAF" w:rsidRPr="00983BAF">
              <w:t>–</w:t>
            </w:r>
            <w:r w:rsidRPr="00B64BFA">
              <w:t xml:space="preserve"> Trust account statement</w:t>
            </w:r>
          </w:p>
        </w:tc>
        <w:tc>
          <w:tcPr>
            <w:tcW w:w="1875" w:type="dxa"/>
            <w:shd w:val="clear" w:color="auto" w:fill="F2F2F2" w:themeFill="background1" w:themeFillShade="F2"/>
            <w:hideMark/>
          </w:tcPr>
          <w:p w14:paraId="0DBE2D31" w14:textId="77777777" w:rsidR="00DA2DF6" w:rsidRPr="00A37416" w:rsidRDefault="00DA2DF6" w:rsidP="00B64BFA">
            <w:pPr>
              <w:pStyle w:val="TableTextRight"/>
            </w:pPr>
            <w:r w:rsidRPr="00A37416">
              <w:t xml:space="preserve"> 11</w:t>
            </w:r>
            <w:r>
              <w:t>5 A</w:t>
            </w:r>
            <w:r>
              <w:br/>
              <w:t xml:space="preserve">140 </w:t>
            </w:r>
            <w:r w:rsidRPr="00A37416">
              <w:t xml:space="preserve">B </w:t>
            </w:r>
          </w:p>
        </w:tc>
        <w:tc>
          <w:tcPr>
            <w:tcW w:w="2156" w:type="dxa"/>
            <w:shd w:val="clear" w:color="auto" w:fill="F2F2F2" w:themeFill="background1" w:themeFillShade="F2"/>
          </w:tcPr>
          <w:p w14:paraId="53D87177" w14:textId="77777777" w:rsidR="00DA2DF6" w:rsidRPr="00A37416" w:rsidRDefault="00DA2DF6" w:rsidP="00B64BFA">
            <w:pPr>
              <w:pStyle w:val="TableTextRight"/>
            </w:pPr>
            <w:r>
              <w:t>0</w:t>
            </w:r>
          </w:p>
        </w:tc>
      </w:tr>
      <w:tr w:rsidR="00DA2DF6" w:rsidRPr="00A37416" w14:paraId="78959E5C" w14:textId="77777777" w:rsidTr="00D6307B">
        <w:trPr>
          <w:trHeight w:val="335"/>
        </w:trPr>
        <w:tc>
          <w:tcPr>
            <w:tcW w:w="1512" w:type="dxa"/>
            <w:noWrap/>
            <w:hideMark/>
          </w:tcPr>
          <w:p w14:paraId="71258060" w14:textId="77777777" w:rsidR="00DA2DF6" w:rsidRPr="00B64BFA" w:rsidRDefault="00DA2DF6" w:rsidP="00B64BFA">
            <w:pPr>
              <w:pStyle w:val="TableTextLeft"/>
            </w:pPr>
            <w:r w:rsidRPr="00B64BFA">
              <w:t>P-FS06</w:t>
            </w:r>
          </w:p>
        </w:tc>
        <w:tc>
          <w:tcPr>
            <w:tcW w:w="3734" w:type="dxa"/>
            <w:hideMark/>
          </w:tcPr>
          <w:p w14:paraId="46BACCAC" w14:textId="77777777" w:rsidR="00DA2DF6" w:rsidRPr="00B64BFA" w:rsidRDefault="00DA2DF6" w:rsidP="00B64BFA">
            <w:pPr>
              <w:pStyle w:val="TableTextLeft"/>
            </w:pPr>
            <w:r w:rsidRPr="00B64BFA">
              <w:t xml:space="preserve">Appointment of an auditor of an Australian financial services </w:t>
            </w:r>
            <w:proofErr w:type="spellStart"/>
            <w:r w:rsidRPr="00B64BFA">
              <w:t>licencee</w:t>
            </w:r>
            <w:proofErr w:type="spellEnd"/>
          </w:p>
        </w:tc>
        <w:tc>
          <w:tcPr>
            <w:tcW w:w="1875" w:type="dxa"/>
            <w:hideMark/>
          </w:tcPr>
          <w:p w14:paraId="074ACE9C" w14:textId="2B333F03" w:rsidR="00DA2DF6" w:rsidRPr="00A37416" w:rsidRDefault="00DA2DF6" w:rsidP="00B64BFA">
            <w:pPr>
              <w:pStyle w:val="TableTextRight"/>
            </w:pPr>
            <w:r w:rsidRPr="00A37416">
              <w:t>3</w:t>
            </w:r>
            <w:r>
              <w:t>9</w:t>
            </w:r>
            <w:r w:rsidRPr="00A37416">
              <w:t xml:space="preserve"> </w:t>
            </w:r>
          </w:p>
        </w:tc>
        <w:tc>
          <w:tcPr>
            <w:tcW w:w="2156" w:type="dxa"/>
          </w:tcPr>
          <w:p w14:paraId="5BE4EE44" w14:textId="77777777" w:rsidR="00DA2DF6" w:rsidRPr="00A37416" w:rsidRDefault="00DA2DF6" w:rsidP="00B64BFA">
            <w:pPr>
              <w:pStyle w:val="TableTextRight"/>
            </w:pPr>
            <w:r>
              <w:t>0</w:t>
            </w:r>
          </w:p>
        </w:tc>
      </w:tr>
      <w:tr w:rsidR="00DA2DF6" w:rsidRPr="00A37416" w14:paraId="02A5CE32" w14:textId="77777777" w:rsidTr="00D6307B">
        <w:trPr>
          <w:trHeight w:val="329"/>
        </w:trPr>
        <w:tc>
          <w:tcPr>
            <w:tcW w:w="1512" w:type="dxa"/>
            <w:shd w:val="clear" w:color="auto" w:fill="F2F2F2" w:themeFill="background1" w:themeFillShade="F2"/>
            <w:noWrap/>
            <w:hideMark/>
          </w:tcPr>
          <w:p w14:paraId="1EE932B3" w14:textId="77777777" w:rsidR="00DA2DF6" w:rsidRPr="00B64BFA" w:rsidRDefault="00DA2DF6" w:rsidP="00B64BFA">
            <w:pPr>
              <w:pStyle w:val="TableTextLeft"/>
            </w:pPr>
            <w:r w:rsidRPr="00B64BFA">
              <w:t>P-FS30A</w:t>
            </w:r>
          </w:p>
        </w:tc>
        <w:tc>
          <w:tcPr>
            <w:tcW w:w="3734" w:type="dxa"/>
            <w:shd w:val="clear" w:color="auto" w:fill="F2F2F2" w:themeFill="background1" w:themeFillShade="F2"/>
            <w:hideMark/>
          </w:tcPr>
          <w:p w14:paraId="734AB97E" w14:textId="75F5B890" w:rsidR="00DA2DF6" w:rsidRPr="00B64BFA" w:rsidRDefault="00DA2DF6" w:rsidP="00B64BFA">
            <w:pPr>
              <w:pStyle w:val="TableTextLeft"/>
            </w:pPr>
            <w:r w:rsidRPr="00B64BFA">
              <w:t xml:space="preserve">Appointment of an authorised representatives by </w:t>
            </w:r>
            <w:proofErr w:type="spellStart"/>
            <w:r w:rsidRPr="00B64BFA">
              <w:t>licencee</w:t>
            </w:r>
            <w:proofErr w:type="spellEnd"/>
            <w:r w:rsidRPr="00B64BFA">
              <w:t xml:space="preserve"> </w:t>
            </w:r>
            <w:r w:rsidR="00983BAF" w:rsidRPr="00983BAF">
              <w:t>–</w:t>
            </w:r>
            <w:r w:rsidRPr="00B64BFA">
              <w:t xml:space="preserve"> electronic</w:t>
            </w:r>
          </w:p>
        </w:tc>
        <w:tc>
          <w:tcPr>
            <w:tcW w:w="1875" w:type="dxa"/>
            <w:shd w:val="clear" w:color="auto" w:fill="F2F2F2" w:themeFill="background1" w:themeFillShade="F2"/>
            <w:hideMark/>
          </w:tcPr>
          <w:p w14:paraId="14BB0705" w14:textId="68051075" w:rsidR="00DA2DF6" w:rsidRPr="000A4E3B" w:rsidRDefault="00DA2DF6" w:rsidP="00B64BFA">
            <w:pPr>
              <w:pStyle w:val="TableTextRight"/>
            </w:pPr>
            <w:r w:rsidRPr="000A4E3B">
              <w:t>39</w:t>
            </w:r>
          </w:p>
        </w:tc>
        <w:tc>
          <w:tcPr>
            <w:tcW w:w="2156" w:type="dxa"/>
            <w:shd w:val="clear" w:color="auto" w:fill="F2F2F2" w:themeFill="background1" w:themeFillShade="F2"/>
          </w:tcPr>
          <w:p w14:paraId="66090230" w14:textId="77777777" w:rsidR="00DA2DF6" w:rsidRPr="00A37416" w:rsidRDefault="00DA2DF6" w:rsidP="00B64BFA">
            <w:pPr>
              <w:pStyle w:val="TableTextRight"/>
            </w:pPr>
            <w:r>
              <w:t>0</w:t>
            </w:r>
          </w:p>
        </w:tc>
      </w:tr>
      <w:tr w:rsidR="00DA2DF6" w:rsidRPr="00A37416" w14:paraId="10EFD20A" w14:textId="77777777" w:rsidTr="00D6307B">
        <w:trPr>
          <w:trHeight w:val="181"/>
        </w:trPr>
        <w:tc>
          <w:tcPr>
            <w:tcW w:w="1512" w:type="dxa"/>
            <w:noWrap/>
            <w:hideMark/>
          </w:tcPr>
          <w:p w14:paraId="2DE41714" w14:textId="77777777" w:rsidR="00DA2DF6" w:rsidRPr="00B64BFA" w:rsidRDefault="00DA2DF6" w:rsidP="00B64BFA">
            <w:pPr>
              <w:pStyle w:val="TableTextLeft"/>
            </w:pPr>
            <w:r w:rsidRPr="00B64BFA">
              <w:t>P-FS30B</w:t>
            </w:r>
          </w:p>
        </w:tc>
        <w:tc>
          <w:tcPr>
            <w:tcW w:w="3734" w:type="dxa"/>
            <w:hideMark/>
          </w:tcPr>
          <w:p w14:paraId="2256159D" w14:textId="06E40DE0" w:rsidR="00DA2DF6" w:rsidRPr="00B64BFA" w:rsidRDefault="00DA2DF6" w:rsidP="00B64BFA">
            <w:pPr>
              <w:pStyle w:val="TableTextLeft"/>
            </w:pPr>
            <w:r w:rsidRPr="00B64BFA">
              <w:t xml:space="preserve">Appointment of an authorised representatives by </w:t>
            </w:r>
            <w:proofErr w:type="spellStart"/>
            <w:r w:rsidRPr="00B64BFA">
              <w:t>licencee</w:t>
            </w:r>
            <w:proofErr w:type="spellEnd"/>
            <w:r w:rsidRPr="00B64BFA">
              <w:t xml:space="preserve"> </w:t>
            </w:r>
            <w:r w:rsidR="00983BAF" w:rsidRPr="00983BAF">
              <w:t>–</w:t>
            </w:r>
            <w:r w:rsidRPr="00B64BFA">
              <w:t xml:space="preserve"> paper</w:t>
            </w:r>
          </w:p>
        </w:tc>
        <w:tc>
          <w:tcPr>
            <w:tcW w:w="1875" w:type="dxa"/>
            <w:hideMark/>
          </w:tcPr>
          <w:p w14:paraId="5B87ED1E" w14:textId="25554574" w:rsidR="00DA2DF6" w:rsidRPr="000A4E3B" w:rsidRDefault="00DA2DF6" w:rsidP="00B64BFA">
            <w:pPr>
              <w:pStyle w:val="TableTextRight"/>
            </w:pPr>
            <w:r w:rsidRPr="000A4E3B">
              <w:t xml:space="preserve">74 </w:t>
            </w:r>
          </w:p>
        </w:tc>
        <w:tc>
          <w:tcPr>
            <w:tcW w:w="2156" w:type="dxa"/>
          </w:tcPr>
          <w:p w14:paraId="08A083E0" w14:textId="77777777" w:rsidR="00DA2DF6" w:rsidRPr="00A37416" w:rsidRDefault="00DA2DF6" w:rsidP="00B64BFA">
            <w:pPr>
              <w:pStyle w:val="TableTextRight"/>
            </w:pPr>
            <w:r>
              <w:t>0</w:t>
            </w:r>
          </w:p>
        </w:tc>
      </w:tr>
      <w:tr w:rsidR="00DA2DF6" w:rsidRPr="00A37416" w14:paraId="6CB65914" w14:textId="77777777" w:rsidTr="00D6307B">
        <w:trPr>
          <w:trHeight w:val="459"/>
        </w:trPr>
        <w:tc>
          <w:tcPr>
            <w:tcW w:w="1512" w:type="dxa"/>
            <w:shd w:val="clear" w:color="auto" w:fill="F2F2F2" w:themeFill="background1" w:themeFillShade="F2"/>
            <w:noWrap/>
            <w:hideMark/>
          </w:tcPr>
          <w:p w14:paraId="5B597CCF" w14:textId="77777777" w:rsidR="00DA2DF6" w:rsidRPr="00B64BFA" w:rsidRDefault="00DA2DF6" w:rsidP="00B64BFA">
            <w:pPr>
              <w:pStyle w:val="TableTextLeft"/>
            </w:pPr>
            <w:r w:rsidRPr="00B64BFA">
              <w:t>P-FS30D</w:t>
            </w:r>
          </w:p>
        </w:tc>
        <w:tc>
          <w:tcPr>
            <w:tcW w:w="3734" w:type="dxa"/>
            <w:shd w:val="clear" w:color="auto" w:fill="F2F2F2" w:themeFill="background1" w:themeFillShade="F2"/>
            <w:hideMark/>
          </w:tcPr>
          <w:p w14:paraId="1315ED5D" w14:textId="4871FC8F" w:rsidR="00DA2DF6" w:rsidRPr="00B64BFA" w:rsidRDefault="00DA2DF6" w:rsidP="00B64BFA">
            <w:pPr>
              <w:pStyle w:val="TableTextLeft"/>
            </w:pPr>
            <w:r w:rsidRPr="00B64BFA">
              <w:t xml:space="preserve">Appointment of an authorised representatives by corporate representative </w:t>
            </w:r>
            <w:r w:rsidR="00983BAF" w:rsidRPr="00983BAF">
              <w:t>–</w:t>
            </w:r>
            <w:r w:rsidRPr="00B64BFA">
              <w:t xml:space="preserve"> electronic</w:t>
            </w:r>
          </w:p>
        </w:tc>
        <w:tc>
          <w:tcPr>
            <w:tcW w:w="1875" w:type="dxa"/>
            <w:shd w:val="clear" w:color="auto" w:fill="F2F2F2" w:themeFill="background1" w:themeFillShade="F2"/>
            <w:hideMark/>
          </w:tcPr>
          <w:p w14:paraId="4B3FCC4C" w14:textId="53562AA9" w:rsidR="00DA2DF6" w:rsidRPr="000A4E3B" w:rsidRDefault="00DA2DF6" w:rsidP="00B64BFA">
            <w:pPr>
              <w:pStyle w:val="TableTextRight"/>
            </w:pPr>
            <w:r w:rsidRPr="000A4E3B">
              <w:t xml:space="preserve">39 </w:t>
            </w:r>
          </w:p>
        </w:tc>
        <w:tc>
          <w:tcPr>
            <w:tcW w:w="2156" w:type="dxa"/>
            <w:shd w:val="clear" w:color="auto" w:fill="F2F2F2" w:themeFill="background1" w:themeFillShade="F2"/>
          </w:tcPr>
          <w:p w14:paraId="698D4C55" w14:textId="77777777" w:rsidR="00DA2DF6" w:rsidRPr="00A37416" w:rsidRDefault="00DA2DF6" w:rsidP="00B64BFA">
            <w:pPr>
              <w:pStyle w:val="TableTextRight"/>
            </w:pPr>
            <w:r>
              <w:t>0</w:t>
            </w:r>
          </w:p>
        </w:tc>
      </w:tr>
      <w:tr w:rsidR="00DA2DF6" w:rsidRPr="00A37416" w14:paraId="537679DA" w14:textId="77777777" w:rsidTr="00D6307B">
        <w:trPr>
          <w:trHeight w:val="385"/>
        </w:trPr>
        <w:tc>
          <w:tcPr>
            <w:tcW w:w="1512" w:type="dxa"/>
            <w:tcBorders>
              <w:bottom w:val="single" w:sz="4" w:space="0" w:color="004A7F"/>
            </w:tcBorders>
            <w:noWrap/>
            <w:hideMark/>
          </w:tcPr>
          <w:p w14:paraId="2A844C4D" w14:textId="77777777" w:rsidR="00DA2DF6" w:rsidRPr="00B64BFA" w:rsidRDefault="00DA2DF6" w:rsidP="00B64BFA">
            <w:pPr>
              <w:pStyle w:val="TableTextLeft"/>
            </w:pPr>
            <w:r w:rsidRPr="00B64BFA">
              <w:t>P-FS30E</w:t>
            </w:r>
          </w:p>
        </w:tc>
        <w:tc>
          <w:tcPr>
            <w:tcW w:w="3734" w:type="dxa"/>
            <w:tcBorders>
              <w:bottom w:val="single" w:sz="4" w:space="0" w:color="004A7F"/>
            </w:tcBorders>
            <w:hideMark/>
          </w:tcPr>
          <w:p w14:paraId="306FFF83" w14:textId="57C85975" w:rsidR="00DA2DF6" w:rsidRPr="00B64BFA" w:rsidRDefault="00DA2DF6" w:rsidP="00B64BFA">
            <w:pPr>
              <w:pStyle w:val="TableTextLeft"/>
            </w:pPr>
            <w:r w:rsidRPr="00B64BFA">
              <w:t xml:space="preserve">Appointment of an authorised representatives by corporate representative </w:t>
            </w:r>
            <w:r w:rsidR="00983BAF" w:rsidRPr="00983BAF">
              <w:t>–</w:t>
            </w:r>
            <w:r w:rsidRPr="00B64BFA">
              <w:t xml:space="preserve"> paper</w:t>
            </w:r>
          </w:p>
        </w:tc>
        <w:tc>
          <w:tcPr>
            <w:tcW w:w="1875" w:type="dxa"/>
            <w:tcBorders>
              <w:bottom w:val="single" w:sz="4" w:space="0" w:color="004A7F"/>
            </w:tcBorders>
            <w:hideMark/>
          </w:tcPr>
          <w:p w14:paraId="53AA20C0" w14:textId="2BAF8617" w:rsidR="00DA2DF6" w:rsidRPr="000A4E3B" w:rsidRDefault="00DA2DF6" w:rsidP="00B64BFA">
            <w:pPr>
              <w:pStyle w:val="TableTextRight"/>
            </w:pPr>
            <w:r w:rsidRPr="000A4E3B">
              <w:t xml:space="preserve">39 </w:t>
            </w:r>
          </w:p>
        </w:tc>
        <w:tc>
          <w:tcPr>
            <w:tcW w:w="2156" w:type="dxa"/>
            <w:tcBorders>
              <w:bottom w:val="single" w:sz="4" w:space="0" w:color="004A7F"/>
            </w:tcBorders>
          </w:tcPr>
          <w:p w14:paraId="40B74FA0" w14:textId="77777777" w:rsidR="00DA2DF6" w:rsidRPr="00A37416" w:rsidRDefault="00DA2DF6" w:rsidP="00B64BFA">
            <w:pPr>
              <w:pStyle w:val="TableTextRight"/>
            </w:pPr>
            <w:r>
              <w:t>0</w:t>
            </w:r>
          </w:p>
        </w:tc>
      </w:tr>
    </w:tbl>
    <w:p w14:paraId="49144352" w14:textId="77777777" w:rsidR="00D6307B" w:rsidRDefault="00D6307B">
      <w:r>
        <w:rPr>
          <w:b/>
          <w:caps/>
        </w:rPr>
        <w:br w:type="page"/>
      </w:r>
    </w:p>
    <w:tbl>
      <w:tblPr>
        <w:tblW w:w="9277" w:type="dxa"/>
        <w:tblLook w:val="04A0" w:firstRow="1" w:lastRow="0" w:firstColumn="1" w:lastColumn="0" w:noHBand="0" w:noVBand="1"/>
      </w:tblPr>
      <w:tblGrid>
        <w:gridCol w:w="1512"/>
        <w:gridCol w:w="3734"/>
        <w:gridCol w:w="1875"/>
        <w:gridCol w:w="2156"/>
      </w:tblGrid>
      <w:tr w:rsidR="00B64BFA" w:rsidRPr="00A37416" w14:paraId="600DA0F8" w14:textId="77777777" w:rsidTr="00D6307B">
        <w:trPr>
          <w:trHeight w:val="189"/>
        </w:trPr>
        <w:tc>
          <w:tcPr>
            <w:tcW w:w="1512" w:type="dxa"/>
            <w:tcBorders>
              <w:top w:val="single" w:sz="4" w:space="0" w:color="004A7F"/>
              <w:bottom w:val="single" w:sz="4" w:space="0" w:color="004A7F"/>
            </w:tcBorders>
            <w:shd w:val="clear" w:color="auto" w:fill="DEEAF6" w:themeFill="accent1" w:themeFillTint="33"/>
          </w:tcPr>
          <w:p w14:paraId="5F0F9E77" w14:textId="77777777" w:rsidR="00B64BFA" w:rsidRPr="00B64BFA" w:rsidRDefault="00B64BFA" w:rsidP="00A84129">
            <w:pPr>
              <w:pStyle w:val="TableColumnHeadingLeft"/>
              <w:rPr>
                <w:b w:val="0"/>
              </w:rPr>
            </w:pPr>
            <w:r w:rsidRPr="00B64BFA">
              <w:rPr>
                <w:b w:val="0"/>
              </w:rPr>
              <w:t>Form code</w:t>
            </w:r>
          </w:p>
        </w:tc>
        <w:tc>
          <w:tcPr>
            <w:tcW w:w="3734" w:type="dxa"/>
            <w:tcBorders>
              <w:top w:val="single" w:sz="4" w:space="0" w:color="004A7F"/>
              <w:bottom w:val="single" w:sz="4" w:space="0" w:color="004A7F"/>
            </w:tcBorders>
            <w:shd w:val="clear" w:color="auto" w:fill="DEEAF6" w:themeFill="accent1" w:themeFillTint="33"/>
          </w:tcPr>
          <w:p w14:paraId="753F13A5" w14:textId="77777777" w:rsidR="00B64BFA" w:rsidRPr="00A37416" w:rsidRDefault="00B64BFA" w:rsidP="00A84129">
            <w:pPr>
              <w:pStyle w:val="TableColumnHeadingLeft"/>
            </w:pPr>
            <w:r w:rsidRPr="00A37416">
              <w:t>Description</w:t>
            </w:r>
          </w:p>
        </w:tc>
        <w:tc>
          <w:tcPr>
            <w:tcW w:w="1875" w:type="dxa"/>
            <w:tcBorders>
              <w:top w:val="single" w:sz="4" w:space="0" w:color="004A7F"/>
              <w:bottom w:val="single" w:sz="4" w:space="0" w:color="004A7F"/>
            </w:tcBorders>
            <w:shd w:val="clear" w:color="auto" w:fill="DEEAF6" w:themeFill="accent1" w:themeFillTint="33"/>
          </w:tcPr>
          <w:p w14:paraId="0FE187AC" w14:textId="77777777" w:rsidR="00B64BFA" w:rsidRPr="00A37416" w:rsidRDefault="00B64BFA" w:rsidP="00A84129">
            <w:pPr>
              <w:pStyle w:val="TableColumnHeadingRight"/>
            </w:pPr>
            <w:r>
              <w:t>Current fee ($)</w:t>
            </w:r>
          </w:p>
        </w:tc>
        <w:tc>
          <w:tcPr>
            <w:tcW w:w="2156" w:type="dxa"/>
            <w:tcBorders>
              <w:top w:val="single" w:sz="4" w:space="0" w:color="004A7F"/>
              <w:bottom w:val="single" w:sz="4" w:space="0" w:color="004A7F"/>
            </w:tcBorders>
            <w:shd w:val="clear" w:color="auto" w:fill="DEEAF6" w:themeFill="accent1" w:themeFillTint="33"/>
          </w:tcPr>
          <w:p w14:paraId="5A1E8628" w14:textId="77777777" w:rsidR="00B64BFA" w:rsidRPr="00A37416" w:rsidRDefault="00B64BFA" w:rsidP="00A84129">
            <w:pPr>
              <w:pStyle w:val="TableColumnHeadingRight"/>
            </w:pPr>
            <w:r>
              <w:t>Proposed fee ($)</w:t>
            </w:r>
          </w:p>
        </w:tc>
      </w:tr>
      <w:tr w:rsidR="00DA2DF6" w:rsidRPr="00A37416" w14:paraId="25A0D957" w14:textId="77777777" w:rsidTr="00D6307B">
        <w:trPr>
          <w:trHeight w:val="287"/>
        </w:trPr>
        <w:tc>
          <w:tcPr>
            <w:tcW w:w="1512" w:type="dxa"/>
            <w:noWrap/>
            <w:hideMark/>
          </w:tcPr>
          <w:p w14:paraId="032D7A0A" w14:textId="77777777" w:rsidR="00DA2DF6" w:rsidRPr="00B64BFA" w:rsidRDefault="00DA2DF6" w:rsidP="00B64BFA">
            <w:pPr>
              <w:pStyle w:val="TableTextLeft"/>
            </w:pPr>
            <w:r w:rsidRPr="00B64BFA">
              <w:t>P-FS31</w:t>
            </w:r>
          </w:p>
        </w:tc>
        <w:tc>
          <w:tcPr>
            <w:tcW w:w="3734" w:type="dxa"/>
            <w:hideMark/>
          </w:tcPr>
          <w:p w14:paraId="02AF7CF2" w14:textId="77777777" w:rsidR="00DA2DF6" w:rsidRPr="00B64BFA" w:rsidRDefault="00DA2DF6" w:rsidP="00B64BFA">
            <w:pPr>
              <w:pStyle w:val="TableTextLeft"/>
            </w:pPr>
            <w:r w:rsidRPr="00B64BFA">
              <w:t xml:space="preserve">Cease an Australian Financial Service </w:t>
            </w:r>
            <w:proofErr w:type="spellStart"/>
            <w:r w:rsidRPr="00B64BFA">
              <w:t>licencee</w:t>
            </w:r>
            <w:proofErr w:type="spellEnd"/>
            <w:r w:rsidRPr="00B64BFA">
              <w:t xml:space="preserve"> authorised representative</w:t>
            </w:r>
          </w:p>
        </w:tc>
        <w:tc>
          <w:tcPr>
            <w:tcW w:w="1875" w:type="dxa"/>
            <w:hideMark/>
          </w:tcPr>
          <w:p w14:paraId="215902F2" w14:textId="77777777" w:rsidR="00DA2DF6" w:rsidRPr="000A4E3B" w:rsidRDefault="00DA2DF6" w:rsidP="00B64BFA">
            <w:pPr>
              <w:pStyle w:val="TableTextRight"/>
            </w:pPr>
            <w:r w:rsidRPr="000A4E3B">
              <w:t xml:space="preserve"> see below A - D </w:t>
            </w:r>
          </w:p>
        </w:tc>
        <w:tc>
          <w:tcPr>
            <w:tcW w:w="2156" w:type="dxa"/>
          </w:tcPr>
          <w:p w14:paraId="6ED2BCC6" w14:textId="77777777" w:rsidR="00DA2DF6" w:rsidRPr="000A4E3B" w:rsidRDefault="00DA2DF6" w:rsidP="00B64BFA">
            <w:pPr>
              <w:pStyle w:val="TableTextRight"/>
            </w:pPr>
            <w:r w:rsidRPr="000A4E3B">
              <w:t>0</w:t>
            </w:r>
          </w:p>
        </w:tc>
      </w:tr>
      <w:tr w:rsidR="00DA2DF6" w:rsidRPr="00A37416" w14:paraId="768C19CD" w14:textId="77777777" w:rsidTr="00D6307B">
        <w:trPr>
          <w:trHeight w:val="291"/>
        </w:trPr>
        <w:tc>
          <w:tcPr>
            <w:tcW w:w="1512" w:type="dxa"/>
            <w:shd w:val="clear" w:color="auto" w:fill="F2F2F2" w:themeFill="background1" w:themeFillShade="F2"/>
            <w:noWrap/>
            <w:hideMark/>
          </w:tcPr>
          <w:p w14:paraId="26BE972E" w14:textId="77777777" w:rsidR="00DA2DF6" w:rsidRPr="00B64BFA" w:rsidRDefault="00DA2DF6" w:rsidP="00B64BFA">
            <w:pPr>
              <w:pStyle w:val="TableTextLeft"/>
            </w:pPr>
            <w:r w:rsidRPr="00B64BFA">
              <w:t>P-FS31A</w:t>
            </w:r>
          </w:p>
        </w:tc>
        <w:tc>
          <w:tcPr>
            <w:tcW w:w="3734" w:type="dxa"/>
            <w:shd w:val="clear" w:color="auto" w:fill="F2F2F2" w:themeFill="background1" w:themeFillShade="F2"/>
            <w:hideMark/>
          </w:tcPr>
          <w:p w14:paraId="78BA7881" w14:textId="7039DE86" w:rsidR="00DA2DF6" w:rsidRPr="00B64BFA" w:rsidRDefault="00DA2DF6" w:rsidP="00B64BFA">
            <w:pPr>
              <w:pStyle w:val="TableTextLeft"/>
            </w:pPr>
            <w:r w:rsidRPr="00B64BFA">
              <w:t xml:space="preserve">Revoke an authorised representative by </w:t>
            </w:r>
            <w:proofErr w:type="spellStart"/>
            <w:r w:rsidRPr="00B64BFA">
              <w:t>licencee</w:t>
            </w:r>
            <w:proofErr w:type="spellEnd"/>
            <w:r w:rsidRPr="00B64BFA">
              <w:t xml:space="preserve"> </w:t>
            </w:r>
            <w:r w:rsidR="00983BAF" w:rsidRPr="00983BAF">
              <w:t>–</w:t>
            </w:r>
            <w:r w:rsidRPr="00B64BFA">
              <w:t xml:space="preserve"> electronic</w:t>
            </w:r>
          </w:p>
        </w:tc>
        <w:tc>
          <w:tcPr>
            <w:tcW w:w="1875" w:type="dxa"/>
            <w:shd w:val="clear" w:color="auto" w:fill="F2F2F2" w:themeFill="background1" w:themeFillShade="F2"/>
            <w:hideMark/>
          </w:tcPr>
          <w:p w14:paraId="24ADE0EE" w14:textId="07B7DB07" w:rsidR="00DA2DF6" w:rsidRPr="000A4E3B" w:rsidRDefault="00DA2DF6" w:rsidP="00B64BFA">
            <w:pPr>
              <w:pStyle w:val="TableTextRight"/>
            </w:pPr>
            <w:r w:rsidRPr="000A4E3B">
              <w:t xml:space="preserve">25 </w:t>
            </w:r>
          </w:p>
        </w:tc>
        <w:tc>
          <w:tcPr>
            <w:tcW w:w="2156" w:type="dxa"/>
            <w:shd w:val="clear" w:color="auto" w:fill="F2F2F2" w:themeFill="background1" w:themeFillShade="F2"/>
          </w:tcPr>
          <w:p w14:paraId="3D9ACBE0" w14:textId="77777777" w:rsidR="00DA2DF6" w:rsidRPr="000A4E3B" w:rsidRDefault="00DA2DF6" w:rsidP="00B64BFA">
            <w:pPr>
              <w:pStyle w:val="TableTextRight"/>
            </w:pPr>
            <w:r w:rsidRPr="000A4E3B">
              <w:t>0</w:t>
            </w:r>
          </w:p>
        </w:tc>
      </w:tr>
      <w:tr w:rsidR="00DA2DF6" w:rsidRPr="00A37416" w14:paraId="3698EB82" w14:textId="77777777" w:rsidTr="00D6307B">
        <w:trPr>
          <w:trHeight w:val="267"/>
        </w:trPr>
        <w:tc>
          <w:tcPr>
            <w:tcW w:w="1512" w:type="dxa"/>
            <w:noWrap/>
            <w:hideMark/>
          </w:tcPr>
          <w:p w14:paraId="77C6CDF9" w14:textId="77777777" w:rsidR="00DA2DF6" w:rsidRPr="00B64BFA" w:rsidRDefault="00DA2DF6" w:rsidP="00B64BFA">
            <w:pPr>
              <w:pStyle w:val="TableTextLeft"/>
            </w:pPr>
            <w:r w:rsidRPr="00B64BFA">
              <w:t>P-FS31B</w:t>
            </w:r>
          </w:p>
        </w:tc>
        <w:tc>
          <w:tcPr>
            <w:tcW w:w="3734" w:type="dxa"/>
            <w:hideMark/>
          </w:tcPr>
          <w:p w14:paraId="20D8B714" w14:textId="6A542DFE" w:rsidR="00DA2DF6" w:rsidRPr="00B64BFA" w:rsidRDefault="00DA2DF6" w:rsidP="00B64BFA">
            <w:pPr>
              <w:pStyle w:val="TableTextLeft"/>
            </w:pPr>
            <w:r w:rsidRPr="00B64BFA">
              <w:t xml:space="preserve">Revoke an authorised representative by </w:t>
            </w:r>
            <w:proofErr w:type="spellStart"/>
            <w:r w:rsidRPr="00B64BFA">
              <w:t>licencee</w:t>
            </w:r>
            <w:proofErr w:type="spellEnd"/>
            <w:r w:rsidRPr="00B64BFA">
              <w:t xml:space="preserve"> </w:t>
            </w:r>
            <w:r w:rsidR="00983BAF" w:rsidRPr="00983BAF">
              <w:t>–</w:t>
            </w:r>
            <w:r w:rsidRPr="00B64BFA">
              <w:t xml:space="preserve"> paper</w:t>
            </w:r>
          </w:p>
        </w:tc>
        <w:tc>
          <w:tcPr>
            <w:tcW w:w="1875" w:type="dxa"/>
            <w:hideMark/>
          </w:tcPr>
          <w:p w14:paraId="34F44A37" w14:textId="335A57A3" w:rsidR="00DA2DF6" w:rsidRPr="000A4E3B" w:rsidRDefault="00DA2DF6" w:rsidP="00B64BFA">
            <w:pPr>
              <w:pStyle w:val="TableTextRight"/>
            </w:pPr>
            <w:r w:rsidRPr="000A4E3B">
              <w:t xml:space="preserve">45 </w:t>
            </w:r>
          </w:p>
        </w:tc>
        <w:tc>
          <w:tcPr>
            <w:tcW w:w="2156" w:type="dxa"/>
          </w:tcPr>
          <w:p w14:paraId="1ACFF28E" w14:textId="77777777" w:rsidR="00DA2DF6" w:rsidRPr="000A4E3B" w:rsidRDefault="00DA2DF6" w:rsidP="00B64BFA">
            <w:pPr>
              <w:pStyle w:val="TableTextRight"/>
            </w:pPr>
            <w:r w:rsidRPr="000A4E3B">
              <w:t>0</w:t>
            </w:r>
          </w:p>
        </w:tc>
      </w:tr>
      <w:tr w:rsidR="00DA2DF6" w:rsidRPr="00A37416" w14:paraId="445A3EC6" w14:textId="77777777" w:rsidTr="00D6307B">
        <w:trPr>
          <w:trHeight w:val="266"/>
        </w:trPr>
        <w:tc>
          <w:tcPr>
            <w:tcW w:w="1512" w:type="dxa"/>
            <w:shd w:val="clear" w:color="auto" w:fill="F2F2F2" w:themeFill="background1" w:themeFillShade="F2"/>
            <w:noWrap/>
            <w:hideMark/>
          </w:tcPr>
          <w:p w14:paraId="238F9D5D" w14:textId="77777777" w:rsidR="00DA2DF6" w:rsidRPr="00B64BFA" w:rsidRDefault="00DA2DF6" w:rsidP="00B64BFA">
            <w:pPr>
              <w:pStyle w:val="TableTextLeft"/>
            </w:pPr>
            <w:r w:rsidRPr="00B64BFA">
              <w:t>P-FS31C</w:t>
            </w:r>
          </w:p>
        </w:tc>
        <w:tc>
          <w:tcPr>
            <w:tcW w:w="3734" w:type="dxa"/>
            <w:shd w:val="clear" w:color="auto" w:fill="F2F2F2" w:themeFill="background1" w:themeFillShade="F2"/>
            <w:hideMark/>
          </w:tcPr>
          <w:p w14:paraId="5794C908" w14:textId="79B7280B" w:rsidR="00DA2DF6" w:rsidRPr="00B64BFA" w:rsidRDefault="00DA2DF6" w:rsidP="00B64BFA">
            <w:pPr>
              <w:pStyle w:val="TableTextLeft"/>
            </w:pPr>
            <w:r w:rsidRPr="00B64BFA">
              <w:t xml:space="preserve">Revoke an authorised representative by corporate representative </w:t>
            </w:r>
            <w:r w:rsidR="00983BAF" w:rsidRPr="00983BAF">
              <w:t>–</w:t>
            </w:r>
            <w:r w:rsidRPr="00B64BFA">
              <w:t xml:space="preserve"> electronic</w:t>
            </w:r>
          </w:p>
        </w:tc>
        <w:tc>
          <w:tcPr>
            <w:tcW w:w="1875" w:type="dxa"/>
            <w:shd w:val="clear" w:color="auto" w:fill="F2F2F2" w:themeFill="background1" w:themeFillShade="F2"/>
            <w:hideMark/>
          </w:tcPr>
          <w:p w14:paraId="01F1265B" w14:textId="2BE0D59E" w:rsidR="00DA2DF6" w:rsidRPr="000A4E3B" w:rsidRDefault="00DA2DF6" w:rsidP="00B64BFA">
            <w:pPr>
              <w:pStyle w:val="TableTextRight"/>
            </w:pPr>
            <w:r w:rsidRPr="000A4E3B">
              <w:t xml:space="preserve">25 </w:t>
            </w:r>
          </w:p>
        </w:tc>
        <w:tc>
          <w:tcPr>
            <w:tcW w:w="2156" w:type="dxa"/>
            <w:shd w:val="clear" w:color="auto" w:fill="F2F2F2" w:themeFill="background1" w:themeFillShade="F2"/>
          </w:tcPr>
          <w:p w14:paraId="1B591A7F" w14:textId="77777777" w:rsidR="00DA2DF6" w:rsidRPr="000A4E3B" w:rsidRDefault="00DA2DF6" w:rsidP="00B64BFA">
            <w:pPr>
              <w:pStyle w:val="TableTextRight"/>
            </w:pPr>
            <w:r w:rsidRPr="000A4E3B">
              <w:t>0</w:t>
            </w:r>
          </w:p>
        </w:tc>
      </w:tr>
      <w:tr w:rsidR="00DA2DF6" w:rsidRPr="00A37416" w14:paraId="72699B35" w14:textId="77777777" w:rsidTr="00D6307B">
        <w:trPr>
          <w:trHeight w:val="315"/>
        </w:trPr>
        <w:tc>
          <w:tcPr>
            <w:tcW w:w="1512" w:type="dxa"/>
            <w:noWrap/>
            <w:hideMark/>
          </w:tcPr>
          <w:p w14:paraId="55270B18" w14:textId="77777777" w:rsidR="00DA2DF6" w:rsidRPr="00B64BFA" w:rsidRDefault="00DA2DF6" w:rsidP="00B64BFA">
            <w:pPr>
              <w:pStyle w:val="TableTextLeft"/>
            </w:pPr>
            <w:r w:rsidRPr="00B64BFA">
              <w:t>P-FS31D</w:t>
            </w:r>
          </w:p>
        </w:tc>
        <w:tc>
          <w:tcPr>
            <w:tcW w:w="3734" w:type="dxa"/>
            <w:hideMark/>
          </w:tcPr>
          <w:p w14:paraId="55E17767" w14:textId="5FF0A316" w:rsidR="00DA2DF6" w:rsidRPr="00B64BFA" w:rsidRDefault="00DA2DF6" w:rsidP="00983BAF">
            <w:pPr>
              <w:pStyle w:val="TableTextLeft"/>
            </w:pPr>
            <w:r w:rsidRPr="00B64BFA">
              <w:t>Revoke an authorised representative by corporate representative</w:t>
            </w:r>
            <w:r w:rsidR="00983BAF">
              <w:t xml:space="preserve"> </w:t>
            </w:r>
            <w:r w:rsidR="00983BAF" w:rsidRPr="00983BAF">
              <w:t>–</w:t>
            </w:r>
            <w:r w:rsidRPr="00B64BFA">
              <w:t xml:space="preserve"> paper</w:t>
            </w:r>
          </w:p>
        </w:tc>
        <w:tc>
          <w:tcPr>
            <w:tcW w:w="1875" w:type="dxa"/>
            <w:hideMark/>
          </w:tcPr>
          <w:p w14:paraId="45AE8289" w14:textId="6B6FDA39" w:rsidR="00DA2DF6" w:rsidRPr="000A4E3B" w:rsidRDefault="00DA2DF6" w:rsidP="00B64BFA">
            <w:pPr>
              <w:pStyle w:val="TableTextRight"/>
            </w:pPr>
            <w:r w:rsidRPr="000A4E3B">
              <w:t xml:space="preserve">45 </w:t>
            </w:r>
          </w:p>
        </w:tc>
        <w:tc>
          <w:tcPr>
            <w:tcW w:w="2156" w:type="dxa"/>
          </w:tcPr>
          <w:p w14:paraId="52D28C9F" w14:textId="77777777" w:rsidR="00DA2DF6" w:rsidRPr="000A4E3B" w:rsidRDefault="00DA2DF6" w:rsidP="00B64BFA">
            <w:pPr>
              <w:pStyle w:val="TableTextRight"/>
            </w:pPr>
            <w:r w:rsidRPr="000A4E3B">
              <w:t>0</w:t>
            </w:r>
          </w:p>
        </w:tc>
      </w:tr>
      <w:tr w:rsidR="00DA2DF6" w:rsidRPr="00A37416" w14:paraId="63F52BCA" w14:textId="77777777" w:rsidTr="00D6307B">
        <w:trPr>
          <w:trHeight w:val="74"/>
        </w:trPr>
        <w:tc>
          <w:tcPr>
            <w:tcW w:w="1512" w:type="dxa"/>
            <w:shd w:val="clear" w:color="auto" w:fill="F2F2F2" w:themeFill="background1" w:themeFillShade="F2"/>
            <w:noWrap/>
            <w:hideMark/>
          </w:tcPr>
          <w:p w14:paraId="58742C39" w14:textId="77777777" w:rsidR="00DA2DF6" w:rsidRPr="00B64BFA" w:rsidRDefault="00DA2DF6" w:rsidP="00B64BFA">
            <w:pPr>
              <w:pStyle w:val="TableTextLeft"/>
            </w:pPr>
            <w:r w:rsidRPr="00B64BFA">
              <w:t>P-FS32 A-C</w:t>
            </w:r>
          </w:p>
        </w:tc>
        <w:tc>
          <w:tcPr>
            <w:tcW w:w="3734" w:type="dxa"/>
            <w:shd w:val="clear" w:color="auto" w:fill="F2F2F2" w:themeFill="background1" w:themeFillShade="F2"/>
            <w:hideMark/>
          </w:tcPr>
          <w:p w14:paraId="7BD17D2A" w14:textId="77777777" w:rsidR="00DA2DF6" w:rsidRPr="00B64BFA" w:rsidRDefault="00DA2DF6" w:rsidP="00B64BFA">
            <w:pPr>
              <w:pStyle w:val="TableTextLeft"/>
            </w:pPr>
            <w:r w:rsidRPr="00B64BFA">
              <w:t xml:space="preserve">Vary the details of an Australian Financial Services </w:t>
            </w:r>
            <w:proofErr w:type="spellStart"/>
            <w:r w:rsidRPr="00B64BFA">
              <w:t>licencee</w:t>
            </w:r>
            <w:proofErr w:type="spellEnd"/>
            <w:r w:rsidRPr="00B64BFA">
              <w:t xml:space="preserve"> authorised representative</w:t>
            </w:r>
          </w:p>
        </w:tc>
        <w:tc>
          <w:tcPr>
            <w:tcW w:w="1875" w:type="dxa"/>
            <w:shd w:val="clear" w:color="auto" w:fill="F2F2F2" w:themeFill="background1" w:themeFillShade="F2"/>
            <w:hideMark/>
          </w:tcPr>
          <w:p w14:paraId="2EBBBB21" w14:textId="012764B6" w:rsidR="00DA2DF6" w:rsidRPr="00A37416" w:rsidRDefault="00B64BFA" w:rsidP="00B64BFA">
            <w:pPr>
              <w:pStyle w:val="TableTextRight"/>
            </w:pPr>
            <w:r>
              <w:t xml:space="preserve"> 24</w:t>
            </w:r>
            <w:r w:rsidR="00DA2DF6" w:rsidRPr="00A37416">
              <w:t>A</w:t>
            </w:r>
            <w:r w:rsidR="00DA2DF6" w:rsidRPr="00A37416">
              <w:br/>
              <w:t>45B</w:t>
            </w:r>
            <w:r w:rsidR="00DA2DF6" w:rsidRPr="00A37416">
              <w:br/>
              <w:t xml:space="preserve">24C </w:t>
            </w:r>
          </w:p>
        </w:tc>
        <w:tc>
          <w:tcPr>
            <w:tcW w:w="2156" w:type="dxa"/>
            <w:shd w:val="clear" w:color="auto" w:fill="F2F2F2" w:themeFill="background1" w:themeFillShade="F2"/>
          </w:tcPr>
          <w:p w14:paraId="7306B907" w14:textId="77777777" w:rsidR="00DA2DF6" w:rsidRPr="00A37416" w:rsidRDefault="00DA2DF6" w:rsidP="00B64BFA">
            <w:pPr>
              <w:pStyle w:val="TableTextRight"/>
            </w:pPr>
            <w:r>
              <w:t>0</w:t>
            </w:r>
          </w:p>
        </w:tc>
      </w:tr>
      <w:tr w:rsidR="00DA2DF6" w:rsidRPr="00A37416" w14:paraId="62BE11D9" w14:textId="77777777" w:rsidTr="00D6307B">
        <w:trPr>
          <w:trHeight w:val="599"/>
        </w:trPr>
        <w:tc>
          <w:tcPr>
            <w:tcW w:w="1512" w:type="dxa"/>
            <w:noWrap/>
            <w:hideMark/>
          </w:tcPr>
          <w:p w14:paraId="4F9DD41A" w14:textId="77777777" w:rsidR="00DA2DF6" w:rsidRPr="00B64BFA" w:rsidRDefault="00DA2DF6" w:rsidP="00B64BFA">
            <w:pPr>
              <w:pStyle w:val="TableTextLeft"/>
            </w:pPr>
            <w:r w:rsidRPr="00B64BFA">
              <w:t>P-FS70A</w:t>
            </w:r>
          </w:p>
        </w:tc>
        <w:tc>
          <w:tcPr>
            <w:tcW w:w="3734" w:type="dxa"/>
            <w:hideMark/>
          </w:tcPr>
          <w:p w14:paraId="74DEBC9D" w14:textId="759AF45A" w:rsidR="00DA2DF6" w:rsidRPr="00B64BFA" w:rsidRDefault="00DA2DF6" w:rsidP="00B64BFA">
            <w:pPr>
              <w:pStyle w:val="TableTextLeft"/>
            </w:pPr>
            <w:r w:rsidRPr="00B64BFA">
              <w:t xml:space="preserve">Australian financial services </w:t>
            </w:r>
            <w:proofErr w:type="spellStart"/>
            <w:r w:rsidRPr="00B64BFA">
              <w:t>licencee</w:t>
            </w:r>
            <w:proofErr w:type="spellEnd"/>
            <w:r w:rsidRPr="00B64BFA">
              <w:t xml:space="preserve"> profit and loss statement and balance sheet </w:t>
            </w:r>
            <w:r w:rsidR="00983BAF" w:rsidRPr="00983BAF">
              <w:t>–</w:t>
            </w:r>
            <w:r w:rsidRPr="00B64BFA">
              <w:t xml:space="preserve"> Body corporate</w:t>
            </w:r>
          </w:p>
        </w:tc>
        <w:tc>
          <w:tcPr>
            <w:tcW w:w="1875" w:type="dxa"/>
            <w:hideMark/>
          </w:tcPr>
          <w:p w14:paraId="1FF6C4B4" w14:textId="3D13B604" w:rsidR="00DA2DF6" w:rsidRPr="00A37416" w:rsidRDefault="00DA2DF6" w:rsidP="00B64BFA">
            <w:pPr>
              <w:pStyle w:val="TableTextRight"/>
            </w:pPr>
            <w:r>
              <w:t>608</w:t>
            </w:r>
          </w:p>
        </w:tc>
        <w:tc>
          <w:tcPr>
            <w:tcW w:w="2156" w:type="dxa"/>
          </w:tcPr>
          <w:p w14:paraId="58E4F5FF" w14:textId="77777777" w:rsidR="00DA2DF6" w:rsidRPr="00A37416" w:rsidRDefault="00DA2DF6" w:rsidP="00B64BFA">
            <w:pPr>
              <w:pStyle w:val="TableTextRight"/>
            </w:pPr>
            <w:r>
              <w:t>0</w:t>
            </w:r>
          </w:p>
        </w:tc>
      </w:tr>
      <w:tr w:rsidR="00DA2DF6" w:rsidRPr="00A37416" w14:paraId="2113097C" w14:textId="77777777" w:rsidTr="00D6307B">
        <w:trPr>
          <w:trHeight w:val="538"/>
        </w:trPr>
        <w:tc>
          <w:tcPr>
            <w:tcW w:w="1512" w:type="dxa"/>
            <w:shd w:val="clear" w:color="auto" w:fill="F2F2F2" w:themeFill="background1" w:themeFillShade="F2"/>
            <w:noWrap/>
            <w:hideMark/>
          </w:tcPr>
          <w:p w14:paraId="30BFA659" w14:textId="77777777" w:rsidR="00DA2DF6" w:rsidRPr="00B64BFA" w:rsidRDefault="00DA2DF6" w:rsidP="00B64BFA">
            <w:pPr>
              <w:pStyle w:val="TableTextLeft"/>
            </w:pPr>
            <w:r w:rsidRPr="00B64BFA">
              <w:t>P-FS70B</w:t>
            </w:r>
          </w:p>
        </w:tc>
        <w:tc>
          <w:tcPr>
            <w:tcW w:w="3734" w:type="dxa"/>
            <w:shd w:val="clear" w:color="auto" w:fill="F2F2F2" w:themeFill="background1" w:themeFillShade="F2"/>
            <w:hideMark/>
          </w:tcPr>
          <w:p w14:paraId="435D691E" w14:textId="4A450963" w:rsidR="00DA2DF6" w:rsidRPr="00B64BFA" w:rsidRDefault="00DA2DF6" w:rsidP="00B64BFA">
            <w:pPr>
              <w:pStyle w:val="TableTextLeft"/>
            </w:pPr>
            <w:r w:rsidRPr="00B64BFA">
              <w:t xml:space="preserve">Australian financial services </w:t>
            </w:r>
            <w:proofErr w:type="spellStart"/>
            <w:r w:rsidRPr="00B64BFA">
              <w:t>licencee</w:t>
            </w:r>
            <w:proofErr w:type="spellEnd"/>
            <w:r w:rsidRPr="00B64BFA">
              <w:t xml:space="preserve"> profit and loss statement and balance sheet </w:t>
            </w:r>
            <w:r w:rsidR="00983BAF" w:rsidRPr="00983BAF">
              <w:t>–</w:t>
            </w:r>
            <w:r w:rsidRPr="00B64BFA">
              <w:t xml:space="preserve"> Natural person</w:t>
            </w:r>
          </w:p>
        </w:tc>
        <w:tc>
          <w:tcPr>
            <w:tcW w:w="1875" w:type="dxa"/>
            <w:shd w:val="clear" w:color="auto" w:fill="F2F2F2" w:themeFill="background1" w:themeFillShade="F2"/>
            <w:hideMark/>
          </w:tcPr>
          <w:p w14:paraId="719673FE" w14:textId="383A944A" w:rsidR="00DA2DF6" w:rsidRPr="00A37416" w:rsidRDefault="00DA2DF6" w:rsidP="00B64BFA">
            <w:pPr>
              <w:pStyle w:val="TableTextRight"/>
            </w:pPr>
            <w:r>
              <w:t>249</w:t>
            </w:r>
            <w:r w:rsidRPr="00A37416">
              <w:t xml:space="preserve"> </w:t>
            </w:r>
          </w:p>
        </w:tc>
        <w:tc>
          <w:tcPr>
            <w:tcW w:w="2156" w:type="dxa"/>
            <w:shd w:val="clear" w:color="auto" w:fill="F2F2F2" w:themeFill="background1" w:themeFillShade="F2"/>
          </w:tcPr>
          <w:p w14:paraId="33ECDE25" w14:textId="77777777" w:rsidR="00DA2DF6" w:rsidRPr="00A37416" w:rsidRDefault="00DA2DF6" w:rsidP="00B64BFA">
            <w:pPr>
              <w:pStyle w:val="TableTextRight"/>
            </w:pPr>
            <w:r>
              <w:t>0</w:t>
            </w:r>
          </w:p>
        </w:tc>
      </w:tr>
      <w:tr w:rsidR="00DA2DF6" w:rsidRPr="00A37416" w14:paraId="0FE66ACD" w14:textId="77777777" w:rsidTr="00D6307B">
        <w:trPr>
          <w:trHeight w:val="173"/>
        </w:trPr>
        <w:tc>
          <w:tcPr>
            <w:tcW w:w="1512" w:type="dxa"/>
            <w:noWrap/>
            <w:hideMark/>
          </w:tcPr>
          <w:p w14:paraId="725F9DEE" w14:textId="77777777" w:rsidR="00DA2DF6" w:rsidRPr="00B64BFA" w:rsidRDefault="00DA2DF6" w:rsidP="00B64BFA">
            <w:pPr>
              <w:pStyle w:val="TableTextLeft"/>
            </w:pPr>
            <w:r w:rsidRPr="00B64BFA">
              <w:t>P-FS70C</w:t>
            </w:r>
          </w:p>
        </w:tc>
        <w:tc>
          <w:tcPr>
            <w:tcW w:w="3734" w:type="dxa"/>
            <w:hideMark/>
          </w:tcPr>
          <w:p w14:paraId="593AA307" w14:textId="5FAB36C1" w:rsidR="00DA2DF6" w:rsidRPr="00B64BFA" w:rsidRDefault="00DA2DF6" w:rsidP="00B64BFA">
            <w:pPr>
              <w:pStyle w:val="TableTextLeft"/>
            </w:pPr>
            <w:r w:rsidRPr="00B64BFA">
              <w:t xml:space="preserve">Australian financial services </w:t>
            </w:r>
            <w:proofErr w:type="spellStart"/>
            <w:r w:rsidRPr="00B64BFA">
              <w:t>licencee</w:t>
            </w:r>
            <w:proofErr w:type="spellEnd"/>
            <w:r w:rsidRPr="00B64BFA">
              <w:t xml:space="preserve"> profit and loss statement and balance sheet </w:t>
            </w:r>
            <w:r w:rsidR="00983BAF" w:rsidRPr="00983BAF">
              <w:t>–</w:t>
            </w:r>
            <w:r w:rsidRPr="00B64BFA">
              <w:t xml:space="preserve"> Superfund trustee / Partnership</w:t>
            </w:r>
          </w:p>
        </w:tc>
        <w:tc>
          <w:tcPr>
            <w:tcW w:w="1875" w:type="dxa"/>
            <w:hideMark/>
          </w:tcPr>
          <w:p w14:paraId="398D2F37" w14:textId="3A57B6BF" w:rsidR="00DA2DF6" w:rsidRPr="00A37416" w:rsidRDefault="00DA2DF6" w:rsidP="00B64BFA">
            <w:pPr>
              <w:pStyle w:val="TableTextRight"/>
            </w:pPr>
            <w:r>
              <w:t>608</w:t>
            </w:r>
            <w:r w:rsidRPr="00A37416">
              <w:t xml:space="preserve"> </w:t>
            </w:r>
          </w:p>
        </w:tc>
        <w:tc>
          <w:tcPr>
            <w:tcW w:w="2156" w:type="dxa"/>
          </w:tcPr>
          <w:p w14:paraId="78592B7E" w14:textId="77777777" w:rsidR="00DA2DF6" w:rsidRPr="00A37416" w:rsidRDefault="00DA2DF6" w:rsidP="00B64BFA">
            <w:pPr>
              <w:pStyle w:val="TableTextRight"/>
            </w:pPr>
            <w:r>
              <w:t>0</w:t>
            </w:r>
          </w:p>
        </w:tc>
      </w:tr>
      <w:tr w:rsidR="00DA2DF6" w:rsidRPr="00A37416" w14:paraId="50C86F83" w14:textId="77777777" w:rsidTr="00D6307B">
        <w:trPr>
          <w:trHeight w:val="256"/>
        </w:trPr>
        <w:tc>
          <w:tcPr>
            <w:tcW w:w="1512" w:type="dxa"/>
            <w:shd w:val="clear" w:color="auto" w:fill="F2F2F2" w:themeFill="background1" w:themeFillShade="F2"/>
            <w:noWrap/>
            <w:hideMark/>
          </w:tcPr>
          <w:p w14:paraId="159BEEDA" w14:textId="77777777" w:rsidR="00DA2DF6" w:rsidRPr="00B64BFA" w:rsidRDefault="00DA2DF6" w:rsidP="00B64BFA">
            <w:pPr>
              <w:pStyle w:val="TableTextLeft"/>
            </w:pPr>
            <w:r w:rsidRPr="00B64BFA">
              <w:t>P-FS70D</w:t>
            </w:r>
          </w:p>
        </w:tc>
        <w:tc>
          <w:tcPr>
            <w:tcW w:w="3734" w:type="dxa"/>
            <w:shd w:val="clear" w:color="auto" w:fill="F2F2F2" w:themeFill="background1" w:themeFillShade="F2"/>
            <w:hideMark/>
          </w:tcPr>
          <w:p w14:paraId="1A26D366" w14:textId="27957AF1" w:rsidR="00DA2DF6" w:rsidRPr="00B64BFA" w:rsidRDefault="00DA2DF6" w:rsidP="00B64BFA">
            <w:pPr>
              <w:pStyle w:val="TableTextLeft"/>
            </w:pPr>
            <w:r w:rsidRPr="00B64BFA">
              <w:t xml:space="preserve">Australian financial services </w:t>
            </w:r>
            <w:proofErr w:type="spellStart"/>
            <w:r w:rsidRPr="00B64BFA">
              <w:t>licencee</w:t>
            </w:r>
            <w:proofErr w:type="spellEnd"/>
            <w:r w:rsidRPr="00B64BFA">
              <w:t xml:space="preserve"> profit and loss statement and balance sheet </w:t>
            </w:r>
            <w:r w:rsidR="00983BAF" w:rsidRPr="00983BAF">
              <w:t>–</w:t>
            </w:r>
            <w:r w:rsidRPr="00B64BFA">
              <w:t xml:space="preserve"> Body corporate non-disclosing entity</w:t>
            </w:r>
          </w:p>
        </w:tc>
        <w:tc>
          <w:tcPr>
            <w:tcW w:w="1875" w:type="dxa"/>
            <w:shd w:val="clear" w:color="auto" w:fill="F2F2F2" w:themeFill="background1" w:themeFillShade="F2"/>
            <w:hideMark/>
          </w:tcPr>
          <w:p w14:paraId="5E88BE5A" w14:textId="520A8B63" w:rsidR="00DA2DF6" w:rsidRPr="00A37416" w:rsidRDefault="00DA2DF6" w:rsidP="00B64BFA">
            <w:pPr>
              <w:pStyle w:val="TableTextRight"/>
            </w:pPr>
            <w:r>
              <w:t>608</w:t>
            </w:r>
            <w:r w:rsidRPr="00A37416">
              <w:t xml:space="preserve"> </w:t>
            </w:r>
          </w:p>
        </w:tc>
        <w:tc>
          <w:tcPr>
            <w:tcW w:w="2156" w:type="dxa"/>
            <w:shd w:val="clear" w:color="auto" w:fill="F2F2F2" w:themeFill="background1" w:themeFillShade="F2"/>
          </w:tcPr>
          <w:p w14:paraId="3EFB7BC8" w14:textId="77777777" w:rsidR="00DA2DF6" w:rsidRPr="00A37416" w:rsidRDefault="00DA2DF6" w:rsidP="00B64BFA">
            <w:pPr>
              <w:pStyle w:val="TableTextRight"/>
            </w:pPr>
            <w:r>
              <w:t>0</w:t>
            </w:r>
          </w:p>
        </w:tc>
      </w:tr>
      <w:tr w:rsidR="00DA2DF6" w:rsidRPr="00A37416" w14:paraId="49886D89" w14:textId="77777777" w:rsidTr="00D6307B">
        <w:trPr>
          <w:trHeight w:val="323"/>
        </w:trPr>
        <w:tc>
          <w:tcPr>
            <w:tcW w:w="1512" w:type="dxa"/>
            <w:noWrap/>
            <w:hideMark/>
          </w:tcPr>
          <w:p w14:paraId="346AD5D9" w14:textId="77777777" w:rsidR="00DA2DF6" w:rsidRPr="00B64BFA" w:rsidRDefault="00DA2DF6" w:rsidP="00B64BFA">
            <w:pPr>
              <w:pStyle w:val="TableTextLeft"/>
            </w:pPr>
            <w:r w:rsidRPr="00B64BFA">
              <w:t>P-FS72</w:t>
            </w:r>
          </w:p>
        </w:tc>
        <w:tc>
          <w:tcPr>
            <w:tcW w:w="3734" w:type="dxa"/>
            <w:hideMark/>
          </w:tcPr>
          <w:p w14:paraId="019AB6D5" w14:textId="77777777" w:rsidR="00DA2DF6" w:rsidRPr="00B64BFA" w:rsidRDefault="00DA2DF6" w:rsidP="00B64BFA">
            <w:pPr>
              <w:pStyle w:val="TableTextLeft"/>
            </w:pPr>
            <w:r w:rsidRPr="00B64BFA">
              <w:t>Application for extension of time to lodge annual accounts</w:t>
            </w:r>
          </w:p>
        </w:tc>
        <w:tc>
          <w:tcPr>
            <w:tcW w:w="1875" w:type="dxa"/>
            <w:hideMark/>
          </w:tcPr>
          <w:p w14:paraId="2764CA6B" w14:textId="7992322C" w:rsidR="00DA2DF6" w:rsidRPr="000A4E3B" w:rsidRDefault="00DA2DF6" w:rsidP="00B64BFA">
            <w:pPr>
              <w:pStyle w:val="TableTextRight"/>
            </w:pPr>
            <w:r w:rsidRPr="000A4E3B">
              <w:t xml:space="preserve">39 </w:t>
            </w:r>
          </w:p>
        </w:tc>
        <w:tc>
          <w:tcPr>
            <w:tcW w:w="2156" w:type="dxa"/>
          </w:tcPr>
          <w:p w14:paraId="60B637D2" w14:textId="77777777" w:rsidR="00DA2DF6" w:rsidRPr="00A37416" w:rsidRDefault="00DA2DF6" w:rsidP="00B64BFA">
            <w:pPr>
              <w:pStyle w:val="TableTextRight"/>
            </w:pPr>
            <w:r>
              <w:t>0</w:t>
            </w:r>
          </w:p>
        </w:tc>
      </w:tr>
      <w:tr w:rsidR="00DA2DF6" w:rsidRPr="00A37416" w14:paraId="241135FC" w14:textId="77777777" w:rsidTr="00D6307B">
        <w:trPr>
          <w:trHeight w:val="459"/>
        </w:trPr>
        <w:tc>
          <w:tcPr>
            <w:tcW w:w="1512" w:type="dxa"/>
            <w:shd w:val="clear" w:color="auto" w:fill="F2F2F2" w:themeFill="background1" w:themeFillShade="F2"/>
            <w:noWrap/>
            <w:hideMark/>
          </w:tcPr>
          <w:p w14:paraId="11DEF4B1" w14:textId="77777777" w:rsidR="00DA2DF6" w:rsidRPr="00B64BFA" w:rsidRDefault="00DA2DF6" w:rsidP="00B64BFA">
            <w:pPr>
              <w:pStyle w:val="TableTextLeft"/>
            </w:pPr>
            <w:r w:rsidRPr="00B64BFA">
              <w:t>P-FS88 A-C</w:t>
            </w:r>
          </w:p>
        </w:tc>
        <w:tc>
          <w:tcPr>
            <w:tcW w:w="3734" w:type="dxa"/>
            <w:shd w:val="clear" w:color="auto" w:fill="F2F2F2" w:themeFill="background1" w:themeFillShade="F2"/>
            <w:hideMark/>
          </w:tcPr>
          <w:p w14:paraId="315DEE90" w14:textId="77777777" w:rsidR="00DA2DF6" w:rsidRPr="00B64BFA" w:rsidRDefault="00DA2DF6" w:rsidP="00B64BFA">
            <w:pPr>
              <w:pStyle w:val="TableTextLeft"/>
            </w:pPr>
            <w:r w:rsidRPr="00B64BFA">
              <w:t>Product Disclosure Statements in-use notice</w:t>
            </w:r>
          </w:p>
        </w:tc>
        <w:tc>
          <w:tcPr>
            <w:tcW w:w="1875" w:type="dxa"/>
            <w:shd w:val="clear" w:color="auto" w:fill="F2F2F2" w:themeFill="background1" w:themeFillShade="F2"/>
            <w:hideMark/>
          </w:tcPr>
          <w:p w14:paraId="7B95CFFE" w14:textId="77777777" w:rsidR="00DA2DF6" w:rsidRPr="000A4E3B" w:rsidRDefault="00DA2DF6" w:rsidP="00B64BFA">
            <w:pPr>
              <w:pStyle w:val="TableTextRight"/>
            </w:pPr>
            <w:r w:rsidRPr="000A4E3B">
              <w:t xml:space="preserve"> 39 A-C </w:t>
            </w:r>
          </w:p>
        </w:tc>
        <w:tc>
          <w:tcPr>
            <w:tcW w:w="2156" w:type="dxa"/>
            <w:shd w:val="clear" w:color="auto" w:fill="F2F2F2" w:themeFill="background1" w:themeFillShade="F2"/>
          </w:tcPr>
          <w:p w14:paraId="3D5940A1" w14:textId="77777777" w:rsidR="00DA2DF6" w:rsidRPr="00A37416" w:rsidRDefault="00DA2DF6" w:rsidP="00B64BFA">
            <w:pPr>
              <w:pStyle w:val="TableTextRight"/>
            </w:pPr>
            <w:r>
              <w:t>0</w:t>
            </w:r>
          </w:p>
        </w:tc>
      </w:tr>
      <w:tr w:rsidR="00DA2DF6" w:rsidRPr="00A37416" w14:paraId="7A117C32" w14:textId="77777777" w:rsidTr="00D6307B">
        <w:trPr>
          <w:trHeight w:val="311"/>
        </w:trPr>
        <w:tc>
          <w:tcPr>
            <w:tcW w:w="1512" w:type="dxa"/>
            <w:noWrap/>
            <w:hideMark/>
          </w:tcPr>
          <w:p w14:paraId="4350C1B0" w14:textId="77777777" w:rsidR="00DA2DF6" w:rsidRPr="00B64BFA" w:rsidRDefault="00DA2DF6" w:rsidP="00B64BFA">
            <w:pPr>
              <w:pStyle w:val="TableTextLeft"/>
            </w:pPr>
            <w:r w:rsidRPr="00B64BFA">
              <w:t>P-FT10</w:t>
            </w:r>
          </w:p>
        </w:tc>
        <w:tc>
          <w:tcPr>
            <w:tcW w:w="3734" w:type="dxa"/>
            <w:hideMark/>
          </w:tcPr>
          <w:p w14:paraId="0C235F2C" w14:textId="77777777" w:rsidR="00DA2DF6" w:rsidRPr="00B64BFA" w:rsidRDefault="00DA2DF6" w:rsidP="00B64BFA">
            <w:pPr>
              <w:pStyle w:val="TableTextLeft"/>
            </w:pPr>
            <w:r w:rsidRPr="00B64BFA">
              <w:t>Application for extension of time to provide copy of register of members</w:t>
            </w:r>
          </w:p>
        </w:tc>
        <w:tc>
          <w:tcPr>
            <w:tcW w:w="1875" w:type="dxa"/>
            <w:hideMark/>
          </w:tcPr>
          <w:p w14:paraId="4406D37B" w14:textId="789BC0AF" w:rsidR="00DA2DF6" w:rsidRPr="000A4E3B" w:rsidRDefault="00DA2DF6" w:rsidP="00B64BFA">
            <w:pPr>
              <w:pStyle w:val="TableTextRight"/>
            </w:pPr>
            <w:r w:rsidRPr="000A4E3B">
              <w:t xml:space="preserve">39 </w:t>
            </w:r>
          </w:p>
        </w:tc>
        <w:tc>
          <w:tcPr>
            <w:tcW w:w="2156" w:type="dxa"/>
          </w:tcPr>
          <w:p w14:paraId="54EBEDE0" w14:textId="77777777" w:rsidR="00DA2DF6" w:rsidRPr="00A37416" w:rsidRDefault="00DA2DF6" w:rsidP="00B64BFA">
            <w:pPr>
              <w:pStyle w:val="TableTextRight"/>
            </w:pPr>
            <w:r>
              <w:t>0</w:t>
            </w:r>
          </w:p>
        </w:tc>
      </w:tr>
      <w:tr w:rsidR="00DA2DF6" w:rsidRPr="00A37416" w14:paraId="519C1923" w14:textId="77777777" w:rsidTr="00D6307B">
        <w:trPr>
          <w:trHeight w:val="300"/>
        </w:trPr>
        <w:tc>
          <w:tcPr>
            <w:tcW w:w="1512" w:type="dxa"/>
            <w:shd w:val="clear" w:color="auto" w:fill="F2F2F2" w:themeFill="background1" w:themeFillShade="F2"/>
            <w:noWrap/>
            <w:hideMark/>
          </w:tcPr>
          <w:p w14:paraId="0BD6717E" w14:textId="77777777" w:rsidR="00DA2DF6" w:rsidRPr="00B64BFA" w:rsidRDefault="00DA2DF6" w:rsidP="00B64BFA">
            <w:pPr>
              <w:pStyle w:val="TableTextLeft"/>
            </w:pPr>
            <w:r w:rsidRPr="00B64BFA">
              <w:t>P-M06</w:t>
            </w:r>
          </w:p>
        </w:tc>
        <w:tc>
          <w:tcPr>
            <w:tcW w:w="3734" w:type="dxa"/>
            <w:shd w:val="clear" w:color="auto" w:fill="F2F2F2" w:themeFill="background1" w:themeFillShade="F2"/>
            <w:hideMark/>
          </w:tcPr>
          <w:p w14:paraId="3CCCB4D5" w14:textId="77777777" w:rsidR="00DA2DF6" w:rsidRPr="00B64BFA" w:rsidRDefault="00DA2DF6" w:rsidP="00B64BFA">
            <w:pPr>
              <w:pStyle w:val="TableTextLeft"/>
            </w:pPr>
            <w:r w:rsidRPr="00B64BFA">
              <w:t>Report and financial statements under section 892H(6)</w:t>
            </w:r>
          </w:p>
        </w:tc>
        <w:tc>
          <w:tcPr>
            <w:tcW w:w="1875" w:type="dxa"/>
            <w:shd w:val="clear" w:color="auto" w:fill="F2F2F2" w:themeFill="background1" w:themeFillShade="F2"/>
            <w:hideMark/>
          </w:tcPr>
          <w:p w14:paraId="144222DA" w14:textId="0A3BFFC6" w:rsidR="00DA2DF6" w:rsidRPr="000A4E3B" w:rsidRDefault="00DA2DF6" w:rsidP="00B64BFA">
            <w:pPr>
              <w:pStyle w:val="TableTextRight"/>
            </w:pPr>
            <w:r w:rsidRPr="000A4E3B">
              <w:t xml:space="preserve">395 </w:t>
            </w:r>
          </w:p>
        </w:tc>
        <w:tc>
          <w:tcPr>
            <w:tcW w:w="2156" w:type="dxa"/>
            <w:shd w:val="clear" w:color="auto" w:fill="F2F2F2" w:themeFill="background1" w:themeFillShade="F2"/>
          </w:tcPr>
          <w:p w14:paraId="483FC602" w14:textId="77777777" w:rsidR="00DA2DF6" w:rsidRPr="00A37416" w:rsidRDefault="00DA2DF6" w:rsidP="00B64BFA">
            <w:pPr>
              <w:pStyle w:val="TableTextRight"/>
            </w:pPr>
            <w:r>
              <w:t>0</w:t>
            </w:r>
          </w:p>
        </w:tc>
      </w:tr>
      <w:tr w:rsidR="00DA2DF6" w:rsidRPr="00A37416" w14:paraId="726E4050" w14:textId="77777777" w:rsidTr="00D6307B">
        <w:trPr>
          <w:trHeight w:val="285"/>
        </w:trPr>
        <w:tc>
          <w:tcPr>
            <w:tcW w:w="1512" w:type="dxa"/>
            <w:noWrap/>
            <w:hideMark/>
          </w:tcPr>
          <w:p w14:paraId="6C7D2875" w14:textId="77777777" w:rsidR="00DA2DF6" w:rsidRPr="00B64BFA" w:rsidRDefault="00DA2DF6" w:rsidP="00B64BFA">
            <w:pPr>
              <w:pStyle w:val="TableTextLeft"/>
            </w:pPr>
            <w:r w:rsidRPr="00B64BFA">
              <w:t>P-M13</w:t>
            </w:r>
          </w:p>
        </w:tc>
        <w:tc>
          <w:tcPr>
            <w:tcW w:w="3734" w:type="dxa"/>
            <w:hideMark/>
          </w:tcPr>
          <w:p w14:paraId="1885FB0E" w14:textId="77777777" w:rsidR="00DA2DF6" w:rsidRPr="00B64BFA" w:rsidRDefault="00DA2DF6" w:rsidP="00B64BFA">
            <w:pPr>
              <w:pStyle w:val="TableTextLeft"/>
            </w:pPr>
            <w:r w:rsidRPr="00B64BFA">
              <w:t xml:space="preserve">Australian markets </w:t>
            </w:r>
            <w:proofErr w:type="spellStart"/>
            <w:r w:rsidRPr="00B64BFA">
              <w:t>licencee</w:t>
            </w:r>
            <w:proofErr w:type="spellEnd"/>
            <w:r w:rsidRPr="00B64BFA">
              <w:t xml:space="preserve"> annual report to ASIC under section 792F(1)</w:t>
            </w:r>
          </w:p>
        </w:tc>
        <w:tc>
          <w:tcPr>
            <w:tcW w:w="1875" w:type="dxa"/>
            <w:hideMark/>
          </w:tcPr>
          <w:p w14:paraId="66FD06F3" w14:textId="3FC4D049" w:rsidR="00DA2DF6" w:rsidRPr="000A4E3B" w:rsidRDefault="00DA2DF6" w:rsidP="00B64BFA">
            <w:pPr>
              <w:pStyle w:val="TableTextRight"/>
            </w:pPr>
            <w:r w:rsidRPr="000A4E3B">
              <w:t xml:space="preserve">395 </w:t>
            </w:r>
          </w:p>
        </w:tc>
        <w:tc>
          <w:tcPr>
            <w:tcW w:w="2156" w:type="dxa"/>
          </w:tcPr>
          <w:p w14:paraId="14008154" w14:textId="77777777" w:rsidR="00DA2DF6" w:rsidRPr="00A37416" w:rsidRDefault="00DA2DF6" w:rsidP="00B64BFA">
            <w:pPr>
              <w:pStyle w:val="TableTextRight"/>
            </w:pPr>
            <w:r>
              <w:t>0</w:t>
            </w:r>
          </w:p>
        </w:tc>
      </w:tr>
      <w:tr w:rsidR="00DA2DF6" w:rsidRPr="00A37416" w14:paraId="47A0EC88" w14:textId="77777777" w:rsidTr="00D6307B">
        <w:trPr>
          <w:trHeight w:val="600"/>
        </w:trPr>
        <w:tc>
          <w:tcPr>
            <w:tcW w:w="1512" w:type="dxa"/>
            <w:shd w:val="clear" w:color="auto" w:fill="F2F2F2" w:themeFill="background1" w:themeFillShade="F2"/>
            <w:noWrap/>
            <w:hideMark/>
          </w:tcPr>
          <w:p w14:paraId="0AA6443D" w14:textId="77777777" w:rsidR="00DA2DF6" w:rsidRPr="00B64BFA" w:rsidRDefault="00DA2DF6" w:rsidP="00B64BFA">
            <w:pPr>
              <w:pStyle w:val="TableTextLeft"/>
            </w:pPr>
            <w:r w:rsidRPr="00B64BFA">
              <w:t>P-M29</w:t>
            </w:r>
          </w:p>
        </w:tc>
        <w:tc>
          <w:tcPr>
            <w:tcW w:w="3734" w:type="dxa"/>
            <w:shd w:val="clear" w:color="auto" w:fill="F2F2F2" w:themeFill="background1" w:themeFillShade="F2"/>
            <w:hideMark/>
          </w:tcPr>
          <w:p w14:paraId="27947F59" w14:textId="77777777" w:rsidR="00DA2DF6" w:rsidRPr="00B64BFA" w:rsidRDefault="00DA2DF6" w:rsidP="00B64BFA">
            <w:pPr>
              <w:pStyle w:val="TableTextLeft"/>
            </w:pPr>
            <w:r w:rsidRPr="00B64BFA">
              <w:t xml:space="preserve">Australian clearing and settlements </w:t>
            </w:r>
            <w:proofErr w:type="spellStart"/>
            <w:r w:rsidRPr="00B64BFA">
              <w:t>licencee</w:t>
            </w:r>
            <w:proofErr w:type="spellEnd"/>
            <w:r w:rsidRPr="00B64BFA">
              <w:t xml:space="preserve"> annual report to ASIC under section 821E(1)</w:t>
            </w:r>
          </w:p>
        </w:tc>
        <w:tc>
          <w:tcPr>
            <w:tcW w:w="1875" w:type="dxa"/>
            <w:shd w:val="clear" w:color="auto" w:fill="F2F2F2" w:themeFill="background1" w:themeFillShade="F2"/>
            <w:hideMark/>
          </w:tcPr>
          <w:p w14:paraId="06E6531A" w14:textId="18CB067E" w:rsidR="00DA2DF6" w:rsidRPr="000A4E3B" w:rsidRDefault="00DA2DF6" w:rsidP="00B64BFA">
            <w:pPr>
              <w:pStyle w:val="TableTextRight"/>
            </w:pPr>
            <w:r w:rsidRPr="000A4E3B">
              <w:t xml:space="preserve">395 </w:t>
            </w:r>
          </w:p>
        </w:tc>
        <w:tc>
          <w:tcPr>
            <w:tcW w:w="2156" w:type="dxa"/>
            <w:shd w:val="clear" w:color="auto" w:fill="F2F2F2" w:themeFill="background1" w:themeFillShade="F2"/>
          </w:tcPr>
          <w:p w14:paraId="4D0EB0C9" w14:textId="77777777" w:rsidR="00DA2DF6" w:rsidRPr="00A37416" w:rsidRDefault="00DA2DF6" w:rsidP="00B64BFA">
            <w:pPr>
              <w:pStyle w:val="TableTextRight"/>
            </w:pPr>
            <w:r>
              <w:t>0</w:t>
            </w:r>
          </w:p>
        </w:tc>
      </w:tr>
      <w:tr w:rsidR="00DA2DF6" w:rsidRPr="00A37416" w14:paraId="556FFE18" w14:textId="77777777" w:rsidTr="00D6307B">
        <w:trPr>
          <w:trHeight w:val="375"/>
        </w:trPr>
        <w:tc>
          <w:tcPr>
            <w:tcW w:w="1512" w:type="dxa"/>
            <w:tcBorders>
              <w:bottom w:val="single" w:sz="4" w:space="0" w:color="004A7F"/>
            </w:tcBorders>
            <w:noWrap/>
            <w:hideMark/>
          </w:tcPr>
          <w:p w14:paraId="039EEB43" w14:textId="77777777" w:rsidR="00DA2DF6" w:rsidRPr="00B64BFA" w:rsidRDefault="00DA2DF6" w:rsidP="00B64BFA">
            <w:pPr>
              <w:pStyle w:val="TableTextLeft"/>
            </w:pPr>
            <w:r w:rsidRPr="00B64BFA">
              <w:t>P-SFANL</w:t>
            </w:r>
          </w:p>
        </w:tc>
        <w:tc>
          <w:tcPr>
            <w:tcW w:w="3734" w:type="dxa"/>
            <w:tcBorders>
              <w:bottom w:val="single" w:sz="4" w:space="0" w:color="004A7F"/>
            </w:tcBorders>
            <w:hideMark/>
          </w:tcPr>
          <w:p w14:paraId="02B41241" w14:textId="77777777" w:rsidR="00DA2DF6" w:rsidRPr="00B64BFA" w:rsidRDefault="00DA2DF6" w:rsidP="00B64BFA">
            <w:pPr>
              <w:pStyle w:val="TableTextLeft"/>
            </w:pPr>
            <w:r w:rsidRPr="00B64BFA">
              <w:t>Annual statement by a self-managed superannuation fund auditor</w:t>
            </w:r>
          </w:p>
        </w:tc>
        <w:tc>
          <w:tcPr>
            <w:tcW w:w="1875" w:type="dxa"/>
            <w:tcBorders>
              <w:bottom w:val="single" w:sz="4" w:space="0" w:color="004A7F"/>
            </w:tcBorders>
            <w:hideMark/>
          </w:tcPr>
          <w:p w14:paraId="512D01D5" w14:textId="72CF610C" w:rsidR="00DA2DF6" w:rsidRPr="003D7C99" w:rsidRDefault="00DA2DF6" w:rsidP="00B64BFA">
            <w:pPr>
              <w:pStyle w:val="TableTextRight"/>
              <w:rPr>
                <w:highlight w:val="green"/>
              </w:rPr>
            </w:pPr>
            <w:r w:rsidRPr="00B774D2">
              <w:t xml:space="preserve">54 </w:t>
            </w:r>
          </w:p>
        </w:tc>
        <w:tc>
          <w:tcPr>
            <w:tcW w:w="2156" w:type="dxa"/>
            <w:tcBorders>
              <w:bottom w:val="single" w:sz="4" w:space="0" w:color="004A7F"/>
            </w:tcBorders>
          </w:tcPr>
          <w:p w14:paraId="46AC2764" w14:textId="77777777" w:rsidR="00DA2DF6" w:rsidRPr="00A37416" w:rsidRDefault="00DA2DF6" w:rsidP="00B64BFA">
            <w:pPr>
              <w:pStyle w:val="TableTextRight"/>
            </w:pPr>
            <w:r>
              <w:t>0</w:t>
            </w:r>
          </w:p>
        </w:tc>
      </w:tr>
    </w:tbl>
    <w:p w14:paraId="4473C598" w14:textId="77777777" w:rsidR="00DA2DF6" w:rsidRPr="00A37416" w:rsidRDefault="00DA2DF6" w:rsidP="00DA2DF6">
      <w:pPr>
        <w:rPr>
          <w:rFonts w:ascii="Arial" w:hAnsi="Arial" w:cs="Arial"/>
          <w:sz w:val="20"/>
        </w:rPr>
      </w:pPr>
    </w:p>
    <w:sectPr w:rsidR="00DA2DF6" w:rsidRPr="00A37416" w:rsidSect="00A049DE">
      <w:footerReference w:type="default" r:id="rId39"/>
      <w:footerReference w:type="first" r:id="rId4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349F9" w14:textId="77777777" w:rsidR="005541E6" w:rsidRDefault="005541E6">
      <w:pPr>
        <w:spacing w:after="0"/>
      </w:pPr>
      <w:r>
        <w:separator/>
      </w:r>
    </w:p>
  </w:endnote>
  <w:endnote w:type="continuationSeparator" w:id="0">
    <w:p w14:paraId="4AAEF8EA" w14:textId="77777777" w:rsidR="005541E6" w:rsidRDefault="005541E6">
      <w:pPr>
        <w:spacing w:after="0"/>
      </w:pPr>
      <w:r>
        <w:continuationSeparator/>
      </w:r>
    </w:p>
  </w:endnote>
  <w:endnote w:type="continuationNotice" w:id="1">
    <w:p w14:paraId="6F7F7F60" w14:textId="77777777" w:rsidR="005541E6" w:rsidRDefault="005541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2F12E" w14:textId="58A0ED02" w:rsidR="005541E6" w:rsidRPr="00E1136B" w:rsidRDefault="005541E6" w:rsidP="00E1136B">
    <w:pPr>
      <w:pStyle w:val="Footer"/>
    </w:pPr>
    <w:r>
      <w:rPr>
        <w:noProof/>
      </w:rPr>
      <w:drawing>
        <wp:anchor distT="0" distB="0" distL="114300" distR="114300" simplePos="0" relativeHeight="251658241" behindDoc="1" locked="0" layoutInCell="1" allowOverlap="1" wp14:anchorId="1D8C7BBC" wp14:editId="317391D9">
          <wp:simplePos x="0" y="0"/>
          <wp:positionH relativeFrom="page">
            <wp:align>center</wp:align>
          </wp:positionH>
          <wp:positionV relativeFrom="page">
            <wp:posOffset>4860925</wp:posOffset>
          </wp:positionV>
          <wp:extent cx="7199640" cy="5675760"/>
          <wp:effectExtent l="0" t="0" r="127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Pr="00E1136B">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0429" w14:textId="77777777" w:rsidR="005541E6" w:rsidRDefault="005541E6" w:rsidP="005541E6">
    <w:pPr>
      <w:pStyle w:val="FooterOdd"/>
    </w:pPr>
    <w:r>
      <w:t xml:space="preserve">Page </w:t>
    </w:r>
    <w:r>
      <w:fldChar w:fldCharType="begin"/>
    </w:r>
    <w:r>
      <w:instrText xml:space="preserve"> PAGE  \* Arabic  \* MERGEFORMAT </w:instrText>
    </w:r>
    <w:r>
      <w:fldChar w:fldCharType="separate"/>
    </w:r>
    <w:r w:rsidR="00BE2B48">
      <w:rPr>
        <w:noProof/>
      </w:rPr>
      <w:t>17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311D" w14:textId="77777777" w:rsidR="005541E6" w:rsidRPr="00E1136B" w:rsidRDefault="005541E6" w:rsidP="00A049DE">
    <w:pPr>
      <w:pStyle w:val="FooterOdd"/>
    </w:pPr>
    <w:r>
      <w:t xml:space="preserve">Page </w:t>
    </w:r>
    <w:r>
      <w:fldChar w:fldCharType="begin"/>
    </w:r>
    <w:r>
      <w:instrText xml:space="preserve"> PAGE   \* MERGEFORMAT </w:instrText>
    </w:r>
    <w:r>
      <w:fldChar w:fldCharType="separate"/>
    </w:r>
    <w:r w:rsidR="00BE2B48">
      <w:rPr>
        <w:noProof/>
      </w:rPr>
      <w:t>31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58E86" w14:textId="77777777" w:rsidR="005541E6" w:rsidRDefault="005541E6" w:rsidP="00A049DE">
    <w:pPr>
      <w:pStyle w:val="FooterEven"/>
    </w:pPr>
    <w:r>
      <w:t xml:space="preserve">Page </w:t>
    </w:r>
    <w:r>
      <w:fldChar w:fldCharType="begin"/>
    </w:r>
    <w:r>
      <w:instrText xml:space="preserve"> PAGE  \* Arabic  \* MERGEFORMAT </w:instrText>
    </w:r>
    <w:r>
      <w:fldChar w:fldCharType="separate"/>
    </w:r>
    <w:r w:rsidR="00BE2B48">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F8525" w14:textId="77777777" w:rsidR="005541E6" w:rsidRPr="00E77C89" w:rsidRDefault="005541E6"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444E8" w14:textId="77777777" w:rsidR="005541E6" w:rsidRDefault="005541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FFFD" w14:textId="56D89D50" w:rsidR="005541E6" w:rsidRDefault="005541E6" w:rsidP="00D33904">
    <w:pPr>
      <w:pStyle w:val="FooterOdd"/>
    </w:pPr>
    <w:r>
      <w:t xml:space="preserve">Page </w:t>
    </w:r>
    <w:r>
      <w:fldChar w:fldCharType="begin"/>
    </w:r>
    <w:r>
      <w:instrText xml:space="preserve"> PAGE  \* roman  \* MERGEFORMAT </w:instrText>
    </w:r>
    <w:r>
      <w:fldChar w:fldCharType="separate"/>
    </w:r>
    <w:r w:rsidR="00BE2B48">
      <w:rPr>
        <w:noProof/>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6ACDE" w14:textId="1452B961" w:rsidR="005541E6" w:rsidRPr="00E77C89" w:rsidRDefault="005541E6" w:rsidP="00D33904">
    <w:pPr>
      <w:pStyle w:val="FooterEven"/>
    </w:pPr>
    <w:r>
      <w:t xml:space="preserve">Page </w:t>
    </w:r>
    <w:r>
      <w:fldChar w:fldCharType="begin"/>
    </w:r>
    <w:r>
      <w:instrText xml:space="preserve"> PAGE  \* Arabic  \* MERGEFORMAT </w:instrText>
    </w:r>
    <w:r>
      <w:fldChar w:fldCharType="separate"/>
    </w:r>
    <w:r w:rsidR="00BE2B48">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75DEB" w14:textId="44577DAF" w:rsidR="005541E6" w:rsidRPr="00E1136B" w:rsidRDefault="005541E6" w:rsidP="00A049DE">
    <w:pPr>
      <w:pStyle w:val="FooterOdd"/>
    </w:pPr>
    <w:r>
      <w:t xml:space="preserve">Page </w:t>
    </w:r>
    <w:r>
      <w:fldChar w:fldCharType="begin"/>
    </w:r>
    <w:r>
      <w:instrText xml:space="preserve"> PAGE   \* MERGEFORMAT </w:instrText>
    </w:r>
    <w:r>
      <w:fldChar w:fldCharType="separate"/>
    </w:r>
    <w:r w:rsidR="00BE2B48">
      <w:rPr>
        <w:noProof/>
      </w:rPr>
      <w:t>27</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00C2" w14:textId="06438B30" w:rsidR="005541E6" w:rsidRDefault="005541E6" w:rsidP="00D33904">
    <w:pPr>
      <w:pStyle w:val="FooterEven"/>
    </w:pPr>
    <w:r>
      <w:t xml:space="preserve">Page </w:t>
    </w:r>
    <w:r>
      <w:fldChar w:fldCharType="begin"/>
    </w:r>
    <w:r>
      <w:instrText xml:space="preserve"> PAGE  \* roman  \* MERGEFORMAT </w:instrText>
    </w:r>
    <w:r>
      <w:fldChar w:fldCharType="separate"/>
    </w:r>
    <w:r w:rsidR="00BE2B48">
      <w:t>iv</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E85ED" w14:textId="1E732191" w:rsidR="005541E6" w:rsidRDefault="005541E6" w:rsidP="00D33904">
    <w:pPr>
      <w:pStyle w:val="FooterOdd"/>
    </w:pPr>
    <w:r>
      <w:t xml:space="preserve">Page </w:t>
    </w:r>
    <w:r>
      <w:fldChar w:fldCharType="begin"/>
    </w:r>
    <w:r>
      <w:instrText xml:space="preserve"> PAGE  \* Arabic  \* MERGEFORMAT </w:instrText>
    </w:r>
    <w:r>
      <w:fldChar w:fldCharType="separate"/>
    </w:r>
    <w:r w:rsidR="00BE2B48">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3EC0F" w14:textId="77777777" w:rsidR="005541E6" w:rsidRDefault="005541E6" w:rsidP="005541E6">
    <w:pPr>
      <w:pStyle w:val="FooterEven"/>
    </w:pPr>
    <w:r>
      <w:t xml:space="preserve">Page </w:t>
    </w:r>
    <w:r>
      <w:fldChar w:fldCharType="begin"/>
    </w:r>
    <w:r>
      <w:instrText xml:space="preserve"> PAGE  \* Arabic  \* MERGEFORMAT </w:instrText>
    </w:r>
    <w:r>
      <w:fldChar w:fldCharType="separate"/>
    </w:r>
    <w:r w:rsidR="00BE2B48">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9C7F" w14:textId="77777777" w:rsidR="005541E6" w:rsidRDefault="005541E6">
      <w:pPr>
        <w:spacing w:after="0"/>
      </w:pPr>
      <w:r>
        <w:separator/>
      </w:r>
    </w:p>
  </w:footnote>
  <w:footnote w:type="continuationSeparator" w:id="0">
    <w:p w14:paraId="45AF52C4" w14:textId="77777777" w:rsidR="005541E6" w:rsidRDefault="005541E6">
      <w:pPr>
        <w:spacing w:after="0"/>
      </w:pPr>
      <w:r>
        <w:continuationSeparator/>
      </w:r>
    </w:p>
  </w:footnote>
  <w:footnote w:type="continuationNotice" w:id="1">
    <w:p w14:paraId="1190F43B" w14:textId="77777777" w:rsidR="005541E6" w:rsidRDefault="005541E6">
      <w:pPr>
        <w:spacing w:after="0"/>
      </w:pPr>
    </w:p>
  </w:footnote>
  <w:footnote w:id="2">
    <w:p w14:paraId="1DA707AE" w14:textId="77777777" w:rsidR="005541E6" w:rsidRPr="00AB714D" w:rsidRDefault="005541E6" w:rsidP="00AB714D">
      <w:pPr>
        <w:pStyle w:val="FootnoteText"/>
        <w:rPr>
          <w:highlight w:val="yellow"/>
        </w:rPr>
      </w:pPr>
      <w:r w:rsidRPr="00AB714D">
        <w:rPr>
          <w:rStyle w:val="FootnoteReference"/>
          <w:sz w:val="18"/>
          <w:vertAlign w:val="baseline"/>
        </w:rPr>
        <w:footnoteRef/>
      </w:r>
      <w:r w:rsidRPr="00AB714D">
        <w:t xml:space="preserve"> </w:t>
      </w:r>
      <w:r w:rsidRPr="00AB714D">
        <w:tab/>
        <w:t xml:space="preserve">The CRGs can be accessed via </w:t>
      </w:r>
      <w:hyperlink r:id="rId1" w:history="1">
        <w:r w:rsidRPr="00D33904">
          <w:rPr>
            <w:rStyle w:val="Hyperlink"/>
          </w:rPr>
          <w:t>http://www.finance.gov.au/sites/default/files/australian-government-cost-recovery-guidelines.pdf</w:t>
        </w:r>
      </w:hyperlink>
      <w:r w:rsidRPr="00AB714D">
        <w:rPr>
          <w:rStyle w:val="Hyperlink"/>
          <w:b w:val="0"/>
          <w:color w:val="auto"/>
        </w:rPr>
        <w:t>.</w:t>
      </w:r>
    </w:p>
  </w:footnote>
  <w:footnote w:id="3">
    <w:p w14:paraId="2BDE5476" w14:textId="7C7174D4" w:rsidR="005541E6" w:rsidRPr="00AB714D" w:rsidRDefault="005541E6" w:rsidP="00AB714D">
      <w:pPr>
        <w:pStyle w:val="FootnoteText"/>
      </w:pPr>
      <w:r w:rsidRPr="00AB714D">
        <w:rPr>
          <w:rStyle w:val="FootnoteReference"/>
          <w:sz w:val="18"/>
          <w:vertAlign w:val="baseline"/>
        </w:rPr>
        <w:footnoteRef/>
      </w:r>
      <w:r w:rsidRPr="00AB714D">
        <w:t xml:space="preserve"> </w:t>
      </w:r>
      <w:r w:rsidRPr="00AB714D">
        <w:tab/>
        <w:t>Australian Government Charging Framework, Resource Management Guide No. 302, July 2015. Page 8</w:t>
      </w:r>
      <w:r>
        <w:t>.</w:t>
      </w:r>
    </w:p>
  </w:footnote>
  <w:footnote w:id="4">
    <w:p w14:paraId="0B5AF9D4" w14:textId="77777777" w:rsidR="005541E6" w:rsidRPr="00AB714D" w:rsidRDefault="005541E6" w:rsidP="00AB714D">
      <w:pPr>
        <w:pStyle w:val="FootnoteText"/>
      </w:pPr>
      <w:r w:rsidRPr="00AB714D">
        <w:rPr>
          <w:rStyle w:val="FootnoteReference"/>
          <w:sz w:val="18"/>
          <w:vertAlign w:val="baseline"/>
        </w:rPr>
        <w:footnoteRef/>
      </w:r>
      <w:r w:rsidRPr="00AB714D">
        <w:t xml:space="preserve"> </w:t>
      </w:r>
      <w:r w:rsidRPr="00AB714D">
        <w:tab/>
        <w:t>Or at the level set by the Australian Government if partial cost recovery has been agreed.</w:t>
      </w:r>
    </w:p>
  </w:footnote>
  <w:footnote w:id="5">
    <w:p w14:paraId="6F6DEB8A" w14:textId="6F5EE758" w:rsidR="005541E6" w:rsidRDefault="005541E6" w:rsidP="00AB714D">
      <w:pPr>
        <w:pStyle w:val="FootnoteText"/>
      </w:pPr>
      <w:r w:rsidRPr="00AB714D">
        <w:rPr>
          <w:rStyle w:val="FootnoteReference"/>
          <w:sz w:val="18"/>
          <w:vertAlign w:val="baseline"/>
        </w:rPr>
        <w:footnoteRef/>
      </w:r>
      <w:r w:rsidRPr="00AB714D">
        <w:tab/>
        <w:t>OECD 2017 (</w:t>
      </w:r>
      <w:r w:rsidRPr="00AB714D">
        <w:rPr>
          <w:rStyle w:val="Hyperlink"/>
        </w:rPr>
        <w:t>http://www.oecd.org/daf/ca/Corporate-Governance-Factbook.pdf</w:t>
      </w:r>
      <w:r w:rsidRPr="00AB714D">
        <w:t>, page 34)</w:t>
      </w:r>
      <w:r>
        <w:t>.</w:t>
      </w:r>
    </w:p>
  </w:footnote>
  <w:footnote w:id="6">
    <w:p w14:paraId="66F1F009" w14:textId="7C9F5916" w:rsidR="005541E6" w:rsidRPr="00AB714D" w:rsidRDefault="005541E6" w:rsidP="00AB714D">
      <w:pPr>
        <w:pStyle w:val="FootnoteText"/>
      </w:pPr>
      <w:r w:rsidRPr="00AB714D">
        <w:rPr>
          <w:rStyle w:val="FootnoteReference"/>
          <w:sz w:val="18"/>
          <w:vertAlign w:val="baseline"/>
        </w:rPr>
        <w:footnoteRef/>
      </w:r>
      <w:r w:rsidRPr="00AB714D">
        <w:t xml:space="preserve"> </w:t>
      </w:r>
      <w:r w:rsidRPr="00AB714D">
        <w:tab/>
        <w:t xml:space="preserve">See ASIC, Report 466 </w:t>
      </w:r>
      <w:r w:rsidRPr="00AB714D">
        <w:rPr>
          <w:i/>
        </w:rPr>
        <w:t>ASIC’s work to reduce red tape</w:t>
      </w:r>
      <w:r w:rsidR="00B53A2D">
        <w:t xml:space="preserve"> (REP 466), January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C5A6" w14:textId="77777777" w:rsidR="005541E6" w:rsidRDefault="005541E6">
    <w:pPr>
      <w:pStyle w:val="Header"/>
    </w:pPr>
    <w:r>
      <w:rPr>
        <w:noProof/>
      </w:rPr>
      <w:drawing>
        <wp:anchor distT="0" distB="0" distL="114300" distR="114300" simplePos="0" relativeHeight="251658240" behindDoc="1" locked="0" layoutInCell="1" allowOverlap="1" wp14:anchorId="2198180A" wp14:editId="62DEEF3A">
          <wp:simplePos x="0" y="0"/>
          <wp:positionH relativeFrom="page">
            <wp:align>center</wp:align>
          </wp:positionH>
          <wp:positionV relativeFrom="page">
            <wp:posOffset>180340</wp:posOffset>
          </wp:positionV>
          <wp:extent cx="7199640" cy="107964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05FCC" w14:textId="77777777" w:rsidR="005541E6" w:rsidRPr="001F3912" w:rsidRDefault="005541E6"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3D214" w14:textId="77777777" w:rsidR="005541E6" w:rsidRPr="001F3912" w:rsidRDefault="005541E6"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ACCC" w14:textId="77777777" w:rsidR="005541E6" w:rsidRDefault="005541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4EDF" w14:textId="77777777" w:rsidR="005541E6" w:rsidRDefault="005541E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F0120" w14:textId="6EE505B9" w:rsidR="005541E6" w:rsidRPr="001F3912" w:rsidRDefault="002040FB" w:rsidP="00D33904">
    <w:pPr>
      <w:pStyle w:val="Header-Even"/>
    </w:pPr>
    <w:fldSimple w:instr=" TITLE  ">
      <w:r>
        <w:t>Introduction of ASIC’s Fees-for-Service under the Industry Funding Model</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E6CC" w14:textId="4E80D634" w:rsidR="005541E6" w:rsidRPr="001F3912" w:rsidRDefault="00BE2B48" w:rsidP="00D33904">
    <w:pPr>
      <w:pStyle w:val="Header-Odd"/>
    </w:pPr>
    <w:r>
      <w:fldChar w:fldCharType="begin"/>
    </w:r>
    <w:r>
      <w:instrText xml:space="preserve"> STYLEREF  "Heading 1"  \* MERGEFORMAT </w:instrText>
    </w:r>
    <w:r>
      <w:fldChar w:fldCharType="separate"/>
    </w:r>
    <w:r>
      <w:rPr>
        <w:noProof/>
      </w:rPr>
      <w:t>Schedule B: Forms that are proposed to have fees removed</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B9DE" w14:textId="77777777" w:rsidR="005541E6" w:rsidRDefault="00554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F8659A"/>
    <w:lvl w:ilvl="0">
      <w:start w:val="1"/>
      <w:numFmt w:val="decimal"/>
      <w:lvlText w:val="%1."/>
      <w:lvlJc w:val="left"/>
      <w:pPr>
        <w:tabs>
          <w:tab w:val="num" w:pos="1492"/>
        </w:tabs>
        <w:ind w:left="1492" w:hanging="360"/>
      </w:pPr>
    </w:lvl>
  </w:abstractNum>
  <w:abstractNum w:abstractNumId="1">
    <w:nsid w:val="FFFFFF7D"/>
    <w:multiLevelType w:val="singleLevel"/>
    <w:tmpl w:val="4CF60FAA"/>
    <w:lvl w:ilvl="0">
      <w:start w:val="1"/>
      <w:numFmt w:val="decimal"/>
      <w:lvlText w:val="%1."/>
      <w:lvlJc w:val="left"/>
      <w:pPr>
        <w:tabs>
          <w:tab w:val="num" w:pos="1209"/>
        </w:tabs>
        <w:ind w:left="1209" w:hanging="360"/>
      </w:pPr>
    </w:lvl>
  </w:abstractNum>
  <w:abstractNum w:abstractNumId="2">
    <w:nsid w:val="FFFFFF7E"/>
    <w:multiLevelType w:val="singleLevel"/>
    <w:tmpl w:val="F29008C2"/>
    <w:lvl w:ilvl="0">
      <w:start w:val="1"/>
      <w:numFmt w:val="decimal"/>
      <w:lvlText w:val="%1."/>
      <w:lvlJc w:val="left"/>
      <w:pPr>
        <w:tabs>
          <w:tab w:val="num" w:pos="926"/>
        </w:tabs>
        <w:ind w:left="926" w:hanging="360"/>
      </w:pPr>
    </w:lvl>
  </w:abstractNum>
  <w:abstractNum w:abstractNumId="3">
    <w:nsid w:val="FFFFFF7F"/>
    <w:multiLevelType w:val="singleLevel"/>
    <w:tmpl w:val="937ECD7E"/>
    <w:lvl w:ilvl="0">
      <w:start w:val="1"/>
      <w:numFmt w:val="decimal"/>
      <w:lvlText w:val="%1."/>
      <w:lvlJc w:val="left"/>
      <w:pPr>
        <w:tabs>
          <w:tab w:val="num" w:pos="643"/>
        </w:tabs>
        <w:ind w:left="643" w:hanging="360"/>
      </w:pPr>
    </w:lvl>
  </w:abstractNum>
  <w:abstractNum w:abstractNumId="4">
    <w:nsid w:val="FFFFFF80"/>
    <w:multiLevelType w:val="singleLevel"/>
    <w:tmpl w:val="F176FB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7A3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DAB6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30AB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B42598"/>
    <w:lvl w:ilvl="0">
      <w:start w:val="1"/>
      <w:numFmt w:val="decimal"/>
      <w:lvlText w:val="%1."/>
      <w:lvlJc w:val="left"/>
      <w:pPr>
        <w:tabs>
          <w:tab w:val="num" w:pos="360"/>
        </w:tabs>
        <w:ind w:left="360" w:hanging="360"/>
      </w:pPr>
    </w:lvl>
  </w:abstractNum>
  <w:abstractNum w:abstractNumId="9">
    <w:nsid w:val="FFFFFF89"/>
    <w:multiLevelType w:val="singleLevel"/>
    <w:tmpl w:val="48985652"/>
    <w:lvl w:ilvl="0">
      <w:start w:val="1"/>
      <w:numFmt w:val="bullet"/>
      <w:lvlText w:val=""/>
      <w:lvlJc w:val="left"/>
      <w:pPr>
        <w:tabs>
          <w:tab w:val="num" w:pos="360"/>
        </w:tabs>
        <w:ind w:left="360" w:hanging="360"/>
      </w:pPr>
      <w:rPr>
        <w:rFonts w:ascii="Symbol" w:hAnsi="Symbol" w:hint="default"/>
      </w:rPr>
    </w:lvl>
  </w:abstractNum>
  <w:abstractNum w:abstractNumId="10">
    <w:nsid w:val="045E27F3"/>
    <w:multiLevelType w:val="multilevel"/>
    <w:tmpl w:val="2B24926A"/>
    <w:lvl w:ilvl="0">
      <w:start w:val="1"/>
      <w:numFmt w:val="lowerLetter"/>
      <w:lvlText w:val="%1)"/>
      <w:lvlJc w:val="left"/>
      <w:pPr>
        <w:tabs>
          <w:tab w:val="num" w:pos="360"/>
        </w:tabs>
        <w:ind w:left="360" w:hanging="360"/>
      </w:pPr>
      <w:rPr>
        <w:rFonts w:hint="default"/>
        <w:sz w:val="22"/>
        <w:szCs w:val="22"/>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0ED41C52"/>
    <w:multiLevelType w:val="multilevel"/>
    <w:tmpl w:val="3550A408"/>
    <w:lvl w:ilvl="0">
      <w:start w:val="1"/>
      <w:numFmt w:val="decimal"/>
      <w:lvlText w:val="%1."/>
      <w:lvlJc w:val="left"/>
      <w:pPr>
        <w:tabs>
          <w:tab w:val="num" w:pos="2410"/>
        </w:tabs>
        <w:ind w:left="2410"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0F7C4CC3"/>
    <w:multiLevelType w:val="hybridMultilevel"/>
    <w:tmpl w:val="3E66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CC4E5D"/>
    <w:multiLevelType w:val="multilevel"/>
    <w:tmpl w:val="D10E9CF6"/>
    <w:numStyleLink w:val="OneLevelList"/>
  </w:abstractNum>
  <w:abstractNum w:abstractNumId="16">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C1E5E73"/>
    <w:multiLevelType w:val="multilevel"/>
    <w:tmpl w:val="2B24926A"/>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D9400E8"/>
    <w:multiLevelType w:val="hybridMultilevel"/>
    <w:tmpl w:val="EF787F6E"/>
    <w:lvl w:ilvl="0" w:tplc="18DC1BD8">
      <w:start w:val="1"/>
      <w:numFmt w:val="bullet"/>
      <w:pStyle w:val="Bullets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39A0525"/>
    <w:multiLevelType w:val="multilevel"/>
    <w:tmpl w:val="2B24926A"/>
    <w:lvl w:ilvl="0">
      <w:start w:val="1"/>
      <w:numFmt w:val="lowerLetter"/>
      <w:lvlText w:val="%1)"/>
      <w:lvlJc w:val="left"/>
      <w:pPr>
        <w:tabs>
          <w:tab w:val="num" w:pos="-1065"/>
        </w:tabs>
        <w:ind w:left="-1065" w:hanging="360"/>
      </w:pPr>
      <w:rPr>
        <w:rFonts w:hint="default"/>
        <w:sz w:val="22"/>
        <w:szCs w:val="22"/>
      </w:rPr>
    </w:lvl>
    <w:lvl w:ilvl="1">
      <w:start w:val="1"/>
      <w:numFmt w:val="bullet"/>
      <w:lvlText w:val="o"/>
      <w:lvlJc w:val="left"/>
      <w:pPr>
        <w:tabs>
          <w:tab w:val="num" w:pos="-345"/>
        </w:tabs>
        <w:ind w:left="-345" w:hanging="360"/>
      </w:pPr>
      <w:rPr>
        <w:rFonts w:ascii="Courier New" w:hAnsi="Courier New" w:cs="Times New Roman" w:hint="default"/>
        <w:sz w:val="20"/>
      </w:rPr>
    </w:lvl>
    <w:lvl w:ilvl="2">
      <w:start w:val="1"/>
      <w:numFmt w:val="bullet"/>
      <w:lvlText w:val=""/>
      <w:lvlJc w:val="left"/>
      <w:pPr>
        <w:tabs>
          <w:tab w:val="num" w:pos="375"/>
        </w:tabs>
        <w:ind w:left="375" w:hanging="360"/>
      </w:pPr>
      <w:rPr>
        <w:rFonts w:ascii="Wingdings" w:hAnsi="Wingdings" w:hint="default"/>
        <w:sz w:val="20"/>
      </w:rPr>
    </w:lvl>
    <w:lvl w:ilvl="3">
      <w:start w:val="1"/>
      <w:numFmt w:val="bullet"/>
      <w:lvlText w:val=""/>
      <w:lvlJc w:val="left"/>
      <w:pPr>
        <w:tabs>
          <w:tab w:val="num" w:pos="1095"/>
        </w:tabs>
        <w:ind w:left="1095" w:hanging="360"/>
      </w:pPr>
      <w:rPr>
        <w:rFonts w:ascii="Wingdings" w:hAnsi="Wingdings" w:hint="default"/>
        <w:sz w:val="20"/>
      </w:rPr>
    </w:lvl>
    <w:lvl w:ilvl="4">
      <w:start w:val="1"/>
      <w:numFmt w:val="bullet"/>
      <w:lvlText w:val=""/>
      <w:lvlJc w:val="left"/>
      <w:pPr>
        <w:tabs>
          <w:tab w:val="num" w:pos="1815"/>
        </w:tabs>
        <w:ind w:left="1815" w:hanging="360"/>
      </w:pPr>
      <w:rPr>
        <w:rFonts w:ascii="Wingdings" w:hAnsi="Wingdings" w:hint="default"/>
        <w:sz w:val="20"/>
      </w:rPr>
    </w:lvl>
    <w:lvl w:ilvl="5">
      <w:start w:val="1"/>
      <w:numFmt w:val="bullet"/>
      <w:lvlText w:val=""/>
      <w:lvlJc w:val="left"/>
      <w:pPr>
        <w:tabs>
          <w:tab w:val="num" w:pos="2535"/>
        </w:tabs>
        <w:ind w:left="2535" w:hanging="360"/>
      </w:pPr>
      <w:rPr>
        <w:rFonts w:ascii="Wingdings" w:hAnsi="Wingdings" w:hint="default"/>
        <w:sz w:val="20"/>
      </w:rPr>
    </w:lvl>
    <w:lvl w:ilvl="6">
      <w:start w:val="1"/>
      <w:numFmt w:val="bullet"/>
      <w:lvlText w:val=""/>
      <w:lvlJc w:val="left"/>
      <w:pPr>
        <w:tabs>
          <w:tab w:val="num" w:pos="3255"/>
        </w:tabs>
        <w:ind w:left="3255" w:hanging="360"/>
      </w:pPr>
      <w:rPr>
        <w:rFonts w:ascii="Wingdings" w:hAnsi="Wingdings" w:hint="default"/>
        <w:sz w:val="20"/>
      </w:rPr>
    </w:lvl>
    <w:lvl w:ilvl="7">
      <w:start w:val="1"/>
      <w:numFmt w:val="bullet"/>
      <w:lvlText w:val=""/>
      <w:lvlJc w:val="left"/>
      <w:pPr>
        <w:tabs>
          <w:tab w:val="num" w:pos="3975"/>
        </w:tabs>
        <w:ind w:left="3975" w:hanging="360"/>
      </w:pPr>
      <w:rPr>
        <w:rFonts w:ascii="Wingdings" w:hAnsi="Wingdings" w:hint="default"/>
        <w:sz w:val="20"/>
      </w:rPr>
    </w:lvl>
    <w:lvl w:ilvl="8">
      <w:start w:val="1"/>
      <w:numFmt w:val="bullet"/>
      <w:lvlText w:val=""/>
      <w:lvlJc w:val="left"/>
      <w:pPr>
        <w:tabs>
          <w:tab w:val="num" w:pos="4695"/>
        </w:tabs>
        <w:ind w:left="4695" w:hanging="360"/>
      </w:pPr>
      <w:rPr>
        <w:rFonts w:ascii="Wingdings" w:hAnsi="Wingdings" w:hint="default"/>
        <w:sz w:val="20"/>
      </w:rPr>
    </w:lvl>
  </w:abstractNum>
  <w:abstractNum w:abstractNumId="20">
    <w:nsid w:val="27440C8B"/>
    <w:multiLevelType w:val="multilevel"/>
    <w:tmpl w:val="945C219C"/>
    <w:lvl w:ilvl="0">
      <w:start w:val="1"/>
      <w:numFmt w:val="bullet"/>
      <w:lvlText w:val="•"/>
      <w:lvlJc w:val="left"/>
      <w:pPr>
        <w:tabs>
          <w:tab w:val="num" w:pos="2410"/>
        </w:tabs>
        <w:ind w:left="2410"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08C2710"/>
    <w:multiLevelType w:val="multilevel"/>
    <w:tmpl w:val="9BE2986C"/>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1DC4803"/>
    <w:multiLevelType w:val="hybridMultilevel"/>
    <w:tmpl w:val="DD8CD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87D31C8"/>
    <w:multiLevelType w:val="hybridMultilevel"/>
    <w:tmpl w:val="7FB26592"/>
    <w:lvl w:ilvl="0" w:tplc="06380890">
      <w:start w:val="1"/>
      <w:numFmt w:val="bullet"/>
      <w:pStyle w:val="Bullets1stindent"/>
      <w:lvlText w:val=""/>
      <w:lvlJc w:val="left"/>
      <w:pPr>
        <w:ind w:left="720" w:hanging="360"/>
      </w:pPr>
      <w:rPr>
        <w:rFonts w:ascii="Symbol" w:hAnsi="Symbol" w:hint="default"/>
      </w:rPr>
    </w:lvl>
    <w:lvl w:ilvl="1" w:tplc="0C090017"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7">
    <w:nsid w:val="48826920"/>
    <w:multiLevelType w:val="hybridMultilevel"/>
    <w:tmpl w:val="986CD4F6"/>
    <w:lvl w:ilvl="0" w:tplc="762AC0DA">
      <w:start w:val="1"/>
      <w:numFmt w:val="decimal"/>
      <w:pStyle w:val="Normalnumbered"/>
      <w:lvlText w:val="%1."/>
      <w:lvlJc w:val="left"/>
      <w:pPr>
        <w:ind w:left="6031" w:hanging="360"/>
      </w:pPr>
      <w:rPr>
        <w:strike w:val="0"/>
      </w:rPr>
    </w:lvl>
    <w:lvl w:ilvl="1" w:tplc="0C090001">
      <w:start w:val="1"/>
      <w:numFmt w:val="bullet"/>
      <w:lvlText w:val=""/>
      <w:lvlJc w:val="left"/>
      <w:pPr>
        <w:ind w:left="-54" w:hanging="360"/>
      </w:pPr>
      <w:rPr>
        <w:rFonts w:ascii="Symbol" w:hAnsi="Symbol" w:hint="default"/>
      </w:rPr>
    </w:lvl>
    <w:lvl w:ilvl="2" w:tplc="0C09001B">
      <w:start w:val="1"/>
      <w:numFmt w:val="lowerRoman"/>
      <w:lvlText w:val="%3."/>
      <w:lvlJc w:val="right"/>
      <w:pPr>
        <w:ind w:left="666" w:hanging="180"/>
      </w:pPr>
    </w:lvl>
    <w:lvl w:ilvl="3" w:tplc="0C09000F">
      <w:start w:val="1"/>
      <w:numFmt w:val="decimal"/>
      <w:lvlText w:val="%4."/>
      <w:lvlJc w:val="left"/>
      <w:pPr>
        <w:ind w:left="1386" w:hanging="360"/>
      </w:pPr>
    </w:lvl>
    <w:lvl w:ilvl="4" w:tplc="0C090019" w:tentative="1">
      <w:start w:val="1"/>
      <w:numFmt w:val="lowerLetter"/>
      <w:lvlText w:val="%5."/>
      <w:lvlJc w:val="left"/>
      <w:pPr>
        <w:ind w:left="2106" w:hanging="360"/>
      </w:pPr>
    </w:lvl>
    <w:lvl w:ilvl="5" w:tplc="0C09001B" w:tentative="1">
      <w:start w:val="1"/>
      <w:numFmt w:val="lowerRoman"/>
      <w:lvlText w:val="%6."/>
      <w:lvlJc w:val="right"/>
      <w:pPr>
        <w:ind w:left="2826" w:hanging="180"/>
      </w:pPr>
    </w:lvl>
    <w:lvl w:ilvl="6" w:tplc="0C09000F" w:tentative="1">
      <w:start w:val="1"/>
      <w:numFmt w:val="decimal"/>
      <w:lvlText w:val="%7."/>
      <w:lvlJc w:val="left"/>
      <w:pPr>
        <w:ind w:left="3546" w:hanging="360"/>
      </w:pPr>
    </w:lvl>
    <w:lvl w:ilvl="7" w:tplc="0C090019" w:tentative="1">
      <w:start w:val="1"/>
      <w:numFmt w:val="lowerLetter"/>
      <w:lvlText w:val="%8."/>
      <w:lvlJc w:val="left"/>
      <w:pPr>
        <w:ind w:left="4266" w:hanging="360"/>
      </w:pPr>
    </w:lvl>
    <w:lvl w:ilvl="8" w:tplc="0C09001B" w:tentative="1">
      <w:start w:val="1"/>
      <w:numFmt w:val="lowerRoman"/>
      <w:lvlText w:val="%9."/>
      <w:lvlJc w:val="right"/>
      <w:pPr>
        <w:ind w:left="4986" w:hanging="180"/>
      </w:pPr>
    </w:lvl>
  </w:abstractNum>
  <w:abstractNum w:abstractNumId="28">
    <w:nsid w:val="4CE4083F"/>
    <w:multiLevelType w:val="hybridMultilevel"/>
    <w:tmpl w:val="580C3B18"/>
    <w:lvl w:ilvl="0" w:tplc="667052F8">
      <w:start w:val="1"/>
      <w:numFmt w:val="bullet"/>
      <w:lvlText w:val=""/>
      <w:lvlJc w:val="left"/>
      <w:pPr>
        <w:ind w:left="720" w:hanging="360"/>
      </w:pPr>
      <w:rPr>
        <w:rFonts w:ascii="Symbol" w:hAnsi="Symbol" w:hint="default"/>
        <w:color w:val="5B9BD5" w:themeColor="accent1"/>
      </w:rPr>
    </w:lvl>
    <w:lvl w:ilvl="1" w:tplc="9104E5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pStyle w:val="Numberedpara3rdindent"/>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30">
    <w:nsid w:val="4F233AA8"/>
    <w:multiLevelType w:val="multilevel"/>
    <w:tmpl w:val="3142F7F6"/>
    <w:name w:val="StandardBulletedList"/>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08B3226"/>
    <w:multiLevelType w:val="multilevel"/>
    <w:tmpl w:val="2B24926A"/>
    <w:lvl w:ilvl="0">
      <w:start w:val="1"/>
      <w:numFmt w:val="lowerLetter"/>
      <w:lvlText w:val="%1)"/>
      <w:lvlJc w:val="left"/>
      <w:pPr>
        <w:tabs>
          <w:tab w:val="num" w:pos="360"/>
        </w:tabs>
        <w:ind w:left="360" w:hanging="360"/>
      </w:pPr>
      <w:rPr>
        <w:rFonts w:hint="default"/>
        <w:sz w:val="22"/>
        <w:szCs w:val="22"/>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nsid w:val="510D2021"/>
    <w:multiLevelType w:val="multilevel"/>
    <w:tmpl w:val="0054FCAE"/>
    <w:lvl w:ilvl="0">
      <w:start w:val="1"/>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CD8266D"/>
    <w:multiLevelType w:val="multilevel"/>
    <w:tmpl w:val="101C7490"/>
    <w:lvl w:ilvl="0">
      <w:start w:val="1"/>
      <w:numFmt w:val="decimal"/>
      <w:pStyle w:val="BoxQuestions"/>
      <w:lvlText w:val="%1."/>
      <w:lvlJc w:val="left"/>
      <w:pPr>
        <w:tabs>
          <w:tab w:val="num" w:pos="425"/>
        </w:tabs>
        <w:ind w:left="425" w:hanging="425"/>
      </w:pPr>
      <w:rPr>
        <w:rFonts w:hint="default"/>
        <w:b w:val="0"/>
        <w:color w:val="auto"/>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DEB4719"/>
    <w:multiLevelType w:val="multilevel"/>
    <w:tmpl w:val="B5505DD6"/>
    <w:lvl w:ilvl="0">
      <w:start w:val="1"/>
      <w:numFmt w:val="decimal"/>
      <w:pStyle w:val="ParaLevel1"/>
      <w:lvlText w:val="%1."/>
      <w:lvlJc w:val="left"/>
      <w:pPr>
        <w:ind w:left="360" w:hanging="360"/>
      </w:pPr>
    </w:lvl>
    <w:lvl w:ilvl="1">
      <w:start w:val="1"/>
      <w:numFmt w:val="decimal"/>
      <w:pStyle w:val="ParaLevel2"/>
      <w:lvlText w:val="%1.%2."/>
      <w:lvlJc w:val="left"/>
      <w:pPr>
        <w:ind w:left="792" w:hanging="432"/>
      </w:pPr>
    </w:lvl>
    <w:lvl w:ilvl="2">
      <w:start w:val="1"/>
      <w:numFmt w:val="decimal"/>
      <w:pStyle w:val="Para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5E05E7"/>
    <w:multiLevelType w:val="hybridMultilevel"/>
    <w:tmpl w:val="2528CA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1873FDC"/>
    <w:multiLevelType w:val="hybridMultilevel"/>
    <w:tmpl w:val="12C80A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716B6E64"/>
    <w:multiLevelType w:val="hybridMultilevel"/>
    <w:tmpl w:val="98128AD0"/>
    <w:lvl w:ilvl="0" w:tplc="CB3AE780">
      <w:start w:val="1"/>
      <w:numFmt w:val="lowerLetter"/>
      <w:pStyle w:val="BoxNumber-Alph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1"/>
  </w:num>
  <w:num w:numId="3">
    <w:abstractNumId w:val="24"/>
  </w:num>
  <w:num w:numId="4">
    <w:abstractNumId w:val="14"/>
  </w:num>
  <w:num w:numId="5">
    <w:abstractNumId w:val="15"/>
  </w:num>
  <w:num w:numId="6">
    <w:abstractNumId w:val="32"/>
  </w:num>
  <w:num w:numId="7">
    <w:abstractNumId w:val="2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6"/>
  </w:num>
  <w:num w:numId="9">
    <w:abstractNumId w:val="21"/>
  </w:num>
  <w:num w:numId="10">
    <w:abstractNumId w:val="23"/>
  </w:num>
  <w:num w:numId="1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12"/>
  </w:num>
  <w:num w:numId="15">
    <w:abstractNumId w:val="25"/>
  </w:num>
  <w:num w:numId="16">
    <w:abstractNumId w:val="34"/>
  </w:num>
  <w:num w:numId="17">
    <w:abstractNumId w:val="36"/>
  </w:num>
  <w:num w:numId="18">
    <w:abstractNumId w:val="19"/>
  </w:num>
  <w:num w:numId="19">
    <w:abstractNumId w:val="29"/>
  </w:num>
  <w:num w:numId="20">
    <w:abstractNumId w:val="26"/>
  </w:num>
  <w:num w:numId="21">
    <w:abstractNumId w:val="13"/>
  </w:num>
  <w:num w:numId="22">
    <w:abstractNumId w:val="18"/>
  </w:num>
  <w:num w:numId="23">
    <w:abstractNumId w:val="17"/>
  </w:num>
  <w:num w:numId="24">
    <w:abstractNumId w:val="31"/>
  </w:num>
  <w:num w:numId="25">
    <w:abstractNumId w:val="27"/>
  </w:num>
  <w:num w:numId="26">
    <w:abstractNumId w:val="28"/>
  </w:num>
  <w:num w:numId="27">
    <w:abstractNumId w:val="22"/>
  </w:num>
  <w:num w:numId="28">
    <w:abstractNumId w:val="27"/>
    <w:lvlOverride w:ilvl="0">
      <w:startOverride w:val="1"/>
    </w:lvlOverride>
  </w:num>
  <w:num w:numId="29">
    <w:abstractNumId w:val="1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7"/>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evenAndOddHeaders/>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3F"/>
    <w:rsid w:val="00011725"/>
    <w:rsid w:val="00012C62"/>
    <w:rsid w:val="00023053"/>
    <w:rsid w:val="0002544D"/>
    <w:rsid w:val="00027A25"/>
    <w:rsid w:val="00033C52"/>
    <w:rsid w:val="00034553"/>
    <w:rsid w:val="00041A8B"/>
    <w:rsid w:val="0004274D"/>
    <w:rsid w:val="00044C0A"/>
    <w:rsid w:val="00056880"/>
    <w:rsid w:val="00061D5C"/>
    <w:rsid w:val="00066E46"/>
    <w:rsid w:val="000675D1"/>
    <w:rsid w:val="0007102C"/>
    <w:rsid w:val="00073521"/>
    <w:rsid w:val="000756F8"/>
    <w:rsid w:val="000775DE"/>
    <w:rsid w:val="00081DD6"/>
    <w:rsid w:val="000858F2"/>
    <w:rsid w:val="00087FAF"/>
    <w:rsid w:val="00093573"/>
    <w:rsid w:val="00096010"/>
    <w:rsid w:val="000C5F40"/>
    <w:rsid w:val="000E0B74"/>
    <w:rsid w:val="000F0BF8"/>
    <w:rsid w:val="000F54D3"/>
    <w:rsid w:val="000F5BE0"/>
    <w:rsid w:val="000F7517"/>
    <w:rsid w:val="00104090"/>
    <w:rsid w:val="001047D6"/>
    <w:rsid w:val="0014091C"/>
    <w:rsid w:val="001420A9"/>
    <w:rsid w:val="0014381A"/>
    <w:rsid w:val="00144E7F"/>
    <w:rsid w:val="00151867"/>
    <w:rsid w:val="001563C5"/>
    <w:rsid w:val="001606CF"/>
    <w:rsid w:val="0016128D"/>
    <w:rsid w:val="0017089D"/>
    <w:rsid w:val="001719E5"/>
    <w:rsid w:val="00172580"/>
    <w:rsid w:val="00173C43"/>
    <w:rsid w:val="0019101A"/>
    <w:rsid w:val="001953B6"/>
    <w:rsid w:val="001C358D"/>
    <w:rsid w:val="001C63EC"/>
    <w:rsid w:val="001E6C76"/>
    <w:rsid w:val="0020311B"/>
    <w:rsid w:val="002040FB"/>
    <w:rsid w:val="00215208"/>
    <w:rsid w:val="0022190E"/>
    <w:rsid w:val="00222149"/>
    <w:rsid w:val="00224E71"/>
    <w:rsid w:val="00231049"/>
    <w:rsid w:val="002314D2"/>
    <w:rsid w:val="00236D5C"/>
    <w:rsid w:val="002372A6"/>
    <w:rsid w:val="00257AEE"/>
    <w:rsid w:val="00263A2A"/>
    <w:rsid w:val="00263B6C"/>
    <w:rsid w:val="00264F90"/>
    <w:rsid w:val="00265BB2"/>
    <w:rsid w:val="00265EDD"/>
    <w:rsid w:val="00273DB2"/>
    <w:rsid w:val="0027590B"/>
    <w:rsid w:val="00285969"/>
    <w:rsid w:val="002940EC"/>
    <w:rsid w:val="002A1A28"/>
    <w:rsid w:val="002B3829"/>
    <w:rsid w:val="002B5C39"/>
    <w:rsid w:val="002D488F"/>
    <w:rsid w:val="002F3272"/>
    <w:rsid w:val="002F617F"/>
    <w:rsid w:val="003122F4"/>
    <w:rsid w:val="00312730"/>
    <w:rsid w:val="003268D5"/>
    <w:rsid w:val="00335048"/>
    <w:rsid w:val="00344779"/>
    <w:rsid w:val="00351136"/>
    <w:rsid w:val="00354D27"/>
    <w:rsid w:val="0038206D"/>
    <w:rsid w:val="003839F0"/>
    <w:rsid w:val="003858A6"/>
    <w:rsid w:val="00386328"/>
    <w:rsid w:val="0039066C"/>
    <w:rsid w:val="00392DCC"/>
    <w:rsid w:val="00393D24"/>
    <w:rsid w:val="0039525B"/>
    <w:rsid w:val="003B4338"/>
    <w:rsid w:val="003B434A"/>
    <w:rsid w:val="003C062C"/>
    <w:rsid w:val="003C39B6"/>
    <w:rsid w:val="003C5827"/>
    <w:rsid w:val="003D0C72"/>
    <w:rsid w:val="003E394A"/>
    <w:rsid w:val="003E4D87"/>
    <w:rsid w:val="003F71F2"/>
    <w:rsid w:val="00402E38"/>
    <w:rsid w:val="00416762"/>
    <w:rsid w:val="0043300E"/>
    <w:rsid w:val="00434F21"/>
    <w:rsid w:val="00435F95"/>
    <w:rsid w:val="004401B9"/>
    <w:rsid w:val="00445265"/>
    <w:rsid w:val="004559CE"/>
    <w:rsid w:val="00461E2E"/>
    <w:rsid w:val="004658AA"/>
    <w:rsid w:val="00474DE0"/>
    <w:rsid w:val="00475B7B"/>
    <w:rsid w:val="00475F4D"/>
    <w:rsid w:val="004806CA"/>
    <w:rsid w:val="00482AD1"/>
    <w:rsid w:val="00483049"/>
    <w:rsid w:val="0049052B"/>
    <w:rsid w:val="00492FCB"/>
    <w:rsid w:val="004938D1"/>
    <w:rsid w:val="004951A8"/>
    <w:rsid w:val="00496654"/>
    <w:rsid w:val="004A3C6A"/>
    <w:rsid w:val="004B0D3F"/>
    <w:rsid w:val="004C158B"/>
    <w:rsid w:val="004F1164"/>
    <w:rsid w:val="004F468A"/>
    <w:rsid w:val="004F7DF5"/>
    <w:rsid w:val="005029C9"/>
    <w:rsid w:val="00511597"/>
    <w:rsid w:val="00516785"/>
    <w:rsid w:val="0052419D"/>
    <w:rsid w:val="005301F8"/>
    <w:rsid w:val="005312FC"/>
    <w:rsid w:val="00532DBA"/>
    <w:rsid w:val="00534219"/>
    <w:rsid w:val="0053603D"/>
    <w:rsid w:val="00547F12"/>
    <w:rsid w:val="005541E6"/>
    <w:rsid w:val="005559A8"/>
    <w:rsid w:val="00566A8C"/>
    <w:rsid w:val="005868DE"/>
    <w:rsid w:val="00590EF8"/>
    <w:rsid w:val="005B6360"/>
    <w:rsid w:val="005C2977"/>
    <w:rsid w:val="005E2AD5"/>
    <w:rsid w:val="005F7682"/>
    <w:rsid w:val="0060508B"/>
    <w:rsid w:val="0060595B"/>
    <w:rsid w:val="00605AFD"/>
    <w:rsid w:val="00607C7C"/>
    <w:rsid w:val="006102C2"/>
    <w:rsid w:val="006123D4"/>
    <w:rsid w:val="00614947"/>
    <w:rsid w:val="00621544"/>
    <w:rsid w:val="00637C14"/>
    <w:rsid w:val="006415FF"/>
    <w:rsid w:val="00656356"/>
    <w:rsid w:val="006575BD"/>
    <w:rsid w:val="00657E99"/>
    <w:rsid w:val="00660726"/>
    <w:rsid w:val="006747F1"/>
    <w:rsid w:val="006755BF"/>
    <w:rsid w:val="00686165"/>
    <w:rsid w:val="00691CB5"/>
    <w:rsid w:val="00695C40"/>
    <w:rsid w:val="006A6EE1"/>
    <w:rsid w:val="006B5E7C"/>
    <w:rsid w:val="006C645D"/>
    <w:rsid w:val="006D1810"/>
    <w:rsid w:val="006D27CF"/>
    <w:rsid w:val="006D42C7"/>
    <w:rsid w:val="006E3CC3"/>
    <w:rsid w:val="006F656C"/>
    <w:rsid w:val="00707014"/>
    <w:rsid w:val="00707F39"/>
    <w:rsid w:val="00713E2F"/>
    <w:rsid w:val="00714F7E"/>
    <w:rsid w:val="00737E5E"/>
    <w:rsid w:val="0074484C"/>
    <w:rsid w:val="00745A87"/>
    <w:rsid w:val="00753413"/>
    <w:rsid w:val="007540DC"/>
    <w:rsid w:val="007714DC"/>
    <w:rsid w:val="0078509F"/>
    <w:rsid w:val="00794499"/>
    <w:rsid w:val="007A664F"/>
    <w:rsid w:val="007C7D00"/>
    <w:rsid w:val="007D55D4"/>
    <w:rsid w:val="007D5AA6"/>
    <w:rsid w:val="007D64DD"/>
    <w:rsid w:val="007E0CAC"/>
    <w:rsid w:val="007E2AB9"/>
    <w:rsid w:val="007E535E"/>
    <w:rsid w:val="007E6456"/>
    <w:rsid w:val="007F164D"/>
    <w:rsid w:val="007F3D3A"/>
    <w:rsid w:val="007F6D5A"/>
    <w:rsid w:val="008101D7"/>
    <w:rsid w:val="00815919"/>
    <w:rsid w:val="00834243"/>
    <w:rsid w:val="00837772"/>
    <w:rsid w:val="00840F96"/>
    <w:rsid w:val="00847378"/>
    <w:rsid w:val="00850D8E"/>
    <w:rsid w:val="00855618"/>
    <w:rsid w:val="00857969"/>
    <w:rsid w:val="00861EF9"/>
    <w:rsid w:val="00881EB6"/>
    <w:rsid w:val="008A1187"/>
    <w:rsid w:val="008A6CB5"/>
    <w:rsid w:val="008B1499"/>
    <w:rsid w:val="008B3168"/>
    <w:rsid w:val="008C7D29"/>
    <w:rsid w:val="008D1EA4"/>
    <w:rsid w:val="008D339F"/>
    <w:rsid w:val="008D7F38"/>
    <w:rsid w:val="008E6292"/>
    <w:rsid w:val="008F5F84"/>
    <w:rsid w:val="00901181"/>
    <w:rsid w:val="0091081C"/>
    <w:rsid w:val="00925AA5"/>
    <w:rsid w:val="0094019D"/>
    <w:rsid w:val="00942C11"/>
    <w:rsid w:val="009627D1"/>
    <w:rsid w:val="00963EC5"/>
    <w:rsid w:val="00965469"/>
    <w:rsid w:val="00966F69"/>
    <w:rsid w:val="009732EC"/>
    <w:rsid w:val="009821CE"/>
    <w:rsid w:val="00982781"/>
    <w:rsid w:val="00983BAF"/>
    <w:rsid w:val="009852CF"/>
    <w:rsid w:val="00994BD5"/>
    <w:rsid w:val="00995831"/>
    <w:rsid w:val="0099701D"/>
    <w:rsid w:val="009A658F"/>
    <w:rsid w:val="009B0833"/>
    <w:rsid w:val="009B4728"/>
    <w:rsid w:val="009C0651"/>
    <w:rsid w:val="009C42DB"/>
    <w:rsid w:val="009F37D4"/>
    <w:rsid w:val="009F470E"/>
    <w:rsid w:val="00A049DE"/>
    <w:rsid w:val="00A16E03"/>
    <w:rsid w:val="00A20B53"/>
    <w:rsid w:val="00A23537"/>
    <w:rsid w:val="00A260CD"/>
    <w:rsid w:val="00A322AB"/>
    <w:rsid w:val="00A3749B"/>
    <w:rsid w:val="00A4214E"/>
    <w:rsid w:val="00A5144C"/>
    <w:rsid w:val="00A54EE3"/>
    <w:rsid w:val="00A62E42"/>
    <w:rsid w:val="00A64A71"/>
    <w:rsid w:val="00A82CC0"/>
    <w:rsid w:val="00A84129"/>
    <w:rsid w:val="00A84E89"/>
    <w:rsid w:val="00A84FDE"/>
    <w:rsid w:val="00A96052"/>
    <w:rsid w:val="00AB1802"/>
    <w:rsid w:val="00AB430E"/>
    <w:rsid w:val="00AB49CD"/>
    <w:rsid w:val="00AB714D"/>
    <w:rsid w:val="00AE2F90"/>
    <w:rsid w:val="00AF6A0F"/>
    <w:rsid w:val="00AF73FD"/>
    <w:rsid w:val="00B11272"/>
    <w:rsid w:val="00B3137B"/>
    <w:rsid w:val="00B3149D"/>
    <w:rsid w:val="00B51FD2"/>
    <w:rsid w:val="00B53A2D"/>
    <w:rsid w:val="00B64BFA"/>
    <w:rsid w:val="00B770FF"/>
    <w:rsid w:val="00B82EF9"/>
    <w:rsid w:val="00B85F47"/>
    <w:rsid w:val="00B87927"/>
    <w:rsid w:val="00B92619"/>
    <w:rsid w:val="00B92A1D"/>
    <w:rsid w:val="00BD0595"/>
    <w:rsid w:val="00BD5650"/>
    <w:rsid w:val="00BE11F5"/>
    <w:rsid w:val="00BE2B48"/>
    <w:rsid w:val="00BF4BDD"/>
    <w:rsid w:val="00BF746C"/>
    <w:rsid w:val="00C30297"/>
    <w:rsid w:val="00C33B41"/>
    <w:rsid w:val="00C35775"/>
    <w:rsid w:val="00C54E4E"/>
    <w:rsid w:val="00C663AB"/>
    <w:rsid w:val="00C85314"/>
    <w:rsid w:val="00C9111B"/>
    <w:rsid w:val="00CA1B76"/>
    <w:rsid w:val="00CA46D6"/>
    <w:rsid w:val="00CA4BC0"/>
    <w:rsid w:val="00CA5987"/>
    <w:rsid w:val="00CC559D"/>
    <w:rsid w:val="00CC7609"/>
    <w:rsid w:val="00CD0EF0"/>
    <w:rsid w:val="00CD654B"/>
    <w:rsid w:val="00CD6BD4"/>
    <w:rsid w:val="00CE223E"/>
    <w:rsid w:val="00CE5896"/>
    <w:rsid w:val="00D11CAF"/>
    <w:rsid w:val="00D145F5"/>
    <w:rsid w:val="00D33904"/>
    <w:rsid w:val="00D355F0"/>
    <w:rsid w:val="00D45AF8"/>
    <w:rsid w:val="00D51C05"/>
    <w:rsid w:val="00D6079F"/>
    <w:rsid w:val="00D6307B"/>
    <w:rsid w:val="00D664AB"/>
    <w:rsid w:val="00D710C9"/>
    <w:rsid w:val="00D777CD"/>
    <w:rsid w:val="00D83380"/>
    <w:rsid w:val="00D83BD9"/>
    <w:rsid w:val="00D83D5A"/>
    <w:rsid w:val="00D840F3"/>
    <w:rsid w:val="00D94A2D"/>
    <w:rsid w:val="00D95FB9"/>
    <w:rsid w:val="00DA2DF6"/>
    <w:rsid w:val="00DA686B"/>
    <w:rsid w:val="00DB7F09"/>
    <w:rsid w:val="00DC00E8"/>
    <w:rsid w:val="00E01FB1"/>
    <w:rsid w:val="00E0336A"/>
    <w:rsid w:val="00E10D39"/>
    <w:rsid w:val="00E1136B"/>
    <w:rsid w:val="00E203EF"/>
    <w:rsid w:val="00E22D51"/>
    <w:rsid w:val="00E35FA1"/>
    <w:rsid w:val="00E50772"/>
    <w:rsid w:val="00E50E7C"/>
    <w:rsid w:val="00E51545"/>
    <w:rsid w:val="00E55326"/>
    <w:rsid w:val="00E666EE"/>
    <w:rsid w:val="00E676BF"/>
    <w:rsid w:val="00E70206"/>
    <w:rsid w:val="00E711D7"/>
    <w:rsid w:val="00E741EA"/>
    <w:rsid w:val="00E7566A"/>
    <w:rsid w:val="00E85900"/>
    <w:rsid w:val="00E902B0"/>
    <w:rsid w:val="00E902E8"/>
    <w:rsid w:val="00EA14E2"/>
    <w:rsid w:val="00EB030F"/>
    <w:rsid w:val="00EB4D2C"/>
    <w:rsid w:val="00EC6B16"/>
    <w:rsid w:val="00EC7410"/>
    <w:rsid w:val="00ED0B5D"/>
    <w:rsid w:val="00EE13ED"/>
    <w:rsid w:val="00EE46AA"/>
    <w:rsid w:val="00EE677F"/>
    <w:rsid w:val="00EF43A8"/>
    <w:rsid w:val="00F0082D"/>
    <w:rsid w:val="00F07C90"/>
    <w:rsid w:val="00F13A87"/>
    <w:rsid w:val="00F20469"/>
    <w:rsid w:val="00F22812"/>
    <w:rsid w:val="00F3567F"/>
    <w:rsid w:val="00F53177"/>
    <w:rsid w:val="00F53B8C"/>
    <w:rsid w:val="00F66B9F"/>
    <w:rsid w:val="00F71A0E"/>
    <w:rsid w:val="00F75263"/>
    <w:rsid w:val="00F92279"/>
    <w:rsid w:val="00FB64AA"/>
    <w:rsid w:val="00FC6ADA"/>
    <w:rsid w:val="00FE7B2D"/>
    <w:rsid w:val="00FF2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39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850D8E"/>
    <w:pPr>
      <w:pBdr>
        <w:bottom w:val="single" w:sz="12" w:space="11" w:color="004A7F"/>
      </w:pBdr>
      <w:spacing w:after="480"/>
      <w:outlineLvl w:val="0"/>
    </w:pPr>
    <w:rPr>
      <w:b/>
      <w:bCs w:val="0"/>
      <w:caps/>
      <w:sz w:val="44"/>
    </w:rPr>
  </w:style>
  <w:style w:type="paragraph" w:styleId="Heading2">
    <w:name w:val="heading 2"/>
    <w:basedOn w:val="HeadingBase"/>
    <w:next w:val="Normal"/>
    <w:link w:val="Heading2Char"/>
    <w:qFormat/>
    <w:rsid w:val="002A1A28"/>
    <w:pPr>
      <w:spacing w:before="240" w:after="240"/>
      <w:outlineLvl w:val="1"/>
    </w:pPr>
    <w:rPr>
      <w:b/>
      <w:bCs w:val="0"/>
      <w:iCs/>
      <w:color w:val="595959" w:themeColor="text1" w:themeTint="A6"/>
      <w:sz w:val="40"/>
      <w:szCs w:val="28"/>
    </w:rPr>
  </w:style>
  <w:style w:type="paragraph" w:styleId="Heading3">
    <w:name w:val="heading 3"/>
    <w:basedOn w:val="HeadingBase"/>
    <w:next w:val="Normal"/>
    <w:link w:val="Heading3Char"/>
    <w:qFormat/>
    <w:rsid w:val="00B11272"/>
    <w:pPr>
      <w:spacing w:before="240" w:after="240"/>
      <w:outlineLvl w:val="2"/>
    </w:pPr>
    <w:rPr>
      <w:b/>
      <w:bCs w:val="0"/>
      <w:sz w:val="32"/>
      <w:szCs w:val="26"/>
    </w:rPr>
  </w:style>
  <w:style w:type="paragraph" w:styleId="Heading4">
    <w:name w:val="heading 4"/>
    <w:basedOn w:val="HeadingBase"/>
    <w:next w:val="Normal"/>
    <w:link w:val="Heading4Char"/>
    <w:qFormat/>
    <w:rsid w:val="002A1A28"/>
    <w:pPr>
      <w:spacing w:before="240" w:after="180"/>
      <w:outlineLvl w:val="3"/>
    </w:pPr>
    <w:rPr>
      <w:b/>
      <w:bCs w:val="0"/>
      <w:color w:val="595959" w:themeColor="text1" w:themeTint="A6"/>
      <w:sz w:val="28"/>
      <w:szCs w:val="26"/>
    </w:rPr>
  </w:style>
  <w:style w:type="paragraph" w:styleId="Heading5">
    <w:name w:val="heading 5"/>
    <w:basedOn w:val="HeadingBase"/>
    <w:next w:val="Normal"/>
    <w:link w:val="Heading5Char"/>
    <w:qFormat/>
    <w:rsid w:val="002A1A28"/>
    <w:pPr>
      <w:spacing w:before="240" w:after="180"/>
      <w:outlineLvl w:val="4"/>
    </w:pPr>
    <w:rPr>
      <w:b/>
      <w:bCs w:val="0"/>
      <w:iCs/>
      <w:sz w:val="24"/>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0D8E"/>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2A1A28"/>
    <w:rPr>
      <w:rFonts w:ascii="Calibri" w:eastAsia="Times New Roman" w:hAnsi="Calibri" w:cs="Arial"/>
      <w:b/>
      <w:iCs/>
      <w:color w:val="595959" w:themeColor="text1" w:themeTint="A6"/>
      <w:kern w:val="32"/>
      <w:sz w:val="40"/>
      <w:szCs w:val="28"/>
      <w:lang w:eastAsia="en-AU"/>
    </w:rPr>
  </w:style>
  <w:style w:type="character" w:customStyle="1" w:styleId="Heading3Char">
    <w:name w:val="Heading 3 Char"/>
    <w:basedOn w:val="DefaultParagraphFont"/>
    <w:link w:val="Heading3"/>
    <w:rsid w:val="00B11272"/>
    <w:rPr>
      <w:rFonts w:ascii="Calibri" w:eastAsia="Times New Roman" w:hAnsi="Calibri" w:cs="Arial"/>
      <w:b/>
      <w:color w:val="004A7F"/>
      <w:kern w:val="32"/>
      <w:sz w:val="32"/>
      <w:szCs w:val="26"/>
      <w:lang w:eastAsia="en-AU"/>
    </w:rPr>
  </w:style>
  <w:style w:type="character" w:customStyle="1" w:styleId="Heading4Char">
    <w:name w:val="Heading 4 Char"/>
    <w:basedOn w:val="DefaultParagraphFont"/>
    <w:link w:val="Heading4"/>
    <w:rsid w:val="002A1A28"/>
    <w:rPr>
      <w:rFonts w:ascii="Calibri" w:eastAsia="Times New Roman" w:hAnsi="Calibri" w:cs="Arial"/>
      <w:b/>
      <w:color w:val="595959" w:themeColor="text1" w:themeTint="A6"/>
      <w:kern w:val="32"/>
      <w:sz w:val="28"/>
      <w:szCs w:val="26"/>
      <w:lang w:eastAsia="en-AU"/>
    </w:rPr>
  </w:style>
  <w:style w:type="character" w:customStyle="1" w:styleId="Heading5Char">
    <w:name w:val="Heading 5 Char"/>
    <w:basedOn w:val="DefaultParagraphFont"/>
    <w:link w:val="Heading5"/>
    <w:rsid w:val="002A1A28"/>
    <w:rPr>
      <w:rFonts w:ascii="Calibri" w:eastAsia="Times New Roman" w:hAnsi="Calibri" w:cs="Arial"/>
      <w:b/>
      <w:iCs/>
      <w:color w:val="004A7F"/>
      <w:kern w:val="32"/>
      <w:sz w:val="24"/>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A4214E"/>
    <w:pPr>
      <w:keepNext/>
      <w:spacing w:before="120" w:after="120" w:line="240" w:lineRule="auto"/>
    </w:pPr>
    <w:rPr>
      <w:b/>
      <w:caps/>
      <w:color w:val="004A7F"/>
      <w:sz w:val="24"/>
      <w:szCs w:val="26"/>
    </w:rPr>
  </w:style>
  <w:style w:type="paragraph" w:customStyle="1" w:styleId="BoxText">
    <w:name w:val="Box Text"/>
    <w:basedOn w:val="Normal"/>
    <w:rsid w:val="00312730"/>
    <w:pPr>
      <w:spacing w:before="120" w:after="120"/>
      <w:ind w:right="57"/>
    </w:pPr>
    <w:rPr>
      <w:rFonts w:ascii="Arial" w:hAnsi="Arial"/>
      <w:sz w:val="19"/>
    </w:rPr>
  </w:style>
  <w:style w:type="paragraph" w:customStyle="1" w:styleId="Bullet">
    <w:name w:val="Bullet"/>
    <w:aliases w:val="Body,Bullet + line,b,b + line,b1,level 1"/>
    <w:basedOn w:val="Normal"/>
    <w:link w:val="BulletCharChar"/>
    <w:qFormat/>
    <w:rsid w:val="00461E2E"/>
    <w:pPr>
      <w:numPr>
        <w:numId w:val="1"/>
      </w:numPr>
      <w:tabs>
        <w:tab w:val="left" w:pos="567"/>
      </w:tabs>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850D8E"/>
    <w:pPr>
      <w:keepNext/>
      <w:spacing w:after="360" w:line="240" w:lineRule="auto"/>
      <w:ind w:right="142"/>
      <w:jc w:val="right"/>
    </w:pPr>
    <w:rPr>
      <w:color w:val="004A7F"/>
      <w:sz w:val="44"/>
    </w:rPr>
  </w:style>
  <w:style w:type="paragraph" w:customStyle="1" w:styleId="Dash">
    <w:name w:val="Dash"/>
    <w:basedOn w:val="Normal"/>
    <w:qFormat/>
    <w:rsid w:val="000E0B74"/>
    <w:pPr>
      <w:numPr>
        <w:ilvl w:val="1"/>
        <w:numId w:val="1"/>
      </w:numPr>
      <w:ind w:left="568"/>
    </w:pPr>
  </w:style>
  <w:style w:type="paragraph" w:customStyle="1" w:styleId="DoubleDot">
    <w:name w:val="Double Dot"/>
    <w:basedOn w:val="Normal"/>
    <w:qFormat/>
    <w:rsid w:val="000E0B74"/>
    <w:pPr>
      <w:numPr>
        <w:ilvl w:val="2"/>
        <w:numId w:val="1"/>
      </w:numPr>
      <w:ind w:left="851" w:hanging="284"/>
    </w:pPr>
  </w:style>
  <w:style w:type="paragraph" w:customStyle="1" w:styleId="TableMainHeading">
    <w:name w:val="Table Main Heading"/>
    <w:basedOn w:val="Heading3"/>
    <w:next w:val="Normal"/>
    <w:qFormat/>
    <w:rsid w:val="00B11272"/>
    <w:pPr>
      <w:spacing w:before="120" w:after="40"/>
      <w:outlineLvl w:val="9"/>
    </w:pPr>
    <w:rPr>
      <w:rFonts w:ascii="Arial" w:hAnsi="Arial"/>
      <w:caps/>
      <w:color w:val="595959" w:themeColor="text1" w:themeTint="A6"/>
      <w:sz w:val="22"/>
    </w:rPr>
  </w:style>
  <w:style w:type="paragraph" w:customStyle="1" w:styleId="FooterEven">
    <w:name w:val="Footer Even"/>
    <w:basedOn w:val="Footer"/>
    <w:rsid w:val="00D33904"/>
    <w:pPr>
      <w:keepNext/>
      <w:tabs>
        <w:tab w:val="clear" w:pos="4513"/>
        <w:tab w:val="clear" w:pos="9026"/>
      </w:tabs>
      <w:spacing w:line="240" w:lineRule="auto"/>
      <w:jc w:val="left"/>
    </w:pPr>
    <w:rPr>
      <w:noProof/>
    </w:rPr>
  </w:style>
  <w:style w:type="paragraph" w:customStyle="1" w:styleId="FooterOdd">
    <w:name w:val="Footer Odd"/>
    <w:basedOn w:val="Footer"/>
    <w:rsid w:val="00D33904"/>
    <w:pPr>
      <w:keepNext/>
      <w:tabs>
        <w:tab w:val="clear" w:pos="4513"/>
        <w:tab w:val="clear" w:pos="9026"/>
      </w:tabs>
      <w:spacing w:line="240" w:lineRule="auto"/>
      <w:jc w:val="right"/>
    </w:pPr>
  </w:style>
  <w:style w:type="character" w:styleId="Hyperlink">
    <w:name w:val="Hyperlink"/>
    <w:basedOn w:val="DefaultParagraphFont"/>
    <w:uiPriority w:val="99"/>
    <w:rsid w:val="00850D8E"/>
    <w:rPr>
      <w:b/>
      <w:color w:val="004A7F"/>
      <w:u w:val="none"/>
    </w:rPr>
  </w:style>
  <w:style w:type="paragraph" w:customStyle="1" w:styleId="OutlineNumbered1">
    <w:name w:val="Outline Numbered 1"/>
    <w:basedOn w:val="Normal"/>
    <w:rsid w:val="00461E2E"/>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qFormat/>
    <w:rsid w:val="00172580"/>
    <w:rPr>
      <w:rFonts w:ascii="Arial Bold" w:hAnsi="Arial Bold"/>
      <w:b/>
      <w:caps/>
      <w:color w:val="004A7F"/>
      <w:sz w:val="19"/>
    </w:rPr>
  </w:style>
  <w:style w:type="paragraph" w:customStyle="1" w:styleId="TableColumnHeadingRight">
    <w:name w:val="Table Column Heading Right"/>
    <w:basedOn w:val="TableColumnHeadingLeft"/>
    <w:rsid w:val="002A1A28"/>
    <w:pPr>
      <w:jc w:val="right"/>
    </w:p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qFormat/>
    <w:rsid w:val="00172580"/>
    <w:pPr>
      <w:jc w:val="left"/>
    </w:pPr>
  </w:style>
  <w:style w:type="paragraph" w:customStyle="1" w:styleId="TableTextRight">
    <w:name w:val="Table Text Right"/>
    <w:basedOn w:val="Normal"/>
    <w:rsid w:val="003C39B6"/>
    <w:pPr>
      <w:spacing w:before="80" w:after="80" w:line="240" w:lineRule="auto"/>
      <w:jc w:val="right"/>
    </w:pPr>
    <w:rPr>
      <w:rFonts w:ascii="Arial" w:hAnsi="Arial"/>
      <w:color w:val="000000"/>
      <w:sz w:val="18"/>
    </w:rPr>
  </w:style>
  <w:style w:type="paragraph" w:styleId="TOC1">
    <w:name w:val="toc 1"/>
    <w:basedOn w:val="Normal"/>
    <w:next w:val="Normal"/>
    <w:uiPriority w:val="39"/>
    <w:qFormat/>
    <w:rsid w:val="00850D8E"/>
    <w:pPr>
      <w:keepNext/>
      <w:tabs>
        <w:tab w:val="right" w:leader="dot" w:pos="9072"/>
      </w:tabs>
      <w:spacing w:before="120" w:after="120" w:line="240" w:lineRule="auto"/>
      <w:ind w:right="848"/>
      <w:jc w:val="left"/>
    </w:pPr>
    <w:rPr>
      <w:b/>
      <w:caps/>
      <w:noProof/>
      <w:color w:val="004A7F"/>
      <w:szCs w:val="22"/>
    </w:rPr>
  </w:style>
  <w:style w:type="paragraph" w:styleId="TOC2">
    <w:name w:val="toc 2"/>
    <w:basedOn w:val="Normal"/>
    <w:next w:val="Normal"/>
    <w:uiPriority w:val="39"/>
    <w:qFormat/>
    <w:rsid w:val="00A049DE"/>
    <w:pPr>
      <w:keepNext/>
      <w:tabs>
        <w:tab w:val="right" w:leader="dot" w:pos="9072"/>
      </w:tabs>
      <w:spacing w:before="80" w:after="80" w:line="240" w:lineRule="auto"/>
      <w:ind w:left="284" w:right="567"/>
    </w:pPr>
    <w:rPr>
      <w:noProof/>
      <w:color w:val="595959" w:themeColor="text1" w:themeTint="A6"/>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50D8E"/>
    <w:pPr>
      <w:spacing w:after="720" w:line="240" w:lineRule="auto"/>
      <w:contextualSpacing/>
      <w:jc w:val="right"/>
    </w:pPr>
    <w:rPr>
      <w:rFonts w:eastAsiaTheme="majorEastAsia" w:cstheme="majorBidi"/>
      <w:b/>
      <w:caps/>
      <w:color w:val="004A7F"/>
      <w:spacing w:val="5"/>
      <w:kern w:val="28"/>
      <w:sz w:val="56"/>
      <w:szCs w:val="52"/>
    </w:rPr>
  </w:style>
  <w:style w:type="character" w:customStyle="1" w:styleId="TitleChar">
    <w:name w:val="Title Char"/>
    <w:basedOn w:val="DefaultParagraphFont"/>
    <w:link w:val="Title"/>
    <w:uiPriority w:val="10"/>
    <w:rsid w:val="00850D8E"/>
    <w:rPr>
      <w:rFonts w:ascii="Calibri" w:eastAsiaTheme="majorEastAsia" w:hAnsi="Calibri" w:cstheme="majorBidi"/>
      <w:b/>
      <w:caps/>
      <w:color w:val="004A7F"/>
      <w:spacing w:val="5"/>
      <w:kern w:val="28"/>
      <w:sz w:val="56"/>
      <w:szCs w:val="52"/>
      <w:lang w:eastAsia="en-AU"/>
    </w:rPr>
  </w:style>
  <w:style w:type="paragraph" w:styleId="Subtitle">
    <w:name w:val="Subtitle"/>
    <w:basedOn w:val="Normal"/>
    <w:next w:val="Normal"/>
    <w:link w:val="SubtitleChar"/>
    <w:uiPriority w:val="2"/>
    <w:qFormat/>
    <w:rsid w:val="00850D8E"/>
    <w:pPr>
      <w:numPr>
        <w:ilvl w:val="1"/>
      </w:numPr>
      <w:spacing w:after="720" w:line="240" w:lineRule="auto"/>
      <w:jc w:val="right"/>
    </w:pPr>
    <w:rPr>
      <w:rFonts w:eastAsiaTheme="majorEastAsia" w:cstheme="majorBidi"/>
      <w:b/>
      <w:iCs/>
      <w:caps/>
      <w:color w:val="7F7F7F" w:themeColor="text1" w:themeTint="80"/>
      <w:sz w:val="48"/>
      <w:szCs w:val="44"/>
    </w:rPr>
  </w:style>
  <w:style w:type="character" w:customStyle="1" w:styleId="SubtitleChar">
    <w:name w:val="Subtitle Char"/>
    <w:basedOn w:val="DefaultParagraphFont"/>
    <w:link w:val="Subtitle"/>
    <w:uiPriority w:val="2"/>
    <w:rsid w:val="00850D8E"/>
    <w:rPr>
      <w:rFonts w:ascii="Calibri" w:eastAsiaTheme="majorEastAsia" w:hAnsi="Calibri" w:cstheme="majorBidi"/>
      <w:b/>
      <w:iCs/>
      <w:caps/>
      <w:color w:val="7F7F7F" w:themeColor="text1" w:themeTint="80"/>
      <w:sz w:val="48"/>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850D8E"/>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qFormat/>
    <w:rsid w:val="00461E2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461E2E"/>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Char">
    <w:name w:val="Bullet Char Char"/>
    <w:basedOn w:val="DefaultParagraphFont"/>
    <w:link w:val="Bullet"/>
    <w:locked/>
    <w:rsid w:val="00461E2E"/>
    <w:rPr>
      <w:rFonts w:ascii="Calibri" w:eastAsia="Times New Roman" w:hAnsi="Calibri" w:cs="Times New Roman"/>
      <w:szCs w:val="20"/>
      <w:lang w:eastAsia="en-AU"/>
    </w:rPr>
  </w:style>
  <w:style w:type="paragraph" w:styleId="ListParagraph">
    <w:name w:val="List Paragraph"/>
    <w:aliases w:val="NFP GP Bulleted List,List Paragraph1,Recommendation"/>
    <w:basedOn w:val="Normal"/>
    <w:uiPriority w:val="34"/>
    <w:qFormat/>
    <w:rsid w:val="00DA2DF6"/>
    <w:pPr>
      <w:spacing w:after="200" w:line="276" w:lineRule="auto"/>
      <w:ind w:left="720"/>
      <w:contextualSpacing/>
    </w:pPr>
    <w:rPr>
      <w:rFonts w:asciiTheme="minorHAnsi" w:eastAsiaTheme="minorHAnsi" w:hAnsiTheme="minorHAnsi" w:cstheme="minorBidi"/>
      <w:szCs w:val="22"/>
      <w:lang w:eastAsia="en-US"/>
    </w:rPr>
  </w:style>
  <w:style w:type="character" w:customStyle="1" w:styleId="BulletChar">
    <w:name w:val="Bullet Char"/>
    <w:aliases w:val="b Char,b + line Char Char,b Char Char"/>
    <w:basedOn w:val="DefaultParagraphFont"/>
    <w:locked/>
    <w:rsid w:val="00DA2DF6"/>
    <w:rPr>
      <w:rFonts w:ascii="Calibri" w:eastAsia="Times New Roman" w:hAnsi="Calibri" w:cs="Times New Roman"/>
      <w:color w:val="000000"/>
      <w:szCs w:val="20"/>
      <w:lang w:eastAsia="en-AU"/>
    </w:rPr>
  </w:style>
  <w:style w:type="paragraph" w:customStyle="1" w:styleId="TableRowHeadingLeft">
    <w:name w:val="Table Row Heading Left"/>
    <w:basedOn w:val="Bullet"/>
    <w:qFormat/>
    <w:rsid w:val="00172580"/>
    <w:pPr>
      <w:numPr>
        <w:numId w:val="0"/>
      </w:numPr>
      <w:spacing w:before="80" w:after="80" w:line="240" w:lineRule="auto"/>
      <w:jc w:val="left"/>
    </w:pPr>
    <w:rPr>
      <w:rFonts w:ascii="Arial" w:eastAsia="Calibri" w:hAnsi="Arial"/>
      <w:b/>
      <w:bCs/>
      <w:color w:val="004A7F"/>
      <w:sz w:val="18"/>
      <w:szCs w:val="19"/>
    </w:rPr>
  </w:style>
  <w:style w:type="paragraph" w:customStyle="1" w:styleId="TableTexLeft-Bullets">
    <w:name w:val="Table Tex Left - Bullets"/>
    <w:basedOn w:val="Bullet"/>
    <w:qFormat/>
    <w:rsid w:val="00DA2DF6"/>
    <w:pPr>
      <w:tabs>
        <w:tab w:val="left" w:pos="319"/>
        <w:tab w:val="num" w:pos="2410"/>
      </w:tabs>
      <w:spacing w:before="80" w:after="80" w:line="240" w:lineRule="exact"/>
      <w:ind w:left="318" w:hanging="318"/>
    </w:pPr>
    <w:rPr>
      <w:rFonts w:ascii="Helvetica" w:eastAsia="Calibri" w:hAnsi="Helvetica"/>
      <w:color w:val="000000" w:themeColor="text1" w:themeShade="BF"/>
      <w:sz w:val="19"/>
      <w:szCs w:val="19"/>
    </w:rPr>
  </w:style>
  <w:style w:type="paragraph" w:customStyle="1" w:styleId="BoxQuestions">
    <w:name w:val="Box Questions"/>
    <w:qFormat/>
    <w:rsid w:val="00982781"/>
    <w:pPr>
      <w:numPr>
        <w:numId w:val="12"/>
      </w:numPr>
      <w:spacing w:before="120" w:after="120" w:line="280" w:lineRule="exact"/>
      <w:ind w:right="57"/>
      <w:jc w:val="both"/>
    </w:pPr>
    <w:rPr>
      <w:rFonts w:ascii="Helvetica" w:hAnsi="Helvetica"/>
      <w:sz w:val="19"/>
      <w:szCs w:val="19"/>
    </w:rPr>
  </w:style>
  <w:style w:type="paragraph" w:customStyle="1" w:styleId="BoxQuestions-Heading">
    <w:name w:val="Box Questions - Heading"/>
    <w:basedOn w:val="Normal"/>
    <w:qFormat/>
    <w:rsid w:val="00DA2DF6"/>
    <w:rPr>
      <w:rFonts w:ascii="Helvetica" w:hAnsi="Helvetica"/>
      <w:b/>
      <w:color w:val="44546A" w:themeColor="text2"/>
    </w:rPr>
  </w:style>
  <w:style w:type="table" w:customStyle="1" w:styleId="boxQuestions0">
    <w:name w:val="boxQuestions"/>
    <w:basedOn w:val="TableNormal"/>
    <w:uiPriority w:val="99"/>
    <w:rsid w:val="00DA2DF6"/>
    <w:pPr>
      <w:spacing w:after="0" w:line="240" w:lineRule="auto"/>
    </w:pPr>
    <w:tblPr>
      <w:tblInd w:w="0" w:type="nil"/>
    </w:tblPr>
  </w:style>
  <w:style w:type="table" w:styleId="LightShading">
    <w:name w:val="Light Shading"/>
    <w:basedOn w:val="TableNormal"/>
    <w:uiPriority w:val="60"/>
    <w:rsid w:val="00DA2D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NotNumbered">
    <w:name w:val="Heading 2 Not Numbered"/>
    <w:basedOn w:val="Normal"/>
    <w:next w:val="Normal"/>
    <w:rsid w:val="00B11272"/>
    <w:pPr>
      <w:keepNext/>
      <w:spacing w:before="360" w:line="240" w:lineRule="auto"/>
      <w:jc w:val="left"/>
      <w:outlineLvl w:val="1"/>
    </w:pPr>
    <w:rPr>
      <w:b/>
      <w:color w:val="595959" w:themeColor="text1" w:themeTint="A6"/>
      <w:sz w:val="40"/>
      <w:szCs w:val="28"/>
    </w:rPr>
  </w:style>
  <w:style w:type="paragraph" w:customStyle="1" w:styleId="TableMainHeadingCont">
    <w:name w:val="Table Main Heading (Cont)"/>
    <w:basedOn w:val="TableMainHeading"/>
    <w:qFormat/>
    <w:rsid w:val="00DA2DF6"/>
    <w:pPr>
      <w:spacing w:before="0" w:line="276" w:lineRule="auto"/>
    </w:pPr>
    <w:rPr>
      <w:rFonts w:asciiTheme="minorHAnsi" w:eastAsiaTheme="minorHAnsi" w:hAnsiTheme="minorHAnsi" w:cstheme="minorBidi"/>
      <w:color w:val="44546A" w:themeColor="text2"/>
      <w:kern w:val="0"/>
      <w:sz w:val="24"/>
      <w:szCs w:val="22"/>
      <w:lang w:eastAsia="en-US"/>
    </w:rPr>
  </w:style>
  <w:style w:type="paragraph" w:customStyle="1" w:styleId="SingleParagraphDouble">
    <w:name w:val="Single Paragraph Double"/>
    <w:basedOn w:val="SingleParagraph"/>
    <w:qFormat/>
    <w:rsid w:val="00DA2DF6"/>
    <w:rPr>
      <w:color w:val="000000"/>
      <w:sz w:val="44"/>
      <w:szCs w:val="40"/>
    </w:rPr>
  </w:style>
  <w:style w:type="paragraph" w:styleId="NormalWeb">
    <w:name w:val="Normal (Web)"/>
    <w:basedOn w:val="Normal"/>
    <w:uiPriority w:val="99"/>
    <w:semiHidden/>
    <w:unhideWhenUsed/>
    <w:rsid w:val="00DA2DF6"/>
    <w:pPr>
      <w:spacing w:before="100" w:beforeAutospacing="1" w:after="100" w:afterAutospacing="1"/>
    </w:pPr>
    <w:rPr>
      <w:rFonts w:ascii="Times New Roman" w:hAnsi="Times New Roman"/>
      <w:sz w:val="24"/>
      <w:szCs w:val="24"/>
    </w:rPr>
  </w:style>
  <w:style w:type="table" w:customStyle="1" w:styleId="tableASIC">
    <w:name w:val="tableASIC"/>
    <w:basedOn w:val="TableNormal"/>
    <w:uiPriority w:val="99"/>
    <w:rsid w:val="00DA2DF6"/>
    <w:pPr>
      <w:spacing w:after="0" w:line="240" w:lineRule="auto"/>
    </w:pPr>
    <w:tblPr>
      <w:tblInd w:w="0" w:type="nil"/>
    </w:tblPr>
  </w:style>
  <w:style w:type="character" w:styleId="CommentReference">
    <w:name w:val="annotation reference"/>
    <w:basedOn w:val="DefaultParagraphFont"/>
    <w:uiPriority w:val="99"/>
    <w:semiHidden/>
    <w:unhideWhenUsed/>
    <w:rsid w:val="00DA2DF6"/>
    <w:rPr>
      <w:sz w:val="16"/>
      <w:szCs w:val="16"/>
    </w:rPr>
  </w:style>
  <w:style w:type="paragraph" w:styleId="CommentText">
    <w:name w:val="annotation text"/>
    <w:basedOn w:val="Normal"/>
    <w:link w:val="CommentTextChar"/>
    <w:uiPriority w:val="99"/>
    <w:semiHidden/>
    <w:unhideWhenUsed/>
    <w:rsid w:val="00DA2DF6"/>
    <w:rPr>
      <w:sz w:val="20"/>
    </w:rPr>
  </w:style>
  <w:style w:type="character" w:customStyle="1" w:styleId="CommentTextChar">
    <w:name w:val="Comment Text Char"/>
    <w:basedOn w:val="DefaultParagraphFont"/>
    <w:link w:val="CommentText"/>
    <w:uiPriority w:val="99"/>
    <w:semiHidden/>
    <w:rsid w:val="00DA2DF6"/>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A2DF6"/>
    <w:rPr>
      <w:b/>
      <w:bCs/>
    </w:rPr>
  </w:style>
  <w:style w:type="character" w:customStyle="1" w:styleId="CommentSubjectChar">
    <w:name w:val="Comment Subject Char"/>
    <w:basedOn w:val="CommentTextChar"/>
    <w:link w:val="CommentSubject"/>
    <w:uiPriority w:val="99"/>
    <w:semiHidden/>
    <w:rsid w:val="00DA2DF6"/>
    <w:rPr>
      <w:rFonts w:ascii="Calibri" w:eastAsia="Times New Roman" w:hAnsi="Calibri" w:cs="Times New Roman"/>
      <w:b/>
      <w:bCs/>
      <w:sz w:val="20"/>
      <w:szCs w:val="20"/>
      <w:lang w:eastAsia="en-AU"/>
    </w:rPr>
  </w:style>
  <w:style w:type="paragraph" w:customStyle="1" w:styleId="Default">
    <w:name w:val="Default"/>
    <w:rsid w:val="00DA2D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Level1">
    <w:name w:val="Para Level 1"/>
    <w:link w:val="ParaLevel1Char"/>
    <w:uiPriority w:val="4"/>
    <w:qFormat/>
    <w:rsid w:val="00DA2DF6"/>
    <w:pPr>
      <w:numPr>
        <w:numId w:val="16"/>
      </w:numPr>
      <w:spacing w:before="200" w:after="0" w:line="240" w:lineRule="auto"/>
    </w:pPr>
    <w:rPr>
      <w:rFonts w:ascii="Century Gothic" w:eastAsia="Times New Roman" w:hAnsi="Century Gothic" w:cs="Arial"/>
      <w:sz w:val="20"/>
      <w:szCs w:val="20"/>
      <w:lang w:val="en-US" w:eastAsia="en-AU"/>
    </w:rPr>
  </w:style>
  <w:style w:type="character" w:customStyle="1" w:styleId="ParaLevel1Char">
    <w:name w:val="Para Level 1 Char"/>
    <w:basedOn w:val="DefaultParagraphFont"/>
    <w:link w:val="ParaLevel1"/>
    <w:uiPriority w:val="4"/>
    <w:rsid w:val="00DA2DF6"/>
    <w:rPr>
      <w:rFonts w:ascii="Century Gothic" w:eastAsia="Times New Roman" w:hAnsi="Century Gothic" w:cs="Arial"/>
      <w:sz w:val="20"/>
      <w:szCs w:val="20"/>
      <w:lang w:val="en-US" w:eastAsia="en-AU"/>
    </w:rPr>
  </w:style>
  <w:style w:type="paragraph" w:customStyle="1" w:styleId="ParaLevel2">
    <w:name w:val="Para Level 2"/>
    <w:basedOn w:val="ParaLevel1"/>
    <w:uiPriority w:val="4"/>
    <w:qFormat/>
    <w:rsid w:val="00DA2DF6"/>
    <w:pPr>
      <w:numPr>
        <w:ilvl w:val="1"/>
      </w:numPr>
      <w:tabs>
        <w:tab w:val="num" w:pos="360"/>
        <w:tab w:val="num" w:pos="567"/>
      </w:tabs>
      <w:ind w:left="567" w:hanging="284"/>
    </w:pPr>
  </w:style>
  <w:style w:type="paragraph" w:customStyle="1" w:styleId="ParaLevel3">
    <w:name w:val="Para Level 3"/>
    <w:basedOn w:val="ParaLevel2"/>
    <w:uiPriority w:val="4"/>
    <w:qFormat/>
    <w:rsid w:val="00DA2DF6"/>
    <w:pPr>
      <w:numPr>
        <w:ilvl w:val="2"/>
      </w:numPr>
      <w:tabs>
        <w:tab w:val="num" w:pos="360"/>
        <w:tab w:val="num" w:pos="567"/>
        <w:tab w:val="num" w:pos="850"/>
      </w:tabs>
      <w:ind w:left="1701" w:hanging="708"/>
    </w:pPr>
  </w:style>
  <w:style w:type="paragraph" w:customStyle="1" w:styleId="callout">
    <w:name w:val="callout"/>
    <w:basedOn w:val="Normal"/>
    <w:rsid w:val="00DA2DF6"/>
    <w:pPr>
      <w:spacing w:after="0"/>
    </w:pPr>
    <w:rPr>
      <w:rFonts w:ascii="Times New Roman" w:hAnsi="Times New Roman"/>
      <w:color w:val="6E56A3"/>
      <w:sz w:val="36"/>
      <w:szCs w:val="36"/>
    </w:rPr>
  </w:style>
  <w:style w:type="paragraph" w:styleId="Revision">
    <w:name w:val="Revision"/>
    <w:hidden/>
    <w:uiPriority w:val="99"/>
    <w:semiHidden/>
    <w:rsid w:val="00DA2DF6"/>
    <w:pPr>
      <w:spacing w:after="0" w:line="240" w:lineRule="auto"/>
    </w:pPr>
    <w:rPr>
      <w:rFonts w:ascii="Calibri" w:eastAsia="Times New Roman" w:hAnsi="Calibri" w:cs="Times New Roman"/>
      <w:szCs w:val="20"/>
      <w:lang w:eastAsia="en-AU"/>
    </w:rPr>
  </w:style>
  <w:style w:type="table" w:styleId="MediumList1-Accent1">
    <w:name w:val="Medium List 1 Accent 1"/>
    <w:basedOn w:val="TableNormal"/>
    <w:uiPriority w:val="65"/>
    <w:rsid w:val="00DA2DF6"/>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character" w:styleId="FollowedHyperlink">
    <w:name w:val="FollowedHyperlink"/>
    <w:basedOn w:val="DefaultParagraphFont"/>
    <w:uiPriority w:val="99"/>
    <w:semiHidden/>
    <w:unhideWhenUsed/>
    <w:rsid w:val="00DA2DF6"/>
    <w:rPr>
      <w:color w:val="954F72" w:themeColor="followedHyperlink"/>
      <w:u w:val="single"/>
    </w:rPr>
  </w:style>
  <w:style w:type="paragraph" w:customStyle="1" w:styleId="font5">
    <w:name w:val="font5"/>
    <w:basedOn w:val="Normal"/>
    <w:rsid w:val="00DA2DF6"/>
    <w:pPr>
      <w:spacing w:before="100" w:beforeAutospacing="1" w:after="100" w:afterAutospacing="1"/>
    </w:pPr>
    <w:rPr>
      <w:b/>
      <w:bCs/>
      <w:color w:val="000000"/>
      <w:sz w:val="20"/>
    </w:rPr>
  </w:style>
  <w:style w:type="paragraph" w:customStyle="1" w:styleId="font6">
    <w:name w:val="font6"/>
    <w:basedOn w:val="Normal"/>
    <w:rsid w:val="00DA2DF6"/>
    <w:pPr>
      <w:spacing w:before="100" w:beforeAutospacing="1" w:after="100" w:afterAutospacing="1"/>
    </w:pPr>
    <w:rPr>
      <w:color w:val="FF0000"/>
      <w:sz w:val="20"/>
    </w:rPr>
  </w:style>
  <w:style w:type="paragraph" w:customStyle="1" w:styleId="font7">
    <w:name w:val="font7"/>
    <w:basedOn w:val="Normal"/>
    <w:rsid w:val="00DA2DF6"/>
    <w:pPr>
      <w:spacing w:before="100" w:beforeAutospacing="1" w:after="100" w:afterAutospacing="1"/>
    </w:pPr>
    <w:rPr>
      <w:color w:val="000000"/>
      <w:sz w:val="20"/>
    </w:rPr>
  </w:style>
  <w:style w:type="paragraph" w:customStyle="1" w:styleId="font8">
    <w:name w:val="font8"/>
    <w:basedOn w:val="Normal"/>
    <w:rsid w:val="00DA2DF6"/>
    <w:pPr>
      <w:spacing w:before="100" w:beforeAutospacing="1" w:after="100" w:afterAutospacing="1"/>
    </w:pPr>
    <w:rPr>
      <w:color w:val="000000"/>
      <w:sz w:val="20"/>
    </w:rPr>
  </w:style>
  <w:style w:type="paragraph" w:customStyle="1" w:styleId="font9">
    <w:name w:val="font9"/>
    <w:basedOn w:val="Normal"/>
    <w:rsid w:val="00DA2DF6"/>
    <w:pPr>
      <w:spacing w:before="100" w:beforeAutospacing="1" w:after="100" w:afterAutospacing="1"/>
    </w:pPr>
    <w:rPr>
      <w:b/>
      <w:bCs/>
      <w:color w:val="000000"/>
      <w:sz w:val="20"/>
      <w:u w:val="single"/>
    </w:rPr>
  </w:style>
  <w:style w:type="paragraph" w:customStyle="1" w:styleId="xl65">
    <w:name w:val="xl65"/>
    <w:basedOn w:val="Normal"/>
    <w:rsid w:val="00DA2DF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hAnsi="Times New Roman"/>
      <w:color w:val="FF0000"/>
      <w:sz w:val="20"/>
    </w:rPr>
  </w:style>
  <w:style w:type="paragraph" w:customStyle="1" w:styleId="xl66">
    <w:name w:val="xl66"/>
    <w:basedOn w:val="Normal"/>
    <w:rsid w:val="00DA2D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FF0000"/>
      <w:sz w:val="20"/>
    </w:rPr>
  </w:style>
  <w:style w:type="paragraph" w:customStyle="1" w:styleId="xl67">
    <w:name w:val="xl67"/>
    <w:basedOn w:val="Normal"/>
    <w:rsid w:val="00DA2DF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hAnsi="Times New Roman"/>
      <w:color w:val="FF0000"/>
      <w:sz w:val="20"/>
    </w:rPr>
  </w:style>
  <w:style w:type="paragraph" w:customStyle="1" w:styleId="xl68">
    <w:name w:val="xl68"/>
    <w:basedOn w:val="Normal"/>
    <w:rsid w:val="00DA2DF6"/>
    <w:pPr>
      <w:spacing w:before="100" w:beforeAutospacing="1" w:after="100" w:afterAutospacing="1"/>
    </w:pPr>
    <w:rPr>
      <w:rFonts w:ascii="Times New Roman" w:hAnsi="Times New Roman"/>
      <w:sz w:val="20"/>
    </w:rPr>
  </w:style>
  <w:style w:type="paragraph" w:customStyle="1" w:styleId="xl69">
    <w:name w:val="xl69"/>
    <w:basedOn w:val="Normal"/>
    <w:rsid w:val="00DA2DF6"/>
    <w:pPr>
      <w:spacing w:before="100" w:beforeAutospacing="1" w:after="100" w:afterAutospacing="1"/>
    </w:pPr>
    <w:rPr>
      <w:rFonts w:ascii="Times New Roman" w:hAnsi="Times New Roman"/>
      <w:sz w:val="20"/>
    </w:rPr>
  </w:style>
  <w:style w:type="paragraph" w:customStyle="1" w:styleId="xl70">
    <w:name w:val="xl70"/>
    <w:basedOn w:val="Normal"/>
    <w:rsid w:val="00DA2DF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b/>
      <w:bCs/>
      <w:sz w:val="20"/>
    </w:rPr>
  </w:style>
  <w:style w:type="paragraph" w:customStyle="1" w:styleId="xl71">
    <w:name w:val="xl71"/>
    <w:basedOn w:val="Normal"/>
    <w:rsid w:val="00DA2DF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Times New Roman" w:hAnsi="Times New Roman"/>
      <w:b/>
      <w:bCs/>
      <w:sz w:val="20"/>
    </w:rPr>
  </w:style>
  <w:style w:type="paragraph" w:customStyle="1" w:styleId="xl72">
    <w:name w:val="xl72"/>
    <w:basedOn w:val="Normal"/>
    <w:rsid w:val="00DA2DF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color w:val="FF0000"/>
      <w:sz w:val="20"/>
    </w:rPr>
  </w:style>
  <w:style w:type="paragraph" w:customStyle="1" w:styleId="xl73">
    <w:name w:val="xl73"/>
    <w:basedOn w:val="Normal"/>
    <w:rsid w:val="00DA2DF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b/>
      <w:bCs/>
      <w:sz w:val="20"/>
    </w:rPr>
  </w:style>
  <w:style w:type="paragraph" w:customStyle="1" w:styleId="xl74">
    <w:name w:val="xl74"/>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0"/>
    </w:rPr>
  </w:style>
  <w:style w:type="paragraph" w:customStyle="1" w:styleId="xl75">
    <w:name w:val="xl75"/>
    <w:basedOn w:val="Normal"/>
    <w:rsid w:val="00DA2D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sz w:val="20"/>
    </w:rPr>
  </w:style>
  <w:style w:type="paragraph" w:customStyle="1" w:styleId="xl76">
    <w:name w:val="xl76"/>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rPr>
  </w:style>
  <w:style w:type="paragraph" w:customStyle="1" w:styleId="xl77">
    <w:name w:val="xl77"/>
    <w:basedOn w:val="Normal"/>
    <w:rsid w:val="00DA2DF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hAnsi="Times New Roman"/>
      <w:color w:val="FF0000"/>
      <w:sz w:val="20"/>
    </w:rPr>
  </w:style>
  <w:style w:type="paragraph" w:customStyle="1" w:styleId="xl78">
    <w:name w:val="xl78"/>
    <w:basedOn w:val="Normal"/>
    <w:rsid w:val="00DA2DF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hAnsi="Times New Roman"/>
      <w:color w:val="FF0000"/>
      <w:sz w:val="20"/>
    </w:rPr>
  </w:style>
  <w:style w:type="paragraph" w:customStyle="1" w:styleId="xl79">
    <w:name w:val="xl79"/>
    <w:basedOn w:val="Normal"/>
    <w:rsid w:val="00DA2DF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rFonts w:ascii="Times New Roman" w:hAnsi="Times New Roman"/>
      <w:color w:val="FF0000"/>
      <w:sz w:val="20"/>
    </w:rPr>
  </w:style>
  <w:style w:type="paragraph" w:customStyle="1" w:styleId="xl80">
    <w:name w:val="xl80"/>
    <w:basedOn w:val="Normal"/>
    <w:rsid w:val="00DA2DF6"/>
    <w:pPr>
      <w:spacing w:before="100" w:beforeAutospacing="1" w:after="100" w:afterAutospacing="1"/>
    </w:pPr>
    <w:rPr>
      <w:rFonts w:ascii="Times New Roman" w:hAnsi="Times New Roman"/>
      <w:sz w:val="20"/>
    </w:rPr>
  </w:style>
  <w:style w:type="paragraph" w:customStyle="1" w:styleId="xl81">
    <w:name w:val="xl81"/>
    <w:basedOn w:val="Normal"/>
    <w:rsid w:val="00DA2DF6"/>
    <w:pPr>
      <w:shd w:val="clear" w:color="000000" w:fill="C4D79B"/>
      <w:spacing w:before="100" w:beforeAutospacing="1" w:after="100" w:afterAutospacing="1"/>
    </w:pPr>
    <w:rPr>
      <w:rFonts w:ascii="Times New Roman" w:hAnsi="Times New Roman"/>
      <w:sz w:val="20"/>
    </w:rPr>
  </w:style>
  <w:style w:type="paragraph" w:customStyle="1" w:styleId="xl82">
    <w:name w:val="xl82"/>
    <w:basedOn w:val="Normal"/>
    <w:rsid w:val="00DA2DF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Times New Roman" w:hAnsi="Times New Roman"/>
      <w:b/>
      <w:bCs/>
      <w:sz w:val="20"/>
    </w:rPr>
  </w:style>
  <w:style w:type="paragraph" w:customStyle="1" w:styleId="xl83">
    <w:name w:val="xl83"/>
    <w:basedOn w:val="Normal"/>
    <w:rsid w:val="00DA2DF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rFonts w:ascii="Times New Roman" w:hAnsi="Times New Roman"/>
      <w:b/>
      <w:bCs/>
      <w:sz w:val="20"/>
    </w:rPr>
  </w:style>
  <w:style w:type="paragraph" w:customStyle="1" w:styleId="xl84">
    <w:name w:val="xl84"/>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0"/>
    </w:rPr>
  </w:style>
  <w:style w:type="paragraph" w:customStyle="1" w:styleId="xl85">
    <w:name w:val="xl85"/>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rPr>
  </w:style>
  <w:style w:type="paragraph" w:customStyle="1" w:styleId="xl86">
    <w:name w:val="xl86"/>
    <w:basedOn w:val="Normal"/>
    <w:rsid w:val="00DA2DF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rFonts w:ascii="Times New Roman" w:hAnsi="Times New Roman"/>
      <w:sz w:val="20"/>
    </w:rPr>
  </w:style>
  <w:style w:type="character" w:styleId="Emphasis">
    <w:name w:val="Emphasis"/>
    <w:basedOn w:val="DefaultParagraphFont"/>
    <w:uiPriority w:val="20"/>
    <w:qFormat/>
    <w:rsid w:val="00DA2DF6"/>
    <w:rPr>
      <w:b/>
      <w:bCs/>
      <w:i w:val="0"/>
      <w:iCs w:val="0"/>
    </w:rPr>
  </w:style>
  <w:style w:type="character" w:customStyle="1" w:styleId="st1">
    <w:name w:val="st1"/>
    <w:basedOn w:val="DefaultParagraphFont"/>
    <w:rsid w:val="00DA2DF6"/>
  </w:style>
  <w:style w:type="paragraph" w:customStyle="1" w:styleId="Numberedpara1stindent">
    <w:name w:val="Numbered para (1st indent)"/>
    <w:basedOn w:val="ListParagraph"/>
    <w:rsid w:val="00CE5896"/>
    <w:pPr>
      <w:spacing w:line="260" w:lineRule="exact"/>
      <w:ind w:left="360" w:hanging="360"/>
      <w:contextualSpacing w:val="0"/>
    </w:pPr>
    <w:rPr>
      <w:rFonts w:ascii="Cambria" w:eastAsia="Cambria" w:hAnsi="Cambria" w:cs="Times New Roman"/>
    </w:rPr>
  </w:style>
  <w:style w:type="paragraph" w:customStyle="1" w:styleId="Figuretitle">
    <w:name w:val="Figure title"/>
    <w:next w:val="Normal"/>
    <w:qFormat/>
    <w:rsid w:val="00E676BF"/>
    <w:pPr>
      <w:keepNext/>
      <w:keepLines/>
      <w:numPr>
        <w:ilvl w:val="6"/>
        <w:numId w:val="19"/>
      </w:numPr>
      <w:spacing w:before="340" w:after="170" w:line="240" w:lineRule="auto"/>
    </w:pPr>
    <w:rPr>
      <w:rFonts w:ascii="Arial" w:eastAsia="Times New Roman" w:hAnsi="Arial" w:cs="Times New Roman"/>
      <w:b/>
      <w:color w:val="005A77"/>
      <w:spacing w:val="-6"/>
      <w:sz w:val="24"/>
      <w:szCs w:val="24"/>
      <w:lang w:val="en-US"/>
    </w:rPr>
  </w:style>
  <w:style w:type="numbering" w:customStyle="1" w:styleId="Numbers">
    <w:name w:val="Numbers"/>
    <w:basedOn w:val="NoList"/>
    <w:rsid w:val="00E676BF"/>
    <w:pPr>
      <w:numPr>
        <w:numId w:val="19"/>
      </w:numPr>
    </w:pPr>
  </w:style>
  <w:style w:type="paragraph" w:customStyle="1" w:styleId="Tabletitle">
    <w:name w:val="Table title"/>
    <w:next w:val="Normal"/>
    <w:qFormat/>
    <w:rsid w:val="00E676BF"/>
    <w:pPr>
      <w:keepNext/>
      <w:numPr>
        <w:ilvl w:val="8"/>
        <w:numId w:val="19"/>
      </w:numPr>
      <w:spacing w:before="340" w:after="170" w:line="240" w:lineRule="auto"/>
    </w:pPr>
    <w:rPr>
      <w:rFonts w:ascii="Arial" w:eastAsia="Times New Roman" w:hAnsi="Arial" w:cs="Times New Roman"/>
      <w:b/>
      <w:color w:val="005A77"/>
      <w:spacing w:val="-6"/>
      <w:sz w:val="24"/>
      <w:szCs w:val="24"/>
      <w:lang w:val="en-US"/>
    </w:rPr>
  </w:style>
  <w:style w:type="paragraph" w:customStyle="1" w:styleId="Notetitle">
    <w:name w:val="Note title"/>
    <w:qFormat/>
    <w:rsid w:val="00E676BF"/>
    <w:pPr>
      <w:keepNext/>
      <w:numPr>
        <w:ilvl w:val="7"/>
        <w:numId w:val="19"/>
      </w:numPr>
      <w:spacing w:before="340" w:after="170" w:line="240" w:lineRule="auto"/>
    </w:pPr>
    <w:rPr>
      <w:rFonts w:ascii="Arial" w:eastAsia="MS Gothic" w:hAnsi="Arial" w:cs="Times New Roman"/>
      <w:b/>
      <w:bCs/>
      <w:iCs/>
      <w:color w:val="005A77"/>
      <w:spacing w:val="-6"/>
      <w:sz w:val="24"/>
      <w:szCs w:val="28"/>
      <w:lang w:val="en-US"/>
    </w:rPr>
  </w:style>
  <w:style w:type="paragraph" w:customStyle="1" w:styleId="Numberedpara2ndindent">
    <w:name w:val="Numbered para (2nd indent)"/>
    <w:basedOn w:val="Normal"/>
    <w:rsid w:val="00E676BF"/>
    <w:pPr>
      <w:numPr>
        <w:ilvl w:val="4"/>
        <w:numId w:val="19"/>
      </w:numPr>
      <w:spacing w:after="0"/>
    </w:pPr>
    <w:rPr>
      <w:rFonts w:ascii="Cambria" w:hAnsi="Cambria"/>
      <w:szCs w:val="24"/>
      <w:lang w:eastAsia="en-US"/>
    </w:rPr>
  </w:style>
  <w:style w:type="paragraph" w:customStyle="1" w:styleId="Numberedpara3rdindent">
    <w:name w:val="Numbered para (3rd indent)"/>
    <w:basedOn w:val="Normal"/>
    <w:rsid w:val="00E676BF"/>
    <w:pPr>
      <w:numPr>
        <w:ilvl w:val="5"/>
        <w:numId w:val="19"/>
      </w:numPr>
      <w:spacing w:after="0"/>
      <w:ind w:left="1135" w:hanging="284"/>
    </w:pPr>
    <w:rPr>
      <w:rFonts w:ascii="Cambria" w:hAnsi="Cambria"/>
      <w:szCs w:val="24"/>
      <w:lang w:eastAsia="en-US"/>
    </w:rPr>
  </w:style>
  <w:style w:type="paragraph" w:customStyle="1" w:styleId="Bullets1stindent">
    <w:name w:val="Bullets (1st indent)"/>
    <w:basedOn w:val="Normal"/>
    <w:link w:val="Bullets1stindentChar"/>
    <w:qFormat/>
    <w:rsid w:val="00E676BF"/>
    <w:pPr>
      <w:numPr>
        <w:numId w:val="20"/>
      </w:numPr>
      <w:ind w:left="850" w:hanging="425"/>
    </w:pPr>
    <w:rPr>
      <w:rFonts w:ascii="Cambria" w:hAnsi="Cambria"/>
      <w:szCs w:val="24"/>
      <w:lang w:eastAsia="en-US"/>
    </w:rPr>
  </w:style>
  <w:style w:type="paragraph" w:customStyle="1" w:styleId="Bullets1stindentlast">
    <w:name w:val="Bullets (1st indent) last"/>
    <w:basedOn w:val="Bullets1stindent"/>
    <w:rsid w:val="00E676BF"/>
    <w:pPr>
      <w:spacing w:after="200"/>
      <w:ind w:left="720" w:hanging="360"/>
    </w:pPr>
  </w:style>
  <w:style w:type="paragraph" w:customStyle="1" w:styleId="Bulletintro">
    <w:name w:val="Bullet intro"/>
    <w:basedOn w:val="Normal"/>
    <w:rsid w:val="00E676BF"/>
    <w:pPr>
      <w:spacing w:line="260" w:lineRule="atLeast"/>
    </w:pPr>
    <w:rPr>
      <w:rFonts w:ascii="Cambria" w:eastAsia="Cambria" w:hAnsi="Cambria"/>
      <w:szCs w:val="22"/>
      <w:lang w:eastAsia="en-US"/>
    </w:rPr>
  </w:style>
  <w:style w:type="paragraph" w:customStyle="1" w:styleId="Bullets1">
    <w:name w:val="Bullets 1"/>
    <w:basedOn w:val="ListParagraph"/>
    <w:link w:val="Bullets1Char"/>
    <w:uiPriority w:val="5"/>
    <w:qFormat/>
    <w:rsid w:val="00E676BF"/>
    <w:pPr>
      <w:numPr>
        <w:numId w:val="22"/>
      </w:numPr>
      <w:spacing w:before="120" w:after="120" w:line="240" w:lineRule="auto"/>
      <w:contextualSpacing w:val="0"/>
    </w:pPr>
    <w:rPr>
      <w:rFonts w:ascii="Calibri" w:hAnsi="Calibri"/>
    </w:rPr>
  </w:style>
  <w:style w:type="character" w:customStyle="1" w:styleId="Bullets1Char">
    <w:name w:val="Bullets 1 Char"/>
    <w:basedOn w:val="DefaultParagraphFont"/>
    <w:link w:val="Bullets1"/>
    <w:uiPriority w:val="5"/>
    <w:rsid w:val="00E676BF"/>
    <w:rPr>
      <w:rFonts w:ascii="Calibri" w:hAnsi="Calibri"/>
    </w:rPr>
  </w:style>
  <w:style w:type="paragraph" w:customStyle="1" w:styleId="Bullets2ndindent">
    <w:name w:val="Bullets (2nd indent)"/>
    <w:basedOn w:val="Bullets1stindent"/>
    <w:qFormat/>
    <w:rsid w:val="00ED0B5D"/>
    <w:pPr>
      <w:widowControl w:val="0"/>
      <w:numPr>
        <w:numId w:val="0"/>
      </w:numPr>
      <w:tabs>
        <w:tab w:val="num" w:pos="360"/>
        <w:tab w:val="num" w:pos="567"/>
      </w:tabs>
      <w:autoSpaceDE w:val="0"/>
      <w:autoSpaceDN w:val="0"/>
      <w:adjustRightInd w:val="0"/>
      <w:ind w:left="1418" w:hanging="425"/>
    </w:pPr>
    <w:rPr>
      <w:rFonts w:ascii="Times New Roman" w:eastAsiaTheme="minorEastAsia" w:hAnsi="Times New Roman"/>
      <w:bCs/>
      <w:sz w:val="24"/>
      <w:lang w:eastAsia="en-AU"/>
    </w:rPr>
  </w:style>
  <w:style w:type="character" w:customStyle="1" w:styleId="Bullets1stindentChar">
    <w:name w:val="Bullets (1st indent) Char"/>
    <w:basedOn w:val="DefaultParagraphFont"/>
    <w:link w:val="Bullets1stindent"/>
    <w:rsid w:val="00ED0B5D"/>
    <w:rPr>
      <w:rFonts w:ascii="Cambria" w:eastAsia="Times New Roman" w:hAnsi="Cambria" w:cs="Times New Roman"/>
      <w:szCs w:val="24"/>
    </w:rPr>
  </w:style>
  <w:style w:type="paragraph" w:customStyle="1" w:styleId="Normalnumbered">
    <w:name w:val="Normal numbered"/>
    <w:basedOn w:val="ListParagraph"/>
    <w:rsid w:val="00ED0B5D"/>
    <w:pPr>
      <w:widowControl w:val="0"/>
      <w:numPr>
        <w:numId w:val="25"/>
      </w:numPr>
      <w:autoSpaceDE w:val="0"/>
      <w:autoSpaceDN w:val="0"/>
      <w:adjustRightInd w:val="0"/>
      <w:spacing w:after="120" w:line="240" w:lineRule="auto"/>
      <w:contextualSpacing w:val="0"/>
    </w:pPr>
    <w:rPr>
      <w:rFonts w:ascii="Times New Roman" w:eastAsiaTheme="minorEastAsia" w:hAnsi="Times New Roman" w:cs="Times New Roman"/>
      <w:bCs/>
      <w:sz w:val="24"/>
      <w:szCs w:val="24"/>
      <w:lang w:eastAsia="en-AU"/>
    </w:rPr>
  </w:style>
  <w:style w:type="paragraph" w:customStyle="1" w:styleId="Heading1-NoTOC">
    <w:name w:val="Heading 1 - No TOC"/>
    <w:basedOn w:val="Heading1"/>
    <w:rsid w:val="00850D8E"/>
    <w:pPr>
      <w:outlineLvl w:val="9"/>
    </w:pPr>
  </w:style>
  <w:style w:type="paragraph" w:customStyle="1" w:styleId="Bullet-Indent">
    <w:name w:val="Bullet - Indent"/>
    <w:basedOn w:val="Bullet"/>
    <w:rsid w:val="00461E2E"/>
    <w:pPr>
      <w:tabs>
        <w:tab w:val="clear" w:pos="567"/>
        <w:tab w:val="left" w:pos="1134"/>
      </w:tabs>
      <w:ind w:left="1134"/>
    </w:pPr>
  </w:style>
  <w:style w:type="paragraph" w:customStyle="1" w:styleId="Header-Even">
    <w:name w:val="Header - Even"/>
    <w:basedOn w:val="Header"/>
    <w:rsid w:val="00D33904"/>
    <w:pPr>
      <w:spacing w:line="240" w:lineRule="auto"/>
      <w:jc w:val="left"/>
    </w:pPr>
  </w:style>
  <w:style w:type="paragraph" w:customStyle="1" w:styleId="Header-Odd">
    <w:name w:val="Header - Odd"/>
    <w:basedOn w:val="Header-Even"/>
    <w:rsid w:val="00D33904"/>
    <w:pPr>
      <w:jc w:val="right"/>
    </w:pPr>
  </w:style>
  <w:style w:type="paragraph" w:customStyle="1" w:styleId="Zero">
    <w:name w:val="Zero"/>
    <w:basedOn w:val="Normal"/>
    <w:rsid w:val="00A4214E"/>
    <w:pPr>
      <w:spacing w:after="0" w:line="240" w:lineRule="auto"/>
    </w:pPr>
    <w:rPr>
      <w:sz w:val="8"/>
    </w:rPr>
  </w:style>
  <w:style w:type="paragraph" w:customStyle="1" w:styleId="BoxNumber-Alpha">
    <w:name w:val="Box Number - Alpha"/>
    <w:basedOn w:val="BoxText"/>
    <w:rsid w:val="00461E2E"/>
    <w:pPr>
      <w:numPr>
        <w:numId w:val="43"/>
      </w:numPr>
      <w:spacing w:before="100" w:after="100"/>
    </w:pPr>
    <w:rPr>
      <w:rFonts w:cs="Arial"/>
      <w:szCs w:val="22"/>
    </w:rPr>
  </w:style>
  <w:style w:type="paragraph" w:customStyle="1" w:styleId="BoxHeading-Outside">
    <w:name w:val="Box Heading - Outside"/>
    <w:basedOn w:val="BoxHeading"/>
    <w:rsid w:val="00312730"/>
    <w:pPr>
      <w:tabs>
        <w:tab w:val="left" w:pos="851"/>
      </w:tabs>
      <w:spacing w:after="40"/>
      <w:ind w:left="851" w:hanging="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850D8E"/>
    <w:pPr>
      <w:pBdr>
        <w:bottom w:val="single" w:sz="12" w:space="11" w:color="004A7F"/>
      </w:pBdr>
      <w:spacing w:after="480"/>
      <w:outlineLvl w:val="0"/>
    </w:pPr>
    <w:rPr>
      <w:b/>
      <w:bCs w:val="0"/>
      <w:caps/>
      <w:sz w:val="44"/>
    </w:rPr>
  </w:style>
  <w:style w:type="paragraph" w:styleId="Heading2">
    <w:name w:val="heading 2"/>
    <w:basedOn w:val="HeadingBase"/>
    <w:next w:val="Normal"/>
    <w:link w:val="Heading2Char"/>
    <w:qFormat/>
    <w:rsid w:val="002A1A28"/>
    <w:pPr>
      <w:spacing w:before="240" w:after="240"/>
      <w:outlineLvl w:val="1"/>
    </w:pPr>
    <w:rPr>
      <w:b/>
      <w:bCs w:val="0"/>
      <w:iCs/>
      <w:color w:val="595959" w:themeColor="text1" w:themeTint="A6"/>
      <w:sz w:val="40"/>
      <w:szCs w:val="28"/>
    </w:rPr>
  </w:style>
  <w:style w:type="paragraph" w:styleId="Heading3">
    <w:name w:val="heading 3"/>
    <w:basedOn w:val="HeadingBase"/>
    <w:next w:val="Normal"/>
    <w:link w:val="Heading3Char"/>
    <w:qFormat/>
    <w:rsid w:val="00B11272"/>
    <w:pPr>
      <w:spacing w:before="240" w:after="240"/>
      <w:outlineLvl w:val="2"/>
    </w:pPr>
    <w:rPr>
      <w:b/>
      <w:bCs w:val="0"/>
      <w:sz w:val="32"/>
      <w:szCs w:val="26"/>
    </w:rPr>
  </w:style>
  <w:style w:type="paragraph" w:styleId="Heading4">
    <w:name w:val="heading 4"/>
    <w:basedOn w:val="HeadingBase"/>
    <w:next w:val="Normal"/>
    <w:link w:val="Heading4Char"/>
    <w:qFormat/>
    <w:rsid w:val="002A1A28"/>
    <w:pPr>
      <w:spacing w:before="240" w:after="180"/>
      <w:outlineLvl w:val="3"/>
    </w:pPr>
    <w:rPr>
      <w:b/>
      <w:bCs w:val="0"/>
      <w:color w:val="595959" w:themeColor="text1" w:themeTint="A6"/>
      <w:sz w:val="28"/>
      <w:szCs w:val="26"/>
    </w:rPr>
  </w:style>
  <w:style w:type="paragraph" w:styleId="Heading5">
    <w:name w:val="heading 5"/>
    <w:basedOn w:val="HeadingBase"/>
    <w:next w:val="Normal"/>
    <w:link w:val="Heading5Char"/>
    <w:qFormat/>
    <w:rsid w:val="002A1A28"/>
    <w:pPr>
      <w:spacing w:before="240" w:after="180"/>
      <w:outlineLvl w:val="4"/>
    </w:pPr>
    <w:rPr>
      <w:b/>
      <w:bCs w:val="0"/>
      <w:iCs/>
      <w:sz w:val="24"/>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0D8E"/>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2A1A28"/>
    <w:rPr>
      <w:rFonts w:ascii="Calibri" w:eastAsia="Times New Roman" w:hAnsi="Calibri" w:cs="Arial"/>
      <w:b/>
      <w:iCs/>
      <w:color w:val="595959" w:themeColor="text1" w:themeTint="A6"/>
      <w:kern w:val="32"/>
      <w:sz w:val="40"/>
      <w:szCs w:val="28"/>
      <w:lang w:eastAsia="en-AU"/>
    </w:rPr>
  </w:style>
  <w:style w:type="character" w:customStyle="1" w:styleId="Heading3Char">
    <w:name w:val="Heading 3 Char"/>
    <w:basedOn w:val="DefaultParagraphFont"/>
    <w:link w:val="Heading3"/>
    <w:rsid w:val="00B11272"/>
    <w:rPr>
      <w:rFonts w:ascii="Calibri" w:eastAsia="Times New Roman" w:hAnsi="Calibri" w:cs="Arial"/>
      <w:b/>
      <w:color w:val="004A7F"/>
      <w:kern w:val="32"/>
      <w:sz w:val="32"/>
      <w:szCs w:val="26"/>
      <w:lang w:eastAsia="en-AU"/>
    </w:rPr>
  </w:style>
  <w:style w:type="character" w:customStyle="1" w:styleId="Heading4Char">
    <w:name w:val="Heading 4 Char"/>
    <w:basedOn w:val="DefaultParagraphFont"/>
    <w:link w:val="Heading4"/>
    <w:rsid w:val="002A1A28"/>
    <w:rPr>
      <w:rFonts w:ascii="Calibri" w:eastAsia="Times New Roman" w:hAnsi="Calibri" w:cs="Arial"/>
      <w:b/>
      <w:color w:val="595959" w:themeColor="text1" w:themeTint="A6"/>
      <w:kern w:val="32"/>
      <w:sz w:val="28"/>
      <w:szCs w:val="26"/>
      <w:lang w:eastAsia="en-AU"/>
    </w:rPr>
  </w:style>
  <w:style w:type="character" w:customStyle="1" w:styleId="Heading5Char">
    <w:name w:val="Heading 5 Char"/>
    <w:basedOn w:val="DefaultParagraphFont"/>
    <w:link w:val="Heading5"/>
    <w:rsid w:val="002A1A28"/>
    <w:rPr>
      <w:rFonts w:ascii="Calibri" w:eastAsia="Times New Roman" w:hAnsi="Calibri" w:cs="Arial"/>
      <w:b/>
      <w:iCs/>
      <w:color w:val="004A7F"/>
      <w:kern w:val="32"/>
      <w:sz w:val="24"/>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A4214E"/>
    <w:pPr>
      <w:keepNext/>
      <w:spacing w:before="120" w:after="120" w:line="240" w:lineRule="auto"/>
    </w:pPr>
    <w:rPr>
      <w:b/>
      <w:caps/>
      <w:color w:val="004A7F"/>
      <w:sz w:val="24"/>
      <w:szCs w:val="26"/>
    </w:rPr>
  </w:style>
  <w:style w:type="paragraph" w:customStyle="1" w:styleId="BoxText">
    <w:name w:val="Box Text"/>
    <w:basedOn w:val="Normal"/>
    <w:rsid w:val="00312730"/>
    <w:pPr>
      <w:spacing w:before="120" w:after="120"/>
      <w:ind w:right="57"/>
    </w:pPr>
    <w:rPr>
      <w:rFonts w:ascii="Arial" w:hAnsi="Arial"/>
      <w:sz w:val="19"/>
    </w:rPr>
  </w:style>
  <w:style w:type="paragraph" w:customStyle="1" w:styleId="Bullet">
    <w:name w:val="Bullet"/>
    <w:aliases w:val="Body,Bullet + line,b,b + line,b1,level 1"/>
    <w:basedOn w:val="Normal"/>
    <w:link w:val="BulletCharChar"/>
    <w:qFormat/>
    <w:rsid w:val="00461E2E"/>
    <w:pPr>
      <w:numPr>
        <w:numId w:val="1"/>
      </w:numPr>
      <w:tabs>
        <w:tab w:val="left" w:pos="567"/>
      </w:tabs>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850D8E"/>
    <w:pPr>
      <w:keepNext/>
      <w:spacing w:after="360" w:line="240" w:lineRule="auto"/>
      <w:ind w:right="142"/>
      <w:jc w:val="right"/>
    </w:pPr>
    <w:rPr>
      <w:color w:val="004A7F"/>
      <w:sz w:val="44"/>
    </w:rPr>
  </w:style>
  <w:style w:type="paragraph" w:customStyle="1" w:styleId="Dash">
    <w:name w:val="Dash"/>
    <w:basedOn w:val="Normal"/>
    <w:qFormat/>
    <w:rsid w:val="000E0B74"/>
    <w:pPr>
      <w:numPr>
        <w:ilvl w:val="1"/>
        <w:numId w:val="1"/>
      </w:numPr>
      <w:ind w:left="568"/>
    </w:pPr>
  </w:style>
  <w:style w:type="paragraph" w:customStyle="1" w:styleId="DoubleDot">
    <w:name w:val="Double Dot"/>
    <w:basedOn w:val="Normal"/>
    <w:qFormat/>
    <w:rsid w:val="000E0B74"/>
    <w:pPr>
      <w:numPr>
        <w:ilvl w:val="2"/>
        <w:numId w:val="1"/>
      </w:numPr>
      <w:ind w:left="851" w:hanging="284"/>
    </w:pPr>
  </w:style>
  <w:style w:type="paragraph" w:customStyle="1" w:styleId="TableMainHeading">
    <w:name w:val="Table Main Heading"/>
    <w:basedOn w:val="Heading3"/>
    <w:next w:val="Normal"/>
    <w:qFormat/>
    <w:rsid w:val="00B11272"/>
    <w:pPr>
      <w:spacing w:before="120" w:after="40"/>
      <w:outlineLvl w:val="9"/>
    </w:pPr>
    <w:rPr>
      <w:rFonts w:ascii="Arial" w:hAnsi="Arial"/>
      <w:caps/>
      <w:color w:val="595959" w:themeColor="text1" w:themeTint="A6"/>
      <w:sz w:val="22"/>
    </w:rPr>
  </w:style>
  <w:style w:type="paragraph" w:customStyle="1" w:styleId="FooterEven">
    <w:name w:val="Footer Even"/>
    <w:basedOn w:val="Footer"/>
    <w:rsid w:val="00D33904"/>
    <w:pPr>
      <w:keepNext/>
      <w:tabs>
        <w:tab w:val="clear" w:pos="4513"/>
        <w:tab w:val="clear" w:pos="9026"/>
      </w:tabs>
      <w:spacing w:line="240" w:lineRule="auto"/>
      <w:jc w:val="left"/>
    </w:pPr>
    <w:rPr>
      <w:noProof/>
    </w:rPr>
  </w:style>
  <w:style w:type="paragraph" w:customStyle="1" w:styleId="FooterOdd">
    <w:name w:val="Footer Odd"/>
    <w:basedOn w:val="Footer"/>
    <w:rsid w:val="00D33904"/>
    <w:pPr>
      <w:keepNext/>
      <w:tabs>
        <w:tab w:val="clear" w:pos="4513"/>
        <w:tab w:val="clear" w:pos="9026"/>
      </w:tabs>
      <w:spacing w:line="240" w:lineRule="auto"/>
      <w:jc w:val="right"/>
    </w:pPr>
  </w:style>
  <w:style w:type="character" w:styleId="Hyperlink">
    <w:name w:val="Hyperlink"/>
    <w:basedOn w:val="DefaultParagraphFont"/>
    <w:uiPriority w:val="99"/>
    <w:rsid w:val="00850D8E"/>
    <w:rPr>
      <w:b/>
      <w:color w:val="004A7F"/>
      <w:u w:val="none"/>
    </w:rPr>
  </w:style>
  <w:style w:type="paragraph" w:customStyle="1" w:styleId="OutlineNumbered1">
    <w:name w:val="Outline Numbered 1"/>
    <w:basedOn w:val="Normal"/>
    <w:rsid w:val="00461E2E"/>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qFormat/>
    <w:rsid w:val="00172580"/>
    <w:rPr>
      <w:rFonts w:ascii="Arial Bold" w:hAnsi="Arial Bold"/>
      <w:b/>
      <w:caps/>
      <w:color w:val="004A7F"/>
      <w:sz w:val="19"/>
    </w:rPr>
  </w:style>
  <w:style w:type="paragraph" w:customStyle="1" w:styleId="TableColumnHeadingRight">
    <w:name w:val="Table Column Heading Right"/>
    <w:basedOn w:val="TableColumnHeadingLeft"/>
    <w:rsid w:val="002A1A28"/>
    <w:pPr>
      <w:jc w:val="right"/>
    </w:p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qFormat/>
    <w:rsid w:val="00172580"/>
    <w:pPr>
      <w:jc w:val="left"/>
    </w:pPr>
  </w:style>
  <w:style w:type="paragraph" w:customStyle="1" w:styleId="TableTextRight">
    <w:name w:val="Table Text Right"/>
    <w:basedOn w:val="Normal"/>
    <w:rsid w:val="003C39B6"/>
    <w:pPr>
      <w:spacing w:before="80" w:after="80" w:line="240" w:lineRule="auto"/>
      <w:jc w:val="right"/>
    </w:pPr>
    <w:rPr>
      <w:rFonts w:ascii="Arial" w:hAnsi="Arial"/>
      <w:color w:val="000000"/>
      <w:sz w:val="18"/>
    </w:rPr>
  </w:style>
  <w:style w:type="paragraph" w:styleId="TOC1">
    <w:name w:val="toc 1"/>
    <w:basedOn w:val="Normal"/>
    <w:next w:val="Normal"/>
    <w:uiPriority w:val="39"/>
    <w:qFormat/>
    <w:rsid w:val="00850D8E"/>
    <w:pPr>
      <w:keepNext/>
      <w:tabs>
        <w:tab w:val="right" w:leader="dot" w:pos="9072"/>
      </w:tabs>
      <w:spacing w:before="120" w:after="120" w:line="240" w:lineRule="auto"/>
      <w:ind w:right="848"/>
      <w:jc w:val="left"/>
    </w:pPr>
    <w:rPr>
      <w:b/>
      <w:caps/>
      <w:noProof/>
      <w:color w:val="004A7F"/>
      <w:szCs w:val="22"/>
    </w:rPr>
  </w:style>
  <w:style w:type="paragraph" w:styleId="TOC2">
    <w:name w:val="toc 2"/>
    <w:basedOn w:val="Normal"/>
    <w:next w:val="Normal"/>
    <w:uiPriority w:val="39"/>
    <w:qFormat/>
    <w:rsid w:val="00A049DE"/>
    <w:pPr>
      <w:keepNext/>
      <w:tabs>
        <w:tab w:val="right" w:leader="dot" w:pos="9072"/>
      </w:tabs>
      <w:spacing w:before="80" w:after="80" w:line="240" w:lineRule="auto"/>
      <w:ind w:left="284" w:right="567"/>
    </w:pPr>
    <w:rPr>
      <w:noProof/>
      <w:color w:val="595959" w:themeColor="text1" w:themeTint="A6"/>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50D8E"/>
    <w:pPr>
      <w:spacing w:after="720" w:line="240" w:lineRule="auto"/>
      <w:contextualSpacing/>
      <w:jc w:val="right"/>
    </w:pPr>
    <w:rPr>
      <w:rFonts w:eastAsiaTheme="majorEastAsia" w:cstheme="majorBidi"/>
      <w:b/>
      <w:caps/>
      <w:color w:val="004A7F"/>
      <w:spacing w:val="5"/>
      <w:kern w:val="28"/>
      <w:sz w:val="56"/>
      <w:szCs w:val="52"/>
    </w:rPr>
  </w:style>
  <w:style w:type="character" w:customStyle="1" w:styleId="TitleChar">
    <w:name w:val="Title Char"/>
    <w:basedOn w:val="DefaultParagraphFont"/>
    <w:link w:val="Title"/>
    <w:uiPriority w:val="10"/>
    <w:rsid w:val="00850D8E"/>
    <w:rPr>
      <w:rFonts w:ascii="Calibri" w:eastAsiaTheme="majorEastAsia" w:hAnsi="Calibri" w:cstheme="majorBidi"/>
      <w:b/>
      <w:caps/>
      <w:color w:val="004A7F"/>
      <w:spacing w:val="5"/>
      <w:kern w:val="28"/>
      <w:sz w:val="56"/>
      <w:szCs w:val="52"/>
      <w:lang w:eastAsia="en-AU"/>
    </w:rPr>
  </w:style>
  <w:style w:type="paragraph" w:styleId="Subtitle">
    <w:name w:val="Subtitle"/>
    <w:basedOn w:val="Normal"/>
    <w:next w:val="Normal"/>
    <w:link w:val="SubtitleChar"/>
    <w:uiPriority w:val="2"/>
    <w:qFormat/>
    <w:rsid w:val="00850D8E"/>
    <w:pPr>
      <w:numPr>
        <w:ilvl w:val="1"/>
      </w:numPr>
      <w:spacing w:after="720" w:line="240" w:lineRule="auto"/>
      <w:jc w:val="right"/>
    </w:pPr>
    <w:rPr>
      <w:rFonts w:eastAsiaTheme="majorEastAsia" w:cstheme="majorBidi"/>
      <w:b/>
      <w:iCs/>
      <w:caps/>
      <w:color w:val="7F7F7F" w:themeColor="text1" w:themeTint="80"/>
      <w:sz w:val="48"/>
      <w:szCs w:val="44"/>
    </w:rPr>
  </w:style>
  <w:style w:type="character" w:customStyle="1" w:styleId="SubtitleChar">
    <w:name w:val="Subtitle Char"/>
    <w:basedOn w:val="DefaultParagraphFont"/>
    <w:link w:val="Subtitle"/>
    <w:uiPriority w:val="2"/>
    <w:rsid w:val="00850D8E"/>
    <w:rPr>
      <w:rFonts w:ascii="Calibri" w:eastAsiaTheme="majorEastAsia" w:hAnsi="Calibri" w:cstheme="majorBidi"/>
      <w:b/>
      <w:iCs/>
      <w:caps/>
      <w:color w:val="7F7F7F" w:themeColor="text1" w:themeTint="80"/>
      <w:sz w:val="48"/>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850D8E"/>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qFormat/>
    <w:rsid w:val="00461E2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461E2E"/>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Char">
    <w:name w:val="Bullet Char Char"/>
    <w:basedOn w:val="DefaultParagraphFont"/>
    <w:link w:val="Bullet"/>
    <w:locked/>
    <w:rsid w:val="00461E2E"/>
    <w:rPr>
      <w:rFonts w:ascii="Calibri" w:eastAsia="Times New Roman" w:hAnsi="Calibri" w:cs="Times New Roman"/>
      <w:szCs w:val="20"/>
      <w:lang w:eastAsia="en-AU"/>
    </w:rPr>
  </w:style>
  <w:style w:type="paragraph" w:styleId="ListParagraph">
    <w:name w:val="List Paragraph"/>
    <w:aliases w:val="NFP GP Bulleted List,List Paragraph1,Recommendation"/>
    <w:basedOn w:val="Normal"/>
    <w:uiPriority w:val="34"/>
    <w:qFormat/>
    <w:rsid w:val="00DA2DF6"/>
    <w:pPr>
      <w:spacing w:after="200" w:line="276" w:lineRule="auto"/>
      <w:ind w:left="720"/>
      <w:contextualSpacing/>
    </w:pPr>
    <w:rPr>
      <w:rFonts w:asciiTheme="minorHAnsi" w:eastAsiaTheme="minorHAnsi" w:hAnsiTheme="minorHAnsi" w:cstheme="minorBidi"/>
      <w:szCs w:val="22"/>
      <w:lang w:eastAsia="en-US"/>
    </w:rPr>
  </w:style>
  <w:style w:type="character" w:customStyle="1" w:styleId="BulletChar">
    <w:name w:val="Bullet Char"/>
    <w:aliases w:val="b Char,b + line Char Char,b Char Char"/>
    <w:basedOn w:val="DefaultParagraphFont"/>
    <w:locked/>
    <w:rsid w:val="00DA2DF6"/>
    <w:rPr>
      <w:rFonts w:ascii="Calibri" w:eastAsia="Times New Roman" w:hAnsi="Calibri" w:cs="Times New Roman"/>
      <w:color w:val="000000"/>
      <w:szCs w:val="20"/>
      <w:lang w:eastAsia="en-AU"/>
    </w:rPr>
  </w:style>
  <w:style w:type="paragraph" w:customStyle="1" w:styleId="TableRowHeadingLeft">
    <w:name w:val="Table Row Heading Left"/>
    <w:basedOn w:val="Bullet"/>
    <w:qFormat/>
    <w:rsid w:val="00172580"/>
    <w:pPr>
      <w:numPr>
        <w:numId w:val="0"/>
      </w:numPr>
      <w:spacing w:before="80" w:after="80" w:line="240" w:lineRule="auto"/>
      <w:jc w:val="left"/>
    </w:pPr>
    <w:rPr>
      <w:rFonts w:ascii="Arial" w:eastAsia="Calibri" w:hAnsi="Arial"/>
      <w:b/>
      <w:bCs/>
      <w:color w:val="004A7F"/>
      <w:sz w:val="18"/>
      <w:szCs w:val="19"/>
    </w:rPr>
  </w:style>
  <w:style w:type="paragraph" w:customStyle="1" w:styleId="TableTexLeft-Bullets">
    <w:name w:val="Table Tex Left - Bullets"/>
    <w:basedOn w:val="Bullet"/>
    <w:qFormat/>
    <w:rsid w:val="00DA2DF6"/>
    <w:pPr>
      <w:tabs>
        <w:tab w:val="left" w:pos="319"/>
        <w:tab w:val="num" w:pos="2410"/>
      </w:tabs>
      <w:spacing w:before="80" w:after="80" w:line="240" w:lineRule="exact"/>
      <w:ind w:left="318" w:hanging="318"/>
    </w:pPr>
    <w:rPr>
      <w:rFonts w:ascii="Helvetica" w:eastAsia="Calibri" w:hAnsi="Helvetica"/>
      <w:color w:val="000000" w:themeColor="text1" w:themeShade="BF"/>
      <w:sz w:val="19"/>
      <w:szCs w:val="19"/>
    </w:rPr>
  </w:style>
  <w:style w:type="paragraph" w:customStyle="1" w:styleId="BoxQuestions">
    <w:name w:val="Box Questions"/>
    <w:qFormat/>
    <w:rsid w:val="00982781"/>
    <w:pPr>
      <w:numPr>
        <w:numId w:val="12"/>
      </w:numPr>
      <w:spacing w:before="120" w:after="120" w:line="280" w:lineRule="exact"/>
      <w:ind w:right="57"/>
      <w:jc w:val="both"/>
    </w:pPr>
    <w:rPr>
      <w:rFonts w:ascii="Helvetica" w:hAnsi="Helvetica"/>
      <w:sz w:val="19"/>
      <w:szCs w:val="19"/>
    </w:rPr>
  </w:style>
  <w:style w:type="paragraph" w:customStyle="1" w:styleId="BoxQuestions-Heading">
    <w:name w:val="Box Questions - Heading"/>
    <w:basedOn w:val="Normal"/>
    <w:qFormat/>
    <w:rsid w:val="00DA2DF6"/>
    <w:rPr>
      <w:rFonts w:ascii="Helvetica" w:hAnsi="Helvetica"/>
      <w:b/>
      <w:color w:val="44546A" w:themeColor="text2"/>
    </w:rPr>
  </w:style>
  <w:style w:type="table" w:customStyle="1" w:styleId="boxQuestions0">
    <w:name w:val="boxQuestions"/>
    <w:basedOn w:val="TableNormal"/>
    <w:uiPriority w:val="99"/>
    <w:rsid w:val="00DA2DF6"/>
    <w:pPr>
      <w:spacing w:after="0" w:line="240" w:lineRule="auto"/>
    </w:pPr>
    <w:tblPr>
      <w:tblInd w:w="0" w:type="nil"/>
    </w:tblPr>
  </w:style>
  <w:style w:type="table" w:styleId="LightShading">
    <w:name w:val="Light Shading"/>
    <w:basedOn w:val="TableNormal"/>
    <w:uiPriority w:val="60"/>
    <w:rsid w:val="00DA2D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NotNumbered">
    <w:name w:val="Heading 2 Not Numbered"/>
    <w:basedOn w:val="Normal"/>
    <w:next w:val="Normal"/>
    <w:rsid w:val="00B11272"/>
    <w:pPr>
      <w:keepNext/>
      <w:spacing w:before="360" w:line="240" w:lineRule="auto"/>
      <w:jc w:val="left"/>
      <w:outlineLvl w:val="1"/>
    </w:pPr>
    <w:rPr>
      <w:b/>
      <w:color w:val="595959" w:themeColor="text1" w:themeTint="A6"/>
      <w:sz w:val="40"/>
      <w:szCs w:val="28"/>
    </w:rPr>
  </w:style>
  <w:style w:type="paragraph" w:customStyle="1" w:styleId="TableMainHeadingCont">
    <w:name w:val="Table Main Heading (Cont)"/>
    <w:basedOn w:val="TableMainHeading"/>
    <w:qFormat/>
    <w:rsid w:val="00DA2DF6"/>
    <w:pPr>
      <w:spacing w:before="0" w:line="276" w:lineRule="auto"/>
    </w:pPr>
    <w:rPr>
      <w:rFonts w:asciiTheme="minorHAnsi" w:eastAsiaTheme="minorHAnsi" w:hAnsiTheme="minorHAnsi" w:cstheme="minorBidi"/>
      <w:color w:val="44546A" w:themeColor="text2"/>
      <w:kern w:val="0"/>
      <w:sz w:val="24"/>
      <w:szCs w:val="22"/>
      <w:lang w:eastAsia="en-US"/>
    </w:rPr>
  </w:style>
  <w:style w:type="paragraph" w:customStyle="1" w:styleId="SingleParagraphDouble">
    <w:name w:val="Single Paragraph Double"/>
    <w:basedOn w:val="SingleParagraph"/>
    <w:qFormat/>
    <w:rsid w:val="00DA2DF6"/>
    <w:rPr>
      <w:color w:val="000000"/>
      <w:sz w:val="44"/>
      <w:szCs w:val="40"/>
    </w:rPr>
  </w:style>
  <w:style w:type="paragraph" w:styleId="NormalWeb">
    <w:name w:val="Normal (Web)"/>
    <w:basedOn w:val="Normal"/>
    <w:uiPriority w:val="99"/>
    <w:semiHidden/>
    <w:unhideWhenUsed/>
    <w:rsid w:val="00DA2DF6"/>
    <w:pPr>
      <w:spacing w:before="100" w:beforeAutospacing="1" w:after="100" w:afterAutospacing="1"/>
    </w:pPr>
    <w:rPr>
      <w:rFonts w:ascii="Times New Roman" w:hAnsi="Times New Roman"/>
      <w:sz w:val="24"/>
      <w:szCs w:val="24"/>
    </w:rPr>
  </w:style>
  <w:style w:type="table" w:customStyle="1" w:styleId="tableASIC">
    <w:name w:val="tableASIC"/>
    <w:basedOn w:val="TableNormal"/>
    <w:uiPriority w:val="99"/>
    <w:rsid w:val="00DA2DF6"/>
    <w:pPr>
      <w:spacing w:after="0" w:line="240" w:lineRule="auto"/>
    </w:pPr>
    <w:tblPr>
      <w:tblInd w:w="0" w:type="nil"/>
    </w:tblPr>
  </w:style>
  <w:style w:type="character" w:styleId="CommentReference">
    <w:name w:val="annotation reference"/>
    <w:basedOn w:val="DefaultParagraphFont"/>
    <w:uiPriority w:val="99"/>
    <w:semiHidden/>
    <w:unhideWhenUsed/>
    <w:rsid w:val="00DA2DF6"/>
    <w:rPr>
      <w:sz w:val="16"/>
      <w:szCs w:val="16"/>
    </w:rPr>
  </w:style>
  <w:style w:type="paragraph" w:styleId="CommentText">
    <w:name w:val="annotation text"/>
    <w:basedOn w:val="Normal"/>
    <w:link w:val="CommentTextChar"/>
    <w:uiPriority w:val="99"/>
    <w:semiHidden/>
    <w:unhideWhenUsed/>
    <w:rsid w:val="00DA2DF6"/>
    <w:rPr>
      <w:sz w:val="20"/>
    </w:rPr>
  </w:style>
  <w:style w:type="character" w:customStyle="1" w:styleId="CommentTextChar">
    <w:name w:val="Comment Text Char"/>
    <w:basedOn w:val="DefaultParagraphFont"/>
    <w:link w:val="CommentText"/>
    <w:uiPriority w:val="99"/>
    <w:semiHidden/>
    <w:rsid w:val="00DA2DF6"/>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A2DF6"/>
    <w:rPr>
      <w:b/>
      <w:bCs/>
    </w:rPr>
  </w:style>
  <w:style w:type="character" w:customStyle="1" w:styleId="CommentSubjectChar">
    <w:name w:val="Comment Subject Char"/>
    <w:basedOn w:val="CommentTextChar"/>
    <w:link w:val="CommentSubject"/>
    <w:uiPriority w:val="99"/>
    <w:semiHidden/>
    <w:rsid w:val="00DA2DF6"/>
    <w:rPr>
      <w:rFonts w:ascii="Calibri" w:eastAsia="Times New Roman" w:hAnsi="Calibri" w:cs="Times New Roman"/>
      <w:b/>
      <w:bCs/>
      <w:sz w:val="20"/>
      <w:szCs w:val="20"/>
      <w:lang w:eastAsia="en-AU"/>
    </w:rPr>
  </w:style>
  <w:style w:type="paragraph" w:customStyle="1" w:styleId="Default">
    <w:name w:val="Default"/>
    <w:rsid w:val="00DA2D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Level1">
    <w:name w:val="Para Level 1"/>
    <w:link w:val="ParaLevel1Char"/>
    <w:uiPriority w:val="4"/>
    <w:qFormat/>
    <w:rsid w:val="00DA2DF6"/>
    <w:pPr>
      <w:numPr>
        <w:numId w:val="16"/>
      </w:numPr>
      <w:spacing w:before="200" w:after="0" w:line="240" w:lineRule="auto"/>
    </w:pPr>
    <w:rPr>
      <w:rFonts w:ascii="Century Gothic" w:eastAsia="Times New Roman" w:hAnsi="Century Gothic" w:cs="Arial"/>
      <w:sz w:val="20"/>
      <w:szCs w:val="20"/>
      <w:lang w:val="en-US" w:eastAsia="en-AU"/>
    </w:rPr>
  </w:style>
  <w:style w:type="character" w:customStyle="1" w:styleId="ParaLevel1Char">
    <w:name w:val="Para Level 1 Char"/>
    <w:basedOn w:val="DefaultParagraphFont"/>
    <w:link w:val="ParaLevel1"/>
    <w:uiPriority w:val="4"/>
    <w:rsid w:val="00DA2DF6"/>
    <w:rPr>
      <w:rFonts w:ascii="Century Gothic" w:eastAsia="Times New Roman" w:hAnsi="Century Gothic" w:cs="Arial"/>
      <w:sz w:val="20"/>
      <w:szCs w:val="20"/>
      <w:lang w:val="en-US" w:eastAsia="en-AU"/>
    </w:rPr>
  </w:style>
  <w:style w:type="paragraph" w:customStyle="1" w:styleId="ParaLevel2">
    <w:name w:val="Para Level 2"/>
    <w:basedOn w:val="ParaLevel1"/>
    <w:uiPriority w:val="4"/>
    <w:qFormat/>
    <w:rsid w:val="00DA2DF6"/>
    <w:pPr>
      <w:numPr>
        <w:ilvl w:val="1"/>
      </w:numPr>
      <w:tabs>
        <w:tab w:val="num" w:pos="360"/>
        <w:tab w:val="num" w:pos="567"/>
      </w:tabs>
      <w:ind w:left="567" w:hanging="284"/>
    </w:pPr>
  </w:style>
  <w:style w:type="paragraph" w:customStyle="1" w:styleId="ParaLevel3">
    <w:name w:val="Para Level 3"/>
    <w:basedOn w:val="ParaLevel2"/>
    <w:uiPriority w:val="4"/>
    <w:qFormat/>
    <w:rsid w:val="00DA2DF6"/>
    <w:pPr>
      <w:numPr>
        <w:ilvl w:val="2"/>
      </w:numPr>
      <w:tabs>
        <w:tab w:val="num" w:pos="360"/>
        <w:tab w:val="num" w:pos="567"/>
        <w:tab w:val="num" w:pos="850"/>
      </w:tabs>
      <w:ind w:left="1701" w:hanging="708"/>
    </w:pPr>
  </w:style>
  <w:style w:type="paragraph" w:customStyle="1" w:styleId="callout">
    <w:name w:val="callout"/>
    <w:basedOn w:val="Normal"/>
    <w:rsid w:val="00DA2DF6"/>
    <w:pPr>
      <w:spacing w:after="0"/>
    </w:pPr>
    <w:rPr>
      <w:rFonts w:ascii="Times New Roman" w:hAnsi="Times New Roman"/>
      <w:color w:val="6E56A3"/>
      <w:sz w:val="36"/>
      <w:szCs w:val="36"/>
    </w:rPr>
  </w:style>
  <w:style w:type="paragraph" w:styleId="Revision">
    <w:name w:val="Revision"/>
    <w:hidden/>
    <w:uiPriority w:val="99"/>
    <w:semiHidden/>
    <w:rsid w:val="00DA2DF6"/>
    <w:pPr>
      <w:spacing w:after="0" w:line="240" w:lineRule="auto"/>
    </w:pPr>
    <w:rPr>
      <w:rFonts w:ascii="Calibri" w:eastAsia="Times New Roman" w:hAnsi="Calibri" w:cs="Times New Roman"/>
      <w:szCs w:val="20"/>
      <w:lang w:eastAsia="en-AU"/>
    </w:rPr>
  </w:style>
  <w:style w:type="table" w:styleId="MediumList1-Accent1">
    <w:name w:val="Medium List 1 Accent 1"/>
    <w:basedOn w:val="TableNormal"/>
    <w:uiPriority w:val="65"/>
    <w:rsid w:val="00DA2DF6"/>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character" w:styleId="FollowedHyperlink">
    <w:name w:val="FollowedHyperlink"/>
    <w:basedOn w:val="DefaultParagraphFont"/>
    <w:uiPriority w:val="99"/>
    <w:semiHidden/>
    <w:unhideWhenUsed/>
    <w:rsid w:val="00DA2DF6"/>
    <w:rPr>
      <w:color w:val="954F72" w:themeColor="followedHyperlink"/>
      <w:u w:val="single"/>
    </w:rPr>
  </w:style>
  <w:style w:type="paragraph" w:customStyle="1" w:styleId="font5">
    <w:name w:val="font5"/>
    <w:basedOn w:val="Normal"/>
    <w:rsid w:val="00DA2DF6"/>
    <w:pPr>
      <w:spacing w:before="100" w:beforeAutospacing="1" w:after="100" w:afterAutospacing="1"/>
    </w:pPr>
    <w:rPr>
      <w:b/>
      <w:bCs/>
      <w:color w:val="000000"/>
      <w:sz w:val="20"/>
    </w:rPr>
  </w:style>
  <w:style w:type="paragraph" w:customStyle="1" w:styleId="font6">
    <w:name w:val="font6"/>
    <w:basedOn w:val="Normal"/>
    <w:rsid w:val="00DA2DF6"/>
    <w:pPr>
      <w:spacing w:before="100" w:beforeAutospacing="1" w:after="100" w:afterAutospacing="1"/>
    </w:pPr>
    <w:rPr>
      <w:color w:val="FF0000"/>
      <w:sz w:val="20"/>
    </w:rPr>
  </w:style>
  <w:style w:type="paragraph" w:customStyle="1" w:styleId="font7">
    <w:name w:val="font7"/>
    <w:basedOn w:val="Normal"/>
    <w:rsid w:val="00DA2DF6"/>
    <w:pPr>
      <w:spacing w:before="100" w:beforeAutospacing="1" w:after="100" w:afterAutospacing="1"/>
    </w:pPr>
    <w:rPr>
      <w:color w:val="000000"/>
      <w:sz w:val="20"/>
    </w:rPr>
  </w:style>
  <w:style w:type="paragraph" w:customStyle="1" w:styleId="font8">
    <w:name w:val="font8"/>
    <w:basedOn w:val="Normal"/>
    <w:rsid w:val="00DA2DF6"/>
    <w:pPr>
      <w:spacing w:before="100" w:beforeAutospacing="1" w:after="100" w:afterAutospacing="1"/>
    </w:pPr>
    <w:rPr>
      <w:color w:val="000000"/>
      <w:sz w:val="20"/>
    </w:rPr>
  </w:style>
  <w:style w:type="paragraph" w:customStyle="1" w:styleId="font9">
    <w:name w:val="font9"/>
    <w:basedOn w:val="Normal"/>
    <w:rsid w:val="00DA2DF6"/>
    <w:pPr>
      <w:spacing w:before="100" w:beforeAutospacing="1" w:after="100" w:afterAutospacing="1"/>
    </w:pPr>
    <w:rPr>
      <w:b/>
      <w:bCs/>
      <w:color w:val="000000"/>
      <w:sz w:val="20"/>
      <w:u w:val="single"/>
    </w:rPr>
  </w:style>
  <w:style w:type="paragraph" w:customStyle="1" w:styleId="xl65">
    <w:name w:val="xl65"/>
    <w:basedOn w:val="Normal"/>
    <w:rsid w:val="00DA2DF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hAnsi="Times New Roman"/>
      <w:color w:val="FF0000"/>
      <w:sz w:val="20"/>
    </w:rPr>
  </w:style>
  <w:style w:type="paragraph" w:customStyle="1" w:styleId="xl66">
    <w:name w:val="xl66"/>
    <w:basedOn w:val="Normal"/>
    <w:rsid w:val="00DA2D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FF0000"/>
      <w:sz w:val="20"/>
    </w:rPr>
  </w:style>
  <w:style w:type="paragraph" w:customStyle="1" w:styleId="xl67">
    <w:name w:val="xl67"/>
    <w:basedOn w:val="Normal"/>
    <w:rsid w:val="00DA2DF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hAnsi="Times New Roman"/>
      <w:color w:val="FF0000"/>
      <w:sz w:val="20"/>
    </w:rPr>
  </w:style>
  <w:style w:type="paragraph" w:customStyle="1" w:styleId="xl68">
    <w:name w:val="xl68"/>
    <w:basedOn w:val="Normal"/>
    <w:rsid w:val="00DA2DF6"/>
    <w:pPr>
      <w:spacing w:before="100" w:beforeAutospacing="1" w:after="100" w:afterAutospacing="1"/>
    </w:pPr>
    <w:rPr>
      <w:rFonts w:ascii="Times New Roman" w:hAnsi="Times New Roman"/>
      <w:sz w:val="20"/>
    </w:rPr>
  </w:style>
  <w:style w:type="paragraph" w:customStyle="1" w:styleId="xl69">
    <w:name w:val="xl69"/>
    <w:basedOn w:val="Normal"/>
    <w:rsid w:val="00DA2DF6"/>
    <w:pPr>
      <w:spacing w:before="100" w:beforeAutospacing="1" w:after="100" w:afterAutospacing="1"/>
    </w:pPr>
    <w:rPr>
      <w:rFonts w:ascii="Times New Roman" w:hAnsi="Times New Roman"/>
      <w:sz w:val="20"/>
    </w:rPr>
  </w:style>
  <w:style w:type="paragraph" w:customStyle="1" w:styleId="xl70">
    <w:name w:val="xl70"/>
    <w:basedOn w:val="Normal"/>
    <w:rsid w:val="00DA2DF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b/>
      <w:bCs/>
      <w:sz w:val="20"/>
    </w:rPr>
  </w:style>
  <w:style w:type="paragraph" w:customStyle="1" w:styleId="xl71">
    <w:name w:val="xl71"/>
    <w:basedOn w:val="Normal"/>
    <w:rsid w:val="00DA2DF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Times New Roman" w:hAnsi="Times New Roman"/>
      <w:b/>
      <w:bCs/>
      <w:sz w:val="20"/>
    </w:rPr>
  </w:style>
  <w:style w:type="paragraph" w:customStyle="1" w:styleId="xl72">
    <w:name w:val="xl72"/>
    <w:basedOn w:val="Normal"/>
    <w:rsid w:val="00DA2DF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color w:val="FF0000"/>
      <w:sz w:val="20"/>
    </w:rPr>
  </w:style>
  <w:style w:type="paragraph" w:customStyle="1" w:styleId="xl73">
    <w:name w:val="xl73"/>
    <w:basedOn w:val="Normal"/>
    <w:rsid w:val="00DA2DF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b/>
      <w:bCs/>
      <w:sz w:val="20"/>
    </w:rPr>
  </w:style>
  <w:style w:type="paragraph" w:customStyle="1" w:styleId="xl74">
    <w:name w:val="xl74"/>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0"/>
    </w:rPr>
  </w:style>
  <w:style w:type="paragraph" w:customStyle="1" w:styleId="xl75">
    <w:name w:val="xl75"/>
    <w:basedOn w:val="Normal"/>
    <w:rsid w:val="00DA2D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sz w:val="20"/>
    </w:rPr>
  </w:style>
  <w:style w:type="paragraph" w:customStyle="1" w:styleId="xl76">
    <w:name w:val="xl76"/>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rPr>
  </w:style>
  <w:style w:type="paragraph" w:customStyle="1" w:styleId="xl77">
    <w:name w:val="xl77"/>
    <w:basedOn w:val="Normal"/>
    <w:rsid w:val="00DA2DF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hAnsi="Times New Roman"/>
      <w:color w:val="FF0000"/>
      <w:sz w:val="20"/>
    </w:rPr>
  </w:style>
  <w:style w:type="paragraph" w:customStyle="1" w:styleId="xl78">
    <w:name w:val="xl78"/>
    <w:basedOn w:val="Normal"/>
    <w:rsid w:val="00DA2DF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hAnsi="Times New Roman"/>
      <w:color w:val="FF0000"/>
      <w:sz w:val="20"/>
    </w:rPr>
  </w:style>
  <w:style w:type="paragraph" w:customStyle="1" w:styleId="xl79">
    <w:name w:val="xl79"/>
    <w:basedOn w:val="Normal"/>
    <w:rsid w:val="00DA2DF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rFonts w:ascii="Times New Roman" w:hAnsi="Times New Roman"/>
      <w:color w:val="FF0000"/>
      <w:sz w:val="20"/>
    </w:rPr>
  </w:style>
  <w:style w:type="paragraph" w:customStyle="1" w:styleId="xl80">
    <w:name w:val="xl80"/>
    <w:basedOn w:val="Normal"/>
    <w:rsid w:val="00DA2DF6"/>
    <w:pPr>
      <w:spacing w:before="100" w:beforeAutospacing="1" w:after="100" w:afterAutospacing="1"/>
    </w:pPr>
    <w:rPr>
      <w:rFonts w:ascii="Times New Roman" w:hAnsi="Times New Roman"/>
      <w:sz w:val="20"/>
    </w:rPr>
  </w:style>
  <w:style w:type="paragraph" w:customStyle="1" w:styleId="xl81">
    <w:name w:val="xl81"/>
    <w:basedOn w:val="Normal"/>
    <w:rsid w:val="00DA2DF6"/>
    <w:pPr>
      <w:shd w:val="clear" w:color="000000" w:fill="C4D79B"/>
      <w:spacing w:before="100" w:beforeAutospacing="1" w:after="100" w:afterAutospacing="1"/>
    </w:pPr>
    <w:rPr>
      <w:rFonts w:ascii="Times New Roman" w:hAnsi="Times New Roman"/>
      <w:sz w:val="20"/>
    </w:rPr>
  </w:style>
  <w:style w:type="paragraph" w:customStyle="1" w:styleId="xl82">
    <w:name w:val="xl82"/>
    <w:basedOn w:val="Normal"/>
    <w:rsid w:val="00DA2DF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Times New Roman" w:hAnsi="Times New Roman"/>
      <w:b/>
      <w:bCs/>
      <w:sz w:val="20"/>
    </w:rPr>
  </w:style>
  <w:style w:type="paragraph" w:customStyle="1" w:styleId="xl83">
    <w:name w:val="xl83"/>
    <w:basedOn w:val="Normal"/>
    <w:rsid w:val="00DA2DF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rFonts w:ascii="Times New Roman" w:hAnsi="Times New Roman"/>
      <w:b/>
      <w:bCs/>
      <w:sz w:val="20"/>
    </w:rPr>
  </w:style>
  <w:style w:type="paragraph" w:customStyle="1" w:styleId="xl84">
    <w:name w:val="xl84"/>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0"/>
    </w:rPr>
  </w:style>
  <w:style w:type="paragraph" w:customStyle="1" w:styleId="xl85">
    <w:name w:val="xl85"/>
    <w:basedOn w:val="Normal"/>
    <w:rsid w:val="00DA2D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rPr>
  </w:style>
  <w:style w:type="paragraph" w:customStyle="1" w:styleId="xl86">
    <w:name w:val="xl86"/>
    <w:basedOn w:val="Normal"/>
    <w:rsid w:val="00DA2DF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rFonts w:ascii="Times New Roman" w:hAnsi="Times New Roman"/>
      <w:sz w:val="20"/>
    </w:rPr>
  </w:style>
  <w:style w:type="character" w:styleId="Emphasis">
    <w:name w:val="Emphasis"/>
    <w:basedOn w:val="DefaultParagraphFont"/>
    <w:uiPriority w:val="20"/>
    <w:qFormat/>
    <w:rsid w:val="00DA2DF6"/>
    <w:rPr>
      <w:b/>
      <w:bCs/>
      <w:i w:val="0"/>
      <w:iCs w:val="0"/>
    </w:rPr>
  </w:style>
  <w:style w:type="character" w:customStyle="1" w:styleId="st1">
    <w:name w:val="st1"/>
    <w:basedOn w:val="DefaultParagraphFont"/>
    <w:rsid w:val="00DA2DF6"/>
  </w:style>
  <w:style w:type="paragraph" w:customStyle="1" w:styleId="Numberedpara1stindent">
    <w:name w:val="Numbered para (1st indent)"/>
    <w:basedOn w:val="ListParagraph"/>
    <w:rsid w:val="00CE5896"/>
    <w:pPr>
      <w:spacing w:line="260" w:lineRule="exact"/>
      <w:ind w:left="360" w:hanging="360"/>
      <w:contextualSpacing w:val="0"/>
    </w:pPr>
    <w:rPr>
      <w:rFonts w:ascii="Cambria" w:eastAsia="Cambria" w:hAnsi="Cambria" w:cs="Times New Roman"/>
    </w:rPr>
  </w:style>
  <w:style w:type="paragraph" w:customStyle="1" w:styleId="Figuretitle">
    <w:name w:val="Figure title"/>
    <w:next w:val="Normal"/>
    <w:qFormat/>
    <w:rsid w:val="00E676BF"/>
    <w:pPr>
      <w:keepNext/>
      <w:keepLines/>
      <w:numPr>
        <w:ilvl w:val="6"/>
        <w:numId w:val="19"/>
      </w:numPr>
      <w:spacing w:before="340" w:after="170" w:line="240" w:lineRule="auto"/>
    </w:pPr>
    <w:rPr>
      <w:rFonts w:ascii="Arial" w:eastAsia="Times New Roman" w:hAnsi="Arial" w:cs="Times New Roman"/>
      <w:b/>
      <w:color w:val="005A77"/>
      <w:spacing w:val="-6"/>
      <w:sz w:val="24"/>
      <w:szCs w:val="24"/>
      <w:lang w:val="en-US"/>
    </w:rPr>
  </w:style>
  <w:style w:type="numbering" w:customStyle="1" w:styleId="Numbers">
    <w:name w:val="Numbers"/>
    <w:basedOn w:val="NoList"/>
    <w:rsid w:val="00E676BF"/>
    <w:pPr>
      <w:numPr>
        <w:numId w:val="19"/>
      </w:numPr>
    </w:pPr>
  </w:style>
  <w:style w:type="paragraph" w:customStyle="1" w:styleId="Tabletitle">
    <w:name w:val="Table title"/>
    <w:next w:val="Normal"/>
    <w:qFormat/>
    <w:rsid w:val="00E676BF"/>
    <w:pPr>
      <w:keepNext/>
      <w:numPr>
        <w:ilvl w:val="8"/>
        <w:numId w:val="19"/>
      </w:numPr>
      <w:spacing w:before="340" w:after="170" w:line="240" w:lineRule="auto"/>
    </w:pPr>
    <w:rPr>
      <w:rFonts w:ascii="Arial" w:eastAsia="Times New Roman" w:hAnsi="Arial" w:cs="Times New Roman"/>
      <w:b/>
      <w:color w:val="005A77"/>
      <w:spacing w:val="-6"/>
      <w:sz w:val="24"/>
      <w:szCs w:val="24"/>
      <w:lang w:val="en-US"/>
    </w:rPr>
  </w:style>
  <w:style w:type="paragraph" w:customStyle="1" w:styleId="Notetitle">
    <w:name w:val="Note title"/>
    <w:qFormat/>
    <w:rsid w:val="00E676BF"/>
    <w:pPr>
      <w:keepNext/>
      <w:numPr>
        <w:ilvl w:val="7"/>
        <w:numId w:val="19"/>
      </w:numPr>
      <w:spacing w:before="340" w:after="170" w:line="240" w:lineRule="auto"/>
    </w:pPr>
    <w:rPr>
      <w:rFonts w:ascii="Arial" w:eastAsia="MS Gothic" w:hAnsi="Arial" w:cs="Times New Roman"/>
      <w:b/>
      <w:bCs/>
      <w:iCs/>
      <w:color w:val="005A77"/>
      <w:spacing w:val="-6"/>
      <w:sz w:val="24"/>
      <w:szCs w:val="28"/>
      <w:lang w:val="en-US"/>
    </w:rPr>
  </w:style>
  <w:style w:type="paragraph" w:customStyle="1" w:styleId="Numberedpara2ndindent">
    <w:name w:val="Numbered para (2nd indent)"/>
    <w:basedOn w:val="Normal"/>
    <w:rsid w:val="00E676BF"/>
    <w:pPr>
      <w:numPr>
        <w:ilvl w:val="4"/>
        <w:numId w:val="19"/>
      </w:numPr>
      <w:spacing w:after="0"/>
    </w:pPr>
    <w:rPr>
      <w:rFonts w:ascii="Cambria" w:hAnsi="Cambria"/>
      <w:szCs w:val="24"/>
      <w:lang w:eastAsia="en-US"/>
    </w:rPr>
  </w:style>
  <w:style w:type="paragraph" w:customStyle="1" w:styleId="Numberedpara3rdindent">
    <w:name w:val="Numbered para (3rd indent)"/>
    <w:basedOn w:val="Normal"/>
    <w:rsid w:val="00E676BF"/>
    <w:pPr>
      <w:numPr>
        <w:ilvl w:val="5"/>
        <w:numId w:val="19"/>
      </w:numPr>
      <w:spacing w:after="0"/>
      <w:ind w:left="1135" w:hanging="284"/>
    </w:pPr>
    <w:rPr>
      <w:rFonts w:ascii="Cambria" w:hAnsi="Cambria"/>
      <w:szCs w:val="24"/>
      <w:lang w:eastAsia="en-US"/>
    </w:rPr>
  </w:style>
  <w:style w:type="paragraph" w:customStyle="1" w:styleId="Bullets1stindent">
    <w:name w:val="Bullets (1st indent)"/>
    <w:basedOn w:val="Normal"/>
    <w:link w:val="Bullets1stindentChar"/>
    <w:qFormat/>
    <w:rsid w:val="00E676BF"/>
    <w:pPr>
      <w:numPr>
        <w:numId w:val="20"/>
      </w:numPr>
      <w:ind w:left="850" w:hanging="425"/>
    </w:pPr>
    <w:rPr>
      <w:rFonts w:ascii="Cambria" w:hAnsi="Cambria"/>
      <w:szCs w:val="24"/>
      <w:lang w:eastAsia="en-US"/>
    </w:rPr>
  </w:style>
  <w:style w:type="paragraph" w:customStyle="1" w:styleId="Bullets1stindentlast">
    <w:name w:val="Bullets (1st indent) last"/>
    <w:basedOn w:val="Bullets1stindent"/>
    <w:rsid w:val="00E676BF"/>
    <w:pPr>
      <w:spacing w:after="200"/>
      <w:ind w:left="720" w:hanging="360"/>
    </w:pPr>
  </w:style>
  <w:style w:type="paragraph" w:customStyle="1" w:styleId="Bulletintro">
    <w:name w:val="Bullet intro"/>
    <w:basedOn w:val="Normal"/>
    <w:rsid w:val="00E676BF"/>
    <w:pPr>
      <w:spacing w:line="260" w:lineRule="atLeast"/>
    </w:pPr>
    <w:rPr>
      <w:rFonts w:ascii="Cambria" w:eastAsia="Cambria" w:hAnsi="Cambria"/>
      <w:szCs w:val="22"/>
      <w:lang w:eastAsia="en-US"/>
    </w:rPr>
  </w:style>
  <w:style w:type="paragraph" w:customStyle="1" w:styleId="Bullets1">
    <w:name w:val="Bullets 1"/>
    <w:basedOn w:val="ListParagraph"/>
    <w:link w:val="Bullets1Char"/>
    <w:uiPriority w:val="5"/>
    <w:qFormat/>
    <w:rsid w:val="00E676BF"/>
    <w:pPr>
      <w:numPr>
        <w:numId w:val="22"/>
      </w:numPr>
      <w:spacing w:before="120" w:after="120" w:line="240" w:lineRule="auto"/>
      <w:contextualSpacing w:val="0"/>
    </w:pPr>
    <w:rPr>
      <w:rFonts w:ascii="Calibri" w:hAnsi="Calibri"/>
    </w:rPr>
  </w:style>
  <w:style w:type="character" w:customStyle="1" w:styleId="Bullets1Char">
    <w:name w:val="Bullets 1 Char"/>
    <w:basedOn w:val="DefaultParagraphFont"/>
    <w:link w:val="Bullets1"/>
    <w:uiPriority w:val="5"/>
    <w:rsid w:val="00E676BF"/>
    <w:rPr>
      <w:rFonts w:ascii="Calibri" w:hAnsi="Calibri"/>
    </w:rPr>
  </w:style>
  <w:style w:type="paragraph" w:customStyle="1" w:styleId="Bullets2ndindent">
    <w:name w:val="Bullets (2nd indent)"/>
    <w:basedOn w:val="Bullets1stindent"/>
    <w:qFormat/>
    <w:rsid w:val="00ED0B5D"/>
    <w:pPr>
      <w:widowControl w:val="0"/>
      <w:numPr>
        <w:numId w:val="0"/>
      </w:numPr>
      <w:tabs>
        <w:tab w:val="num" w:pos="360"/>
        <w:tab w:val="num" w:pos="567"/>
      </w:tabs>
      <w:autoSpaceDE w:val="0"/>
      <w:autoSpaceDN w:val="0"/>
      <w:adjustRightInd w:val="0"/>
      <w:ind w:left="1418" w:hanging="425"/>
    </w:pPr>
    <w:rPr>
      <w:rFonts w:ascii="Times New Roman" w:eastAsiaTheme="minorEastAsia" w:hAnsi="Times New Roman"/>
      <w:bCs/>
      <w:sz w:val="24"/>
      <w:lang w:eastAsia="en-AU"/>
    </w:rPr>
  </w:style>
  <w:style w:type="character" w:customStyle="1" w:styleId="Bullets1stindentChar">
    <w:name w:val="Bullets (1st indent) Char"/>
    <w:basedOn w:val="DefaultParagraphFont"/>
    <w:link w:val="Bullets1stindent"/>
    <w:rsid w:val="00ED0B5D"/>
    <w:rPr>
      <w:rFonts w:ascii="Cambria" w:eastAsia="Times New Roman" w:hAnsi="Cambria" w:cs="Times New Roman"/>
      <w:szCs w:val="24"/>
    </w:rPr>
  </w:style>
  <w:style w:type="paragraph" w:customStyle="1" w:styleId="Normalnumbered">
    <w:name w:val="Normal numbered"/>
    <w:basedOn w:val="ListParagraph"/>
    <w:rsid w:val="00ED0B5D"/>
    <w:pPr>
      <w:widowControl w:val="0"/>
      <w:numPr>
        <w:numId w:val="25"/>
      </w:numPr>
      <w:autoSpaceDE w:val="0"/>
      <w:autoSpaceDN w:val="0"/>
      <w:adjustRightInd w:val="0"/>
      <w:spacing w:after="120" w:line="240" w:lineRule="auto"/>
      <w:contextualSpacing w:val="0"/>
    </w:pPr>
    <w:rPr>
      <w:rFonts w:ascii="Times New Roman" w:eastAsiaTheme="minorEastAsia" w:hAnsi="Times New Roman" w:cs="Times New Roman"/>
      <w:bCs/>
      <w:sz w:val="24"/>
      <w:szCs w:val="24"/>
      <w:lang w:eastAsia="en-AU"/>
    </w:rPr>
  </w:style>
  <w:style w:type="paragraph" w:customStyle="1" w:styleId="Heading1-NoTOC">
    <w:name w:val="Heading 1 - No TOC"/>
    <w:basedOn w:val="Heading1"/>
    <w:rsid w:val="00850D8E"/>
    <w:pPr>
      <w:outlineLvl w:val="9"/>
    </w:pPr>
  </w:style>
  <w:style w:type="paragraph" w:customStyle="1" w:styleId="Bullet-Indent">
    <w:name w:val="Bullet - Indent"/>
    <w:basedOn w:val="Bullet"/>
    <w:rsid w:val="00461E2E"/>
    <w:pPr>
      <w:tabs>
        <w:tab w:val="clear" w:pos="567"/>
        <w:tab w:val="left" w:pos="1134"/>
      </w:tabs>
      <w:ind w:left="1134"/>
    </w:pPr>
  </w:style>
  <w:style w:type="paragraph" w:customStyle="1" w:styleId="Header-Even">
    <w:name w:val="Header - Even"/>
    <w:basedOn w:val="Header"/>
    <w:rsid w:val="00D33904"/>
    <w:pPr>
      <w:spacing w:line="240" w:lineRule="auto"/>
      <w:jc w:val="left"/>
    </w:pPr>
  </w:style>
  <w:style w:type="paragraph" w:customStyle="1" w:styleId="Header-Odd">
    <w:name w:val="Header - Odd"/>
    <w:basedOn w:val="Header-Even"/>
    <w:rsid w:val="00D33904"/>
    <w:pPr>
      <w:jc w:val="right"/>
    </w:pPr>
  </w:style>
  <w:style w:type="paragraph" w:customStyle="1" w:styleId="Zero">
    <w:name w:val="Zero"/>
    <w:basedOn w:val="Normal"/>
    <w:rsid w:val="00A4214E"/>
    <w:pPr>
      <w:spacing w:after="0" w:line="240" w:lineRule="auto"/>
    </w:pPr>
    <w:rPr>
      <w:sz w:val="8"/>
    </w:rPr>
  </w:style>
  <w:style w:type="paragraph" w:customStyle="1" w:styleId="BoxNumber-Alpha">
    <w:name w:val="Box Number - Alpha"/>
    <w:basedOn w:val="BoxText"/>
    <w:rsid w:val="00461E2E"/>
    <w:pPr>
      <w:numPr>
        <w:numId w:val="43"/>
      </w:numPr>
      <w:spacing w:before="100" w:after="100"/>
    </w:pPr>
    <w:rPr>
      <w:rFonts w:cs="Arial"/>
      <w:szCs w:val="22"/>
    </w:rPr>
  </w:style>
  <w:style w:type="paragraph" w:customStyle="1" w:styleId="BoxHeading-Outside">
    <w:name w:val="Box Heading - Outside"/>
    <w:basedOn w:val="BoxHeading"/>
    <w:rsid w:val="00312730"/>
    <w:pPr>
      <w:tabs>
        <w:tab w:val="left" w:pos="851"/>
      </w:tabs>
      <w:spacing w:after="40"/>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47839">
      <w:bodyDiv w:val="1"/>
      <w:marLeft w:val="0"/>
      <w:marRight w:val="0"/>
      <w:marTop w:val="0"/>
      <w:marBottom w:val="0"/>
      <w:divBdr>
        <w:top w:val="none" w:sz="0" w:space="0" w:color="auto"/>
        <w:left w:val="none" w:sz="0" w:space="0" w:color="auto"/>
        <w:bottom w:val="none" w:sz="0" w:space="0" w:color="auto"/>
        <w:right w:val="none" w:sz="0" w:space="0" w:color="auto"/>
      </w:divBdr>
    </w:div>
    <w:div w:id="12368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3.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header" Target="header8.xml"/><Relationship Id="rId42"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hyperlink" Target="mailto:ASICFunding@treasury.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header" Target="head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7.xm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finance.gov.au/sites/default/files/australian-government-cost-recovery-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5F372D055C4A75A4968329A5CEFA05"/>
        <w:category>
          <w:name w:val="General"/>
          <w:gallery w:val="placeholder"/>
        </w:category>
        <w:types>
          <w:type w:val="bbPlcHdr"/>
        </w:types>
        <w:behaviors>
          <w:behavior w:val="content"/>
        </w:behaviors>
        <w:guid w:val="{8616475F-2121-4BCA-A538-16C30E835E68}"/>
      </w:docPartPr>
      <w:docPartBody>
        <w:p w14:paraId="09ABF707" w14:textId="77777777" w:rsidR="005B31D4" w:rsidRDefault="005B31D4">
          <w:pPr>
            <w:pStyle w:val="FF5F372D055C4A75A4968329A5CEFA05"/>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D4"/>
    <w:rsid w:val="00074B17"/>
    <w:rsid w:val="00151445"/>
    <w:rsid w:val="00286CDC"/>
    <w:rsid w:val="002A058C"/>
    <w:rsid w:val="002E6054"/>
    <w:rsid w:val="004628B8"/>
    <w:rsid w:val="005A1961"/>
    <w:rsid w:val="005B31D4"/>
    <w:rsid w:val="005E0356"/>
    <w:rsid w:val="00631119"/>
    <w:rsid w:val="0069503D"/>
    <w:rsid w:val="007665C4"/>
    <w:rsid w:val="009B50DF"/>
    <w:rsid w:val="00AA2AF2"/>
    <w:rsid w:val="00AE158C"/>
    <w:rsid w:val="00BD5108"/>
    <w:rsid w:val="00C60077"/>
    <w:rsid w:val="00D43736"/>
    <w:rsid w:val="00F84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ABF7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39ACA878E648CF9823AC8A3A719705">
    <w:name w:val="6F39ACA878E648CF9823AC8A3A719705"/>
  </w:style>
  <w:style w:type="character" w:styleId="PlaceholderText">
    <w:name w:val="Placeholder Text"/>
    <w:basedOn w:val="DefaultParagraphFont"/>
    <w:uiPriority w:val="99"/>
    <w:semiHidden/>
    <w:rPr>
      <w:color w:val="808080"/>
    </w:rPr>
  </w:style>
  <w:style w:type="paragraph" w:customStyle="1" w:styleId="FF5F372D055C4A75A4968329A5CEFA05">
    <w:name w:val="FF5F372D055C4A75A4968329A5CEFA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39ACA878E648CF9823AC8A3A719705">
    <w:name w:val="6F39ACA878E648CF9823AC8A3A719705"/>
  </w:style>
  <w:style w:type="character" w:styleId="PlaceholderText">
    <w:name w:val="Placeholder Text"/>
    <w:basedOn w:val="DefaultParagraphFont"/>
    <w:uiPriority w:val="99"/>
    <w:semiHidden/>
    <w:rPr>
      <w:color w:val="808080"/>
    </w:rPr>
  </w:style>
  <w:style w:type="paragraph" w:customStyle="1" w:styleId="FF5F372D055C4A75A4968329A5CEFA05">
    <w:name w:val="FF5F372D055C4A75A4968329A5CEF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2017MG-158-6786</_dlc_DocId>
    <_dlc_DocIdUrl xmlns="d4dd4adf-ddb3-46a3-8d7c-fab3fb2a6bc7">
      <Url>http://tweb/sites/mg/fsd/_layouts/15/DocIdRedir.aspx?ID=2017MG-158-6786</Url>
      <Description>2017MG-158-6786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78A86F7C6E73834FB83FA460D8519B96" ma:contentTypeVersion="7073" ma:contentTypeDescription="" ma:contentTypeScope="" ma:versionID="2461e0590e557d612d050fb866718089">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eb2443d1a16d80b972c9b4f1ca1fbd3"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4828-EA0F-4241-9296-67EA22CEC687}">
  <ds:schemaRefs>
    <ds:schemaRef ds:uri="office.server.policy"/>
  </ds:schemaRefs>
</ds:datastoreItem>
</file>

<file path=customXml/itemProps2.xml><?xml version="1.0" encoding="utf-8"?>
<ds:datastoreItem xmlns:ds="http://schemas.openxmlformats.org/officeDocument/2006/customXml" ds:itemID="{F9E7D278-EE38-4511-856E-FBFB2ABAD726}">
  <ds:schemaRefs>
    <ds:schemaRef ds:uri="http://www.w3.org/XML/1998/namespace"/>
    <ds:schemaRef ds:uri="http://purl.org/dc/elements/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d4dd4adf-ddb3-46a3-8d7c-fab3fb2a6bc7"/>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3291635-98CD-4B65-ADB7-D0798A701628}">
  <ds:schemaRefs>
    <ds:schemaRef ds:uri="http://schemas.microsoft.com/sharepoint/v3/contenttype/forms"/>
  </ds:schemaRefs>
</ds:datastoreItem>
</file>

<file path=customXml/itemProps4.xml><?xml version="1.0" encoding="utf-8"?>
<ds:datastoreItem xmlns:ds="http://schemas.openxmlformats.org/officeDocument/2006/customXml" ds:itemID="{6EC66079-5845-4B56-98D4-61A34D819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6FEFE-0D47-4EBB-8451-489FF6A8A069}">
  <ds:schemaRefs>
    <ds:schemaRef ds:uri="http://schemas.microsoft.com/sharepoint/events"/>
  </ds:schemaRefs>
</ds:datastoreItem>
</file>

<file path=customXml/itemProps6.xml><?xml version="1.0" encoding="utf-8"?>
<ds:datastoreItem xmlns:ds="http://schemas.openxmlformats.org/officeDocument/2006/customXml" ds:itemID="{5F8D014A-E711-4F9F-BA23-C4056D31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13</TotalTime>
  <Pages>35</Pages>
  <Words>9244</Words>
  <Characters>52789</Characters>
  <Application>Microsoft Office Word</Application>
  <DocSecurity>0</DocSecurity>
  <Lines>2399</Lines>
  <Paragraphs>1512</Paragraphs>
  <ScaleCrop>false</ScaleCrop>
  <HeadingPairs>
    <vt:vector size="2" baseType="variant">
      <vt:variant>
        <vt:lpstr>Title</vt:lpstr>
      </vt:variant>
      <vt:variant>
        <vt:i4>1</vt:i4>
      </vt:variant>
    </vt:vector>
  </HeadingPairs>
  <TitlesOfParts>
    <vt:vector size="1" baseType="lpstr">
      <vt:lpstr>Introduction of ASIC’s Fees-for-Service under the Industry Funding Model</vt:lpstr>
    </vt:vector>
  </TitlesOfParts>
  <Company>Australian Government - The Treasury</Company>
  <LinksUpToDate>false</LinksUpToDate>
  <CharactersWithSpaces>60521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of ASIC’s Fees-for-Service under the Industry Funding Model</dc:title>
  <dc:creator>The Treasury </dc:creator>
  <cp:lastModifiedBy>Hill, Christine</cp:lastModifiedBy>
  <cp:revision>7</cp:revision>
  <cp:lastPrinted>2017-11-17T00:11:00Z</cp:lastPrinted>
  <dcterms:created xsi:type="dcterms:W3CDTF">2017-11-16T00:54:00Z</dcterms:created>
  <dcterms:modified xsi:type="dcterms:W3CDTF">2017-11-21T23:04:00Z</dcterms:modified>
</cp:coreProperties>
</file>