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B0" w:rsidRPr="004A762E" w:rsidRDefault="005B65B0" w:rsidP="00D01D1D">
      <w:pPr>
        <w:rPr>
          <w:rFonts w:ascii="Arial" w:hAnsi="Arial" w:cs="Arial"/>
          <w:b/>
          <w:u w:val="single"/>
          <w:lang w:val="en-US"/>
        </w:rPr>
      </w:pPr>
      <w:bookmarkStart w:id="0" w:name="_GoBack"/>
      <w:bookmarkEnd w:id="0"/>
      <w:r w:rsidRPr="004A762E">
        <w:rPr>
          <w:rFonts w:ascii="Arial" w:hAnsi="Arial" w:cs="Arial"/>
          <w:b/>
          <w:u w:val="single"/>
          <w:lang w:val="en-US"/>
        </w:rPr>
        <w:t>Background</w:t>
      </w:r>
      <w:r w:rsidR="00BD5375">
        <w:rPr>
          <w:rFonts w:ascii="Arial" w:hAnsi="Arial" w:cs="Arial"/>
          <w:b/>
          <w:u w:val="single"/>
          <w:lang w:val="en-US"/>
        </w:rPr>
        <w:t xml:space="preserve"> and context</w:t>
      </w:r>
    </w:p>
    <w:p w:rsidR="005B65B0" w:rsidRPr="004A762E" w:rsidRDefault="005B65B0" w:rsidP="00D01D1D">
      <w:pPr>
        <w:rPr>
          <w:rFonts w:ascii="Arial" w:hAnsi="Arial" w:cs="Arial"/>
          <w:lang w:val="en-US"/>
        </w:rPr>
      </w:pPr>
      <w:r w:rsidRPr="004A762E">
        <w:rPr>
          <w:rFonts w:ascii="Arial" w:hAnsi="Arial" w:cs="Arial"/>
          <w:lang w:val="en-US"/>
        </w:rPr>
        <w:t>Within the context of a declining tax base, and declining social and environmental outcomes driving increased government spending, impact investment provides a</w:t>
      </w:r>
      <w:r w:rsidR="00E435E6" w:rsidRPr="004A762E">
        <w:rPr>
          <w:rFonts w:ascii="Arial" w:hAnsi="Arial" w:cs="Arial"/>
          <w:lang w:val="en-US"/>
        </w:rPr>
        <w:t>n</w:t>
      </w:r>
      <w:r w:rsidRPr="004A762E">
        <w:rPr>
          <w:rFonts w:ascii="Arial" w:hAnsi="Arial" w:cs="Arial"/>
          <w:lang w:val="en-US"/>
        </w:rPr>
        <w:t xml:space="preserve"> important </w:t>
      </w:r>
      <w:r w:rsidR="00E435E6" w:rsidRPr="004A762E">
        <w:rPr>
          <w:rFonts w:ascii="Arial" w:hAnsi="Arial" w:cs="Arial"/>
          <w:lang w:val="en-US"/>
        </w:rPr>
        <w:t>‘</w:t>
      </w:r>
      <w:r w:rsidRPr="004A762E">
        <w:rPr>
          <w:rFonts w:ascii="Arial" w:hAnsi="Arial" w:cs="Arial"/>
          <w:lang w:val="en-US"/>
        </w:rPr>
        <w:t>tool</w:t>
      </w:r>
      <w:r w:rsidR="00512188" w:rsidRPr="004A762E">
        <w:rPr>
          <w:rFonts w:ascii="Arial" w:hAnsi="Arial" w:cs="Arial"/>
          <w:lang w:val="en-US"/>
        </w:rPr>
        <w:t>-</w:t>
      </w:r>
      <w:r w:rsidR="00E435E6" w:rsidRPr="004A762E">
        <w:rPr>
          <w:rFonts w:ascii="Arial" w:hAnsi="Arial" w:cs="Arial"/>
          <w:lang w:val="en-US"/>
        </w:rPr>
        <w:t>kit’</w:t>
      </w:r>
      <w:r w:rsidRPr="004A762E">
        <w:rPr>
          <w:rFonts w:ascii="Arial" w:hAnsi="Arial" w:cs="Arial"/>
          <w:lang w:val="en-US"/>
        </w:rPr>
        <w:t xml:space="preserve"> to deliver improved</w:t>
      </w:r>
      <w:r w:rsidR="00E435E6" w:rsidRPr="004A762E">
        <w:rPr>
          <w:rFonts w:ascii="Arial" w:hAnsi="Arial" w:cs="Arial"/>
          <w:lang w:val="en-US"/>
        </w:rPr>
        <w:t xml:space="preserve"> social and environmental</w:t>
      </w:r>
      <w:r w:rsidRPr="004A762E">
        <w:rPr>
          <w:rFonts w:ascii="Arial" w:hAnsi="Arial" w:cs="Arial"/>
          <w:lang w:val="en-US"/>
        </w:rPr>
        <w:t xml:space="preserve"> outcomes. Governments must lead and intervene in the case of market failure; and as community degradation ensues and public welfare and general spending increases under what is increasingly being recognised as one of the failures of globalisation and market deregulation policies of recent decades, impact investment</w:t>
      </w:r>
      <w:r w:rsidR="00E435E6" w:rsidRPr="004A762E">
        <w:rPr>
          <w:rFonts w:ascii="Arial" w:hAnsi="Arial" w:cs="Arial"/>
          <w:lang w:val="en-US"/>
        </w:rPr>
        <w:t xml:space="preserve"> as</w:t>
      </w:r>
      <w:r w:rsidRPr="004A762E">
        <w:rPr>
          <w:rFonts w:ascii="Arial" w:hAnsi="Arial" w:cs="Arial"/>
          <w:lang w:val="en-US"/>
        </w:rPr>
        <w:t xml:space="preserve"> a</w:t>
      </w:r>
      <w:r w:rsidR="00BC43EF" w:rsidRPr="004A762E">
        <w:rPr>
          <w:rFonts w:ascii="Arial" w:hAnsi="Arial" w:cs="Arial"/>
          <w:lang w:val="en-US"/>
        </w:rPr>
        <w:t xml:space="preserve"> tool</w:t>
      </w:r>
      <w:r w:rsidR="00512188" w:rsidRPr="004A762E">
        <w:rPr>
          <w:rFonts w:ascii="Arial" w:hAnsi="Arial" w:cs="Arial"/>
          <w:lang w:val="en-US"/>
        </w:rPr>
        <w:t>-</w:t>
      </w:r>
      <w:r w:rsidR="00BC43EF" w:rsidRPr="004A762E">
        <w:rPr>
          <w:rFonts w:ascii="Arial" w:hAnsi="Arial" w:cs="Arial"/>
          <w:lang w:val="en-US"/>
        </w:rPr>
        <w:t>kit can leverage the power of the market-based economy to facilitate s</w:t>
      </w:r>
      <w:r w:rsidRPr="004A762E">
        <w:rPr>
          <w:rFonts w:ascii="Arial" w:hAnsi="Arial" w:cs="Arial"/>
          <w:lang w:val="en-US"/>
        </w:rPr>
        <w:t xml:space="preserve">olutions </w:t>
      </w:r>
      <w:r w:rsidR="00E435E6" w:rsidRPr="004A762E">
        <w:rPr>
          <w:rFonts w:ascii="Arial" w:hAnsi="Arial" w:cs="Arial"/>
          <w:lang w:val="en-US"/>
        </w:rPr>
        <w:t>to some of these seemingly intractable challenges</w:t>
      </w:r>
      <w:r w:rsidR="00512188" w:rsidRPr="004A762E">
        <w:rPr>
          <w:rFonts w:ascii="Arial" w:hAnsi="Arial" w:cs="Arial"/>
          <w:lang w:val="en-US"/>
        </w:rPr>
        <w:t>.</w:t>
      </w:r>
    </w:p>
    <w:p w:rsidR="00512188" w:rsidRPr="004A762E" w:rsidRDefault="00512188" w:rsidP="00D01D1D">
      <w:pPr>
        <w:rPr>
          <w:rFonts w:ascii="Arial" w:hAnsi="Arial" w:cs="Arial"/>
          <w:lang w:val="en-US"/>
        </w:rPr>
      </w:pPr>
      <w:r w:rsidRPr="004A762E">
        <w:rPr>
          <w:rFonts w:ascii="Arial" w:hAnsi="Arial" w:cs="Arial"/>
          <w:lang w:val="en-US"/>
        </w:rPr>
        <w:t xml:space="preserve">In the context of Impact Investment as Innovation - to focus tech innovation while overlooking social innovation fails to unify the conversation and is possibly the greatest missed opportunity to 'catch a wave' we've seen in public policy in recent years given the sectors' combined capacity for positive large scale disruption.  </w:t>
      </w:r>
    </w:p>
    <w:p w:rsidR="005B65B0" w:rsidRPr="004A762E" w:rsidRDefault="00512188" w:rsidP="00D01D1D">
      <w:pPr>
        <w:rPr>
          <w:rFonts w:ascii="Arial" w:hAnsi="Arial" w:cs="Arial"/>
          <w:u w:val="single"/>
          <w:lang w:val="en-US"/>
        </w:rPr>
      </w:pPr>
      <w:r w:rsidRPr="004A762E">
        <w:rPr>
          <w:rFonts w:ascii="Arial" w:hAnsi="Arial" w:cs="Arial"/>
          <w:u w:val="single"/>
          <w:lang w:val="en-US"/>
        </w:rPr>
        <w:t xml:space="preserve">The critical role of the </w:t>
      </w:r>
      <w:r w:rsidR="005B65B0" w:rsidRPr="004A762E">
        <w:rPr>
          <w:rFonts w:ascii="Arial" w:hAnsi="Arial" w:cs="Arial"/>
          <w:u w:val="single"/>
          <w:lang w:val="en-US"/>
        </w:rPr>
        <w:t>Australian Government</w:t>
      </w:r>
    </w:p>
    <w:p w:rsidR="005B65B0" w:rsidRPr="004A762E" w:rsidRDefault="00BC43EF" w:rsidP="00D01D1D">
      <w:pPr>
        <w:rPr>
          <w:rFonts w:ascii="Arial" w:hAnsi="Arial" w:cs="Arial"/>
          <w:lang w:val="en-US"/>
        </w:rPr>
      </w:pPr>
      <w:r w:rsidRPr="004A762E">
        <w:rPr>
          <w:rFonts w:ascii="Arial" w:hAnsi="Arial" w:cs="Arial"/>
          <w:lang w:val="en-US"/>
        </w:rPr>
        <w:t>Federal government public spending of circa</w:t>
      </w:r>
      <w:r w:rsidR="00512188" w:rsidRPr="004A762E">
        <w:rPr>
          <w:rFonts w:ascii="Arial" w:hAnsi="Arial" w:cs="Arial"/>
          <w:lang w:val="en-US"/>
        </w:rPr>
        <w:t xml:space="preserve"> $350 b</w:t>
      </w:r>
      <w:r w:rsidR="005B65B0" w:rsidRPr="004A762E">
        <w:rPr>
          <w:rFonts w:ascii="Arial" w:hAnsi="Arial" w:cs="Arial"/>
          <w:lang w:val="en-US"/>
        </w:rPr>
        <w:t>illion</w:t>
      </w:r>
      <w:r w:rsidRPr="004A762E">
        <w:rPr>
          <w:rFonts w:ascii="Arial" w:hAnsi="Arial" w:cs="Arial"/>
          <w:lang w:val="en-US"/>
        </w:rPr>
        <w:t xml:space="preserve"> per annum</w:t>
      </w:r>
      <w:r w:rsidR="005B65B0" w:rsidRPr="004A762E">
        <w:rPr>
          <w:rFonts w:ascii="Arial" w:hAnsi="Arial" w:cs="Arial"/>
          <w:lang w:val="en-US"/>
        </w:rPr>
        <w:t xml:space="preserve"> includ</w:t>
      </w:r>
      <w:r w:rsidRPr="004A762E">
        <w:rPr>
          <w:rFonts w:ascii="Arial" w:hAnsi="Arial" w:cs="Arial"/>
          <w:lang w:val="en-US"/>
        </w:rPr>
        <w:t>es</w:t>
      </w:r>
      <w:r w:rsidR="005B65B0" w:rsidRPr="004A762E">
        <w:rPr>
          <w:rFonts w:ascii="Arial" w:hAnsi="Arial" w:cs="Arial"/>
          <w:lang w:val="en-US"/>
        </w:rPr>
        <w:t xml:space="preserve"> many billions</w:t>
      </w:r>
      <w:r w:rsidRPr="004A762E">
        <w:rPr>
          <w:rFonts w:ascii="Arial" w:hAnsi="Arial" w:cs="Arial"/>
          <w:lang w:val="en-US"/>
        </w:rPr>
        <w:t xml:space="preserve"> </w:t>
      </w:r>
      <w:r w:rsidR="005B65B0" w:rsidRPr="004A762E">
        <w:rPr>
          <w:rFonts w:ascii="Arial" w:hAnsi="Arial" w:cs="Arial"/>
          <w:lang w:val="en-US"/>
        </w:rPr>
        <w:t xml:space="preserve">on </w:t>
      </w:r>
      <w:r w:rsidR="00512188" w:rsidRPr="004A762E">
        <w:rPr>
          <w:rFonts w:ascii="Arial" w:hAnsi="Arial" w:cs="Arial"/>
          <w:lang w:val="en-US"/>
        </w:rPr>
        <w:t>Band-Aid</w:t>
      </w:r>
      <w:r w:rsidR="005B65B0" w:rsidRPr="004A762E">
        <w:rPr>
          <w:rFonts w:ascii="Arial" w:hAnsi="Arial" w:cs="Arial"/>
          <w:lang w:val="en-US"/>
        </w:rPr>
        <w:t xml:space="preserve"> solutions to problems that require systemic changes to address their underlying causes.</w:t>
      </w:r>
      <w:r w:rsidR="00512188" w:rsidRPr="004A762E">
        <w:rPr>
          <w:rFonts w:ascii="Arial" w:hAnsi="Arial" w:cs="Arial"/>
          <w:lang w:val="en-US"/>
        </w:rPr>
        <w:t xml:space="preserve"> The role of governments </w:t>
      </w:r>
      <w:r w:rsidR="005B65B0" w:rsidRPr="004A762E">
        <w:rPr>
          <w:rFonts w:ascii="Arial" w:hAnsi="Arial" w:cs="Arial"/>
          <w:lang w:val="en-US"/>
        </w:rPr>
        <w:t>in enabling a social impact/benefit corporation business structure is as critical to Australian innovation as its support for innovation more broadly.</w:t>
      </w:r>
    </w:p>
    <w:p w:rsidR="00553999" w:rsidRPr="004A762E" w:rsidRDefault="00512188" w:rsidP="00D01D1D">
      <w:pPr>
        <w:rPr>
          <w:rFonts w:ascii="Arial" w:hAnsi="Arial" w:cs="Arial"/>
          <w:lang w:val="en-US"/>
        </w:rPr>
      </w:pPr>
      <w:r w:rsidRPr="004A762E">
        <w:rPr>
          <w:rFonts w:ascii="Arial" w:hAnsi="Arial" w:cs="Arial"/>
          <w:lang w:val="en-US"/>
        </w:rPr>
        <w:t>Further, t</w:t>
      </w:r>
      <w:r w:rsidR="00BC43EF" w:rsidRPr="004A762E">
        <w:rPr>
          <w:rFonts w:ascii="Arial" w:hAnsi="Arial" w:cs="Arial"/>
          <w:lang w:val="en-US"/>
        </w:rPr>
        <w:t>he</w:t>
      </w:r>
      <w:r w:rsidR="005B65B0" w:rsidRPr="004A762E">
        <w:rPr>
          <w:rFonts w:ascii="Arial" w:hAnsi="Arial" w:cs="Arial"/>
          <w:lang w:val="en-US"/>
        </w:rPr>
        <w:t xml:space="preserve"> absence of support for social impact/public benefit corporations constrain</w:t>
      </w:r>
      <w:r w:rsidRPr="004A762E">
        <w:rPr>
          <w:rFonts w:ascii="Arial" w:hAnsi="Arial" w:cs="Arial"/>
          <w:lang w:val="en-US"/>
        </w:rPr>
        <w:t>s</w:t>
      </w:r>
      <w:r w:rsidR="005B65B0" w:rsidRPr="004A762E">
        <w:rPr>
          <w:rFonts w:ascii="Arial" w:hAnsi="Arial" w:cs="Arial"/>
          <w:lang w:val="en-US"/>
        </w:rPr>
        <w:t xml:space="preserve"> social innovation and increase</w:t>
      </w:r>
      <w:r w:rsidRPr="004A762E">
        <w:rPr>
          <w:rFonts w:ascii="Arial" w:hAnsi="Arial" w:cs="Arial"/>
          <w:lang w:val="en-US"/>
        </w:rPr>
        <w:t>s</w:t>
      </w:r>
      <w:r w:rsidR="005B65B0" w:rsidRPr="004A762E">
        <w:rPr>
          <w:rFonts w:ascii="Arial" w:hAnsi="Arial" w:cs="Arial"/>
          <w:lang w:val="en-US"/>
        </w:rPr>
        <w:t xml:space="preserve"> the public cos</w:t>
      </w:r>
      <w:r w:rsidR="00BC43EF" w:rsidRPr="004A762E">
        <w:rPr>
          <w:rFonts w:ascii="Arial" w:hAnsi="Arial" w:cs="Arial"/>
          <w:lang w:val="en-US"/>
        </w:rPr>
        <w:t>t of delivering social outcomes.</w:t>
      </w:r>
      <w:r w:rsidR="00553999" w:rsidRPr="004A762E">
        <w:rPr>
          <w:rFonts w:ascii="Arial" w:hAnsi="Arial" w:cs="Arial"/>
          <w:lang w:val="en-US"/>
        </w:rPr>
        <w:t xml:space="preserve"> </w:t>
      </w:r>
    </w:p>
    <w:p w:rsidR="005B65B0" w:rsidRPr="004A762E" w:rsidRDefault="00553999" w:rsidP="00D01D1D">
      <w:pPr>
        <w:rPr>
          <w:rFonts w:ascii="Arial" w:hAnsi="Arial" w:cs="Arial"/>
          <w:lang w:val="en-US"/>
        </w:rPr>
      </w:pPr>
      <w:r w:rsidRPr="004A762E">
        <w:rPr>
          <w:rFonts w:ascii="Arial" w:hAnsi="Arial" w:cs="Arial"/>
          <w:lang w:val="en-US"/>
        </w:rPr>
        <w:t xml:space="preserve">The </w:t>
      </w:r>
      <w:r w:rsidRPr="004A762E">
        <w:rPr>
          <w:rFonts w:ascii="Arial" w:hAnsi="Arial" w:cs="Arial"/>
          <w:i/>
          <w:lang w:val="en-US"/>
        </w:rPr>
        <w:t>2017 Social Impact Investing Discussion Paper</w:t>
      </w:r>
      <w:r w:rsidRPr="004A762E">
        <w:rPr>
          <w:rFonts w:ascii="Arial" w:hAnsi="Arial" w:cs="Arial"/>
          <w:lang w:val="en-US"/>
        </w:rPr>
        <w:t xml:space="preserve"> provides a framework for governments to now collectively act to remedy this.</w:t>
      </w:r>
    </w:p>
    <w:p w:rsidR="005B65B0" w:rsidRPr="004A762E" w:rsidRDefault="00BC43EF" w:rsidP="00D01D1D">
      <w:pPr>
        <w:rPr>
          <w:rFonts w:ascii="Arial" w:hAnsi="Arial" w:cs="Arial"/>
          <w:lang w:val="en-US"/>
        </w:rPr>
      </w:pPr>
      <w:r w:rsidRPr="004A762E">
        <w:rPr>
          <w:rFonts w:ascii="Arial" w:hAnsi="Arial" w:cs="Arial"/>
          <w:lang w:val="en-US"/>
        </w:rPr>
        <w:t>We encourage the Federal</w:t>
      </w:r>
      <w:r w:rsidR="005B65B0" w:rsidRPr="004A762E">
        <w:rPr>
          <w:rFonts w:ascii="Arial" w:hAnsi="Arial" w:cs="Arial"/>
          <w:lang w:val="en-US"/>
        </w:rPr>
        <w:t xml:space="preserve"> </w:t>
      </w:r>
      <w:r w:rsidR="00553999" w:rsidRPr="004A762E">
        <w:rPr>
          <w:rFonts w:ascii="Arial" w:hAnsi="Arial" w:cs="Arial"/>
          <w:lang w:val="en-US"/>
        </w:rPr>
        <w:t>G</w:t>
      </w:r>
      <w:r w:rsidRPr="004A762E">
        <w:rPr>
          <w:rFonts w:ascii="Arial" w:hAnsi="Arial" w:cs="Arial"/>
          <w:lang w:val="en-US"/>
        </w:rPr>
        <w:t xml:space="preserve">overnment to </w:t>
      </w:r>
      <w:r w:rsidR="005B65B0" w:rsidRPr="004A762E">
        <w:rPr>
          <w:rFonts w:ascii="Arial" w:hAnsi="Arial" w:cs="Arial"/>
          <w:lang w:val="en-US"/>
        </w:rPr>
        <w:t xml:space="preserve">catch up </w:t>
      </w:r>
      <w:r w:rsidR="00902588" w:rsidRPr="004A762E">
        <w:rPr>
          <w:rFonts w:ascii="Arial" w:hAnsi="Arial" w:cs="Arial"/>
          <w:lang w:val="en-US"/>
        </w:rPr>
        <w:t>to</w:t>
      </w:r>
      <w:r w:rsidR="005B65B0" w:rsidRPr="004A762E">
        <w:rPr>
          <w:rFonts w:ascii="Arial" w:hAnsi="Arial" w:cs="Arial"/>
          <w:lang w:val="en-US"/>
        </w:rPr>
        <w:t xml:space="preserve"> the US, UK and Canada in the impact investment market. By leveraging trillions of dollars globally in private equity </w:t>
      </w:r>
      <w:r w:rsidR="00902588" w:rsidRPr="004A762E">
        <w:rPr>
          <w:rFonts w:ascii="Arial" w:hAnsi="Arial" w:cs="Arial"/>
          <w:lang w:val="en-US"/>
        </w:rPr>
        <w:t>the impact investment market</w:t>
      </w:r>
      <w:r w:rsidR="005B65B0" w:rsidRPr="004A762E">
        <w:rPr>
          <w:rFonts w:ascii="Arial" w:hAnsi="Arial" w:cs="Arial"/>
          <w:lang w:val="en-US"/>
        </w:rPr>
        <w:t xml:space="preserve"> is potentially more innovative and impactful than the rest of the </w:t>
      </w:r>
      <w:r w:rsidRPr="004A762E">
        <w:rPr>
          <w:rFonts w:ascii="Arial" w:hAnsi="Arial" w:cs="Arial"/>
          <w:lang w:val="en-US"/>
        </w:rPr>
        <w:t>innovation and ideas boom</w:t>
      </w:r>
      <w:r w:rsidR="005B65B0" w:rsidRPr="004A762E">
        <w:rPr>
          <w:rFonts w:ascii="Arial" w:hAnsi="Arial" w:cs="Arial"/>
          <w:lang w:val="en-US"/>
        </w:rPr>
        <w:t xml:space="preserve"> co</w:t>
      </w:r>
      <w:r w:rsidR="00902588" w:rsidRPr="004A762E">
        <w:rPr>
          <w:rFonts w:ascii="Arial" w:hAnsi="Arial" w:cs="Arial"/>
          <w:lang w:val="en-US"/>
        </w:rPr>
        <w:t>mbined. It</w:t>
      </w:r>
      <w:r w:rsidR="005B65B0" w:rsidRPr="004A762E">
        <w:rPr>
          <w:rFonts w:ascii="Arial" w:hAnsi="Arial" w:cs="Arial"/>
          <w:lang w:val="en-US"/>
        </w:rPr>
        <w:t xml:space="preserve"> speaks to an increasingly conscious consumer</w:t>
      </w:r>
      <w:r w:rsidRPr="004A762E">
        <w:rPr>
          <w:rFonts w:ascii="Arial" w:hAnsi="Arial" w:cs="Arial"/>
          <w:lang w:val="en-US"/>
        </w:rPr>
        <w:t xml:space="preserve"> sentiment</w:t>
      </w:r>
      <w:r w:rsidR="00902588" w:rsidRPr="004A762E">
        <w:rPr>
          <w:rFonts w:ascii="Arial" w:hAnsi="Arial" w:cs="Arial"/>
          <w:lang w:val="en-US"/>
        </w:rPr>
        <w:t xml:space="preserve">. And finally, and significantly, it has government spending upsides, including a </w:t>
      </w:r>
      <w:r w:rsidR="005B65B0" w:rsidRPr="004A762E">
        <w:rPr>
          <w:rFonts w:ascii="Arial" w:hAnsi="Arial" w:cs="Arial"/>
          <w:lang w:val="en-US"/>
        </w:rPr>
        <w:t xml:space="preserve">far less myopic </w:t>
      </w:r>
      <w:r w:rsidR="00902588" w:rsidRPr="004A762E">
        <w:rPr>
          <w:rFonts w:ascii="Arial" w:hAnsi="Arial" w:cs="Arial"/>
          <w:lang w:val="en-US"/>
        </w:rPr>
        <w:t>spend and an increased ability to leverage private equity.</w:t>
      </w:r>
    </w:p>
    <w:p w:rsidR="0021174B" w:rsidRDefault="0021174B" w:rsidP="0021174B">
      <w:pPr>
        <w:rPr>
          <w:rFonts w:ascii="Arial" w:hAnsi="Arial" w:cs="Arial"/>
          <w:b/>
          <w:u w:val="single"/>
          <w:lang w:val="en-US"/>
        </w:rPr>
      </w:pPr>
    </w:p>
    <w:p w:rsidR="0021174B" w:rsidRPr="004A762E" w:rsidRDefault="0021174B" w:rsidP="0021174B">
      <w:pPr>
        <w:rPr>
          <w:rFonts w:ascii="Arial" w:hAnsi="Arial" w:cs="Arial"/>
          <w:b/>
          <w:u w:val="single"/>
          <w:lang w:val="en-US"/>
        </w:rPr>
      </w:pPr>
      <w:r w:rsidRPr="004A762E">
        <w:rPr>
          <w:rFonts w:ascii="Arial" w:hAnsi="Arial" w:cs="Arial"/>
          <w:b/>
          <w:u w:val="single"/>
          <w:lang w:val="en-US"/>
        </w:rPr>
        <w:t>About Impact Seed</w:t>
      </w:r>
    </w:p>
    <w:p w:rsidR="0021174B" w:rsidRDefault="0021174B" w:rsidP="0021174B">
      <w:pPr>
        <w:rPr>
          <w:rFonts w:ascii="Arial" w:hAnsi="Arial" w:cs="Arial"/>
        </w:rPr>
      </w:pPr>
      <w:r w:rsidRPr="004A762E">
        <w:rPr>
          <w:rFonts w:ascii="Arial" w:hAnsi="Arial" w:cs="Arial"/>
        </w:rPr>
        <w:t xml:space="preserve">Impact Seed is part of the rapidly emerging Impact Investment ecosystem which aims to solve society’s greatest social and environmental challenges through power of the markets. </w:t>
      </w:r>
    </w:p>
    <w:p w:rsidR="005B51F5" w:rsidRPr="005B51F5" w:rsidRDefault="005B51F5" w:rsidP="005B51F5">
      <w:pPr>
        <w:rPr>
          <w:rFonts w:ascii="Arial" w:hAnsi="Arial" w:cs="Arial"/>
        </w:rPr>
      </w:pPr>
      <w:r w:rsidRPr="005B51F5">
        <w:rPr>
          <w:rFonts w:ascii="Arial" w:hAnsi="Arial" w:cs="Arial"/>
        </w:rPr>
        <w:t>We are capacity builders focused on growing impact investment in conversation with impact businesses, government, CSR and private wealth, and demonstrating why the ‘business for good’ model works in bridging investment and philanthropy.</w:t>
      </w:r>
    </w:p>
    <w:p w:rsidR="005B51F5" w:rsidRDefault="005B51F5" w:rsidP="005B51F5">
      <w:pPr>
        <w:rPr>
          <w:rFonts w:ascii="Arial" w:hAnsi="Arial" w:cs="Arial"/>
        </w:rPr>
      </w:pPr>
      <w:r w:rsidRPr="005B51F5">
        <w:rPr>
          <w:rFonts w:ascii="Arial" w:hAnsi="Arial" w:cs="Arial"/>
        </w:rPr>
        <w:t xml:space="preserve">We’re passionate about social innovation, creating sustainable social impact and creating a working space for Social Businesses to be identified, supported and to thrive. We want to </w:t>
      </w:r>
      <w:r w:rsidRPr="005B51F5">
        <w:rPr>
          <w:rFonts w:ascii="Arial" w:hAnsi="Arial" w:cs="Arial"/>
        </w:rPr>
        <w:lastRenderedPageBreak/>
        <w:t>build the pool of investment, and the number of investments in Social Businesses that can provide market-rate return to investors and social impact at once.</w:t>
      </w:r>
    </w:p>
    <w:p w:rsidR="0021174B" w:rsidRDefault="0021174B" w:rsidP="005B51F5">
      <w:pPr>
        <w:rPr>
          <w:rFonts w:ascii="Arial" w:hAnsi="Arial" w:cs="Arial"/>
        </w:rPr>
      </w:pPr>
      <w:r>
        <w:rPr>
          <w:rFonts w:ascii="Arial" w:hAnsi="Arial" w:cs="Arial"/>
        </w:rPr>
        <w:t>Our services include:</w:t>
      </w:r>
    </w:p>
    <w:p w:rsidR="005B51F5" w:rsidRPr="005B51F5" w:rsidRDefault="005B51F5" w:rsidP="0021174B">
      <w:pPr>
        <w:pStyle w:val="ListParagraph"/>
        <w:numPr>
          <w:ilvl w:val="0"/>
          <w:numId w:val="13"/>
        </w:numPr>
        <w:spacing w:before="0" w:after="0" w:line="276" w:lineRule="auto"/>
      </w:pPr>
      <w:r w:rsidRPr="005B51F5">
        <w:rPr>
          <w:i/>
        </w:rPr>
        <w:t>CoCre8</w:t>
      </w:r>
      <w:r>
        <w:t>: A community innovation initiative that engages local communities in identifying and coalescing around specific social challenges, and ideating innovative solutions</w:t>
      </w:r>
    </w:p>
    <w:p w:rsidR="005B51F5" w:rsidRDefault="005B51F5" w:rsidP="005B51F5">
      <w:pPr>
        <w:pStyle w:val="ListParagraph"/>
        <w:numPr>
          <w:ilvl w:val="0"/>
          <w:numId w:val="13"/>
        </w:numPr>
        <w:spacing w:before="0" w:after="0" w:line="276" w:lineRule="auto"/>
      </w:pPr>
      <w:r>
        <w:rPr>
          <w:i/>
        </w:rPr>
        <w:t>Enterprise Matching</w:t>
      </w:r>
      <w:r w:rsidRPr="005B51F5">
        <w:t>:</w:t>
      </w:r>
      <w:r>
        <w:t xml:space="preserve"> Incorporating an NFP residency engagement framework within which Impact Seed aims to identify alternative revenue streams within community services sector organisations, and match them to aligned social enterprises to develop financial sustainability and improved social outcomes.  </w:t>
      </w:r>
    </w:p>
    <w:p w:rsidR="0021174B" w:rsidRDefault="0021174B" w:rsidP="0021174B">
      <w:pPr>
        <w:pStyle w:val="ListParagraph"/>
        <w:numPr>
          <w:ilvl w:val="0"/>
          <w:numId w:val="13"/>
        </w:numPr>
        <w:spacing w:before="0" w:after="0" w:line="276" w:lineRule="auto"/>
      </w:pPr>
      <w:r w:rsidRPr="004A762E">
        <w:rPr>
          <w:i/>
        </w:rPr>
        <w:t>Impact Spark</w:t>
      </w:r>
      <w:r>
        <w:t>: an accelerator program delivering customised modules supporting specific business and impact needs;</w:t>
      </w:r>
    </w:p>
    <w:p w:rsidR="0021174B" w:rsidRDefault="005B51F5" w:rsidP="0021174B">
      <w:pPr>
        <w:pStyle w:val="ListParagraph"/>
        <w:numPr>
          <w:ilvl w:val="0"/>
          <w:numId w:val="13"/>
        </w:numPr>
        <w:spacing w:before="0" w:after="0" w:line="276" w:lineRule="auto"/>
      </w:pPr>
      <w:r w:rsidRPr="005B51F5">
        <w:rPr>
          <w:i/>
        </w:rPr>
        <w:t>Advocacy, Profiling and Education:</w:t>
      </w:r>
      <w:r>
        <w:t xml:space="preserve"> </w:t>
      </w:r>
      <w:r w:rsidR="0021174B">
        <w:t xml:space="preserve">Development and delivery of pitch events and learning events, bringing together potential investors, and investable projects and organisations; </w:t>
      </w:r>
    </w:p>
    <w:p w:rsidR="0021174B" w:rsidRDefault="0021174B" w:rsidP="0021174B">
      <w:pPr>
        <w:pStyle w:val="ListParagraph"/>
        <w:numPr>
          <w:ilvl w:val="0"/>
          <w:numId w:val="13"/>
        </w:numPr>
        <w:spacing w:before="0" w:after="0" w:line="276" w:lineRule="auto"/>
      </w:pPr>
      <w:r w:rsidRPr="004A762E">
        <w:rPr>
          <w:i/>
        </w:rPr>
        <w:t>Impact Starter</w:t>
      </w:r>
      <w:r>
        <w:t xml:space="preserve">: a </w:t>
      </w:r>
      <w:r w:rsidR="005B51F5">
        <w:t xml:space="preserve">social </w:t>
      </w:r>
      <w:r>
        <w:t>start-up funding platform, based on community-matched funding campaigns which leverage and de-risk partner contributions.</w:t>
      </w:r>
    </w:p>
    <w:p w:rsidR="00512188" w:rsidRPr="004A762E" w:rsidRDefault="00512188" w:rsidP="00D01D1D">
      <w:pPr>
        <w:rPr>
          <w:rFonts w:ascii="Arial" w:hAnsi="Arial" w:cs="Arial"/>
        </w:rPr>
      </w:pPr>
    </w:p>
    <w:p w:rsidR="00512188" w:rsidRPr="004A762E" w:rsidRDefault="00512188" w:rsidP="00D01D1D">
      <w:pPr>
        <w:rPr>
          <w:rFonts w:ascii="Arial" w:hAnsi="Arial" w:cs="Arial"/>
          <w:b/>
          <w:u w:val="single"/>
        </w:rPr>
      </w:pPr>
      <w:r w:rsidRPr="004A762E">
        <w:rPr>
          <w:rFonts w:ascii="Arial" w:hAnsi="Arial" w:cs="Arial"/>
          <w:b/>
          <w:u w:val="single"/>
        </w:rPr>
        <w:t>Impact Seed’s Submission</w:t>
      </w:r>
    </w:p>
    <w:p w:rsidR="00512188" w:rsidRPr="004A762E" w:rsidRDefault="00512188" w:rsidP="00D01D1D">
      <w:pPr>
        <w:rPr>
          <w:rFonts w:ascii="Arial" w:hAnsi="Arial" w:cs="Arial"/>
        </w:rPr>
      </w:pPr>
      <w:r w:rsidRPr="004A762E">
        <w:rPr>
          <w:rFonts w:ascii="Arial" w:hAnsi="Arial" w:cs="Arial"/>
        </w:rPr>
        <w:t xml:space="preserve">Our submission makes some minor points towards a number of the consultation questions, </w:t>
      </w:r>
      <w:r w:rsidR="004A762E">
        <w:rPr>
          <w:rFonts w:ascii="Arial" w:hAnsi="Arial" w:cs="Arial"/>
        </w:rPr>
        <w:t>and these are</w:t>
      </w:r>
      <w:r w:rsidRPr="004A762E">
        <w:rPr>
          <w:rFonts w:ascii="Arial" w:hAnsi="Arial" w:cs="Arial"/>
        </w:rPr>
        <w:t xml:space="preserve"> listed below.</w:t>
      </w:r>
      <w:r w:rsidR="00D01D1D">
        <w:rPr>
          <w:rFonts w:ascii="Arial" w:hAnsi="Arial" w:cs="Arial"/>
        </w:rPr>
        <w:t xml:space="preserve"> </w:t>
      </w:r>
      <w:r w:rsidRPr="004A762E">
        <w:rPr>
          <w:rFonts w:ascii="Arial" w:hAnsi="Arial" w:cs="Arial"/>
        </w:rPr>
        <w:t xml:space="preserve">However, the major thrust of our submission is related to 5.4 of the Discussion Paper with regard to Legal Structures. </w:t>
      </w:r>
    </w:p>
    <w:p w:rsidR="00512188" w:rsidRDefault="00512188" w:rsidP="00D01D1D">
      <w:pPr>
        <w:rPr>
          <w:rFonts w:ascii="Arial" w:hAnsi="Arial" w:cs="Arial"/>
          <w:b/>
          <w:i/>
        </w:rPr>
      </w:pPr>
      <w:r w:rsidRPr="004A762E">
        <w:rPr>
          <w:rFonts w:ascii="Arial" w:hAnsi="Arial" w:cs="Arial"/>
          <w:b/>
          <w:i/>
        </w:rPr>
        <w:t xml:space="preserve">1. What do you see as the main barriers to the growth of the social impact investing market in Australia? How do these barriers differ from the perspective of investors, service providers and intermediaries? </w:t>
      </w:r>
    </w:p>
    <w:p w:rsidR="004A762E" w:rsidRDefault="004A762E" w:rsidP="00D01D1D">
      <w:pPr>
        <w:rPr>
          <w:rFonts w:ascii="Arial" w:hAnsi="Arial" w:cs="Arial"/>
        </w:rPr>
      </w:pPr>
      <w:r>
        <w:rPr>
          <w:rFonts w:ascii="Arial" w:hAnsi="Arial" w:cs="Arial"/>
        </w:rPr>
        <w:t>a. The capacity and willingness of governments and organisations at all levels to share data and information. Impact investing cannot work unless we have a clear and common understanding of the social issues, and a clear and common plan about how to measure progress over time.</w:t>
      </w:r>
    </w:p>
    <w:p w:rsidR="004A762E" w:rsidRDefault="004A762E" w:rsidP="00D01D1D">
      <w:pPr>
        <w:rPr>
          <w:rFonts w:ascii="Arial" w:hAnsi="Arial" w:cs="Arial"/>
        </w:rPr>
      </w:pPr>
      <w:r>
        <w:rPr>
          <w:rFonts w:ascii="Arial" w:hAnsi="Arial" w:cs="Arial"/>
        </w:rPr>
        <w:t>b. Governments in Australia have been more reticent, and perhaps risk-averse, to entering this space than in other jurisdictions. Government engagement, especially for social impact bonds or pay for performance contracts, is critical.</w:t>
      </w:r>
    </w:p>
    <w:p w:rsidR="004A762E" w:rsidRPr="004A762E" w:rsidRDefault="004A762E" w:rsidP="00D01D1D">
      <w:pPr>
        <w:rPr>
          <w:rFonts w:ascii="Arial" w:hAnsi="Arial" w:cs="Arial"/>
        </w:rPr>
      </w:pPr>
      <w:r>
        <w:rPr>
          <w:rFonts w:ascii="Arial" w:hAnsi="Arial" w:cs="Arial"/>
        </w:rPr>
        <w:t xml:space="preserve">c. </w:t>
      </w:r>
      <w:r w:rsidR="00D01D1D">
        <w:rPr>
          <w:rFonts w:ascii="Arial" w:hAnsi="Arial" w:cs="Arial"/>
        </w:rPr>
        <w:t>There is some appetite from potential investors to try impact investing at a small scale; however the number of projects or initiatives with the capacity to take on investment, especially large investment, is relatively small. Investment is required to build capacity in the eco-system in order to provide this capacity-building support in turn to the projects and initiatives that need it.</w:t>
      </w:r>
    </w:p>
    <w:p w:rsidR="00512188" w:rsidRDefault="00512188" w:rsidP="00D01D1D">
      <w:pPr>
        <w:rPr>
          <w:rFonts w:ascii="Arial" w:hAnsi="Arial" w:cs="Arial"/>
          <w:b/>
          <w:i/>
        </w:rPr>
      </w:pPr>
      <w:r w:rsidRPr="00D01D1D">
        <w:rPr>
          <w:rFonts w:ascii="Arial" w:hAnsi="Arial" w:cs="Arial"/>
          <w:b/>
          <w:i/>
        </w:rPr>
        <w:t xml:space="preserve">4. What do you see as the role of the Australian Government in developing the social impact investing market? </w:t>
      </w:r>
    </w:p>
    <w:p w:rsidR="00D01D1D" w:rsidRDefault="00D01D1D" w:rsidP="00D01D1D">
      <w:pPr>
        <w:rPr>
          <w:rFonts w:ascii="Arial" w:hAnsi="Arial" w:cs="Arial"/>
        </w:rPr>
      </w:pPr>
      <w:r>
        <w:rPr>
          <w:rFonts w:ascii="Arial" w:hAnsi="Arial" w:cs="Arial"/>
        </w:rPr>
        <w:lastRenderedPageBreak/>
        <w:t>a. A co-funder with state and potentially local governments</w:t>
      </w:r>
    </w:p>
    <w:p w:rsidR="00D01D1D" w:rsidRDefault="00D01D1D" w:rsidP="00D01D1D">
      <w:pPr>
        <w:rPr>
          <w:rFonts w:ascii="Arial" w:hAnsi="Arial" w:cs="Arial"/>
        </w:rPr>
      </w:pPr>
      <w:r>
        <w:rPr>
          <w:rFonts w:ascii="Arial" w:hAnsi="Arial" w:cs="Arial"/>
        </w:rPr>
        <w:t>b. Removing potential barriers to impact investment (for example, consider changing the Corporations Act to give certainty for Directors to include social impact in their decision-making).</w:t>
      </w:r>
    </w:p>
    <w:p w:rsidR="00D01D1D" w:rsidRPr="00D01D1D" w:rsidRDefault="00D01D1D" w:rsidP="00D01D1D">
      <w:pPr>
        <w:rPr>
          <w:rFonts w:ascii="Arial" w:hAnsi="Arial" w:cs="Arial"/>
        </w:rPr>
      </w:pPr>
      <w:r>
        <w:rPr>
          <w:rFonts w:ascii="Arial" w:hAnsi="Arial" w:cs="Arial"/>
        </w:rPr>
        <w:t>c. Providing incentives to leverage this kind of investment (for example, tax incentives for impact investors).</w:t>
      </w:r>
    </w:p>
    <w:p w:rsidR="00512188" w:rsidRPr="00D01D1D" w:rsidRDefault="00D01D1D" w:rsidP="00D01D1D">
      <w:pPr>
        <w:rPr>
          <w:rFonts w:ascii="Arial" w:hAnsi="Arial" w:cs="Arial"/>
          <w:b/>
          <w:i/>
        </w:rPr>
      </w:pPr>
      <w:r w:rsidRPr="00D01D1D">
        <w:rPr>
          <w:rFonts w:ascii="Arial" w:hAnsi="Arial" w:cs="Arial"/>
          <w:b/>
          <w:i/>
        </w:rPr>
        <w:t xml:space="preserve">9. </w:t>
      </w:r>
      <w:r w:rsidR="00512188" w:rsidRPr="00D01D1D">
        <w:rPr>
          <w:rFonts w:ascii="Arial" w:hAnsi="Arial" w:cs="Arial"/>
          <w:b/>
          <w:i/>
        </w:rPr>
        <w:t xml:space="preserve">What are the biggest challenges for the implementing the Australian Government’s public data policy in the social impact investing market? What can do the Australian Government do to address these challenges? </w:t>
      </w:r>
    </w:p>
    <w:p w:rsidR="00512188" w:rsidRDefault="00512188" w:rsidP="00D01D1D">
      <w:pPr>
        <w:rPr>
          <w:rFonts w:ascii="Arial" w:hAnsi="Arial" w:cs="Arial"/>
        </w:rPr>
      </w:pPr>
      <w:r w:rsidRPr="004A762E">
        <w:rPr>
          <w:rFonts w:ascii="Arial" w:hAnsi="Arial" w:cs="Arial"/>
        </w:rPr>
        <w:t>There are clearly a number of infrastructural and jurisdictional challenges with regard to the implementation of the public data policy. However, one that we are choosing to focus on with this submission</w:t>
      </w:r>
      <w:r w:rsidR="00D01D1D">
        <w:rPr>
          <w:rFonts w:ascii="Arial" w:hAnsi="Arial" w:cs="Arial"/>
        </w:rPr>
        <w:t xml:space="preserve"> is related to culture.</w:t>
      </w:r>
    </w:p>
    <w:p w:rsidR="00D01D1D" w:rsidRDefault="00D01D1D" w:rsidP="00D01D1D">
      <w:pPr>
        <w:rPr>
          <w:rFonts w:ascii="Arial" w:hAnsi="Arial" w:cs="Arial"/>
        </w:rPr>
      </w:pPr>
      <w:r>
        <w:rPr>
          <w:rFonts w:ascii="Arial" w:hAnsi="Arial" w:cs="Arial"/>
        </w:rPr>
        <w:t>It is widely acknowledged that government = bureaucracy. There is a necessary societal reason for this. However, even if all structural and systemic barriers were removed around the sharing and dissemination of data and information, there would still be a cultural issue at play.</w:t>
      </w:r>
    </w:p>
    <w:p w:rsidR="00D01D1D" w:rsidRPr="004A762E" w:rsidRDefault="00D01D1D" w:rsidP="00D01D1D">
      <w:pPr>
        <w:rPr>
          <w:rFonts w:ascii="Arial" w:hAnsi="Arial" w:cs="Arial"/>
        </w:rPr>
      </w:pPr>
      <w:r>
        <w:rPr>
          <w:rFonts w:ascii="Arial" w:hAnsi="Arial" w:cs="Arial"/>
        </w:rPr>
        <w:t>We believe that the structural barriers can be identified and reformed in a relatively acceptable period of time. However, the cultural inertia among the public service to sharing information and data will take much longer to overcome.</w:t>
      </w:r>
    </w:p>
    <w:p w:rsidR="00D01D1D" w:rsidRDefault="00D01D1D" w:rsidP="00D01D1D">
      <w:pPr>
        <w:rPr>
          <w:rFonts w:ascii="Arial" w:hAnsi="Arial" w:cs="Arial"/>
        </w:rPr>
      </w:pPr>
    </w:p>
    <w:p w:rsidR="0040165B" w:rsidRDefault="0040165B" w:rsidP="00D01D1D">
      <w:pPr>
        <w:rPr>
          <w:rFonts w:ascii="Arial" w:hAnsi="Arial" w:cs="Arial"/>
          <w:b/>
          <w:u w:val="single"/>
          <w:lang w:val="en-US"/>
        </w:rPr>
      </w:pPr>
      <w:r w:rsidRPr="004A762E">
        <w:rPr>
          <w:rFonts w:ascii="Arial" w:hAnsi="Arial" w:cs="Arial"/>
          <w:b/>
          <w:u w:val="single"/>
          <w:lang w:val="en-US"/>
        </w:rPr>
        <w:t>5.4 Legal Structures for Social Enterprise</w:t>
      </w:r>
    </w:p>
    <w:p w:rsidR="0021174B" w:rsidRPr="004A762E" w:rsidRDefault="0021174B" w:rsidP="00D01D1D">
      <w:pPr>
        <w:rPr>
          <w:rFonts w:ascii="Arial" w:hAnsi="Arial" w:cs="Arial"/>
          <w:b/>
          <w:u w:val="single"/>
          <w:lang w:val="en-US"/>
        </w:rPr>
      </w:pPr>
      <w:r>
        <w:rPr>
          <w:rFonts w:ascii="Arial" w:hAnsi="Arial" w:cs="Arial"/>
          <w:b/>
          <w:u w:val="single"/>
          <w:lang w:val="en-US"/>
        </w:rPr>
        <w:t>Note:</w:t>
      </w:r>
      <w:r w:rsidRPr="00BD5375">
        <w:rPr>
          <w:rFonts w:ascii="Arial" w:hAnsi="Arial" w:cs="Arial"/>
          <w:b/>
          <w:lang w:val="en-US"/>
        </w:rPr>
        <w:t xml:space="preserve"> </w:t>
      </w:r>
      <w:r>
        <w:rPr>
          <w:rFonts w:ascii="Arial" w:hAnsi="Arial" w:cs="Arial"/>
        </w:rPr>
        <w:t>This element of our submission has been adapted from a paper written for a course on NFP Law at UWA. The question originally posed for the paper was with regard to the ‘blurring’ between traditional not-for-profit and for-profit boundaries, and whether, in a legal sense, the idea of the ‘not-for-profit’ element of charity was still useful and relevant. In the course of my research it became clear that the NFP element is still very important. Arguments for alternate legal structures often focus on the need of social enterprises – the fact that new legal structures are required because they just don’t fit those that are currently available. However it became clear to me in researching this paper that that is not the only argument to be made. Alternate legal structures are also important to maintain the integrity of our charitable legal structures. Therefore, there is a dual interest for the government with considering alternate legal structures – a) protecting charitable legal structures AND b) providing a vehicle and a flag to accelerate impact investment</w:t>
      </w:r>
    </w:p>
    <w:p w:rsidR="008B4932" w:rsidRPr="0021174B" w:rsidRDefault="008B4932" w:rsidP="00D01D1D">
      <w:pPr>
        <w:pStyle w:val="z-BottomofForm"/>
        <w:spacing w:line="276" w:lineRule="auto"/>
        <w:jc w:val="left"/>
      </w:pPr>
      <w:r w:rsidRPr="0021174B">
        <w:t>Bottom of Form</w:t>
      </w:r>
    </w:p>
    <w:p w:rsidR="00A85982" w:rsidRPr="0021174B" w:rsidRDefault="00A85982" w:rsidP="00D01D1D">
      <w:pPr>
        <w:rPr>
          <w:rFonts w:ascii="Arial" w:hAnsi="Arial" w:cs="Arial"/>
          <w:color w:val="000000"/>
          <w:sz w:val="24"/>
        </w:rPr>
      </w:pPr>
      <w:r w:rsidRPr="0021174B">
        <w:rPr>
          <w:rFonts w:ascii="Arial" w:hAnsi="Arial" w:cs="Arial"/>
          <w:b/>
        </w:rPr>
        <w:t>Introduction</w:t>
      </w:r>
    </w:p>
    <w:p w:rsidR="00D01D1D" w:rsidRDefault="00D01D1D" w:rsidP="00D01D1D">
      <w:pPr>
        <w:rPr>
          <w:rFonts w:ascii="Arial" w:hAnsi="Arial" w:cs="Arial"/>
        </w:rPr>
      </w:pPr>
      <w:r>
        <w:rPr>
          <w:rFonts w:ascii="Arial" w:hAnsi="Arial" w:cs="Arial"/>
        </w:rPr>
        <w:t>The t</w:t>
      </w:r>
      <w:r w:rsidR="00A07036" w:rsidRPr="004A762E">
        <w:rPr>
          <w:rFonts w:ascii="Arial" w:hAnsi="Arial" w:cs="Arial"/>
        </w:rPr>
        <w:t>raditional dichotomy between for-profit and not-for-profit (NFP) has been blurred over time, the NFP condition is, and can continue to remain, relevant to the definition of charity and to charity registration with the Australian Charities and Not-for-profits Commission (ACNC). The essential element offered by the NFP condition is a ‘flag’ to the public that the entity is locked from distributing profit to members and this is critical to the public trust and confidence of the charitable/NFP sector.</w:t>
      </w:r>
      <w:r w:rsidR="00A07036" w:rsidRPr="004A762E">
        <w:rPr>
          <w:rStyle w:val="FootnoteReference"/>
          <w:rFonts w:ascii="Arial" w:hAnsi="Arial" w:cs="Arial"/>
        </w:rPr>
        <w:footnoteReference w:id="1"/>
      </w:r>
      <w:r w:rsidR="00A07036" w:rsidRPr="004A762E">
        <w:rPr>
          <w:rFonts w:ascii="Arial" w:hAnsi="Arial" w:cs="Arial"/>
        </w:rPr>
        <w:t xml:space="preserve"> </w:t>
      </w:r>
      <w:r w:rsidR="000A0DCD" w:rsidRPr="004A762E">
        <w:rPr>
          <w:rFonts w:ascii="Arial" w:hAnsi="Arial" w:cs="Arial"/>
        </w:rPr>
        <w:t>However, it is</w:t>
      </w:r>
      <w:r w:rsidR="00F73A9E" w:rsidRPr="004A762E">
        <w:rPr>
          <w:rFonts w:ascii="Arial" w:hAnsi="Arial" w:cs="Arial"/>
        </w:rPr>
        <w:t xml:space="preserve"> </w:t>
      </w:r>
      <w:r w:rsidR="00B20946" w:rsidRPr="004A762E">
        <w:rPr>
          <w:rFonts w:ascii="Arial" w:hAnsi="Arial" w:cs="Arial"/>
        </w:rPr>
        <w:t xml:space="preserve">clear </w:t>
      </w:r>
      <w:r w:rsidR="00F73A9E" w:rsidRPr="004A762E">
        <w:rPr>
          <w:rFonts w:ascii="Arial" w:hAnsi="Arial" w:cs="Arial"/>
        </w:rPr>
        <w:t xml:space="preserve">that </w:t>
      </w:r>
      <w:r w:rsidR="00B20946" w:rsidRPr="004A762E">
        <w:rPr>
          <w:rFonts w:ascii="Arial" w:hAnsi="Arial" w:cs="Arial"/>
        </w:rPr>
        <w:t xml:space="preserve">the trends that have blurred the lines between for-profit and NFP </w:t>
      </w:r>
      <w:r w:rsidR="000A0DCD" w:rsidRPr="004A762E">
        <w:rPr>
          <w:rFonts w:ascii="Arial" w:hAnsi="Arial" w:cs="Arial"/>
        </w:rPr>
        <w:t>must</w:t>
      </w:r>
      <w:r w:rsidR="00B20946" w:rsidRPr="004A762E">
        <w:rPr>
          <w:rFonts w:ascii="Arial" w:hAnsi="Arial" w:cs="Arial"/>
        </w:rPr>
        <w:t xml:space="preserve"> be accommodated in </w:t>
      </w:r>
      <w:r>
        <w:rPr>
          <w:rFonts w:ascii="Arial" w:hAnsi="Arial" w:cs="Arial"/>
        </w:rPr>
        <w:t>our</w:t>
      </w:r>
      <w:r w:rsidR="00B20946" w:rsidRPr="004A762E">
        <w:rPr>
          <w:rFonts w:ascii="Arial" w:hAnsi="Arial" w:cs="Arial"/>
        </w:rPr>
        <w:t xml:space="preserve"> system. Otherwise the risk is that the concept of charity, and its NFP condition, becomes </w:t>
      </w:r>
      <w:r w:rsidR="00F73A9E" w:rsidRPr="004A762E">
        <w:rPr>
          <w:rFonts w:ascii="Arial" w:hAnsi="Arial" w:cs="Arial"/>
        </w:rPr>
        <w:t>less relevant</w:t>
      </w:r>
      <w:r w:rsidR="00B20946" w:rsidRPr="004A762E">
        <w:rPr>
          <w:rFonts w:ascii="Arial" w:hAnsi="Arial" w:cs="Arial"/>
        </w:rPr>
        <w:t xml:space="preserve">. </w:t>
      </w:r>
    </w:p>
    <w:p w:rsidR="003F7E86" w:rsidRPr="004A762E" w:rsidRDefault="00F73A9E" w:rsidP="00D01D1D">
      <w:pPr>
        <w:rPr>
          <w:rFonts w:ascii="Arial" w:hAnsi="Arial" w:cs="Arial"/>
        </w:rPr>
      </w:pPr>
      <w:r w:rsidRPr="004A762E">
        <w:rPr>
          <w:rFonts w:ascii="Arial" w:hAnsi="Arial" w:cs="Arial"/>
        </w:rPr>
        <w:t>T</w:t>
      </w:r>
      <w:r w:rsidR="00B20946" w:rsidRPr="004A762E">
        <w:rPr>
          <w:rFonts w:ascii="Arial" w:hAnsi="Arial" w:cs="Arial"/>
        </w:rPr>
        <w:t>he system needs reform, drawing on experiences of other jurisdictions, to ensure that the concepts of charity and NFP remain focussed and relevant into the future.</w:t>
      </w:r>
    </w:p>
    <w:p w:rsidR="0021174B" w:rsidRPr="004A762E" w:rsidRDefault="0021174B" w:rsidP="0021174B">
      <w:pPr>
        <w:rPr>
          <w:rFonts w:ascii="Arial" w:hAnsi="Arial" w:cs="Arial"/>
          <w:lang w:val="en-US"/>
        </w:rPr>
      </w:pPr>
      <w:r w:rsidRPr="004A762E">
        <w:rPr>
          <w:rFonts w:ascii="Arial" w:hAnsi="Arial" w:cs="Arial"/>
          <w:lang w:val="en-US"/>
        </w:rPr>
        <w:t xml:space="preserve">Unlike traditional business structures, social impact/benefit corporations are at once a powerful government policy signal, and consumer-facing mechanism for driving and signaling focus on these areas.  Over the past 10 years many of Australia’s key trading partners have realised this and passed enabling legislation for these social impact/benefit companies to incorporate or re-incorporate (for example Kickstarter, or Patagonia in the US). </w:t>
      </w:r>
    </w:p>
    <w:p w:rsidR="0021174B" w:rsidRPr="004A762E" w:rsidRDefault="0021174B" w:rsidP="0021174B">
      <w:pPr>
        <w:rPr>
          <w:rFonts w:ascii="Arial" w:hAnsi="Arial" w:cs="Arial"/>
          <w:lang w:val="en-US"/>
        </w:rPr>
      </w:pPr>
      <w:r w:rsidRPr="004A762E">
        <w:rPr>
          <w:rFonts w:ascii="Arial" w:hAnsi="Arial" w:cs="Arial"/>
          <w:lang w:val="en-US"/>
        </w:rPr>
        <w:t>Sometimes a simple act of zero-cost policy change can create a positive seismic shift in entire industries. Creating a legal structure for social impact/benefit corporations is a free win for policymakers as it costs the budget nothing, while being both a small step and a giant leap towards generating a world-class social impact and impact investment market.</w:t>
      </w:r>
    </w:p>
    <w:p w:rsidR="00C65729" w:rsidRPr="004A762E" w:rsidRDefault="00C65729" w:rsidP="00D01D1D">
      <w:pPr>
        <w:rPr>
          <w:rFonts w:ascii="Arial" w:hAnsi="Arial" w:cs="Arial"/>
          <w:b/>
          <w:u w:val="single"/>
        </w:rPr>
      </w:pPr>
    </w:p>
    <w:p w:rsidR="00DD3F58" w:rsidRPr="0021174B" w:rsidRDefault="00DD3F58" w:rsidP="00D01D1D">
      <w:pPr>
        <w:rPr>
          <w:rFonts w:ascii="Arial" w:hAnsi="Arial" w:cs="Arial"/>
          <w:b/>
        </w:rPr>
      </w:pPr>
      <w:r w:rsidRPr="0021174B">
        <w:rPr>
          <w:rFonts w:ascii="Arial" w:hAnsi="Arial" w:cs="Arial"/>
          <w:b/>
        </w:rPr>
        <w:t>How has the traditio</w:t>
      </w:r>
      <w:r w:rsidR="004C0F00" w:rsidRPr="0021174B">
        <w:rPr>
          <w:rFonts w:ascii="Arial" w:hAnsi="Arial" w:cs="Arial"/>
          <w:b/>
        </w:rPr>
        <w:t xml:space="preserve">nal dichotomy </w:t>
      </w:r>
      <w:r w:rsidR="00A07036" w:rsidRPr="0021174B">
        <w:rPr>
          <w:rFonts w:ascii="Arial" w:hAnsi="Arial" w:cs="Arial"/>
          <w:b/>
        </w:rPr>
        <w:t>been blurred</w:t>
      </w:r>
      <w:r w:rsidR="004C0F00" w:rsidRPr="0021174B">
        <w:rPr>
          <w:rFonts w:ascii="Arial" w:hAnsi="Arial" w:cs="Arial"/>
          <w:b/>
        </w:rPr>
        <w:t>?</w:t>
      </w:r>
    </w:p>
    <w:p w:rsidR="00E54FE9" w:rsidRPr="004A762E" w:rsidRDefault="004E41A5" w:rsidP="00D01D1D">
      <w:pPr>
        <w:rPr>
          <w:rFonts w:ascii="Arial" w:hAnsi="Arial" w:cs="Arial"/>
        </w:rPr>
      </w:pPr>
      <w:r w:rsidRPr="004A762E">
        <w:rPr>
          <w:rFonts w:ascii="Arial" w:hAnsi="Arial" w:cs="Arial"/>
        </w:rPr>
        <w:t xml:space="preserve">Deloitte has identified through its </w:t>
      </w:r>
      <w:r w:rsidR="00E54FE9" w:rsidRPr="004A762E">
        <w:rPr>
          <w:rFonts w:ascii="Arial" w:hAnsi="Arial" w:cs="Arial"/>
        </w:rPr>
        <w:t>Millennial</w:t>
      </w:r>
      <w:r w:rsidR="00A869CD" w:rsidRPr="004A762E">
        <w:rPr>
          <w:rFonts w:ascii="Arial" w:hAnsi="Arial" w:cs="Arial"/>
        </w:rPr>
        <w:t xml:space="preserve"> survey</w:t>
      </w:r>
      <w:r w:rsidRPr="004A762E">
        <w:rPr>
          <w:rFonts w:ascii="Arial" w:hAnsi="Arial" w:cs="Arial"/>
        </w:rPr>
        <w:t xml:space="preserve"> that </w:t>
      </w:r>
      <w:r w:rsidR="00E54FE9" w:rsidRPr="004A762E">
        <w:rPr>
          <w:rFonts w:ascii="Arial" w:hAnsi="Arial" w:cs="Arial"/>
        </w:rPr>
        <w:t xml:space="preserve">of </w:t>
      </w:r>
      <w:r w:rsidRPr="004A762E">
        <w:rPr>
          <w:rFonts w:ascii="Arial" w:hAnsi="Arial" w:cs="Arial"/>
        </w:rPr>
        <w:t>the next generation of leaders</w:t>
      </w:r>
      <w:r w:rsidR="00E54FE9" w:rsidRPr="004A762E">
        <w:rPr>
          <w:rFonts w:ascii="Arial" w:hAnsi="Arial" w:cs="Arial"/>
        </w:rPr>
        <w:t xml:space="preserve">, 87% believe that the success of a business should be measured in terms of </w:t>
      </w:r>
      <w:r w:rsidR="00E54FE9" w:rsidRPr="004A762E">
        <w:rPr>
          <w:rFonts w:ascii="Arial" w:hAnsi="Arial" w:cs="Arial"/>
          <w:u w:val="single"/>
        </w:rPr>
        <w:t>more</w:t>
      </w:r>
      <w:r w:rsidR="00E54FE9" w:rsidRPr="004A762E">
        <w:rPr>
          <w:rFonts w:ascii="Arial" w:hAnsi="Arial" w:cs="Arial"/>
        </w:rPr>
        <w:t xml:space="preserve"> than just its financial performance.’</w:t>
      </w:r>
      <w:r w:rsidR="00E54FE9" w:rsidRPr="004A762E">
        <w:rPr>
          <w:rStyle w:val="FootnoteReference"/>
          <w:rFonts w:ascii="Arial" w:hAnsi="Arial" w:cs="Arial"/>
        </w:rPr>
        <w:footnoteReference w:id="2"/>
      </w:r>
      <w:r w:rsidR="00E54FE9" w:rsidRPr="004A762E">
        <w:rPr>
          <w:rFonts w:ascii="Arial" w:hAnsi="Arial" w:cs="Arial"/>
        </w:rPr>
        <w:t xml:space="preserve"> </w:t>
      </w:r>
      <w:r w:rsidR="00F371EB" w:rsidRPr="004A762E">
        <w:rPr>
          <w:rFonts w:ascii="Arial" w:hAnsi="Arial" w:cs="Arial"/>
        </w:rPr>
        <w:t>T</w:t>
      </w:r>
      <w:r w:rsidR="00A869CD" w:rsidRPr="004A762E">
        <w:rPr>
          <w:rFonts w:ascii="Arial" w:hAnsi="Arial" w:cs="Arial"/>
        </w:rPr>
        <w:t>he</w:t>
      </w:r>
      <w:r w:rsidR="00F371EB" w:rsidRPr="004A762E">
        <w:rPr>
          <w:rFonts w:ascii="Arial" w:hAnsi="Arial" w:cs="Arial"/>
        </w:rPr>
        <w:t xml:space="preserve"> corporate sector has evolved over time,</w:t>
      </w:r>
      <w:r w:rsidR="00E54FE9" w:rsidRPr="004A762E">
        <w:rPr>
          <w:rFonts w:ascii="Arial" w:hAnsi="Arial" w:cs="Arial"/>
        </w:rPr>
        <w:t xml:space="preserve"> </w:t>
      </w:r>
      <w:r w:rsidR="000A0DCD" w:rsidRPr="004A762E">
        <w:rPr>
          <w:rFonts w:ascii="Arial" w:hAnsi="Arial" w:cs="Arial"/>
        </w:rPr>
        <w:t>moving</w:t>
      </w:r>
      <w:r w:rsidR="00E54FE9" w:rsidRPr="004A762E">
        <w:rPr>
          <w:rFonts w:ascii="Arial" w:hAnsi="Arial" w:cs="Arial"/>
        </w:rPr>
        <w:t xml:space="preserve"> from corporate social responsibility, to social license to operate, and now to ‘shared value’. ‘Shared value’ is generated by a strategy that has both an identifiable economic benefit to the company and a measurable impact on a social or environmental issue.</w:t>
      </w:r>
      <w:r w:rsidR="00E54FE9" w:rsidRPr="004A762E">
        <w:rPr>
          <w:rStyle w:val="FootnoteReference"/>
          <w:rFonts w:ascii="Arial" w:hAnsi="Arial" w:cs="Arial"/>
        </w:rPr>
        <w:footnoteReference w:id="3"/>
      </w:r>
      <w:r w:rsidR="00E54FE9" w:rsidRPr="004A762E">
        <w:rPr>
          <w:rFonts w:ascii="Arial" w:hAnsi="Arial" w:cs="Arial"/>
        </w:rPr>
        <w:t xml:space="preserve"> Shared value leverages the business experience of the corporate partner, and the NFP partners’ experience in working with communities.  For example, GSK, a pharmaceutical firm </w:t>
      </w:r>
      <w:r w:rsidR="00F371EB" w:rsidRPr="004A762E">
        <w:rPr>
          <w:rFonts w:ascii="Arial" w:hAnsi="Arial" w:cs="Arial"/>
        </w:rPr>
        <w:t>has</w:t>
      </w:r>
      <w:r w:rsidR="00E54FE9" w:rsidRPr="004A762E">
        <w:rPr>
          <w:rFonts w:ascii="Arial" w:hAnsi="Arial" w:cs="Arial"/>
        </w:rPr>
        <w:t xml:space="preserve"> partnered with Save the Children, in a way that goes ‘well beyond the traditional charity corporate fundraising model.</w:t>
      </w:r>
      <w:r w:rsidR="00E54FE9" w:rsidRPr="004A762E">
        <w:rPr>
          <w:rStyle w:val="FootnoteReference"/>
          <w:rFonts w:ascii="Arial" w:hAnsi="Arial" w:cs="Arial"/>
        </w:rPr>
        <w:footnoteReference w:id="4"/>
      </w:r>
      <w:r w:rsidR="00E54FE9" w:rsidRPr="004A762E">
        <w:rPr>
          <w:rFonts w:ascii="Arial" w:hAnsi="Arial" w:cs="Arial"/>
        </w:rPr>
        <w:t xml:space="preserve">’ GSK and Save the Children work together to prevent children in developing countries dying from preventable diseases. They are ‘combining </w:t>
      </w:r>
      <w:r w:rsidR="00227B3C" w:rsidRPr="004A762E">
        <w:rPr>
          <w:rFonts w:ascii="Arial" w:hAnsi="Arial" w:cs="Arial"/>
        </w:rPr>
        <w:t>[GSK’s]</w:t>
      </w:r>
      <w:r w:rsidR="00E54FE9" w:rsidRPr="004A762E">
        <w:rPr>
          <w:rFonts w:ascii="Arial" w:hAnsi="Arial" w:cs="Arial"/>
        </w:rPr>
        <w:t xml:space="preserve"> capabilities in R&amp;D, supply chain, procurement and vaccines with Save the Children’s expertise working with the most vulnerable children.’</w:t>
      </w:r>
      <w:r w:rsidR="00E54FE9" w:rsidRPr="004A762E">
        <w:rPr>
          <w:rStyle w:val="FootnoteReference"/>
          <w:rFonts w:ascii="Arial" w:hAnsi="Arial" w:cs="Arial"/>
        </w:rPr>
        <w:footnoteReference w:id="5"/>
      </w:r>
      <w:r w:rsidR="00E54FE9" w:rsidRPr="004A762E">
        <w:rPr>
          <w:rFonts w:ascii="Arial" w:hAnsi="Arial" w:cs="Arial"/>
        </w:rPr>
        <w:t xml:space="preserve"> </w:t>
      </w:r>
      <w:r w:rsidR="00227B3C" w:rsidRPr="004A762E">
        <w:rPr>
          <w:rFonts w:ascii="Arial" w:hAnsi="Arial" w:cs="Arial"/>
        </w:rPr>
        <w:t>T</w:t>
      </w:r>
      <w:r w:rsidR="00E54FE9" w:rsidRPr="004A762E">
        <w:rPr>
          <w:rFonts w:ascii="Arial" w:hAnsi="Arial" w:cs="Arial"/>
        </w:rPr>
        <w:t xml:space="preserve">he Australian government </w:t>
      </w:r>
      <w:r w:rsidR="00227B3C" w:rsidRPr="004A762E">
        <w:rPr>
          <w:rFonts w:ascii="Arial" w:hAnsi="Arial" w:cs="Arial"/>
        </w:rPr>
        <w:t>has recently expressed</w:t>
      </w:r>
      <w:r w:rsidR="00E54FE9" w:rsidRPr="004A762E">
        <w:rPr>
          <w:rFonts w:ascii="Arial" w:hAnsi="Arial" w:cs="Arial"/>
        </w:rPr>
        <w:t xml:space="preserve"> its intention to </w:t>
      </w:r>
      <w:r w:rsidR="00227B3C" w:rsidRPr="004A762E">
        <w:rPr>
          <w:rFonts w:ascii="Arial" w:hAnsi="Arial" w:cs="Arial"/>
        </w:rPr>
        <w:t>work in this way to</w:t>
      </w:r>
      <w:r w:rsidR="00E54FE9" w:rsidRPr="004A762E">
        <w:rPr>
          <w:rFonts w:ascii="Arial" w:hAnsi="Arial" w:cs="Arial"/>
        </w:rPr>
        <w:t xml:space="preserve"> amplify the impact of Australia’s aid investments.</w:t>
      </w:r>
      <w:r w:rsidR="00E54FE9" w:rsidRPr="004A762E">
        <w:rPr>
          <w:rStyle w:val="FootnoteReference"/>
          <w:rFonts w:ascii="Arial" w:hAnsi="Arial" w:cs="Arial"/>
        </w:rPr>
        <w:footnoteReference w:id="6"/>
      </w:r>
    </w:p>
    <w:p w:rsidR="00E52374" w:rsidRPr="004A762E" w:rsidRDefault="00A869CD" w:rsidP="00D01D1D">
      <w:pPr>
        <w:rPr>
          <w:rFonts w:ascii="Arial" w:hAnsi="Arial" w:cs="Arial"/>
        </w:rPr>
      </w:pPr>
      <w:r w:rsidRPr="004A762E">
        <w:rPr>
          <w:rFonts w:ascii="Arial" w:hAnsi="Arial" w:cs="Arial"/>
        </w:rPr>
        <w:t>F</w:t>
      </w:r>
      <w:r w:rsidR="00E54FE9" w:rsidRPr="004A762E">
        <w:rPr>
          <w:rFonts w:ascii="Arial" w:hAnsi="Arial" w:cs="Arial"/>
        </w:rPr>
        <w:t xml:space="preserve">rom the NFP sector perspective, social enterprise, though </w:t>
      </w:r>
      <w:r w:rsidRPr="004A762E">
        <w:rPr>
          <w:rFonts w:ascii="Arial" w:hAnsi="Arial" w:cs="Arial"/>
        </w:rPr>
        <w:t xml:space="preserve">still </w:t>
      </w:r>
      <w:r w:rsidR="00E54FE9" w:rsidRPr="004A762E">
        <w:rPr>
          <w:rFonts w:ascii="Arial" w:hAnsi="Arial" w:cs="Arial"/>
        </w:rPr>
        <w:t>a contested term</w:t>
      </w:r>
      <w:r w:rsidR="00E52374" w:rsidRPr="004A762E">
        <w:rPr>
          <w:rFonts w:ascii="Arial" w:hAnsi="Arial" w:cs="Arial"/>
        </w:rPr>
        <w:t>,</w:t>
      </w:r>
      <w:r w:rsidR="00E54FE9" w:rsidRPr="004A762E">
        <w:rPr>
          <w:rFonts w:ascii="Arial" w:hAnsi="Arial" w:cs="Arial"/>
        </w:rPr>
        <w:t xml:space="preserve"> is on the rise</w:t>
      </w:r>
      <w:r w:rsidR="00B46C3D" w:rsidRPr="004A762E">
        <w:rPr>
          <w:rFonts w:ascii="Arial" w:hAnsi="Arial" w:cs="Arial"/>
        </w:rPr>
        <w:t xml:space="preserve">. Most </w:t>
      </w:r>
      <w:r w:rsidR="00E54FE9" w:rsidRPr="004A762E">
        <w:rPr>
          <w:rFonts w:ascii="Arial" w:hAnsi="Arial" w:cs="Arial"/>
        </w:rPr>
        <w:t>agree</w:t>
      </w:r>
      <w:r w:rsidR="00B46C3D" w:rsidRPr="004A762E">
        <w:rPr>
          <w:rFonts w:ascii="Arial" w:hAnsi="Arial" w:cs="Arial"/>
        </w:rPr>
        <w:t xml:space="preserve"> it is the concept of entities trading to fulfil their social purpose.</w:t>
      </w:r>
      <w:r w:rsidR="00227B3C" w:rsidRPr="004A762E">
        <w:rPr>
          <w:rStyle w:val="FootnoteReference"/>
          <w:rFonts w:ascii="Arial" w:hAnsi="Arial" w:cs="Arial"/>
        </w:rPr>
        <w:footnoteReference w:id="7"/>
      </w:r>
      <w:r w:rsidR="00B46C3D" w:rsidRPr="004A762E">
        <w:rPr>
          <w:rFonts w:ascii="Arial" w:hAnsi="Arial" w:cs="Arial"/>
        </w:rPr>
        <w:t xml:space="preserve"> They may be profit-distributing or they may be a not-for-profit en</w:t>
      </w:r>
      <w:r w:rsidR="00E54FE9" w:rsidRPr="004A762E">
        <w:rPr>
          <w:rFonts w:ascii="Arial" w:hAnsi="Arial" w:cs="Arial"/>
        </w:rPr>
        <w:t>tity, but that is not what defines them – it is the trade</w:t>
      </w:r>
      <w:r w:rsidR="00AB5938" w:rsidRPr="004A762E">
        <w:rPr>
          <w:rFonts w:ascii="Arial" w:hAnsi="Arial" w:cs="Arial"/>
        </w:rPr>
        <w:t>, when t</w:t>
      </w:r>
      <w:r w:rsidRPr="004A762E">
        <w:rPr>
          <w:rFonts w:ascii="Arial" w:hAnsi="Arial" w:cs="Arial"/>
        </w:rPr>
        <w:t>raditionally</w:t>
      </w:r>
      <w:r w:rsidR="00E54FE9" w:rsidRPr="004A762E">
        <w:rPr>
          <w:rFonts w:ascii="Arial" w:hAnsi="Arial" w:cs="Arial"/>
        </w:rPr>
        <w:t xml:space="preserve">, </w:t>
      </w:r>
      <w:r w:rsidR="00AB5938" w:rsidRPr="004A762E">
        <w:rPr>
          <w:rFonts w:ascii="Arial" w:hAnsi="Arial" w:cs="Arial"/>
        </w:rPr>
        <w:t>trade was the domain of the corporate sector.</w:t>
      </w:r>
    </w:p>
    <w:p w:rsidR="00B46C3D" w:rsidRPr="004A762E" w:rsidRDefault="00B46C3D" w:rsidP="00D01D1D">
      <w:pPr>
        <w:rPr>
          <w:rFonts w:ascii="Arial" w:hAnsi="Arial" w:cs="Arial"/>
        </w:rPr>
      </w:pPr>
      <w:r w:rsidRPr="004A762E">
        <w:rPr>
          <w:rFonts w:ascii="Arial" w:hAnsi="Arial" w:cs="Arial"/>
        </w:rPr>
        <w:t xml:space="preserve">Impact investment is </w:t>
      </w:r>
      <w:r w:rsidR="00A869CD" w:rsidRPr="004A762E">
        <w:rPr>
          <w:rFonts w:ascii="Arial" w:hAnsi="Arial" w:cs="Arial"/>
        </w:rPr>
        <w:t xml:space="preserve">another </w:t>
      </w:r>
      <w:r w:rsidR="00227B3C" w:rsidRPr="004A762E">
        <w:rPr>
          <w:rFonts w:ascii="Arial" w:hAnsi="Arial" w:cs="Arial"/>
        </w:rPr>
        <w:t xml:space="preserve">emerging </w:t>
      </w:r>
      <w:r w:rsidR="00F371EB" w:rsidRPr="004A762E">
        <w:rPr>
          <w:rFonts w:ascii="Arial" w:hAnsi="Arial" w:cs="Arial"/>
        </w:rPr>
        <w:t>trend. I</w:t>
      </w:r>
      <w:r w:rsidRPr="004A762E">
        <w:rPr>
          <w:rFonts w:ascii="Arial" w:hAnsi="Arial" w:cs="Arial"/>
        </w:rPr>
        <w:t xml:space="preserve">nvestors give up some proportion of financial return in an investment, in return for some </w:t>
      </w:r>
      <w:r w:rsidR="00F371EB" w:rsidRPr="004A762E">
        <w:rPr>
          <w:rFonts w:ascii="Arial" w:hAnsi="Arial" w:cs="Arial"/>
        </w:rPr>
        <w:t xml:space="preserve">measurable </w:t>
      </w:r>
      <w:r w:rsidRPr="004A762E">
        <w:rPr>
          <w:rFonts w:ascii="Arial" w:hAnsi="Arial" w:cs="Arial"/>
        </w:rPr>
        <w:t>social good</w:t>
      </w:r>
      <w:r w:rsidR="00F73A9E" w:rsidRPr="004A762E">
        <w:rPr>
          <w:rFonts w:ascii="Arial" w:hAnsi="Arial" w:cs="Arial"/>
        </w:rPr>
        <w:t xml:space="preserve"> generated (or ‘social return’)</w:t>
      </w:r>
      <w:r w:rsidR="00227B3C" w:rsidRPr="004A762E">
        <w:rPr>
          <w:rStyle w:val="FootnoteReference"/>
          <w:rFonts w:ascii="Arial" w:hAnsi="Arial" w:cs="Arial"/>
        </w:rPr>
        <w:footnoteReference w:id="8"/>
      </w:r>
      <w:r w:rsidR="00F73A9E" w:rsidRPr="004A762E">
        <w:rPr>
          <w:rFonts w:ascii="Arial" w:hAnsi="Arial" w:cs="Arial"/>
        </w:rPr>
        <w:t>,</w:t>
      </w:r>
      <w:r w:rsidR="00BF4B22" w:rsidRPr="004A762E">
        <w:rPr>
          <w:rFonts w:ascii="Arial" w:hAnsi="Arial" w:cs="Arial"/>
        </w:rPr>
        <w:t xml:space="preserve"> </w:t>
      </w:r>
      <w:r w:rsidR="00F73A9E" w:rsidRPr="004A762E">
        <w:rPr>
          <w:rFonts w:ascii="Arial" w:hAnsi="Arial" w:cs="Arial"/>
        </w:rPr>
        <w:t xml:space="preserve">even though </w:t>
      </w:r>
      <w:r w:rsidR="005C0781" w:rsidRPr="004A762E">
        <w:rPr>
          <w:rFonts w:ascii="Arial" w:hAnsi="Arial" w:cs="Arial"/>
        </w:rPr>
        <w:t xml:space="preserve">traditionally the purpose of investments is to maximise profit. </w:t>
      </w:r>
      <w:r w:rsidR="00207105" w:rsidRPr="004A762E">
        <w:rPr>
          <w:rFonts w:ascii="Arial" w:hAnsi="Arial" w:cs="Arial"/>
        </w:rPr>
        <w:t xml:space="preserve">Impact Investing Australia </w:t>
      </w:r>
      <w:r w:rsidR="00BF4B22" w:rsidRPr="004A762E">
        <w:rPr>
          <w:rFonts w:ascii="Arial" w:hAnsi="Arial" w:cs="Arial"/>
        </w:rPr>
        <w:t>provide some evidence as to the quantum of this trend</w:t>
      </w:r>
      <w:r w:rsidR="00207105" w:rsidRPr="004A762E">
        <w:rPr>
          <w:rFonts w:ascii="Arial" w:hAnsi="Arial" w:cs="Arial"/>
        </w:rPr>
        <w:t xml:space="preserve"> in their 20</w:t>
      </w:r>
      <w:r w:rsidR="00BF4B22" w:rsidRPr="004A762E">
        <w:rPr>
          <w:rFonts w:ascii="Arial" w:hAnsi="Arial" w:cs="Arial"/>
        </w:rPr>
        <w:t xml:space="preserve">16 report, finding that </w:t>
      </w:r>
      <w:r w:rsidR="00207105" w:rsidRPr="004A762E">
        <w:rPr>
          <w:rFonts w:ascii="Arial" w:hAnsi="Arial" w:cs="Arial"/>
        </w:rPr>
        <w:t>‘more than two thirds of all investors expect impact investing to become a more significant part of the investment landscape in the coming years; [and] active investors would ideally triple the size of their impact portfolios over the next five years.’</w:t>
      </w:r>
      <w:r w:rsidR="00207105" w:rsidRPr="004A762E">
        <w:rPr>
          <w:rStyle w:val="FootnoteReference"/>
          <w:rFonts w:ascii="Arial" w:hAnsi="Arial" w:cs="Arial"/>
        </w:rPr>
        <w:footnoteReference w:id="9"/>
      </w:r>
    </w:p>
    <w:p w:rsidR="003F7E86" w:rsidRPr="004A762E" w:rsidRDefault="005C0781" w:rsidP="00D01D1D">
      <w:pPr>
        <w:rPr>
          <w:rFonts w:ascii="Arial" w:hAnsi="Arial" w:cs="Arial"/>
        </w:rPr>
      </w:pPr>
      <w:r w:rsidRPr="004A762E">
        <w:rPr>
          <w:rFonts w:ascii="Arial" w:hAnsi="Arial" w:cs="Arial"/>
        </w:rPr>
        <w:t>Finally, i</w:t>
      </w:r>
      <w:r w:rsidR="003D6098" w:rsidRPr="004A762E">
        <w:rPr>
          <w:rFonts w:ascii="Arial" w:hAnsi="Arial" w:cs="Arial"/>
        </w:rPr>
        <w:t>n the US, UK and Canada there has been the development of</w:t>
      </w:r>
      <w:r w:rsidRPr="004A762E">
        <w:rPr>
          <w:rFonts w:ascii="Arial" w:hAnsi="Arial" w:cs="Arial"/>
        </w:rPr>
        <w:t xml:space="preserve"> a number of</w:t>
      </w:r>
      <w:r w:rsidR="00F371EB" w:rsidRPr="004A762E">
        <w:rPr>
          <w:rFonts w:ascii="Arial" w:hAnsi="Arial" w:cs="Arial"/>
        </w:rPr>
        <w:t xml:space="preserve"> new legal structures, regulated by the state, </w:t>
      </w:r>
      <w:r w:rsidRPr="004A762E">
        <w:rPr>
          <w:rFonts w:ascii="Arial" w:hAnsi="Arial" w:cs="Arial"/>
        </w:rPr>
        <w:t xml:space="preserve">which are </w:t>
      </w:r>
      <w:r w:rsidR="003D6098" w:rsidRPr="004A762E">
        <w:rPr>
          <w:rFonts w:ascii="Arial" w:hAnsi="Arial" w:cs="Arial"/>
        </w:rPr>
        <w:t xml:space="preserve">neither </w:t>
      </w:r>
      <w:r w:rsidR="00E52374" w:rsidRPr="004A762E">
        <w:rPr>
          <w:rFonts w:ascii="Arial" w:hAnsi="Arial" w:cs="Arial"/>
        </w:rPr>
        <w:t xml:space="preserve">clearly </w:t>
      </w:r>
      <w:r w:rsidR="003D6098" w:rsidRPr="004A762E">
        <w:rPr>
          <w:rFonts w:ascii="Arial" w:hAnsi="Arial" w:cs="Arial"/>
        </w:rPr>
        <w:t>for-profit nor not</w:t>
      </w:r>
      <w:r w:rsidR="00F371EB" w:rsidRPr="004A762E">
        <w:rPr>
          <w:rFonts w:ascii="Arial" w:hAnsi="Arial" w:cs="Arial"/>
        </w:rPr>
        <w:t>-for-profit.</w:t>
      </w:r>
      <w:r w:rsidR="000A0DCD" w:rsidRPr="004A762E">
        <w:rPr>
          <w:rFonts w:ascii="Arial" w:hAnsi="Arial" w:cs="Arial"/>
        </w:rPr>
        <w:t xml:space="preserve"> </w:t>
      </w:r>
      <w:r w:rsidR="00227B3C" w:rsidRPr="004A762E">
        <w:rPr>
          <w:rFonts w:ascii="Arial" w:hAnsi="Arial" w:cs="Arial"/>
        </w:rPr>
        <w:t>All of these trends are challenging notions of what is for-profit, what is not-for-profit and/or charitable and how social impact sits with all of this.</w:t>
      </w:r>
    </w:p>
    <w:p w:rsidR="00DD3F58" w:rsidRPr="0021174B" w:rsidRDefault="006C2BE1" w:rsidP="00D01D1D">
      <w:pPr>
        <w:rPr>
          <w:rFonts w:ascii="Arial" w:hAnsi="Arial" w:cs="Arial"/>
          <w:b/>
        </w:rPr>
      </w:pPr>
      <w:r w:rsidRPr="0021174B">
        <w:rPr>
          <w:rFonts w:ascii="Arial" w:hAnsi="Arial" w:cs="Arial"/>
          <w:b/>
        </w:rPr>
        <w:t>T</w:t>
      </w:r>
      <w:r w:rsidR="000A0DCD" w:rsidRPr="0021174B">
        <w:rPr>
          <w:rFonts w:ascii="Arial" w:hAnsi="Arial" w:cs="Arial"/>
          <w:b/>
        </w:rPr>
        <w:t>he ‘NFP</w:t>
      </w:r>
      <w:r w:rsidR="00DD3F58" w:rsidRPr="0021174B">
        <w:rPr>
          <w:rFonts w:ascii="Arial" w:hAnsi="Arial" w:cs="Arial"/>
          <w:b/>
        </w:rPr>
        <w:t xml:space="preserve"> </w:t>
      </w:r>
      <w:r w:rsidRPr="0021174B">
        <w:rPr>
          <w:rFonts w:ascii="Arial" w:hAnsi="Arial" w:cs="Arial"/>
          <w:b/>
        </w:rPr>
        <w:t>condition</w:t>
      </w:r>
      <w:r w:rsidR="000A0DCD" w:rsidRPr="0021174B">
        <w:rPr>
          <w:rFonts w:ascii="Arial" w:hAnsi="Arial" w:cs="Arial"/>
          <w:b/>
        </w:rPr>
        <w:t>’</w:t>
      </w:r>
    </w:p>
    <w:p w:rsidR="002A5C90" w:rsidRPr="004A762E" w:rsidRDefault="000A0DCD" w:rsidP="00D01D1D">
      <w:pPr>
        <w:rPr>
          <w:rFonts w:ascii="Arial" w:hAnsi="Arial" w:cs="Arial"/>
          <w:lang w:val="en-US"/>
        </w:rPr>
      </w:pPr>
      <w:r w:rsidRPr="004A762E">
        <w:rPr>
          <w:rFonts w:ascii="Arial" w:hAnsi="Arial" w:cs="Arial"/>
          <w:lang w:val="en-US"/>
        </w:rPr>
        <w:t>The NFP condition is a</w:t>
      </w:r>
      <w:r w:rsidR="000D2A3E" w:rsidRPr="004A762E">
        <w:rPr>
          <w:rFonts w:ascii="Arial" w:hAnsi="Arial" w:cs="Arial"/>
          <w:lang w:val="en-US"/>
        </w:rPr>
        <w:t xml:space="preserve"> requirement of being a charity for</w:t>
      </w:r>
      <w:r w:rsidR="006C2BE1" w:rsidRPr="004A762E">
        <w:rPr>
          <w:rFonts w:ascii="Arial" w:hAnsi="Arial" w:cs="Arial"/>
          <w:lang w:val="en-US"/>
        </w:rPr>
        <w:t xml:space="preserve"> the purposes of tax exemption, and to be registered with the ACNC.</w:t>
      </w:r>
      <w:r w:rsidR="000D2A3E" w:rsidRPr="004A762E">
        <w:rPr>
          <w:rFonts w:ascii="Arial" w:hAnsi="Arial" w:cs="Arial"/>
          <w:lang w:val="en-US"/>
        </w:rPr>
        <w:t xml:space="preserve"> The legal definition of not-for-profit requires that the organisation is not ‘carried on for the profit or gain of its individual members’.</w:t>
      </w:r>
      <w:r w:rsidR="006848C1" w:rsidRPr="004A762E">
        <w:rPr>
          <w:rFonts w:ascii="Arial" w:hAnsi="Arial" w:cs="Arial"/>
          <w:lang w:val="en-US"/>
        </w:rPr>
        <w:t xml:space="preserve"> </w:t>
      </w:r>
      <w:r w:rsidR="000D2A3E" w:rsidRPr="004A762E">
        <w:rPr>
          <w:rFonts w:ascii="Arial" w:hAnsi="Arial" w:cs="Arial"/>
          <w:lang w:val="en-US"/>
        </w:rPr>
        <w:t>This requirement is us</w:t>
      </w:r>
      <w:r w:rsidR="00402F8C" w:rsidRPr="004A762E">
        <w:rPr>
          <w:rFonts w:ascii="Arial" w:hAnsi="Arial" w:cs="Arial"/>
          <w:lang w:val="en-US"/>
        </w:rPr>
        <w:t>ually demonstrated through the c</w:t>
      </w:r>
      <w:r w:rsidR="000D2A3E" w:rsidRPr="004A762E">
        <w:rPr>
          <w:rFonts w:ascii="Arial" w:hAnsi="Arial" w:cs="Arial"/>
          <w:lang w:val="en-US"/>
        </w:rPr>
        <w:t>onstitution of the organisation having a ‘not-for-profit’ clause which states that no profits or assets of the organisation are distributed to members; and when the organisation winds up that its assets will be provided to another organisation with similar provisions in its constitution. Importantly, this does not mean an organisation cannot make profit, just that it must not distributed to members.</w:t>
      </w:r>
      <w:r w:rsidR="00D11B09" w:rsidRPr="004A762E">
        <w:rPr>
          <w:rFonts w:ascii="Arial" w:hAnsi="Arial" w:cs="Arial"/>
          <w:lang w:val="en-US"/>
        </w:rPr>
        <w:t xml:space="preserve"> </w:t>
      </w:r>
      <w:r w:rsidR="00402F8C" w:rsidRPr="004A762E">
        <w:rPr>
          <w:rFonts w:ascii="Arial" w:hAnsi="Arial" w:cs="Arial"/>
          <w:lang w:val="en-US"/>
        </w:rPr>
        <w:t xml:space="preserve">This </w:t>
      </w:r>
      <w:r w:rsidRPr="004A762E">
        <w:rPr>
          <w:rFonts w:ascii="Arial" w:hAnsi="Arial" w:cs="Arial"/>
          <w:lang w:val="en-US"/>
        </w:rPr>
        <w:t>reinforces the</w:t>
      </w:r>
      <w:r w:rsidR="00402F8C" w:rsidRPr="004A762E">
        <w:rPr>
          <w:rFonts w:ascii="Arial" w:hAnsi="Arial" w:cs="Arial"/>
          <w:lang w:val="en-US"/>
        </w:rPr>
        <w:t xml:space="preserve"> purpose of charity law in that government, donors and the public can be certain that funds provided to or generated by a NFP will not be distributed in the form of dividends.</w:t>
      </w:r>
      <w:r w:rsidR="00AF0E46" w:rsidRPr="004A762E">
        <w:rPr>
          <w:rFonts w:ascii="Arial" w:hAnsi="Arial" w:cs="Arial"/>
          <w:lang w:val="en-US"/>
        </w:rPr>
        <w:t xml:space="preserve"> The charity is constitutionally ‘locked out’ from distributing its profits anywhere but towards its purpose and objects. This in turn should bolster public, and donor, trust and confidence.</w:t>
      </w:r>
    </w:p>
    <w:p w:rsidR="00C15A21" w:rsidRPr="0021174B" w:rsidRDefault="008F771E" w:rsidP="00D01D1D">
      <w:pPr>
        <w:rPr>
          <w:rFonts w:ascii="Arial" w:hAnsi="Arial" w:cs="Arial"/>
          <w:b/>
          <w:lang w:val="en-US"/>
        </w:rPr>
      </w:pPr>
      <w:r w:rsidRPr="0021174B">
        <w:rPr>
          <w:rFonts w:ascii="Arial" w:hAnsi="Arial" w:cs="Arial"/>
          <w:b/>
          <w:lang w:val="en-US"/>
        </w:rPr>
        <w:t>Arguments for the relevance/utility of NFP condition</w:t>
      </w:r>
    </w:p>
    <w:p w:rsidR="005B64D6" w:rsidRPr="0021174B" w:rsidRDefault="005B64D6" w:rsidP="00D01D1D">
      <w:pPr>
        <w:rPr>
          <w:rFonts w:ascii="Arial" w:hAnsi="Arial" w:cs="Arial"/>
          <w:b/>
          <w:i/>
          <w:lang w:val="en-US"/>
        </w:rPr>
      </w:pPr>
      <w:r w:rsidRPr="0021174B">
        <w:rPr>
          <w:rFonts w:ascii="Arial" w:hAnsi="Arial" w:cs="Arial"/>
          <w:b/>
          <w:i/>
          <w:lang w:val="en-US"/>
        </w:rPr>
        <w:t>Trust and confidence</w:t>
      </w:r>
    </w:p>
    <w:p w:rsidR="0020320E" w:rsidRPr="004A762E" w:rsidRDefault="006B1A90" w:rsidP="00D01D1D">
      <w:pPr>
        <w:rPr>
          <w:rFonts w:ascii="Arial" w:hAnsi="Arial" w:cs="Arial"/>
        </w:rPr>
      </w:pPr>
      <w:r w:rsidRPr="004A762E">
        <w:rPr>
          <w:rFonts w:ascii="Arial" w:hAnsi="Arial" w:cs="Arial"/>
        </w:rPr>
        <w:t>Maintenance of tr</w:t>
      </w:r>
      <w:r w:rsidR="008F771E" w:rsidRPr="004A762E">
        <w:rPr>
          <w:rFonts w:ascii="Arial" w:hAnsi="Arial" w:cs="Arial"/>
        </w:rPr>
        <w:t xml:space="preserve">ust and confidence is the first, and key, </w:t>
      </w:r>
      <w:r w:rsidRPr="004A762E">
        <w:rPr>
          <w:rFonts w:ascii="Arial" w:hAnsi="Arial" w:cs="Arial"/>
        </w:rPr>
        <w:t xml:space="preserve">reason why the NFP </w:t>
      </w:r>
      <w:r w:rsidR="008F771E" w:rsidRPr="004A762E">
        <w:rPr>
          <w:rFonts w:ascii="Arial" w:hAnsi="Arial" w:cs="Arial"/>
        </w:rPr>
        <w:t>condition</w:t>
      </w:r>
      <w:r w:rsidRPr="004A762E">
        <w:rPr>
          <w:rFonts w:ascii="Arial" w:hAnsi="Arial" w:cs="Arial"/>
        </w:rPr>
        <w:t xml:space="preserve"> of charity is still useful and relevant.</w:t>
      </w:r>
      <w:r w:rsidR="0020320E" w:rsidRPr="004A762E">
        <w:rPr>
          <w:rFonts w:ascii="Arial" w:hAnsi="Arial" w:cs="Arial"/>
        </w:rPr>
        <w:t xml:space="preserve"> As previously described, the inability for a NFP to distribute profit means that the public and donors can be assured all funding is reinvested in</w:t>
      </w:r>
      <w:r w:rsidR="00352EB1" w:rsidRPr="004A762E">
        <w:rPr>
          <w:rFonts w:ascii="Arial" w:hAnsi="Arial" w:cs="Arial"/>
        </w:rPr>
        <w:t xml:space="preserve"> the cause of the organisation.</w:t>
      </w:r>
    </w:p>
    <w:p w:rsidR="0002699D" w:rsidRPr="004A762E" w:rsidRDefault="0002699D" w:rsidP="00D01D1D">
      <w:pPr>
        <w:rPr>
          <w:rFonts w:ascii="Arial" w:hAnsi="Arial" w:cs="Arial"/>
        </w:rPr>
      </w:pPr>
      <w:r w:rsidRPr="004A762E">
        <w:rPr>
          <w:rFonts w:ascii="Arial" w:hAnsi="Arial" w:cs="Arial"/>
        </w:rPr>
        <w:t>The ACNC report on public trust and confidence in Australian charities demonstrates that the majority of respondents assumed charities were trustworthy.</w:t>
      </w:r>
      <w:r w:rsidRPr="004A762E">
        <w:rPr>
          <w:rStyle w:val="FootnoteReference"/>
          <w:rFonts w:ascii="Arial" w:hAnsi="Arial" w:cs="Arial"/>
        </w:rPr>
        <w:footnoteReference w:id="10"/>
      </w:r>
      <w:r w:rsidRPr="004A762E">
        <w:rPr>
          <w:rFonts w:ascii="Arial" w:hAnsi="Arial" w:cs="Arial"/>
        </w:rPr>
        <w:t xml:space="preserve"> </w:t>
      </w:r>
      <w:r w:rsidR="006A40E4" w:rsidRPr="004A762E">
        <w:rPr>
          <w:rFonts w:ascii="Arial" w:hAnsi="Arial" w:cs="Arial"/>
        </w:rPr>
        <w:t>The drivers of trust are listed in three major groups –</w:t>
      </w:r>
      <w:r w:rsidR="00352EB1" w:rsidRPr="004A762E">
        <w:rPr>
          <w:rFonts w:ascii="Arial" w:hAnsi="Arial" w:cs="Arial"/>
        </w:rPr>
        <w:t xml:space="preserve"> the charities’ activities, the charities’ </w:t>
      </w:r>
      <w:r w:rsidR="006A40E4" w:rsidRPr="004A762E">
        <w:rPr>
          <w:rFonts w:ascii="Arial" w:hAnsi="Arial" w:cs="Arial"/>
        </w:rPr>
        <w:t>reputation; and perceived wastefulness</w:t>
      </w:r>
      <w:r w:rsidR="00352EB1" w:rsidRPr="004A762E">
        <w:rPr>
          <w:rFonts w:ascii="Arial" w:hAnsi="Arial" w:cs="Arial"/>
        </w:rPr>
        <w:t>, which</w:t>
      </w:r>
      <w:r w:rsidR="006A40E4" w:rsidRPr="004A762E">
        <w:rPr>
          <w:rFonts w:ascii="Arial" w:hAnsi="Arial" w:cs="Arial"/>
        </w:rPr>
        <w:t xml:space="preserve"> result</w:t>
      </w:r>
      <w:r w:rsidR="00352EB1" w:rsidRPr="004A762E">
        <w:rPr>
          <w:rFonts w:ascii="Arial" w:hAnsi="Arial" w:cs="Arial"/>
        </w:rPr>
        <w:t>s</w:t>
      </w:r>
      <w:r w:rsidR="00F825D8" w:rsidRPr="004A762E">
        <w:rPr>
          <w:rFonts w:ascii="Arial" w:hAnsi="Arial" w:cs="Arial"/>
        </w:rPr>
        <w:t xml:space="preserve"> in a negative impact on trust</w:t>
      </w:r>
      <w:r w:rsidR="00352EB1" w:rsidRPr="004A762E">
        <w:rPr>
          <w:rFonts w:ascii="Arial" w:hAnsi="Arial" w:cs="Arial"/>
        </w:rPr>
        <w:t>.</w:t>
      </w:r>
      <w:r w:rsidR="00F825D8" w:rsidRPr="004A762E">
        <w:rPr>
          <w:rStyle w:val="FootnoteReference"/>
          <w:rFonts w:ascii="Arial" w:hAnsi="Arial" w:cs="Arial"/>
        </w:rPr>
        <w:t xml:space="preserve"> </w:t>
      </w:r>
      <w:r w:rsidR="00F825D8" w:rsidRPr="004A762E">
        <w:rPr>
          <w:rStyle w:val="FootnoteReference"/>
          <w:rFonts w:ascii="Arial" w:hAnsi="Arial" w:cs="Arial"/>
        </w:rPr>
        <w:footnoteReference w:id="11"/>
      </w:r>
      <w:r w:rsidR="00352EB1" w:rsidRPr="004A762E">
        <w:rPr>
          <w:rFonts w:ascii="Arial" w:hAnsi="Arial" w:cs="Arial"/>
        </w:rPr>
        <w:t xml:space="preserve"> </w:t>
      </w:r>
      <w:r w:rsidR="006A40E4" w:rsidRPr="004A762E">
        <w:rPr>
          <w:rFonts w:ascii="Arial" w:hAnsi="Arial" w:cs="Arial"/>
        </w:rPr>
        <w:t>If people were asked directly how they felt about a charity that could make distributions to shareholders, it is likely that they would not feel tha</w:t>
      </w:r>
      <w:r w:rsidR="00352EB1" w:rsidRPr="004A762E">
        <w:rPr>
          <w:rFonts w:ascii="Arial" w:hAnsi="Arial" w:cs="Arial"/>
        </w:rPr>
        <w:t xml:space="preserve">t is a trustworthy organisation. This is an assumption </w:t>
      </w:r>
      <w:r w:rsidR="006A40E4" w:rsidRPr="004A762E">
        <w:rPr>
          <w:rFonts w:ascii="Arial" w:hAnsi="Arial" w:cs="Arial"/>
        </w:rPr>
        <w:t xml:space="preserve">based </w:t>
      </w:r>
      <w:r w:rsidR="00352EB1" w:rsidRPr="004A762E">
        <w:rPr>
          <w:rFonts w:ascii="Arial" w:hAnsi="Arial" w:cs="Arial"/>
        </w:rPr>
        <w:t xml:space="preserve">purely </w:t>
      </w:r>
      <w:r w:rsidR="006A40E4" w:rsidRPr="004A762E">
        <w:rPr>
          <w:rFonts w:ascii="Arial" w:hAnsi="Arial" w:cs="Arial"/>
        </w:rPr>
        <w:t xml:space="preserve">on some of </w:t>
      </w:r>
      <w:r w:rsidR="00352EB1" w:rsidRPr="004A762E">
        <w:rPr>
          <w:rFonts w:ascii="Arial" w:hAnsi="Arial" w:cs="Arial"/>
        </w:rPr>
        <w:t>the</w:t>
      </w:r>
      <w:r w:rsidR="006A40E4" w:rsidRPr="004A762E">
        <w:rPr>
          <w:rFonts w:ascii="Arial" w:hAnsi="Arial" w:cs="Arial"/>
        </w:rPr>
        <w:t xml:space="preserve"> responses on perceived wastefulness</w:t>
      </w:r>
      <w:r w:rsidR="00352EB1" w:rsidRPr="004A762E">
        <w:rPr>
          <w:rFonts w:ascii="Arial" w:hAnsi="Arial" w:cs="Arial"/>
        </w:rPr>
        <w:t xml:space="preserve">. However, </w:t>
      </w:r>
      <w:r w:rsidR="006A40E4" w:rsidRPr="004A762E">
        <w:rPr>
          <w:rFonts w:ascii="Arial" w:hAnsi="Arial" w:cs="Arial"/>
        </w:rPr>
        <w:t xml:space="preserve">interestingly, the limitation on distribution </w:t>
      </w:r>
      <w:r w:rsidR="00352EB1" w:rsidRPr="004A762E">
        <w:rPr>
          <w:rFonts w:ascii="Arial" w:hAnsi="Arial" w:cs="Arial"/>
        </w:rPr>
        <w:t>for</w:t>
      </w:r>
      <w:r w:rsidR="006A40E4" w:rsidRPr="004A762E">
        <w:rPr>
          <w:rFonts w:ascii="Arial" w:hAnsi="Arial" w:cs="Arial"/>
        </w:rPr>
        <w:t xml:space="preserve"> NFPs is not one of the immediate reasons that </w:t>
      </w:r>
      <w:r w:rsidR="00B00065" w:rsidRPr="004A762E">
        <w:rPr>
          <w:rFonts w:ascii="Arial" w:hAnsi="Arial" w:cs="Arial"/>
        </w:rPr>
        <w:t>come</w:t>
      </w:r>
      <w:r w:rsidR="006A40E4" w:rsidRPr="004A762E">
        <w:rPr>
          <w:rFonts w:ascii="Arial" w:hAnsi="Arial" w:cs="Arial"/>
        </w:rPr>
        <w:t xml:space="preserve"> </w:t>
      </w:r>
      <w:r w:rsidR="00352EB1" w:rsidRPr="004A762E">
        <w:rPr>
          <w:rFonts w:ascii="Arial" w:hAnsi="Arial" w:cs="Arial"/>
        </w:rPr>
        <w:t>to mind</w:t>
      </w:r>
      <w:r w:rsidR="006A40E4" w:rsidRPr="004A762E">
        <w:rPr>
          <w:rFonts w:ascii="Arial" w:hAnsi="Arial" w:cs="Arial"/>
        </w:rPr>
        <w:t xml:space="preserve"> when considering why </w:t>
      </w:r>
      <w:r w:rsidR="00352EB1" w:rsidRPr="004A762E">
        <w:rPr>
          <w:rFonts w:ascii="Arial" w:hAnsi="Arial" w:cs="Arial"/>
        </w:rPr>
        <w:t>people trust charities. This may mean that if the charity is being effective and creating change, people may not care that they make some distribution to members.</w:t>
      </w:r>
      <w:r w:rsidR="00F825D8" w:rsidRPr="004A762E">
        <w:rPr>
          <w:rStyle w:val="FootnoteReference"/>
          <w:rFonts w:ascii="Arial" w:hAnsi="Arial" w:cs="Arial"/>
        </w:rPr>
        <w:t xml:space="preserve"> </w:t>
      </w:r>
      <w:r w:rsidR="00F825D8" w:rsidRPr="004A762E">
        <w:rPr>
          <w:rStyle w:val="FootnoteReference"/>
          <w:rFonts w:ascii="Arial" w:hAnsi="Arial" w:cs="Arial"/>
        </w:rPr>
        <w:footnoteReference w:id="12"/>
      </w:r>
    </w:p>
    <w:p w:rsidR="00D11B09" w:rsidRPr="0021174B" w:rsidRDefault="009829E8" w:rsidP="00D01D1D">
      <w:pPr>
        <w:rPr>
          <w:rFonts w:ascii="Arial" w:eastAsia="Times New Roman" w:hAnsi="Arial" w:cs="Arial"/>
          <w:b/>
          <w:i/>
          <w:lang w:eastAsia="en-AU"/>
        </w:rPr>
      </w:pPr>
      <w:r w:rsidRPr="0021174B">
        <w:rPr>
          <w:rFonts w:ascii="Arial" w:eastAsia="Times New Roman" w:hAnsi="Arial" w:cs="Arial"/>
          <w:b/>
          <w:i/>
          <w:lang w:eastAsia="en-AU"/>
        </w:rPr>
        <w:t xml:space="preserve">Is there a </w:t>
      </w:r>
      <w:r w:rsidR="00F825D8" w:rsidRPr="0021174B">
        <w:rPr>
          <w:rFonts w:ascii="Arial" w:eastAsia="Times New Roman" w:hAnsi="Arial" w:cs="Arial"/>
          <w:b/>
          <w:i/>
          <w:lang w:eastAsia="en-AU"/>
        </w:rPr>
        <w:t>‘</w:t>
      </w:r>
      <w:r w:rsidRPr="0021174B">
        <w:rPr>
          <w:rFonts w:ascii="Arial" w:eastAsia="Times New Roman" w:hAnsi="Arial" w:cs="Arial"/>
          <w:b/>
          <w:i/>
          <w:lang w:eastAsia="en-AU"/>
        </w:rPr>
        <w:t>market</w:t>
      </w:r>
      <w:r w:rsidR="00F825D8" w:rsidRPr="0021174B">
        <w:rPr>
          <w:rFonts w:ascii="Arial" w:eastAsia="Times New Roman" w:hAnsi="Arial" w:cs="Arial"/>
          <w:b/>
          <w:i/>
          <w:lang w:eastAsia="en-AU"/>
        </w:rPr>
        <w:t>’</w:t>
      </w:r>
      <w:r w:rsidRPr="0021174B">
        <w:rPr>
          <w:rFonts w:ascii="Arial" w:eastAsia="Times New Roman" w:hAnsi="Arial" w:cs="Arial"/>
          <w:b/>
          <w:i/>
          <w:lang w:eastAsia="en-AU"/>
        </w:rPr>
        <w:t>?</w:t>
      </w:r>
    </w:p>
    <w:p w:rsidR="00D11B09" w:rsidRPr="004A762E" w:rsidRDefault="00D11B09" w:rsidP="00D01D1D">
      <w:pPr>
        <w:rPr>
          <w:rFonts w:ascii="Arial" w:hAnsi="Arial" w:cs="Arial"/>
          <w:lang w:val="en-US"/>
        </w:rPr>
      </w:pPr>
      <w:r w:rsidRPr="004A762E">
        <w:rPr>
          <w:rFonts w:ascii="Arial" w:eastAsia="Times New Roman" w:hAnsi="Arial" w:cs="Arial"/>
          <w:lang w:eastAsia="en-AU"/>
        </w:rPr>
        <w:t xml:space="preserve">The second major reason why the NFP </w:t>
      </w:r>
      <w:r w:rsidR="00352EB1" w:rsidRPr="004A762E">
        <w:rPr>
          <w:rFonts w:ascii="Arial" w:eastAsia="Times New Roman" w:hAnsi="Arial" w:cs="Arial"/>
          <w:lang w:eastAsia="en-AU"/>
        </w:rPr>
        <w:t>condition</w:t>
      </w:r>
      <w:r w:rsidRPr="004A762E">
        <w:rPr>
          <w:rFonts w:ascii="Arial" w:eastAsia="Times New Roman" w:hAnsi="Arial" w:cs="Arial"/>
          <w:lang w:eastAsia="en-AU"/>
        </w:rPr>
        <w:t xml:space="preserve"> is </w:t>
      </w:r>
      <w:r w:rsidR="00352EB1" w:rsidRPr="004A762E">
        <w:rPr>
          <w:rFonts w:ascii="Arial" w:eastAsia="Times New Roman" w:hAnsi="Arial" w:cs="Arial"/>
          <w:lang w:eastAsia="en-AU"/>
        </w:rPr>
        <w:t>relevant</w:t>
      </w:r>
      <w:r w:rsidRPr="004A762E">
        <w:rPr>
          <w:rFonts w:ascii="Arial" w:eastAsia="Times New Roman" w:hAnsi="Arial" w:cs="Arial"/>
          <w:lang w:eastAsia="en-AU"/>
        </w:rPr>
        <w:t xml:space="preserve"> is seen in removing</w:t>
      </w:r>
      <w:r w:rsidR="00F825D8" w:rsidRPr="004A762E">
        <w:rPr>
          <w:rFonts w:ascii="Arial" w:eastAsia="Times New Roman" w:hAnsi="Arial" w:cs="Arial"/>
          <w:lang w:eastAsia="en-AU"/>
        </w:rPr>
        <w:t xml:space="preserve"> it</w:t>
      </w:r>
      <w:r w:rsidRPr="004A762E">
        <w:rPr>
          <w:rFonts w:ascii="Arial" w:eastAsia="Times New Roman" w:hAnsi="Arial" w:cs="Arial"/>
          <w:lang w:eastAsia="en-AU"/>
        </w:rPr>
        <w:t xml:space="preserve"> and seeing what </w:t>
      </w:r>
      <w:r w:rsidR="00352EB1" w:rsidRPr="004A762E">
        <w:rPr>
          <w:rFonts w:ascii="Arial" w:eastAsia="Times New Roman" w:hAnsi="Arial" w:cs="Arial"/>
          <w:lang w:eastAsia="en-AU"/>
        </w:rPr>
        <w:t>is left:</w:t>
      </w:r>
    </w:p>
    <w:p w:rsidR="00D11B09" w:rsidRPr="004A762E" w:rsidRDefault="00D11B09" w:rsidP="00D01D1D">
      <w:pPr>
        <w:pStyle w:val="ListParagraph"/>
        <w:numPr>
          <w:ilvl w:val="0"/>
          <w:numId w:val="11"/>
        </w:numPr>
        <w:spacing w:line="276" w:lineRule="auto"/>
        <w:rPr>
          <w:rFonts w:cs="Arial"/>
          <w:lang w:val="en-US"/>
        </w:rPr>
      </w:pPr>
      <w:r w:rsidRPr="004A762E">
        <w:rPr>
          <w:rFonts w:cs="Arial"/>
          <w:lang w:val="en-US"/>
        </w:rPr>
        <w:t>Charitable purpose</w:t>
      </w:r>
    </w:p>
    <w:p w:rsidR="00D11B09" w:rsidRPr="004A762E" w:rsidRDefault="00D11B09" w:rsidP="00D01D1D">
      <w:pPr>
        <w:pStyle w:val="ListParagraph"/>
        <w:numPr>
          <w:ilvl w:val="1"/>
          <w:numId w:val="11"/>
        </w:numPr>
        <w:spacing w:line="276" w:lineRule="auto"/>
        <w:rPr>
          <w:rFonts w:cs="Arial"/>
          <w:lang w:val="en-US"/>
        </w:rPr>
      </w:pPr>
      <w:r w:rsidRPr="004A762E">
        <w:rPr>
          <w:rFonts w:cs="Arial"/>
          <w:lang w:val="en-US"/>
        </w:rPr>
        <w:t>No disqualifying purpose/activities</w:t>
      </w:r>
    </w:p>
    <w:p w:rsidR="00D11B09" w:rsidRPr="004A762E" w:rsidRDefault="00D11B09" w:rsidP="00D01D1D">
      <w:pPr>
        <w:pStyle w:val="ListParagraph"/>
        <w:numPr>
          <w:ilvl w:val="0"/>
          <w:numId w:val="11"/>
        </w:numPr>
        <w:spacing w:line="276" w:lineRule="auto"/>
        <w:rPr>
          <w:rFonts w:cs="Arial"/>
          <w:lang w:val="en-US"/>
        </w:rPr>
      </w:pPr>
      <w:r w:rsidRPr="004A762E">
        <w:rPr>
          <w:rFonts w:cs="Arial"/>
          <w:lang w:val="en-US"/>
        </w:rPr>
        <w:t>For the public benefit</w:t>
      </w:r>
    </w:p>
    <w:p w:rsidR="00D11B09" w:rsidRPr="004A762E" w:rsidRDefault="00D11B09" w:rsidP="00D01D1D">
      <w:pPr>
        <w:pStyle w:val="ListParagraph"/>
        <w:numPr>
          <w:ilvl w:val="1"/>
          <w:numId w:val="11"/>
        </w:numPr>
        <w:spacing w:line="276" w:lineRule="auto"/>
        <w:rPr>
          <w:rFonts w:cs="Arial"/>
          <w:lang w:val="en-US"/>
        </w:rPr>
      </w:pPr>
      <w:r w:rsidRPr="004A762E">
        <w:rPr>
          <w:rFonts w:cs="Arial"/>
          <w:lang w:val="en-US"/>
        </w:rPr>
        <w:t>Actual benefit</w:t>
      </w:r>
    </w:p>
    <w:p w:rsidR="00D11B09" w:rsidRPr="004A762E" w:rsidRDefault="00D11B09" w:rsidP="00D01D1D">
      <w:pPr>
        <w:pStyle w:val="ListParagraph"/>
        <w:numPr>
          <w:ilvl w:val="1"/>
          <w:numId w:val="11"/>
        </w:numPr>
        <w:spacing w:line="276" w:lineRule="auto"/>
        <w:rPr>
          <w:rFonts w:cs="Arial"/>
          <w:lang w:val="en-US"/>
        </w:rPr>
      </w:pPr>
      <w:r w:rsidRPr="004A762E">
        <w:rPr>
          <w:rFonts w:cs="Arial"/>
          <w:lang w:val="en-US"/>
        </w:rPr>
        <w:t>Public at large</w:t>
      </w:r>
    </w:p>
    <w:p w:rsidR="00D11B09" w:rsidRPr="004A762E" w:rsidRDefault="00F825D8" w:rsidP="00D01D1D">
      <w:pPr>
        <w:rPr>
          <w:rFonts w:ascii="Arial" w:hAnsi="Arial" w:cs="Arial"/>
          <w:lang w:val="en-US"/>
        </w:rPr>
      </w:pPr>
      <w:r w:rsidRPr="004A762E">
        <w:rPr>
          <w:rFonts w:ascii="Arial" w:hAnsi="Arial" w:cs="Arial"/>
          <w:lang w:val="en-US"/>
        </w:rPr>
        <w:t>Without the NFP condition</w:t>
      </w:r>
      <w:r w:rsidR="00D11B09" w:rsidRPr="004A762E">
        <w:rPr>
          <w:rFonts w:ascii="Arial" w:hAnsi="Arial" w:cs="Arial"/>
          <w:lang w:val="en-US"/>
        </w:rPr>
        <w:t>:</w:t>
      </w:r>
    </w:p>
    <w:p w:rsidR="00D11B09" w:rsidRPr="004A762E" w:rsidRDefault="00D11B09" w:rsidP="00D01D1D">
      <w:pPr>
        <w:pStyle w:val="ListParagraph"/>
        <w:numPr>
          <w:ilvl w:val="0"/>
          <w:numId w:val="11"/>
        </w:numPr>
        <w:spacing w:line="276" w:lineRule="auto"/>
        <w:rPr>
          <w:rFonts w:cs="Arial"/>
          <w:lang w:val="en-US"/>
        </w:rPr>
      </w:pPr>
      <w:r w:rsidRPr="004A762E">
        <w:rPr>
          <w:rFonts w:cs="Arial"/>
          <w:lang w:val="en-US"/>
        </w:rPr>
        <w:t>The organisation may pay dividends, or distribute profits to members</w:t>
      </w:r>
      <w:r w:rsidR="00F825D8" w:rsidRPr="004A762E">
        <w:rPr>
          <w:rFonts w:cs="Arial"/>
          <w:lang w:val="en-US"/>
        </w:rPr>
        <w:t>;</w:t>
      </w:r>
    </w:p>
    <w:p w:rsidR="00D11B09" w:rsidRPr="004A762E" w:rsidRDefault="00D11B09" w:rsidP="00D01D1D">
      <w:pPr>
        <w:pStyle w:val="ListParagraph"/>
        <w:numPr>
          <w:ilvl w:val="0"/>
          <w:numId w:val="11"/>
        </w:numPr>
        <w:spacing w:line="276" w:lineRule="auto"/>
        <w:rPr>
          <w:rFonts w:cs="Arial"/>
          <w:lang w:val="en-US"/>
        </w:rPr>
      </w:pPr>
      <w:r w:rsidRPr="004A762E">
        <w:rPr>
          <w:rFonts w:cs="Arial"/>
          <w:lang w:val="en-US"/>
        </w:rPr>
        <w:t>The organisation is not limited in ways of raising funds – it</w:t>
      </w:r>
      <w:r w:rsidR="00F825D8" w:rsidRPr="004A762E">
        <w:rPr>
          <w:rFonts w:cs="Arial"/>
          <w:lang w:val="en-US"/>
        </w:rPr>
        <w:t xml:space="preserve"> can take on equity investment;</w:t>
      </w:r>
    </w:p>
    <w:p w:rsidR="00D11B09" w:rsidRPr="004A762E" w:rsidRDefault="00352EB1" w:rsidP="00D01D1D">
      <w:pPr>
        <w:pStyle w:val="ListParagraph"/>
        <w:numPr>
          <w:ilvl w:val="0"/>
          <w:numId w:val="11"/>
        </w:numPr>
        <w:spacing w:line="276" w:lineRule="auto"/>
        <w:rPr>
          <w:rFonts w:cs="Arial"/>
          <w:lang w:val="en-US"/>
        </w:rPr>
      </w:pPr>
      <w:r w:rsidRPr="004A762E">
        <w:rPr>
          <w:rFonts w:cs="Arial"/>
          <w:lang w:val="en-US"/>
        </w:rPr>
        <w:t>Upon wind-</w:t>
      </w:r>
      <w:r w:rsidR="00D11B09" w:rsidRPr="004A762E">
        <w:rPr>
          <w:rFonts w:cs="Arial"/>
          <w:lang w:val="en-US"/>
        </w:rPr>
        <w:t>up</w:t>
      </w:r>
      <w:r w:rsidR="00F825D8" w:rsidRPr="004A762E">
        <w:rPr>
          <w:rFonts w:cs="Arial"/>
          <w:lang w:val="en-US"/>
        </w:rPr>
        <w:t xml:space="preserve"> it is not limited necessarily</w:t>
      </w:r>
      <w:r w:rsidR="00D11B09" w:rsidRPr="004A762E">
        <w:rPr>
          <w:rFonts w:cs="Arial"/>
          <w:lang w:val="en-US"/>
        </w:rPr>
        <w:t xml:space="preserve"> </w:t>
      </w:r>
      <w:r w:rsidRPr="004A762E">
        <w:rPr>
          <w:rFonts w:cs="Arial"/>
          <w:lang w:val="en-US"/>
        </w:rPr>
        <w:t xml:space="preserve">as to </w:t>
      </w:r>
      <w:r w:rsidR="00D11B09" w:rsidRPr="004A762E">
        <w:rPr>
          <w:rFonts w:cs="Arial"/>
          <w:lang w:val="en-US"/>
        </w:rPr>
        <w:t>how it distributes its assets</w:t>
      </w:r>
    </w:p>
    <w:p w:rsidR="000A0DCD" w:rsidRPr="004A762E" w:rsidRDefault="00F825D8" w:rsidP="00D01D1D">
      <w:pPr>
        <w:rPr>
          <w:rFonts w:ascii="Arial" w:hAnsi="Arial" w:cs="Arial"/>
          <w:lang w:val="en-US"/>
        </w:rPr>
      </w:pPr>
      <w:r w:rsidRPr="004A762E">
        <w:rPr>
          <w:rFonts w:ascii="Arial" w:hAnsi="Arial" w:cs="Arial"/>
          <w:lang w:val="en-US"/>
        </w:rPr>
        <w:t>T</w:t>
      </w:r>
      <w:r w:rsidR="001C0003" w:rsidRPr="004A762E">
        <w:rPr>
          <w:rFonts w:ascii="Arial" w:hAnsi="Arial" w:cs="Arial"/>
          <w:lang w:val="en-US"/>
        </w:rPr>
        <w:t>he major benefit</w:t>
      </w:r>
      <w:r w:rsidRPr="004A762E">
        <w:rPr>
          <w:rFonts w:ascii="Arial" w:hAnsi="Arial" w:cs="Arial"/>
          <w:lang w:val="en-US"/>
        </w:rPr>
        <w:t xml:space="preserve">, then, </w:t>
      </w:r>
      <w:r w:rsidR="00D11B09" w:rsidRPr="004A762E">
        <w:rPr>
          <w:rFonts w:ascii="Arial" w:hAnsi="Arial" w:cs="Arial"/>
          <w:lang w:val="en-US"/>
        </w:rPr>
        <w:t xml:space="preserve">is an ability to distribute profit to members. However, </w:t>
      </w:r>
      <w:r w:rsidRPr="004A762E">
        <w:rPr>
          <w:rFonts w:ascii="Arial" w:hAnsi="Arial" w:cs="Arial"/>
          <w:lang w:val="en-US"/>
        </w:rPr>
        <w:t>this requires equity investment, and i</w:t>
      </w:r>
      <w:r w:rsidR="00D11B09" w:rsidRPr="004A762E">
        <w:rPr>
          <w:rFonts w:ascii="Arial" w:hAnsi="Arial" w:cs="Arial"/>
          <w:lang w:val="en-US"/>
        </w:rPr>
        <w:t>nvestors</w:t>
      </w:r>
      <w:r w:rsidR="00352EB1" w:rsidRPr="004A762E">
        <w:rPr>
          <w:rFonts w:ascii="Arial" w:hAnsi="Arial" w:cs="Arial"/>
          <w:lang w:val="en-US"/>
        </w:rPr>
        <w:t xml:space="preserve"> will invest only if they</w:t>
      </w:r>
      <w:r w:rsidR="00D11B09" w:rsidRPr="004A762E">
        <w:rPr>
          <w:rFonts w:ascii="Arial" w:hAnsi="Arial" w:cs="Arial"/>
          <w:lang w:val="en-US"/>
        </w:rPr>
        <w:t xml:space="preserve"> think there is enough possibility for a financial return. Impact </w:t>
      </w:r>
      <w:r w:rsidR="000A0DCD" w:rsidRPr="004A762E">
        <w:rPr>
          <w:rFonts w:ascii="Arial" w:hAnsi="Arial" w:cs="Arial"/>
          <w:lang w:val="en-US"/>
        </w:rPr>
        <w:t xml:space="preserve">investors </w:t>
      </w:r>
      <w:r w:rsidR="00D11B09" w:rsidRPr="004A762E">
        <w:rPr>
          <w:rFonts w:ascii="Arial" w:hAnsi="Arial" w:cs="Arial"/>
          <w:lang w:val="en-US"/>
        </w:rPr>
        <w:t>are willing to take slightly less financial return – however, they st</w:t>
      </w:r>
      <w:r w:rsidR="001C0003" w:rsidRPr="004A762E">
        <w:rPr>
          <w:rFonts w:ascii="Arial" w:hAnsi="Arial" w:cs="Arial"/>
          <w:lang w:val="en-US"/>
        </w:rPr>
        <w:t xml:space="preserve">ill want some financial return. </w:t>
      </w:r>
    </w:p>
    <w:p w:rsidR="000A0DCD" w:rsidRPr="004A762E" w:rsidRDefault="00D11B09" w:rsidP="00D01D1D">
      <w:pPr>
        <w:rPr>
          <w:rFonts w:ascii="Arial" w:hAnsi="Arial" w:cs="Arial"/>
          <w:lang w:val="en-US"/>
        </w:rPr>
      </w:pPr>
      <w:r w:rsidRPr="004A762E">
        <w:rPr>
          <w:rFonts w:ascii="Arial" w:hAnsi="Arial" w:cs="Arial"/>
          <w:lang w:val="en-US"/>
        </w:rPr>
        <w:t xml:space="preserve">If a business, then, must have a charitable purpose and be for the public benefit, is it likely to be a business that can generate </w:t>
      </w:r>
      <w:r w:rsidR="00352EB1" w:rsidRPr="004A762E">
        <w:rPr>
          <w:rFonts w:ascii="Arial" w:hAnsi="Arial" w:cs="Arial"/>
          <w:lang w:val="en-US"/>
        </w:rPr>
        <w:t xml:space="preserve">a </w:t>
      </w:r>
      <w:r w:rsidRPr="004A762E">
        <w:rPr>
          <w:rFonts w:ascii="Arial" w:hAnsi="Arial" w:cs="Arial"/>
          <w:lang w:val="en-US"/>
        </w:rPr>
        <w:t xml:space="preserve">substantial enough financial return in order to distribute profits to members? The </w:t>
      </w:r>
      <w:r w:rsidR="00F371EB" w:rsidRPr="004A762E">
        <w:rPr>
          <w:rFonts w:ascii="Arial" w:hAnsi="Arial" w:cs="Arial"/>
          <w:lang w:val="en-US"/>
        </w:rPr>
        <w:t xml:space="preserve">answer to this is not straightforward – it would be </w:t>
      </w:r>
      <w:r w:rsidRPr="004A762E">
        <w:rPr>
          <w:rFonts w:ascii="Arial" w:hAnsi="Arial" w:cs="Arial"/>
          <w:lang w:val="en-US"/>
        </w:rPr>
        <w:t>highly dependent</w:t>
      </w:r>
      <w:r w:rsidR="00F371EB" w:rsidRPr="004A762E">
        <w:rPr>
          <w:rFonts w:ascii="Arial" w:hAnsi="Arial" w:cs="Arial"/>
          <w:lang w:val="en-US"/>
        </w:rPr>
        <w:t xml:space="preserve"> on the particular </w:t>
      </w:r>
      <w:r w:rsidR="00F825D8" w:rsidRPr="004A762E">
        <w:rPr>
          <w:rFonts w:ascii="Arial" w:hAnsi="Arial" w:cs="Arial"/>
          <w:lang w:val="en-US"/>
        </w:rPr>
        <w:t xml:space="preserve">sector and </w:t>
      </w:r>
      <w:r w:rsidR="000A0DCD" w:rsidRPr="004A762E">
        <w:rPr>
          <w:rFonts w:ascii="Arial" w:hAnsi="Arial" w:cs="Arial"/>
          <w:lang w:val="en-US"/>
        </w:rPr>
        <w:t>context</w:t>
      </w:r>
      <w:r w:rsidR="00352EB1" w:rsidRPr="004A762E">
        <w:rPr>
          <w:rFonts w:ascii="Arial" w:hAnsi="Arial" w:cs="Arial"/>
          <w:lang w:val="en-US"/>
        </w:rPr>
        <w:t xml:space="preserve">. </w:t>
      </w:r>
    </w:p>
    <w:p w:rsidR="002A5C90" w:rsidRPr="004A762E" w:rsidRDefault="000A0DCD" w:rsidP="00D01D1D">
      <w:pPr>
        <w:rPr>
          <w:rFonts w:ascii="Arial" w:hAnsi="Arial" w:cs="Arial"/>
          <w:lang w:val="en-US"/>
        </w:rPr>
      </w:pPr>
      <w:r w:rsidRPr="004A762E">
        <w:rPr>
          <w:rFonts w:ascii="Arial" w:hAnsi="Arial" w:cs="Arial"/>
          <w:lang w:val="en-US"/>
        </w:rPr>
        <w:t>So, i</w:t>
      </w:r>
      <w:r w:rsidR="001C0003" w:rsidRPr="004A762E">
        <w:rPr>
          <w:rFonts w:ascii="Arial" w:hAnsi="Arial" w:cs="Arial"/>
          <w:lang w:val="en-US"/>
        </w:rPr>
        <w:t>f</w:t>
      </w:r>
      <w:r w:rsidR="00352EB1" w:rsidRPr="004A762E">
        <w:rPr>
          <w:rFonts w:ascii="Arial" w:hAnsi="Arial" w:cs="Arial"/>
          <w:lang w:val="en-US"/>
        </w:rPr>
        <w:t xml:space="preserve"> the ability of charities to raise investment even if the NFP condition was removed is limited,</w:t>
      </w:r>
      <w:r w:rsidR="00F825D8" w:rsidRPr="004A762E">
        <w:rPr>
          <w:rFonts w:ascii="Arial" w:hAnsi="Arial" w:cs="Arial"/>
          <w:lang w:val="en-US"/>
        </w:rPr>
        <w:t xml:space="preserve"> (which it likely is)</w:t>
      </w:r>
      <w:r w:rsidR="00352EB1" w:rsidRPr="004A762E">
        <w:rPr>
          <w:rFonts w:ascii="Arial" w:hAnsi="Arial" w:cs="Arial"/>
          <w:lang w:val="en-US"/>
        </w:rPr>
        <w:t xml:space="preserve"> then the NFP condition </w:t>
      </w:r>
      <w:r w:rsidR="00680647" w:rsidRPr="004A762E">
        <w:rPr>
          <w:rFonts w:ascii="Arial" w:hAnsi="Arial" w:cs="Arial"/>
          <w:lang w:val="en-US"/>
        </w:rPr>
        <w:t xml:space="preserve">actually </w:t>
      </w:r>
      <w:r w:rsidR="00352EB1" w:rsidRPr="004A762E">
        <w:rPr>
          <w:rFonts w:ascii="Arial" w:hAnsi="Arial" w:cs="Arial"/>
          <w:lang w:val="en-US"/>
        </w:rPr>
        <w:t>maintains relevance and utility.</w:t>
      </w:r>
    </w:p>
    <w:p w:rsidR="00352EB1" w:rsidRPr="0021174B" w:rsidRDefault="00352EB1" w:rsidP="00D01D1D">
      <w:pPr>
        <w:rPr>
          <w:rFonts w:ascii="Arial" w:hAnsi="Arial" w:cs="Arial"/>
          <w:b/>
          <w:lang w:val="en-US"/>
        </w:rPr>
      </w:pPr>
      <w:r w:rsidRPr="0021174B">
        <w:rPr>
          <w:rFonts w:ascii="Arial" w:hAnsi="Arial" w:cs="Arial"/>
          <w:b/>
          <w:lang w:val="en-US"/>
        </w:rPr>
        <w:t>Arguments against the relevance/utility of NFP condition</w:t>
      </w:r>
    </w:p>
    <w:p w:rsidR="00F825D8" w:rsidRPr="0021174B" w:rsidRDefault="00F825D8" w:rsidP="00D01D1D">
      <w:pPr>
        <w:rPr>
          <w:rFonts w:ascii="Arial" w:hAnsi="Arial" w:cs="Arial"/>
          <w:b/>
          <w:i/>
          <w:lang w:val="en-US"/>
        </w:rPr>
      </w:pPr>
      <w:r w:rsidRPr="0021174B">
        <w:rPr>
          <w:rFonts w:ascii="Arial" w:hAnsi="Arial" w:cs="Arial"/>
          <w:b/>
          <w:i/>
          <w:lang w:val="en-US"/>
        </w:rPr>
        <w:t>The rise of social enterprise</w:t>
      </w:r>
    </w:p>
    <w:p w:rsidR="002D53EA" w:rsidRPr="004A762E" w:rsidRDefault="002D53EA" w:rsidP="00D01D1D">
      <w:pPr>
        <w:rPr>
          <w:rFonts w:ascii="Arial" w:hAnsi="Arial" w:cs="Arial"/>
          <w:b/>
          <w:lang w:val="en-US"/>
        </w:rPr>
      </w:pPr>
      <w:r w:rsidRPr="004A762E">
        <w:rPr>
          <w:rFonts w:ascii="Arial" w:hAnsi="Arial" w:cs="Arial"/>
        </w:rPr>
        <w:t xml:space="preserve">Social entrepreneurs, </w:t>
      </w:r>
      <w:r w:rsidR="00B00065" w:rsidRPr="004A762E">
        <w:rPr>
          <w:rFonts w:ascii="Arial" w:hAnsi="Arial" w:cs="Arial"/>
        </w:rPr>
        <w:t xml:space="preserve">people who are </w:t>
      </w:r>
      <w:r w:rsidRPr="004A762E">
        <w:rPr>
          <w:rFonts w:ascii="Arial" w:hAnsi="Arial" w:cs="Arial"/>
        </w:rPr>
        <w:t xml:space="preserve">driven to make a </w:t>
      </w:r>
      <w:r w:rsidRPr="004A762E">
        <w:rPr>
          <w:rFonts w:ascii="Arial" w:hAnsi="Arial" w:cs="Arial"/>
          <w:i/>
        </w:rPr>
        <w:t>difference</w:t>
      </w:r>
      <w:r w:rsidRPr="004A762E">
        <w:rPr>
          <w:rFonts w:ascii="Arial" w:hAnsi="Arial" w:cs="Arial"/>
        </w:rPr>
        <w:t xml:space="preserve"> in a particular area, find the decision on legal structure as one of the most important but confusing decisions they have to make.</w:t>
      </w:r>
      <w:r w:rsidRPr="004A762E">
        <w:rPr>
          <w:rStyle w:val="FootnoteReference"/>
          <w:rFonts w:ascii="Arial" w:hAnsi="Arial" w:cs="Arial"/>
        </w:rPr>
        <w:t xml:space="preserve"> </w:t>
      </w:r>
      <w:r w:rsidRPr="004A762E">
        <w:rPr>
          <w:rStyle w:val="FootnoteReference"/>
          <w:rFonts w:ascii="Arial" w:hAnsi="Arial" w:cs="Arial"/>
        </w:rPr>
        <w:footnoteReference w:id="13"/>
      </w:r>
      <w:r w:rsidRPr="004A762E">
        <w:rPr>
          <w:rFonts w:ascii="Arial" w:hAnsi="Arial" w:cs="Arial"/>
        </w:rPr>
        <w:t xml:space="preserve"> They are</w:t>
      </w:r>
      <w:r w:rsidR="000A0DCD" w:rsidRPr="004A762E">
        <w:rPr>
          <w:rFonts w:ascii="Arial" w:hAnsi="Arial" w:cs="Arial"/>
        </w:rPr>
        <w:t xml:space="preserve"> often</w:t>
      </w:r>
      <w:r w:rsidRPr="004A762E">
        <w:rPr>
          <w:rFonts w:ascii="Arial" w:hAnsi="Arial" w:cs="Arial"/>
        </w:rPr>
        <w:t xml:space="preserve"> forced into a structure which does not</w:t>
      </w:r>
      <w:r w:rsidR="000A0DCD" w:rsidRPr="004A762E">
        <w:rPr>
          <w:rFonts w:ascii="Arial" w:hAnsi="Arial" w:cs="Arial"/>
        </w:rPr>
        <w:t xml:space="preserve"> easily</w:t>
      </w:r>
      <w:r w:rsidRPr="004A762E">
        <w:rPr>
          <w:rFonts w:ascii="Arial" w:hAnsi="Arial" w:cs="Arial"/>
        </w:rPr>
        <w:t xml:space="preserve"> allow them to effectively balance the leveraging of market forces and social good. For those that choose a for-profit structure, distributing of profit is not necessarily the persuasive factor.</w:t>
      </w:r>
      <w:r w:rsidRPr="004A762E">
        <w:rPr>
          <w:rStyle w:val="FootnoteReference"/>
          <w:rFonts w:ascii="Arial" w:hAnsi="Arial" w:cs="Arial"/>
        </w:rPr>
        <w:footnoteReference w:id="14"/>
      </w:r>
      <w:r w:rsidRPr="004A762E">
        <w:rPr>
          <w:rFonts w:ascii="Arial" w:hAnsi="Arial" w:cs="Arial"/>
        </w:rPr>
        <w:t xml:space="preserve"> Sometimes they will choose a for-profit structure in order to not have to report to a Board. Sometimes </w:t>
      </w:r>
      <w:r w:rsidR="00B00065" w:rsidRPr="004A762E">
        <w:rPr>
          <w:rFonts w:ascii="Arial" w:hAnsi="Arial" w:cs="Arial"/>
        </w:rPr>
        <w:t>they will</w:t>
      </w:r>
      <w:r w:rsidRPr="004A762E">
        <w:rPr>
          <w:rFonts w:ascii="Arial" w:hAnsi="Arial" w:cs="Arial"/>
        </w:rPr>
        <w:t xml:space="preserve"> choose a NFP structure so they can access grants. </w:t>
      </w:r>
      <w:r w:rsidR="00B00065" w:rsidRPr="004A762E">
        <w:rPr>
          <w:rFonts w:ascii="Arial" w:hAnsi="Arial" w:cs="Arial"/>
        </w:rPr>
        <w:t>It is</w:t>
      </w:r>
      <w:r w:rsidRPr="004A762E">
        <w:rPr>
          <w:rFonts w:ascii="Arial" w:hAnsi="Arial" w:cs="Arial"/>
        </w:rPr>
        <w:t xml:space="preserve"> not as though the ability to take profit out of the enterprise is the major reason for choosing that structure.</w:t>
      </w:r>
      <w:r w:rsidRPr="004A762E">
        <w:rPr>
          <w:rStyle w:val="FootnoteReference"/>
          <w:rFonts w:ascii="Arial" w:hAnsi="Arial" w:cs="Arial"/>
        </w:rPr>
        <w:footnoteReference w:id="15"/>
      </w:r>
      <w:r w:rsidR="00B00065" w:rsidRPr="004A762E">
        <w:rPr>
          <w:rFonts w:ascii="Arial" w:hAnsi="Arial" w:cs="Arial"/>
        </w:rPr>
        <w:t xml:space="preserve"> The NFP condition, for them, has some utility but is by no means the deciding factor in their decision.</w:t>
      </w:r>
    </w:p>
    <w:p w:rsidR="00AD61F5" w:rsidRPr="0021174B" w:rsidRDefault="00DB51DB" w:rsidP="00D01D1D">
      <w:pPr>
        <w:rPr>
          <w:rFonts w:ascii="Arial" w:hAnsi="Arial" w:cs="Arial"/>
          <w:b/>
          <w:i/>
          <w:lang w:val="en-US"/>
        </w:rPr>
      </w:pPr>
      <w:r w:rsidRPr="0021174B">
        <w:rPr>
          <w:rFonts w:ascii="Arial" w:hAnsi="Arial" w:cs="Arial"/>
          <w:b/>
          <w:i/>
          <w:lang w:val="en-US"/>
        </w:rPr>
        <w:t>The market directly impacts well-being</w:t>
      </w:r>
    </w:p>
    <w:p w:rsidR="00B00065" w:rsidRPr="004A762E" w:rsidRDefault="00B00065" w:rsidP="00D01D1D">
      <w:pPr>
        <w:rPr>
          <w:rFonts w:ascii="Arial" w:hAnsi="Arial" w:cs="Arial"/>
        </w:rPr>
      </w:pPr>
      <w:r w:rsidRPr="004A762E">
        <w:rPr>
          <w:rFonts w:ascii="Arial" w:hAnsi="Arial" w:cs="Arial"/>
        </w:rPr>
        <w:t>An</w:t>
      </w:r>
      <w:r w:rsidR="00AD61F5" w:rsidRPr="004A762E">
        <w:rPr>
          <w:rFonts w:ascii="Arial" w:hAnsi="Arial" w:cs="Arial"/>
        </w:rPr>
        <w:t xml:space="preserve"> illustrative example lies in  </w:t>
      </w:r>
      <w:r w:rsidR="00AD61F5" w:rsidRPr="004A762E">
        <w:rPr>
          <w:rFonts w:ascii="Arial" w:hAnsi="Arial" w:cs="Arial"/>
          <w:i/>
        </w:rPr>
        <w:t>Federal Commissioner of Taxation v Wentworth District Capital Ltd</w:t>
      </w:r>
      <w:r w:rsidR="00AD61F5" w:rsidRPr="004A762E">
        <w:rPr>
          <w:rFonts w:ascii="Arial" w:hAnsi="Arial" w:cs="Arial"/>
        </w:rPr>
        <w:t>,</w:t>
      </w:r>
      <w:r w:rsidR="00AD61F5" w:rsidRPr="004A762E">
        <w:rPr>
          <w:rStyle w:val="FootnoteReference"/>
          <w:rFonts w:ascii="Arial" w:hAnsi="Arial" w:cs="Arial"/>
        </w:rPr>
        <w:footnoteReference w:id="16"/>
      </w:r>
      <w:r w:rsidR="00AD61F5" w:rsidRPr="004A762E">
        <w:rPr>
          <w:rFonts w:ascii="Arial" w:hAnsi="Arial" w:cs="Arial"/>
        </w:rPr>
        <w:t xml:space="preserve"> where a NFP formed to provide banking services to a rural town without commercial banks was held to be a 'community service organisation' eligible for tax exemption. </w:t>
      </w:r>
      <w:r w:rsidRPr="004A762E">
        <w:rPr>
          <w:rFonts w:ascii="Arial" w:hAnsi="Arial" w:cs="Arial"/>
        </w:rPr>
        <w:t>This is a reminder of how the economy, traditionally considered in the ‘for-profit’ domain, is utilised for the well-being of people and communities.</w:t>
      </w:r>
    </w:p>
    <w:p w:rsidR="006B3D6D" w:rsidRPr="004A762E" w:rsidRDefault="00B00065" w:rsidP="00D01D1D">
      <w:pPr>
        <w:rPr>
          <w:rFonts w:ascii="Arial" w:hAnsi="Arial" w:cs="Arial"/>
          <w:lang w:val="en-US"/>
        </w:rPr>
      </w:pPr>
      <w:r w:rsidRPr="004A762E">
        <w:rPr>
          <w:rFonts w:ascii="Arial" w:hAnsi="Arial" w:cs="Arial"/>
        </w:rPr>
        <w:t>C</w:t>
      </w:r>
      <w:r w:rsidR="00AD61F5" w:rsidRPr="004A762E">
        <w:rPr>
          <w:rFonts w:ascii="Arial" w:hAnsi="Arial" w:cs="Arial"/>
        </w:rPr>
        <w:t>harities in regional and remote areas and especially in indigenous communities</w:t>
      </w:r>
      <w:r w:rsidR="00DB51DB" w:rsidRPr="004A762E">
        <w:rPr>
          <w:rFonts w:ascii="Arial" w:hAnsi="Arial" w:cs="Arial"/>
        </w:rPr>
        <w:t xml:space="preserve"> inevitably</w:t>
      </w:r>
      <w:r w:rsidR="00AD61F5" w:rsidRPr="004A762E">
        <w:rPr>
          <w:rFonts w:ascii="Arial" w:hAnsi="Arial" w:cs="Arial"/>
        </w:rPr>
        <w:t xml:space="preserve"> include some focus on economic development</w:t>
      </w:r>
      <w:r w:rsidR="00DB51DB" w:rsidRPr="004A762E">
        <w:rPr>
          <w:rFonts w:ascii="Arial" w:hAnsi="Arial" w:cs="Arial"/>
        </w:rPr>
        <w:t xml:space="preserve"> and/or employment participation</w:t>
      </w:r>
      <w:r w:rsidR="00AD61F5" w:rsidRPr="004A762E">
        <w:rPr>
          <w:rFonts w:ascii="Arial" w:hAnsi="Arial" w:cs="Arial"/>
          <w:lang w:val="en-US"/>
        </w:rPr>
        <w:t>.</w:t>
      </w:r>
      <w:r w:rsidR="00AD61F5" w:rsidRPr="004A762E">
        <w:rPr>
          <w:rStyle w:val="FootnoteReference"/>
          <w:rFonts w:ascii="Arial" w:hAnsi="Arial" w:cs="Arial"/>
          <w:lang w:val="en-US"/>
        </w:rPr>
        <w:footnoteReference w:id="17"/>
      </w:r>
      <w:r w:rsidR="00AD61F5" w:rsidRPr="004A762E">
        <w:rPr>
          <w:rFonts w:ascii="Arial" w:hAnsi="Arial" w:cs="Arial"/>
          <w:lang w:val="en-US"/>
        </w:rPr>
        <w:t xml:space="preserve"> These cases demonstrate that the nature of business and commercial activities and well</w:t>
      </w:r>
      <w:r w:rsidRPr="004A762E">
        <w:rPr>
          <w:rFonts w:ascii="Arial" w:hAnsi="Arial" w:cs="Arial"/>
          <w:lang w:val="en-US"/>
        </w:rPr>
        <w:t>-</w:t>
      </w:r>
      <w:r w:rsidR="00AD61F5" w:rsidRPr="004A762E">
        <w:rPr>
          <w:rFonts w:ascii="Arial" w:hAnsi="Arial" w:cs="Arial"/>
          <w:lang w:val="en-US"/>
        </w:rPr>
        <w:t xml:space="preserve">being of people and communities is not as </w:t>
      </w:r>
      <w:r w:rsidR="00DB51DB" w:rsidRPr="004A762E">
        <w:rPr>
          <w:rFonts w:ascii="Arial" w:hAnsi="Arial" w:cs="Arial"/>
          <w:lang w:val="en-US"/>
        </w:rPr>
        <w:t>separate</w:t>
      </w:r>
      <w:r w:rsidR="00AD61F5" w:rsidRPr="004A762E">
        <w:rPr>
          <w:rFonts w:ascii="Arial" w:hAnsi="Arial" w:cs="Arial"/>
          <w:lang w:val="en-US"/>
        </w:rPr>
        <w:t xml:space="preserve"> as </w:t>
      </w:r>
      <w:r w:rsidR="00DB51DB" w:rsidRPr="004A762E">
        <w:rPr>
          <w:rFonts w:ascii="Arial" w:hAnsi="Arial" w:cs="Arial"/>
          <w:lang w:val="en-US"/>
        </w:rPr>
        <w:t>has</w:t>
      </w:r>
      <w:r w:rsidR="00AD61F5" w:rsidRPr="004A762E">
        <w:rPr>
          <w:rFonts w:ascii="Arial" w:hAnsi="Arial" w:cs="Arial"/>
          <w:lang w:val="en-US"/>
        </w:rPr>
        <w:t xml:space="preserve"> traditionally </w:t>
      </w:r>
      <w:r w:rsidR="00DB51DB" w:rsidRPr="004A762E">
        <w:rPr>
          <w:rFonts w:ascii="Arial" w:hAnsi="Arial" w:cs="Arial"/>
          <w:lang w:val="en-US"/>
        </w:rPr>
        <w:t xml:space="preserve">been </w:t>
      </w:r>
      <w:r w:rsidR="00AD61F5" w:rsidRPr="004A762E">
        <w:rPr>
          <w:rFonts w:ascii="Arial" w:hAnsi="Arial" w:cs="Arial"/>
          <w:lang w:val="en-US"/>
        </w:rPr>
        <w:t xml:space="preserve">thought, and is a further argument </w:t>
      </w:r>
      <w:r w:rsidR="000A0DCD" w:rsidRPr="004A762E">
        <w:rPr>
          <w:rFonts w:ascii="Arial" w:hAnsi="Arial" w:cs="Arial"/>
          <w:lang w:val="en-US"/>
        </w:rPr>
        <w:t>as to</w:t>
      </w:r>
      <w:r w:rsidR="00AD61F5" w:rsidRPr="004A762E">
        <w:rPr>
          <w:rFonts w:ascii="Arial" w:hAnsi="Arial" w:cs="Arial"/>
          <w:lang w:val="en-US"/>
        </w:rPr>
        <w:t xml:space="preserve"> why the NFP </w:t>
      </w:r>
      <w:r w:rsidR="00DB51DB" w:rsidRPr="004A762E">
        <w:rPr>
          <w:rFonts w:ascii="Arial" w:hAnsi="Arial" w:cs="Arial"/>
          <w:lang w:val="en-US"/>
        </w:rPr>
        <w:t>condition</w:t>
      </w:r>
      <w:r w:rsidR="00AD61F5" w:rsidRPr="004A762E">
        <w:rPr>
          <w:rFonts w:ascii="Arial" w:hAnsi="Arial" w:cs="Arial"/>
          <w:lang w:val="en-US"/>
        </w:rPr>
        <w:t xml:space="preserve"> of charity may not be particularly relevant.</w:t>
      </w:r>
    </w:p>
    <w:p w:rsidR="005B64D6" w:rsidRPr="0021174B" w:rsidRDefault="00117448" w:rsidP="00D01D1D">
      <w:pPr>
        <w:rPr>
          <w:rFonts w:ascii="Arial" w:hAnsi="Arial" w:cs="Arial"/>
          <w:b/>
          <w:lang w:val="en-US"/>
        </w:rPr>
      </w:pPr>
      <w:r w:rsidRPr="0021174B">
        <w:rPr>
          <w:rFonts w:ascii="Arial" w:hAnsi="Arial" w:cs="Arial"/>
          <w:b/>
          <w:lang w:val="en-US"/>
        </w:rPr>
        <w:t xml:space="preserve">Charitable purposes, </w:t>
      </w:r>
      <w:r w:rsidR="005B64D6" w:rsidRPr="0021174B">
        <w:rPr>
          <w:rFonts w:ascii="Arial" w:hAnsi="Arial" w:cs="Arial"/>
          <w:b/>
          <w:lang w:val="en-US"/>
        </w:rPr>
        <w:t>activities</w:t>
      </w:r>
      <w:r w:rsidRPr="0021174B">
        <w:rPr>
          <w:rFonts w:ascii="Arial" w:hAnsi="Arial" w:cs="Arial"/>
          <w:b/>
          <w:lang w:val="en-US"/>
        </w:rPr>
        <w:t>, nexus</w:t>
      </w:r>
    </w:p>
    <w:p w:rsidR="00054DFD" w:rsidRPr="004A762E" w:rsidRDefault="00054DFD" w:rsidP="00D01D1D">
      <w:pPr>
        <w:rPr>
          <w:rFonts w:ascii="Arial" w:hAnsi="Arial" w:cs="Arial"/>
          <w:lang w:val="en-US"/>
        </w:rPr>
      </w:pPr>
      <w:r w:rsidRPr="004A762E">
        <w:rPr>
          <w:rFonts w:ascii="Arial" w:hAnsi="Arial" w:cs="Arial"/>
          <w:lang w:val="en-US"/>
        </w:rPr>
        <w:t>It is easy to see how t</w:t>
      </w:r>
      <w:r w:rsidR="00A82FBD" w:rsidRPr="004A762E">
        <w:rPr>
          <w:rFonts w:ascii="Arial" w:hAnsi="Arial" w:cs="Arial"/>
          <w:lang w:val="en-US"/>
        </w:rPr>
        <w:t xml:space="preserve">he traditional dichotomy has been particularly broken down recently with regard to </w:t>
      </w:r>
      <w:r w:rsidRPr="004A762E">
        <w:rPr>
          <w:rFonts w:ascii="Arial" w:hAnsi="Arial" w:cs="Arial"/>
          <w:lang w:val="en-US"/>
        </w:rPr>
        <w:t>both what purposes are seen as charitable, and the permissibility of commercial activities of charities to meet their purposes. These trends are expanding the legal meaning of ‘charity’, and as Murray describes, demonstrates a general acceptance of ‘more porous boundaries between charities on the one hand and government and commerce on the other.’</w:t>
      </w:r>
      <w:r w:rsidRPr="004A762E">
        <w:rPr>
          <w:rStyle w:val="FootnoteReference"/>
          <w:rFonts w:ascii="Arial" w:hAnsi="Arial" w:cs="Arial"/>
          <w:lang w:val="en-US"/>
        </w:rPr>
        <w:footnoteReference w:id="18"/>
      </w:r>
      <w:r w:rsidRPr="004A762E">
        <w:rPr>
          <w:rFonts w:ascii="Arial" w:hAnsi="Arial" w:cs="Arial"/>
          <w:lang w:val="en-US"/>
        </w:rPr>
        <w:t xml:space="preserve"> This </w:t>
      </w:r>
      <w:r w:rsidR="000A0DCD" w:rsidRPr="004A762E">
        <w:rPr>
          <w:rFonts w:ascii="Arial" w:hAnsi="Arial" w:cs="Arial"/>
          <w:lang w:val="en-US"/>
        </w:rPr>
        <w:t>also</w:t>
      </w:r>
      <w:r w:rsidRPr="004A762E">
        <w:rPr>
          <w:rFonts w:ascii="Arial" w:hAnsi="Arial" w:cs="Arial"/>
          <w:lang w:val="en-US"/>
        </w:rPr>
        <w:t xml:space="preserve"> </w:t>
      </w:r>
      <w:r w:rsidR="000A0DCD" w:rsidRPr="004A762E">
        <w:rPr>
          <w:rFonts w:ascii="Arial" w:hAnsi="Arial" w:cs="Arial"/>
          <w:lang w:val="en-US"/>
        </w:rPr>
        <w:t>provides cause to</w:t>
      </w:r>
      <w:r w:rsidRPr="004A762E">
        <w:rPr>
          <w:rFonts w:ascii="Arial" w:hAnsi="Arial" w:cs="Arial"/>
          <w:lang w:val="en-US"/>
        </w:rPr>
        <w:t xml:space="preserve"> question how useful and relevant the NFP </w:t>
      </w:r>
      <w:r w:rsidR="00DB51DB" w:rsidRPr="004A762E">
        <w:rPr>
          <w:rFonts w:ascii="Arial" w:hAnsi="Arial" w:cs="Arial"/>
          <w:lang w:val="en-US"/>
        </w:rPr>
        <w:t>condition</w:t>
      </w:r>
      <w:r w:rsidRPr="004A762E">
        <w:rPr>
          <w:rFonts w:ascii="Arial" w:hAnsi="Arial" w:cs="Arial"/>
          <w:lang w:val="en-US"/>
        </w:rPr>
        <w:t xml:space="preserve"> is to the concept of charity.</w:t>
      </w:r>
    </w:p>
    <w:p w:rsidR="004B3BE5" w:rsidRPr="004A762E" w:rsidRDefault="008D697C" w:rsidP="00D01D1D">
      <w:pPr>
        <w:rPr>
          <w:rFonts w:ascii="Arial" w:hAnsi="Arial" w:cs="Arial"/>
          <w:lang w:val="en-US"/>
        </w:rPr>
      </w:pPr>
      <w:r w:rsidRPr="004A762E">
        <w:rPr>
          <w:rFonts w:ascii="Arial" w:hAnsi="Arial" w:cs="Arial"/>
          <w:lang w:val="en-US"/>
        </w:rPr>
        <w:t>On the first to</w:t>
      </w:r>
      <w:r w:rsidR="000A0DCD" w:rsidRPr="004A762E">
        <w:rPr>
          <w:rFonts w:ascii="Arial" w:hAnsi="Arial" w:cs="Arial"/>
          <w:lang w:val="en-US"/>
        </w:rPr>
        <w:t>pic – the expansion of purposes,</w:t>
      </w:r>
      <w:r w:rsidRPr="004A762E">
        <w:rPr>
          <w:rFonts w:ascii="Arial" w:hAnsi="Arial" w:cs="Arial"/>
          <w:lang w:val="en-US"/>
        </w:rPr>
        <w:t xml:space="preserve"> </w:t>
      </w:r>
      <w:r w:rsidRPr="004A762E">
        <w:rPr>
          <w:rFonts w:ascii="Arial" w:hAnsi="Arial" w:cs="Arial"/>
          <w:i/>
          <w:lang w:val="en-US"/>
        </w:rPr>
        <w:t>Chamber of Commerce and Industry of Western Australia Inc v Commissioner of State Revenue</w:t>
      </w:r>
      <w:r w:rsidRPr="004A762E">
        <w:rPr>
          <w:rFonts w:ascii="Arial" w:hAnsi="Arial" w:cs="Arial"/>
          <w:lang w:val="en-US"/>
        </w:rPr>
        <w:t xml:space="preserve"> [2012] WASAT 146 (</w:t>
      </w:r>
      <w:r w:rsidRPr="004A762E">
        <w:rPr>
          <w:rFonts w:ascii="Arial" w:hAnsi="Arial" w:cs="Arial"/>
          <w:i/>
          <w:lang w:val="en-US"/>
        </w:rPr>
        <w:t>CCIWA</w:t>
      </w:r>
      <w:r w:rsidRPr="004A762E">
        <w:rPr>
          <w:rFonts w:ascii="Arial" w:hAnsi="Arial" w:cs="Arial"/>
          <w:lang w:val="en-US"/>
        </w:rPr>
        <w:t>) demonstrates that an organisation can have, as its purpose, to generally support and advocate for business in WA, and this will be charitable. Further, that charity can provide specific assistance to individual businesses, along with more general assistance and still meet the public benefit requirement to be a charity.</w:t>
      </w:r>
      <w:r w:rsidRPr="004A762E">
        <w:rPr>
          <w:rStyle w:val="FootnoteReference"/>
          <w:rFonts w:ascii="Arial" w:hAnsi="Arial" w:cs="Arial"/>
          <w:lang w:val="en-US"/>
        </w:rPr>
        <w:footnoteReference w:id="19"/>
      </w:r>
      <w:r w:rsidR="004B3BE5" w:rsidRPr="004A762E">
        <w:rPr>
          <w:rFonts w:ascii="Arial" w:hAnsi="Arial" w:cs="Arial"/>
          <w:lang w:val="en-US"/>
        </w:rPr>
        <w:t xml:space="preserve"> Further, as Murray describes, other purposes which seem to push the boundary have been accepted as charitable, ‘including the promotion of a culture of innovation and entrepreneurship in Australia and the promotion of the adoption of electronic commerce for Tasmanian businesses’.</w:t>
      </w:r>
      <w:r w:rsidR="004B3BE5" w:rsidRPr="004A762E">
        <w:rPr>
          <w:rStyle w:val="FootnoteReference"/>
          <w:rFonts w:ascii="Arial" w:hAnsi="Arial" w:cs="Arial"/>
          <w:lang w:val="en-US"/>
        </w:rPr>
        <w:footnoteReference w:id="20"/>
      </w:r>
      <w:r w:rsidR="00BB1485" w:rsidRPr="004A762E">
        <w:rPr>
          <w:rFonts w:ascii="Arial" w:hAnsi="Arial" w:cs="Arial"/>
          <w:lang w:val="en-US"/>
        </w:rPr>
        <w:t xml:space="preserve"> These cases are not only an expansion of traditional charitable purposes, but are out of step with societal conceptions of charity, undermining trust and public confidence.</w:t>
      </w:r>
    </w:p>
    <w:p w:rsidR="000D2A3E" w:rsidRPr="004A762E" w:rsidRDefault="004B3BE5" w:rsidP="00D01D1D">
      <w:pPr>
        <w:rPr>
          <w:rFonts w:ascii="Arial" w:hAnsi="Arial" w:cs="Arial"/>
          <w:lang w:val="en-US"/>
        </w:rPr>
      </w:pPr>
      <w:r w:rsidRPr="004A762E">
        <w:rPr>
          <w:rFonts w:ascii="Arial" w:hAnsi="Arial" w:cs="Arial"/>
          <w:lang w:val="en-US"/>
        </w:rPr>
        <w:t xml:space="preserve">On the second topic – the acceptance of commercial activities to meet charitable purposes, </w:t>
      </w:r>
      <w:r w:rsidRPr="004A762E">
        <w:rPr>
          <w:rFonts w:ascii="Arial" w:hAnsi="Arial" w:cs="Arial"/>
          <w:i/>
        </w:rPr>
        <w:t xml:space="preserve">Commissioner of Taxation v Word Investments Ltd </w:t>
      </w:r>
      <w:r w:rsidRPr="004A762E">
        <w:rPr>
          <w:rFonts w:ascii="Arial" w:hAnsi="Arial" w:cs="Arial"/>
        </w:rPr>
        <w:t>(2008) 236 CLR 204</w:t>
      </w:r>
      <w:r w:rsidRPr="004A762E">
        <w:rPr>
          <w:rStyle w:val="FootnoteReference"/>
          <w:rFonts w:ascii="Arial" w:hAnsi="Arial" w:cs="Arial"/>
          <w:i/>
        </w:rPr>
        <w:footnoteReference w:id="21"/>
      </w:r>
      <w:r w:rsidRPr="004A762E">
        <w:rPr>
          <w:rFonts w:ascii="Arial" w:hAnsi="Arial" w:cs="Arial"/>
        </w:rPr>
        <w:t xml:space="preserve"> (</w:t>
      </w:r>
      <w:r w:rsidRPr="004A762E">
        <w:rPr>
          <w:rFonts w:ascii="Arial" w:hAnsi="Arial" w:cs="Arial"/>
          <w:i/>
        </w:rPr>
        <w:t>Word Investments</w:t>
      </w:r>
      <w:r w:rsidRPr="004A762E">
        <w:rPr>
          <w:rFonts w:ascii="Arial" w:hAnsi="Arial" w:cs="Arial"/>
        </w:rPr>
        <w:t xml:space="preserve">) </w:t>
      </w:r>
      <w:r w:rsidR="004C5781" w:rsidRPr="004A762E">
        <w:rPr>
          <w:rFonts w:ascii="Arial" w:hAnsi="Arial" w:cs="Arial"/>
        </w:rPr>
        <w:t>demonstrates that</w:t>
      </w:r>
      <w:r w:rsidRPr="004A762E">
        <w:rPr>
          <w:rFonts w:ascii="Arial" w:hAnsi="Arial" w:cs="Arial"/>
        </w:rPr>
        <w:t xml:space="preserve"> an organisation </w:t>
      </w:r>
      <w:r w:rsidR="004C5781" w:rsidRPr="004A762E">
        <w:rPr>
          <w:rFonts w:ascii="Arial" w:hAnsi="Arial" w:cs="Arial"/>
        </w:rPr>
        <w:t>set up only to conduct a funeral business to generate income was</w:t>
      </w:r>
      <w:r w:rsidRPr="004A762E">
        <w:rPr>
          <w:rFonts w:ascii="Arial" w:hAnsi="Arial" w:cs="Arial"/>
        </w:rPr>
        <w:t xml:space="preserve"> charitable </w:t>
      </w:r>
      <w:r w:rsidR="004C5781" w:rsidRPr="004A762E">
        <w:rPr>
          <w:rFonts w:ascii="Arial" w:hAnsi="Arial" w:cs="Arial"/>
        </w:rPr>
        <w:t>given it was ‘</w:t>
      </w:r>
      <w:r w:rsidRPr="004A762E">
        <w:rPr>
          <w:rFonts w:ascii="Arial" w:hAnsi="Arial" w:cs="Arial"/>
        </w:rPr>
        <w:t xml:space="preserve">charitable in character because </w:t>
      </w:r>
      <w:r w:rsidR="004C5781" w:rsidRPr="004A762E">
        <w:rPr>
          <w:rFonts w:ascii="Arial" w:hAnsi="Arial" w:cs="Arial"/>
        </w:rPr>
        <w:t>[the commercial activities]</w:t>
      </w:r>
      <w:r w:rsidRPr="004A762E">
        <w:rPr>
          <w:rFonts w:ascii="Arial" w:hAnsi="Arial" w:cs="Arial"/>
        </w:rPr>
        <w:t xml:space="preserve"> were carried out in furtherance of a charitable purpose’.</w:t>
      </w:r>
      <w:r w:rsidRPr="004A762E">
        <w:rPr>
          <w:rStyle w:val="FootnoteReference"/>
          <w:rFonts w:ascii="Arial" w:hAnsi="Arial" w:cs="Arial"/>
        </w:rPr>
        <w:footnoteReference w:id="22"/>
      </w:r>
      <w:r w:rsidR="004C5781" w:rsidRPr="004A762E">
        <w:rPr>
          <w:rFonts w:ascii="Arial" w:hAnsi="Arial" w:cs="Arial"/>
        </w:rPr>
        <w:t xml:space="preserve"> </w:t>
      </w:r>
    </w:p>
    <w:p w:rsidR="00B140C4" w:rsidRPr="004A762E" w:rsidRDefault="00DB51DB" w:rsidP="00D01D1D">
      <w:pPr>
        <w:rPr>
          <w:rFonts w:ascii="Arial" w:hAnsi="Arial" w:cs="Arial"/>
          <w:lang w:val="en-US"/>
        </w:rPr>
      </w:pPr>
      <w:r w:rsidRPr="004A762E">
        <w:rPr>
          <w:rFonts w:ascii="Arial" w:hAnsi="Arial" w:cs="Arial"/>
          <w:lang w:val="en-US"/>
        </w:rPr>
        <w:t xml:space="preserve">Kirby’s dissenting judgment in </w:t>
      </w:r>
      <w:r w:rsidRPr="004A762E">
        <w:rPr>
          <w:rFonts w:ascii="Arial" w:hAnsi="Arial" w:cs="Arial"/>
          <w:i/>
          <w:lang w:val="en-US"/>
        </w:rPr>
        <w:t>Word</w:t>
      </w:r>
      <w:r w:rsidRPr="004A762E">
        <w:rPr>
          <w:rFonts w:ascii="Arial" w:hAnsi="Arial" w:cs="Arial"/>
          <w:lang w:val="en-US"/>
        </w:rPr>
        <w:t xml:space="preserve"> </w:t>
      </w:r>
      <w:r w:rsidRPr="004A762E">
        <w:rPr>
          <w:rFonts w:ascii="Arial" w:hAnsi="Arial" w:cs="Arial"/>
          <w:i/>
          <w:lang w:val="en-US"/>
        </w:rPr>
        <w:t xml:space="preserve">Investments </w:t>
      </w:r>
      <w:r w:rsidRPr="004A762E">
        <w:rPr>
          <w:rFonts w:ascii="Arial" w:hAnsi="Arial" w:cs="Arial"/>
          <w:lang w:val="en-US"/>
        </w:rPr>
        <w:t>focused more on Word’s activities than the majority which tended to just look at the charitable purpose only. Carrying on ‘investment and commercial funeral business activities for profit’ was not charitable in his opinion, and his Honour considered that the link between Word’s activities and the ultimate use of the funds generated was too remote.</w:t>
      </w:r>
      <w:r w:rsidRPr="004A762E">
        <w:rPr>
          <w:rStyle w:val="FootnoteReference"/>
          <w:rFonts w:ascii="Arial" w:hAnsi="Arial" w:cs="Arial"/>
          <w:lang w:val="en-US"/>
        </w:rPr>
        <w:footnoteReference w:id="23"/>
      </w:r>
      <w:r w:rsidR="00B84AA3" w:rsidRPr="004A762E">
        <w:rPr>
          <w:rFonts w:ascii="Arial" w:hAnsi="Arial" w:cs="Arial"/>
          <w:lang w:val="en-US"/>
        </w:rPr>
        <w:t xml:space="preserve"> </w:t>
      </w:r>
    </w:p>
    <w:p w:rsidR="00B84AA3" w:rsidRPr="004A762E" w:rsidRDefault="00B84AA3" w:rsidP="00D01D1D">
      <w:pPr>
        <w:rPr>
          <w:rFonts w:ascii="Arial" w:hAnsi="Arial" w:cs="Arial"/>
          <w:lang w:val="en-US"/>
        </w:rPr>
      </w:pPr>
      <w:r w:rsidRPr="004A762E">
        <w:rPr>
          <w:rFonts w:ascii="Arial" w:hAnsi="Arial" w:cs="Arial"/>
          <w:lang w:val="en-US"/>
        </w:rPr>
        <w:t>Kirby’s judgment should be the preferred view.</w:t>
      </w:r>
      <w:r w:rsidR="00DB51DB" w:rsidRPr="004A762E">
        <w:rPr>
          <w:rFonts w:ascii="Arial" w:hAnsi="Arial" w:cs="Arial"/>
          <w:lang w:val="en-US"/>
        </w:rPr>
        <w:t xml:space="preserve"> </w:t>
      </w:r>
      <w:r w:rsidRPr="004A762E">
        <w:rPr>
          <w:rFonts w:ascii="Arial" w:hAnsi="Arial" w:cs="Arial"/>
          <w:lang w:val="en-US"/>
        </w:rPr>
        <w:t>It seems at odds to spend significant time and effort crafting charitable purposes and fashioning the NFP condition if ultimately, the courts say that as long as the purpose is charitable, they do not need to look any further. If the purpose of an entity is all that matters,</w:t>
      </w:r>
      <w:r w:rsidR="005E2CD0" w:rsidRPr="004A762E">
        <w:rPr>
          <w:rFonts w:ascii="Arial" w:hAnsi="Arial" w:cs="Arial"/>
          <w:lang w:val="en-US"/>
        </w:rPr>
        <w:t xml:space="preserve"> and all the Court should really look to, which is effectively the message from these cases, then the NFP condition shouldn’t be relevant either. This is not a purpose-oriented concept; it is a limit on the activities or mechanisms of an organisation in carrying out its purpose. In which case, by this reasoning, it should not be relevant.</w:t>
      </w:r>
    </w:p>
    <w:p w:rsidR="00054DFD" w:rsidRPr="004A762E" w:rsidRDefault="00B84AA3" w:rsidP="00D01D1D">
      <w:pPr>
        <w:rPr>
          <w:rFonts w:ascii="Arial" w:eastAsia="Times New Roman" w:hAnsi="Arial" w:cs="Arial"/>
          <w:lang w:eastAsia="en-AU"/>
        </w:rPr>
      </w:pPr>
      <w:r w:rsidRPr="004A762E">
        <w:rPr>
          <w:rFonts w:ascii="Arial" w:eastAsia="Times New Roman" w:hAnsi="Arial" w:cs="Arial"/>
          <w:lang w:eastAsia="en-AU"/>
        </w:rPr>
        <w:t>P</w:t>
      </w:r>
      <w:r w:rsidR="00054DFD" w:rsidRPr="004A762E">
        <w:rPr>
          <w:rFonts w:ascii="Arial" w:eastAsia="Times New Roman" w:hAnsi="Arial" w:cs="Arial"/>
          <w:lang w:eastAsia="en-AU"/>
        </w:rPr>
        <w:t>arliaments are concerned about this trend and in some states, as Murray describes, are legislating to prevent the expansion of both activities and purposes.</w:t>
      </w:r>
      <w:r w:rsidR="00054DFD" w:rsidRPr="004A762E">
        <w:rPr>
          <w:rStyle w:val="FootnoteReference"/>
          <w:rFonts w:ascii="Arial" w:eastAsia="Times New Roman" w:hAnsi="Arial" w:cs="Arial"/>
          <w:lang w:eastAsia="en-AU"/>
        </w:rPr>
        <w:footnoteReference w:id="24"/>
      </w:r>
      <w:r w:rsidR="00054DFD" w:rsidRPr="004A762E">
        <w:rPr>
          <w:rFonts w:ascii="Arial" w:eastAsia="Times New Roman" w:hAnsi="Arial" w:cs="Arial"/>
          <w:lang w:eastAsia="en-AU"/>
        </w:rPr>
        <w:t xml:space="preserve"> </w:t>
      </w:r>
      <w:r w:rsidR="004C5781" w:rsidRPr="004A762E">
        <w:rPr>
          <w:rFonts w:ascii="Arial" w:eastAsia="Times New Roman" w:hAnsi="Arial" w:cs="Arial"/>
          <w:lang w:eastAsia="en-AU"/>
        </w:rPr>
        <w:t>This suggests a desire by governments to prevent the boundaries between commerce and charity being</w:t>
      </w:r>
      <w:r w:rsidR="007D56BF" w:rsidRPr="004A762E">
        <w:rPr>
          <w:rFonts w:ascii="Arial" w:eastAsia="Times New Roman" w:hAnsi="Arial" w:cs="Arial"/>
          <w:lang w:eastAsia="en-AU"/>
        </w:rPr>
        <w:t xml:space="preserve"> quite so </w:t>
      </w:r>
      <w:r w:rsidR="004C5781" w:rsidRPr="004A762E">
        <w:rPr>
          <w:rFonts w:ascii="Arial" w:eastAsia="Times New Roman" w:hAnsi="Arial" w:cs="Arial"/>
          <w:lang w:eastAsia="en-AU"/>
        </w:rPr>
        <w:t xml:space="preserve">porous. </w:t>
      </w:r>
      <w:r w:rsidR="00DB51DB" w:rsidRPr="004A762E">
        <w:rPr>
          <w:rFonts w:ascii="Arial" w:eastAsia="Times New Roman" w:hAnsi="Arial" w:cs="Arial"/>
          <w:lang w:eastAsia="en-AU"/>
        </w:rPr>
        <w:t>T</w:t>
      </w:r>
      <w:r w:rsidR="004C5781" w:rsidRPr="004A762E">
        <w:rPr>
          <w:rFonts w:ascii="Arial" w:eastAsia="Times New Roman" w:hAnsi="Arial" w:cs="Arial"/>
          <w:lang w:eastAsia="en-AU"/>
        </w:rPr>
        <w:t>his</w:t>
      </w:r>
      <w:r w:rsidR="00054DFD" w:rsidRPr="004A762E">
        <w:rPr>
          <w:rFonts w:ascii="Arial" w:eastAsia="Times New Roman" w:hAnsi="Arial" w:cs="Arial"/>
          <w:lang w:eastAsia="en-AU"/>
        </w:rPr>
        <w:t xml:space="preserve"> </w:t>
      </w:r>
      <w:r w:rsidRPr="004A762E">
        <w:rPr>
          <w:rFonts w:ascii="Arial" w:eastAsia="Times New Roman" w:hAnsi="Arial" w:cs="Arial"/>
          <w:lang w:eastAsia="en-AU"/>
        </w:rPr>
        <w:t xml:space="preserve">suggests </w:t>
      </w:r>
      <w:r w:rsidR="00054DFD" w:rsidRPr="004A762E">
        <w:rPr>
          <w:rFonts w:ascii="Arial" w:eastAsia="Times New Roman" w:hAnsi="Arial" w:cs="Arial"/>
          <w:lang w:eastAsia="en-AU"/>
        </w:rPr>
        <w:t xml:space="preserve">that it is important </w:t>
      </w:r>
      <w:r w:rsidR="007D56BF" w:rsidRPr="004A762E">
        <w:rPr>
          <w:rFonts w:ascii="Arial" w:eastAsia="Times New Roman" w:hAnsi="Arial" w:cs="Arial"/>
          <w:lang w:eastAsia="en-AU"/>
        </w:rPr>
        <w:t>(</w:t>
      </w:r>
      <w:r w:rsidR="00054DFD" w:rsidRPr="004A762E">
        <w:rPr>
          <w:rFonts w:ascii="Arial" w:eastAsia="Times New Roman" w:hAnsi="Arial" w:cs="Arial"/>
          <w:lang w:eastAsia="en-AU"/>
        </w:rPr>
        <w:t>at least to government</w:t>
      </w:r>
      <w:r w:rsidR="007D56BF" w:rsidRPr="004A762E">
        <w:rPr>
          <w:rFonts w:ascii="Arial" w:eastAsia="Times New Roman" w:hAnsi="Arial" w:cs="Arial"/>
          <w:lang w:eastAsia="en-AU"/>
        </w:rPr>
        <w:t>)</w:t>
      </w:r>
      <w:r w:rsidR="00054DFD" w:rsidRPr="004A762E">
        <w:rPr>
          <w:rFonts w:ascii="Arial" w:eastAsia="Times New Roman" w:hAnsi="Arial" w:cs="Arial"/>
          <w:lang w:eastAsia="en-AU"/>
        </w:rPr>
        <w:t xml:space="preserve"> that these areas are not impermissibly widened, and </w:t>
      </w:r>
      <w:r w:rsidR="007D56BF" w:rsidRPr="004A762E">
        <w:rPr>
          <w:rFonts w:ascii="Arial" w:eastAsia="Times New Roman" w:hAnsi="Arial" w:cs="Arial"/>
          <w:lang w:eastAsia="en-AU"/>
        </w:rPr>
        <w:t>that</w:t>
      </w:r>
      <w:r w:rsidR="00054DFD" w:rsidRPr="004A762E">
        <w:rPr>
          <w:rFonts w:ascii="Arial" w:eastAsia="Times New Roman" w:hAnsi="Arial" w:cs="Arial"/>
          <w:lang w:eastAsia="en-AU"/>
        </w:rPr>
        <w:t xml:space="preserve"> the NFP </w:t>
      </w:r>
      <w:r w:rsidR="00DB51DB" w:rsidRPr="004A762E">
        <w:rPr>
          <w:rFonts w:ascii="Arial" w:eastAsia="Times New Roman" w:hAnsi="Arial" w:cs="Arial"/>
          <w:lang w:eastAsia="en-AU"/>
        </w:rPr>
        <w:t>condition</w:t>
      </w:r>
      <w:r w:rsidR="00054DFD" w:rsidRPr="004A762E">
        <w:rPr>
          <w:rFonts w:ascii="Arial" w:eastAsia="Times New Roman" w:hAnsi="Arial" w:cs="Arial"/>
          <w:lang w:eastAsia="en-AU"/>
        </w:rPr>
        <w:t xml:space="preserve"> is relevant </w:t>
      </w:r>
      <w:r w:rsidR="00DB51DB" w:rsidRPr="004A762E">
        <w:rPr>
          <w:rFonts w:ascii="Arial" w:eastAsia="Times New Roman" w:hAnsi="Arial" w:cs="Arial"/>
          <w:lang w:eastAsia="en-AU"/>
        </w:rPr>
        <w:t>to them.</w:t>
      </w:r>
    </w:p>
    <w:p w:rsidR="005B64D6" w:rsidRPr="004A762E" w:rsidRDefault="00DB51DB" w:rsidP="00D01D1D">
      <w:pPr>
        <w:rPr>
          <w:rFonts w:ascii="Arial" w:hAnsi="Arial" w:cs="Arial"/>
          <w:b/>
          <w:lang w:val="en-US"/>
        </w:rPr>
      </w:pPr>
      <w:r w:rsidRPr="004A762E">
        <w:rPr>
          <w:rFonts w:ascii="Arial" w:hAnsi="Arial" w:cs="Arial"/>
          <w:b/>
          <w:lang w:val="en-US"/>
        </w:rPr>
        <w:t>Distribution of profit is not the only way to move funds</w:t>
      </w:r>
    </w:p>
    <w:p w:rsidR="00AE251F" w:rsidRPr="004A762E" w:rsidRDefault="00AE251F" w:rsidP="00D01D1D">
      <w:pPr>
        <w:rPr>
          <w:rFonts w:ascii="Arial" w:hAnsi="Arial" w:cs="Arial"/>
        </w:rPr>
      </w:pPr>
      <w:r w:rsidRPr="004A762E">
        <w:rPr>
          <w:rFonts w:ascii="Arial" w:hAnsi="Arial" w:cs="Arial"/>
          <w:lang w:val="en-US"/>
        </w:rPr>
        <w:t>Finally, one</w:t>
      </w:r>
      <w:r w:rsidR="00AD61F5" w:rsidRPr="004A762E">
        <w:rPr>
          <w:rFonts w:ascii="Arial" w:hAnsi="Arial" w:cs="Arial"/>
          <w:lang w:val="en-US"/>
        </w:rPr>
        <w:t xml:space="preserve"> of the major arguments for the relevance and utility of the NFP </w:t>
      </w:r>
      <w:r w:rsidR="0017137F" w:rsidRPr="004A762E">
        <w:rPr>
          <w:rFonts w:ascii="Arial" w:hAnsi="Arial" w:cs="Arial"/>
          <w:lang w:val="en-US"/>
        </w:rPr>
        <w:t>condition</w:t>
      </w:r>
      <w:r w:rsidR="00AD61F5" w:rsidRPr="004A762E">
        <w:rPr>
          <w:rFonts w:ascii="Arial" w:hAnsi="Arial" w:cs="Arial"/>
          <w:lang w:val="en-US"/>
        </w:rPr>
        <w:t xml:space="preserve"> of charity is that charities cannot remove money from the organisation to distribute to members. </w:t>
      </w:r>
      <w:r w:rsidR="00D044CF" w:rsidRPr="004A762E">
        <w:rPr>
          <w:rFonts w:ascii="Arial" w:hAnsi="Arial" w:cs="Arial"/>
          <w:lang w:val="en-US"/>
        </w:rPr>
        <w:t>T</w:t>
      </w:r>
      <w:r w:rsidR="00AD61F5" w:rsidRPr="004A762E">
        <w:rPr>
          <w:rFonts w:ascii="Arial" w:hAnsi="Arial" w:cs="Arial"/>
          <w:lang w:val="en-US"/>
        </w:rPr>
        <w:t xml:space="preserve">hat is not to say that money </w:t>
      </w:r>
      <w:r w:rsidR="00B84AA3" w:rsidRPr="004A762E">
        <w:rPr>
          <w:rFonts w:ascii="Arial" w:hAnsi="Arial" w:cs="Arial"/>
          <w:lang w:val="en-US"/>
        </w:rPr>
        <w:t>cannot</w:t>
      </w:r>
      <w:r w:rsidR="00D044CF" w:rsidRPr="004A762E">
        <w:rPr>
          <w:rFonts w:ascii="Arial" w:hAnsi="Arial" w:cs="Arial"/>
          <w:lang w:val="en-US"/>
        </w:rPr>
        <w:t xml:space="preserve"> be removed from the charity </w:t>
      </w:r>
      <w:r w:rsidR="00AD61F5" w:rsidRPr="004A762E">
        <w:rPr>
          <w:rFonts w:ascii="Arial" w:hAnsi="Arial" w:cs="Arial"/>
          <w:lang w:val="en-US"/>
        </w:rPr>
        <w:t>in other ways.</w:t>
      </w:r>
      <w:r w:rsidRPr="004A762E">
        <w:rPr>
          <w:rFonts w:ascii="Arial" w:hAnsi="Arial" w:cs="Arial"/>
        </w:rPr>
        <w:t xml:space="preserve"> As Garton describes, ‘the pursuit of profit is not the only way in which an organisation’s mission can be distorted: high wages, extravagant facilities </w:t>
      </w:r>
      <w:r w:rsidR="00D044CF" w:rsidRPr="004A762E">
        <w:rPr>
          <w:rFonts w:ascii="Arial" w:hAnsi="Arial" w:cs="Arial"/>
        </w:rPr>
        <w:t>…</w:t>
      </w:r>
      <w:r w:rsidRPr="004A762E">
        <w:rPr>
          <w:rFonts w:ascii="Arial" w:hAnsi="Arial" w:cs="Arial"/>
        </w:rPr>
        <w:t xml:space="preserve"> can unreasonably inflate administration costs and be as corrupting as the pursuit of profit.’</w:t>
      </w:r>
      <w:r w:rsidRPr="004A762E">
        <w:rPr>
          <w:rStyle w:val="FootnoteReference"/>
          <w:rFonts w:ascii="Arial" w:hAnsi="Arial" w:cs="Arial"/>
        </w:rPr>
        <w:footnoteReference w:id="25"/>
      </w:r>
      <w:r w:rsidRPr="004A762E">
        <w:rPr>
          <w:rFonts w:ascii="Arial" w:hAnsi="Arial" w:cs="Arial"/>
        </w:rPr>
        <w:t xml:space="preserve"> There is little data about the amount of CEO salaries in the Australian </w:t>
      </w:r>
      <w:r w:rsidR="0017137F" w:rsidRPr="004A762E">
        <w:rPr>
          <w:rFonts w:ascii="Arial" w:hAnsi="Arial" w:cs="Arial"/>
        </w:rPr>
        <w:t>charitable</w:t>
      </w:r>
      <w:r w:rsidRPr="004A762E">
        <w:rPr>
          <w:rFonts w:ascii="Arial" w:hAnsi="Arial" w:cs="Arial"/>
        </w:rPr>
        <w:t xml:space="preserve"> sector</w:t>
      </w:r>
      <w:r w:rsidR="006C73B6" w:rsidRPr="004A762E">
        <w:rPr>
          <w:rStyle w:val="FootnoteReference"/>
          <w:rFonts w:ascii="Arial" w:hAnsi="Arial" w:cs="Arial"/>
        </w:rPr>
        <w:footnoteReference w:id="26"/>
      </w:r>
      <w:r w:rsidR="006C73B6" w:rsidRPr="004A762E">
        <w:rPr>
          <w:rFonts w:ascii="Arial" w:hAnsi="Arial" w:cs="Arial"/>
        </w:rPr>
        <w:t xml:space="preserve">, and it is important that the charitable sector is able to attract and retain talented people especially at high levels of management, so the </w:t>
      </w:r>
      <w:r w:rsidR="00D044CF" w:rsidRPr="004A762E">
        <w:rPr>
          <w:rFonts w:ascii="Arial" w:hAnsi="Arial" w:cs="Arial"/>
        </w:rPr>
        <w:t>argument</w:t>
      </w:r>
      <w:r w:rsidR="006C73B6" w:rsidRPr="004A762E">
        <w:rPr>
          <w:rFonts w:ascii="Arial" w:hAnsi="Arial" w:cs="Arial"/>
        </w:rPr>
        <w:t xml:space="preserve"> is not that </w:t>
      </w:r>
      <w:r w:rsidR="0017137F" w:rsidRPr="004A762E">
        <w:rPr>
          <w:rFonts w:ascii="Arial" w:hAnsi="Arial" w:cs="Arial"/>
        </w:rPr>
        <w:t>organisations</w:t>
      </w:r>
      <w:r w:rsidR="006C73B6" w:rsidRPr="004A762E">
        <w:rPr>
          <w:rFonts w:ascii="Arial" w:hAnsi="Arial" w:cs="Arial"/>
        </w:rPr>
        <w:t xml:space="preserve"> should not pay high salaries. The </w:t>
      </w:r>
      <w:r w:rsidR="00D044CF" w:rsidRPr="004A762E">
        <w:rPr>
          <w:rFonts w:ascii="Arial" w:hAnsi="Arial" w:cs="Arial"/>
        </w:rPr>
        <w:t>argument</w:t>
      </w:r>
      <w:r w:rsidR="006C73B6" w:rsidRPr="004A762E">
        <w:rPr>
          <w:rFonts w:ascii="Arial" w:hAnsi="Arial" w:cs="Arial"/>
        </w:rPr>
        <w:t xml:space="preserve"> is that even though a </w:t>
      </w:r>
      <w:r w:rsidR="0017137F" w:rsidRPr="004A762E">
        <w:rPr>
          <w:rFonts w:ascii="Arial" w:hAnsi="Arial" w:cs="Arial"/>
        </w:rPr>
        <w:t>charity</w:t>
      </w:r>
      <w:r w:rsidR="006C73B6" w:rsidRPr="004A762E">
        <w:rPr>
          <w:rFonts w:ascii="Arial" w:hAnsi="Arial" w:cs="Arial"/>
        </w:rPr>
        <w:t xml:space="preserve"> is limited from distributing profit, it can p</w:t>
      </w:r>
      <w:r w:rsidR="0017137F" w:rsidRPr="004A762E">
        <w:rPr>
          <w:rFonts w:ascii="Arial" w:hAnsi="Arial" w:cs="Arial"/>
        </w:rPr>
        <w:t>ay salaries and consulting fees, and the NFP condition is not able to prevent this from occurring.</w:t>
      </w:r>
    </w:p>
    <w:p w:rsidR="005B64D6" w:rsidRPr="004A762E" w:rsidRDefault="005B64D6" w:rsidP="00D01D1D">
      <w:pPr>
        <w:rPr>
          <w:rFonts w:ascii="Arial" w:hAnsi="Arial" w:cs="Arial"/>
          <w:b/>
          <w:lang w:val="en-US"/>
        </w:rPr>
      </w:pPr>
      <w:r w:rsidRPr="004A762E">
        <w:rPr>
          <w:rFonts w:ascii="Arial" w:hAnsi="Arial" w:cs="Arial"/>
          <w:b/>
          <w:lang w:val="en-US"/>
        </w:rPr>
        <w:br w:type="page"/>
      </w:r>
    </w:p>
    <w:p w:rsidR="00EE212C" w:rsidRPr="004A762E" w:rsidRDefault="00EE212C" w:rsidP="00D01D1D">
      <w:pPr>
        <w:shd w:val="clear" w:color="auto" w:fill="B2A1C7" w:themeFill="accent4" w:themeFillTint="99"/>
        <w:rPr>
          <w:rFonts w:ascii="Arial" w:hAnsi="Arial" w:cs="Arial"/>
          <w:b/>
        </w:rPr>
        <w:sectPr w:rsidR="00EE212C" w:rsidRPr="004A762E" w:rsidSect="00AF64D2">
          <w:headerReference w:type="default" r:id="rId14"/>
          <w:footerReference w:type="default" r:id="rId15"/>
          <w:pgSz w:w="11906" w:h="16838"/>
          <w:pgMar w:top="2070" w:right="1440" w:bottom="1440" w:left="1440" w:header="708" w:footer="708" w:gutter="0"/>
          <w:cols w:space="708"/>
          <w:docGrid w:linePitch="360"/>
        </w:sectPr>
      </w:pPr>
    </w:p>
    <w:p w:rsidR="00A256C1" w:rsidRPr="0021174B" w:rsidRDefault="00CA31B3" w:rsidP="00D01D1D">
      <w:pPr>
        <w:rPr>
          <w:rFonts w:ascii="Arial" w:hAnsi="Arial" w:cs="Arial"/>
          <w:b/>
        </w:rPr>
      </w:pPr>
      <w:r w:rsidRPr="0021174B">
        <w:rPr>
          <w:rFonts w:ascii="Arial" w:hAnsi="Arial" w:cs="Arial"/>
          <w:b/>
        </w:rPr>
        <w:t>O</w:t>
      </w:r>
      <w:r w:rsidR="00DD3F58" w:rsidRPr="0021174B">
        <w:rPr>
          <w:rFonts w:ascii="Arial" w:hAnsi="Arial" w:cs="Arial"/>
          <w:b/>
        </w:rPr>
        <w:t>ther jurisdictions</w:t>
      </w:r>
    </w:p>
    <w:p w:rsidR="004A0A8D" w:rsidRPr="004A762E" w:rsidRDefault="004A0A8D" w:rsidP="00D01D1D">
      <w:pPr>
        <w:rPr>
          <w:rFonts w:ascii="Arial" w:hAnsi="Arial" w:cs="Arial"/>
        </w:rPr>
      </w:pPr>
      <w:r w:rsidRPr="004A762E">
        <w:rPr>
          <w:rFonts w:ascii="Arial" w:hAnsi="Arial" w:cs="Arial"/>
        </w:rPr>
        <w:t>There are many lessons to learn from the US, UK and Canada, which have all change</w:t>
      </w:r>
      <w:r w:rsidR="00CA31B3" w:rsidRPr="004A762E">
        <w:rPr>
          <w:rFonts w:ascii="Arial" w:hAnsi="Arial" w:cs="Arial"/>
        </w:rPr>
        <w:t>d</w:t>
      </w:r>
      <w:r w:rsidRPr="004A762E">
        <w:rPr>
          <w:rFonts w:ascii="Arial" w:hAnsi="Arial" w:cs="Arial"/>
        </w:rPr>
        <w:t xml:space="preserve"> their own systems </w:t>
      </w:r>
      <w:r w:rsidR="00CA31B3" w:rsidRPr="004A762E">
        <w:rPr>
          <w:rFonts w:ascii="Arial" w:hAnsi="Arial" w:cs="Arial"/>
        </w:rPr>
        <w:t>to some extent to</w:t>
      </w:r>
      <w:r w:rsidRPr="004A762E">
        <w:rPr>
          <w:rFonts w:ascii="Arial" w:hAnsi="Arial" w:cs="Arial"/>
        </w:rPr>
        <w:t xml:space="preserve"> allow for this accommodation, with mixed success.</w:t>
      </w:r>
      <w:r w:rsidR="00EE212C" w:rsidRPr="004A762E">
        <w:rPr>
          <w:rFonts w:ascii="Arial" w:hAnsi="Arial" w:cs="Arial"/>
        </w:rPr>
        <w:t xml:space="preserve"> The table below provides a snapshot of the </w:t>
      </w:r>
      <w:r w:rsidR="00CA31B3" w:rsidRPr="004A762E">
        <w:rPr>
          <w:rFonts w:ascii="Arial" w:hAnsi="Arial" w:cs="Arial"/>
        </w:rPr>
        <w:t xml:space="preserve">new kinds of legal structures developed </w:t>
      </w:r>
      <w:r w:rsidR="00EE212C" w:rsidRPr="004A762E">
        <w:rPr>
          <w:rFonts w:ascii="Arial" w:hAnsi="Arial" w:cs="Arial"/>
        </w:rPr>
        <w:t>in other jurisdictions</w:t>
      </w:r>
      <w:r w:rsidR="00CA31B3" w:rsidRPr="004A762E">
        <w:rPr>
          <w:rFonts w:ascii="Arial" w:hAnsi="Arial" w:cs="Arial"/>
        </w:rPr>
        <w:t xml:space="preserve">. The major lesson to take from this is that there is a place for a different legal structure within our own system. </w:t>
      </w:r>
    </w:p>
    <w:tbl>
      <w:tblPr>
        <w:tblW w:w="5000" w:type="pct"/>
        <w:tblLook w:val="04A0" w:firstRow="1" w:lastRow="0" w:firstColumn="1" w:lastColumn="0" w:noHBand="0" w:noVBand="1"/>
      </w:tblPr>
      <w:tblGrid>
        <w:gridCol w:w="3550"/>
        <w:gridCol w:w="2656"/>
        <w:gridCol w:w="2656"/>
        <w:gridCol w:w="2656"/>
        <w:gridCol w:w="2656"/>
      </w:tblGrid>
      <w:tr w:rsidR="00EE212C" w:rsidRPr="004A762E" w:rsidTr="00EE212C">
        <w:trPr>
          <w:trHeight w:val="570"/>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 </w:t>
            </w:r>
          </w:p>
        </w:tc>
        <w:tc>
          <w:tcPr>
            <w:tcW w:w="937" w:type="pct"/>
            <w:tcBorders>
              <w:top w:val="single" w:sz="4" w:space="0" w:color="auto"/>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color w:val="000000"/>
                <w:lang w:eastAsia="en-AU"/>
              </w:rPr>
            </w:pPr>
            <w:r w:rsidRPr="004A762E">
              <w:rPr>
                <w:rFonts w:ascii="Arial" w:eastAsia="Times New Roman" w:hAnsi="Arial" w:cs="Arial"/>
                <w:b/>
                <w:bCs/>
                <w:color w:val="000000"/>
                <w:lang w:eastAsia="en-AU"/>
              </w:rPr>
              <w:t>US Public Benefit Corporation</w:t>
            </w:r>
          </w:p>
        </w:tc>
        <w:tc>
          <w:tcPr>
            <w:tcW w:w="937" w:type="pct"/>
            <w:tcBorders>
              <w:top w:val="single" w:sz="4" w:space="0" w:color="auto"/>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color w:val="000000"/>
                <w:lang w:eastAsia="en-AU"/>
              </w:rPr>
            </w:pPr>
            <w:r w:rsidRPr="004A762E">
              <w:rPr>
                <w:rFonts w:ascii="Arial" w:eastAsia="Times New Roman" w:hAnsi="Arial" w:cs="Arial"/>
                <w:b/>
                <w:bCs/>
                <w:color w:val="000000"/>
                <w:lang w:eastAsia="en-AU"/>
              </w:rPr>
              <w:t>US L3C (low profit corporation)</w:t>
            </w:r>
          </w:p>
        </w:tc>
        <w:tc>
          <w:tcPr>
            <w:tcW w:w="937" w:type="pct"/>
            <w:tcBorders>
              <w:top w:val="single" w:sz="4" w:space="0" w:color="auto"/>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color w:val="000000"/>
                <w:lang w:eastAsia="en-AU"/>
              </w:rPr>
            </w:pPr>
            <w:r w:rsidRPr="004A762E">
              <w:rPr>
                <w:rFonts w:ascii="Arial" w:eastAsia="Times New Roman" w:hAnsi="Arial" w:cs="Arial"/>
                <w:b/>
                <w:bCs/>
                <w:color w:val="000000"/>
                <w:lang w:eastAsia="en-AU"/>
              </w:rPr>
              <w:t>Canadian CCC/CIC</w:t>
            </w:r>
          </w:p>
        </w:tc>
        <w:tc>
          <w:tcPr>
            <w:tcW w:w="937" w:type="pct"/>
            <w:tcBorders>
              <w:top w:val="single" w:sz="4" w:space="0" w:color="auto"/>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color w:val="000000"/>
                <w:lang w:eastAsia="en-AU"/>
              </w:rPr>
            </w:pPr>
            <w:r w:rsidRPr="004A762E">
              <w:rPr>
                <w:rFonts w:ascii="Arial" w:eastAsia="Times New Roman" w:hAnsi="Arial" w:cs="Arial"/>
                <w:b/>
                <w:bCs/>
                <w:color w:val="000000"/>
                <w:lang w:eastAsia="en-AU"/>
              </w:rPr>
              <w:t>UK CIC</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Where can this entity exist?</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30 US states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10 US states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BC &amp; Nova Scotia</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England, Wales, Scotland, Northern Ireland</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When was this concept enacted?</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2008</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2008</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2013</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2006</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How many of these entities exist?</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3000</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1200</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30</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2500</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Is there a prescriptive approach to balancing profit Vs benefit creation?</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Must a public benefit report be posted?</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Must the public benefit be audited?</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r>
      <w:tr w:rsidR="00EE212C" w:rsidRPr="004A762E" w:rsidTr="00EE212C">
        <w:trPr>
          <w:trHeight w:val="84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What are the broad prescriptive requirements of the benefit report?</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1) General public benefit 2) Specific benefit 3) Problems creating benefit 4) 3rd party standard</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LIMITED</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1) Stakeholder consults 2) Directors remuneration 3) Asset movements 4) Dividends</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Is the benefit report (or equivalent) audited/regulated?</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Must major shareholders and directors remuneration be disclosed?</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 xml:space="preserve">NO </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Who are the primary regulatory bodies?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State legislatures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State legislatures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State legislatures</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Community Interest Companies Regulator</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Is it a for-profit entity?</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Can it take on debt and equity investment?</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Can it own shares in another company?</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c>
          <w:tcPr>
            <w:tcW w:w="937" w:type="pct"/>
            <w:tcBorders>
              <w:top w:val="nil"/>
              <w:left w:val="nil"/>
              <w:bottom w:val="single" w:sz="4" w:space="0" w:color="auto"/>
              <w:right w:val="single" w:sz="4" w:space="0" w:color="auto"/>
            </w:tcBorders>
            <w:shd w:val="clear" w:color="auto" w:fill="auto"/>
            <w:noWrap/>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YES</w:t>
            </w:r>
          </w:p>
        </w:tc>
      </w:tr>
      <w:tr w:rsidR="00EE212C" w:rsidRPr="004A762E" w:rsidTr="00EE212C">
        <w:trPr>
          <w:trHeight w:val="570"/>
        </w:trPr>
        <w:tc>
          <w:tcPr>
            <w:tcW w:w="1252" w:type="pct"/>
            <w:tcBorders>
              <w:top w:val="nil"/>
              <w:left w:val="single" w:sz="4" w:space="0" w:color="auto"/>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b/>
                <w:bCs/>
                <w:i/>
                <w:iCs/>
                <w:color w:val="000000"/>
                <w:lang w:eastAsia="en-AU"/>
              </w:rPr>
            </w:pPr>
            <w:r w:rsidRPr="004A762E">
              <w:rPr>
                <w:rFonts w:ascii="Arial" w:eastAsia="Times New Roman" w:hAnsi="Arial" w:cs="Arial"/>
                <w:b/>
                <w:bCs/>
                <w:i/>
                <w:iCs/>
                <w:color w:val="000000"/>
                <w:lang w:eastAsia="en-AU"/>
              </w:rPr>
              <w:t>What kinds of charitable tax concessions can it obtain?</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NONE</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NONE</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NONE</w:t>
            </w:r>
          </w:p>
        </w:tc>
        <w:tc>
          <w:tcPr>
            <w:tcW w:w="937" w:type="pct"/>
            <w:tcBorders>
              <w:top w:val="nil"/>
              <w:left w:val="nil"/>
              <w:bottom w:val="single" w:sz="4" w:space="0" w:color="auto"/>
              <w:right w:val="single" w:sz="4" w:space="0" w:color="auto"/>
            </w:tcBorders>
            <w:shd w:val="clear" w:color="auto" w:fill="auto"/>
            <w:vAlign w:val="center"/>
            <w:hideMark/>
          </w:tcPr>
          <w:p w:rsidR="00EE212C" w:rsidRPr="004A762E" w:rsidRDefault="00EE212C" w:rsidP="00D01D1D">
            <w:pPr>
              <w:spacing w:after="0"/>
              <w:jc w:val="center"/>
              <w:rPr>
                <w:rFonts w:ascii="Arial" w:eastAsia="Times New Roman" w:hAnsi="Arial" w:cs="Arial"/>
                <w:color w:val="000000"/>
                <w:lang w:eastAsia="en-AU"/>
              </w:rPr>
            </w:pPr>
            <w:r w:rsidRPr="004A762E">
              <w:rPr>
                <w:rFonts w:ascii="Arial" w:eastAsia="Times New Roman" w:hAnsi="Arial" w:cs="Arial"/>
                <w:color w:val="000000"/>
                <w:lang w:eastAsia="en-AU"/>
              </w:rPr>
              <w:t>NONE</w:t>
            </w:r>
          </w:p>
        </w:tc>
      </w:tr>
    </w:tbl>
    <w:p w:rsidR="0021174B" w:rsidRDefault="0021174B" w:rsidP="00D01D1D">
      <w:pPr>
        <w:shd w:val="clear" w:color="auto" w:fill="FFFFFF"/>
        <w:spacing w:after="0"/>
        <w:rPr>
          <w:rFonts w:ascii="Arial" w:eastAsia="Times New Roman" w:hAnsi="Arial" w:cs="Arial"/>
          <w:color w:val="222222"/>
          <w:lang w:eastAsia="en-AU"/>
        </w:rPr>
      </w:pPr>
    </w:p>
    <w:p w:rsidR="0021174B" w:rsidRPr="0021174B" w:rsidRDefault="0021174B" w:rsidP="00D01D1D">
      <w:pPr>
        <w:shd w:val="clear" w:color="auto" w:fill="FFFFFF"/>
        <w:spacing w:after="0"/>
        <w:rPr>
          <w:rFonts w:ascii="Arial" w:eastAsia="Times New Roman" w:hAnsi="Arial" w:cs="Arial"/>
          <w:b/>
          <w:i/>
          <w:color w:val="222222"/>
          <w:lang w:eastAsia="en-AU"/>
        </w:rPr>
      </w:pPr>
      <w:r w:rsidRPr="0021174B">
        <w:rPr>
          <w:rFonts w:ascii="Arial" w:eastAsia="Times New Roman" w:hAnsi="Arial" w:cs="Arial"/>
          <w:b/>
          <w:i/>
          <w:color w:val="222222"/>
          <w:lang w:eastAsia="en-AU"/>
        </w:rPr>
        <w:t>References for the above table:</w:t>
      </w:r>
    </w:p>
    <w:p w:rsidR="00545399" w:rsidRPr="004A762E" w:rsidRDefault="004B305D" w:rsidP="00D01D1D">
      <w:pPr>
        <w:shd w:val="clear" w:color="auto" w:fill="FFFFFF"/>
        <w:spacing w:after="0"/>
        <w:rPr>
          <w:rFonts w:ascii="Arial" w:eastAsia="Times New Roman" w:hAnsi="Arial" w:cs="Arial"/>
          <w:color w:val="222222"/>
          <w:lang w:eastAsia="en-AU"/>
        </w:rPr>
      </w:pPr>
      <w:hyperlink r:id="rId16" w:history="1">
        <w:r w:rsidR="0021174B" w:rsidRPr="00017C49">
          <w:rPr>
            <w:rStyle w:val="Hyperlink"/>
            <w:rFonts w:ascii="Arial" w:eastAsia="Times New Roman" w:hAnsi="Arial" w:cs="Arial"/>
            <w:lang w:eastAsia="en-AU"/>
          </w:rPr>
          <w:t>http://benefitcorp.net/sites/default/files/Benefit%20Corporations%20Chart.pdf</w:t>
        </w:r>
      </w:hyperlink>
      <w:r w:rsidR="0021174B">
        <w:rPr>
          <w:rFonts w:ascii="Arial" w:eastAsia="Times New Roman" w:hAnsi="Arial" w:cs="Arial"/>
          <w:color w:val="222222"/>
          <w:lang w:eastAsia="en-AU"/>
        </w:rPr>
        <w:t xml:space="preserve">; </w:t>
      </w:r>
      <w:hyperlink r:id="rId17" w:history="1">
        <w:r w:rsidR="0021174B" w:rsidRPr="00017C49">
          <w:rPr>
            <w:rStyle w:val="Hyperlink"/>
            <w:rFonts w:ascii="Arial" w:eastAsia="Times New Roman" w:hAnsi="Arial" w:cs="Arial"/>
            <w:lang w:eastAsia="en-AU"/>
          </w:rPr>
          <w:t>http://www.intersectorl3c.com/blog/104163/8364/</w:t>
        </w:r>
      </w:hyperlink>
      <w:r w:rsidR="0021174B">
        <w:rPr>
          <w:rFonts w:ascii="Arial" w:eastAsia="Times New Roman" w:hAnsi="Arial" w:cs="Arial"/>
          <w:color w:val="222222"/>
          <w:lang w:eastAsia="en-AU"/>
        </w:rPr>
        <w:t xml:space="preserve">; </w:t>
      </w:r>
      <w:hyperlink r:id="rId18" w:history="1">
        <w:r w:rsidR="0021174B" w:rsidRPr="00017C49">
          <w:rPr>
            <w:rStyle w:val="Hyperlink"/>
            <w:rFonts w:ascii="Arial" w:eastAsia="Times New Roman" w:hAnsi="Arial" w:cs="Arial"/>
            <w:lang w:eastAsia="en-AU"/>
          </w:rPr>
          <w:t>http://www.marcjlane.com/clientuploads/Articles/Marc-Lane-basic_l3c_primer.pdf</w:t>
        </w:r>
      </w:hyperlink>
      <w:r w:rsidR="0021174B">
        <w:rPr>
          <w:rFonts w:ascii="Arial" w:eastAsia="Times New Roman" w:hAnsi="Arial" w:cs="Arial"/>
          <w:color w:val="222222"/>
          <w:lang w:eastAsia="en-AU"/>
        </w:rPr>
        <w:t xml:space="preserve">; </w:t>
      </w:r>
      <w:hyperlink r:id="rId19" w:history="1">
        <w:r w:rsidR="0021174B" w:rsidRPr="00017C49">
          <w:rPr>
            <w:rStyle w:val="Hyperlink"/>
            <w:rFonts w:ascii="Arial" w:eastAsia="Times New Roman" w:hAnsi="Arial" w:cs="Arial"/>
            <w:lang w:eastAsia="en-AU"/>
          </w:rPr>
          <w:t>https://www.quora.com/What-are-the-reporting-standards-for-bcorps-versus-L3cs</w:t>
        </w:r>
      </w:hyperlink>
      <w:r w:rsidR="0021174B">
        <w:rPr>
          <w:rFonts w:ascii="Arial" w:eastAsia="Times New Roman" w:hAnsi="Arial" w:cs="Arial"/>
          <w:color w:val="222222"/>
          <w:lang w:eastAsia="en-AU"/>
        </w:rPr>
        <w:t xml:space="preserve">; </w:t>
      </w:r>
      <w:hyperlink r:id="rId20" w:history="1">
        <w:r w:rsidR="0021174B" w:rsidRPr="00017C49">
          <w:rPr>
            <w:rStyle w:val="Hyperlink"/>
            <w:rFonts w:ascii="Arial" w:eastAsia="Times New Roman" w:hAnsi="Arial" w:cs="Arial"/>
            <w:lang w:eastAsia="en-AU"/>
          </w:rPr>
          <w:t>https://ssir.org/articles/entry/benefit_corporation_and_l3c_adoption_a_survey</w:t>
        </w:r>
      </w:hyperlink>
      <w:r w:rsidR="0021174B">
        <w:rPr>
          <w:rFonts w:ascii="Arial" w:eastAsia="Times New Roman" w:hAnsi="Arial" w:cs="Arial"/>
          <w:color w:val="222222"/>
          <w:lang w:eastAsia="en-AU"/>
        </w:rPr>
        <w:t xml:space="preserve">; </w:t>
      </w:r>
      <w:hyperlink r:id="rId21" w:history="1">
        <w:r w:rsidR="0021174B" w:rsidRPr="00017C49">
          <w:rPr>
            <w:rStyle w:val="Hyperlink"/>
            <w:rFonts w:ascii="Arial" w:eastAsia="Times New Roman" w:hAnsi="Arial" w:cs="Arial"/>
            <w:lang w:eastAsia="en-AU"/>
          </w:rPr>
          <w:t>http://www.fin.gov.bc.ca/prs/ccc/</w:t>
        </w:r>
      </w:hyperlink>
      <w:r w:rsidR="0021174B">
        <w:rPr>
          <w:rFonts w:ascii="Arial" w:eastAsia="Times New Roman" w:hAnsi="Arial" w:cs="Arial"/>
          <w:color w:val="222222"/>
          <w:lang w:eastAsia="en-AU"/>
        </w:rPr>
        <w:t xml:space="preserve">; </w:t>
      </w:r>
      <w:hyperlink r:id="rId22" w:history="1">
        <w:r w:rsidR="0021174B" w:rsidRPr="00017C49">
          <w:rPr>
            <w:rStyle w:val="Hyperlink"/>
            <w:rFonts w:ascii="Arial" w:eastAsia="Times New Roman" w:hAnsi="Arial" w:cs="Arial"/>
            <w:lang w:eastAsia="en-AU"/>
          </w:rPr>
          <w:t>http://www.fin.gov.bc.ca/prs/ccc/caq.htm</w:t>
        </w:r>
      </w:hyperlink>
      <w:r w:rsidR="0021174B">
        <w:rPr>
          <w:rFonts w:ascii="Arial" w:eastAsia="Times New Roman" w:hAnsi="Arial" w:cs="Arial"/>
          <w:color w:val="222222"/>
          <w:lang w:eastAsia="en-AU"/>
        </w:rPr>
        <w:t xml:space="preserve">; </w:t>
      </w:r>
      <w:hyperlink r:id="rId23" w:history="1">
        <w:r w:rsidR="0021174B" w:rsidRPr="00017C49">
          <w:rPr>
            <w:rStyle w:val="Hyperlink"/>
            <w:rFonts w:ascii="Arial" w:eastAsia="Times New Roman" w:hAnsi="Arial" w:cs="Arial"/>
            <w:lang w:eastAsia="en-AU"/>
          </w:rPr>
          <w:t>http://www.bcregistryservices.gov.bc.ca/local/bcreg/documents/forms/form1c.pdf</w:t>
        </w:r>
      </w:hyperlink>
      <w:r w:rsidR="0021174B">
        <w:rPr>
          <w:rFonts w:ascii="Arial" w:eastAsia="Times New Roman" w:hAnsi="Arial" w:cs="Arial"/>
          <w:color w:val="222222"/>
          <w:lang w:eastAsia="en-AU"/>
        </w:rPr>
        <w:t xml:space="preserve">; </w:t>
      </w:r>
      <w:hyperlink r:id="rId24" w:history="1">
        <w:r w:rsidR="0021174B" w:rsidRPr="00017C49">
          <w:rPr>
            <w:rStyle w:val="Hyperlink"/>
            <w:rFonts w:ascii="Arial" w:eastAsia="Times New Roman" w:hAnsi="Arial" w:cs="Arial"/>
            <w:lang w:eastAsia="en-AU"/>
          </w:rPr>
          <w:t>http://b-lab.force.com/bcorp/PrintImpactAssessment?id=a03C000000OCns9IAD</w:t>
        </w:r>
      </w:hyperlink>
      <w:r w:rsidR="0021174B">
        <w:rPr>
          <w:rFonts w:ascii="Arial" w:eastAsia="Times New Roman" w:hAnsi="Arial" w:cs="Arial"/>
          <w:color w:val="222222"/>
          <w:lang w:eastAsia="en-AU"/>
        </w:rPr>
        <w:t xml:space="preserve">; </w:t>
      </w:r>
      <w:hyperlink r:id="rId25" w:history="1">
        <w:r w:rsidR="0021174B" w:rsidRPr="00017C49">
          <w:rPr>
            <w:rStyle w:val="Hyperlink"/>
            <w:rFonts w:ascii="Arial" w:eastAsia="Times New Roman" w:hAnsi="Arial" w:cs="Arial"/>
            <w:lang w:eastAsia="en-AU"/>
          </w:rPr>
          <w:t>https://www.gov.uk/government/organisations/office-of-the-regulator-of-community-interest-companies</w:t>
        </w:r>
      </w:hyperlink>
      <w:r w:rsidR="0021174B">
        <w:rPr>
          <w:rFonts w:ascii="Arial" w:eastAsia="Times New Roman" w:hAnsi="Arial" w:cs="Arial"/>
          <w:color w:val="222222"/>
          <w:lang w:eastAsia="en-AU"/>
        </w:rPr>
        <w:t xml:space="preserve">; </w:t>
      </w:r>
      <w:hyperlink r:id="rId26" w:history="1">
        <w:r w:rsidR="0021174B" w:rsidRPr="00017C49">
          <w:rPr>
            <w:rStyle w:val="Hyperlink"/>
            <w:rFonts w:ascii="Arial" w:eastAsia="Times New Roman" w:hAnsi="Arial" w:cs="Arial"/>
            <w:lang w:eastAsia="en-AU"/>
          </w:rPr>
          <w:t>http://www.thirdsector.co.uk/analysis-rise-rise-community-interest-companies/governance/article/1348096</w:t>
        </w:r>
      </w:hyperlink>
      <w:r w:rsidR="0021174B">
        <w:rPr>
          <w:rFonts w:ascii="Arial" w:eastAsia="Times New Roman" w:hAnsi="Arial" w:cs="Arial"/>
          <w:color w:val="222222"/>
          <w:lang w:eastAsia="en-AU"/>
        </w:rPr>
        <w:t xml:space="preserve">; </w:t>
      </w:r>
    </w:p>
    <w:p w:rsidR="00545399" w:rsidRDefault="004B305D" w:rsidP="00D01D1D">
      <w:pPr>
        <w:shd w:val="clear" w:color="auto" w:fill="FFFFFF"/>
        <w:spacing w:after="0"/>
        <w:rPr>
          <w:rFonts w:ascii="Arial" w:eastAsia="Times New Roman" w:hAnsi="Arial" w:cs="Arial"/>
          <w:color w:val="222222"/>
          <w:lang w:eastAsia="en-AU"/>
        </w:rPr>
      </w:pPr>
      <w:hyperlink r:id="rId27" w:history="1">
        <w:r w:rsidR="0021174B" w:rsidRPr="00017C49">
          <w:rPr>
            <w:rStyle w:val="Hyperlink"/>
            <w:rFonts w:ascii="Arial" w:eastAsia="Times New Roman" w:hAnsi="Arial" w:cs="Arial"/>
            <w:lang w:eastAsia="en-AU"/>
          </w:rPr>
          <w:t>https://www.gov.uk/government/uploads/system/uploads/attachment_data/file/524218/13-786-community-interest-companies-frequently-asked-questions.pdf</w:t>
        </w:r>
      </w:hyperlink>
      <w:r w:rsidR="0021174B">
        <w:rPr>
          <w:rFonts w:ascii="Arial" w:eastAsia="Times New Roman" w:hAnsi="Arial" w:cs="Arial"/>
          <w:color w:val="222222"/>
          <w:lang w:eastAsia="en-AU"/>
        </w:rPr>
        <w:t xml:space="preserve">; </w:t>
      </w:r>
      <w:hyperlink r:id="rId28" w:history="1">
        <w:r w:rsidR="0021174B" w:rsidRPr="00017C49">
          <w:rPr>
            <w:rStyle w:val="Hyperlink"/>
            <w:rFonts w:ascii="Arial" w:eastAsia="Times New Roman" w:hAnsi="Arial" w:cs="Arial"/>
            <w:lang w:eastAsia="en-AU"/>
          </w:rPr>
          <w:t>https://www.gov.uk/government/uploads/system/uploads/attachment_data/file/211749/13-712-community-interest-companies-guidance-chapter-9-corporate-governance.pdf</w:t>
        </w:r>
      </w:hyperlink>
      <w:r w:rsidR="0021174B">
        <w:rPr>
          <w:rFonts w:ascii="Arial" w:eastAsia="Times New Roman" w:hAnsi="Arial" w:cs="Arial"/>
          <w:color w:val="222222"/>
          <w:lang w:eastAsia="en-AU"/>
        </w:rPr>
        <w:t xml:space="preserve">; </w:t>
      </w:r>
      <w:hyperlink r:id="rId29" w:history="1">
        <w:r w:rsidR="0021174B" w:rsidRPr="00017C49">
          <w:rPr>
            <w:rStyle w:val="Hyperlink"/>
            <w:rFonts w:ascii="Arial" w:eastAsia="Times New Roman" w:hAnsi="Arial" w:cs="Arial"/>
            <w:lang w:eastAsia="en-AU"/>
          </w:rPr>
          <w:t>https://www.gov.uk/government/publications/form-cic36-application-to-form-a-community-interest-company</w:t>
        </w:r>
      </w:hyperlink>
    </w:p>
    <w:p w:rsidR="0021174B" w:rsidRPr="004A762E" w:rsidRDefault="0021174B" w:rsidP="00D01D1D">
      <w:pPr>
        <w:shd w:val="clear" w:color="auto" w:fill="FFFFFF"/>
        <w:spacing w:after="0"/>
        <w:rPr>
          <w:rFonts w:ascii="Arial" w:eastAsia="Times New Roman" w:hAnsi="Arial" w:cs="Arial"/>
          <w:color w:val="222222"/>
          <w:lang w:eastAsia="en-AU"/>
        </w:rPr>
      </w:pPr>
    </w:p>
    <w:p w:rsidR="00EE212C" w:rsidRPr="004A762E" w:rsidRDefault="00EE212C" w:rsidP="00D01D1D">
      <w:pPr>
        <w:rPr>
          <w:rFonts w:ascii="Arial" w:hAnsi="Arial" w:cs="Arial"/>
        </w:rPr>
      </w:pPr>
    </w:p>
    <w:p w:rsidR="00EE212C" w:rsidRPr="004A762E" w:rsidRDefault="00EE212C" w:rsidP="00D01D1D">
      <w:pPr>
        <w:rPr>
          <w:rFonts w:ascii="Arial" w:hAnsi="Arial" w:cs="Arial"/>
          <w:b/>
        </w:rPr>
      </w:pPr>
      <w:r w:rsidRPr="004A762E">
        <w:rPr>
          <w:rFonts w:ascii="Arial" w:hAnsi="Arial" w:cs="Arial"/>
          <w:b/>
        </w:rPr>
        <w:br w:type="page"/>
      </w:r>
    </w:p>
    <w:p w:rsidR="00EE212C" w:rsidRPr="004A762E" w:rsidRDefault="00EE212C" w:rsidP="00D01D1D">
      <w:pPr>
        <w:shd w:val="clear" w:color="auto" w:fill="B2A1C7" w:themeFill="accent4" w:themeFillTint="99"/>
        <w:rPr>
          <w:rFonts w:ascii="Arial" w:hAnsi="Arial" w:cs="Arial"/>
          <w:b/>
        </w:rPr>
        <w:sectPr w:rsidR="00EE212C" w:rsidRPr="004A762E" w:rsidSect="00EE212C">
          <w:pgSz w:w="16838" w:h="11906" w:orient="landscape"/>
          <w:pgMar w:top="1440" w:right="1440" w:bottom="1440" w:left="1440" w:header="706" w:footer="706" w:gutter="0"/>
          <w:cols w:space="708"/>
          <w:docGrid w:linePitch="360"/>
        </w:sectPr>
      </w:pPr>
    </w:p>
    <w:p w:rsidR="007F507E" w:rsidRPr="0021174B" w:rsidRDefault="00B930A7" w:rsidP="00D01D1D">
      <w:pPr>
        <w:rPr>
          <w:rFonts w:ascii="Arial" w:hAnsi="Arial" w:cs="Arial"/>
          <w:b/>
        </w:rPr>
      </w:pPr>
      <w:r w:rsidRPr="0021174B">
        <w:rPr>
          <w:rFonts w:ascii="Arial" w:hAnsi="Arial" w:cs="Arial"/>
          <w:b/>
        </w:rPr>
        <w:t xml:space="preserve">Conclusion and </w:t>
      </w:r>
      <w:r w:rsidR="00CA31B3" w:rsidRPr="0021174B">
        <w:rPr>
          <w:rFonts w:ascii="Arial" w:hAnsi="Arial" w:cs="Arial"/>
          <w:b/>
        </w:rPr>
        <w:t>a</w:t>
      </w:r>
      <w:r w:rsidR="007F507E" w:rsidRPr="0021174B">
        <w:rPr>
          <w:rFonts w:ascii="Arial" w:hAnsi="Arial" w:cs="Arial"/>
          <w:b/>
        </w:rPr>
        <w:t xml:space="preserve"> proposal for the Australian system</w:t>
      </w:r>
    </w:p>
    <w:p w:rsidR="00D044CF" w:rsidRPr="004A762E" w:rsidRDefault="005E2CD0" w:rsidP="00D01D1D">
      <w:pPr>
        <w:rPr>
          <w:rFonts w:ascii="Arial" w:hAnsi="Arial" w:cs="Arial"/>
        </w:rPr>
      </w:pPr>
      <w:r w:rsidRPr="004A762E">
        <w:rPr>
          <w:rFonts w:ascii="Arial" w:hAnsi="Arial" w:cs="Arial"/>
        </w:rPr>
        <w:t xml:space="preserve">Whilst the traditional dichotomy between for-profit and not-for-profit (NFP) has been blurred over time, the NFP condition is, and can continue to remain, relevant to the definition of charity and to charity registration with the </w:t>
      </w:r>
      <w:r w:rsidR="00B140C4" w:rsidRPr="004A762E">
        <w:rPr>
          <w:rFonts w:ascii="Arial" w:hAnsi="Arial" w:cs="Arial"/>
        </w:rPr>
        <w:t>ACNC</w:t>
      </w:r>
      <w:r w:rsidRPr="004A762E">
        <w:rPr>
          <w:rFonts w:ascii="Arial" w:hAnsi="Arial" w:cs="Arial"/>
        </w:rPr>
        <w:t xml:space="preserve">. </w:t>
      </w:r>
      <w:r w:rsidR="00D044CF" w:rsidRPr="004A762E">
        <w:rPr>
          <w:rFonts w:ascii="Arial" w:hAnsi="Arial" w:cs="Arial"/>
        </w:rPr>
        <w:t>It is important for public trust and confidence, and if the only change made to the system was removing it, it would not make a substantial difference. Because the NFP condition is important, there should be a nexus between purposes and activities. This protects the concepts of NFP and charity and ensures that they do not lose all meaning.</w:t>
      </w:r>
    </w:p>
    <w:p w:rsidR="004754FB" w:rsidRPr="004A762E" w:rsidRDefault="00D044CF" w:rsidP="00D01D1D">
      <w:pPr>
        <w:rPr>
          <w:rFonts w:ascii="Arial" w:hAnsi="Arial" w:cs="Arial"/>
        </w:rPr>
      </w:pPr>
      <w:r w:rsidRPr="004A762E">
        <w:rPr>
          <w:rFonts w:ascii="Arial" w:hAnsi="Arial" w:cs="Arial"/>
        </w:rPr>
        <w:t xml:space="preserve">However, action must be taken to create a better system to ensure these terms remain relevant and useful. </w:t>
      </w:r>
    </w:p>
    <w:p w:rsidR="00D044CF" w:rsidRPr="004A762E" w:rsidRDefault="002E3959" w:rsidP="00D01D1D">
      <w:pPr>
        <w:rPr>
          <w:rFonts w:ascii="Arial" w:hAnsi="Arial" w:cs="Arial"/>
        </w:rPr>
      </w:pPr>
      <w:r w:rsidRPr="004A762E">
        <w:rPr>
          <w:rFonts w:ascii="Arial" w:hAnsi="Arial" w:cs="Arial"/>
          <w:lang w:val="en-US"/>
        </w:rPr>
        <w:t xml:space="preserve">Innovation to better meet community need has led to </w:t>
      </w:r>
      <w:r w:rsidR="004754FB" w:rsidRPr="004A762E">
        <w:rPr>
          <w:rFonts w:ascii="Arial" w:hAnsi="Arial" w:cs="Arial"/>
          <w:lang w:val="en-US"/>
        </w:rPr>
        <w:t xml:space="preserve">social enterprise, impact investment, shared value, </w:t>
      </w:r>
      <w:r w:rsidR="00280D95" w:rsidRPr="004A762E">
        <w:rPr>
          <w:rFonts w:ascii="Arial" w:hAnsi="Arial" w:cs="Arial"/>
          <w:lang w:val="en-US"/>
        </w:rPr>
        <w:t xml:space="preserve">and </w:t>
      </w:r>
      <w:r w:rsidRPr="004A762E">
        <w:rPr>
          <w:rFonts w:ascii="Arial" w:hAnsi="Arial" w:cs="Arial"/>
          <w:lang w:val="en-US"/>
        </w:rPr>
        <w:t>many other trends</w:t>
      </w:r>
      <w:r w:rsidR="004754FB" w:rsidRPr="004A762E">
        <w:rPr>
          <w:rFonts w:ascii="Arial" w:hAnsi="Arial" w:cs="Arial"/>
          <w:lang w:val="en-US"/>
        </w:rPr>
        <w:t xml:space="preserve">. </w:t>
      </w:r>
      <w:r w:rsidR="00280D95" w:rsidRPr="004A762E">
        <w:rPr>
          <w:rFonts w:ascii="Arial" w:hAnsi="Arial" w:cs="Arial"/>
        </w:rPr>
        <w:t xml:space="preserve">These are important for creating societal change. But </w:t>
      </w:r>
      <w:r w:rsidRPr="004A762E">
        <w:rPr>
          <w:rFonts w:ascii="Arial" w:hAnsi="Arial" w:cs="Arial"/>
          <w:lang w:val="en-US"/>
        </w:rPr>
        <w:t>currently</w:t>
      </w:r>
      <w:r w:rsidR="004754FB" w:rsidRPr="004A762E">
        <w:rPr>
          <w:rFonts w:ascii="Arial" w:hAnsi="Arial" w:cs="Arial"/>
          <w:lang w:val="en-US"/>
        </w:rPr>
        <w:t xml:space="preserve">, these elements are uncomfortably forcing their way into a system that </w:t>
      </w:r>
      <w:r w:rsidR="00280D95" w:rsidRPr="004A762E">
        <w:rPr>
          <w:rFonts w:ascii="Arial" w:hAnsi="Arial" w:cs="Arial"/>
          <w:lang w:val="en-US"/>
        </w:rPr>
        <w:t>does not</w:t>
      </w:r>
      <w:r w:rsidR="004754FB" w:rsidRPr="004A762E">
        <w:rPr>
          <w:rFonts w:ascii="Arial" w:hAnsi="Arial" w:cs="Arial"/>
          <w:lang w:val="en-US"/>
        </w:rPr>
        <w:t xml:space="preserve"> accommodate them, and are </w:t>
      </w:r>
      <w:r w:rsidR="00280D95" w:rsidRPr="004A762E">
        <w:rPr>
          <w:rFonts w:ascii="Arial" w:hAnsi="Arial" w:cs="Arial"/>
          <w:lang w:val="en-US"/>
        </w:rPr>
        <w:t>diluting</w:t>
      </w:r>
      <w:r w:rsidR="004754FB" w:rsidRPr="004A762E">
        <w:rPr>
          <w:rFonts w:ascii="Arial" w:hAnsi="Arial" w:cs="Arial"/>
          <w:lang w:val="en-US"/>
        </w:rPr>
        <w:t xml:space="preserve"> the </w:t>
      </w:r>
      <w:r w:rsidR="00280D95" w:rsidRPr="004A762E">
        <w:rPr>
          <w:rFonts w:ascii="Arial" w:hAnsi="Arial" w:cs="Arial"/>
          <w:lang w:val="en-US"/>
        </w:rPr>
        <w:t>terms</w:t>
      </w:r>
      <w:r w:rsidR="004754FB" w:rsidRPr="004A762E">
        <w:rPr>
          <w:rFonts w:ascii="Arial" w:hAnsi="Arial" w:cs="Arial"/>
          <w:lang w:val="en-US"/>
        </w:rPr>
        <w:t xml:space="preserve"> that we have (including the importance of the NFP </w:t>
      </w:r>
      <w:r w:rsidR="00280D95" w:rsidRPr="004A762E">
        <w:rPr>
          <w:rFonts w:ascii="Arial" w:hAnsi="Arial" w:cs="Arial"/>
          <w:lang w:val="en-US"/>
        </w:rPr>
        <w:t>condition</w:t>
      </w:r>
      <w:r w:rsidR="004754FB" w:rsidRPr="004A762E">
        <w:rPr>
          <w:rFonts w:ascii="Arial" w:hAnsi="Arial" w:cs="Arial"/>
          <w:lang w:val="en-US"/>
        </w:rPr>
        <w:t xml:space="preserve"> of charity).</w:t>
      </w:r>
      <w:r w:rsidR="00280D95" w:rsidRPr="004A762E">
        <w:rPr>
          <w:rFonts w:ascii="Arial" w:hAnsi="Arial" w:cs="Arial"/>
          <w:lang w:val="en-US"/>
        </w:rPr>
        <w:t xml:space="preserve"> </w:t>
      </w:r>
      <w:r w:rsidR="00D044CF" w:rsidRPr="004A762E">
        <w:rPr>
          <w:rFonts w:ascii="Arial" w:hAnsi="Arial" w:cs="Arial"/>
        </w:rPr>
        <w:t>The system must have infrastructure that accommodates, fosters and supports these tr</w:t>
      </w:r>
      <w:r w:rsidR="00280D95" w:rsidRPr="004A762E">
        <w:rPr>
          <w:rFonts w:ascii="Arial" w:hAnsi="Arial" w:cs="Arial"/>
        </w:rPr>
        <w:t>ends</w:t>
      </w:r>
      <w:r w:rsidR="00D044CF" w:rsidRPr="004A762E">
        <w:rPr>
          <w:rFonts w:ascii="Arial" w:hAnsi="Arial" w:cs="Arial"/>
        </w:rPr>
        <w:t xml:space="preserve">. For example, CCIWA does make a valuable contribution to society. </w:t>
      </w:r>
      <w:r w:rsidR="00D044CF" w:rsidRPr="0021174B">
        <w:rPr>
          <w:rFonts w:ascii="Arial" w:hAnsi="Arial" w:cs="Arial"/>
          <w:b/>
          <w:i/>
        </w:rPr>
        <w:t>But their description as a charity undermines public trust and confidence</w:t>
      </w:r>
      <w:r w:rsidR="00D044CF" w:rsidRPr="004A762E">
        <w:rPr>
          <w:rFonts w:ascii="Arial" w:hAnsi="Arial" w:cs="Arial"/>
        </w:rPr>
        <w:t>.</w:t>
      </w:r>
    </w:p>
    <w:p w:rsidR="00743AE1" w:rsidRPr="004A762E" w:rsidRDefault="005E2CD0" w:rsidP="00D01D1D">
      <w:pPr>
        <w:rPr>
          <w:rFonts w:ascii="Arial" w:hAnsi="Arial" w:cs="Arial"/>
          <w:lang w:val="en-US"/>
        </w:rPr>
      </w:pPr>
      <w:r w:rsidRPr="004A762E">
        <w:rPr>
          <w:rFonts w:ascii="Arial" w:hAnsi="Arial" w:cs="Arial"/>
          <w:lang w:val="en-US"/>
        </w:rPr>
        <w:t>Overall, the evidence suggests that most NFP business income is generated by 'related' businesses. The Australian Council of Social Service (ACOSS) suggests that 87 per cent of businesses run by NFPs are an extension of services provided as part of their core mission.</w:t>
      </w:r>
      <w:r w:rsidRPr="004A762E">
        <w:rPr>
          <w:rStyle w:val="FootnoteReference"/>
          <w:rFonts w:ascii="Arial" w:hAnsi="Arial" w:cs="Arial"/>
          <w:lang w:val="en-US"/>
        </w:rPr>
        <w:footnoteReference w:id="27"/>
      </w:r>
      <w:r w:rsidRPr="004A762E">
        <w:rPr>
          <w:rFonts w:ascii="Arial" w:hAnsi="Arial" w:cs="Arial"/>
          <w:lang w:val="en-US"/>
        </w:rPr>
        <w:t xml:space="preserve"> This means legislating to ensure that we have more of Kirby’s view in </w:t>
      </w:r>
      <w:r w:rsidRPr="004A762E">
        <w:rPr>
          <w:rFonts w:ascii="Arial" w:hAnsi="Arial" w:cs="Arial"/>
          <w:i/>
          <w:lang w:val="en-US"/>
        </w:rPr>
        <w:t xml:space="preserve">Word Investments </w:t>
      </w:r>
      <w:r w:rsidRPr="004A762E">
        <w:rPr>
          <w:rFonts w:ascii="Arial" w:hAnsi="Arial" w:cs="Arial"/>
          <w:lang w:val="en-US"/>
        </w:rPr>
        <w:t>in the law</w:t>
      </w:r>
      <w:r w:rsidRPr="004A762E">
        <w:rPr>
          <w:rFonts w:ascii="Arial" w:hAnsi="Arial" w:cs="Arial"/>
          <w:i/>
          <w:lang w:val="en-US"/>
        </w:rPr>
        <w:t xml:space="preserve"> </w:t>
      </w:r>
      <w:r w:rsidRPr="004A762E">
        <w:rPr>
          <w:rFonts w:ascii="Arial" w:hAnsi="Arial" w:cs="Arial"/>
          <w:lang w:val="en-US"/>
        </w:rPr>
        <w:t xml:space="preserve">than the majority view, in practice, is not going to affect the vast majority of the sector. </w:t>
      </w:r>
    </w:p>
    <w:p w:rsidR="00682FB9" w:rsidRPr="004A762E" w:rsidRDefault="00743AE1" w:rsidP="00D01D1D">
      <w:pPr>
        <w:rPr>
          <w:rFonts w:ascii="Arial" w:hAnsi="Arial" w:cs="Arial"/>
          <w:lang w:val="en-US"/>
        </w:rPr>
        <w:sectPr w:rsidR="00682FB9" w:rsidRPr="004A762E">
          <w:pgSz w:w="11906" w:h="16838"/>
          <w:pgMar w:top="1440" w:right="1440" w:bottom="1440" w:left="1440" w:header="708" w:footer="708" w:gutter="0"/>
          <w:cols w:space="708"/>
          <w:docGrid w:linePitch="360"/>
        </w:sectPr>
      </w:pPr>
      <w:r w:rsidRPr="004A762E">
        <w:rPr>
          <w:rFonts w:ascii="Arial" w:hAnsi="Arial" w:cs="Arial"/>
          <w:lang w:val="en-US"/>
        </w:rPr>
        <w:t>The following page contains a diagram for a proposed spectrum of legal structures for ‘social good’</w:t>
      </w:r>
      <w:r w:rsidR="00C34A58" w:rsidRPr="004A762E">
        <w:rPr>
          <w:rFonts w:ascii="Arial" w:hAnsi="Arial" w:cs="Arial"/>
          <w:lang w:val="en-US"/>
        </w:rPr>
        <w:t xml:space="preserve"> that </w:t>
      </w:r>
      <w:r w:rsidRPr="004A762E">
        <w:rPr>
          <w:rFonts w:ascii="Arial" w:hAnsi="Arial" w:cs="Arial"/>
          <w:lang w:val="en-US"/>
        </w:rPr>
        <w:t>would provide some of the accommodation necessary to protect the relevance and utility</w:t>
      </w:r>
      <w:r w:rsidR="00C34A58" w:rsidRPr="004A762E">
        <w:rPr>
          <w:rFonts w:ascii="Arial" w:hAnsi="Arial" w:cs="Arial"/>
          <w:lang w:val="en-US"/>
        </w:rPr>
        <w:t xml:space="preserve"> of concepts of NFP and charity</w:t>
      </w:r>
      <w:r w:rsidR="00C34A58" w:rsidRPr="004A762E">
        <w:rPr>
          <w:rStyle w:val="FootnoteReference"/>
          <w:rFonts w:ascii="Arial" w:hAnsi="Arial" w:cs="Arial"/>
          <w:lang w:val="en-US"/>
        </w:rPr>
        <w:footnoteReference w:id="28"/>
      </w:r>
      <w:r w:rsidR="00C34A58" w:rsidRPr="004A762E">
        <w:rPr>
          <w:rFonts w:ascii="Arial" w:hAnsi="Arial" w:cs="Arial"/>
          <w:lang w:val="en-US"/>
        </w:rPr>
        <w:t>, yet also encourage and support quality social impact for our communities, which is arguably the most i</w:t>
      </w:r>
      <w:r w:rsidR="00AF64D2">
        <w:rPr>
          <w:rFonts w:ascii="Arial" w:hAnsi="Arial" w:cs="Arial"/>
          <w:lang w:val="en-US"/>
        </w:rPr>
        <w:t>mportant purpose of charity</w:t>
      </w:r>
    </w:p>
    <w:p w:rsidR="00682FB9" w:rsidRPr="0021174B" w:rsidRDefault="00682FB9" w:rsidP="0021174B">
      <w:pPr>
        <w:rPr>
          <w:rFonts w:ascii="Arial" w:hAnsi="Arial" w:cs="Arial"/>
          <w:lang w:val="en-US"/>
        </w:rPr>
        <w:sectPr w:rsidR="00682FB9" w:rsidRPr="0021174B" w:rsidSect="00682FB9">
          <w:pgSz w:w="16838" w:h="11906" w:orient="landscape"/>
          <w:pgMar w:top="1440" w:right="1440" w:bottom="1440" w:left="1440" w:header="708" w:footer="708" w:gutter="0"/>
          <w:cols w:space="708"/>
          <w:docGrid w:linePitch="360"/>
        </w:sectPr>
      </w:pPr>
      <w:r w:rsidRPr="004A762E">
        <w:rPr>
          <w:rFonts w:ascii="Arial" w:hAnsi="Arial" w:cs="Arial"/>
          <w:noProof/>
          <w:lang w:eastAsia="en-AU"/>
        </w:rPr>
        <w:drawing>
          <wp:anchor distT="0" distB="0" distL="114300" distR="114300" simplePos="0" relativeHeight="251665408" behindDoc="0" locked="0" layoutInCell="1" allowOverlap="1" wp14:anchorId="5DCB6110" wp14:editId="5E578A23">
            <wp:simplePos x="0" y="0"/>
            <wp:positionH relativeFrom="column">
              <wp:posOffset>-307340</wp:posOffset>
            </wp:positionH>
            <wp:positionV relativeFrom="paragraph">
              <wp:posOffset>635</wp:posOffset>
            </wp:positionV>
            <wp:extent cx="7132320" cy="53428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l="18183" t="15431" r="18248" b="5350"/>
                    <a:stretch/>
                  </pic:blipFill>
                  <pic:spPr bwMode="auto">
                    <a:xfrm>
                      <a:off x="0" y="0"/>
                      <a:ext cx="7132320" cy="5342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7A42" w:rsidRPr="004A762E" w:rsidRDefault="00A57A42" w:rsidP="00AF64D2">
      <w:pPr>
        <w:rPr>
          <w:rFonts w:ascii="Arial" w:hAnsi="Arial" w:cs="Arial"/>
          <w:b/>
        </w:rPr>
      </w:pPr>
    </w:p>
    <w:sectPr w:rsidR="00A57A42" w:rsidRPr="004A762E" w:rsidSect="00682FB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2CD" w:rsidRDefault="002D72CD" w:rsidP="00D35297">
      <w:pPr>
        <w:spacing w:after="0" w:line="240" w:lineRule="auto"/>
      </w:pPr>
      <w:r>
        <w:separator/>
      </w:r>
    </w:p>
  </w:endnote>
  <w:endnote w:type="continuationSeparator" w:id="0">
    <w:p w:rsidR="002D72CD" w:rsidRDefault="002D72CD" w:rsidP="00D3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64425151"/>
      <w:docPartObj>
        <w:docPartGallery w:val="Page Numbers (Bottom of Page)"/>
        <w:docPartUnique/>
      </w:docPartObj>
    </w:sdtPr>
    <w:sdtEndPr>
      <w:rPr>
        <w:noProof/>
      </w:rPr>
    </w:sdtEndPr>
    <w:sdtContent>
      <w:p w:rsidR="00241455" w:rsidRPr="00E00E63" w:rsidRDefault="00241455">
        <w:pPr>
          <w:pStyle w:val="Footer"/>
          <w:jc w:val="right"/>
          <w:rPr>
            <w:rFonts w:ascii="Arial" w:hAnsi="Arial" w:cs="Arial"/>
          </w:rPr>
        </w:pPr>
        <w:r w:rsidRPr="00E00E63">
          <w:rPr>
            <w:rFonts w:ascii="Arial" w:hAnsi="Arial" w:cs="Arial"/>
          </w:rPr>
          <w:fldChar w:fldCharType="begin"/>
        </w:r>
        <w:r w:rsidRPr="00E00E63">
          <w:rPr>
            <w:rFonts w:ascii="Arial" w:hAnsi="Arial" w:cs="Arial"/>
          </w:rPr>
          <w:instrText xml:space="preserve"> PAGE   \* MERGEFORMAT </w:instrText>
        </w:r>
        <w:r w:rsidRPr="00E00E63">
          <w:rPr>
            <w:rFonts w:ascii="Arial" w:hAnsi="Arial" w:cs="Arial"/>
          </w:rPr>
          <w:fldChar w:fldCharType="separate"/>
        </w:r>
        <w:r w:rsidR="004B305D">
          <w:rPr>
            <w:rFonts w:ascii="Arial" w:hAnsi="Arial" w:cs="Arial"/>
            <w:noProof/>
          </w:rPr>
          <w:t>1</w:t>
        </w:r>
        <w:r w:rsidRPr="00E00E63">
          <w:rPr>
            <w:rFonts w:ascii="Arial" w:hAnsi="Arial" w:cs="Arial"/>
            <w:noProof/>
          </w:rPr>
          <w:fldChar w:fldCharType="end"/>
        </w:r>
      </w:p>
    </w:sdtContent>
  </w:sdt>
  <w:p w:rsidR="00AF64D2" w:rsidRPr="00E00E63" w:rsidRDefault="00AF64D2" w:rsidP="00AF64D2">
    <w:pPr>
      <w:pStyle w:val="Footer"/>
      <w:rPr>
        <w:rFonts w:ascii="Arial" w:hAnsi="Arial" w:cs="Arial"/>
      </w:rPr>
    </w:pPr>
    <w:r w:rsidRPr="00AF64D2">
      <w:rPr>
        <w:sz w:val="20"/>
        <w:szCs w:val="20"/>
      </w:rPr>
      <w:t>Impact</w:t>
    </w:r>
    <w:r>
      <w:rPr>
        <w:sz w:val="20"/>
        <w:szCs w:val="20"/>
      </w:rPr>
      <w:t xml:space="preserve"> Seed Limited (ACN 611703274) | L</w:t>
    </w:r>
    <w:r w:rsidRPr="00AF64D2">
      <w:rPr>
        <w:sz w:val="20"/>
        <w:szCs w:val="20"/>
      </w:rPr>
      <w:t>3, 1060 Hay St, West Perth, </w:t>
    </w:r>
    <w:r>
      <w:rPr>
        <w:sz w:val="20"/>
        <w:szCs w:val="20"/>
      </w:rPr>
      <w:t>WA</w:t>
    </w:r>
    <w:r w:rsidRPr="00AF64D2">
      <w:rPr>
        <w:sz w:val="20"/>
        <w:szCs w:val="20"/>
      </w:rPr>
      <w:t xml:space="preserve"> 6005</w:t>
    </w:r>
    <w:r>
      <w:rPr>
        <w:sz w:val="20"/>
        <w:szCs w:val="20"/>
      </w:rPr>
      <w:t xml:space="preserve"> | </w:t>
    </w:r>
    <w:r w:rsidRPr="002D4715">
      <w:rPr>
        <w:sz w:val="20"/>
        <w:szCs w:val="20"/>
      </w:rPr>
      <w:t>www.impactseed.org</w:t>
    </w:r>
  </w:p>
  <w:p w:rsidR="00241455" w:rsidRPr="00E00E63" w:rsidRDefault="00AF64D2" w:rsidP="00AF64D2">
    <w:pPr>
      <w:pStyle w:val="Footer"/>
      <w:rPr>
        <w:rFonts w:ascii="Arial" w:hAnsi="Arial" w:cs="Arial"/>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2CD" w:rsidRDefault="002D72CD" w:rsidP="00D35297">
      <w:pPr>
        <w:spacing w:after="0" w:line="240" w:lineRule="auto"/>
      </w:pPr>
      <w:r>
        <w:separator/>
      </w:r>
    </w:p>
  </w:footnote>
  <w:footnote w:type="continuationSeparator" w:id="0">
    <w:p w:rsidR="002D72CD" w:rsidRDefault="002D72CD" w:rsidP="00D35297">
      <w:pPr>
        <w:spacing w:after="0" w:line="240" w:lineRule="auto"/>
      </w:pPr>
      <w:r>
        <w:continuationSeparator/>
      </w:r>
    </w:p>
  </w:footnote>
  <w:footnote w:id="1">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Charity and NFP do not always refer to the same thing, though they are overlapping concepts. This essay uses the most specific term appropriate for any given context (ie if it is possible to say charity instead of NFP, this will be done).</w:t>
      </w:r>
    </w:p>
  </w:footnote>
  <w:footnote w:id="2">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Deloitte, ‘The Deloitte Millennial Survey 2016, (2016) available at </w:t>
      </w:r>
      <w:hyperlink r:id="rId1" w:anchor="report" w:history="1">
        <w:r w:rsidRPr="002E3959">
          <w:rPr>
            <w:rStyle w:val="Hyperlink"/>
            <w:rFonts w:ascii="Arial" w:hAnsi="Arial" w:cs="Arial"/>
          </w:rPr>
          <w:t>http://www2.deloitte.com/global/en/pages/about-deloitte/articles/gx-millennials-shifting-business-purpose.html#report</w:t>
        </w:r>
      </w:hyperlink>
    </w:p>
  </w:footnote>
  <w:footnote w:id="3">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Shared Value Project and SVA, ‘The State of Shared Value in Australia’, 2015, access</w:t>
      </w:r>
      <w:r w:rsidR="007F7BB2" w:rsidRPr="002E3959">
        <w:rPr>
          <w:rFonts w:ascii="Arial" w:hAnsi="Arial" w:cs="Arial"/>
        </w:rPr>
        <w:t>ible</w:t>
      </w:r>
      <w:r w:rsidRPr="002E3959">
        <w:rPr>
          <w:rFonts w:ascii="Arial" w:hAnsi="Arial" w:cs="Arial"/>
        </w:rPr>
        <w:t xml:space="preserve"> at </w:t>
      </w:r>
      <w:hyperlink r:id="rId2" w:history="1">
        <w:r w:rsidRPr="002E3959">
          <w:rPr>
            <w:rStyle w:val="Hyperlink"/>
            <w:rFonts w:ascii="Arial" w:hAnsi="Arial" w:cs="Arial"/>
          </w:rPr>
          <w:t>http://sharedvalue.org.au/wp-content/uploads/2016/01/2015-State-of-Shared-Value-in-Australia-Report-Double-Spread.pdf</w:t>
        </w:r>
      </w:hyperlink>
      <w:r w:rsidRPr="002E3959">
        <w:rPr>
          <w:rFonts w:ascii="Arial" w:hAnsi="Arial" w:cs="Arial"/>
        </w:rPr>
        <w:t>, 11</w:t>
      </w:r>
      <w:r w:rsidR="007F7BB2" w:rsidRPr="002E3959">
        <w:rPr>
          <w:rFonts w:ascii="Arial" w:hAnsi="Arial" w:cs="Arial"/>
        </w:rPr>
        <w:t>, accessed 8 October 2016</w:t>
      </w:r>
    </w:p>
  </w:footnote>
  <w:footnote w:id="4">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GSK, ‘Save the Children Partnership’ (n.d.) accessible at </w:t>
      </w:r>
      <w:hyperlink r:id="rId3" w:anchor="overview" w:history="1">
        <w:r w:rsidR="007F7BB2" w:rsidRPr="002E3959">
          <w:rPr>
            <w:rStyle w:val="Hyperlink"/>
            <w:rFonts w:ascii="Arial" w:hAnsi="Arial" w:cs="Arial"/>
          </w:rPr>
          <w:t>http://www.gsk.com/en-gb/about-us/corporate-partnerships/save-the-children-partnership/#overview</w:t>
        </w:r>
      </w:hyperlink>
      <w:r w:rsidR="007F7BB2" w:rsidRPr="002E3959">
        <w:rPr>
          <w:rFonts w:ascii="Arial" w:hAnsi="Arial" w:cs="Arial"/>
        </w:rPr>
        <w:t>, accessed 8 October 2016</w:t>
      </w:r>
    </w:p>
  </w:footnote>
  <w:footnote w:id="5">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007F7BB2" w:rsidRPr="002E3959">
        <w:rPr>
          <w:rFonts w:ascii="Arial" w:hAnsi="Arial" w:cs="Arial"/>
        </w:rPr>
        <w:t>Ibid.</w:t>
      </w:r>
    </w:p>
  </w:footnote>
  <w:footnote w:id="6">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Australian Government, n.d. ‘Creating shared value through partnership: Ministerial statement on engaging the private sector in aid and development’, access at </w:t>
      </w:r>
      <w:hyperlink r:id="rId4" w:history="1">
        <w:r w:rsidRPr="002E3959">
          <w:rPr>
            <w:rStyle w:val="Hyperlink"/>
            <w:rFonts w:ascii="Arial" w:hAnsi="Arial" w:cs="Arial"/>
          </w:rPr>
          <w:t>http://dfat.gov.au/about-us/publications/aid/Documents/creating-shared-value-through-partnership.pdf</w:t>
        </w:r>
      </w:hyperlink>
      <w:r w:rsidRPr="002E3959">
        <w:rPr>
          <w:rFonts w:ascii="Arial" w:hAnsi="Arial" w:cs="Arial"/>
        </w:rPr>
        <w:t>, 1-2</w:t>
      </w:r>
    </w:p>
  </w:footnote>
  <w:footnote w:id="7">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Social Traders, ‘About Social Enterprise’ (n.d.) accessible at http://www.socialtraders.com.au/about-social-enterprise/what-is-a-social-enterprise/social-enterprise-definition/</w:t>
      </w:r>
    </w:p>
  </w:footnote>
  <w:footnote w:id="8">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Impact Investing Australia, ‘About impact investing’ (n.d.) accessible at http://impactinvestingaustralia.com/resources/impact-investing-2/</w:t>
      </w:r>
    </w:p>
  </w:footnote>
  <w:footnote w:id="9">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Krzysztof Dembek, Daniel Madhavan, Fabienne Michaux, Brad Potter, ‘Impact Investing Australia ‘Investor Report’’ (2016) accessible at </w:t>
      </w:r>
      <w:hyperlink r:id="rId5" w:history="1">
        <w:r w:rsidR="007F7BB2" w:rsidRPr="002E3959">
          <w:rPr>
            <w:rStyle w:val="Hyperlink"/>
            <w:rFonts w:ascii="Arial" w:hAnsi="Arial" w:cs="Arial"/>
          </w:rPr>
          <w:t>http://impactinvestingaustralia.com/wp-content/uploads/Impact-Investing-Australia-2016-Investor-Report.pdf</w:t>
        </w:r>
      </w:hyperlink>
      <w:r w:rsidR="007F7BB2" w:rsidRPr="002E3959">
        <w:rPr>
          <w:rFonts w:ascii="Arial" w:hAnsi="Arial" w:cs="Arial"/>
        </w:rPr>
        <w:t>, accessed 15 October 2016</w:t>
      </w:r>
    </w:p>
  </w:footnote>
  <w:footnote w:id="10">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Australian Charities a</w:t>
      </w:r>
      <w:r w:rsidR="006848C1" w:rsidRPr="002E3959">
        <w:rPr>
          <w:rFonts w:ascii="Arial" w:hAnsi="Arial" w:cs="Arial"/>
        </w:rPr>
        <w:t>nd Not-for-profits Commission, above n 27</w:t>
      </w:r>
    </w:p>
  </w:footnote>
  <w:footnote w:id="11">
    <w:p w:rsidR="00F825D8" w:rsidRPr="002E3959" w:rsidRDefault="00F825D8"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006848C1" w:rsidRPr="002E3959">
        <w:rPr>
          <w:rFonts w:ascii="Arial" w:hAnsi="Arial" w:cs="Arial"/>
        </w:rPr>
        <w:t>Ibid.</w:t>
      </w:r>
    </w:p>
  </w:footnote>
  <w:footnote w:id="12">
    <w:p w:rsidR="00F825D8" w:rsidRPr="002E3959" w:rsidRDefault="00F825D8"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But this can’t be said definitively.</w:t>
      </w:r>
    </w:p>
  </w:footnote>
  <w:footnote w:id="13">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Statement based on personal communication with approximately 25 different founders of NFP and FP social enterprise/business between June – October 2016: Bubdesk, Global Unmanned Systems, Community Insight Australia, Acavista, JB Were, Kirrikin, Brothaboy, Green Swing, 21</w:t>
      </w:r>
      <w:r w:rsidRPr="002E3959">
        <w:rPr>
          <w:rFonts w:ascii="Arial" w:hAnsi="Arial" w:cs="Arial"/>
          <w:vertAlign w:val="superscript"/>
        </w:rPr>
        <w:t>st</w:t>
      </w:r>
      <w:r w:rsidRPr="002E3959">
        <w:rPr>
          <w:rFonts w:ascii="Arial" w:hAnsi="Arial" w:cs="Arial"/>
        </w:rPr>
        <w:t xml:space="preserve"> Century Dingo, Inspirationary, Startsomegood, Yoga for Pain, Gecko, Tech4Good, Armed for Life, The Henry Project, Flowerfox, the Care Collective, Work Life Calendar, and other founders with ideas who have not yet incorporated</w:t>
      </w:r>
    </w:p>
  </w:footnote>
  <w:footnote w:id="14">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Ibid.</w:t>
      </w:r>
    </w:p>
  </w:footnote>
  <w:footnote w:id="15">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Ibid.</w:t>
      </w:r>
    </w:p>
  </w:footnote>
  <w:footnote w:id="16">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(2011) 191 FCR 151</w:t>
      </w:r>
    </w:p>
  </w:footnote>
  <w:footnote w:id="17">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Ian Murray, ‘The Taming of the Charitable Shrew: State roll back of charity tax concessions’ (2016) 27 PLR 54, 67</w:t>
      </w:r>
    </w:p>
  </w:footnote>
  <w:footnote w:id="18">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00985C80" w:rsidRPr="002E3959">
        <w:rPr>
          <w:rFonts w:ascii="Arial" w:hAnsi="Arial" w:cs="Arial"/>
        </w:rPr>
        <w:t>Ibid.,</w:t>
      </w:r>
      <w:r w:rsidRPr="002E3959">
        <w:rPr>
          <w:rFonts w:ascii="Arial" w:hAnsi="Arial" w:cs="Arial"/>
        </w:rPr>
        <w:t xml:space="preserve"> 60</w:t>
      </w:r>
    </w:p>
  </w:footnote>
  <w:footnote w:id="19">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00985C80" w:rsidRPr="002E3959">
        <w:rPr>
          <w:rFonts w:ascii="Arial" w:hAnsi="Arial" w:cs="Arial"/>
        </w:rPr>
        <w:t>Ibid.,</w:t>
      </w:r>
      <w:r w:rsidRPr="002E3959">
        <w:rPr>
          <w:rFonts w:ascii="Arial" w:hAnsi="Arial" w:cs="Arial"/>
        </w:rPr>
        <w:t xml:space="preserve"> 59</w:t>
      </w:r>
    </w:p>
  </w:footnote>
  <w:footnote w:id="20">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Pr="002E3959">
        <w:rPr>
          <w:rFonts w:ascii="Arial" w:hAnsi="Arial" w:cs="Arial"/>
          <w:i/>
        </w:rPr>
        <w:t>Bicycle Victoria Inc v Federal Commissioner of Taxation</w:t>
      </w:r>
      <w:r w:rsidRPr="002E3959">
        <w:rPr>
          <w:rFonts w:ascii="Arial" w:hAnsi="Arial" w:cs="Arial"/>
        </w:rPr>
        <w:t xml:space="preserve"> [2011] AATA 444, [195]; </w:t>
      </w:r>
      <w:r w:rsidRPr="002E3959">
        <w:rPr>
          <w:rFonts w:ascii="Arial" w:hAnsi="Arial" w:cs="Arial"/>
          <w:i/>
        </w:rPr>
        <w:t>Tasmanian Electronic Commerce Centre Pty Ltd v Federal Commissioner of Taxation</w:t>
      </w:r>
      <w:r w:rsidRPr="002E3959">
        <w:rPr>
          <w:rFonts w:ascii="Arial" w:hAnsi="Arial" w:cs="Arial"/>
        </w:rPr>
        <w:t xml:space="preserve"> (2005) 142 FCR 371; </w:t>
      </w:r>
      <w:r w:rsidRPr="002E3959">
        <w:rPr>
          <w:rFonts w:ascii="Arial" w:hAnsi="Arial" w:cs="Arial"/>
          <w:i/>
        </w:rPr>
        <w:t>Federal Commissioner of Taxation v Triton Foundation</w:t>
      </w:r>
      <w:r w:rsidRPr="002E3959">
        <w:rPr>
          <w:rFonts w:ascii="Arial" w:hAnsi="Arial" w:cs="Arial"/>
        </w:rPr>
        <w:t xml:space="preserve"> (2005) 147 FCR 362; but found these cases due to their being cited in Ian Murray</w:t>
      </w:r>
      <w:r w:rsidR="00985C80" w:rsidRPr="002E3959">
        <w:rPr>
          <w:rFonts w:ascii="Arial" w:hAnsi="Arial" w:cs="Arial"/>
        </w:rPr>
        <w:t>, above n36</w:t>
      </w:r>
      <w:r w:rsidRPr="002E3959">
        <w:rPr>
          <w:rFonts w:ascii="Arial" w:hAnsi="Arial" w:cs="Arial"/>
        </w:rPr>
        <w:t>, 58</w:t>
      </w:r>
    </w:p>
  </w:footnote>
  <w:footnote w:id="21">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Pr="002E3959">
        <w:rPr>
          <w:rFonts w:ascii="Arial" w:hAnsi="Arial" w:cs="Arial"/>
          <w:i/>
        </w:rPr>
        <w:t xml:space="preserve">Commissioner of Taxation v Word Investments Ltd </w:t>
      </w:r>
      <w:r w:rsidRPr="002E3959">
        <w:rPr>
          <w:rFonts w:ascii="Arial" w:hAnsi="Arial" w:cs="Arial"/>
        </w:rPr>
        <w:t>(2008) 236 CLR 204</w:t>
      </w:r>
      <w:r w:rsidR="00985C80" w:rsidRPr="002E3959">
        <w:rPr>
          <w:rFonts w:ascii="Arial" w:hAnsi="Arial" w:cs="Arial"/>
        </w:rPr>
        <w:t xml:space="preserve"> </w:t>
      </w:r>
      <w:r w:rsidRPr="002E3959">
        <w:rPr>
          <w:rFonts w:ascii="Arial" w:hAnsi="Arial" w:cs="Arial"/>
        </w:rPr>
        <w:t>(</w:t>
      </w:r>
      <w:r w:rsidRPr="002E3959">
        <w:rPr>
          <w:rFonts w:ascii="Arial" w:hAnsi="Arial" w:cs="Arial"/>
          <w:i/>
        </w:rPr>
        <w:t>Word Investments</w:t>
      </w:r>
      <w:r w:rsidRPr="002E3959">
        <w:rPr>
          <w:rFonts w:ascii="Arial" w:hAnsi="Arial" w:cs="Arial"/>
        </w:rPr>
        <w:t>)</w:t>
      </w:r>
    </w:p>
  </w:footnote>
  <w:footnote w:id="22">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00985C80" w:rsidRPr="002E3959">
        <w:rPr>
          <w:rFonts w:ascii="Arial" w:hAnsi="Arial" w:cs="Arial"/>
        </w:rPr>
        <w:t>Ibid</w:t>
      </w:r>
      <w:r w:rsidRPr="002E3959">
        <w:rPr>
          <w:rFonts w:ascii="Arial" w:hAnsi="Arial" w:cs="Arial"/>
        </w:rPr>
        <w:t xml:space="preserve"> [26]</w:t>
      </w:r>
    </w:p>
  </w:footnote>
  <w:footnote w:id="23">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00985C80" w:rsidRPr="002E3959">
        <w:rPr>
          <w:rFonts w:ascii="Arial" w:hAnsi="Arial" w:cs="Arial"/>
        </w:rPr>
        <w:t>Ibid</w:t>
      </w:r>
      <w:r w:rsidRPr="002E3959">
        <w:rPr>
          <w:rFonts w:ascii="Arial" w:hAnsi="Arial" w:cs="Arial"/>
        </w:rPr>
        <w:t xml:space="preserve"> [180] (Kirby J)</w:t>
      </w:r>
    </w:p>
  </w:footnote>
  <w:footnote w:id="24">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Ian Murray, </w:t>
      </w:r>
      <w:r w:rsidR="00DD1E96" w:rsidRPr="002E3959">
        <w:rPr>
          <w:rFonts w:ascii="Arial" w:hAnsi="Arial" w:cs="Arial"/>
        </w:rPr>
        <w:t>above n 36</w:t>
      </w:r>
      <w:r w:rsidRPr="002E3959">
        <w:rPr>
          <w:rFonts w:ascii="Arial" w:hAnsi="Arial" w:cs="Arial"/>
        </w:rPr>
        <w:t>, 64</w:t>
      </w:r>
    </w:p>
  </w:footnote>
  <w:footnote w:id="25">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00DD1E96" w:rsidRPr="002E3959">
        <w:rPr>
          <w:rFonts w:ascii="Arial" w:hAnsi="Arial" w:cs="Arial"/>
        </w:rPr>
        <w:t xml:space="preserve"> Jonathan Garton, above n 24</w:t>
      </w:r>
    </w:p>
  </w:footnote>
  <w:footnote w:id="26">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This data depends on NFPs being open and transparent – World Vision is very good at this, posting on their FAQs on their website what the CEO earnt in the last year. Costello received a salary of $298,000 in 2015. Information accessible at https://www.worldvision.com.au/about-us/faqs</w:t>
      </w:r>
    </w:p>
  </w:footnote>
  <w:footnote w:id="27">
    <w:p w:rsidR="00241455" w:rsidRPr="002E3959" w:rsidRDefault="00241455"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Australian Council of Social Service et al ‘Giving Australia: Research on Philanthropy in Australia’ </w:t>
      </w:r>
      <w:r w:rsidR="00DD1E96" w:rsidRPr="002E3959">
        <w:rPr>
          <w:rFonts w:ascii="Arial" w:hAnsi="Arial" w:cs="Arial"/>
        </w:rPr>
        <w:t xml:space="preserve">(2005) , accessible at </w:t>
      </w:r>
      <w:hyperlink r:id="rId6" w:history="1">
        <w:r w:rsidR="00DD1E96" w:rsidRPr="002E3959">
          <w:rPr>
            <w:rStyle w:val="Hyperlink"/>
            <w:rFonts w:ascii="Arial" w:hAnsi="Arial" w:cs="Arial"/>
          </w:rPr>
          <w:t xml:space="preserve">http://www.ourcommunity.com.au/files/GivingAustraliaSummary.pdf </w:t>
        </w:r>
      </w:hyperlink>
      <w:r w:rsidR="00DD1E96" w:rsidRPr="002E3959">
        <w:rPr>
          <w:rFonts w:ascii="Arial" w:hAnsi="Arial" w:cs="Arial"/>
          <w:color w:val="000000"/>
        </w:rPr>
        <w:t>, accessed on 15 October 2016, p</w:t>
      </w:r>
      <w:r w:rsidRPr="002E3959">
        <w:rPr>
          <w:rFonts w:ascii="Arial" w:hAnsi="Arial" w:cs="Arial"/>
        </w:rPr>
        <w:t xml:space="preserve">43 </w:t>
      </w:r>
    </w:p>
  </w:footnote>
  <w:footnote w:id="28">
    <w:p w:rsidR="00C34A58" w:rsidRPr="002E3959" w:rsidRDefault="00C34A58" w:rsidP="00820C16">
      <w:pPr>
        <w:pStyle w:val="FootnoteText"/>
        <w:rPr>
          <w:rFonts w:ascii="Arial" w:hAnsi="Arial" w:cs="Arial"/>
        </w:rPr>
      </w:pPr>
      <w:r w:rsidRPr="002E3959">
        <w:rPr>
          <w:rStyle w:val="FootnoteReference"/>
          <w:rFonts w:ascii="Arial" w:hAnsi="Arial" w:cs="Arial"/>
        </w:rPr>
        <w:footnoteRef/>
      </w:r>
      <w:r w:rsidRPr="002E3959">
        <w:rPr>
          <w:rFonts w:ascii="Arial" w:hAnsi="Arial" w:cs="Arial"/>
        </w:rPr>
        <w:t xml:space="preserve"> </w:t>
      </w:r>
      <w:r w:rsidRPr="002E3959">
        <w:rPr>
          <w:rFonts w:ascii="Arial" w:hAnsi="Arial" w:cs="Arial"/>
          <w:lang w:val="en-US"/>
        </w:rPr>
        <w:t>At least, in this author’s opinion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B0" w:rsidRPr="00AF64D2" w:rsidRDefault="004B305D" w:rsidP="00AF64D2">
    <w:pPr>
      <w:pStyle w:val="Header"/>
      <w:jc w:val="center"/>
      <w:rPr>
        <w:i/>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42.75pt">
          <v:imagedata r:id="rId1" o:title="Impact Seed_Logo_Full colour"/>
        </v:shape>
      </w:pict>
    </w:r>
    <w:r w:rsidR="00AF64D2">
      <w:rPr>
        <w:sz w:val="18"/>
        <w:szCs w:val="18"/>
      </w:rPr>
      <w:br/>
    </w:r>
    <w:r w:rsidR="005B65B0" w:rsidRPr="00AF64D2">
      <w:rPr>
        <w:i/>
        <w:sz w:val="18"/>
        <w:szCs w:val="18"/>
      </w:rPr>
      <w:t>Author</w:t>
    </w:r>
    <w:r w:rsidR="00902588" w:rsidRPr="00AF64D2">
      <w:rPr>
        <w:i/>
        <w:sz w:val="18"/>
        <w:szCs w:val="18"/>
      </w:rPr>
      <w:t>s</w:t>
    </w:r>
    <w:r w:rsidR="005B65B0" w:rsidRPr="00AF64D2">
      <w:rPr>
        <w:i/>
        <w:sz w:val="18"/>
        <w:szCs w:val="18"/>
      </w:rPr>
      <w:t xml:space="preserve">: Kylie Hansen </w:t>
    </w:r>
    <w:r w:rsidR="00902588" w:rsidRPr="00AF64D2">
      <w:rPr>
        <w:i/>
        <w:sz w:val="18"/>
        <w:szCs w:val="18"/>
      </w:rPr>
      <w:t>(</w:t>
    </w:r>
    <w:hyperlink r:id="rId2" w:history="1">
      <w:r w:rsidR="005B65B0" w:rsidRPr="00AF64D2">
        <w:rPr>
          <w:rStyle w:val="Hyperlink"/>
          <w:i/>
          <w:sz w:val="18"/>
          <w:szCs w:val="18"/>
        </w:rPr>
        <w:t>kylie@impactseed.org</w:t>
      </w:r>
    </w:hyperlink>
    <w:r w:rsidR="00902588" w:rsidRPr="00AF64D2">
      <w:rPr>
        <w:rStyle w:val="Hyperlink"/>
        <w:i/>
        <w:sz w:val="18"/>
        <w:szCs w:val="18"/>
      </w:rPr>
      <w:t>)</w:t>
    </w:r>
    <w:r w:rsidR="00AF64D2" w:rsidRPr="00DD7F94">
      <w:rPr>
        <w:rStyle w:val="Hyperlink"/>
        <w:i/>
        <w:sz w:val="18"/>
        <w:szCs w:val="18"/>
        <w:u w:val="none"/>
      </w:rPr>
      <w:t xml:space="preserve"> &amp;</w:t>
    </w:r>
    <w:r w:rsidR="00902588" w:rsidRPr="00AF64D2">
      <w:rPr>
        <w:i/>
        <w:sz w:val="18"/>
        <w:szCs w:val="18"/>
      </w:rPr>
      <w:t xml:space="preserve"> Sven Stenvers (</w:t>
    </w:r>
    <w:hyperlink r:id="rId3" w:history="1">
      <w:r w:rsidR="005B65B0" w:rsidRPr="00AF64D2">
        <w:rPr>
          <w:rStyle w:val="Hyperlink"/>
          <w:i/>
          <w:sz w:val="18"/>
          <w:szCs w:val="18"/>
        </w:rPr>
        <w:t>sven@impactseed.org</w:t>
      </w:r>
    </w:hyperlink>
    <w:r w:rsidR="00902588" w:rsidRPr="00AF64D2">
      <w:rPr>
        <w: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8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B275DA"/>
    <w:multiLevelType w:val="hybridMultilevel"/>
    <w:tmpl w:val="F634ECB0"/>
    <w:lvl w:ilvl="0" w:tplc="AF0C1390">
      <w:start w:val="1"/>
      <w:numFmt w:val="bullet"/>
      <w:lvlText w:val=""/>
      <w:lvlJc w:val="left"/>
      <w:pPr>
        <w:tabs>
          <w:tab w:val="num" w:pos="720"/>
        </w:tabs>
        <w:ind w:left="720" w:hanging="360"/>
      </w:pPr>
      <w:rPr>
        <w:rFonts w:ascii="Wingdings" w:hAnsi="Wingdings" w:hint="default"/>
      </w:rPr>
    </w:lvl>
    <w:lvl w:ilvl="1" w:tplc="EEF25E58">
      <w:start w:val="249"/>
      <w:numFmt w:val="bullet"/>
      <w:lvlText w:val="•"/>
      <w:lvlJc w:val="left"/>
      <w:pPr>
        <w:tabs>
          <w:tab w:val="num" w:pos="1440"/>
        </w:tabs>
        <w:ind w:left="1440" w:hanging="360"/>
      </w:pPr>
      <w:rPr>
        <w:rFonts w:ascii="Arial" w:hAnsi="Arial" w:hint="default"/>
      </w:rPr>
    </w:lvl>
    <w:lvl w:ilvl="2" w:tplc="F1166250">
      <w:start w:val="1"/>
      <w:numFmt w:val="bullet"/>
      <w:lvlText w:val=""/>
      <w:lvlJc w:val="left"/>
      <w:pPr>
        <w:tabs>
          <w:tab w:val="num" w:pos="2160"/>
        </w:tabs>
        <w:ind w:left="2160" w:hanging="360"/>
      </w:pPr>
      <w:rPr>
        <w:rFonts w:ascii="Wingdings" w:hAnsi="Wingdings" w:hint="default"/>
      </w:rPr>
    </w:lvl>
    <w:lvl w:ilvl="3" w:tplc="365E02BC" w:tentative="1">
      <w:start w:val="1"/>
      <w:numFmt w:val="bullet"/>
      <w:lvlText w:val=""/>
      <w:lvlJc w:val="left"/>
      <w:pPr>
        <w:tabs>
          <w:tab w:val="num" w:pos="2880"/>
        </w:tabs>
        <w:ind w:left="2880" w:hanging="360"/>
      </w:pPr>
      <w:rPr>
        <w:rFonts w:ascii="Wingdings" w:hAnsi="Wingdings" w:hint="default"/>
      </w:rPr>
    </w:lvl>
    <w:lvl w:ilvl="4" w:tplc="341C9402" w:tentative="1">
      <w:start w:val="1"/>
      <w:numFmt w:val="bullet"/>
      <w:lvlText w:val=""/>
      <w:lvlJc w:val="left"/>
      <w:pPr>
        <w:tabs>
          <w:tab w:val="num" w:pos="3600"/>
        </w:tabs>
        <w:ind w:left="3600" w:hanging="360"/>
      </w:pPr>
      <w:rPr>
        <w:rFonts w:ascii="Wingdings" w:hAnsi="Wingdings" w:hint="default"/>
      </w:rPr>
    </w:lvl>
    <w:lvl w:ilvl="5" w:tplc="884AFF7C" w:tentative="1">
      <w:start w:val="1"/>
      <w:numFmt w:val="bullet"/>
      <w:lvlText w:val=""/>
      <w:lvlJc w:val="left"/>
      <w:pPr>
        <w:tabs>
          <w:tab w:val="num" w:pos="4320"/>
        </w:tabs>
        <w:ind w:left="4320" w:hanging="360"/>
      </w:pPr>
      <w:rPr>
        <w:rFonts w:ascii="Wingdings" w:hAnsi="Wingdings" w:hint="default"/>
      </w:rPr>
    </w:lvl>
    <w:lvl w:ilvl="6" w:tplc="C532C6C8" w:tentative="1">
      <w:start w:val="1"/>
      <w:numFmt w:val="bullet"/>
      <w:lvlText w:val=""/>
      <w:lvlJc w:val="left"/>
      <w:pPr>
        <w:tabs>
          <w:tab w:val="num" w:pos="5040"/>
        </w:tabs>
        <w:ind w:left="5040" w:hanging="360"/>
      </w:pPr>
      <w:rPr>
        <w:rFonts w:ascii="Wingdings" w:hAnsi="Wingdings" w:hint="default"/>
      </w:rPr>
    </w:lvl>
    <w:lvl w:ilvl="7" w:tplc="628C2A48" w:tentative="1">
      <w:start w:val="1"/>
      <w:numFmt w:val="bullet"/>
      <w:lvlText w:val=""/>
      <w:lvlJc w:val="left"/>
      <w:pPr>
        <w:tabs>
          <w:tab w:val="num" w:pos="5760"/>
        </w:tabs>
        <w:ind w:left="5760" w:hanging="360"/>
      </w:pPr>
      <w:rPr>
        <w:rFonts w:ascii="Wingdings" w:hAnsi="Wingdings" w:hint="default"/>
      </w:rPr>
    </w:lvl>
    <w:lvl w:ilvl="8" w:tplc="6AB6648C" w:tentative="1">
      <w:start w:val="1"/>
      <w:numFmt w:val="bullet"/>
      <w:lvlText w:val=""/>
      <w:lvlJc w:val="left"/>
      <w:pPr>
        <w:tabs>
          <w:tab w:val="num" w:pos="6480"/>
        </w:tabs>
        <w:ind w:left="6480" w:hanging="360"/>
      </w:pPr>
      <w:rPr>
        <w:rFonts w:ascii="Wingdings" w:hAnsi="Wingdings" w:hint="default"/>
      </w:rPr>
    </w:lvl>
  </w:abstractNum>
  <w:abstractNum w:abstractNumId="2">
    <w:nsid w:val="23192790"/>
    <w:multiLevelType w:val="hybridMultilevel"/>
    <w:tmpl w:val="DD0A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A7767C"/>
    <w:multiLevelType w:val="hybridMultilevel"/>
    <w:tmpl w:val="760A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8D741F"/>
    <w:multiLevelType w:val="hybridMultilevel"/>
    <w:tmpl w:val="19A41700"/>
    <w:lvl w:ilvl="0" w:tplc="BA18A410">
      <w:start w:val="4"/>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ED61041"/>
    <w:multiLevelType w:val="hybridMultilevel"/>
    <w:tmpl w:val="61823A4E"/>
    <w:lvl w:ilvl="0" w:tplc="14A08B2E">
      <w:start w:val="1"/>
      <w:numFmt w:val="bullet"/>
      <w:lvlText w:val=""/>
      <w:lvlJc w:val="left"/>
      <w:pPr>
        <w:tabs>
          <w:tab w:val="num" w:pos="720"/>
        </w:tabs>
        <w:ind w:left="720" w:hanging="360"/>
      </w:pPr>
      <w:rPr>
        <w:rFonts w:ascii="Wingdings" w:hAnsi="Wingdings" w:hint="default"/>
      </w:rPr>
    </w:lvl>
    <w:lvl w:ilvl="1" w:tplc="0976507A">
      <w:start w:val="140"/>
      <w:numFmt w:val="bullet"/>
      <w:lvlText w:val="•"/>
      <w:lvlJc w:val="left"/>
      <w:pPr>
        <w:tabs>
          <w:tab w:val="num" w:pos="1440"/>
        </w:tabs>
        <w:ind w:left="1440" w:hanging="360"/>
      </w:pPr>
      <w:rPr>
        <w:rFonts w:ascii="Arial" w:hAnsi="Arial" w:hint="default"/>
      </w:rPr>
    </w:lvl>
    <w:lvl w:ilvl="2" w:tplc="DEC6FB0C" w:tentative="1">
      <w:start w:val="1"/>
      <w:numFmt w:val="bullet"/>
      <w:lvlText w:val=""/>
      <w:lvlJc w:val="left"/>
      <w:pPr>
        <w:tabs>
          <w:tab w:val="num" w:pos="2160"/>
        </w:tabs>
        <w:ind w:left="2160" w:hanging="360"/>
      </w:pPr>
      <w:rPr>
        <w:rFonts w:ascii="Wingdings" w:hAnsi="Wingdings" w:hint="default"/>
      </w:rPr>
    </w:lvl>
    <w:lvl w:ilvl="3" w:tplc="9DE84BE6" w:tentative="1">
      <w:start w:val="1"/>
      <w:numFmt w:val="bullet"/>
      <w:lvlText w:val=""/>
      <w:lvlJc w:val="left"/>
      <w:pPr>
        <w:tabs>
          <w:tab w:val="num" w:pos="2880"/>
        </w:tabs>
        <w:ind w:left="2880" w:hanging="360"/>
      </w:pPr>
      <w:rPr>
        <w:rFonts w:ascii="Wingdings" w:hAnsi="Wingdings" w:hint="default"/>
      </w:rPr>
    </w:lvl>
    <w:lvl w:ilvl="4" w:tplc="0E7AC750" w:tentative="1">
      <w:start w:val="1"/>
      <w:numFmt w:val="bullet"/>
      <w:lvlText w:val=""/>
      <w:lvlJc w:val="left"/>
      <w:pPr>
        <w:tabs>
          <w:tab w:val="num" w:pos="3600"/>
        </w:tabs>
        <w:ind w:left="3600" w:hanging="360"/>
      </w:pPr>
      <w:rPr>
        <w:rFonts w:ascii="Wingdings" w:hAnsi="Wingdings" w:hint="default"/>
      </w:rPr>
    </w:lvl>
    <w:lvl w:ilvl="5" w:tplc="052007EA" w:tentative="1">
      <w:start w:val="1"/>
      <w:numFmt w:val="bullet"/>
      <w:lvlText w:val=""/>
      <w:lvlJc w:val="left"/>
      <w:pPr>
        <w:tabs>
          <w:tab w:val="num" w:pos="4320"/>
        </w:tabs>
        <w:ind w:left="4320" w:hanging="360"/>
      </w:pPr>
      <w:rPr>
        <w:rFonts w:ascii="Wingdings" w:hAnsi="Wingdings" w:hint="default"/>
      </w:rPr>
    </w:lvl>
    <w:lvl w:ilvl="6" w:tplc="09847FAE" w:tentative="1">
      <w:start w:val="1"/>
      <w:numFmt w:val="bullet"/>
      <w:lvlText w:val=""/>
      <w:lvlJc w:val="left"/>
      <w:pPr>
        <w:tabs>
          <w:tab w:val="num" w:pos="5040"/>
        </w:tabs>
        <w:ind w:left="5040" w:hanging="360"/>
      </w:pPr>
      <w:rPr>
        <w:rFonts w:ascii="Wingdings" w:hAnsi="Wingdings" w:hint="default"/>
      </w:rPr>
    </w:lvl>
    <w:lvl w:ilvl="7" w:tplc="C8C22FE2" w:tentative="1">
      <w:start w:val="1"/>
      <w:numFmt w:val="bullet"/>
      <w:lvlText w:val=""/>
      <w:lvlJc w:val="left"/>
      <w:pPr>
        <w:tabs>
          <w:tab w:val="num" w:pos="5760"/>
        </w:tabs>
        <w:ind w:left="5760" w:hanging="360"/>
      </w:pPr>
      <w:rPr>
        <w:rFonts w:ascii="Wingdings" w:hAnsi="Wingdings" w:hint="default"/>
      </w:rPr>
    </w:lvl>
    <w:lvl w:ilvl="8" w:tplc="527E3A04" w:tentative="1">
      <w:start w:val="1"/>
      <w:numFmt w:val="bullet"/>
      <w:lvlText w:val=""/>
      <w:lvlJc w:val="left"/>
      <w:pPr>
        <w:tabs>
          <w:tab w:val="num" w:pos="6480"/>
        </w:tabs>
        <w:ind w:left="6480" w:hanging="360"/>
      </w:pPr>
      <w:rPr>
        <w:rFonts w:ascii="Wingdings" w:hAnsi="Wingdings" w:hint="default"/>
      </w:rPr>
    </w:lvl>
  </w:abstractNum>
  <w:abstractNum w:abstractNumId="6">
    <w:nsid w:val="2F8713BC"/>
    <w:multiLevelType w:val="hybridMultilevel"/>
    <w:tmpl w:val="8AE88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F3635E"/>
    <w:multiLevelType w:val="hybridMultilevel"/>
    <w:tmpl w:val="968AADDA"/>
    <w:lvl w:ilvl="0" w:tplc="31446F7A">
      <w:start w:val="1"/>
      <w:numFmt w:val="bullet"/>
      <w:lvlText w:val=""/>
      <w:lvlJc w:val="left"/>
      <w:pPr>
        <w:tabs>
          <w:tab w:val="num" w:pos="720"/>
        </w:tabs>
        <w:ind w:left="720" w:hanging="360"/>
      </w:pPr>
      <w:rPr>
        <w:rFonts w:ascii="Wingdings" w:hAnsi="Wingdings" w:hint="default"/>
      </w:rPr>
    </w:lvl>
    <w:lvl w:ilvl="1" w:tplc="2C9E253E">
      <w:start w:val="249"/>
      <w:numFmt w:val="bullet"/>
      <w:lvlText w:val="•"/>
      <w:lvlJc w:val="left"/>
      <w:pPr>
        <w:tabs>
          <w:tab w:val="num" w:pos="1440"/>
        </w:tabs>
        <w:ind w:left="1440" w:hanging="360"/>
      </w:pPr>
      <w:rPr>
        <w:rFonts w:ascii="Arial" w:hAnsi="Arial" w:hint="default"/>
      </w:rPr>
    </w:lvl>
    <w:lvl w:ilvl="2" w:tplc="219E1FA4">
      <w:start w:val="1"/>
      <w:numFmt w:val="bullet"/>
      <w:lvlText w:val=""/>
      <w:lvlJc w:val="left"/>
      <w:pPr>
        <w:tabs>
          <w:tab w:val="num" w:pos="2160"/>
        </w:tabs>
        <w:ind w:left="2160" w:hanging="360"/>
      </w:pPr>
      <w:rPr>
        <w:rFonts w:ascii="Wingdings" w:hAnsi="Wingdings" w:hint="default"/>
      </w:rPr>
    </w:lvl>
    <w:lvl w:ilvl="3" w:tplc="2206A744" w:tentative="1">
      <w:start w:val="1"/>
      <w:numFmt w:val="bullet"/>
      <w:lvlText w:val=""/>
      <w:lvlJc w:val="left"/>
      <w:pPr>
        <w:tabs>
          <w:tab w:val="num" w:pos="2880"/>
        </w:tabs>
        <w:ind w:left="2880" w:hanging="360"/>
      </w:pPr>
      <w:rPr>
        <w:rFonts w:ascii="Wingdings" w:hAnsi="Wingdings" w:hint="default"/>
      </w:rPr>
    </w:lvl>
    <w:lvl w:ilvl="4" w:tplc="48C8ADDC" w:tentative="1">
      <w:start w:val="1"/>
      <w:numFmt w:val="bullet"/>
      <w:lvlText w:val=""/>
      <w:lvlJc w:val="left"/>
      <w:pPr>
        <w:tabs>
          <w:tab w:val="num" w:pos="3600"/>
        </w:tabs>
        <w:ind w:left="3600" w:hanging="360"/>
      </w:pPr>
      <w:rPr>
        <w:rFonts w:ascii="Wingdings" w:hAnsi="Wingdings" w:hint="default"/>
      </w:rPr>
    </w:lvl>
    <w:lvl w:ilvl="5" w:tplc="6308A6AE" w:tentative="1">
      <w:start w:val="1"/>
      <w:numFmt w:val="bullet"/>
      <w:lvlText w:val=""/>
      <w:lvlJc w:val="left"/>
      <w:pPr>
        <w:tabs>
          <w:tab w:val="num" w:pos="4320"/>
        </w:tabs>
        <w:ind w:left="4320" w:hanging="360"/>
      </w:pPr>
      <w:rPr>
        <w:rFonts w:ascii="Wingdings" w:hAnsi="Wingdings" w:hint="default"/>
      </w:rPr>
    </w:lvl>
    <w:lvl w:ilvl="6" w:tplc="EBC80932" w:tentative="1">
      <w:start w:val="1"/>
      <w:numFmt w:val="bullet"/>
      <w:lvlText w:val=""/>
      <w:lvlJc w:val="left"/>
      <w:pPr>
        <w:tabs>
          <w:tab w:val="num" w:pos="5040"/>
        </w:tabs>
        <w:ind w:left="5040" w:hanging="360"/>
      </w:pPr>
      <w:rPr>
        <w:rFonts w:ascii="Wingdings" w:hAnsi="Wingdings" w:hint="default"/>
      </w:rPr>
    </w:lvl>
    <w:lvl w:ilvl="7" w:tplc="0C6CE454" w:tentative="1">
      <w:start w:val="1"/>
      <w:numFmt w:val="bullet"/>
      <w:lvlText w:val=""/>
      <w:lvlJc w:val="left"/>
      <w:pPr>
        <w:tabs>
          <w:tab w:val="num" w:pos="5760"/>
        </w:tabs>
        <w:ind w:left="5760" w:hanging="360"/>
      </w:pPr>
      <w:rPr>
        <w:rFonts w:ascii="Wingdings" w:hAnsi="Wingdings" w:hint="default"/>
      </w:rPr>
    </w:lvl>
    <w:lvl w:ilvl="8" w:tplc="FB861020" w:tentative="1">
      <w:start w:val="1"/>
      <w:numFmt w:val="bullet"/>
      <w:lvlText w:val=""/>
      <w:lvlJc w:val="left"/>
      <w:pPr>
        <w:tabs>
          <w:tab w:val="num" w:pos="6480"/>
        </w:tabs>
        <w:ind w:left="6480" w:hanging="360"/>
      </w:pPr>
      <w:rPr>
        <w:rFonts w:ascii="Wingdings" w:hAnsi="Wingdings" w:hint="default"/>
      </w:rPr>
    </w:lvl>
  </w:abstractNum>
  <w:abstractNum w:abstractNumId="8">
    <w:nsid w:val="4B315BCA"/>
    <w:multiLevelType w:val="hybridMultilevel"/>
    <w:tmpl w:val="93F2538A"/>
    <w:lvl w:ilvl="0" w:tplc="AD3C4AAE">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26F277E4">
      <w:start w:val="1"/>
      <w:numFmt w:val="decimal"/>
      <w:lvlText w:val="%3)"/>
      <w:lvlJc w:val="left"/>
      <w:pPr>
        <w:ind w:left="2160" w:hanging="360"/>
      </w:pPr>
      <w:rPr>
        <w:rFonts w:hint="default"/>
      </w:rPr>
    </w:lvl>
    <w:lvl w:ilvl="3" w:tplc="A8F2F428">
      <w:start w:val="1"/>
      <w:numFmt w:val="decimal"/>
      <w:lvlText w:val="%4."/>
      <w:lvlJc w:val="left"/>
      <w:pPr>
        <w:tabs>
          <w:tab w:val="num" w:pos="2880"/>
        </w:tabs>
        <w:ind w:left="2880" w:hanging="360"/>
      </w:pPr>
    </w:lvl>
    <w:lvl w:ilvl="4" w:tplc="29D2DFB6" w:tentative="1">
      <w:start w:val="1"/>
      <w:numFmt w:val="decimal"/>
      <w:lvlText w:val="%5."/>
      <w:lvlJc w:val="left"/>
      <w:pPr>
        <w:tabs>
          <w:tab w:val="num" w:pos="3600"/>
        </w:tabs>
        <w:ind w:left="3600" w:hanging="360"/>
      </w:pPr>
    </w:lvl>
    <w:lvl w:ilvl="5" w:tplc="CA42D654" w:tentative="1">
      <w:start w:val="1"/>
      <w:numFmt w:val="decimal"/>
      <w:lvlText w:val="%6."/>
      <w:lvlJc w:val="left"/>
      <w:pPr>
        <w:tabs>
          <w:tab w:val="num" w:pos="4320"/>
        </w:tabs>
        <w:ind w:left="4320" w:hanging="360"/>
      </w:pPr>
    </w:lvl>
    <w:lvl w:ilvl="6" w:tplc="FF76EAA8" w:tentative="1">
      <w:start w:val="1"/>
      <w:numFmt w:val="decimal"/>
      <w:lvlText w:val="%7."/>
      <w:lvlJc w:val="left"/>
      <w:pPr>
        <w:tabs>
          <w:tab w:val="num" w:pos="5040"/>
        </w:tabs>
        <w:ind w:left="5040" w:hanging="360"/>
      </w:pPr>
    </w:lvl>
    <w:lvl w:ilvl="7" w:tplc="B454A830" w:tentative="1">
      <w:start w:val="1"/>
      <w:numFmt w:val="decimal"/>
      <w:lvlText w:val="%8."/>
      <w:lvlJc w:val="left"/>
      <w:pPr>
        <w:tabs>
          <w:tab w:val="num" w:pos="5760"/>
        </w:tabs>
        <w:ind w:left="5760" w:hanging="360"/>
      </w:pPr>
    </w:lvl>
    <w:lvl w:ilvl="8" w:tplc="E348CF8A" w:tentative="1">
      <w:start w:val="1"/>
      <w:numFmt w:val="decimal"/>
      <w:lvlText w:val="%9."/>
      <w:lvlJc w:val="left"/>
      <w:pPr>
        <w:tabs>
          <w:tab w:val="num" w:pos="6480"/>
        </w:tabs>
        <w:ind w:left="6480" w:hanging="360"/>
      </w:pPr>
    </w:lvl>
  </w:abstractNum>
  <w:abstractNum w:abstractNumId="9">
    <w:nsid w:val="507433F0"/>
    <w:multiLevelType w:val="hybridMultilevel"/>
    <w:tmpl w:val="1A6CFD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28F0A2E"/>
    <w:multiLevelType w:val="hybridMultilevel"/>
    <w:tmpl w:val="6D222BE2"/>
    <w:lvl w:ilvl="0" w:tplc="C06CA78E">
      <w:start w:val="1"/>
      <w:numFmt w:val="decimal"/>
      <w:lvlText w:val="%1."/>
      <w:lvlJc w:val="left"/>
      <w:pPr>
        <w:ind w:left="1028" w:hanging="332"/>
      </w:pPr>
      <w:rPr>
        <w:rFonts w:ascii="Times New Roman" w:eastAsia="Times New Roman" w:hAnsi="Times New Roman" w:cs="Times New Roman" w:hint="default"/>
        <w:color w:val="212126"/>
        <w:w w:val="118"/>
        <w:sz w:val="16"/>
        <w:szCs w:val="16"/>
      </w:rPr>
    </w:lvl>
    <w:lvl w:ilvl="1" w:tplc="6604017A">
      <w:start w:val="1"/>
      <w:numFmt w:val="bullet"/>
      <w:lvlText w:val="•"/>
      <w:lvlJc w:val="left"/>
      <w:pPr>
        <w:ind w:left="1955" w:hanging="332"/>
      </w:pPr>
      <w:rPr>
        <w:rFonts w:hint="default"/>
      </w:rPr>
    </w:lvl>
    <w:lvl w:ilvl="2" w:tplc="277C280A">
      <w:start w:val="1"/>
      <w:numFmt w:val="bullet"/>
      <w:lvlText w:val="•"/>
      <w:lvlJc w:val="left"/>
      <w:pPr>
        <w:ind w:left="2882" w:hanging="332"/>
      </w:pPr>
      <w:rPr>
        <w:rFonts w:hint="default"/>
      </w:rPr>
    </w:lvl>
    <w:lvl w:ilvl="3" w:tplc="4D16B332">
      <w:start w:val="1"/>
      <w:numFmt w:val="bullet"/>
      <w:lvlText w:val="•"/>
      <w:lvlJc w:val="left"/>
      <w:pPr>
        <w:ind w:left="3810" w:hanging="332"/>
      </w:pPr>
      <w:rPr>
        <w:rFonts w:hint="default"/>
      </w:rPr>
    </w:lvl>
    <w:lvl w:ilvl="4" w:tplc="FB208FF4">
      <w:start w:val="1"/>
      <w:numFmt w:val="bullet"/>
      <w:lvlText w:val="•"/>
      <w:lvlJc w:val="left"/>
      <w:pPr>
        <w:ind w:left="4737" w:hanging="332"/>
      </w:pPr>
      <w:rPr>
        <w:rFonts w:hint="default"/>
      </w:rPr>
    </w:lvl>
    <w:lvl w:ilvl="5" w:tplc="2CA078B8">
      <w:start w:val="1"/>
      <w:numFmt w:val="bullet"/>
      <w:lvlText w:val="•"/>
      <w:lvlJc w:val="left"/>
      <w:pPr>
        <w:ind w:left="5664" w:hanging="332"/>
      </w:pPr>
      <w:rPr>
        <w:rFonts w:hint="default"/>
      </w:rPr>
    </w:lvl>
    <w:lvl w:ilvl="6" w:tplc="B7B4FC44">
      <w:start w:val="1"/>
      <w:numFmt w:val="bullet"/>
      <w:lvlText w:val="•"/>
      <w:lvlJc w:val="left"/>
      <w:pPr>
        <w:ind w:left="6592" w:hanging="332"/>
      </w:pPr>
      <w:rPr>
        <w:rFonts w:hint="default"/>
      </w:rPr>
    </w:lvl>
    <w:lvl w:ilvl="7" w:tplc="5A02687A">
      <w:start w:val="1"/>
      <w:numFmt w:val="bullet"/>
      <w:lvlText w:val="•"/>
      <w:lvlJc w:val="left"/>
      <w:pPr>
        <w:ind w:left="7519" w:hanging="332"/>
      </w:pPr>
      <w:rPr>
        <w:rFonts w:hint="default"/>
      </w:rPr>
    </w:lvl>
    <w:lvl w:ilvl="8" w:tplc="70DAE5EE">
      <w:start w:val="1"/>
      <w:numFmt w:val="bullet"/>
      <w:lvlText w:val="•"/>
      <w:lvlJc w:val="left"/>
      <w:pPr>
        <w:ind w:left="8446" w:hanging="332"/>
      </w:pPr>
      <w:rPr>
        <w:rFonts w:hint="default"/>
      </w:rPr>
    </w:lvl>
  </w:abstractNum>
  <w:abstractNum w:abstractNumId="11">
    <w:nsid w:val="57FA565D"/>
    <w:multiLevelType w:val="hybridMultilevel"/>
    <w:tmpl w:val="CED8AB66"/>
    <w:lvl w:ilvl="0" w:tplc="F2D8CA84">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83C6E4A"/>
    <w:multiLevelType w:val="hybridMultilevel"/>
    <w:tmpl w:val="94BA4D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8"/>
  </w:num>
  <w:num w:numId="4">
    <w:abstractNumId w:val="9"/>
  </w:num>
  <w:num w:numId="5">
    <w:abstractNumId w:val="6"/>
  </w:num>
  <w:num w:numId="6">
    <w:abstractNumId w:val="3"/>
  </w:num>
  <w:num w:numId="7">
    <w:abstractNumId w:val="2"/>
  </w:num>
  <w:num w:numId="8">
    <w:abstractNumId w:val="5"/>
  </w:num>
  <w:num w:numId="9">
    <w:abstractNumId w:val="1"/>
  </w:num>
  <w:num w:numId="10">
    <w:abstractNumId w:val="7"/>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ADE"/>
    <w:rsid w:val="00013F20"/>
    <w:rsid w:val="000237B6"/>
    <w:rsid w:val="0002699D"/>
    <w:rsid w:val="00032DD0"/>
    <w:rsid w:val="00050DBB"/>
    <w:rsid w:val="00052572"/>
    <w:rsid w:val="00054DFD"/>
    <w:rsid w:val="00072860"/>
    <w:rsid w:val="000A0DCD"/>
    <w:rsid w:val="000C45A6"/>
    <w:rsid w:val="000C7693"/>
    <w:rsid w:val="000D2A3E"/>
    <w:rsid w:val="00117448"/>
    <w:rsid w:val="00134BA6"/>
    <w:rsid w:val="0014731B"/>
    <w:rsid w:val="0017137F"/>
    <w:rsid w:val="001977C4"/>
    <w:rsid w:val="001A2A20"/>
    <w:rsid w:val="001A77E6"/>
    <w:rsid w:val="001C0003"/>
    <w:rsid w:val="001D4949"/>
    <w:rsid w:val="001E0D64"/>
    <w:rsid w:val="001E51E0"/>
    <w:rsid w:val="001F6007"/>
    <w:rsid w:val="0020320E"/>
    <w:rsid w:val="00207105"/>
    <w:rsid w:val="0021174B"/>
    <w:rsid w:val="00214282"/>
    <w:rsid w:val="00216C38"/>
    <w:rsid w:val="0022586C"/>
    <w:rsid w:val="00227B3C"/>
    <w:rsid w:val="00241455"/>
    <w:rsid w:val="00273B38"/>
    <w:rsid w:val="00280D95"/>
    <w:rsid w:val="00283380"/>
    <w:rsid w:val="00292766"/>
    <w:rsid w:val="00293A73"/>
    <w:rsid w:val="002A5C90"/>
    <w:rsid w:val="002A5CD4"/>
    <w:rsid w:val="002C0FFD"/>
    <w:rsid w:val="002C405F"/>
    <w:rsid w:val="002D1043"/>
    <w:rsid w:val="002D53EA"/>
    <w:rsid w:val="002D72CD"/>
    <w:rsid w:val="002E2650"/>
    <w:rsid w:val="002E3959"/>
    <w:rsid w:val="0031217B"/>
    <w:rsid w:val="003315BC"/>
    <w:rsid w:val="00334CA0"/>
    <w:rsid w:val="00337B4E"/>
    <w:rsid w:val="00337E24"/>
    <w:rsid w:val="003469A6"/>
    <w:rsid w:val="00352362"/>
    <w:rsid w:val="00352EB1"/>
    <w:rsid w:val="00364059"/>
    <w:rsid w:val="003760C2"/>
    <w:rsid w:val="003861FA"/>
    <w:rsid w:val="00386A15"/>
    <w:rsid w:val="003A22AE"/>
    <w:rsid w:val="003A5C28"/>
    <w:rsid w:val="003B26D7"/>
    <w:rsid w:val="003B2EFB"/>
    <w:rsid w:val="003B639B"/>
    <w:rsid w:val="003C0B7C"/>
    <w:rsid w:val="003C35FD"/>
    <w:rsid w:val="003D6098"/>
    <w:rsid w:val="003F7E86"/>
    <w:rsid w:val="0040165B"/>
    <w:rsid w:val="00402F8C"/>
    <w:rsid w:val="00411F81"/>
    <w:rsid w:val="0041506B"/>
    <w:rsid w:val="00426FEE"/>
    <w:rsid w:val="0042786D"/>
    <w:rsid w:val="00443216"/>
    <w:rsid w:val="0045356F"/>
    <w:rsid w:val="00470F53"/>
    <w:rsid w:val="00474691"/>
    <w:rsid w:val="004754FB"/>
    <w:rsid w:val="004809AB"/>
    <w:rsid w:val="004A0A8D"/>
    <w:rsid w:val="004A762E"/>
    <w:rsid w:val="004B305D"/>
    <w:rsid w:val="004B3BE5"/>
    <w:rsid w:val="004C0F00"/>
    <w:rsid w:val="004C5781"/>
    <w:rsid w:val="004D1E49"/>
    <w:rsid w:val="004D57EF"/>
    <w:rsid w:val="004E41A5"/>
    <w:rsid w:val="004F2343"/>
    <w:rsid w:val="00501EE6"/>
    <w:rsid w:val="00512188"/>
    <w:rsid w:val="00522BDC"/>
    <w:rsid w:val="005232D6"/>
    <w:rsid w:val="00524786"/>
    <w:rsid w:val="00545399"/>
    <w:rsid w:val="00545F4F"/>
    <w:rsid w:val="00546A01"/>
    <w:rsid w:val="0055251E"/>
    <w:rsid w:val="00553999"/>
    <w:rsid w:val="00557E16"/>
    <w:rsid w:val="00563D4F"/>
    <w:rsid w:val="00570FF2"/>
    <w:rsid w:val="00577FA9"/>
    <w:rsid w:val="00582B4A"/>
    <w:rsid w:val="005929FC"/>
    <w:rsid w:val="00597257"/>
    <w:rsid w:val="005B51F5"/>
    <w:rsid w:val="005B64D6"/>
    <w:rsid w:val="005B65B0"/>
    <w:rsid w:val="005C0781"/>
    <w:rsid w:val="005D3B28"/>
    <w:rsid w:val="005D4D26"/>
    <w:rsid w:val="005D6986"/>
    <w:rsid w:val="005E2CD0"/>
    <w:rsid w:val="005F5F35"/>
    <w:rsid w:val="00622991"/>
    <w:rsid w:val="00635A4A"/>
    <w:rsid w:val="00640E6C"/>
    <w:rsid w:val="006435DE"/>
    <w:rsid w:val="00670D41"/>
    <w:rsid w:val="00680647"/>
    <w:rsid w:val="00681A58"/>
    <w:rsid w:val="00682FB9"/>
    <w:rsid w:val="006848C1"/>
    <w:rsid w:val="0068524B"/>
    <w:rsid w:val="0069019E"/>
    <w:rsid w:val="006963AD"/>
    <w:rsid w:val="006A40E4"/>
    <w:rsid w:val="006B1A90"/>
    <w:rsid w:val="006B3D6D"/>
    <w:rsid w:val="006C2BE1"/>
    <w:rsid w:val="006C73B6"/>
    <w:rsid w:val="006D2820"/>
    <w:rsid w:val="006E5F04"/>
    <w:rsid w:val="006F2059"/>
    <w:rsid w:val="006F720C"/>
    <w:rsid w:val="00701F0F"/>
    <w:rsid w:val="007069F3"/>
    <w:rsid w:val="0071213D"/>
    <w:rsid w:val="0073053E"/>
    <w:rsid w:val="0073226A"/>
    <w:rsid w:val="00743AE1"/>
    <w:rsid w:val="0074777A"/>
    <w:rsid w:val="00764F43"/>
    <w:rsid w:val="0079371C"/>
    <w:rsid w:val="007A0798"/>
    <w:rsid w:val="007A2CE3"/>
    <w:rsid w:val="007D3BDB"/>
    <w:rsid w:val="007D56BF"/>
    <w:rsid w:val="007E014C"/>
    <w:rsid w:val="007F147A"/>
    <w:rsid w:val="007F4107"/>
    <w:rsid w:val="007F507E"/>
    <w:rsid w:val="007F7BB2"/>
    <w:rsid w:val="00810CD1"/>
    <w:rsid w:val="008117B0"/>
    <w:rsid w:val="00820C16"/>
    <w:rsid w:val="008375E0"/>
    <w:rsid w:val="0086274B"/>
    <w:rsid w:val="00875B3E"/>
    <w:rsid w:val="008B4932"/>
    <w:rsid w:val="008C0AA5"/>
    <w:rsid w:val="008D697C"/>
    <w:rsid w:val="008F18DC"/>
    <w:rsid w:val="008F771E"/>
    <w:rsid w:val="00902588"/>
    <w:rsid w:val="00904580"/>
    <w:rsid w:val="0091125F"/>
    <w:rsid w:val="00926BAB"/>
    <w:rsid w:val="00933960"/>
    <w:rsid w:val="00937496"/>
    <w:rsid w:val="0094586C"/>
    <w:rsid w:val="009829E8"/>
    <w:rsid w:val="00985C80"/>
    <w:rsid w:val="009A7219"/>
    <w:rsid w:val="009F45DC"/>
    <w:rsid w:val="009F665C"/>
    <w:rsid w:val="00A012B2"/>
    <w:rsid w:val="00A07036"/>
    <w:rsid w:val="00A179AB"/>
    <w:rsid w:val="00A256C1"/>
    <w:rsid w:val="00A25D1B"/>
    <w:rsid w:val="00A477EB"/>
    <w:rsid w:val="00A57A42"/>
    <w:rsid w:val="00A82FBD"/>
    <w:rsid w:val="00A85886"/>
    <w:rsid w:val="00A85982"/>
    <w:rsid w:val="00A869CD"/>
    <w:rsid w:val="00AB0FC2"/>
    <w:rsid w:val="00AB5938"/>
    <w:rsid w:val="00AC4663"/>
    <w:rsid w:val="00AC4DFF"/>
    <w:rsid w:val="00AD61F5"/>
    <w:rsid w:val="00AE251F"/>
    <w:rsid w:val="00AF0E46"/>
    <w:rsid w:val="00AF64D2"/>
    <w:rsid w:val="00B00065"/>
    <w:rsid w:val="00B02F4A"/>
    <w:rsid w:val="00B03F06"/>
    <w:rsid w:val="00B10977"/>
    <w:rsid w:val="00B110DF"/>
    <w:rsid w:val="00B140C4"/>
    <w:rsid w:val="00B14EAA"/>
    <w:rsid w:val="00B20946"/>
    <w:rsid w:val="00B24BF0"/>
    <w:rsid w:val="00B27F3A"/>
    <w:rsid w:val="00B439BE"/>
    <w:rsid w:val="00B46C3D"/>
    <w:rsid w:val="00B4763C"/>
    <w:rsid w:val="00B67EBA"/>
    <w:rsid w:val="00B807C5"/>
    <w:rsid w:val="00B84AA3"/>
    <w:rsid w:val="00B930A7"/>
    <w:rsid w:val="00BB031B"/>
    <w:rsid w:val="00BB1485"/>
    <w:rsid w:val="00BB7027"/>
    <w:rsid w:val="00BB79E0"/>
    <w:rsid w:val="00BC43EF"/>
    <w:rsid w:val="00BD5375"/>
    <w:rsid w:val="00BE7714"/>
    <w:rsid w:val="00BF4B22"/>
    <w:rsid w:val="00BF77FF"/>
    <w:rsid w:val="00C108A6"/>
    <w:rsid w:val="00C10ADE"/>
    <w:rsid w:val="00C15A21"/>
    <w:rsid w:val="00C279E0"/>
    <w:rsid w:val="00C314FE"/>
    <w:rsid w:val="00C34A58"/>
    <w:rsid w:val="00C570F8"/>
    <w:rsid w:val="00C62AFB"/>
    <w:rsid w:val="00C652D4"/>
    <w:rsid w:val="00C65729"/>
    <w:rsid w:val="00C67D21"/>
    <w:rsid w:val="00CA31B3"/>
    <w:rsid w:val="00CA5790"/>
    <w:rsid w:val="00CB2913"/>
    <w:rsid w:val="00CE0AA1"/>
    <w:rsid w:val="00CF3548"/>
    <w:rsid w:val="00CF3D19"/>
    <w:rsid w:val="00D01D1D"/>
    <w:rsid w:val="00D044CF"/>
    <w:rsid w:val="00D11B09"/>
    <w:rsid w:val="00D1498F"/>
    <w:rsid w:val="00D2039A"/>
    <w:rsid w:val="00D2458C"/>
    <w:rsid w:val="00D34FD7"/>
    <w:rsid w:val="00D35297"/>
    <w:rsid w:val="00D43969"/>
    <w:rsid w:val="00D67896"/>
    <w:rsid w:val="00DB51DB"/>
    <w:rsid w:val="00DC4575"/>
    <w:rsid w:val="00DD1E96"/>
    <w:rsid w:val="00DD3F58"/>
    <w:rsid w:val="00DD7F94"/>
    <w:rsid w:val="00DD7FB6"/>
    <w:rsid w:val="00DE0866"/>
    <w:rsid w:val="00DF31BC"/>
    <w:rsid w:val="00DF41ED"/>
    <w:rsid w:val="00E00E63"/>
    <w:rsid w:val="00E23BAA"/>
    <w:rsid w:val="00E245BE"/>
    <w:rsid w:val="00E300BB"/>
    <w:rsid w:val="00E435E6"/>
    <w:rsid w:val="00E52374"/>
    <w:rsid w:val="00E54FE9"/>
    <w:rsid w:val="00E6675C"/>
    <w:rsid w:val="00E767A2"/>
    <w:rsid w:val="00E910B5"/>
    <w:rsid w:val="00E97C0B"/>
    <w:rsid w:val="00EC45E6"/>
    <w:rsid w:val="00EC511C"/>
    <w:rsid w:val="00EE212C"/>
    <w:rsid w:val="00F36A8C"/>
    <w:rsid w:val="00F371EB"/>
    <w:rsid w:val="00F720FE"/>
    <w:rsid w:val="00F73A9E"/>
    <w:rsid w:val="00F825D8"/>
    <w:rsid w:val="00F86B9F"/>
    <w:rsid w:val="00FA07BA"/>
    <w:rsid w:val="00FA5A37"/>
    <w:rsid w:val="00FA7A31"/>
    <w:rsid w:val="00FC4779"/>
    <w:rsid w:val="00FF4447"/>
    <w:rsid w:val="00FF6308"/>
    <w:rsid w:val="00FF7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ADE"/>
    <w:pPr>
      <w:spacing w:before="120" w:after="120" w:line="240" w:lineRule="auto"/>
      <w:ind w:left="720"/>
      <w:contextualSpacing/>
    </w:pPr>
    <w:rPr>
      <w:rFonts w:ascii="Arial" w:hAnsi="Arial"/>
      <w:color w:val="000000" w:themeColor="text1"/>
    </w:rPr>
  </w:style>
  <w:style w:type="paragraph" w:styleId="FootnoteText">
    <w:name w:val="footnote text"/>
    <w:basedOn w:val="Normal"/>
    <w:link w:val="FootnoteTextChar"/>
    <w:uiPriority w:val="99"/>
    <w:unhideWhenUsed/>
    <w:rsid w:val="00D35297"/>
    <w:pPr>
      <w:spacing w:after="0" w:line="240" w:lineRule="auto"/>
    </w:pPr>
    <w:rPr>
      <w:sz w:val="20"/>
      <w:szCs w:val="20"/>
    </w:rPr>
  </w:style>
  <w:style w:type="character" w:customStyle="1" w:styleId="FootnoteTextChar">
    <w:name w:val="Footnote Text Char"/>
    <w:basedOn w:val="DefaultParagraphFont"/>
    <w:link w:val="FootnoteText"/>
    <w:uiPriority w:val="99"/>
    <w:rsid w:val="00D35297"/>
    <w:rPr>
      <w:sz w:val="20"/>
      <w:szCs w:val="20"/>
    </w:rPr>
  </w:style>
  <w:style w:type="character" w:styleId="FootnoteReference">
    <w:name w:val="footnote reference"/>
    <w:basedOn w:val="DefaultParagraphFont"/>
    <w:uiPriority w:val="99"/>
    <w:semiHidden/>
    <w:unhideWhenUsed/>
    <w:rsid w:val="00D35297"/>
    <w:rPr>
      <w:vertAlign w:val="superscript"/>
    </w:rPr>
  </w:style>
  <w:style w:type="paragraph" w:styleId="Header">
    <w:name w:val="header"/>
    <w:basedOn w:val="Normal"/>
    <w:link w:val="HeaderChar"/>
    <w:uiPriority w:val="99"/>
    <w:unhideWhenUsed/>
    <w:rsid w:val="00DD3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F58"/>
  </w:style>
  <w:style w:type="paragraph" w:styleId="Footer">
    <w:name w:val="footer"/>
    <w:basedOn w:val="Normal"/>
    <w:link w:val="FooterChar"/>
    <w:uiPriority w:val="99"/>
    <w:unhideWhenUsed/>
    <w:rsid w:val="00DD3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F58"/>
  </w:style>
  <w:style w:type="character" w:styleId="Hyperlink">
    <w:name w:val="Hyperlink"/>
    <w:uiPriority w:val="99"/>
    <w:unhideWhenUsed/>
    <w:rsid w:val="0071213D"/>
    <w:rPr>
      <w:color w:val="0000FF"/>
      <w:u w:val="single"/>
    </w:rPr>
  </w:style>
  <w:style w:type="character" w:customStyle="1" w:styleId="fontstyle01">
    <w:name w:val="fontstyle01"/>
    <w:basedOn w:val="DefaultParagraphFont"/>
    <w:rsid w:val="00E910B5"/>
    <w:rPr>
      <w:rFonts w:ascii="TimesNewRomanPS-ItalicMT" w:hAnsi="TimesNewRomanPS-ItalicMT" w:hint="default"/>
      <w:b w:val="0"/>
      <w:bCs w:val="0"/>
      <w:i/>
      <w:iCs/>
      <w:color w:val="000000"/>
      <w:sz w:val="16"/>
      <w:szCs w:val="16"/>
    </w:rPr>
  </w:style>
  <w:style w:type="character" w:customStyle="1" w:styleId="fontstyle21">
    <w:name w:val="fontstyle21"/>
    <w:basedOn w:val="DefaultParagraphFont"/>
    <w:rsid w:val="00E910B5"/>
    <w:rPr>
      <w:rFonts w:ascii="TimesNewRomanPSMT" w:hAnsi="TimesNewRomanPSMT" w:hint="default"/>
      <w:b w:val="0"/>
      <w:bCs w:val="0"/>
      <w:i w:val="0"/>
      <w:iCs w:val="0"/>
      <w:color w:val="000000"/>
      <w:sz w:val="16"/>
      <w:szCs w:val="16"/>
    </w:rPr>
  </w:style>
  <w:style w:type="paragraph" w:styleId="BalloonText">
    <w:name w:val="Balloon Text"/>
    <w:basedOn w:val="Normal"/>
    <w:link w:val="BalloonTextChar"/>
    <w:uiPriority w:val="99"/>
    <w:semiHidden/>
    <w:unhideWhenUsed/>
    <w:rsid w:val="00670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41"/>
    <w:rPr>
      <w:rFonts w:ascii="Tahoma" w:hAnsi="Tahoma" w:cs="Tahoma"/>
      <w:sz w:val="16"/>
      <w:szCs w:val="16"/>
    </w:rPr>
  </w:style>
  <w:style w:type="paragraph" w:styleId="BodyText">
    <w:name w:val="Body Text"/>
    <w:basedOn w:val="Normal"/>
    <w:link w:val="BodyTextChar"/>
    <w:uiPriority w:val="1"/>
    <w:qFormat/>
    <w:rsid w:val="008B4932"/>
    <w:pPr>
      <w:widowControl w:val="0"/>
      <w:spacing w:after="0" w:line="240" w:lineRule="auto"/>
      <w:ind w:left="322"/>
    </w:pPr>
    <w:rPr>
      <w:rFonts w:ascii="Times New Roman" w:eastAsia="Times New Roman" w:hAnsi="Times New Roman" w:cs="Times New Roman"/>
      <w:sz w:val="16"/>
      <w:szCs w:val="16"/>
      <w:lang w:val="en-US"/>
    </w:rPr>
  </w:style>
  <w:style w:type="character" w:customStyle="1" w:styleId="BodyTextChar">
    <w:name w:val="Body Text Char"/>
    <w:basedOn w:val="DefaultParagraphFont"/>
    <w:link w:val="BodyText"/>
    <w:uiPriority w:val="1"/>
    <w:rsid w:val="008B4932"/>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8B4932"/>
    <w:pPr>
      <w:widowControl w:val="0"/>
      <w:spacing w:after="0" w:line="240" w:lineRule="auto"/>
    </w:pPr>
    <w:rPr>
      <w:rFonts w:eastAsia="Times New Roman" w:cs="Times New Roman"/>
      <w:lang w:val="en-US"/>
    </w:rPr>
  </w:style>
  <w:style w:type="table" w:styleId="TableGrid">
    <w:name w:val="Table Grid"/>
    <w:basedOn w:val="TableNormal"/>
    <w:uiPriority w:val="59"/>
    <w:rsid w:val="008B4932"/>
    <w:pPr>
      <w:widowControl w:val="0"/>
      <w:spacing w:after="0" w:line="240" w:lineRule="auto"/>
    </w:pPr>
    <w:rPr>
      <w:rFonts w:eastAsia="Times New Roman" w:cs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8B4932"/>
    <w:pPr>
      <w:pBdr>
        <w:top w:val="single" w:sz="6" w:space="1" w:color="auto"/>
      </w:pBdr>
      <w:spacing w:after="0" w:line="240" w:lineRule="auto"/>
      <w:jc w:val="center"/>
    </w:pPr>
    <w:rPr>
      <w:rFonts w:ascii="Arial" w:eastAsia="Calibri"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8B4932"/>
    <w:rPr>
      <w:rFonts w:ascii="Arial" w:eastAsia="Calibri" w:hAnsi="Arial" w:cs="Arial"/>
      <w:vanish/>
      <w:sz w:val="16"/>
      <w:szCs w:val="16"/>
      <w:lang w:eastAsia="en-AU"/>
    </w:rPr>
  </w:style>
  <w:style w:type="paragraph" w:styleId="z-TopofForm">
    <w:name w:val="HTML Top of Form"/>
    <w:basedOn w:val="Normal"/>
    <w:next w:val="Normal"/>
    <w:link w:val="z-TopofFormChar"/>
    <w:hidden/>
    <w:uiPriority w:val="99"/>
    <w:semiHidden/>
    <w:unhideWhenUsed/>
    <w:rsid w:val="008B4932"/>
    <w:pPr>
      <w:pBdr>
        <w:bottom w:val="single" w:sz="6" w:space="1" w:color="auto"/>
      </w:pBdr>
      <w:spacing w:after="0" w:line="240" w:lineRule="auto"/>
      <w:jc w:val="center"/>
    </w:pPr>
    <w:rPr>
      <w:rFonts w:ascii="Arial" w:eastAsia="Calibri" w:hAnsi="Arial" w:cs="Arial"/>
      <w:vanish/>
      <w:sz w:val="16"/>
      <w:szCs w:val="16"/>
      <w:lang w:eastAsia="en-AU"/>
    </w:rPr>
  </w:style>
  <w:style w:type="character" w:customStyle="1" w:styleId="z-TopofFormChar">
    <w:name w:val="z-Top of Form Char"/>
    <w:basedOn w:val="DefaultParagraphFont"/>
    <w:link w:val="z-TopofForm"/>
    <w:uiPriority w:val="99"/>
    <w:semiHidden/>
    <w:rsid w:val="008B4932"/>
    <w:rPr>
      <w:rFonts w:ascii="Arial" w:eastAsia="Calibri" w:hAnsi="Arial" w:cs="Arial"/>
      <w:vanish/>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ADE"/>
    <w:pPr>
      <w:spacing w:before="120" w:after="120" w:line="240" w:lineRule="auto"/>
      <w:ind w:left="720"/>
      <w:contextualSpacing/>
    </w:pPr>
    <w:rPr>
      <w:rFonts w:ascii="Arial" w:hAnsi="Arial"/>
      <w:color w:val="000000" w:themeColor="text1"/>
    </w:rPr>
  </w:style>
  <w:style w:type="paragraph" w:styleId="FootnoteText">
    <w:name w:val="footnote text"/>
    <w:basedOn w:val="Normal"/>
    <w:link w:val="FootnoteTextChar"/>
    <w:uiPriority w:val="99"/>
    <w:unhideWhenUsed/>
    <w:rsid w:val="00D35297"/>
    <w:pPr>
      <w:spacing w:after="0" w:line="240" w:lineRule="auto"/>
    </w:pPr>
    <w:rPr>
      <w:sz w:val="20"/>
      <w:szCs w:val="20"/>
    </w:rPr>
  </w:style>
  <w:style w:type="character" w:customStyle="1" w:styleId="FootnoteTextChar">
    <w:name w:val="Footnote Text Char"/>
    <w:basedOn w:val="DefaultParagraphFont"/>
    <w:link w:val="FootnoteText"/>
    <w:uiPriority w:val="99"/>
    <w:rsid w:val="00D35297"/>
    <w:rPr>
      <w:sz w:val="20"/>
      <w:szCs w:val="20"/>
    </w:rPr>
  </w:style>
  <w:style w:type="character" w:styleId="FootnoteReference">
    <w:name w:val="footnote reference"/>
    <w:basedOn w:val="DefaultParagraphFont"/>
    <w:uiPriority w:val="99"/>
    <w:semiHidden/>
    <w:unhideWhenUsed/>
    <w:rsid w:val="00D35297"/>
    <w:rPr>
      <w:vertAlign w:val="superscript"/>
    </w:rPr>
  </w:style>
  <w:style w:type="paragraph" w:styleId="Header">
    <w:name w:val="header"/>
    <w:basedOn w:val="Normal"/>
    <w:link w:val="HeaderChar"/>
    <w:uiPriority w:val="99"/>
    <w:unhideWhenUsed/>
    <w:rsid w:val="00DD3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F58"/>
  </w:style>
  <w:style w:type="paragraph" w:styleId="Footer">
    <w:name w:val="footer"/>
    <w:basedOn w:val="Normal"/>
    <w:link w:val="FooterChar"/>
    <w:uiPriority w:val="99"/>
    <w:unhideWhenUsed/>
    <w:rsid w:val="00DD3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F58"/>
  </w:style>
  <w:style w:type="character" w:styleId="Hyperlink">
    <w:name w:val="Hyperlink"/>
    <w:uiPriority w:val="99"/>
    <w:unhideWhenUsed/>
    <w:rsid w:val="0071213D"/>
    <w:rPr>
      <w:color w:val="0000FF"/>
      <w:u w:val="single"/>
    </w:rPr>
  </w:style>
  <w:style w:type="character" w:customStyle="1" w:styleId="fontstyle01">
    <w:name w:val="fontstyle01"/>
    <w:basedOn w:val="DefaultParagraphFont"/>
    <w:rsid w:val="00E910B5"/>
    <w:rPr>
      <w:rFonts w:ascii="TimesNewRomanPS-ItalicMT" w:hAnsi="TimesNewRomanPS-ItalicMT" w:hint="default"/>
      <w:b w:val="0"/>
      <w:bCs w:val="0"/>
      <w:i/>
      <w:iCs/>
      <w:color w:val="000000"/>
      <w:sz w:val="16"/>
      <w:szCs w:val="16"/>
    </w:rPr>
  </w:style>
  <w:style w:type="character" w:customStyle="1" w:styleId="fontstyle21">
    <w:name w:val="fontstyle21"/>
    <w:basedOn w:val="DefaultParagraphFont"/>
    <w:rsid w:val="00E910B5"/>
    <w:rPr>
      <w:rFonts w:ascii="TimesNewRomanPSMT" w:hAnsi="TimesNewRomanPSMT" w:hint="default"/>
      <w:b w:val="0"/>
      <w:bCs w:val="0"/>
      <w:i w:val="0"/>
      <w:iCs w:val="0"/>
      <w:color w:val="000000"/>
      <w:sz w:val="16"/>
      <w:szCs w:val="16"/>
    </w:rPr>
  </w:style>
  <w:style w:type="paragraph" w:styleId="BalloonText">
    <w:name w:val="Balloon Text"/>
    <w:basedOn w:val="Normal"/>
    <w:link w:val="BalloonTextChar"/>
    <w:uiPriority w:val="99"/>
    <w:semiHidden/>
    <w:unhideWhenUsed/>
    <w:rsid w:val="00670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41"/>
    <w:rPr>
      <w:rFonts w:ascii="Tahoma" w:hAnsi="Tahoma" w:cs="Tahoma"/>
      <w:sz w:val="16"/>
      <w:szCs w:val="16"/>
    </w:rPr>
  </w:style>
  <w:style w:type="paragraph" w:styleId="BodyText">
    <w:name w:val="Body Text"/>
    <w:basedOn w:val="Normal"/>
    <w:link w:val="BodyTextChar"/>
    <w:uiPriority w:val="1"/>
    <w:qFormat/>
    <w:rsid w:val="008B4932"/>
    <w:pPr>
      <w:widowControl w:val="0"/>
      <w:spacing w:after="0" w:line="240" w:lineRule="auto"/>
      <w:ind w:left="322"/>
    </w:pPr>
    <w:rPr>
      <w:rFonts w:ascii="Times New Roman" w:eastAsia="Times New Roman" w:hAnsi="Times New Roman" w:cs="Times New Roman"/>
      <w:sz w:val="16"/>
      <w:szCs w:val="16"/>
      <w:lang w:val="en-US"/>
    </w:rPr>
  </w:style>
  <w:style w:type="character" w:customStyle="1" w:styleId="BodyTextChar">
    <w:name w:val="Body Text Char"/>
    <w:basedOn w:val="DefaultParagraphFont"/>
    <w:link w:val="BodyText"/>
    <w:uiPriority w:val="1"/>
    <w:rsid w:val="008B4932"/>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8B4932"/>
    <w:pPr>
      <w:widowControl w:val="0"/>
      <w:spacing w:after="0" w:line="240" w:lineRule="auto"/>
    </w:pPr>
    <w:rPr>
      <w:rFonts w:eastAsia="Times New Roman" w:cs="Times New Roman"/>
      <w:lang w:val="en-US"/>
    </w:rPr>
  </w:style>
  <w:style w:type="table" w:styleId="TableGrid">
    <w:name w:val="Table Grid"/>
    <w:basedOn w:val="TableNormal"/>
    <w:uiPriority w:val="59"/>
    <w:rsid w:val="008B4932"/>
    <w:pPr>
      <w:widowControl w:val="0"/>
      <w:spacing w:after="0" w:line="240" w:lineRule="auto"/>
    </w:pPr>
    <w:rPr>
      <w:rFonts w:eastAsia="Times New Roman" w:cs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8B4932"/>
    <w:pPr>
      <w:pBdr>
        <w:top w:val="single" w:sz="6" w:space="1" w:color="auto"/>
      </w:pBdr>
      <w:spacing w:after="0" w:line="240" w:lineRule="auto"/>
      <w:jc w:val="center"/>
    </w:pPr>
    <w:rPr>
      <w:rFonts w:ascii="Arial" w:eastAsia="Calibri"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8B4932"/>
    <w:rPr>
      <w:rFonts w:ascii="Arial" w:eastAsia="Calibri" w:hAnsi="Arial" w:cs="Arial"/>
      <w:vanish/>
      <w:sz w:val="16"/>
      <w:szCs w:val="16"/>
      <w:lang w:eastAsia="en-AU"/>
    </w:rPr>
  </w:style>
  <w:style w:type="paragraph" w:styleId="z-TopofForm">
    <w:name w:val="HTML Top of Form"/>
    <w:basedOn w:val="Normal"/>
    <w:next w:val="Normal"/>
    <w:link w:val="z-TopofFormChar"/>
    <w:hidden/>
    <w:uiPriority w:val="99"/>
    <w:semiHidden/>
    <w:unhideWhenUsed/>
    <w:rsid w:val="008B4932"/>
    <w:pPr>
      <w:pBdr>
        <w:bottom w:val="single" w:sz="6" w:space="1" w:color="auto"/>
      </w:pBdr>
      <w:spacing w:after="0" w:line="240" w:lineRule="auto"/>
      <w:jc w:val="center"/>
    </w:pPr>
    <w:rPr>
      <w:rFonts w:ascii="Arial" w:eastAsia="Calibri" w:hAnsi="Arial" w:cs="Arial"/>
      <w:vanish/>
      <w:sz w:val="16"/>
      <w:szCs w:val="16"/>
      <w:lang w:eastAsia="en-AU"/>
    </w:rPr>
  </w:style>
  <w:style w:type="character" w:customStyle="1" w:styleId="z-TopofFormChar">
    <w:name w:val="z-Top of Form Char"/>
    <w:basedOn w:val="DefaultParagraphFont"/>
    <w:link w:val="z-TopofForm"/>
    <w:uiPriority w:val="99"/>
    <w:semiHidden/>
    <w:rsid w:val="008B4932"/>
    <w:rPr>
      <w:rFonts w:ascii="Arial" w:eastAsia="Calibri" w:hAnsi="Arial" w:cs="Arial"/>
      <w:vanish/>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21060">
      <w:bodyDiv w:val="1"/>
      <w:marLeft w:val="0"/>
      <w:marRight w:val="0"/>
      <w:marTop w:val="0"/>
      <w:marBottom w:val="0"/>
      <w:divBdr>
        <w:top w:val="none" w:sz="0" w:space="0" w:color="auto"/>
        <w:left w:val="none" w:sz="0" w:space="0" w:color="auto"/>
        <w:bottom w:val="none" w:sz="0" w:space="0" w:color="auto"/>
        <w:right w:val="none" w:sz="0" w:space="0" w:color="auto"/>
      </w:divBdr>
    </w:div>
    <w:div w:id="1146316475">
      <w:bodyDiv w:val="1"/>
      <w:marLeft w:val="0"/>
      <w:marRight w:val="0"/>
      <w:marTop w:val="0"/>
      <w:marBottom w:val="0"/>
      <w:divBdr>
        <w:top w:val="none" w:sz="0" w:space="0" w:color="auto"/>
        <w:left w:val="none" w:sz="0" w:space="0" w:color="auto"/>
        <w:bottom w:val="none" w:sz="0" w:space="0" w:color="auto"/>
        <w:right w:val="none" w:sz="0" w:space="0" w:color="auto"/>
      </w:divBdr>
    </w:div>
    <w:div w:id="1195341476">
      <w:bodyDiv w:val="1"/>
      <w:marLeft w:val="0"/>
      <w:marRight w:val="0"/>
      <w:marTop w:val="0"/>
      <w:marBottom w:val="0"/>
      <w:divBdr>
        <w:top w:val="none" w:sz="0" w:space="0" w:color="auto"/>
        <w:left w:val="none" w:sz="0" w:space="0" w:color="auto"/>
        <w:bottom w:val="none" w:sz="0" w:space="0" w:color="auto"/>
        <w:right w:val="none" w:sz="0" w:space="0" w:color="auto"/>
      </w:divBdr>
      <w:divsChild>
        <w:div w:id="19860799">
          <w:marLeft w:val="0"/>
          <w:marRight w:val="0"/>
          <w:marTop w:val="0"/>
          <w:marBottom w:val="0"/>
          <w:divBdr>
            <w:top w:val="none" w:sz="0" w:space="0" w:color="auto"/>
            <w:left w:val="none" w:sz="0" w:space="0" w:color="auto"/>
            <w:bottom w:val="none" w:sz="0" w:space="0" w:color="auto"/>
            <w:right w:val="none" w:sz="0" w:space="0" w:color="auto"/>
          </w:divBdr>
        </w:div>
        <w:div w:id="79908266">
          <w:marLeft w:val="0"/>
          <w:marRight w:val="0"/>
          <w:marTop w:val="0"/>
          <w:marBottom w:val="0"/>
          <w:divBdr>
            <w:top w:val="none" w:sz="0" w:space="0" w:color="auto"/>
            <w:left w:val="none" w:sz="0" w:space="0" w:color="auto"/>
            <w:bottom w:val="none" w:sz="0" w:space="0" w:color="auto"/>
            <w:right w:val="none" w:sz="0" w:space="0" w:color="auto"/>
          </w:divBdr>
        </w:div>
        <w:div w:id="291398791">
          <w:marLeft w:val="0"/>
          <w:marRight w:val="0"/>
          <w:marTop w:val="0"/>
          <w:marBottom w:val="0"/>
          <w:divBdr>
            <w:top w:val="none" w:sz="0" w:space="0" w:color="auto"/>
            <w:left w:val="none" w:sz="0" w:space="0" w:color="auto"/>
            <w:bottom w:val="none" w:sz="0" w:space="0" w:color="auto"/>
            <w:right w:val="none" w:sz="0" w:space="0" w:color="auto"/>
          </w:divBdr>
        </w:div>
        <w:div w:id="317348493">
          <w:marLeft w:val="0"/>
          <w:marRight w:val="0"/>
          <w:marTop w:val="0"/>
          <w:marBottom w:val="0"/>
          <w:divBdr>
            <w:top w:val="none" w:sz="0" w:space="0" w:color="auto"/>
            <w:left w:val="none" w:sz="0" w:space="0" w:color="auto"/>
            <w:bottom w:val="none" w:sz="0" w:space="0" w:color="auto"/>
            <w:right w:val="none" w:sz="0" w:space="0" w:color="auto"/>
          </w:divBdr>
        </w:div>
        <w:div w:id="321933853">
          <w:marLeft w:val="0"/>
          <w:marRight w:val="0"/>
          <w:marTop w:val="0"/>
          <w:marBottom w:val="0"/>
          <w:divBdr>
            <w:top w:val="none" w:sz="0" w:space="0" w:color="auto"/>
            <w:left w:val="none" w:sz="0" w:space="0" w:color="auto"/>
            <w:bottom w:val="none" w:sz="0" w:space="0" w:color="auto"/>
            <w:right w:val="none" w:sz="0" w:space="0" w:color="auto"/>
          </w:divBdr>
        </w:div>
        <w:div w:id="330328473">
          <w:marLeft w:val="0"/>
          <w:marRight w:val="0"/>
          <w:marTop w:val="0"/>
          <w:marBottom w:val="0"/>
          <w:divBdr>
            <w:top w:val="none" w:sz="0" w:space="0" w:color="auto"/>
            <w:left w:val="none" w:sz="0" w:space="0" w:color="auto"/>
            <w:bottom w:val="none" w:sz="0" w:space="0" w:color="auto"/>
            <w:right w:val="none" w:sz="0" w:space="0" w:color="auto"/>
          </w:divBdr>
        </w:div>
        <w:div w:id="365256199">
          <w:marLeft w:val="0"/>
          <w:marRight w:val="0"/>
          <w:marTop w:val="0"/>
          <w:marBottom w:val="0"/>
          <w:divBdr>
            <w:top w:val="none" w:sz="0" w:space="0" w:color="auto"/>
            <w:left w:val="none" w:sz="0" w:space="0" w:color="auto"/>
            <w:bottom w:val="none" w:sz="0" w:space="0" w:color="auto"/>
            <w:right w:val="none" w:sz="0" w:space="0" w:color="auto"/>
          </w:divBdr>
        </w:div>
        <w:div w:id="500510934">
          <w:marLeft w:val="0"/>
          <w:marRight w:val="0"/>
          <w:marTop w:val="0"/>
          <w:marBottom w:val="0"/>
          <w:divBdr>
            <w:top w:val="none" w:sz="0" w:space="0" w:color="auto"/>
            <w:left w:val="none" w:sz="0" w:space="0" w:color="auto"/>
            <w:bottom w:val="none" w:sz="0" w:space="0" w:color="auto"/>
            <w:right w:val="none" w:sz="0" w:space="0" w:color="auto"/>
          </w:divBdr>
        </w:div>
        <w:div w:id="704788245">
          <w:marLeft w:val="0"/>
          <w:marRight w:val="0"/>
          <w:marTop w:val="0"/>
          <w:marBottom w:val="0"/>
          <w:divBdr>
            <w:top w:val="none" w:sz="0" w:space="0" w:color="auto"/>
            <w:left w:val="none" w:sz="0" w:space="0" w:color="auto"/>
            <w:bottom w:val="none" w:sz="0" w:space="0" w:color="auto"/>
            <w:right w:val="none" w:sz="0" w:space="0" w:color="auto"/>
          </w:divBdr>
        </w:div>
        <w:div w:id="709189750">
          <w:marLeft w:val="0"/>
          <w:marRight w:val="0"/>
          <w:marTop w:val="0"/>
          <w:marBottom w:val="0"/>
          <w:divBdr>
            <w:top w:val="none" w:sz="0" w:space="0" w:color="auto"/>
            <w:left w:val="none" w:sz="0" w:space="0" w:color="auto"/>
            <w:bottom w:val="none" w:sz="0" w:space="0" w:color="auto"/>
            <w:right w:val="none" w:sz="0" w:space="0" w:color="auto"/>
          </w:divBdr>
        </w:div>
        <w:div w:id="714045776">
          <w:marLeft w:val="0"/>
          <w:marRight w:val="0"/>
          <w:marTop w:val="0"/>
          <w:marBottom w:val="0"/>
          <w:divBdr>
            <w:top w:val="none" w:sz="0" w:space="0" w:color="auto"/>
            <w:left w:val="none" w:sz="0" w:space="0" w:color="auto"/>
            <w:bottom w:val="none" w:sz="0" w:space="0" w:color="auto"/>
            <w:right w:val="none" w:sz="0" w:space="0" w:color="auto"/>
          </w:divBdr>
        </w:div>
        <w:div w:id="728576282">
          <w:marLeft w:val="0"/>
          <w:marRight w:val="0"/>
          <w:marTop w:val="0"/>
          <w:marBottom w:val="0"/>
          <w:divBdr>
            <w:top w:val="none" w:sz="0" w:space="0" w:color="auto"/>
            <w:left w:val="none" w:sz="0" w:space="0" w:color="auto"/>
            <w:bottom w:val="none" w:sz="0" w:space="0" w:color="auto"/>
            <w:right w:val="none" w:sz="0" w:space="0" w:color="auto"/>
          </w:divBdr>
        </w:div>
        <w:div w:id="860314719">
          <w:marLeft w:val="0"/>
          <w:marRight w:val="0"/>
          <w:marTop w:val="0"/>
          <w:marBottom w:val="0"/>
          <w:divBdr>
            <w:top w:val="none" w:sz="0" w:space="0" w:color="auto"/>
            <w:left w:val="none" w:sz="0" w:space="0" w:color="auto"/>
            <w:bottom w:val="none" w:sz="0" w:space="0" w:color="auto"/>
            <w:right w:val="none" w:sz="0" w:space="0" w:color="auto"/>
          </w:divBdr>
        </w:div>
        <w:div w:id="928544341">
          <w:marLeft w:val="0"/>
          <w:marRight w:val="0"/>
          <w:marTop w:val="0"/>
          <w:marBottom w:val="0"/>
          <w:divBdr>
            <w:top w:val="none" w:sz="0" w:space="0" w:color="auto"/>
            <w:left w:val="none" w:sz="0" w:space="0" w:color="auto"/>
            <w:bottom w:val="none" w:sz="0" w:space="0" w:color="auto"/>
            <w:right w:val="none" w:sz="0" w:space="0" w:color="auto"/>
          </w:divBdr>
        </w:div>
        <w:div w:id="1027557351">
          <w:marLeft w:val="0"/>
          <w:marRight w:val="0"/>
          <w:marTop w:val="0"/>
          <w:marBottom w:val="0"/>
          <w:divBdr>
            <w:top w:val="none" w:sz="0" w:space="0" w:color="auto"/>
            <w:left w:val="none" w:sz="0" w:space="0" w:color="auto"/>
            <w:bottom w:val="none" w:sz="0" w:space="0" w:color="auto"/>
            <w:right w:val="none" w:sz="0" w:space="0" w:color="auto"/>
          </w:divBdr>
        </w:div>
        <w:div w:id="1064449073">
          <w:marLeft w:val="0"/>
          <w:marRight w:val="0"/>
          <w:marTop w:val="0"/>
          <w:marBottom w:val="0"/>
          <w:divBdr>
            <w:top w:val="none" w:sz="0" w:space="0" w:color="auto"/>
            <w:left w:val="none" w:sz="0" w:space="0" w:color="auto"/>
            <w:bottom w:val="none" w:sz="0" w:space="0" w:color="auto"/>
            <w:right w:val="none" w:sz="0" w:space="0" w:color="auto"/>
          </w:divBdr>
        </w:div>
        <w:div w:id="1075130081">
          <w:marLeft w:val="0"/>
          <w:marRight w:val="0"/>
          <w:marTop w:val="0"/>
          <w:marBottom w:val="0"/>
          <w:divBdr>
            <w:top w:val="none" w:sz="0" w:space="0" w:color="auto"/>
            <w:left w:val="none" w:sz="0" w:space="0" w:color="auto"/>
            <w:bottom w:val="none" w:sz="0" w:space="0" w:color="auto"/>
            <w:right w:val="none" w:sz="0" w:space="0" w:color="auto"/>
          </w:divBdr>
        </w:div>
        <w:div w:id="1081103554">
          <w:marLeft w:val="0"/>
          <w:marRight w:val="0"/>
          <w:marTop w:val="0"/>
          <w:marBottom w:val="0"/>
          <w:divBdr>
            <w:top w:val="none" w:sz="0" w:space="0" w:color="auto"/>
            <w:left w:val="none" w:sz="0" w:space="0" w:color="auto"/>
            <w:bottom w:val="none" w:sz="0" w:space="0" w:color="auto"/>
            <w:right w:val="none" w:sz="0" w:space="0" w:color="auto"/>
          </w:divBdr>
        </w:div>
        <w:div w:id="1149593269">
          <w:marLeft w:val="0"/>
          <w:marRight w:val="0"/>
          <w:marTop w:val="0"/>
          <w:marBottom w:val="0"/>
          <w:divBdr>
            <w:top w:val="none" w:sz="0" w:space="0" w:color="auto"/>
            <w:left w:val="none" w:sz="0" w:space="0" w:color="auto"/>
            <w:bottom w:val="none" w:sz="0" w:space="0" w:color="auto"/>
            <w:right w:val="none" w:sz="0" w:space="0" w:color="auto"/>
          </w:divBdr>
        </w:div>
        <w:div w:id="1163085653">
          <w:marLeft w:val="0"/>
          <w:marRight w:val="0"/>
          <w:marTop w:val="0"/>
          <w:marBottom w:val="0"/>
          <w:divBdr>
            <w:top w:val="none" w:sz="0" w:space="0" w:color="auto"/>
            <w:left w:val="none" w:sz="0" w:space="0" w:color="auto"/>
            <w:bottom w:val="none" w:sz="0" w:space="0" w:color="auto"/>
            <w:right w:val="none" w:sz="0" w:space="0" w:color="auto"/>
          </w:divBdr>
        </w:div>
        <w:div w:id="1200822282">
          <w:marLeft w:val="0"/>
          <w:marRight w:val="0"/>
          <w:marTop w:val="0"/>
          <w:marBottom w:val="0"/>
          <w:divBdr>
            <w:top w:val="none" w:sz="0" w:space="0" w:color="auto"/>
            <w:left w:val="none" w:sz="0" w:space="0" w:color="auto"/>
            <w:bottom w:val="none" w:sz="0" w:space="0" w:color="auto"/>
            <w:right w:val="none" w:sz="0" w:space="0" w:color="auto"/>
          </w:divBdr>
        </w:div>
        <w:div w:id="1206798300">
          <w:marLeft w:val="0"/>
          <w:marRight w:val="0"/>
          <w:marTop w:val="0"/>
          <w:marBottom w:val="0"/>
          <w:divBdr>
            <w:top w:val="none" w:sz="0" w:space="0" w:color="auto"/>
            <w:left w:val="none" w:sz="0" w:space="0" w:color="auto"/>
            <w:bottom w:val="none" w:sz="0" w:space="0" w:color="auto"/>
            <w:right w:val="none" w:sz="0" w:space="0" w:color="auto"/>
          </w:divBdr>
        </w:div>
        <w:div w:id="1358314031">
          <w:marLeft w:val="0"/>
          <w:marRight w:val="0"/>
          <w:marTop w:val="0"/>
          <w:marBottom w:val="0"/>
          <w:divBdr>
            <w:top w:val="none" w:sz="0" w:space="0" w:color="auto"/>
            <w:left w:val="none" w:sz="0" w:space="0" w:color="auto"/>
            <w:bottom w:val="none" w:sz="0" w:space="0" w:color="auto"/>
            <w:right w:val="none" w:sz="0" w:space="0" w:color="auto"/>
          </w:divBdr>
        </w:div>
        <w:div w:id="1452938363">
          <w:marLeft w:val="0"/>
          <w:marRight w:val="0"/>
          <w:marTop w:val="0"/>
          <w:marBottom w:val="0"/>
          <w:divBdr>
            <w:top w:val="none" w:sz="0" w:space="0" w:color="auto"/>
            <w:left w:val="none" w:sz="0" w:space="0" w:color="auto"/>
            <w:bottom w:val="none" w:sz="0" w:space="0" w:color="auto"/>
            <w:right w:val="none" w:sz="0" w:space="0" w:color="auto"/>
          </w:divBdr>
        </w:div>
        <w:div w:id="1457286332">
          <w:marLeft w:val="0"/>
          <w:marRight w:val="0"/>
          <w:marTop w:val="0"/>
          <w:marBottom w:val="0"/>
          <w:divBdr>
            <w:top w:val="none" w:sz="0" w:space="0" w:color="auto"/>
            <w:left w:val="none" w:sz="0" w:space="0" w:color="auto"/>
            <w:bottom w:val="none" w:sz="0" w:space="0" w:color="auto"/>
            <w:right w:val="none" w:sz="0" w:space="0" w:color="auto"/>
          </w:divBdr>
        </w:div>
        <w:div w:id="1610351885">
          <w:marLeft w:val="0"/>
          <w:marRight w:val="0"/>
          <w:marTop w:val="0"/>
          <w:marBottom w:val="0"/>
          <w:divBdr>
            <w:top w:val="none" w:sz="0" w:space="0" w:color="auto"/>
            <w:left w:val="none" w:sz="0" w:space="0" w:color="auto"/>
            <w:bottom w:val="none" w:sz="0" w:space="0" w:color="auto"/>
            <w:right w:val="none" w:sz="0" w:space="0" w:color="auto"/>
          </w:divBdr>
        </w:div>
        <w:div w:id="1648167634">
          <w:marLeft w:val="0"/>
          <w:marRight w:val="0"/>
          <w:marTop w:val="0"/>
          <w:marBottom w:val="0"/>
          <w:divBdr>
            <w:top w:val="none" w:sz="0" w:space="0" w:color="auto"/>
            <w:left w:val="none" w:sz="0" w:space="0" w:color="auto"/>
            <w:bottom w:val="none" w:sz="0" w:space="0" w:color="auto"/>
            <w:right w:val="none" w:sz="0" w:space="0" w:color="auto"/>
          </w:divBdr>
        </w:div>
      </w:divsChild>
    </w:div>
    <w:div w:id="1440099261">
      <w:bodyDiv w:val="1"/>
      <w:marLeft w:val="0"/>
      <w:marRight w:val="0"/>
      <w:marTop w:val="0"/>
      <w:marBottom w:val="0"/>
      <w:divBdr>
        <w:top w:val="none" w:sz="0" w:space="0" w:color="auto"/>
        <w:left w:val="none" w:sz="0" w:space="0" w:color="auto"/>
        <w:bottom w:val="none" w:sz="0" w:space="0" w:color="auto"/>
        <w:right w:val="none" w:sz="0" w:space="0" w:color="auto"/>
      </w:divBdr>
      <w:divsChild>
        <w:div w:id="126970000">
          <w:marLeft w:val="0"/>
          <w:marRight w:val="0"/>
          <w:marTop w:val="0"/>
          <w:marBottom w:val="0"/>
          <w:divBdr>
            <w:top w:val="none" w:sz="0" w:space="0" w:color="auto"/>
            <w:left w:val="none" w:sz="0" w:space="0" w:color="auto"/>
            <w:bottom w:val="none" w:sz="0" w:space="0" w:color="auto"/>
            <w:right w:val="none" w:sz="0" w:space="0" w:color="auto"/>
          </w:divBdr>
        </w:div>
        <w:div w:id="202983189">
          <w:marLeft w:val="0"/>
          <w:marRight w:val="0"/>
          <w:marTop w:val="0"/>
          <w:marBottom w:val="0"/>
          <w:divBdr>
            <w:top w:val="none" w:sz="0" w:space="0" w:color="auto"/>
            <w:left w:val="none" w:sz="0" w:space="0" w:color="auto"/>
            <w:bottom w:val="none" w:sz="0" w:space="0" w:color="auto"/>
            <w:right w:val="none" w:sz="0" w:space="0" w:color="auto"/>
          </w:divBdr>
        </w:div>
        <w:div w:id="1565413894">
          <w:marLeft w:val="0"/>
          <w:marRight w:val="0"/>
          <w:marTop w:val="0"/>
          <w:marBottom w:val="0"/>
          <w:divBdr>
            <w:top w:val="none" w:sz="0" w:space="0" w:color="auto"/>
            <w:left w:val="none" w:sz="0" w:space="0" w:color="auto"/>
            <w:bottom w:val="none" w:sz="0" w:space="0" w:color="auto"/>
            <w:right w:val="none" w:sz="0" w:space="0" w:color="auto"/>
          </w:divBdr>
        </w:div>
        <w:div w:id="1582788129">
          <w:marLeft w:val="0"/>
          <w:marRight w:val="480"/>
          <w:marTop w:val="0"/>
          <w:marBottom w:val="0"/>
          <w:divBdr>
            <w:top w:val="none" w:sz="0" w:space="0" w:color="auto"/>
            <w:left w:val="none" w:sz="0" w:space="0" w:color="auto"/>
            <w:bottom w:val="none" w:sz="0" w:space="0" w:color="auto"/>
            <w:right w:val="none" w:sz="0" w:space="0" w:color="auto"/>
          </w:divBdr>
        </w:div>
        <w:div w:id="1911386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871758">
      <w:bodyDiv w:val="1"/>
      <w:marLeft w:val="0"/>
      <w:marRight w:val="0"/>
      <w:marTop w:val="0"/>
      <w:marBottom w:val="0"/>
      <w:divBdr>
        <w:top w:val="none" w:sz="0" w:space="0" w:color="auto"/>
        <w:left w:val="none" w:sz="0" w:space="0" w:color="auto"/>
        <w:bottom w:val="none" w:sz="0" w:space="0" w:color="auto"/>
        <w:right w:val="none" w:sz="0" w:space="0" w:color="auto"/>
      </w:divBdr>
    </w:div>
    <w:div w:id="1783766296">
      <w:bodyDiv w:val="1"/>
      <w:marLeft w:val="0"/>
      <w:marRight w:val="0"/>
      <w:marTop w:val="0"/>
      <w:marBottom w:val="0"/>
      <w:divBdr>
        <w:top w:val="none" w:sz="0" w:space="0" w:color="auto"/>
        <w:left w:val="none" w:sz="0" w:space="0" w:color="auto"/>
        <w:bottom w:val="none" w:sz="0" w:space="0" w:color="auto"/>
        <w:right w:val="none" w:sz="0" w:space="0" w:color="auto"/>
      </w:divBdr>
    </w:div>
    <w:div w:id="2142066601">
      <w:bodyDiv w:val="1"/>
      <w:marLeft w:val="0"/>
      <w:marRight w:val="0"/>
      <w:marTop w:val="0"/>
      <w:marBottom w:val="0"/>
      <w:divBdr>
        <w:top w:val="none" w:sz="0" w:space="0" w:color="auto"/>
        <w:left w:val="none" w:sz="0" w:space="0" w:color="auto"/>
        <w:bottom w:val="none" w:sz="0" w:space="0" w:color="auto"/>
        <w:right w:val="none" w:sz="0" w:space="0" w:color="auto"/>
      </w:divBdr>
      <w:divsChild>
        <w:div w:id="206591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marcjlane.com/clientuploads/Articles/Marc-Lane-basic_l3c_primer.pdf" TargetMode="External"/><Relationship Id="rId26" Type="http://schemas.openxmlformats.org/officeDocument/2006/relationships/hyperlink" Target="http://www.thirdsector.co.uk/analysis-rise-rise-community-interest-companies/governance/article/1348096" TargetMode="External"/><Relationship Id="rId3" Type="http://schemas.openxmlformats.org/officeDocument/2006/relationships/customXml" Target="../customXml/item3.xml"/><Relationship Id="rId21" Type="http://schemas.openxmlformats.org/officeDocument/2006/relationships/hyperlink" Target="http://www.fin.gov.bc.ca/prs/ccc/"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intersectorl3c.com/blog/104163/8364/" TargetMode="External"/><Relationship Id="rId25" Type="http://schemas.openxmlformats.org/officeDocument/2006/relationships/hyperlink" Target="https://www.gov.uk/government/organisations/office-of-the-regulator-of-community-interest-companies" TargetMode="External"/><Relationship Id="rId2" Type="http://schemas.openxmlformats.org/officeDocument/2006/relationships/customXml" Target="../customXml/item2.xml"/><Relationship Id="rId16" Type="http://schemas.openxmlformats.org/officeDocument/2006/relationships/hyperlink" Target="http://benefitcorp.net/sites/default/files/Benefit%20Corporations%20Chart.pdf" TargetMode="External"/><Relationship Id="rId20" Type="http://schemas.openxmlformats.org/officeDocument/2006/relationships/hyperlink" Target="https://ssir.org/articles/entry/benefit_corporation_and_l3c_adoption_a_survey" TargetMode="External"/><Relationship Id="rId29" Type="http://schemas.openxmlformats.org/officeDocument/2006/relationships/hyperlink" Target="https://www.gov.uk/government/publications/form-cic36-application-to-form-a-community-interest-compan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b-lab.force.com/bcorp/PrintImpactAssessment?id=a03C000000OCns9IAD"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bcregistryservices.gov.bc.ca/local/bcreg/documents/forms/form1c.pdf" TargetMode="External"/><Relationship Id="rId28" Type="http://schemas.openxmlformats.org/officeDocument/2006/relationships/hyperlink" Target="https://www.gov.uk/government/uploads/system/uploads/attachment_data/file/211749/13-712-community-interest-companies-guidance-chapter-9-corporate-governance.pdf" TargetMode="External"/><Relationship Id="rId10" Type="http://schemas.openxmlformats.org/officeDocument/2006/relationships/settings" Target="settings.xml"/><Relationship Id="rId19" Type="http://schemas.openxmlformats.org/officeDocument/2006/relationships/hyperlink" Target="https://www.quora.com/What-are-the-reporting-standards-for-bcorps-versus-L3c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www.fin.gov.bc.ca/prs/ccc/caq.htm" TargetMode="External"/><Relationship Id="rId27" Type="http://schemas.openxmlformats.org/officeDocument/2006/relationships/hyperlink" Target="https://www.gov.uk/government/uploads/system/uploads/attachment_data/file/524218/13-786-community-interest-companies-frequently-asked-questions.pdf" TargetMode="External"/><Relationship Id="rId30"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gsk.com/en-gb/about-us/corporate-partnerships/save-the-children-partnership/" TargetMode="External"/><Relationship Id="rId2" Type="http://schemas.openxmlformats.org/officeDocument/2006/relationships/hyperlink" Target="http://sharedvalue.org.au/wp-content/uploads/2016/01/2015-State-of-Shared-Value-in-Australia-Report-Double-Spread.pdf" TargetMode="External"/><Relationship Id="rId1" Type="http://schemas.openxmlformats.org/officeDocument/2006/relationships/hyperlink" Target="http://www2.deloitte.com/global/en/pages/about-deloitte/articles/gx-millennials-shifting-business-purpose.html" TargetMode="External"/><Relationship Id="rId6" Type="http://schemas.openxmlformats.org/officeDocument/2006/relationships/hyperlink" Target="http://www.ourcommunity.com.au/files/GivingAustraliaSummary.pdf%20" TargetMode="External"/><Relationship Id="rId5" Type="http://schemas.openxmlformats.org/officeDocument/2006/relationships/hyperlink" Target="http://impactinvestingaustralia.com/wp-content/uploads/Impact-Investing-Australia-2016-Investor-Report.pdf" TargetMode="External"/><Relationship Id="rId4" Type="http://schemas.openxmlformats.org/officeDocument/2006/relationships/hyperlink" Target="http://dfat.gov.au/about-us/publications/aid/Documents/creating-shared-value-through-partnership.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ven@impactseed.org" TargetMode="External"/><Relationship Id="rId2" Type="http://schemas.openxmlformats.org/officeDocument/2006/relationships/hyperlink" Target="mailto:kylie@impactseed.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2017FG-116-766</_dlc_DocId>
    <TaxCatchAll xmlns="e544e5cc-ab70-42e1-849e-1a0f8bb1f4ef">
      <Value>2</Value>
    </TaxCatchAll>
    <_dlc_DocIdUrl xmlns="e544e5cc-ab70-42e1-849e-1a0f8bb1f4ef">
      <Url>http://tweb/sites/fg/spd/_layouts/15/DocIdRedir.aspx?ID=2017FG-116-766</Url>
      <Description>2017FG-116-766</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7C91-DAAD-459A-AB05-BA9D896C4E30}">
  <ds:schemaRefs>
    <ds:schemaRef ds:uri="office.server.policy"/>
  </ds:schemaRefs>
</ds:datastoreItem>
</file>

<file path=customXml/itemProps2.xml><?xml version="1.0" encoding="utf-8"?>
<ds:datastoreItem xmlns:ds="http://schemas.openxmlformats.org/officeDocument/2006/customXml" ds:itemID="{054F6D6B-F327-4F77-8AF1-990668F96252}">
  <ds:schemaRefs>
    <ds:schemaRef ds:uri="http://schemas.microsoft.com/sharepoint/events"/>
  </ds:schemaRefs>
</ds:datastoreItem>
</file>

<file path=customXml/itemProps3.xml><?xml version="1.0" encoding="utf-8"?>
<ds:datastoreItem xmlns:ds="http://schemas.openxmlformats.org/officeDocument/2006/customXml" ds:itemID="{0CAE88F4-9B09-45B3-9A37-37929B18DCDB}">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6C3F0AE0-CFED-4BF5-AB8F-8ADE9AB08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BB6EF8-6489-433A-BBA7-647319693F77}">
  <ds:schemaRefs>
    <ds:schemaRef ds:uri="http://schemas.microsoft.com/sharepoint/v3/contenttype/forms"/>
  </ds:schemaRefs>
</ds:datastoreItem>
</file>

<file path=customXml/itemProps6.xml><?xml version="1.0" encoding="utf-8"?>
<ds:datastoreItem xmlns:ds="http://schemas.openxmlformats.org/officeDocument/2006/customXml" ds:itemID="{6F086BA7-8FC3-46CE-A273-01CBD2CB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4118</Words>
  <Characters>23336</Characters>
  <Application>Microsoft Office Word</Application>
  <DocSecurity>0</DocSecurity>
  <Lines>443</Lines>
  <Paragraphs>164</Paragraphs>
  <ScaleCrop>false</ScaleCrop>
  <Company/>
  <LinksUpToDate>false</LinksUpToDate>
  <CharactersWithSpaces>27320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Seed - Submission to Social Impact Investing</dc:title>
  <dc:creator/>
  <cp:lastModifiedBy/>
  <cp:revision>1</cp:revision>
  <dcterms:created xsi:type="dcterms:W3CDTF">2017-05-02T02:43:00Z</dcterms:created>
  <dcterms:modified xsi:type="dcterms:W3CDTF">2017-05-02T02:43:00Z</dcterms:modified>
  <dc:language>English</dc:language>
</cp:coreProperties>
</file>