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C2515" w14:textId="77777777" w:rsidR="00F507F6" w:rsidRPr="00F507F6" w:rsidRDefault="00F507F6" w:rsidP="00F507F6">
      <w:pPr>
        <w:rPr>
          <w:rFonts w:ascii="Times New Roman" w:hAnsi="Times New Roman"/>
          <w:sz w:val="24"/>
          <w:szCs w:val="24"/>
          <w:lang w:val="en-US"/>
        </w:rPr>
      </w:pPr>
      <w:bookmarkStart w:id="0" w:name="_GoBack"/>
      <w:bookmarkEnd w:id="0"/>
      <w:r w:rsidRPr="00F507F6">
        <w:rPr>
          <w:b/>
          <w:lang w:val="en-US"/>
        </w:rPr>
        <w:t>The Treasury</w:t>
      </w:r>
      <w:r w:rsidRPr="00F507F6">
        <w:rPr>
          <w:b/>
          <w:lang w:val="en-US"/>
        </w:rPr>
        <w:br/>
      </w:r>
      <w:r w:rsidRPr="00F507F6">
        <w:rPr>
          <w:lang w:val="en-US"/>
        </w:rPr>
        <w:t>Langton Crescent</w:t>
      </w:r>
      <w:r w:rsidRPr="00F507F6">
        <w:rPr>
          <w:lang w:val="en-US"/>
        </w:rPr>
        <w:br/>
        <w:t>PARKES ACT 2600</w:t>
      </w:r>
      <w:r w:rsidRPr="00F507F6">
        <w:rPr>
          <w:lang w:val="en-US"/>
        </w:rPr>
        <w:br/>
        <w:t>AUSTRALIA</w:t>
      </w:r>
    </w:p>
    <w:p w14:paraId="6DE756EA" w14:textId="77777777" w:rsidR="004252D3" w:rsidRDefault="00F507F6" w:rsidP="004252D3">
      <w:r>
        <w:t>27 February, 2017</w:t>
      </w:r>
    </w:p>
    <w:p w14:paraId="5EFE495D" w14:textId="77777777" w:rsidR="00F507F6" w:rsidRDefault="00F507F6" w:rsidP="004252D3"/>
    <w:p w14:paraId="5C516673" w14:textId="77777777" w:rsidR="00D23D01" w:rsidRDefault="00D53321" w:rsidP="00B55E4C">
      <w:pPr>
        <w:pStyle w:val="Heading1"/>
      </w:pPr>
      <w:r>
        <w:t xml:space="preserve">Centre for Social Impact Submission to Treasury: </w:t>
      </w:r>
    </w:p>
    <w:p w14:paraId="39D438AC" w14:textId="77777777" w:rsidR="00B55E4C" w:rsidRDefault="00D53321" w:rsidP="00D23D01">
      <w:pPr>
        <w:pStyle w:val="Heading2"/>
      </w:pPr>
      <w:r>
        <w:t>Social Impact Investing</w:t>
      </w:r>
      <w:r w:rsidR="00D23D01">
        <w:t xml:space="preserve"> Discussion Paper</w:t>
      </w:r>
    </w:p>
    <w:p w14:paraId="1D8EF1BB" w14:textId="77777777" w:rsidR="00B55E4C" w:rsidRDefault="00B55E4C" w:rsidP="004252D3">
      <w:r w:rsidRPr="00A97E14">
        <w:t>The Centre for Social Impact (CSI</w:t>
      </w:r>
      <w:r>
        <w:t xml:space="preserve">) welcomes the opportunity to submit its views on the </w:t>
      </w:r>
      <w:r w:rsidR="005A78FF">
        <w:t xml:space="preserve">Treasury </w:t>
      </w:r>
      <w:r>
        <w:t>Discussion Paper</w:t>
      </w:r>
      <w:r w:rsidR="00870703">
        <w:t>,</w:t>
      </w:r>
      <w:r>
        <w:t xml:space="preserve"> </w:t>
      </w:r>
      <w:r w:rsidR="00D23D01" w:rsidRPr="00870703">
        <w:rPr>
          <w:i/>
        </w:rPr>
        <w:t>Social Impact Investing</w:t>
      </w:r>
      <w:r>
        <w:t>.</w:t>
      </w:r>
    </w:p>
    <w:p w14:paraId="0FDC6535" w14:textId="77777777" w:rsidR="00B55E4C" w:rsidRDefault="00B55E4C" w:rsidP="005A78FF">
      <w:r>
        <w:t xml:space="preserve">In this submission we respond to a number of </w:t>
      </w:r>
      <w:r w:rsidR="00870703">
        <w:t xml:space="preserve">the </w:t>
      </w:r>
      <w:r>
        <w:t>questions presented in the discussion paper. Specifically:</w:t>
      </w:r>
    </w:p>
    <w:p w14:paraId="152366AB" w14:textId="0033D712" w:rsidR="005A78FF" w:rsidRPr="00270043" w:rsidRDefault="00270043" w:rsidP="00270043">
      <w:pPr>
        <w:ind w:left="360"/>
        <w:rPr>
          <w:sz w:val="17"/>
          <w:lang w:val="en-US"/>
        </w:rPr>
      </w:pPr>
      <w:r>
        <w:rPr>
          <w:rStyle w:val="s1"/>
        </w:rPr>
        <w:t xml:space="preserve">1.  </w:t>
      </w:r>
      <w:r w:rsidR="005A78FF">
        <w:rPr>
          <w:rStyle w:val="s1"/>
        </w:rPr>
        <w:t>What do you see as the main barriers to the growth of the social impact investing market in Australia? How do these barriers differ from the perspective of investors, service providers and intermediaries?</w:t>
      </w:r>
    </w:p>
    <w:p w14:paraId="0A265B62" w14:textId="5FCE79D2" w:rsidR="005A78FF" w:rsidRPr="00270043" w:rsidRDefault="00270043" w:rsidP="00270043">
      <w:pPr>
        <w:ind w:left="360"/>
        <w:rPr>
          <w:sz w:val="17"/>
          <w:lang w:val="en-US"/>
        </w:rPr>
      </w:pPr>
      <w:r>
        <w:rPr>
          <w:rStyle w:val="s1"/>
        </w:rPr>
        <w:t xml:space="preserve">2.  </w:t>
      </w:r>
      <w:r w:rsidR="005A78FF">
        <w:rPr>
          <w:rStyle w:val="s1"/>
        </w:rPr>
        <w:t>What do you see as the future for social impact investing in Australia: for example, can you foresee the development of new structures for social impact investing?</w:t>
      </w:r>
    </w:p>
    <w:p w14:paraId="1089AAE9" w14:textId="0F24548C" w:rsidR="00F507F6" w:rsidRPr="00270043" w:rsidRDefault="00270043" w:rsidP="00270043">
      <w:pPr>
        <w:ind w:left="360"/>
        <w:rPr>
          <w:rStyle w:val="s1"/>
          <w:sz w:val="17"/>
          <w:lang w:val="en-US"/>
        </w:rPr>
      </w:pPr>
      <w:r>
        <w:rPr>
          <w:rStyle w:val="s1"/>
        </w:rPr>
        <w:t>3.  Are there any Australian Government legislative or regulatory barriers constraining the growth of the social impact investing market?</w:t>
      </w:r>
    </w:p>
    <w:p w14:paraId="40E35C6E" w14:textId="7FCC25E5" w:rsidR="00270043" w:rsidRDefault="00270043" w:rsidP="00270043">
      <w:pPr>
        <w:ind w:left="360"/>
        <w:rPr>
          <w:rStyle w:val="s1"/>
        </w:rPr>
      </w:pPr>
      <w:r>
        <w:rPr>
          <w:rStyle w:val="s1"/>
        </w:rPr>
        <w:t>4.  What do you see as the role of the Australian Government in developing the social impact investing market?</w:t>
      </w:r>
    </w:p>
    <w:p w14:paraId="55D6B462" w14:textId="5AE70DDA" w:rsidR="00270043" w:rsidRDefault="00270043" w:rsidP="00270043">
      <w:pPr>
        <w:ind w:left="360"/>
        <w:rPr>
          <w:rStyle w:val="s1"/>
        </w:rPr>
      </w:pPr>
      <w:r>
        <w:rPr>
          <w:rStyle w:val="s1"/>
        </w:rPr>
        <w:t>5 &amp; 8.  Do you see different roles for different levels of government in the Australian social impact investing market (for example, the Australian Governmen</w:t>
      </w:r>
      <w:r w:rsidR="00004F23">
        <w:rPr>
          <w:rStyle w:val="s1"/>
        </w:rPr>
        <w:t>t</w:t>
      </w:r>
      <w:r>
        <w:rPr>
          <w:rStyle w:val="s1"/>
        </w:rPr>
        <w:t xml:space="preserve"> as co-funder with State and Territory Governments) continuing to take the lead in developing social impact investments? Are there opportunities for the Australian Government to collaborate with State and Territory Governments to develop or support joint social impact investments?</w:t>
      </w:r>
    </w:p>
    <w:p w14:paraId="3597FA39" w14:textId="6F4D8184" w:rsidR="00270043" w:rsidRDefault="00270043" w:rsidP="00270043">
      <w:pPr>
        <w:ind w:left="360"/>
        <w:rPr>
          <w:rStyle w:val="s1"/>
        </w:rPr>
      </w:pPr>
      <w:r>
        <w:rPr>
          <w:rStyle w:val="s1"/>
        </w:rPr>
        <w:t>6.  Are there areas where funding through a social investment framework may generate more effective and efficient policy outcomes than direct grand funding?</w:t>
      </w:r>
    </w:p>
    <w:p w14:paraId="697CAEDF" w14:textId="2E7DC462" w:rsidR="00270043" w:rsidRDefault="00270043" w:rsidP="00270043">
      <w:pPr>
        <w:ind w:left="360"/>
        <w:rPr>
          <w:rStyle w:val="s1"/>
        </w:rPr>
      </w:pPr>
      <w:r>
        <w:rPr>
          <w:rStyle w:val="s1"/>
        </w:rPr>
        <w:t>7. What Australian Government policy or service delivery areas hold the most potential for social impact investing? Are there any specific opportunities you are aware of?</w:t>
      </w:r>
    </w:p>
    <w:p w14:paraId="0B6EA35C" w14:textId="57545BB3" w:rsidR="00270043" w:rsidRDefault="00270043" w:rsidP="00270043">
      <w:pPr>
        <w:ind w:left="360"/>
        <w:rPr>
          <w:rStyle w:val="s1"/>
        </w:rPr>
      </w:pPr>
      <w:r>
        <w:rPr>
          <w:rStyle w:val="s1"/>
        </w:rPr>
        <w:t>10.  Are there opportunities for the Australian Government to form data sharing partnerships with State and Territory Governments, intermediaries and/or service providers?</w:t>
      </w:r>
    </w:p>
    <w:p w14:paraId="79FC129C" w14:textId="00029134" w:rsidR="00210218" w:rsidRDefault="00210218" w:rsidP="00270043">
      <w:pPr>
        <w:ind w:left="360"/>
        <w:rPr>
          <w:rStyle w:val="s1"/>
        </w:rPr>
      </w:pPr>
      <w:r>
        <w:rPr>
          <w:rStyle w:val="s1"/>
        </w:rPr>
        <w:t>11.  We are seeking your feedback on the four proposed Principles for social impact investing.</w:t>
      </w:r>
    </w:p>
    <w:p w14:paraId="536FB86A" w14:textId="024A331B" w:rsidR="00210218" w:rsidRDefault="00210218" w:rsidP="00270043">
      <w:pPr>
        <w:ind w:left="360"/>
        <w:rPr>
          <w:rStyle w:val="s1"/>
        </w:rPr>
      </w:pPr>
      <w:r>
        <w:rPr>
          <w:rStyle w:val="s1"/>
        </w:rPr>
        <w:t>23.  What guidance in particular would provide a desired level of clarity on the fiduciary duty of superannuation trustees on impact investing?</w:t>
      </w:r>
    </w:p>
    <w:p w14:paraId="739743F5" w14:textId="3E6A650A" w:rsidR="00210218" w:rsidRDefault="00210218" w:rsidP="00210218">
      <w:pPr>
        <w:ind w:left="360"/>
        <w:rPr>
          <w:rStyle w:val="s1"/>
        </w:rPr>
      </w:pPr>
      <w:r>
        <w:rPr>
          <w:rStyle w:val="s1"/>
        </w:rPr>
        <w:t xml:space="preserve">24. To what extent are the current arrangements for program related investments appropriate? </w:t>
      </w:r>
    </w:p>
    <w:p w14:paraId="12B2F74B" w14:textId="444ADE2A" w:rsidR="00210218" w:rsidRPr="00270043" w:rsidRDefault="00210218" w:rsidP="00210218">
      <w:pPr>
        <w:ind w:left="360"/>
        <w:rPr>
          <w:rStyle w:val="s1"/>
          <w:sz w:val="17"/>
          <w:lang w:val="en-US"/>
        </w:rPr>
      </w:pPr>
      <w:r>
        <w:rPr>
          <w:rStyle w:val="s1"/>
        </w:rPr>
        <w:t>29.  Would making a model constitution for a social enterprise assist in reducing the costs for indivi</w:t>
      </w:r>
      <w:r w:rsidR="00004F23">
        <w:rPr>
          <w:rStyle w:val="s1"/>
        </w:rPr>
        <w:t xml:space="preserve">duals intending to establish a </w:t>
      </w:r>
      <w:r>
        <w:rPr>
          <w:rStyle w:val="s1"/>
        </w:rPr>
        <w:t>n</w:t>
      </w:r>
      <w:r w:rsidR="00004F23">
        <w:rPr>
          <w:rStyle w:val="s1"/>
        </w:rPr>
        <w:t>e</w:t>
      </w:r>
      <w:r>
        <w:rPr>
          <w:rStyle w:val="s1"/>
        </w:rPr>
        <w:t xml:space="preserve">w entity? What other standard products or other industry-led solutions would assist in </w:t>
      </w:r>
      <w:r w:rsidR="00004F23">
        <w:rPr>
          <w:rStyle w:val="s1"/>
        </w:rPr>
        <w:t>reducing</w:t>
      </w:r>
      <w:r>
        <w:rPr>
          <w:rStyle w:val="s1"/>
        </w:rPr>
        <w:t xml:space="preserve"> the costs for individuals intending to establish a social enterprise?</w:t>
      </w:r>
    </w:p>
    <w:p w14:paraId="40622CD6" w14:textId="77777777" w:rsidR="00270043" w:rsidRPr="00270043" w:rsidRDefault="00270043" w:rsidP="00270043">
      <w:pPr>
        <w:ind w:left="360"/>
        <w:rPr>
          <w:sz w:val="17"/>
          <w:lang w:val="en-US"/>
        </w:rPr>
      </w:pPr>
    </w:p>
    <w:p w14:paraId="7BFD9034" w14:textId="77777777" w:rsidR="00210218" w:rsidRDefault="00210218">
      <w:pPr>
        <w:rPr>
          <w:rFonts w:ascii="Arial" w:hAnsi="Arial" w:cs="Arial"/>
          <w:b/>
          <w:i/>
          <w:sz w:val="23"/>
          <w:szCs w:val="23"/>
        </w:rPr>
      </w:pPr>
      <w:r>
        <w:br w:type="page"/>
      </w:r>
    </w:p>
    <w:p w14:paraId="0C6E77BA" w14:textId="780BE92E" w:rsidR="00B55E4C" w:rsidRPr="00A97E14" w:rsidRDefault="00B55E4C" w:rsidP="00F507F6">
      <w:pPr>
        <w:pStyle w:val="Heading2"/>
      </w:pPr>
      <w:r>
        <w:lastRenderedPageBreak/>
        <w:t xml:space="preserve">Who </w:t>
      </w:r>
      <w:r w:rsidRPr="00A97E14">
        <w:t>we</w:t>
      </w:r>
      <w:r>
        <w:t xml:space="preserve"> </w:t>
      </w:r>
      <w:r w:rsidR="00F507F6">
        <w:t>are</w:t>
      </w:r>
    </w:p>
    <w:p w14:paraId="04F3CE33" w14:textId="77777777" w:rsidR="004252D3" w:rsidRPr="0054087F" w:rsidRDefault="005A78FF" w:rsidP="004252D3">
      <w:r>
        <w:t>CSI</w:t>
      </w:r>
      <w:r w:rsidR="004252D3" w:rsidRPr="0054087F">
        <w:t xml:space="preserve"> is an academic research and education centre, working to achieve better social outcomes for all </w:t>
      </w:r>
      <w:r w:rsidR="004252D3" w:rsidRPr="004252D3">
        <w:t>Australians. CSI is an independent, not</w:t>
      </w:r>
      <w:r w:rsidR="00EB1CCB">
        <w:t xml:space="preserve"> </w:t>
      </w:r>
      <w:r w:rsidR="004252D3" w:rsidRPr="004252D3">
        <w:t>for</w:t>
      </w:r>
      <w:r w:rsidR="00EB1CCB">
        <w:t xml:space="preserve"> </w:t>
      </w:r>
      <w:r w:rsidR="004252D3" w:rsidRPr="004252D3">
        <w:t xml:space="preserve">profit collaboration working across three of Australia’s leading universities: UNSW Sydney, Swinburne University of Technology, and The University of Western Australia. We act as a catalyst for social </w:t>
      </w:r>
      <w:r w:rsidR="004252D3">
        <w:t>impact</w:t>
      </w:r>
      <w:r w:rsidR="004252D3" w:rsidRPr="004252D3">
        <w:t xml:space="preserve"> by creating positive, meaningful and sustainable change for the benefit of our community, and particularly for those at disadvantage as a result of complex, long term systemic issues. We create knowledge through our academic and applied research. We focus on knowledge engagement through teaching and public engagement activities with the ultimate aim of affecting policy and practice, improving outcomes for those in need.</w:t>
      </w:r>
      <w:r w:rsidR="004252D3" w:rsidRPr="0054087F">
        <w:t xml:space="preserve"> </w:t>
      </w:r>
    </w:p>
    <w:p w14:paraId="183A33C6" w14:textId="77777777" w:rsidR="00F507F6" w:rsidRDefault="00F507F6" w:rsidP="00F507F6">
      <w:pPr>
        <w:pStyle w:val="Heading2"/>
      </w:pPr>
      <w:r>
        <w:t>Background</w:t>
      </w:r>
    </w:p>
    <w:p w14:paraId="0BE10415" w14:textId="77777777" w:rsidR="005A78FF" w:rsidRDefault="005A78FF" w:rsidP="005A78FF">
      <w:r w:rsidRPr="00F70C1F">
        <w:t>CSI’s research examines our social</w:t>
      </w:r>
      <w:r w:rsidR="00123C49">
        <w:t xml:space="preserve"> purpose</w:t>
      </w:r>
      <w:r w:rsidRPr="00F70C1F">
        <w:t xml:space="preserve"> </w:t>
      </w:r>
      <w:r w:rsidR="00123C49">
        <w:t>eco</w:t>
      </w:r>
      <w:r w:rsidRPr="00F70C1F">
        <w:t xml:space="preserve">system. We tackle complex social problems and examine how people, organisations, groups and sectors work </w:t>
      </w:r>
      <w:r w:rsidR="00123C49">
        <w:t>to respond</w:t>
      </w:r>
      <w:r w:rsidRPr="00F70C1F">
        <w:t xml:space="preserve"> and </w:t>
      </w:r>
      <w:r w:rsidR="00123C49">
        <w:t xml:space="preserve">are experts in measuring and reporting </w:t>
      </w:r>
      <w:r w:rsidRPr="00F70C1F">
        <w:t>how, why and u</w:t>
      </w:r>
      <w:r w:rsidR="00123C49">
        <w:t>nder what circumstances outcomes</w:t>
      </w:r>
      <w:r w:rsidRPr="00F70C1F">
        <w:t xml:space="preserve"> </w:t>
      </w:r>
      <w:r w:rsidR="00123C49">
        <w:t>are</w:t>
      </w:r>
      <w:r w:rsidRPr="00F70C1F">
        <w:t xml:space="preserve"> achieved.</w:t>
      </w:r>
      <w:r>
        <w:t xml:space="preserve"> We</w:t>
      </w:r>
      <w:r w:rsidRPr="00F70C1F">
        <w:t xml:space="preserve"> have particular expertise in </w:t>
      </w:r>
      <w:r w:rsidR="00123C49">
        <w:t>cross sector partnerships, outcomes measurement and different funding instruments to achieve social change</w:t>
      </w:r>
      <w:r w:rsidRPr="00F70C1F">
        <w:t>.</w:t>
      </w:r>
    </w:p>
    <w:p w14:paraId="5266423D" w14:textId="77777777" w:rsidR="00F507F6" w:rsidRPr="00677D7F" w:rsidRDefault="005A78FF" w:rsidP="004252D3">
      <w:pPr>
        <w:rPr>
          <w:sz w:val="17"/>
          <w:lang w:val="en-US"/>
        </w:rPr>
      </w:pPr>
      <w:r>
        <w:rPr>
          <w:rStyle w:val="s1"/>
        </w:rPr>
        <w:t xml:space="preserve">Our response to the discussion paper draws on evidence from recent research that CSI has led or been a partner to. The sources </w:t>
      </w:r>
      <w:r w:rsidR="00677D7F">
        <w:rPr>
          <w:rStyle w:val="s1"/>
        </w:rPr>
        <w:t xml:space="preserve">drawn on </w:t>
      </w:r>
      <w:r>
        <w:rPr>
          <w:rStyle w:val="s1"/>
        </w:rPr>
        <w:t>include: Evaluation of the Social Enterprise Development and Investment Funds</w:t>
      </w:r>
      <w:r w:rsidR="00870703">
        <w:rPr>
          <w:rStyle w:val="s1"/>
        </w:rPr>
        <w:t xml:space="preserve"> (SEDIF</w:t>
      </w:r>
      <w:r w:rsidR="00C05BEF">
        <w:rPr>
          <w:rStyle w:val="s1"/>
        </w:rPr>
        <w:t>)</w:t>
      </w:r>
      <w:r>
        <w:rPr>
          <w:rStyle w:val="s1"/>
        </w:rPr>
        <w:t xml:space="preserve"> (for Department of Employment); Giving Australia 2016 (for Department of Social Services, sponsored by Prime Minister’s Community Business Partnership); </w:t>
      </w:r>
      <w:r w:rsidR="00677D7F">
        <w:rPr>
          <w:rStyle w:val="s1"/>
        </w:rPr>
        <w:t xml:space="preserve">The Opportunities, Risks and Possibilities of Social Impact Investment for Housing And Homelessness (for Australian Housing and Urban Research Institute (AHURI), forthcoming), </w:t>
      </w:r>
      <w:r>
        <w:rPr>
          <w:rStyle w:val="s1"/>
        </w:rPr>
        <w:t xml:space="preserve">and Finding Australia’s Social Enterprise Sector </w:t>
      </w:r>
      <w:r w:rsidR="00C05BEF">
        <w:rPr>
          <w:rStyle w:val="s1"/>
        </w:rPr>
        <w:t xml:space="preserve">(FASES) </w:t>
      </w:r>
      <w:r>
        <w:rPr>
          <w:rStyle w:val="s1"/>
        </w:rPr>
        <w:t>2016 (conducted with Social Traders).</w:t>
      </w:r>
    </w:p>
    <w:p w14:paraId="3808093C" w14:textId="77777777" w:rsidR="005A78FF" w:rsidRDefault="005A78FF" w:rsidP="005A78FF">
      <w:pPr>
        <w:pStyle w:val="Heading3"/>
        <w:rPr>
          <w:rFonts w:ascii="Calibri" w:hAnsi="Calibri"/>
          <w:sz w:val="17"/>
          <w:lang w:val="en-US"/>
        </w:rPr>
      </w:pPr>
      <w:r>
        <w:rPr>
          <w:rStyle w:val="s1"/>
        </w:rPr>
        <w:t>Question 1: What do you see as the main barriers to the growth of the social impact investing market in Australia? How do these barriers differ from the perspective of investors, service providers and intermediaries?</w:t>
      </w:r>
    </w:p>
    <w:p w14:paraId="27570BEE" w14:textId="77777777" w:rsidR="00CC0CB3" w:rsidRPr="00F57B58" w:rsidRDefault="00870703" w:rsidP="00CC0CB3">
      <w:pPr>
        <w:rPr>
          <w:rFonts w:cs="Calibri"/>
          <w:szCs w:val="21"/>
        </w:rPr>
      </w:pPr>
      <w:r>
        <w:rPr>
          <w:rFonts w:cs="Calibri"/>
          <w:szCs w:val="21"/>
        </w:rPr>
        <w:t xml:space="preserve">Social impact investing in Australia is still in its early stages. </w:t>
      </w:r>
      <w:r w:rsidR="008D2ADF">
        <w:rPr>
          <w:rFonts w:cs="Calibri"/>
          <w:szCs w:val="21"/>
        </w:rPr>
        <w:t>T</w:t>
      </w:r>
      <w:r w:rsidR="008D2ADF" w:rsidRPr="00F57B58">
        <w:rPr>
          <w:rFonts w:cs="Calibri"/>
          <w:szCs w:val="21"/>
        </w:rPr>
        <w:t>he</w:t>
      </w:r>
      <w:r w:rsidR="008D2ADF">
        <w:rPr>
          <w:rFonts w:cs="Calibri"/>
          <w:szCs w:val="21"/>
        </w:rPr>
        <w:t xml:space="preserve">re </w:t>
      </w:r>
      <w:r>
        <w:rPr>
          <w:rFonts w:cs="Calibri"/>
          <w:szCs w:val="21"/>
        </w:rPr>
        <w:t>has been</w:t>
      </w:r>
      <w:r w:rsidR="008D2ADF" w:rsidRPr="00F57B58">
        <w:rPr>
          <w:rFonts w:cs="Calibri"/>
          <w:szCs w:val="21"/>
        </w:rPr>
        <w:t xml:space="preserve"> considerable growth in social impact investment activity</w:t>
      </w:r>
      <w:r>
        <w:rPr>
          <w:rFonts w:cs="Calibri"/>
          <w:szCs w:val="21"/>
        </w:rPr>
        <w:t xml:space="preserve"> since 2011,</w:t>
      </w:r>
      <w:r w:rsidR="008D2ADF" w:rsidRPr="00F57B58">
        <w:rPr>
          <w:rFonts w:cs="Calibri"/>
          <w:szCs w:val="21"/>
        </w:rPr>
        <w:t xml:space="preserve"> in </w:t>
      </w:r>
      <w:r>
        <w:rPr>
          <w:rFonts w:cs="Calibri"/>
          <w:szCs w:val="21"/>
        </w:rPr>
        <w:t>part catalysed by</w:t>
      </w:r>
      <w:r w:rsidR="008D2ADF" w:rsidRPr="00F57B58">
        <w:rPr>
          <w:rFonts w:cs="Calibri"/>
          <w:szCs w:val="21"/>
        </w:rPr>
        <w:t xml:space="preserve"> th</w:t>
      </w:r>
      <w:r w:rsidR="008D2ADF">
        <w:rPr>
          <w:rFonts w:cs="Calibri"/>
          <w:szCs w:val="21"/>
        </w:rPr>
        <w:t>e SEDIF</w:t>
      </w:r>
      <w:r>
        <w:rPr>
          <w:rFonts w:cs="Calibri"/>
          <w:szCs w:val="21"/>
        </w:rPr>
        <w:t>. H</w:t>
      </w:r>
      <w:r w:rsidR="008D2ADF">
        <w:rPr>
          <w:rFonts w:cs="Calibri"/>
          <w:szCs w:val="21"/>
        </w:rPr>
        <w:t xml:space="preserve">owever, </w:t>
      </w:r>
      <w:r w:rsidR="008D2ADF" w:rsidRPr="00F57B58">
        <w:rPr>
          <w:rFonts w:cs="Calibri"/>
          <w:szCs w:val="21"/>
        </w:rPr>
        <w:t>this</w:t>
      </w:r>
      <w:r w:rsidR="008D2ADF">
        <w:rPr>
          <w:rFonts w:cs="Calibri"/>
          <w:szCs w:val="21"/>
        </w:rPr>
        <w:t xml:space="preserve"> growth</w:t>
      </w:r>
      <w:r w:rsidR="008D2ADF" w:rsidRPr="00F57B58">
        <w:rPr>
          <w:rFonts w:cs="Calibri"/>
          <w:szCs w:val="21"/>
        </w:rPr>
        <w:t xml:space="preserve"> </w:t>
      </w:r>
      <w:r>
        <w:rPr>
          <w:rFonts w:cs="Calibri"/>
          <w:szCs w:val="21"/>
        </w:rPr>
        <w:t>came</w:t>
      </w:r>
      <w:r w:rsidR="008D2ADF" w:rsidRPr="00F57B58">
        <w:rPr>
          <w:rFonts w:cs="Calibri"/>
          <w:szCs w:val="21"/>
        </w:rPr>
        <w:t xml:space="preserve"> from a very </w:t>
      </w:r>
      <w:r w:rsidR="008D2ADF">
        <w:rPr>
          <w:rFonts w:cs="Calibri"/>
          <w:szCs w:val="21"/>
        </w:rPr>
        <w:t xml:space="preserve">low </w:t>
      </w:r>
      <w:r w:rsidR="008D2ADF" w:rsidRPr="00F57B58">
        <w:rPr>
          <w:rFonts w:cs="Calibri"/>
          <w:szCs w:val="21"/>
        </w:rPr>
        <w:t>base</w:t>
      </w:r>
      <w:r w:rsidR="008D2ADF">
        <w:rPr>
          <w:rFonts w:cs="Calibri"/>
          <w:szCs w:val="21"/>
        </w:rPr>
        <w:t xml:space="preserve"> </w:t>
      </w:r>
      <w:r w:rsidR="008D2ADF" w:rsidRPr="00F57B58">
        <w:rPr>
          <w:rFonts w:cs="Calibri"/>
          <w:szCs w:val="21"/>
        </w:rPr>
        <w:t>(Barraket, Muir et al</w:t>
      </w:r>
      <w:r w:rsidR="008D2ADF">
        <w:rPr>
          <w:rFonts w:cs="Calibri"/>
          <w:szCs w:val="21"/>
        </w:rPr>
        <w:t>.</w:t>
      </w:r>
      <w:r w:rsidR="008D2ADF" w:rsidRPr="00F57B58">
        <w:rPr>
          <w:rFonts w:cs="Calibri"/>
          <w:szCs w:val="21"/>
        </w:rPr>
        <w:t xml:space="preserve"> 2016). </w:t>
      </w:r>
      <w:r w:rsidR="008D2ADF">
        <w:rPr>
          <w:rFonts w:cs="Calibri"/>
          <w:szCs w:val="21"/>
        </w:rPr>
        <w:t xml:space="preserve">Some of the </w:t>
      </w:r>
      <w:r>
        <w:rPr>
          <w:rFonts w:cs="Calibri"/>
          <w:szCs w:val="21"/>
        </w:rPr>
        <w:t>main</w:t>
      </w:r>
      <w:r w:rsidR="008D2ADF" w:rsidRPr="00F57B58">
        <w:rPr>
          <w:rFonts w:cs="Calibri"/>
          <w:szCs w:val="21"/>
        </w:rPr>
        <w:t xml:space="preserve"> </w:t>
      </w:r>
      <w:r w:rsidR="00CC0CB3" w:rsidRPr="00F57B58">
        <w:rPr>
          <w:rFonts w:cs="Calibri"/>
          <w:szCs w:val="21"/>
        </w:rPr>
        <w:t xml:space="preserve">barriers to the growth of social impact investing are </w:t>
      </w:r>
      <w:r w:rsidR="008D2ADF">
        <w:rPr>
          <w:rFonts w:cs="Calibri"/>
          <w:szCs w:val="21"/>
        </w:rPr>
        <w:t>outlined</w:t>
      </w:r>
      <w:r w:rsidR="00044458">
        <w:rPr>
          <w:rFonts w:cs="Calibri"/>
          <w:szCs w:val="21"/>
        </w:rPr>
        <w:t xml:space="preserve"> below:</w:t>
      </w:r>
    </w:p>
    <w:p w14:paraId="517167BA" w14:textId="77777777" w:rsidR="002F2D30" w:rsidRPr="00754551" w:rsidRDefault="002F2D30" w:rsidP="002F2D30">
      <w:pPr>
        <w:rPr>
          <w:rFonts w:cs="Calibri"/>
          <w:i/>
          <w:szCs w:val="21"/>
        </w:rPr>
      </w:pPr>
      <w:r w:rsidRPr="00754551">
        <w:rPr>
          <w:rFonts w:cs="Calibri"/>
          <w:i/>
          <w:szCs w:val="21"/>
        </w:rPr>
        <w:t>General</w:t>
      </w:r>
    </w:p>
    <w:p w14:paraId="06A5223E" w14:textId="77777777" w:rsidR="002F2D30" w:rsidRDefault="002F2D30" w:rsidP="00CC0CB3">
      <w:pPr>
        <w:rPr>
          <w:rFonts w:cs="Calibri"/>
          <w:i/>
          <w:szCs w:val="21"/>
        </w:rPr>
      </w:pPr>
      <w:r>
        <w:t xml:space="preserve">There is some confusion regarding the definition and conceptualisation of social impact investment. For example, the AHURI research found variations in levels of understanding between groups and the </w:t>
      </w:r>
      <w:r w:rsidRPr="00754551">
        <w:rPr>
          <w:rFonts w:cs="Calibri"/>
          <w:szCs w:val="21"/>
        </w:rPr>
        <w:t xml:space="preserve">SEDIF evaluation </w:t>
      </w:r>
      <w:r w:rsidRPr="00870703">
        <w:rPr>
          <w:rFonts w:cs="Calibri"/>
          <w:szCs w:val="21"/>
        </w:rPr>
        <w:t>demonstrate</w:t>
      </w:r>
      <w:r>
        <w:rPr>
          <w:rFonts w:cs="Calibri"/>
          <w:szCs w:val="21"/>
        </w:rPr>
        <w:t>d</w:t>
      </w:r>
      <w:r w:rsidRPr="00870703">
        <w:rPr>
          <w:rFonts w:cs="Calibri"/>
          <w:szCs w:val="21"/>
        </w:rPr>
        <w:t xml:space="preserve"> a misunderstanding that social enterprise and social impact investment are two ends of the same market.</w:t>
      </w:r>
      <w:r>
        <w:rPr>
          <w:rFonts w:cs="Calibri"/>
          <w:szCs w:val="21"/>
        </w:rPr>
        <w:t xml:space="preserve"> </w:t>
      </w:r>
      <w:r>
        <w:t xml:space="preserve">A resource that provides clarity and guidance regarding the definition and constructs of social impact investment is important </w:t>
      </w:r>
      <w:r w:rsidR="00123C49">
        <w:t>f</w:t>
      </w:r>
      <w:r>
        <w:t>o</w:t>
      </w:r>
      <w:r w:rsidR="00123C49">
        <w:t>r</w:t>
      </w:r>
      <w:r>
        <w:t xml:space="preserve"> different actors and potential actors in the market </w:t>
      </w:r>
      <w:r w:rsidR="00870703">
        <w:t xml:space="preserve">to </w:t>
      </w:r>
      <w:r w:rsidR="00123C49">
        <w:t xml:space="preserve">better understand, </w:t>
      </w:r>
      <w:r>
        <w:t>explore and make the most of opportunities.</w:t>
      </w:r>
      <w:r w:rsidR="002518CB" w:rsidDel="002518CB">
        <w:rPr>
          <w:szCs w:val="21"/>
        </w:rPr>
        <w:t xml:space="preserve"> </w:t>
      </w:r>
    </w:p>
    <w:p w14:paraId="081F4592" w14:textId="77777777" w:rsidR="00CC0CB3" w:rsidRPr="00F57B58" w:rsidRDefault="00CC0CB3" w:rsidP="00CC0CB3">
      <w:pPr>
        <w:rPr>
          <w:rFonts w:cs="Calibri"/>
          <w:i/>
          <w:szCs w:val="21"/>
        </w:rPr>
      </w:pPr>
      <w:r w:rsidRPr="00F57B58">
        <w:rPr>
          <w:rFonts w:cs="Calibri"/>
          <w:i/>
          <w:szCs w:val="21"/>
        </w:rPr>
        <w:t xml:space="preserve">Investors </w:t>
      </w:r>
    </w:p>
    <w:p w14:paraId="32BCA97D" w14:textId="77777777" w:rsidR="00CC0CB3" w:rsidRPr="00F57B58" w:rsidRDefault="00CC0CB3" w:rsidP="00CC0CB3">
      <w:pPr>
        <w:rPr>
          <w:rFonts w:cs="Calibri"/>
          <w:szCs w:val="21"/>
        </w:rPr>
      </w:pPr>
      <w:r w:rsidRPr="00F57B58">
        <w:rPr>
          <w:rFonts w:cs="Calibri"/>
          <w:szCs w:val="21"/>
        </w:rPr>
        <w:t>Evidence from CSI research projects confirms that there has been relatively limited take-up by:</w:t>
      </w:r>
    </w:p>
    <w:p w14:paraId="0ABEE3C6" w14:textId="77777777" w:rsidR="00CC0CB3" w:rsidRPr="00F57B58" w:rsidRDefault="00CC0CB3" w:rsidP="00CC0CB3">
      <w:pPr>
        <w:pStyle w:val="ListParagraph"/>
        <w:numPr>
          <w:ilvl w:val="0"/>
          <w:numId w:val="18"/>
        </w:numPr>
        <w:rPr>
          <w:rFonts w:cs="Calibri"/>
          <w:szCs w:val="21"/>
        </w:rPr>
      </w:pPr>
      <w:r w:rsidRPr="00F57B58">
        <w:rPr>
          <w:rFonts w:cs="Calibri"/>
          <w:i/>
          <w:szCs w:val="21"/>
        </w:rPr>
        <w:t>Philanthropic investors</w:t>
      </w:r>
      <w:r w:rsidR="00870703">
        <w:rPr>
          <w:rFonts w:cs="Calibri"/>
          <w:i/>
          <w:szCs w:val="21"/>
        </w:rPr>
        <w:t>,</w:t>
      </w:r>
      <w:r w:rsidRPr="00F57B58">
        <w:rPr>
          <w:rFonts w:cs="Calibri"/>
          <w:szCs w:val="21"/>
        </w:rPr>
        <w:t xml:space="preserve"> due to factors such as a lack of investment opportunities and deals; the bespo</w:t>
      </w:r>
      <w:r w:rsidR="001037E4">
        <w:rPr>
          <w:rFonts w:cs="Calibri"/>
          <w:szCs w:val="21"/>
        </w:rPr>
        <w:t xml:space="preserve">ke character of these deals, </w:t>
      </w:r>
      <w:r w:rsidRPr="00F57B58">
        <w:rPr>
          <w:rFonts w:cs="Calibri"/>
          <w:szCs w:val="21"/>
        </w:rPr>
        <w:t xml:space="preserve">associated transaction costs and </w:t>
      </w:r>
      <w:r w:rsidR="00870703">
        <w:rPr>
          <w:rFonts w:cs="Calibri"/>
          <w:szCs w:val="21"/>
        </w:rPr>
        <w:t xml:space="preserve">challenges of </w:t>
      </w:r>
      <w:r w:rsidRPr="00F57B58">
        <w:rPr>
          <w:rFonts w:cs="Calibri"/>
          <w:szCs w:val="21"/>
        </w:rPr>
        <w:t xml:space="preserve">due diligence; uncertainty over the duties of trustees for below-market investments, and associated caution among trustees.   </w:t>
      </w:r>
    </w:p>
    <w:p w14:paraId="5834E1B8" w14:textId="77777777" w:rsidR="00CC0CB3" w:rsidRDefault="00CC0CB3" w:rsidP="00CC0CB3">
      <w:pPr>
        <w:pStyle w:val="ListParagraph"/>
        <w:numPr>
          <w:ilvl w:val="0"/>
          <w:numId w:val="18"/>
        </w:numPr>
        <w:rPr>
          <w:rFonts w:cs="Calibri"/>
          <w:szCs w:val="21"/>
        </w:rPr>
      </w:pPr>
      <w:r w:rsidRPr="00F57B58">
        <w:rPr>
          <w:rFonts w:cs="Calibri"/>
          <w:i/>
          <w:szCs w:val="21"/>
        </w:rPr>
        <w:t>Institutional investors</w:t>
      </w:r>
      <w:r w:rsidR="00044458">
        <w:rPr>
          <w:rFonts w:cs="Calibri"/>
          <w:szCs w:val="21"/>
        </w:rPr>
        <w:t>,</w:t>
      </w:r>
      <w:r w:rsidRPr="00F57B58">
        <w:rPr>
          <w:rFonts w:cs="Calibri"/>
          <w:i/>
          <w:szCs w:val="21"/>
        </w:rPr>
        <w:t xml:space="preserve"> </w:t>
      </w:r>
      <w:r w:rsidRPr="00F57B58">
        <w:rPr>
          <w:rFonts w:cs="Calibri"/>
          <w:szCs w:val="21"/>
        </w:rPr>
        <w:t>including superannuation funds</w:t>
      </w:r>
      <w:r w:rsidR="00F6715F">
        <w:rPr>
          <w:rFonts w:cs="Calibri"/>
          <w:szCs w:val="21"/>
        </w:rPr>
        <w:t>,</w:t>
      </w:r>
      <w:r w:rsidRPr="00F57B58">
        <w:rPr>
          <w:rFonts w:cs="Calibri"/>
          <w:szCs w:val="21"/>
        </w:rPr>
        <w:t xml:space="preserve"> due to lack of deals of sufficient scale, </w:t>
      </w:r>
      <w:r w:rsidR="00754551">
        <w:rPr>
          <w:rFonts w:cs="Calibri"/>
          <w:szCs w:val="21"/>
        </w:rPr>
        <w:t xml:space="preserve">relative </w:t>
      </w:r>
      <w:r w:rsidR="00754551" w:rsidRPr="00F57B58">
        <w:rPr>
          <w:rFonts w:cs="Calibri"/>
          <w:szCs w:val="21"/>
        </w:rPr>
        <w:t xml:space="preserve">due diligence costs </w:t>
      </w:r>
      <w:r w:rsidRPr="00F57B58">
        <w:rPr>
          <w:rFonts w:cs="Calibri"/>
          <w:szCs w:val="21"/>
        </w:rPr>
        <w:t xml:space="preserve">and the need for market-related returns associated with fiduciary duties.  </w:t>
      </w:r>
    </w:p>
    <w:p w14:paraId="7FC431EC" w14:textId="77777777" w:rsidR="002F2D30" w:rsidRPr="00F6715F" w:rsidRDefault="00F6715F" w:rsidP="00F6715F">
      <w:pPr>
        <w:pStyle w:val="ListParagraph"/>
        <w:numPr>
          <w:ilvl w:val="0"/>
          <w:numId w:val="18"/>
        </w:numPr>
        <w:rPr>
          <w:rFonts w:cs="Calibri"/>
          <w:szCs w:val="21"/>
        </w:rPr>
      </w:pPr>
      <w:r>
        <w:rPr>
          <w:rFonts w:cs="Calibri"/>
          <w:i/>
          <w:szCs w:val="21"/>
        </w:rPr>
        <w:t>I</w:t>
      </w:r>
      <w:r w:rsidR="00044458">
        <w:rPr>
          <w:rFonts w:cs="Calibri"/>
          <w:i/>
          <w:szCs w:val="21"/>
        </w:rPr>
        <w:t xml:space="preserve">nvestors </w:t>
      </w:r>
      <w:r>
        <w:rPr>
          <w:rFonts w:cs="Calibri"/>
          <w:szCs w:val="21"/>
        </w:rPr>
        <w:t>also face barriers relating to risk and return levels without the same scale of guarantors as overseas (e.g. large philanthropic organisations who guarantee a certain proportion of private investment</w:t>
      </w:r>
      <w:r w:rsidR="00754551">
        <w:rPr>
          <w:rFonts w:cs="Calibri"/>
          <w:szCs w:val="21"/>
        </w:rPr>
        <w:t xml:space="preserve"> potentially at below market returns</w:t>
      </w:r>
      <w:r w:rsidR="00504B24">
        <w:rPr>
          <w:rFonts w:cs="Calibri"/>
          <w:szCs w:val="21"/>
        </w:rPr>
        <w:t xml:space="preserve"> through layered investments</w:t>
      </w:r>
      <w:r>
        <w:rPr>
          <w:rFonts w:cs="Calibri"/>
          <w:szCs w:val="21"/>
        </w:rPr>
        <w:t>).</w:t>
      </w:r>
      <w:r w:rsidR="00044458">
        <w:rPr>
          <w:rFonts w:cs="Calibri"/>
          <w:szCs w:val="21"/>
        </w:rPr>
        <w:t xml:space="preserve"> </w:t>
      </w:r>
    </w:p>
    <w:p w14:paraId="24BC2206" w14:textId="77777777" w:rsidR="00CC0CB3" w:rsidRPr="00F57B58" w:rsidRDefault="00CC0CB3" w:rsidP="00CC0CB3">
      <w:pPr>
        <w:rPr>
          <w:rFonts w:cs="Calibri"/>
          <w:i/>
          <w:szCs w:val="21"/>
        </w:rPr>
      </w:pPr>
      <w:r w:rsidRPr="00F57B58">
        <w:rPr>
          <w:rFonts w:cs="Calibri"/>
          <w:i/>
          <w:szCs w:val="21"/>
        </w:rPr>
        <w:lastRenderedPageBreak/>
        <w:t xml:space="preserve">Intermediaries </w:t>
      </w:r>
    </w:p>
    <w:p w14:paraId="6071FA3F" w14:textId="77777777" w:rsidR="00044458" w:rsidRDefault="00044458" w:rsidP="00044458">
      <w:pPr>
        <w:rPr>
          <w:szCs w:val="21"/>
        </w:rPr>
      </w:pPr>
      <w:r>
        <w:rPr>
          <w:rFonts w:cs="Calibri"/>
          <w:szCs w:val="21"/>
        </w:rPr>
        <w:t>Intermediaries play an important role in social impact investing. Firstly, they act as brokers between the demand and supply-side investors (including charitable trusts</w:t>
      </w:r>
      <w:r w:rsidR="008D2ADF">
        <w:rPr>
          <w:rFonts w:cs="Calibri"/>
          <w:szCs w:val="21"/>
        </w:rPr>
        <w:t>)</w:t>
      </w:r>
      <w:r w:rsidR="00304578">
        <w:rPr>
          <w:rFonts w:cs="Calibri"/>
          <w:szCs w:val="21"/>
        </w:rPr>
        <w:t>,</w:t>
      </w:r>
      <w:r>
        <w:rPr>
          <w:rFonts w:cs="Calibri"/>
          <w:szCs w:val="21"/>
        </w:rPr>
        <w:t xml:space="preserve"> who may lack familiarity with social impact investment and often require intermediation to identify investment opportunities and facilitate transactions.  Second</w:t>
      </w:r>
      <w:r w:rsidR="008D2ADF">
        <w:rPr>
          <w:rFonts w:cs="Calibri"/>
          <w:szCs w:val="21"/>
        </w:rPr>
        <w:t>ly</w:t>
      </w:r>
      <w:r>
        <w:rPr>
          <w:rFonts w:cs="Calibri"/>
          <w:szCs w:val="21"/>
        </w:rPr>
        <w:t xml:space="preserve">, </w:t>
      </w:r>
      <w:r w:rsidR="008D2ADF">
        <w:rPr>
          <w:rFonts w:cs="Calibri"/>
          <w:szCs w:val="21"/>
        </w:rPr>
        <w:t xml:space="preserve">they provide intermediation between investors and </w:t>
      </w:r>
      <w:r w:rsidRPr="00F57B58">
        <w:rPr>
          <w:szCs w:val="21"/>
        </w:rPr>
        <w:t>service providers</w:t>
      </w:r>
      <w:r w:rsidR="008D2ADF">
        <w:rPr>
          <w:szCs w:val="21"/>
        </w:rPr>
        <w:t xml:space="preserve">. This can assist service providers to </w:t>
      </w:r>
      <w:r w:rsidRPr="00F57B58">
        <w:rPr>
          <w:szCs w:val="21"/>
        </w:rPr>
        <w:t xml:space="preserve">understand what is required by investors and </w:t>
      </w:r>
      <w:r w:rsidR="008D2ADF">
        <w:rPr>
          <w:szCs w:val="21"/>
        </w:rPr>
        <w:t>navigate social impact investment opportunities and initiatives</w:t>
      </w:r>
      <w:r w:rsidRPr="00F57B58">
        <w:rPr>
          <w:szCs w:val="21"/>
        </w:rPr>
        <w:t xml:space="preserve">. </w:t>
      </w:r>
    </w:p>
    <w:p w14:paraId="0F9A3A53" w14:textId="77777777" w:rsidR="007E5E34" w:rsidRDefault="00CC0CB3" w:rsidP="002F2D30">
      <w:pPr>
        <w:rPr>
          <w:rFonts w:cs="Calibri"/>
          <w:szCs w:val="21"/>
        </w:rPr>
      </w:pPr>
      <w:r w:rsidRPr="00F57B58">
        <w:rPr>
          <w:rFonts w:cs="Calibri"/>
          <w:szCs w:val="21"/>
        </w:rPr>
        <w:t>CSI research</w:t>
      </w:r>
      <w:r w:rsidR="00044458">
        <w:rPr>
          <w:rFonts w:cs="Calibri"/>
          <w:szCs w:val="21"/>
        </w:rPr>
        <w:t>,</w:t>
      </w:r>
      <w:r w:rsidR="00C05BEF">
        <w:rPr>
          <w:rFonts w:cs="Calibri"/>
          <w:szCs w:val="21"/>
        </w:rPr>
        <w:t xml:space="preserve"> including the FASES</w:t>
      </w:r>
      <w:r w:rsidR="00224FFD">
        <w:rPr>
          <w:rFonts w:cs="Calibri"/>
          <w:szCs w:val="21"/>
        </w:rPr>
        <w:t xml:space="preserve"> 2016</w:t>
      </w:r>
      <w:r w:rsidR="00C05BEF">
        <w:rPr>
          <w:rFonts w:cs="Calibri"/>
          <w:szCs w:val="21"/>
        </w:rPr>
        <w:t xml:space="preserve"> report</w:t>
      </w:r>
      <w:r w:rsidR="00044458">
        <w:rPr>
          <w:rFonts w:cs="Calibri"/>
          <w:szCs w:val="21"/>
        </w:rPr>
        <w:t>,</w:t>
      </w:r>
      <w:r w:rsidRPr="00F57B58">
        <w:rPr>
          <w:rFonts w:cs="Calibri"/>
          <w:szCs w:val="21"/>
        </w:rPr>
        <w:t xml:space="preserve"> confirmed that existing intermediaries are well-regarded among both investors and </w:t>
      </w:r>
      <w:r w:rsidR="00F57B58">
        <w:rPr>
          <w:rFonts w:cs="Calibri"/>
          <w:szCs w:val="21"/>
        </w:rPr>
        <w:t xml:space="preserve">organisations </w:t>
      </w:r>
      <w:r w:rsidR="00F57B58" w:rsidRPr="00F57B58">
        <w:rPr>
          <w:rFonts w:cs="Calibri"/>
          <w:szCs w:val="21"/>
        </w:rPr>
        <w:t>seeking</w:t>
      </w:r>
      <w:r w:rsidRPr="00F57B58">
        <w:rPr>
          <w:rFonts w:cs="Calibri"/>
          <w:szCs w:val="21"/>
        </w:rPr>
        <w:t xml:space="preserve"> capital</w:t>
      </w:r>
      <w:r w:rsidR="00677D7F">
        <w:rPr>
          <w:rFonts w:cs="Calibri"/>
          <w:szCs w:val="21"/>
        </w:rPr>
        <w:t xml:space="preserve">. </w:t>
      </w:r>
      <w:r w:rsidR="007E5E34">
        <w:rPr>
          <w:rFonts w:cs="Calibri"/>
          <w:szCs w:val="21"/>
        </w:rPr>
        <w:t xml:space="preserve">Nonetheless, </w:t>
      </w:r>
      <w:r w:rsidRPr="00F57B58">
        <w:rPr>
          <w:rFonts w:cs="Calibri"/>
          <w:szCs w:val="21"/>
        </w:rPr>
        <w:t xml:space="preserve">Australia </w:t>
      </w:r>
      <w:r w:rsidR="008D2ADF">
        <w:rPr>
          <w:rFonts w:cs="Calibri"/>
          <w:szCs w:val="21"/>
        </w:rPr>
        <w:t>has</w:t>
      </w:r>
      <w:r w:rsidRPr="00F57B58">
        <w:rPr>
          <w:rFonts w:cs="Calibri"/>
          <w:szCs w:val="21"/>
        </w:rPr>
        <w:t xml:space="preserve"> insufficient </w:t>
      </w:r>
      <w:r w:rsidR="00044458">
        <w:rPr>
          <w:rFonts w:cs="Calibri"/>
          <w:szCs w:val="21"/>
        </w:rPr>
        <w:t xml:space="preserve">numbers of </w:t>
      </w:r>
      <w:r w:rsidRPr="00F57B58">
        <w:rPr>
          <w:rFonts w:cs="Calibri"/>
          <w:szCs w:val="21"/>
        </w:rPr>
        <w:t xml:space="preserve">specialist intermediaries to support a </w:t>
      </w:r>
      <w:r w:rsidR="00044458">
        <w:rPr>
          <w:rFonts w:cs="Calibri"/>
          <w:szCs w:val="21"/>
        </w:rPr>
        <w:t xml:space="preserve">strong </w:t>
      </w:r>
      <w:r w:rsidRPr="00F57B58">
        <w:rPr>
          <w:rFonts w:cs="Calibri"/>
          <w:szCs w:val="21"/>
        </w:rPr>
        <w:t>social impact investment ecosystem</w:t>
      </w:r>
      <w:r w:rsidR="00677D7F">
        <w:rPr>
          <w:rFonts w:cs="Calibri"/>
          <w:szCs w:val="21"/>
        </w:rPr>
        <w:t xml:space="preserve"> </w:t>
      </w:r>
      <w:r w:rsidR="00677D7F" w:rsidRPr="00F57B58">
        <w:rPr>
          <w:rFonts w:cs="Calibri"/>
          <w:szCs w:val="21"/>
        </w:rPr>
        <w:t>(Barraket, Mason et al</w:t>
      </w:r>
      <w:r w:rsidR="00677D7F">
        <w:rPr>
          <w:rFonts w:cs="Calibri"/>
          <w:szCs w:val="21"/>
        </w:rPr>
        <w:t>.</w:t>
      </w:r>
      <w:r w:rsidR="00677D7F" w:rsidRPr="00F57B58">
        <w:rPr>
          <w:rFonts w:cs="Calibri"/>
          <w:szCs w:val="21"/>
        </w:rPr>
        <w:t xml:space="preserve"> 2016</w:t>
      </w:r>
      <w:r w:rsidR="00677D7F">
        <w:rPr>
          <w:rFonts w:cs="Calibri"/>
          <w:szCs w:val="21"/>
        </w:rPr>
        <w:t>)</w:t>
      </w:r>
      <w:r w:rsidRPr="00F57B58">
        <w:rPr>
          <w:rFonts w:cs="Calibri"/>
          <w:szCs w:val="21"/>
        </w:rPr>
        <w:t xml:space="preserve">. </w:t>
      </w:r>
      <w:r w:rsidR="007E5E34">
        <w:rPr>
          <w:rFonts w:cs="Calibri"/>
          <w:szCs w:val="21"/>
        </w:rPr>
        <w:t xml:space="preserve"> </w:t>
      </w:r>
      <w:r w:rsidR="008D2ADF">
        <w:rPr>
          <w:rFonts w:cs="Calibri"/>
          <w:szCs w:val="21"/>
        </w:rPr>
        <w:t>I</w:t>
      </w:r>
      <w:r w:rsidR="00886DF0" w:rsidRPr="00886DF0">
        <w:rPr>
          <w:rFonts w:cs="Calibri"/>
          <w:szCs w:val="21"/>
        </w:rPr>
        <w:t xml:space="preserve">nsufficient foundational investment </w:t>
      </w:r>
      <w:r w:rsidR="008D2ADF">
        <w:rPr>
          <w:rFonts w:cs="Calibri"/>
          <w:szCs w:val="21"/>
        </w:rPr>
        <w:t xml:space="preserve">in SEDIF </w:t>
      </w:r>
      <w:r w:rsidR="00886DF0" w:rsidRPr="00886DF0">
        <w:rPr>
          <w:rFonts w:cs="Calibri"/>
          <w:szCs w:val="21"/>
        </w:rPr>
        <w:t>limited what was possible in building th</w:t>
      </w:r>
      <w:r w:rsidR="008D2ADF">
        <w:rPr>
          <w:rFonts w:cs="Calibri"/>
          <w:szCs w:val="21"/>
        </w:rPr>
        <w:t xml:space="preserve">e </w:t>
      </w:r>
      <w:r w:rsidR="00886DF0" w:rsidRPr="00886DF0">
        <w:rPr>
          <w:rFonts w:cs="Calibri"/>
          <w:szCs w:val="21"/>
        </w:rPr>
        <w:t>market</w:t>
      </w:r>
      <w:r w:rsidR="008D2ADF">
        <w:rPr>
          <w:rFonts w:cs="Calibri"/>
          <w:szCs w:val="21"/>
        </w:rPr>
        <w:t xml:space="preserve"> </w:t>
      </w:r>
      <w:r w:rsidR="008D2ADF" w:rsidRPr="00F57B58">
        <w:rPr>
          <w:rFonts w:cs="Calibri"/>
          <w:szCs w:val="21"/>
        </w:rPr>
        <w:t>(Barraket, Muir et al</w:t>
      </w:r>
      <w:r w:rsidR="008D2ADF">
        <w:rPr>
          <w:rFonts w:cs="Calibri"/>
          <w:szCs w:val="21"/>
        </w:rPr>
        <w:t>.</w:t>
      </w:r>
      <w:r w:rsidR="008D2ADF" w:rsidRPr="00F57B58">
        <w:rPr>
          <w:rFonts w:cs="Calibri"/>
          <w:szCs w:val="21"/>
        </w:rPr>
        <w:t xml:space="preserve"> 2016)</w:t>
      </w:r>
      <w:r w:rsidR="00886DF0" w:rsidRPr="00886DF0">
        <w:rPr>
          <w:rFonts w:cs="Calibri"/>
          <w:szCs w:val="21"/>
        </w:rPr>
        <w:t>.</w:t>
      </w:r>
    </w:p>
    <w:p w14:paraId="2ABC4A29" w14:textId="77777777" w:rsidR="00CC0CB3" w:rsidRPr="00F57B58" w:rsidRDefault="00CC0CB3" w:rsidP="00CC0CB3">
      <w:pPr>
        <w:rPr>
          <w:rFonts w:cs="Calibri"/>
          <w:i/>
          <w:szCs w:val="21"/>
        </w:rPr>
      </w:pPr>
      <w:r w:rsidRPr="00F57B58">
        <w:rPr>
          <w:rFonts w:cs="Calibri"/>
          <w:i/>
          <w:szCs w:val="21"/>
        </w:rPr>
        <w:t>Demand-side organisations (including service providers)</w:t>
      </w:r>
    </w:p>
    <w:p w14:paraId="1475CFBA" w14:textId="77777777" w:rsidR="007E5E34" w:rsidRDefault="00886DF0" w:rsidP="00CC0CB3">
      <w:pPr>
        <w:rPr>
          <w:szCs w:val="21"/>
        </w:rPr>
      </w:pPr>
      <w:r>
        <w:rPr>
          <w:szCs w:val="21"/>
        </w:rPr>
        <w:t xml:space="preserve">Public policy to support market development has </w:t>
      </w:r>
      <w:r w:rsidR="00C420BF">
        <w:rPr>
          <w:szCs w:val="21"/>
        </w:rPr>
        <w:t>been supply-led</w:t>
      </w:r>
      <w:r w:rsidR="008D2ADF">
        <w:rPr>
          <w:szCs w:val="21"/>
        </w:rPr>
        <w:t>;</w:t>
      </w:r>
      <w:r w:rsidR="00C420BF">
        <w:rPr>
          <w:szCs w:val="21"/>
        </w:rPr>
        <w:t xml:space="preserve"> </w:t>
      </w:r>
      <w:r w:rsidR="008D2ADF">
        <w:rPr>
          <w:szCs w:val="21"/>
        </w:rPr>
        <w:t xml:space="preserve">it </w:t>
      </w:r>
      <w:r>
        <w:rPr>
          <w:szCs w:val="21"/>
        </w:rPr>
        <w:t>has not always taken</w:t>
      </w:r>
      <w:r w:rsidR="000F5EBE">
        <w:rPr>
          <w:szCs w:val="21"/>
        </w:rPr>
        <w:t xml:space="preserve"> adequate</w:t>
      </w:r>
      <w:r>
        <w:rPr>
          <w:szCs w:val="21"/>
        </w:rPr>
        <w:t xml:space="preserve"> consideration of the needs of social impact providers</w:t>
      </w:r>
      <w:r w:rsidR="00297E75">
        <w:rPr>
          <w:szCs w:val="21"/>
        </w:rPr>
        <w:t>, including not for profit organisations, social enterprises and social businesses</w:t>
      </w:r>
      <w:r>
        <w:rPr>
          <w:szCs w:val="21"/>
        </w:rPr>
        <w:t xml:space="preserve">. </w:t>
      </w:r>
      <w:r w:rsidR="00297E75">
        <w:rPr>
          <w:szCs w:val="21"/>
        </w:rPr>
        <w:t xml:space="preserve">There have thus been limitations in the effective structuring of social impact investing. Importantly, there has also been a lack of attention to the development of other forms of social finance – including patient capital, community capital, blended finance and guarantees – </w:t>
      </w:r>
      <w:r w:rsidR="003839BC">
        <w:rPr>
          <w:szCs w:val="21"/>
        </w:rPr>
        <w:t xml:space="preserve">to </w:t>
      </w:r>
      <w:r w:rsidR="00297E75">
        <w:rPr>
          <w:szCs w:val="21"/>
        </w:rPr>
        <w:t xml:space="preserve">better serve the capital needs of some social benefit providers. </w:t>
      </w:r>
      <w:r w:rsidR="008D2ADF">
        <w:rPr>
          <w:szCs w:val="21"/>
        </w:rPr>
        <w:t>Consequently, there have been</w:t>
      </w:r>
      <w:r>
        <w:rPr>
          <w:szCs w:val="21"/>
        </w:rPr>
        <w:t xml:space="preserve"> difficulties matching </w:t>
      </w:r>
      <w:r w:rsidR="00297E75">
        <w:rPr>
          <w:szCs w:val="21"/>
        </w:rPr>
        <w:t xml:space="preserve">social impact investing </w:t>
      </w:r>
      <w:r>
        <w:rPr>
          <w:szCs w:val="21"/>
        </w:rPr>
        <w:t xml:space="preserve">supply </w:t>
      </w:r>
      <w:r w:rsidR="008D2ADF">
        <w:rPr>
          <w:szCs w:val="21"/>
        </w:rPr>
        <w:t xml:space="preserve">to </w:t>
      </w:r>
      <w:r>
        <w:rPr>
          <w:szCs w:val="21"/>
        </w:rPr>
        <w:t>demand</w:t>
      </w:r>
      <w:r w:rsidR="000F5EBE">
        <w:rPr>
          <w:szCs w:val="21"/>
        </w:rPr>
        <w:t xml:space="preserve">. </w:t>
      </w:r>
    </w:p>
    <w:p w14:paraId="06AEDB54" w14:textId="77777777" w:rsidR="002D3379" w:rsidRDefault="00886DF0" w:rsidP="00CC0CB3">
      <w:pPr>
        <w:rPr>
          <w:rFonts w:cs="Calibri"/>
          <w:szCs w:val="21"/>
        </w:rPr>
      </w:pPr>
      <w:r>
        <w:rPr>
          <w:szCs w:val="21"/>
        </w:rPr>
        <w:t xml:space="preserve">In the </w:t>
      </w:r>
      <w:r w:rsidR="003839BC">
        <w:rPr>
          <w:szCs w:val="21"/>
        </w:rPr>
        <w:t>United Kingdom (</w:t>
      </w:r>
      <w:r>
        <w:rPr>
          <w:szCs w:val="21"/>
        </w:rPr>
        <w:t>UK</w:t>
      </w:r>
      <w:r w:rsidR="003839BC">
        <w:rPr>
          <w:szCs w:val="21"/>
        </w:rPr>
        <w:t>)</w:t>
      </w:r>
      <w:r>
        <w:rPr>
          <w:szCs w:val="21"/>
        </w:rPr>
        <w:t xml:space="preserve">, widely seen as the </w:t>
      </w:r>
      <w:r w:rsidRPr="00F57B58">
        <w:rPr>
          <w:rFonts w:cs="Calibri"/>
          <w:szCs w:val="21"/>
        </w:rPr>
        <w:t>most mature social impact investment market (Nicholls 2010)</w:t>
      </w:r>
      <w:r w:rsidR="002030D0">
        <w:rPr>
          <w:rFonts w:cs="Calibri"/>
          <w:szCs w:val="21"/>
        </w:rPr>
        <w:t>,</w:t>
      </w:r>
      <w:r w:rsidRPr="00F57B58">
        <w:rPr>
          <w:rFonts w:cs="Calibri"/>
          <w:szCs w:val="21"/>
        </w:rPr>
        <w:t xml:space="preserve"> studies have </w:t>
      </w:r>
      <w:r w:rsidR="002D3379">
        <w:rPr>
          <w:rFonts w:cs="Calibri"/>
          <w:szCs w:val="21"/>
        </w:rPr>
        <w:t xml:space="preserve">also </w:t>
      </w:r>
      <w:r w:rsidRPr="00F57B58">
        <w:rPr>
          <w:rFonts w:cs="Calibri"/>
          <w:szCs w:val="21"/>
        </w:rPr>
        <w:t>questioned the absorptive capacit</w:t>
      </w:r>
      <w:r w:rsidR="00E53D0F">
        <w:rPr>
          <w:rFonts w:cs="Calibri"/>
          <w:szCs w:val="21"/>
        </w:rPr>
        <w:t>y of demand-side organisations</w:t>
      </w:r>
      <w:r w:rsidR="002030D0">
        <w:rPr>
          <w:rFonts w:cs="Calibri"/>
          <w:szCs w:val="21"/>
        </w:rPr>
        <w:t>.</w:t>
      </w:r>
      <w:r w:rsidR="002D3379">
        <w:rPr>
          <w:rFonts w:cs="Calibri"/>
          <w:szCs w:val="21"/>
        </w:rPr>
        <w:t xml:space="preserve"> Lyons (2016), for example, found low demand for non-traditional forms of capital among social enterprises. Similarly</w:t>
      </w:r>
      <w:r w:rsidR="008D2ADF">
        <w:rPr>
          <w:rFonts w:cs="Calibri"/>
          <w:szCs w:val="21"/>
        </w:rPr>
        <w:t>,</w:t>
      </w:r>
      <w:r w:rsidR="002D3379">
        <w:rPr>
          <w:rFonts w:cs="Calibri"/>
          <w:szCs w:val="21"/>
        </w:rPr>
        <w:t xml:space="preserve"> the UK Government’s Social Investment Taskforce (2014: 29) found ‘more capital available than demand-side organisations could reasonably absorb’.     </w:t>
      </w:r>
    </w:p>
    <w:p w14:paraId="7D20E74D" w14:textId="77777777" w:rsidR="00297E75" w:rsidRPr="003839BC" w:rsidRDefault="002030D0" w:rsidP="003839BC">
      <w:pPr>
        <w:rPr>
          <w:szCs w:val="21"/>
        </w:rPr>
      </w:pPr>
      <w:r w:rsidRPr="003839BC">
        <w:rPr>
          <w:szCs w:val="21"/>
        </w:rPr>
        <w:t xml:space="preserve">Much of the capacity building activity and attempts </w:t>
      </w:r>
      <w:r w:rsidR="00E53D0F" w:rsidRPr="003839BC">
        <w:rPr>
          <w:szCs w:val="21"/>
        </w:rPr>
        <w:t xml:space="preserve">to enhance investment readiness </w:t>
      </w:r>
      <w:r w:rsidR="008D2ADF" w:rsidRPr="003839BC">
        <w:rPr>
          <w:szCs w:val="21"/>
        </w:rPr>
        <w:t xml:space="preserve">are </w:t>
      </w:r>
      <w:r w:rsidR="00E53D0F" w:rsidRPr="003839BC">
        <w:rPr>
          <w:szCs w:val="21"/>
        </w:rPr>
        <w:t>privately-driven</w:t>
      </w:r>
      <w:r w:rsidR="002D3379" w:rsidRPr="003839BC">
        <w:rPr>
          <w:szCs w:val="21"/>
        </w:rPr>
        <w:t xml:space="preserve"> in Australia</w:t>
      </w:r>
      <w:r w:rsidR="00E53D0F" w:rsidRPr="003839BC">
        <w:rPr>
          <w:szCs w:val="21"/>
        </w:rPr>
        <w:t xml:space="preserve"> (for example, the Impact </w:t>
      </w:r>
      <w:r w:rsidR="00E53D0F" w:rsidRPr="00BF4663">
        <w:rPr>
          <w:szCs w:val="21"/>
        </w:rPr>
        <w:t xml:space="preserve">Investment Ready Discovery Grants and </w:t>
      </w:r>
      <w:r w:rsidR="002D3379" w:rsidRPr="00BF4663">
        <w:rPr>
          <w:szCs w:val="21"/>
        </w:rPr>
        <w:t xml:space="preserve">Impact </w:t>
      </w:r>
      <w:r w:rsidR="00E53D0F" w:rsidRPr="00BF4663">
        <w:rPr>
          <w:szCs w:val="21"/>
        </w:rPr>
        <w:t xml:space="preserve">Investment Readiness Fund). Government </w:t>
      </w:r>
      <w:r w:rsidR="002F2D30" w:rsidRPr="00A20499">
        <w:rPr>
          <w:szCs w:val="21"/>
        </w:rPr>
        <w:t xml:space="preserve">should consider adopting </w:t>
      </w:r>
      <w:r w:rsidR="002D3379" w:rsidRPr="00A20499">
        <w:rPr>
          <w:szCs w:val="21"/>
        </w:rPr>
        <w:t xml:space="preserve">a </w:t>
      </w:r>
      <w:r w:rsidR="002F2D30" w:rsidRPr="00A20499">
        <w:rPr>
          <w:szCs w:val="21"/>
        </w:rPr>
        <w:t xml:space="preserve">supply focused </w:t>
      </w:r>
      <w:r w:rsidR="002D3379" w:rsidRPr="00A20499">
        <w:rPr>
          <w:szCs w:val="21"/>
        </w:rPr>
        <w:t xml:space="preserve">approach to building </w:t>
      </w:r>
      <w:r w:rsidR="002F2D30" w:rsidRPr="00A20499">
        <w:rPr>
          <w:szCs w:val="21"/>
        </w:rPr>
        <w:t xml:space="preserve">the </w:t>
      </w:r>
      <w:r w:rsidR="002D3379" w:rsidRPr="00A20499">
        <w:rPr>
          <w:szCs w:val="21"/>
        </w:rPr>
        <w:t>capacity of service providers</w:t>
      </w:r>
      <w:r w:rsidR="002F2D30" w:rsidRPr="00A20499">
        <w:rPr>
          <w:szCs w:val="21"/>
        </w:rPr>
        <w:t xml:space="preserve"> to participate in the social impact investment market</w:t>
      </w:r>
      <w:r w:rsidR="002D3379" w:rsidRPr="00F02D6B">
        <w:rPr>
          <w:szCs w:val="21"/>
        </w:rPr>
        <w:t xml:space="preserve">. </w:t>
      </w:r>
    </w:p>
    <w:p w14:paraId="7256613E" w14:textId="77777777" w:rsidR="000E7ECD" w:rsidRDefault="00AD4BE6" w:rsidP="00AD4BE6">
      <w:pPr>
        <w:pStyle w:val="Heading3"/>
        <w:rPr>
          <w:rStyle w:val="s1"/>
        </w:rPr>
      </w:pPr>
      <w:r>
        <w:rPr>
          <w:rStyle w:val="s1"/>
        </w:rPr>
        <w:t xml:space="preserve">Question 2: </w:t>
      </w:r>
      <w:r w:rsidR="000E7ECD">
        <w:rPr>
          <w:rStyle w:val="s1"/>
        </w:rPr>
        <w:t>What do you see as the future for social impact investing in Australia: for example, can you foresee the development of new structures for social impact investing</w:t>
      </w:r>
      <w:r w:rsidR="005736DC">
        <w:rPr>
          <w:rStyle w:val="s1"/>
        </w:rPr>
        <w:t>?</w:t>
      </w:r>
    </w:p>
    <w:p w14:paraId="76DD737E" w14:textId="77777777" w:rsidR="00CC0CB3" w:rsidRDefault="002518CB" w:rsidP="00CC0CB3">
      <w:r>
        <w:t>C</w:t>
      </w:r>
      <w:r w:rsidR="00CC0CB3">
        <w:t xml:space="preserve">onsolidation and use of existing </w:t>
      </w:r>
      <w:r w:rsidR="003839BC">
        <w:t xml:space="preserve">forms </w:t>
      </w:r>
      <w:r>
        <w:t xml:space="preserve">will be important for the future development of </w:t>
      </w:r>
      <w:r w:rsidR="003839BC">
        <w:t xml:space="preserve">social </w:t>
      </w:r>
      <w:r>
        <w:t>impact investing in Australia</w:t>
      </w:r>
      <w:r w:rsidR="00CC0CB3">
        <w:t xml:space="preserve">. </w:t>
      </w:r>
      <w:r>
        <w:t>We examine this in regard to the</w:t>
      </w:r>
      <w:r w:rsidR="00CC0CB3">
        <w:t xml:space="preserve"> three main forms of social impact investing </w:t>
      </w:r>
      <w:r>
        <w:t>(</w:t>
      </w:r>
      <w:r w:rsidR="003E43F9">
        <w:t>Discussion Paper</w:t>
      </w:r>
      <w:r w:rsidR="003839BC">
        <w:t>:</w:t>
      </w:r>
      <w:r>
        <w:t xml:space="preserve"> 10)</w:t>
      </w:r>
      <w:r w:rsidR="003E43F9">
        <w:t>: social impact investment funds, social impact bonds</w:t>
      </w:r>
      <w:r w:rsidR="003839BC">
        <w:t xml:space="preserve"> (SIBs)</w:t>
      </w:r>
      <w:r w:rsidR="003E43F9">
        <w:t>, and social enterprises</w:t>
      </w:r>
      <w:r w:rsidR="00CC0CB3">
        <w:t xml:space="preserve">. </w:t>
      </w:r>
      <w:r w:rsidR="003E43F9">
        <w:t xml:space="preserve"> </w:t>
      </w:r>
    </w:p>
    <w:p w14:paraId="28A49F3D" w14:textId="77777777" w:rsidR="00CC0CB3" w:rsidRDefault="00CC0CB3" w:rsidP="00CC0CB3">
      <w:pPr>
        <w:rPr>
          <w:i/>
        </w:rPr>
      </w:pPr>
      <w:r>
        <w:rPr>
          <w:i/>
        </w:rPr>
        <w:t>Social impact investment funds</w:t>
      </w:r>
    </w:p>
    <w:p w14:paraId="4E7DA161" w14:textId="77777777" w:rsidR="00CC0CB3" w:rsidRDefault="00CC0CB3" w:rsidP="00CC0CB3">
      <w:r>
        <w:t xml:space="preserve">Specialist social impact investment funds are relatively scarce in </w:t>
      </w:r>
      <w:r w:rsidR="00297E75">
        <w:t>Australia</w:t>
      </w:r>
      <w:r>
        <w:t xml:space="preserve"> compared to the UK and the United States (US). </w:t>
      </w:r>
      <w:r w:rsidR="003E43F9">
        <w:t xml:space="preserve"> </w:t>
      </w:r>
      <w:r>
        <w:t>Those currently accepting investment are largely operated by a small number of specialist intermediaries and are small-</w:t>
      </w:r>
      <w:r w:rsidR="00297E75">
        <w:t xml:space="preserve">scale and bespoke.  Growth </w:t>
      </w:r>
      <w:r>
        <w:t>is stymied by regulatory barriers which limit the involvement of superannuation</w:t>
      </w:r>
      <w:r w:rsidR="003839BC">
        <w:t xml:space="preserve"> fund</w:t>
      </w:r>
      <w:r>
        <w:t xml:space="preserve"> investors and</w:t>
      </w:r>
      <w:r w:rsidR="00EB1CCB">
        <w:t xml:space="preserve"> – </w:t>
      </w:r>
      <w:r>
        <w:t>to a lesser extent</w:t>
      </w:r>
      <w:r w:rsidR="00EB1CCB">
        <w:t xml:space="preserve"> – </w:t>
      </w:r>
      <w:r>
        <w:t xml:space="preserve">philanthropic investors through charitable trusts including </w:t>
      </w:r>
      <w:r w:rsidR="00EB1CCB">
        <w:t xml:space="preserve">Private Ancillary Funds (PAFs) and Public Ancillary (PuAFs) </w:t>
      </w:r>
      <w:r>
        <w:t xml:space="preserve">(discussed below). </w:t>
      </w:r>
      <w:r w:rsidR="003E43F9">
        <w:t xml:space="preserve"> </w:t>
      </w:r>
      <w:r>
        <w:t xml:space="preserve">There are clear opportunities </w:t>
      </w:r>
      <w:r w:rsidR="00297E75">
        <w:t>to grow</w:t>
      </w:r>
      <w:r>
        <w:t xml:space="preserve"> social impact investment funds using existing structures</w:t>
      </w:r>
      <w:r w:rsidR="00297E75">
        <w:t>,</w:t>
      </w:r>
      <w:r>
        <w:t xml:space="preserve"> subject to regulatory amendments.  </w:t>
      </w:r>
    </w:p>
    <w:p w14:paraId="44A4E53F" w14:textId="77777777" w:rsidR="00CC0CB3" w:rsidRPr="00891D08" w:rsidRDefault="00CC0CB3" w:rsidP="00CC0CB3">
      <w:r>
        <w:t xml:space="preserve">There are other opportunities for scale, including models that refine existing structures, and have not yet been trialled in Australia. </w:t>
      </w:r>
      <w:r w:rsidR="003E43F9">
        <w:t xml:space="preserve"> </w:t>
      </w:r>
      <w:r>
        <w:t xml:space="preserve">An example includes the housing bond aggregator model identified by the Affordable Housing Working Group of the Council on Federal Financial Relations (2016b) and Impact Capital Australia </w:t>
      </w:r>
      <w:r w:rsidR="004D3F3B">
        <w:t>(</w:t>
      </w:r>
      <w:r w:rsidR="00C05BEF" w:rsidRPr="00C05BEF">
        <w:t xml:space="preserve">Addis, </w:t>
      </w:r>
      <w:r w:rsidR="00C05BEF" w:rsidRPr="004D3F3B">
        <w:rPr>
          <w:rFonts w:asciiTheme="minorHAnsi" w:hAnsiTheme="minorHAnsi" w:cs="Arial"/>
        </w:rPr>
        <w:t>McCutchan</w:t>
      </w:r>
      <w:r w:rsidR="00C05BEF" w:rsidRPr="004D3F3B">
        <w:rPr>
          <w:rFonts w:asciiTheme="minorHAnsi" w:hAnsiTheme="minorHAnsi"/>
        </w:rPr>
        <w:t xml:space="preserve"> </w:t>
      </w:r>
      <w:r w:rsidR="00C05BEF" w:rsidRPr="00C05BEF">
        <w:t>et al.</w:t>
      </w:r>
      <w:r w:rsidRPr="00C05BEF">
        <w:t xml:space="preserve"> 2015). </w:t>
      </w:r>
      <w:r w:rsidR="003E43F9">
        <w:t xml:space="preserve"> </w:t>
      </w:r>
      <w:r w:rsidRPr="00C05BEF">
        <w:t>Th</w:t>
      </w:r>
      <w:r w:rsidR="004F351E">
        <w:t>is</w:t>
      </w:r>
      <w:r w:rsidRPr="00C05BEF">
        <w:t xml:space="preserve"> </w:t>
      </w:r>
      <w:r w:rsidR="004F351E">
        <w:t xml:space="preserve">example </w:t>
      </w:r>
      <w:r w:rsidRPr="00C05BEF">
        <w:t>might also work in conjunction with specific tax incentives (</w:t>
      </w:r>
      <w:r>
        <w:t>discussed below</w:t>
      </w:r>
      <w:r w:rsidR="002518CB">
        <w:t>), which</w:t>
      </w:r>
      <w:r>
        <w:t xml:space="preserve"> </w:t>
      </w:r>
      <w:r w:rsidR="002518CB">
        <w:t xml:space="preserve">would rely </w:t>
      </w:r>
      <w:r>
        <w:t xml:space="preserve">on significant public investment from the </w:t>
      </w:r>
      <w:r w:rsidR="004D3F3B">
        <w:t>Australian Government</w:t>
      </w:r>
      <w:r>
        <w:t>.</w:t>
      </w:r>
    </w:p>
    <w:p w14:paraId="04FB8805" w14:textId="77777777" w:rsidR="00CC0CB3" w:rsidRPr="00891D08" w:rsidRDefault="00CC0CB3" w:rsidP="00CC0CB3">
      <w:pPr>
        <w:rPr>
          <w:i/>
        </w:rPr>
      </w:pPr>
      <w:r w:rsidRPr="00891D08">
        <w:rPr>
          <w:i/>
        </w:rPr>
        <w:t xml:space="preserve">Social impact bonds </w:t>
      </w:r>
    </w:p>
    <w:p w14:paraId="409DCB08" w14:textId="77777777" w:rsidR="008278F5" w:rsidRPr="008278F5" w:rsidRDefault="00297E75" w:rsidP="008278F5">
      <w:r>
        <w:t>SIBs are payment</w:t>
      </w:r>
      <w:r w:rsidR="00BF4663">
        <w:t>-</w:t>
      </w:r>
      <w:r>
        <w:t>by</w:t>
      </w:r>
      <w:r w:rsidR="00BF4663">
        <w:t>-</w:t>
      </w:r>
      <w:r>
        <w:t>results instruments</w:t>
      </w:r>
      <w:r w:rsidR="008278F5">
        <w:t>. They</w:t>
      </w:r>
      <w:r>
        <w:t xml:space="preserve"> </w:t>
      </w:r>
      <w:r w:rsidR="008278F5" w:rsidRPr="008278F5">
        <w:t xml:space="preserve">rely on an intermediary that brokers the arrangement through which investors can recoup their capital investment (which typically resides with </w:t>
      </w:r>
      <w:r w:rsidR="008278F5">
        <w:t>a</w:t>
      </w:r>
      <w:r w:rsidR="008278F5" w:rsidRPr="008278F5">
        <w:t xml:space="preserve"> </w:t>
      </w:r>
      <w:r w:rsidR="008278F5">
        <w:t>not for profit</w:t>
      </w:r>
      <w:r w:rsidR="008278F5" w:rsidRPr="008278F5">
        <w:t xml:space="preserve"> service provider), as well as an additional </w:t>
      </w:r>
      <w:r w:rsidR="008278F5">
        <w:t>fi</w:t>
      </w:r>
      <w:r w:rsidR="008278F5" w:rsidRPr="008278F5">
        <w:t>nancial return – which may vary from an agreed maximum percentage through to nothing – based on achievement of agreed results</w:t>
      </w:r>
      <w:r w:rsidR="00BF4663">
        <w:t>.</w:t>
      </w:r>
      <w:r w:rsidR="008278F5" w:rsidRPr="008278F5">
        <w:t xml:space="preserve"> </w:t>
      </w:r>
    </w:p>
    <w:p w14:paraId="0082D9FC" w14:textId="77777777" w:rsidR="00CC0CB3" w:rsidRDefault="00CC0CB3" w:rsidP="00CC0CB3">
      <w:r w:rsidRPr="00A807E3">
        <w:t xml:space="preserve">SIBs </w:t>
      </w:r>
      <w:r>
        <w:t xml:space="preserve">have been successfully piloted </w:t>
      </w:r>
      <w:r w:rsidRPr="00A807E3">
        <w:t xml:space="preserve">within the current </w:t>
      </w:r>
      <w:r>
        <w:t xml:space="preserve">institutional </w:t>
      </w:r>
      <w:r w:rsidRPr="00A807E3">
        <w:t>framework</w:t>
      </w:r>
      <w:r>
        <w:t xml:space="preserve"> (including the Newpin Social Benefit Bond widely identified as </w:t>
      </w:r>
      <w:r w:rsidR="004F351E">
        <w:t>a</w:t>
      </w:r>
      <w:r>
        <w:t xml:space="preserve"> successful globally</w:t>
      </w:r>
      <w:r w:rsidR="004F351E">
        <w:t xml:space="preserve"> SIB</w:t>
      </w:r>
      <w:r>
        <w:t>)</w:t>
      </w:r>
      <w:r w:rsidRPr="00A807E3">
        <w:t>.</w:t>
      </w:r>
      <w:r w:rsidR="00016EB9">
        <w:t xml:space="preserve"> </w:t>
      </w:r>
      <w:r>
        <w:t xml:space="preserve">The challenges related to </w:t>
      </w:r>
      <w:r w:rsidR="00E747E3">
        <w:t xml:space="preserve">implementing </w:t>
      </w:r>
      <w:r>
        <w:t>SIBs and</w:t>
      </w:r>
      <w:r w:rsidR="00E747E3">
        <w:t xml:space="preserve"> the negative community effects of SIB failures in the US have been well-documented. Evidence from some examples of SIB implementation also raise questions about the extent to which they are leveraging new capital in support of social issues versus reorganising existing capital (particularly from philanthropy) with greater transaction costs involved. T</w:t>
      </w:r>
      <w:r>
        <w:t xml:space="preserve">here are a number of reforms including both </w:t>
      </w:r>
      <w:r w:rsidR="000F5EBE">
        <w:t>‘</w:t>
      </w:r>
      <w:r>
        <w:t>soft</w:t>
      </w:r>
      <w:r w:rsidR="000F5EBE">
        <w:t>’</w:t>
      </w:r>
      <w:r>
        <w:t xml:space="preserve"> policy reforms and </w:t>
      </w:r>
      <w:r w:rsidR="000F5EBE">
        <w:t>‘</w:t>
      </w:r>
      <w:r>
        <w:t>hard</w:t>
      </w:r>
      <w:r w:rsidR="000F5EBE">
        <w:t>’</w:t>
      </w:r>
      <w:r>
        <w:t xml:space="preserve"> legislative reforms that could improve their efficacy. These can occur within the existing structures and </w:t>
      </w:r>
      <w:r w:rsidR="002518CB">
        <w:t xml:space="preserve">are described </w:t>
      </w:r>
      <w:r>
        <w:t>below</w:t>
      </w:r>
      <w:r w:rsidR="003E43F9">
        <w:t xml:space="preserve"> (see Q3)</w:t>
      </w:r>
      <w:r w:rsidR="00016EB9">
        <w:t xml:space="preserve">. </w:t>
      </w:r>
      <w:r>
        <w:t xml:space="preserve"> </w:t>
      </w:r>
    </w:p>
    <w:p w14:paraId="36F1577D" w14:textId="77777777" w:rsidR="00CC0CB3" w:rsidRPr="005B60B9" w:rsidRDefault="00E53D0F" w:rsidP="00CC0CB3">
      <w:r>
        <w:rPr>
          <w:i/>
        </w:rPr>
        <w:t>Social e</w:t>
      </w:r>
      <w:r w:rsidR="00CC0CB3" w:rsidRPr="00045E06">
        <w:rPr>
          <w:i/>
        </w:rPr>
        <w:t xml:space="preserve">nterprise </w:t>
      </w:r>
    </w:p>
    <w:p w14:paraId="63B62010" w14:textId="77777777" w:rsidR="00587924" w:rsidRDefault="002518CB" w:rsidP="00CC0CB3">
      <w:pPr>
        <w:rPr>
          <w:szCs w:val="21"/>
        </w:rPr>
      </w:pPr>
      <w:r>
        <w:rPr>
          <w:szCs w:val="21"/>
        </w:rPr>
        <w:t>T</w:t>
      </w:r>
      <w:r w:rsidR="00CC0CB3" w:rsidRPr="003E43F9">
        <w:rPr>
          <w:szCs w:val="21"/>
        </w:rPr>
        <w:t>he description of social enterprise provided in the Discussion Paper (p. 31) is not consistent</w:t>
      </w:r>
      <w:r w:rsidR="008278F5">
        <w:rPr>
          <w:szCs w:val="21"/>
        </w:rPr>
        <w:t>ly</w:t>
      </w:r>
      <w:r w:rsidR="00CC0CB3" w:rsidRPr="003E43F9">
        <w:rPr>
          <w:szCs w:val="21"/>
        </w:rPr>
        <w:t xml:space="preserve"> </w:t>
      </w:r>
      <w:r w:rsidR="00587924">
        <w:rPr>
          <w:szCs w:val="21"/>
        </w:rPr>
        <w:t>applied. It is also not consistent with the</w:t>
      </w:r>
      <w:r w:rsidR="00CC0CB3" w:rsidRPr="003E43F9">
        <w:rPr>
          <w:szCs w:val="21"/>
        </w:rPr>
        <w:t xml:space="preserve"> definition most commonly used in the Australian social enterprise sector or Australian public policy (including public policies specifically targeted at social enterprise development)</w:t>
      </w:r>
      <w:r w:rsidR="00E747E3">
        <w:rPr>
          <w:szCs w:val="21"/>
        </w:rPr>
        <w:t>. While there is no universally used definition of social enterprise in Australia, the most commonly employed in public programs derives from FASES 2010, in which social enterprises were defined as organisations that aim to fulfil a mission consistent with public or community benefit, trade to fulfil their mission, and reinvest a substantial proportion of their profit or surplus in the fulfilment of thei</w:t>
      </w:r>
      <w:r w:rsidR="00C47059">
        <w:rPr>
          <w:szCs w:val="21"/>
        </w:rPr>
        <w:t>r</w:t>
      </w:r>
      <w:r w:rsidR="00E747E3">
        <w:rPr>
          <w:szCs w:val="21"/>
        </w:rPr>
        <w:t xml:space="preserve"> mission</w:t>
      </w:r>
      <w:r w:rsidR="00C47059">
        <w:rPr>
          <w:szCs w:val="21"/>
        </w:rPr>
        <w:t>.</w:t>
      </w:r>
      <w:r w:rsidR="00E747E3">
        <w:rPr>
          <w:szCs w:val="21"/>
        </w:rPr>
        <w:t xml:space="preserve"> </w:t>
      </w:r>
      <w:r w:rsidR="00CC0CB3" w:rsidRPr="003E43F9">
        <w:rPr>
          <w:szCs w:val="21"/>
        </w:rPr>
        <w:t>In broad terms, social enterprises are businesses that aim to attain social outcomes</w:t>
      </w:r>
      <w:r w:rsidR="00E67F40">
        <w:rPr>
          <w:szCs w:val="21"/>
        </w:rPr>
        <w:t xml:space="preserve"> and financial sustainability</w:t>
      </w:r>
      <w:r w:rsidR="00CC0CB3" w:rsidRPr="003E43F9">
        <w:rPr>
          <w:szCs w:val="21"/>
        </w:rPr>
        <w:t xml:space="preserve">, some of which are structured as for-profits and able to </w:t>
      </w:r>
      <w:r w:rsidR="00CB1881" w:rsidRPr="003E43F9">
        <w:rPr>
          <w:szCs w:val="21"/>
        </w:rPr>
        <w:t xml:space="preserve">distribute profits to owners </w:t>
      </w:r>
      <w:r w:rsidR="003E43F9" w:rsidRPr="003E43F9">
        <w:rPr>
          <w:szCs w:val="21"/>
        </w:rPr>
        <w:t>(</w:t>
      </w:r>
      <w:r w:rsidR="00CB1881" w:rsidRPr="003E43F9">
        <w:rPr>
          <w:szCs w:val="21"/>
        </w:rPr>
        <w:t>or limited distribution to members such as cooperatives</w:t>
      </w:r>
      <w:r w:rsidR="003E43F9" w:rsidRPr="003E43F9">
        <w:rPr>
          <w:szCs w:val="21"/>
        </w:rPr>
        <w:t>)</w:t>
      </w:r>
      <w:r w:rsidR="00CB1881" w:rsidRPr="003E43F9">
        <w:rPr>
          <w:szCs w:val="21"/>
        </w:rPr>
        <w:t xml:space="preserve"> </w:t>
      </w:r>
      <w:r w:rsidR="00CC0CB3" w:rsidRPr="003E43F9">
        <w:rPr>
          <w:szCs w:val="21"/>
        </w:rPr>
        <w:t>(Barraket</w:t>
      </w:r>
      <w:r w:rsidR="00677D7F" w:rsidRPr="003E43F9">
        <w:rPr>
          <w:szCs w:val="21"/>
        </w:rPr>
        <w:t>,</w:t>
      </w:r>
      <w:r w:rsidR="00CC0CB3" w:rsidRPr="003E43F9">
        <w:rPr>
          <w:szCs w:val="21"/>
        </w:rPr>
        <w:t xml:space="preserve"> </w:t>
      </w:r>
      <w:r w:rsidR="002746C6" w:rsidRPr="003E43F9">
        <w:rPr>
          <w:szCs w:val="21"/>
        </w:rPr>
        <w:t xml:space="preserve">Collyer et al. </w:t>
      </w:r>
      <w:r w:rsidR="00CC0CB3" w:rsidRPr="003E43F9">
        <w:rPr>
          <w:szCs w:val="21"/>
        </w:rPr>
        <w:t>2010</w:t>
      </w:r>
      <w:r w:rsidR="002746C6" w:rsidRPr="003E43F9">
        <w:rPr>
          <w:szCs w:val="21"/>
        </w:rPr>
        <w:t>; Barraket, Mason et al.</w:t>
      </w:r>
      <w:r w:rsidR="00CC0CB3" w:rsidRPr="003E43F9">
        <w:rPr>
          <w:szCs w:val="21"/>
        </w:rPr>
        <w:t xml:space="preserve"> 2016). </w:t>
      </w:r>
      <w:r w:rsidR="00016EB9" w:rsidRPr="003E43F9">
        <w:rPr>
          <w:szCs w:val="21"/>
        </w:rPr>
        <w:t xml:space="preserve"> </w:t>
      </w:r>
    </w:p>
    <w:p w14:paraId="5CF90052" w14:textId="77777777" w:rsidR="00CC0CB3" w:rsidRPr="003E43F9" w:rsidRDefault="00587924" w:rsidP="00CC0CB3">
      <w:pPr>
        <w:rPr>
          <w:szCs w:val="21"/>
        </w:rPr>
      </w:pPr>
      <w:r w:rsidRPr="003E43F9">
        <w:rPr>
          <w:szCs w:val="21"/>
        </w:rPr>
        <w:t>The D</w:t>
      </w:r>
      <w:r>
        <w:rPr>
          <w:szCs w:val="21"/>
        </w:rPr>
        <w:t xml:space="preserve">iscussion Paper describes social enterprises as </w:t>
      </w:r>
      <w:r w:rsidRPr="003E43F9">
        <w:rPr>
          <w:szCs w:val="21"/>
        </w:rPr>
        <w:t>ap</w:t>
      </w:r>
      <w:r>
        <w:rPr>
          <w:szCs w:val="21"/>
        </w:rPr>
        <w:t>peal</w:t>
      </w:r>
      <w:r w:rsidR="002518CB">
        <w:rPr>
          <w:szCs w:val="21"/>
        </w:rPr>
        <w:t>ing</w:t>
      </w:r>
      <w:r>
        <w:rPr>
          <w:szCs w:val="21"/>
        </w:rPr>
        <w:t xml:space="preserve"> to social impact investors as they can receive equity investments. However, Australia’s most significant mapping of social enterprise has found t</w:t>
      </w:r>
      <w:r w:rsidR="00CC0CB3" w:rsidRPr="003E43F9">
        <w:rPr>
          <w:szCs w:val="21"/>
        </w:rPr>
        <w:t>he vast majority of social enterprises in Australia are not</w:t>
      </w:r>
      <w:r w:rsidR="00A20499">
        <w:rPr>
          <w:szCs w:val="21"/>
        </w:rPr>
        <w:t xml:space="preserve"> </w:t>
      </w:r>
      <w:r w:rsidR="00CC0CB3" w:rsidRPr="003E43F9">
        <w:rPr>
          <w:szCs w:val="21"/>
        </w:rPr>
        <w:t>for</w:t>
      </w:r>
      <w:r w:rsidR="00A20499">
        <w:rPr>
          <w:szCs w:val="21"/>
        </w:rPr>
        <w:t xml:space="preserve"> </w:t>
      </w:r>
      <w:r w:rsidR="00CC0CB3" w:rsidRPr="003E43F9">
        <w:rPr>
          <w:szCs w:val="21"/>
        </w:rPr>
        <w:t>profits</w:t>
      </w:r>
      <w:r w:rsidR="00E747E3">
        <w:rPr>
          <w:szCs w:val="21"/>
        </w:rPr>
        <w:t xml:space="preserve"> and make relatively minimal use of external finance, particularly equity</w:t>
      </w:r>
      <w:r w:rsidR="00CC0CB3" w:rsidRPr="003E43F9">
        <w:rPr>
          <w:szCs w:val="21"/>
        </w:rPr>
        <w:t>.</w:t>
      </w:r>
      <w:r w:rsidR="003E43F9" w:rsidRPr="003E43F9">
        <w:rPr>
          <w:rStyle w:val="FootnoteReference"/>
          <w:szCs w:val="21"/>
        </w:rPr>
        <w:footnoteReference w:id="1"/>
      </w:r>
      <w:r w:rsidR="00CC0CB3" w:rsidRPr="003E43F9">
        <w:rPr>
          <w:szCs w:val="21"/>
        </w:rPr>
        <w:t xml:space="preserve"> </w:t>
      </w:r>
      <w:r>
        <w:rPr>
          <w:szCs w:val="21"/>
        </w:rPr>
        <w:t xml:space="preserve">That is, the bulk of social enterprises </w:t>
      </w:r>
      <w:r w:rsidR="00CC0CB3" w:rsidRPr="003E43F9">
        <w:rPr>
          <w:szCs w:val="21"/>
        </w:rPr>
        <w:t>are no</w:t>
      </w:r>
      <w:r w:rsidR="004F351E">
        <w:rPr>
          <w:szCs w:val="21"/>
        </w:rPr>
        <w:t xml:space="preserve">t </w:t>
      </w:r>
      <w:r w:rsidR="00CC0CB3" w:rsidRPr="003E43F9">
        <w:rPr>
          <w:szCs w:val="21"/>
        </w:rPr>
        <w:t xml:space="preserve">profit distributing </w:t>
      </w:r>
      <w:r w:rsidR="00CB1881" w:rsidRPr="003E43F9">
        <w:rPr>
          <w:szCs w:val="21"/>
        </w:rPr>
        <w:t xml:space="preserve">(asset locked) </w:t>
      </w:r>
      <w:r w:rsidR="00CC0CB3" w:rsidRPr="003E43F9">
        <w:rPr>
          <w:szCs w:val="21"/>
        </w:rPr>
        <w:t xml:space="preserve">and </w:t>
      </w:r>
      <w:r w:rsidR="00CB1881" w:rsidRPr="003E43F9">
        <w:rPr>
          <w:szCs w:val="21"/>
        </w:rPr>
        <w:t>are precluded from distribution of profits</w:t>
      </w:r>
      <w:r w:rsidR="00CC0CB3" w:rsidRPr="003E43F9">
        <w:rPr>
          <w:szCs w:val="21"/>
        </w:rPr>
        <w:t>.</w:t>
      </w:r>
      <w:r w:rsidR="00C47059">
        <w:rPr>
          <w:szCs w:val="21"/>
        </w:rPr>
        <w:t xml:space="preserve"> Beyond their legal form, many social enterprises do not </w:t>
      </w:r>
      <w:r w:rsidR="00E67F40">
        <w:rPr>
          <w:szCs w:val="21"/>
        </w:rPr>
        <w:t>seek to generate financial returns beyond financial sustainability, as their business models involve sinking additional resources directly into the execution of their social purpose (</w:t>
      </w:r>
      <w:r w:rsidR="00A20499">
        <w:rPr>
          <w:szCs w:val="21"/>
        </w:rPr>
        <w:t>e.g.</w:t>
      </w:r>
      <w:r w:rsidR="00E67F40">
        <w:rPr>
          <w:szCs w:val="21"/>
        </w:rPr>
        <w:t xml:space="preserve"> carrying a productivity cost in order to provide transitional labour market opportunities for disadvantaged job seekers). A major finding of the SEDIF evaluation was that social enterprise and social impact investing are not necessarily the supply and demand ends of a single market. Social enterprises require diverse forms of social finance and, while there is no question that some models of social enterprise can benefit from social impact investment, this is a very small proportion of the overall social enterprise sector.</w:t>
      </w:r>
    </w:p>
    <w:p w14:paraId="578E22F4" w14:textId="77777777" w:rsidR="00D00E80" w:rsidRPr="003E43F9" w:rsidRDefault="00E67F40" w:rsidP="00CC0CB3">
      <w:pPr>
        <w:rPr>
          <w:szCs w:val="21"/>
        </w:rPr>
      </w:pPr>
      <w:r>
        <w:rPr>
          <w:szCs w:val="21"/>
        </w:rPr>
        <w:t>There are</w:t>
      </w:r>
      <w:r w:rsidR="00016EB9" w:rsidRPr="003E43F9">
        <w:rPr>
          <w:szCs w:val="21"/>
        </w:rPr>
        <w:t xml:space="preserve"> implications</w:t>
      </w:r>
      <w:r w:rsidR="00CC0CB3" w:rsidRPr="003E43F9">
        <w:rPr>
          <w:szCs w:val="21"/>
        </w:rPr>
        <w:t xml:space="preserve"> </w:t>
      </w:r>
      <w:r>
        <w:rPr>
          <w:szCs w:val="21"/>
        </w:rPr>
        <w:t xml:space="preserve">- </w:t>
      </w:r>
      <w:r w:rsidR="00CC0CB3" w:rsidRPr="003E43F9">
        <w:rPr>
          <w:szCs w:val="21"/>
        </w:rPr>
        <w:t xml:space="preserve">as noted </w:t>
      </w:r>
      <w:r w:rsidR="00016EB9" w:rsidRPr="003E43F9">
        <w:rPr>
          <w:szCs w:val="21"/>
        </w:rPr>
        <w:t>in the Discussion Paper</w:t>
      </w:r>
      <w:r>
        <w:rPr>
          <w:szCs w:val="21"/>
        </w:rPr>
        <w:t xml:space="preserve"> -</w:t>
      </w:r>
      <w:r w:rsidR="00CC0CB3" w:rsidRPr="003E43F9">
        <w:rPr>
          <w:szCs w:val="21"/>
        </w:rPr>
        <w:t xml:space="preserve"> with respect to</w:t>
      </w:r>
      <w:r>
        <w:rPr>
          <w:szCs w:val="21"/>
        </w:rPr>
        <w:t xml:space="preserve"> social enterprises’ access to social impact investing and existing</w:t>
      </w:r>
      <w:r w:rsidR="00CC0CB3" w:rsidRPr="003E43F9">
        <w:rPr>
          <w:szCs w:val="21"/>
        </w:rPr>
        <w:t xml:space="preserve"> legal forms.</w:t>
      </w:r>
      <w:r w:rsidR="00016EB9" w:rsidRPr="003E43F9">
        <w:rPr>
          <w:szCs w:val="21"/>
        </w:rPr>
        <w:t xml:space="preserve"> </w:t>
      </w:r>
      <w:r w:rsidR="00CC0CB3" w:rsidRPr="003E43F9">
        <w:rPr>
          <w:szCs w:val="21"/>
        </w:rPr>
        <w:t xml:space="preserve"> There is some debate, but as yet </w:t>
      </w:r>
      <w:r>
        <w:rPr>
          <w:szCs w:val="21"/>
        </w:rPr>
        <w:t>fairly</w:t>
      </w:r>
      <w:r w:rsidR="00CC0CB3" w:rsidRPr="003E43F9">
        <w:rPr>
          <w:szCs w:val="21"/>
        </w:rPr>
        <w:t xml:space="preserve"> minim</w:t>
      </w:r>
      <w:r w:rsidR="00587924">
        <w:rPr>
          <w:szCs w:val="21"/>
        </w:rPr>
        <w:t>al evidence, regarding the need and demand for</w:t>
      </w:r>
      <w:r w:rsidR="00CC0CB3" w:rsidRPr="003E43F9">
        <w:rPr>
          <w:szCs w:val="21"/>
        </w:rPr>
        <w:t xml:space="preserve"> new</w:t>
      </w:r>
      <w:r>
        <w:rPr>
          <w:szCs w:val="21"/>
        </w:rPr>
        <w:t xml:space="preserve"> forms</w:t>
      </w:r>
      <w:r w:rsidR="00CC0CB3" w:rsidRPr="003E43F9">
        <w:rPr>
          <w:szCs w:val="21"/>
        </w:rPr>
        <w:t xml:space="preserve"> that facilitate equity investments.</w:t>
      </w:r>
      <w:r w:rsidR="00016EB9" w:rsidRPr="003E43F9">
        <w:rPr>
          <w:szCs w:val="21"/>
        </w:rPr>
        <w:t xml:space="preserve"> </w:t>
      </w:r>
      <w:r w:rsidR="00CC0CB3" w:rsidRPr="003E43F9">
        <w:rPr>
          <w:szCs w:val="21"/>
        </w:rPr>
        <w:t>International models include Community Interest Companies</w:t>
      </w:r>
      <w:r w:rsidR="000678D8">
        <w:rPr>
          <w:rStyle w:val="FootnoteReference"/>
          <w:szCs w:val="21"/>
        </w:rPr>
        <w:footnoteReference w:id="2"/>
      </w:r>
      <w:r w:rsidR="00CC0CB3" w:rsidRPr="003E43F9">
        <w:rPr>
          <w:szCs w:val="21"/>
        </w:rPr>
        <w:t xml:space="preserve"> (CICs) in the UK and Benefit Corporations</w:t>
      </w:r>
      <w:r w:rsidR="00D00E80">
        <w:rPr>
          <w:rStyle w:val="FootnoteReference"/>
          <w:szCs w:val="21"/>
        </w:rPr>
        <w:footnoteReference w:id="3"/>
      </w:r>
      <w:r w:rsidR="00CC0CB3" w:rsidRPr="003E43F9">
        <w:rPr>
          <w:szCs w:val="21"/>
        </w:rPr>
        <w:t xml:space="preserve"> in the US (the L3C model referenced is not of utility in Australia).</w:t>
      </w:r>
      <w:r w:rsidR="00016EB9" w:rsidRPr="003E43F9">
        <w:rPr>
          <w:szCs w:val="21"/>
        </w:rPr>
        <w:t xml:space="preserve"> </w:t>
      </w:r>
      <w:r w:rsidR="00CC0CB3" w:rsidRPr="003E43F9">
        <w:rPr>
          <w:szCs w:val="21"/>
        </w:rPr>
        <w:t xml:space="preserve"> The Australian Government </w:t>
      </w:r>
      <w:r w:rsidR="004F351E">
        <w:rPr>
          <w:szCs w:val="21"/>
        </w:rPr>
        <w:t>sh</w:t>
      </w:r>
      <w:r w:rsidR="00CC0CB3" w:rsidRPr="003E43F9">
        <w:rPr>
          <w:szCs w:val="21"/>
        </w:rPr>
        <w:t xml:space="preserve">ould </w:t>
      </w:r>
      <w:r>
        <w:rPr>
          <w:szCs w:val="21"/>
        </w:rPr>
        <w:t>investigate the</w:t>
      </w:r>
      <w:r w:rsidR="00016EB9" w:rsidRPr="003E43F9">
        <w:rPr>
          <w:szCs w:val="21"/>
        </w:rPr>
        <w:t xml:space="preserve"> need</w:t>
      </w:r>
      <w:r w:rsidR="004F351E">
        <w:rPr>
          <w:szCs w:val="21"/>
        </w:rPr>
        <w:t>, advantages and disadvantages</w:t>
      </w:r>
      <w:r w:rsidR="00016EB9" w:rsidRPr="003E43F9">
        <w:rPr>
          <w:szCs w:val="21"/>
        </w:rPr>
        <w:t xml:space="preserve"> </w:t>
      </w:r>
      <w:r w:rsidR="004F351E">
        <w:rPr>
          <w:szCs w:val="21"/>
        </w:rPr>
        <w:t>for these legal forms (or a hybrid model)</w:t>
      </w:r>
      <w:r w:rsidR="00CC0CB3" w:rsidRPr="003E43F9">
        <w:rPr>
          <w:szCs w:val="21"/>
        </w:rPr>
        <w:t>. This is consistent with the advice of the Prime Minister’s Community Business Partnership Impact Investing and Partnerships Working group</w:t>
      </w:r>
      <w:r w:rsidR="00587924">
        <w:rPr>
          <w:szCs w:val="21"/>
        </w:rPr>
        <w:t>.</w:t>
      </w:r>
    </w:p>
    <w:p w14:paraId="02DFCA54" w14:textId="77777777" w:rsidR="00AD4BE6" w:rsidRPr="00AD4BE6" w:rsidRDefault="00AD4BE6" w:rsidP="00AD4BE6">
      <w:pPr>
        <w:pStyle w:val="Heading3"/>
        <w:rPr>
          <w:rStyle w:val="s1"/>
        </w:rPr>
      </w:pPr>
      <w:r>
        <w:rPr>
          <w:rStyle w:val="s1"/>
        </w:rPr>
        <w:t xml:space="preserve">Question 3: </w:t>
      </w:r>
      <w:r w:rsidRPr="00AD4BE6">
        <w:rPr>
          <w:rStyle w:val="s1"/>
        </w:rPr>
        <w:t>Are there any Australian Government legislative or regulatory barriers constraining the growth of the social impact investing market?</w:t>
      </w:r>
    </w:p>
    <w:p w14:paraId="5E61AA44" w14:textId="77777777" w:rsidR="005848D1" w:rsidRDefault="005848D1" w:rsidP="005670A8">
      <w:pPr>
        <w:rPr>
          <w:szCs w:val="21"/>
        </w:rPr>
      </w:pPr>
      <w:r>
        <w:rPr>
          <w:szCs w:val="21"/>
        </w:rPr>
        <w:t>T</w:t>
      </w:r>
      <w:r w:rsidR="00CE0BBF" w:rsidRPr="005670A8">
        <w:rPr>
          <w:szCs w:val="21"/>
        </w:rPr>
        <w:t xml:space="preserve">he </w:t>
      </w:r>
      <w:r w:rsidR="00976968" w:rsidRPr="005670A8">
        <w:rPr>
          <w:szCs w:val="21"/>
        </w:rPr>
        <w:t xml:space="preserve">transactions </w:t>
      </w:r>
      <w:r w:rsidR="00CE0BBF" w:rsidRPr="005670A8">
        <w:rPr>
          <w:szCs w:val="21"/>
        </w:rPr>
        <w:t xml:space="preserve">costs </w:t>
      </w:r>
      <w:r w:rsidR="00976968" w:rsidRPr="005670A8">
        <w:rPr>
          <w:szCs w:val="21"/>
        </w:rPr>
        <w:t>(including</w:t>
      </w:r>
      <w:r w:rsidR="00CE0BBF" w:rsidRPr="005670A8">
        <w:rPr>
          <w:szCs w:val="21"/>
        </w:rPr>
        <w:t xml:space="preserve"> measurement) and </w:t>
      </w:r>
      <w:r w:rsidR="00976968" w:rsidRPr="005670A8">
        <w:rPr>
          <w:szCs w:val="21"/>
        </w:rPr>
        <w:t xml:space="preserve">the </w:t>
      </w:r>
      <w:r w:rsidR="00CE0BBF" w:rsidRPr="005670A8">
        <w:rPr>
          <w:szCs w:val="21"/>
        </w:rPr>
        <w:t>smaller scale of social impact investments may make it difficult</w:t>
      </w:r>
      <w:r w:rsidR="001A2A13" w:rsidRPr="005670A8">
        <w:rPr>
          <w:szCs w:val="21"/>
        </w:rPr>
        <w:t xml:space="preserve"> </w:t>
      </w:r>
      <w:r w:rsidR="00CE0BBF" w:rsidRPr="005670A8">
        <w:rPr>
          <w:szCs w:val="21"/>
        </w:rPr>
        <w:t>to deliver sufficient social impact investments with market returns</w:t>
      </w:r>
      <w:r>
        <w:rPr>
          <w:szCs w:val="21"/>
        </w:rPr>
        <w:t>.</w:t>
      </w:r>
      <w:r w:rsidR="00CE0BBF" w:rsidRPr="005670A8">
        <w:rPr>
          <w:szCs w:val="21"/>
        </w:rPr>
        <w:t xml:space="preserve"> </w:t>
      </w:r>
    </w:p>
    <w:p w14:paraId="63CDE3EC" w14:textId="77777777" w:rsidR="005848D1" w:rsidRDefault="005848D1" w:rsidP="005670A8">
      <w:pPr>
        <w:rPr>
          <w:szCs w:val="21"/>
        </w:rPr>
      </w:pPr>
      <w:r w:rsidRPr="005670A8">
        <w:rPr>
          <w:szCs w:val="21"/>
        </w:rPr>
        <w:t xml:space="preserve">Superannuation funds have been identified as a large pool of funds for social impact investing.  However, superannuation funds are ‘financial first investors’ (as defined </w:t>
      </w:r>
      <w:r w:rsidR="004F351E">
        <w:rPr>
          <w:szCs w:val="21"/>
        </w:rPr>
        <w:t xml:space="preserve">in </w:t>
      </w:r>
      <w:r w:rsidRPr="005670A8">
        <w:rPr>
          <w:szCs w:val="21"/>
        </w:rPr>
        <w:t>the Discussion Paper</w:t>
      </w:r>
      <w:r w:rsidR="004F351E">
        <w:rPr>
          <w:szCs w:val="21"/>
        </w:rPr>
        <w:t xml:space="preserve">, </w:t>
      </w:r>
      <w:r w:rsidR="004F351E" w:rsidRPr="005670A8">
        <w:rPr>
          <w:szCs w:val="21"/>
        </w:rPr>
        <w:t>p. xii</w:t>
      </w:r>
      <w:r w:rsidRPr="005670A8">
        <w:rPr>
          <w:szCs w:val="21"/>
        </w:rPr>
        <w:t xml:space="preserve">), requiring risk adjusted financial returns equivalent to mainstream investments due to the requirements of the sole purpose test in the Superannuation Industry (Supervision) Act 1993 (Australian Government 1993). </w:t>
      </w:r>
    </w:p>
    <w:p w14:paraId="6CADB0D2" w14:textId="77777777" w:rsidR="001A2A13" w:rsidRPr="005670A8" w:rsidRDefault="00CE13BE" w:rsidP="005670A8">
      <w:pPr>
        <w:rPr>
          <w:szCs w:val="21"/>
        </w:rPr>
      </w:pPr>
      <w:r w:rsidRPr="005670A8">
        <w:rPr>
          <w:szCs w:val="21"/>
        </w:rPr>
        <w:t xml:space="preserve">Fiduciary duties also present barriers for other types of investors such as trustees of charitable trusts (including PAFs) and there is a lack of clarity on </w:t>
      </w:r>
      <w:r w:rsidR="00D41CC0" w:rsidRPr="005670A8">
        <w:rPr>
          <w:szCs w:val="21"/>
        </w:rPr>
        <w:t xml:space="preserve">current rules governing </w:t>
      </w:r>
      <w:r w:rsidR="004F351E">
        <w:rPr>
          <w:szCs w:val="21"/>
        </w:rPr>
        <w:t xml:space="preserve">the </w:t>
      </w:r>
      <w:r w:rsidR="00D41CC0" w:rsidRPr="005670A8">
        <w:rPr>
          <w:szCs w:val="21"/>
        </w:rPr>
        <w:t>use of Program-related I</w:t>
      </w:r>
      <w:r w:rsidRPr="005670A8">
        <w:rPr>
          <w:szCs w:val="21"/>
        </w:rPr>
        <w:t>nvestment</w:t>
      </w:r>
      <w:r w:rsidR="00D41CC0" w:rsidRPr="005670A8">
        <w:rPr>
          <w:szCs w:val="21"/>
        </w:rPr>
        <w:t>s</w:t>
      </w:r>
      <w:r w:rsidR="00D148CF" w:rsidRPr="005670A8">
        <w:rPr>
          <w:szCs w:val="21"/>
        </w:rPr>
        <w:t xml:space="preserve"> </w:t>
      </w:r>
      <w:r w:rsidR="00016EB9" w:rsidRPr="005670A8">
        <w:rPr>
          <w:szCs w:val="21"/>
        </w:rPr>
        <w:t xml:space="preserve">(PRIs) </w:t>
      </w:r>
      <w:r w:rsidR="00D148CF" w:rsidRPr="005670A8">
        <w:rPr>
          <w:szCs w:val="21"/>
        </w:rPr>
        <w:t>and barriers relating to the current treatment of PRIs made by PAFs specifically</w:t>
      </w:r>
      <w:r w:rsidR="005848D1">
        <w:rPr>
          <w:szCs w:val="21"/>
        </w:rPr>
        <w:t xml:space="preserve"> (see Q24)</w:t>
      </w:r>
      <w:r w:rsidR="00D148CF" w:rsidRPr="005670A8">
        <w:rPr>
          <w:szCs w:val="21"/>
        </w:rPr>
        <w:t>.</w:t>
      </w:r>
      <w:r w:rsidR="00D41CC0" w:rsidRPr="005670A8">
        <w:rPr>
          <w:szCs w:val="21"/>
        </w:rPr>
        <w:t xml:space="preserve"> </w:t>
      </w:r>
      <w:r w:rsidR="00D148CF" w:rsidRPr="005670A8">
        <w:rPr>
          <w:szCs w:val="21"/>
        </w:rPr>
        <w:t xml:space="preserve"> </w:t>
      </w:r>
    </w:p>
    <w:p w14:paraId="5E654B31" w14:textId="77777777" w:rsidR="00F57B58" w:rsidRDefault="00976968" w:rsidP="008132A8">
      <w:pPr>
        <w:rPr>
          <w:szCs w:val="21"/>
        </w:rPr>
      </w:pPr>
      <w:r w:rsidRPr="005670A8">
        <w:rPr>
          <w:szCs w:val="21"/>
        </w:rPr>
        <w:t>More broadly, i</w:t>
      </w:r>
      <w:r w:rsidR="00CE0BBF" w:rsidRPr="005670A8">
        <w:rPr>
          <w:szCs w:val="21"/>
        </w:rPr>
        <w:t>nvestors seek stability in the investment environment</w:t>
      </w:r>
      <w:r w:rsidR="00577F9E">
        <w:rPr>
          <w:szCs w:val="21"/>
        </w:rPr>
        <w:t xml:space="preserve"> and a mitigation of risk, which has implication for government policy</w:t>
      </w:r>
      <w:r w:rsidR="00CE0BBF" w:rsidRPr="005670A8">
        <w:rPr>
          <w:szCs w:val="21"/>
        </w:rPr>
        <w:t xml:space="preserve">. </w:t>
      </w:r>
      <w:r w:rsidR="00577F9E">
        <w:rPr>
          <w:szCs w:val="21"/>
        </w:rPr>
        <w:t>For example,</w:t>
      </w:r>
      <w:r w:rsidR="00A20499">
        <w:rPr>
          <w:szCs w:val="21"/>
        </w:rPr>
        <w:t xml:space="preserve"> </w:t>
      </w:r>
      <w:r w:rsidR="00577F9E">
        <w:rPr>
          <w:szCs w:val="21"/>
        </w:rPr>
        <w:t>in</w:t>
      </w:r>
      <w:r w:rsidR="00CE0BBF" w:rsidRPr="005670A8">
        <w:rPr>
          <w:szCs w:val="21"/>
        </w:rPr>
        <w:t xml:space="preserve"> affordable housing</w:t>
      </w:r>
      <w:r w:rsidR="00145571" w:rsidRPr="005670A8">
        <w:rPr>
          <w:szCs w:val="21"/>
        </w:rPr>
        <w:t xml:space="preserve"> and renewables</w:t>
      </w:r>
      <w:r w:rsidR="00CE0BBF" w:rsidRPr="005670A8">
        <w:rPr>
          <w:szCs w:val="21"/>
        </w:rPr>
        <w:t>, where institutional investors have expressed an interest in investing, there has been a lack of policy and regulatory certainty</w:t>
      </w:r>
      <w:r w:rsidR="00145571" w:rsidRPr="005670A8">
        <w:rPr>
          <w:szCs w:val="21"/>
        </w:rPr>
        <w:t>, or inconsistency of policy</w:t>
      </w:r>
      <w:r w:rsidR="00CE0BBF" w:rsidRPr="005670A8">
        <w:rPr>
          <w:szCs w:val="21"/>
        </w:rPr>
        <w:t>.  For example, the National Rental Affordability Scheme (NRAS) commenced in 2008 and was discontinued in 2014</w:t>
      </w:r>
      <w:r w:rsidR="004F351E">
        <w:rPr>
          <w:szCs w:val="21"/>
        </w:rPr>
        <w:t xml:space="preserve">, at a time when administrative issues were resolved and </w:t>
      </w:r>
      <w:r w:rsidR="00CE0BBF" w:rsidRPr="005670A8">
        <w:rPr>
          <w:szCs w:val="21"/>
        </w:rPr>
        <w:t>it was attract</w:t>
      </w:r>
      <w:r w:rsidR="004F351E">
        <w:rPr>
          <w:szCs w:val="21"/>
        </w:rPr>
        <w:t>ing</w:t>
      </w:r>
      <w:r w:rsidR="00CE0BBF" w:rsidRPr="005670A8">
        <w:rPr>
          <w:szCs w:val="21"/>
        </w:rPr>
        <w:t xml:space="preserve"> greater interest (Rowley</w:t>
      </w:r>
      <w:r w:rsidR="002746C6" w:rsidRPr="005670A8">
        <w:rPr>
          <w:szCs w:val="21"/>
        </w:rPr>
        <w:t>, James</w:t>
      </w:r>
      <w:r w:rsidR="00CE0BBF" w:rsidRPr="005670A8">
        <w:rPr>
          <w:szCs w:val="21"/>
        </w:rPr>
        <w:t xml:space="preserve"> et al</w:t>
      </w:r>
      <w:r w:rsidR="002746C6" w:rsidRPr="005670A8">
        <w:rPr>
          <w:szCs w:val="21"/>
        </w:rPr>
        <w:t>.</w:t>
      </w:r>
      <w:r w:rsidR="00CE0BBF" w:rsidRPr="005670A8">
        <w:rPr>
          <w:szCs w:val="21"/>
        </w:rPr>
        <w:t xml:space="preserve"> 2016).  Investment in renewables has been hindered by changes in state </w:t>
      </w:r>
      <w:r w:rsidRPr="005670A8">
        <w:rPr>
          <w:szCs w:val="21"/>
        </w:rPr>
        <w:t xml:space="preserve">and territory </w:t>
      </w:r>
      <w:r w:rsidR="00CE0BBF" w:rsidRPr="005670A8">
        <w:rPr>
          <w:szCs w:val="21"/>
        </w:rPr>
        <w:t xml:space="preserve">and </w:t>
      </w:r>
      <w:r w:rsidRPr="005670A8">
        <w:rPr>
          <w:szCs w:val="21"/>
        </w:rPr>
        <w:t>Commonwealth</w:t>
      </w:r>
      <w:r w:rsidR="00CE0BBF" w:rsidRPr="005670A8">
        <w:rPr>
          <w:szCs w:val="21"/>
        </w:rPr>
        <w:t xml:space="preserve"> policies.</w:t>
      </w:r>
      <w:r w:rsidRPr="005670A8">
        <w:rPr>
          <w:szCs w:val="21"/>
        </w:rPr>
        <w:t xml:space="preserve"> </w:t>
      </w:r>
    </w:p>
    <w:p w14:paraId="6F028E02" w14:textId="77777777" w:rsidR="00577F9E" w:rsidRDefault="00577F9E" w:rsidP="00577F9E">
      <w:pPr>
        <w:rPr>
          <w:szCs w:val="21"/>
        </w:rPr>
      </w:pPr>
      <w:r>
        <w:rPr>
          <w:szCs w:val="21"/>
        </w:rPr>
        <w:t>These issues reinforce the importance of government:</w:t>
      </w:r>
    </w:p>
    <w:p w14:paraId="500EE28E" w14:textId="77777777" w:rsidR="00577F9E" w:rsidRDefault="004F351E" w:rsidP="00577F9E">
      <w:pPr>
        <w:pStyle w:val="ListParagraph"/>
        <w:numPr>
          <w:ilvl w:val="0"/>
          <w:numId w:val="21"/>
        </w:numPr>
        <w:rPr>
          <w:szCs w:val="21"/>
        </w:rPr>
      </w:pPr>
      <w:r>
        <w:rPr>
          <w:szCs w:val="21"/>
        </w:rPr>
        <w:t xml:space="preserve">Bringing down transaction costs through shared systems (e.g. a </w:t>
      </w:r>
      <w:r w:rsidR="00577F9E">
        <w:rPr>
          <w:szCs w:val="21"/>
        </w:rPr>
        <w:t>high quality outcomes measurement</w:t>
      </w:r>
      <w:r>
        <w:rPr>
          <w:szCs w:val="21"/>
        </w:rPr>
        <w:t xml:space="preserve"> system)</w:t>
      </w:r>
    </w:p>
    <w:p w14:paraId="661636ED" w14:textId="77777777" w:rsidR="00577F9E" w:rsidRDefault="000A7D28" w:rsidP="00577F9E">
      <w:pPr>
        <w:pStyle w:val="ListParagraph"/>
        <w:numPr>
          <w:ilvl w:val="0"/>
          <w:numId w:val="21"/>
        </w:numPr>
        <w:rPr>
          <w:szCs w:val="21"/>
        </w:rPr>
      </w:pPr>
      <w:r>
        <w:rPr>
          <w:szCs w:val="21"/>
        </w:rPr>
        <w:t>C</w:t>
      </w:r>
      <w:r w:rsidR="00577F9E">
        <w:rPr>
          <w:szCs w:val="21"/>
        </w:rPr>
        <w:t>ross-subsidis</w:t>
      </w:r>
      <w:r w:rsidR="00E67F40">
        <w:rPr>
          <w:szCs w:val="21"/>
        </w:rPr>
        <w:t>ing</w:t>
      </w:r>
      <w:r w:rsidR="00577F9E">
        <w:rPr>
          <w:szCs w:val="21"/>
        </w:rPr>
        <w:t xml:space="preserve"> </w:t>
      </w:r>
      <w:r w:rsidR="00577F9E" w:rsidRPr="005848D1">
        <w:rPr>
          <w:szCs w:val="21"/>
        </w:rPr>
        <w:t xml:space="preserve">layered investments </w:t>
      </w:r>
      <w:r w:rsidR="00577F9E">
        <w:rPr>
          <w:szCs w:val="21"/>
        </w:rPr>
        <w:t>that allow for</w:t>
      </w:r>
      <w:r w:rsidR="00577F9E" w:rsidRPr="005848D1">
        <w:rPr>
          <w:szCs w:val="21"/>
        </w:rPr>
        <w:t xml:space="preserve"> different rates of risk-return</w:t>
      </w:r>
      <w:r w:rsidR="00577F9E">
        <w:rPr>
          <w:szCs w:val="21"/>
        </w:rPr>
        <w:t>,</w:t>
      </w:r>
      <w:r w:rsidR="00577F9E" w:rsidRPr="005848D1">
        <w:rPr>
          <w:szCs w:val="21"/>
        </w:rPr>
        <w:t xml:space="preserve"> including market and below-market</w:t>
      </w:r>
      <w:r w:rsidR="00577F9E">
        <w:rPr>
          <w:szCs w:val="21"/>
        </w:rPr>
        <w:t xml:space="preserve"> returns</w:t>
      </w:r>
      <w:r w:rsidR="00577F9E" w:rsidRPr="005848D1">
        <w:rPr>
          <w:szCs w:val="21"/>
        </w:rPr>
        <w:t xml:space="preserve"> </w:t>
      </w:r>
    </w:p>
    <w:p w14:paraId="7D461E07" w14:textId="77777777" w:rsidR="00577F9E" w:rsidRDefault="00577F9E" w:rsidP="00577F9E">
      <w:pPr>
        <w:pStyle w:val="ListParagraph"/>
        <w:numPr>
          <w:ilvl w:val="0"/>
          <w:numId w:val="21"/>
        </w:numPr>
        <w:rPr>
          <w:szCs w:val="21"/>
        </w:rPr>
      </w:pPr>
      <w:r>
        <w:rPr>
          <w:szCs w:val="21"/>
        </w:rPr>
        <w:t xml:space="preserve">Clarifying </w:t>
      </w:r>
      <w:r w:rsidR="00F02D6B">
        <w:rPr>
          <w:szCs w:val="21"/>
        </w:rPr>
        <w:t>PRIs</w:t>
      </w:r>
      <w:r>
        <w:rPr>
          <w:szCs w:val="21"/>
        </w:rPr>
        <w:t xml:space="preserve"> for charitable trusts</w:t>
      </w:r>
    </w:p>
    <w:p w14:paraId="05FADD05" w14:textId="77777777" w:rsidR="00577F9E" w:rsidRPr="00F02D6B" w:rsidRDefault="00577F9E" w:rsidP="00F02D6B">
      <w:pPr>
        <w:pStyle w:val="ListParagraph"/>
        <w:numPr>
          <w:ilvl w:val="0"/>
          <w:numId w:val="21"/>
        </w:numPr>
        <w:rPr>
          <w:szCs w:val="21"/>
        </w:rPr>
      </w:pPr>
      <w:r>
        <w:rPr>
          <w:szCs w:val="21"/>
        </w:rPr>
        <w:t xml:space="preserve">Redressing policy gaps that present risks to the success of a social impact investment (e.g. reinstatement of an improved </w:t>
      </w:r>
      <w:r w:rsidR="00F02D6B">
        <w:rPr>
          <w:szCs w:val="21"/>
        </w:rPr>
        <w:t>NRAS</w:t>
      </w:r>
      <w:r>
        <w:rPr>
          <w:szCs w:val="21"/>
        </w:rPr>
        <w:t>)</w:t>
      </w:r>
    </w:p>
    <w:p w14:paraId="03FDC0A4" w14:textId="77777777" w:rsidR="005736DC" w:rsidRPr="00AD4BE6" w:rsidRDefault="00AD4BE6" w:rsidP="005736DC">
      <w:pPr>
        <w:pStyle w:val="Heading3"/>
        <w:rPr>
          <w:rStyle w:val="s1"/>
        </w:rPr>
      </w:pPr>
      <w:r>
        <w:rPr>
          <w:rStyle w:val="s1"/>
        </w:rPr>
        <w:t xml:space="preserve">Question 4: </w:t>
      </w:r>
      <w:r w:rsidR="005736DC" w:rsidRPr="00AD4BE6">
        <w:rPr>
          <w:rStyle w:val="s1"/>
        </w:rPr>
        <w:t>What do you see as the role of the Australian Government in developing the social impact investing market?</w:t>
      </w:r>
    </w:p>
    <w:p w14:paraId="38D4136B" w14:textId="77777777" w:rsidR="00180E59" w:rsidRPr="004E6407" w:rsidRDefault="00145571" w:rsidP="005736DC">
      <w:pPr>
        <w:rPr>
          <w:szCs w:val="21"/>
        </w:rPr>
      </w:pPr>
      <w:r w:rsidRPr="004E6407">
        <w:rPr>
          <w:szCs w:val="21"/>
        </w:rPr>
        <w:t xml:space="preserve">The Australian Government has </w:t>
      </w:r>
      <w:r w:rsidR="00D41CC0" w:rsidRPr="004E6407">
        <w:rPr>
          <w:szCs w:val="21"/>
        </w:rPr>
        <w:t xml:space="preserve">clear </w:t>
      </w:r>
      <w:r w:rsidRPr="004E6407">
        <w:rPr>
          <w:szCs w:val="21"/>
        </w:rPr>
        <w:t>roles to play in catalysing market development, policy and regulation</w:t>
      </w:r>
      <w:r w:rsidR="00E15184" w:rsidRPr="004E6407">
        <w:rPr>
          <w:szCs w:val="21"/>
        </w:rPr>
        <w:t>, stewardship</w:t>
      </w:r>
      <w:r w:rsidRPr="004E6407">
        <w:rPr>
          <w:szCs w:val="21"/>
        </w:rPr>
        <w:t xml:space="preserve"> and funding.  </w:t>
      </w:r>
    </w:p>
    <w:p w14:paraId="3AF9C06B" w14:textId="77777777" w:rsidR="005736DC" w:rsidRPr="004E6407" w:rsidRDefault="00D41CC0" w:rsidP="005736DC">
      <w:pPr>
        <w:rPr>
          <w:szCs w:val="21"/>
        </w:rPr>
      </w:pPr>
      <w:r w:rsidRPr="004E6407">
        <w:rPr>
          <w:szCs w:val="21"/>
        </w:rPr>
        <w:t>As noted above, t</w:t>
      </w:r>
      <w:r w:rsidR="00180E59" w:rsidRPr="004E6407">
        <w:rPr>
          <w:szCs w:val="21"/>
        </w:rPr>
        <w:t xml:space="preserve">he Australian Government can </w:t>
      </w:r>
      <w:r w:rsidR="00577F9E">
        <w:rPr>
          <w:szCs w:val="21"/>
        </w:rPr>
        <w:t>draw from</w:t>
      </w:r>
      <w:r w:rsidR="009A0712" w:rsidRPr="004E6407">
        <w:rPr>
          <w:szCs w:val="21"/>
        </w:rPr>
        <w:t xml:space="preserve"> successful </w:t>
      </w:r>
      <w:r w:rsidR="00577F9E">
        <w:rPr>
          <w:szCs w:val="21"/>
        </w:rPr>
        <w:t xml:space="preserve">models </w:t>
      </w:r>
      <w:r w:rsidR="009A0712" w:rsidRPr="004E6407">
        <w:rPr>
          <w:szCs w:val="21"/>
        </w:rPr>
        <w:t>implement</w:t>
      </w:r>
      <w:r w:rsidR="00577F9E">
        <w:rPr>
          <w:szCs w:val="21"/>
        </w:rPr>
        <w:t>ed</w:t>
      </w:r>
      <w:r w:rsidR="009A0712" w:rsidRPr="004E6407">
        <w:rPr>
          <w:szCs w:val="21"/>
        </w:rPr>
        <w:t xml:space="preserve"> overseas. For example</w:t>
      </w:r>
      <w:r w:rsidRPr="004E6407">
        <w:rPr>
          <w:szCs w:val="21"/>
        </w:rPr>
        <w:t>,</w:t>
      </w:r>
      <w:r w:rsidR="009A0712" w:rsidRPr="004E6407">
        <w:rPr>
          <w:szCs w:val="21"/>
        </w:rPr>
        <w:t xml:space="preserve"> in the area of affordable housing, the NRAS was a modification on the long term Low Income Housing Tax Credit (LIHTC) model in the US</w:t>
      </w:r>
      <w:r w:rsidR="00577F9E">
        <w:rPr>
          <w:szCs w:val="21"/>
        </w:rPr>
        <w:t>;</w:t>
      </w:r>
      <w:r w:rsidR="009A0712" w:rsidRPr="004E6407">
        <w:rPr>
          <w:szCs w:val="21"/>
        </w:rPr>
        <w:t xml:space="preserve"> and the Affordable Housing Working Group of the Council on Federal Financial Relations</w:t>
      </w:r>
      <w:r w:rsidR="00F02D6B">
        <w:rPr>
          <w:szCs w:val="21"/>
        </w:rPr>
        <w:t>’</w:t>
      </w:r>
      <w:r w:rsidR="009A0712" w:rsidRPr="004E6407">
        <w:rPr>
          <w:szCs w:val="21"/>
        </w:rPr>
        <w:t xml:space="preserve"> (2016a; 2016b) recommended approach of a bo</w:t>
      </w:r>
      <w:r w:rsidR="00475C96" w:rsidRPr="004E6407">
        <w:rPr>
          <w:szCs w:val="21"/>
        </w:rPr>
        <w:t>nd aggregator</w:t>
      </w:r>
      <w:r w:rsidR="00180E59" w:rsidRPr="004E6407">
        <w:rPr>
          <w:szCs w:val="21"/>
        </w:rPr>
        <w:t xml:space="preserve"> is modelled on</w:t>
      </w:r>
      <w:r w:rsidR="009A0712" w:rsidRPr="004E6407">
        <w:rPr>
          <w:szCs w:val="21"/>
        </w:rPr>
        <w:t xml:space="preserve"> </w:t>
      </w:r>
      <w:r w:rsidR="00180E59" w:rsidRPr="004E6407">
        <w:rPr>
          <w:szCs w:val="21"/>
        </w:rPr>
        <w:t>Affordable Housing Finance</w:t>
      </w:r>
      <w:r w:rsidR="009A0712" w:rsidRPr="004E6407">
        <w:rPr>
          <w:szCs w:val="21"/>
        </w:rPr>
        <w:t xml:space="preserve"> in the UK.  </w:t>
      </w:r>
    </w:p>
    <w:p w14:paraId="1A57ACD4" w14:textId="77777777" w:rsidR="00145571" w:rsidRPr="004E6407" w:rsidRDefault="00180E59" w:rsidP="005736DC">
      <w:pPr>
        <w:rPr>
          <w:szCs w:val="21"/>
        </w:rPr>
      </w:pPr>
      <w:r w:rsidRPr="004E6407">
        <w:rPr>
          <w:szCs w:val="21"/>
        </w:rPr>
        <w:t xml:space="preserve">The Australian Government can also </w:t>
      </w:r>
      <w:r w:rsidR="00577F9E">
        <w:rPr>
          <w:szCs w:val="21"/>
        </w:rPr>
        <w:t>draw examples from</w:t>
      </w:r>
      <w:r w:rsidRPr="004E6407">
        <w:rPr>
          <w:szCs w:val="21"/>
        </w:rPr>
        <w:t xml:space="preserve"> other countries for the development of enabling policy environments. </w:t>
      </w:r>
    </w:p>
    <w:p w14:paraId="308E0055" w14:textId="77777777" w:rsidR="00D41CC0" w:rsidRPr="00475C96" w:rsidRDefault="00D41CC0" w:rsidP="00475C96">
      <w:pPr>
        <w:rPr>
          <w:rFonts w:asciiTheme="minorHAnsi" w:hAnsiTheme="minorHAnsi" w:cs="Arial"/>
          <w:i/>
          <w:szCs w:val="21"/>
        </w:rPr>
      </w:pPr>
      <w:r w:rsidRPr="00772A15">
        <w:rPr>
          <w:rStyle w:val="s1"/>
          <w:rFonts w:asciiTheme="minorHAnsi" w:hAnsiTheme="minorHAnsi" w:cs="Arial"/>
          <w:i/>
          <w:szCs w:val="21"/>
        </w:rPr>
        <w:t>Public policy for enabling</w:t>
      </w:r>
      <w:r w:rsidR="00972F41" w:rsidRPr="00772A15">
        <w:rPr>
          <w:rStyle w:val="s1"/>
          <w:rFonts w:asciiTheme="minorHAnsi" w:hAnsiTheme="minorHAnsi" w:cs="Arial"/>
          <w:i/>
          <w:szCs w:val="21"/>
        </w:rPr>
        <w:t xml:space="preserve"> </w:t>
      </w:r>
      <w:r w:rsidR="004E6407">
        <w:rPr>
          <w:rStyle w:val="s1"/>
          <w:rFonts w:asciiTheme="minorHAnsi" w:hAnsiTheme="minorHAnsi" w:cs="Arial"/>
          <w:i/>
          <w:szCs w:val="21"/>
        </w:rPr>
        <w:t>social e</w:t>
      </w:r>
      <w:r w:rsidR="00180E59" w:rsidRPr="00772A15">
        <w:rPr>
          <w:rStyle w:val="s1"/>
          <w:rFonts w:asciiTheme="minorHAnsi" w:hAnsiTheme="minorHAnsi" w:cs="Arial"/>
          <w:i/>
          <w:szCs w:val="21"/>
        </w:rPr>
        <w:t>nterprises</w:t>
      </w:r>
      <w:r w:rsidR="001A0915">
        <w:rPr>
          <w:rStyle w:val="s1"/>
          <w:rFonts w:asciiTheme="minorHAnsi" w:hAnsiTheme="minorHAnsi" w:cs="Arial"/>
          <w:i/>
          <w:szCs w:val="21"/>
        </w:rPr>
        <w:t xml:space="preserve"> to ensure absorptive capacity </w:t>
      </w:r>
    </w:p>
    <w:p w14:paraId="52AF8303" w14:textId="77777777" w:rsidR="00CD5FE1" w:rsidRDefault="00A97096" w:rsidP="00180E59">
      <w:pPr>
        <w:spacing w:after="160" w:line="259" w:lineRule="auto"/>
        <w:rPr>
          <w:rFonts w:asciiTheme="minorHAnsi" w:hAnsiTheme="minorHAnsi" w:cstheme="minorHAnsi"/>
          <w:szCs w:val="21"/>
        </w:rPr>
      </w:pPr>
      <w:r>
        <w:rPr>
          <w:rFonts w:asciiTheme="minorHAnsi" w:hAnsiTheme="minorHAnsi" w:cstheme="minorHAnsi"/>
          <w:szCs w:val="21"/>
        </w:rPr>
        <w:t>As</w:t>
      </w:r>
      <w:r w:rsidR="005C057A">
        <w:rPr>
          <w:rFonts w:asciiTheme="minorHAnsi" w:hAnsiTheme="minorHAnsi" w:cstheme="minorHAnsi"/>
          <w:szCs w:val="21"/>
        </w:rPr>
        <w:t xml:space="preserve"> </w:t>
      </w:r>
      <w:r>
        <w:rPr>
          <w:rFonts w:asciiTheme="minorHAnsi" w:hAnsiTheme="minorHAnsi" w:cstheme="minorHAnsi"/>
          <w:szCs w:val="21"/>
        </w:rPr>
        <w:t xml:space="preserve">noted above </w:t>
      </w:r>
      <w:r w:rsidR="005C057A">
        <w:rPr>
          <w:rFonts w:asciiTheme="minorHAnsi" w:hAnsiTheme="minorHAnsi" w:cstheme="minorHAnsi"/>
          <w:szCs w:val="21"/>
        </w:rPr>
        <w:t xml:space="preserve">policy-makers must </w:t>
      </w:r>
      <w:r>
        <w:rPr>
          <w:rFonts w:asciiTheme="minorHAnsi" w:hAnsiTheme="minorHAnsi" w:cstheme="minorHAnsi"/>
          <w:szCs w:val="21"/>
        </w:rPr>
        <w:t xml:space="preserve">be cautious </w:t>
      </w:r>
      <w:r w:rsidR="005C057A">
        <w:rPr>
          <w:rFonts w:asciiTheme="minorHAnsi" w:hAnsiTheme="minorHAnsi" w:cstheme="minorHAnsi"/>
          <w:szCs w:val="21"/>
        </w:rPr>
        <w:t xml:space="preserve">not to treat social enterprises </w:t>
      </w:r>
      <w:r w:rsidR="00CD5FE1">
        <w:rPr>
          <w:rFonts w:asciiTheme="minorHAnsi" w:hAnsiTheme="minorHAnsi" w:cstheme="minorHAnsi"/>
          <w:szCs w:val="21"/>
        </w:rPr>
        <w:t xml:space="preserve">and </w:t>
      </w:r>
      <w:r w:rsidR="00F02D6B">
        <w:rPr>
          <w:rFonts w:asciiTheme="minorHAnsi" w:hAnsiTheme="minorHAnsi" w:cstheme="minorHAnsi"/>
          <w:szCs w:val="21"/>
        </w:rPr>
        <w:t xml:space="preserve">social </w:t>
      </w:r>
      <w:r w:rsidR="00CD5FE1">
        <w:rPr>
          <w:rFonts w:asciiTheme="minorHAnsi" w:hAnsiTheme="minorHAnsi" w:cstheme="minorHAnsi"/>
          <w:szCs w:val="21"/>
        </w:rPr>
        <w:t xml:space="preserve">impact investment </w:t>
      </w:r>
      <w:r>
        <w:rPr>
          <w:rFonts w:asciiTheme="minorHAnsi" w:hAnsiTheme="minorHAnsi" w:cstheme="minorHAnsi"/>
          <w:szCs w:val="21"/>
        </w:rPr>
        <w:t xml:space="preserve">as </w:t>
      </w:r>
      <w:r w:rsidRPr="005139EA">
        <w:rPr>
          <w:rFonts w:asciiTheme="minorHAnsi" w:hAnsiTheme="minorHAnsi" w:cstheme="minorHAnsi"/>
          <w:szCs w:val="21"/>
        </w:rPr>
        <w:t>two ends of the same market</w:t>
      </w:r>
      <w:r w:rsidR="001A0915">
        <w:rPr>
          <w:rFonts w:asciiTheme="minorHAnsi" w:hAnsiTheme="minorHAnsi" w:cstheme="minorHAnsi"/>
          <w:szCs w:val="21"/>
        </w:rPr>
        <w:t>.</w:t>
      </w:r>
      <w:r w:rsidR="004E6407">
        <w:rPr>
          <w:rFonts w:asciiTheme="minorHAnsi" w:hAnsiTheme="minorHAnsi" w:cstheme="minorHAnsi"/>
          <w:szCs w:val="21"/>
        </w:rPr>
        <w:t xml:space="preserve"> </w:t>
      </w:r>
      <w:r w:rsidR="001A0915">
        <w:rPr>
          <w:rFonts w:asciiTheme="minorHAnsi" w:hAnsiTheme="minorHAnsi" w:cstheme="minorHAnsi"/>
          <w:szCs w:val="21"/>
        </w:rPr>
        <w:t xml:space="preserve"> However, strengthening </w:t>
      </w:r>
      <w:r w:rsidR="009639FD">
        <w:rPr>
          <w:rFonts w:asciiTheme="minorHAnsi" w:hAnsiTheme="minorHAnsi" w:cstheme="minorHAnsi"/>
          <w:szCs w:val="21"/>
        </w:rPr>
        <w:t xml:space="preserve">the investment readiness of </w:t>
      </w:r>
      <w:r w:rsidR="001A0915">
        <w:rPr>
          <w:rFonts w:asciiTheme="minorHAnsi" w:hAnsiTheme="minorHAnsi" w:cstheme="minorHAnsi"/>
          <w:szCs w:val="21"/>
        </w:rPr>
        <w:t>social enterprise</w:t>
      </w:r>
      <w:r w:rsidR="009639FD">
        <w:rPr>
          <w:rFonts w:asciiTheme="minorHAnsi" w:hAnsiTheme="minorHAnsi" w:cstheme="minorHAnsi"/>
          <w:szCs w:val="21"/>
        </w:rPr>
        <w:t>s</w:t>
      </w:r>
      <w:r w:rsidR="00CD5FE1">
        <w:rPr>
          <w:rFonts w:asciiTheme="minorHAnsi" w:hAnsiTheme="minorHAnsi" w:cstheme="minorHAnsi"/>
          <w:szCs w:val="21"/>
        </w:rPr>
        <w:t xml:space="preserve"> </w:t>
      </w:r>
      <w:r w:rsidR="00603004">
        <w:rPr>
          <w:rFonts w:asciiTheme="minorHAnsi" w:hAnsiTheme="minorHAnsi" w:cstheme="minorHAnsi"/>
          <w:szCs w:val="21"/>
        </w:rPr>
        <w:t xml:space="preserve">has implications </w:t>
      </w:r>
      <w:r w:rsidR="009639FD">
        <w:rPr>
          <w:rFonts w:asciiTheme="minorHAnsi" w:hAnsiTheme="minorHAnsi" w:cstheme="minorHAnsi"/>
          <w:szCs w:val="21"/>
        </w:rPr>
        <w:t>for the efficacy</w:t>
      </w:r>
      <w:r w:rsidR="001A0915">
        <w:rPr>
          <w:rFonts w:asciiTheme="minorHAnsi" w:hAnsiTheme="minorHAnsi" w:cstheme="minorHAnsi"/>
          <w:szCs w:val="21"/>
        </w:rPr>
        <w:t xml:space="preserve"> of social impact investment markets</w:t>
      </w:r>
      <w:r w:rsidR="00116D43">
        <w:rPr>
          <w:rFonts w:asciiTheme="minorHAnsi" w:hAnsiTheme="minorHAnsi" w:cstheme="minorHAnsi"/>
          <w:szCs w:val="21"/>
        </w:rPr>
        <w:t xml:space="preserve">. </w:t>
      </w:r>
      <w:r w:rsidR="00B650C1">
        <w:rPr>
          <w:rFonts w:asciiTheme="minorHAnsi" w:hAnsiTheme="minorHAnsi" w:cstheme="minorHAnsi"/>
          <w:szCs w:val="21"/>
        </w:rPr>
        <w:t xml:space="preserve">That is, </w:t>
      </w:r>
      <w:r w:rsidR="001A0915">
        <w:rPr>
          <w:rFonts w:asciiTheme="minorHAnsi" w:hAnsiTheme="minorHAnsi" w:cstheme="minorHAnsi"/>
          <w:szCs w:val="21"/>
        </w:rPr>
        <w:t>a robust</w:t>
      </w:r>
      <w:r w:rsidR="00B650C1">
        <w:rPr>
          <w:rFonts w:asciiTheme="minorHAnsi" w:hAnsiTheme="minorHAnsi" w:cstheme="minorHAnsi"/>
          <w:szCs w:val="21"/>
        </w:rPr>
        <w:t xml:space="preserve"> social </w:t>
      </w:r>
      <w:r w:rsidR="001A0915">
        <w:rPr>
          <w:rFonts w:asciiTheme="minorHAnsi" w:hAnsiTheme="minorHAnsi" w:cstheme="minorHAnsi"/>
          <w:szCs w:val="21"/>
        </w:rPr>
        <w:t xml:space="preserve">enterprise sector </w:t>
      </w:r>
      <w:r w:rsidR="005139EA">
        <w:rPr>
          <w:rFonts w:asciiTheme="minorHAnsi" w:hAnsiTheme="minorHAnsi" w:cstheme="minorHAnsi"/>
          <w:szCs w:val="21"/>
        </w:rPr>
        <w:t>will better contribute to the</w:t>
      </w:r>
      <w:r w:rsidR="009639FD">
        <w:rPr>
          <w:rFonts w:asciiTheme="minorHAnsi" w:hAnsiTheme="minorHAnsi" w:cstheme="minorHAnsi"/>
          <w:szCs w:val="21"/>
        </w:rPr>
        <w:t xml:space="preserve"> absorptive capacity for social impact investment capital. </w:t>
      </w:r>
      <w:r w:rsidR="001A0915">
        <w:rPr>
          <w:rFonts w:asciiTheme="minorHAnsi" w:hAnsiTheme="minorHAnsi" w:cstheme="minorHAnsi"/>
          <w:szCs w:val="21"/>
        </w:rPr>
        <w:t xml:space="preserve">  </w:t>
      </w:r>
    </w:p>
    <w:p w14:paraId="3241E488" w14:textId="77777777" w:rsidR="005C057A" w:rsidRPr="005C057A" w:rsidRDefault="00CD5FE1" w:rsidP="00180E59">
      <w:pPr>
        <w:spacing w:after="160" w:line="259" w:lineRule="auto"/>
        <w:rPr>
          <w:rFonts w:asciiTheme="minorHAnsi" w:hAnsiTheme="minorHAnsi" w:cstheme="minorHAnsi"/>
          <w:szCs w:val="21"/>
        </w:rPr>
      </w:pPr>
      <w:r w:rsidRPr="00475C96">
        <w:rPr>
          <w:rFonts w:asciiTheme="minorHAnsi" w:hAnsiTheme="minorHAnsi" w:cstheme="minorHAnsi"/>
          <w:szCs w:val="21"/>
        </w:rPr>
        <w:t xml:space="preserve">There are commonalities </w:t>
      </w:r>
      <w:r>
        <w:rPr>
          <w:rFonts w:asciiTheme="minorHAnsi" w:hAnsiTheme="minorHAnsi" w:cstheme="minorHAnsi"/>
          <w:szCs w:val="21"/>
        </w:rPr>
        <w:t>among</w:t>
      </w:r>
      <w:r w:rsidRPr="00475C96">
        <w:rPr>
          <w:rFonts w:asciiTheme="minorHAnsi" w:hAnsiTheme="minorHAnsi" w:cstheme="minorHAnsi"/>
          <w:szCs w:val="21"/>
        </w:rPr>
        <w:t xml:space="preserve"> policy frameworks for </w:t>
      </w:r>
      <w:r w:rsidR="009639FD">
        <w:rPr>
          <w:rFonts w:asciiTheme="minorHAnsi" w:hAnsiTheme="minorHAnsi" w:cstheme="minorHAnsi"/>
          <w:szCs w:val="21"/>
        </w:rPr>
        <w:t xml:space="preserve">strengthening </w:t>
      </w:r>
      <w:r w:rsidRPr="00475C96">
        <w:rPr>
          <w:rFonts w:asciiTheme="minorHAnsi" w:hAnsiTheme="minorHAnsi" w:cstheme="minorHAnsi"/>
          <w:szCs w:val="21"/>
        </w:rPr>
        <w:t>social enterprises internationally</w:t>
      </w:r>
      <w:r>
        <w:rPr>
          <w:rFonts w:asciiTheme="minorHAnsi" w:hAnsiTheme="minorHAnsi" w:cstheme="minorHAnsi"/>
          <w:szCs w:val="21"/>
        </w:rPr>
        <w:t xml:space="preserve">. </w:t>
      </w:r>
      <w:r w:rsidR="004E6407">
        <w:rPr>
          <w:rFonts w:asciiTheme="minorHAnsi" w:hAnsiTheme="minorHAnsi" w:cstheme="minorHAnsi"/>
          <w:szCs w:val="21"/>
        </w:rPr>
        <w:t xml:space="preserve"> </w:t>
      </w:r>
      <w:r w:rsidR="001A0915">
        <w:rPr>
          <w:rFonts w:asciiTheme="minorHAnsi" w:hAnsiTheme="minorHAnsi" w:cstheme="minorHAnsi"/>
          <w:szCs w:val="21"/>
        </w:rPr>
        <w:t xml:space="preserve">A </w:t>
      </w:r>
      <w:r>
        <w:rPr>
          <w:rFonts w:asciiTheme="minorHAnsi" w:hAnsiTheme="minorHAnsi" w:cstheme="minorHAnsi"/>
          <w:szCs w:val="21"/>
        </w:rPr>
        <w:t xml:space="preserve">study that mapped policy frameworks </w:t>
      </w:r>
      <w:r w:rsidR="004E6407">
        <w:rPr>
          <w:rFonts w:asciiTheme="minorHAnsi" w:hAnsiTheme="minorHAnsi" w:cstheme="minorHAnsi"/>
          <w:szCs w:val="21"/>
        </w:rPr>
        <w:t xml:space="preserve">in the European Union </w:t>
      </w:r>
      <w:r>
        <w:rPr>
          <w:rFonts w:asciiTheme="minorHAnsi" w:hAnsiTheme="minorHAnsi" w:cstheme="minorHAnsi"/>
          <w:szCs w:val="21"/>
        </w:rPr>
        <w:t>observed six key elements of an enabling policy environment.</w:t>
      </w:r>
      <w:r w:rsidR="00727216">
        <w:rPr>
          <w:rFonts w:asciiTheme="minorHAnsi" w:hAnsiTheme="minorHAnsi" w:cstheme="minorHAnsi"/>
          <w:szCs w:val="21"/>
        </w:rPr>
        <w:t xml:space="preserve"> </w:t>
      </w:r>
      <w:r w:rsidR="009639FD">
        <w:rPr>
          <w:rFonts w:asciiTheme="minorHAnsi" w:hAnsiTheme="minorHAnsi" w:cstheme="minorHAnsi"/>
          <w:szCs w:val="21"/>
        </w:rPr>
        <w:t>These</w:t>
      </w:r>
      <w:r w:rsidR="00116D43">
        <w:rPr>
          <w:rFonts w:asciiTheme="minorHAnsi" w:hAnsiTheme="minorHAnsi" w:cstheme="minorHAnsi"/>
          <w:szCs w:val="21"/>
        </w:rPr>
        <w:t xml:space="preserve"> </w:t>
      </w:r>
      <w:r w:rsidR="00603004">
        <w:rPr>
          <w:rFonts w:asciiTheme="minorHAnsi" w:hAnsiTheme="minorHAnsi" w:cstheme="minorHAnsi"/>
          <w:szCs w:val="21"/>
        </w:rPr>
        <w:t>includ</w:t>
      </w:r>
      <w:r w:rsidR="00727216">
        <w:rPr>
          <w:rFonts w:asciiTheme="minorHAnsi" w:hAnsiTheme="minorHAnsi" w:cstheme="minorHAnsi"/>
          <w:szCs w:val="21"/>
        </w:rPr>
        <w:t>e</w:t>
      </w:r>
      <w:r w:rsidR="00603004">
        <w:rPr>
          <w:rFonts w:asciiTheme="minorHAnsi" w:hAnsiTheme="minorHAnsi" w:cstheme="minorHAnsi"/>
          <w:szCs w:val="21"/>
        </w:rPr>
        <w:t xml:space="preserve">: </w:t>
      </w:r>
    </w:p>
    <w:p w14:paraId="24E8F21A" w14:textId="77777777" w:rsidR="00180E59" w:rsidRPr="00603004" w:rsidRDefault="00603004" w:rsidP="00603004">
      <w:pPr>
        <w:pStyle w:val="ListParagraph"/>
        <w:numPr>
          <w:ilvl w:val="0"/>
          <w:numId w:val="15"/>
        </w:numPr>
        <w:spacing w:before="0" w:after="160" w:line="259" w:lineRule="auto"/>
        <w:rPr>
          <w:rFonts w:asciiTheme="minorHAnsi" w:hAnsiTheme="minorHAnsi" w:cstheme="minorHAnsi"/>
          <w:szCs w:val="21"/>
        </w:rPr>
      </w:pPr>
      <w:r w:rsidRPr="009639FD">
        <w:rPr>
          <w:rFonts w:asciiTheme="minorHAnsi" w:hAnsiTheme="minorHAnsi" w:cstheme="minorHAnsi"/>
          <w:i/>
          <w:szCs w:val="21"/>
        </w:rPr>
        <w:t>Specific legal form</w:t>
      </w:r>
      <w:r>
        <w:rPr>
          <w:rFonts w:asciiTheme="minorHAnsi" w:hAnsiTheme="minorHAnsi" w:cstheme="minorHAnsi"/>
          <w:szCs w:val="21"/>
        </w:rPr>
        <w:t>s that facilitate social impact investment such as CICs in the UK,</w:t>
      </w:r>
      <w:r w:rsidRPr="00603004">
        <w:rPr>
          <w:rFonts w:asciiTheme="minorHAnsi" w:hAnsiTheme="minorHAnsi" w:cstheme="minorHAnsi"/>
          <w:szCs w:val="21"/>
        </w:rPr>
        <w:t xml:space="preserve"> the </w:t>
      </w:r>
      <w:r w:rsidR="00180E59" w:rsidRPr="00603004">
        <w:rPr>
          <w:rFonts w:asciiTheme="minorHAnsi" w:hAnsiTheme="minorHAnsi" w:cstheme="minorHAnsi"/>
          <w:szCs w:val="21"/>
        </w:rPr>
        <w:t>ex lege in Italy is a defined legal status</w:t>
      </w:r>
      <w:r>
        <w:rPr>
          <w:rFonts w:asciiTheme="minorHAnsi" w:hAnsiTheme="minorHAnsi" w:cstheme="minorHAnsi"/>
          <w:szCs w:val="21"/>
        </w:rPr>
        <w:t xml:space="preserve"> and the Benefit </w:t>
      </w:r>
      <w:r w:rsidR="00F02D6B">
        <w:rPr>
          <w:rFonts w:asciiTheme="minorHAnsi" w:hAnsiTheme="minorHAnsi" w:cstheme="minorHAnsi"/>
          <w:szCs w:val="21"/>
        </w:rPr>
        <w:t>C</w:t>
      </w:r>
      <w:r>
        <w:rPr>
          <w:rFonts w:asciiTheme="minorHAnsi" w:hAnsiTheme="minorHAnsi" w:cstheme="minorHAnsi"/>
          <w:szCs w:val="21"/>
        </w:rPr>
        <w:t xml:space="preserve">orporation </w:t>
      </w:r>
    </w:p>
    <w:p w14:paraId="179C87DE" w14:textId="77777777" w:rsidR="00603004" w:rsidRDefault="00603004" w:rsidP="00180E59">
      <w:pPr>
        <w:pStyle w:val="ListParagraph"/>
        <w:numPr>
          <w:ilvl w:val="0"/>
          <w:numId w:val="15"/>
        </w:numPr>
        <w:spacing w:before="0" w:after="160" w:line="259" w:lineRule="auto"/>
        <w:rPr>
          <w:rFonts w:asciiTheme="minorHAnsi" w:hAnsiTheme="minorHAnsi" w:cstheme="minorHAnsi"/>
          <w:b/>
          <w:szCs w:val="21"/>
        </w:rPr>
      </w:pPr>
      <w:r w:rsidRPr="009639FD">
        <w:rPr>
          <w:rFonts w:asciiTheme="minorHAnsi" w:hAnsiTheme="minorHAnsi" w:cstheme="minorHAnsi"/>
          <w:i/>
          <w:szCs w:val="21"/>
        </w:rPr>
        <w:t>Preferential tax treatment</w:t>
      </w:r>
      <w:r>
        <w:rPr>
          <w:rFonts w:asciiTheme="minorHAnsi" w:hAnsiTheme="minorHAnsi" w:cstheme="minorHAnsi"/>
          <w:szCs w:val="21"/>
        </w:rPr>
        <w:t xml:space="preserve"> such as Social Investment Tax Relief </w:t>
      </w:r>
      <w:r w:rsidR="004E6407">
        <w:rPr>
          <w:rFonts w:asciiTheme="minorHAnsi" w:hAnsiTheme="minorHAnsi" w:cstheme="minorHAnsi"/>
          <w:szCs w:val="21"/>
        </w:rPr>
        <w:t xml:space="preserve">(discussed below) </w:t>
      </w:r>
      <w:r w:rsidR="00116D43">
        <w:rPr>
          <w:rFonts w:asciiTheme="minorHAnsi" w:hAnsiTheme="minorHAnsi" w:cstheme="minorHAnsi"/>
          <w:szCs w:val="21"/>
        </w:rPr>
        <w:t>to incentivise supply through tax benefits</w:t>
      </w:r>
      <w:r w:rsidR="004E6407">
        <w:rPr>
          <w:rFonts w:asciiTheme="minorHAnsi" w:hAnsiTheme="minorHAnsi" w:cstheme="minorHAnsi"/>
          <w:szCs w:val="21"/>
        </w:rPr>
        <w:t xml:space="preserve"> </w:t>
      </w:r>
      <w:r w:rsidR="00116D43">
        <w:rPr>
          <w:rFonts w:asciiTheme="minorHAnsi" w:hAnsiTheme="minorHAnsi" w:cstheme="minorHAnsi"/>
          <w:szCs w:val="21"/>
        </w:rPr>
        <w:t xml:space="preserve"> </w:t>
      </w:r>
    </w:p>
    <w:p w14:paraId="6B1520DE" w14:textId="77777777" w:rsidR="00180E59" w:rsidRDefault="009748AA" w:rsidP="00180E59">
      <w:pPr>
        <w:pStyle w:val="ListParagraph"/>
        <w:numPr>
          <w:ilvl w:val="0"/>
          <w:numId w:val="15"/>
        </w:numPr>
        <w:spacing w:before="0" w:after="160" w:line="259" w:lineRule="auto"/>
        <w:rPr>
          <w:rFonts w:asciiTheme="minorHAnsi" w:hAnsiTheme="minorHAnsi" w:cstheme="minorHAnsi"/>
          <w:szCs w:val="21"/>
        </w:rPr>
      </w:pPr>
      <w:r w:rsidRPr="009639FD">
        <w:rPr>
          <w:rFonts w:asciiTheme="minorHAnsi" w:hAnsiTheme="minorHAnsi" w:cstheme="minorHAnsi"/>
          <w:i/>
          <w:szCs w:val="21"/>
        </w:rPr>
        <w:t>S</w:t>
      </w:r>
      <w:r w:rsidR="00180E59" w:rsidRPr="009639FD">
        <w:rPr>
          <w:rFonts w:asciiTheme="minorHAnsi" w:hAnsiTheme="minorHAnsi" w:cstheme="minorHAnsi"/>
          <w:i/>
          <w:szCs w:val="21"/>
        </w:rPr>
        <w:t>pecialised support</w:t>
      </w:r>
      <w:r w:rsidR="00180E59" w:rsidRPr="009748AA">
        <w:rPr>
          <w:rFonts w:asciiTheme="minorHAnsi" w:hAnsiTheme="minorHAnsi" w:cstheme="minorHAnsi"/>
          <w:szCs w:val="21"/>
        </w:rPr>
        <w:t>, often through intermediaries, such as mentoring and business development</w:t>
      </w:r>
      <w:r>
        <w:rPr>
          <w:rFonts w:asciiTheme="minorHAnsi" w:hAnsiTheme="minorHAnsi" w:cstheme="minorHAnsi"/>
          <w:szCs w:val="21"/>
        </w:rPr>
        <w:t xml:space="preserve"> </w:t>
      </w:r>
      <w:r w:rsidR="005139EA">
        <w:rPr>
          <w:rFonts w:asciiTheme="minorHAnsi" w:hAnsiTheme="minorHAnsi" w:cstheme="minorHAnsi"/>
          <w:szCs w:val="21"/>
        </w:rPr>
        <w:t>(primarily a state jurisdiction issue in Australia, although federal support would be beneficial)</w:t>
      </w:r>
    </w:p>
    <w:p w14:paraId="249AE0F5" w14:textId="77777777" w:rsidR="00116D43" w:rsidRDefault="009748AA" w:rsidP="009748AA">
      <w:pPr>
        <w:pStyle w:val="ListParagraph"/>
        <w:numPr>
          <w:ilvl w:val="0"/>
          <w:numId w:val="15"/>
        </w:numPr>
        <w:spacing w:before="0" w:after="160" w:line="259" w:lineRule="auto"/>
        <w:rPr>
          <w:rFonts w:asciiTheme="minorHAnsi" w:hAnsiTheme="minorHAnsi" w:cstheme="minorHAnsi"/>
          <w:szCs w:val="21"/>
        </w:rPr>
      </w:pPr>
      <w:r w:rsidRPr="009639FD">
        <w:rPr>
          <w:rFonts w:asciiTheme="minorHAnsi" w:hAnsiTheme="minorHAnsi" w:cstheme="minorHAnsi"/>
          <w:i/>
          <w:szCs w:val="21"/>
        </w:rPr>
        <w:t>Social procurement</w:t>
      </w:r>
      <w:r>
        <w:rPr>
          <w:rFonts w:asciiTheme="minorHAnsi" w:hAnsiTheme="minorHAnsi" w:cstheme="minorHAnsi"/>
          <w:szCs w:val="21"/>
        </w:rPr>
        <w:t xml:space="preserve"> in public service contracts to promote demand and market access</w:t>
      </w:r>
      <w:r w:rsidR="00116D43">
        <w:rPr>
          <w:rFonts w:asciiTheme="minorHAnsi" w:hAnsiTheme="minorHAnsi" w:cstheme="minorHAnsi"/>
          <w:szCs w:val="21"/>
        </w:rPr>
        <w:t xml:space="preserve"> for social </w:t>
      </w:r>
      <w:r w:rsidR="005139EA">
        <w:rPr>
          <w:rFonts w:asciiTheme="minorHAnsi" w:hAnsiTheme="minorHAnsi" w:cstheme="minorHAnsi"/>
          <w:szCs w:val="21"/>
        </w:rPr>
        <w:t>benefit providers</w:t>
      </w:r>
    </w:p>
    <w:p w14:paraId="64B4D7AA" w14:textId="77777777" w:rsidR="00727216" w:rsidRDefault="009639FD" w:rsidP="00727216">
      <w:pPr>
        <w:pStyle w:val="ListParagraph"/>
        <w:numPr>
          <w:ilvl w:val="0"/>
          <w:numId w:val="15"/>
        </w:numPr>
        <w:spacing w:before="0" w:after="160" w:line="259" w:lineRule="auto"/>
        <w:ind w:left="709"/>
        <w:rPr>
          <w:rFonts w:asciiTheme="minorHAnsi" w:hAnsiTheme="minorHAnsi" w:cstheme="minorHAnsi"/>
          <w:szCs w:val="21"/>
        </w:rPr>
      </w:pPr>
      <w:r w:rsidRPr="00727216">
        <w:rPr>
          <w:rFonts w:asciiTheme="minorHAnsi" w:hAnsiTheme="minorHAnsi" w:cstheme="minorHAnsi"/>
          <w:i/>
          <w:szCs w:val="21"/>
        </w:rPr>
        <w:t xml:space="preserve">Standardised impact measurement </w:t>
      </w:r>
      <w:r w:rsidR="005139EA" w:rsidRPr="00727216">
        <w:rPr>
          <w:rFonts w:asciiTheme="minorHAnsi" w:hAnsiTheme="minorHAnsi" w:cstheme="minorHAnsi"/>
          <w:szCs w:val="21"/>
        </w:rPr>
        <w:t>and reporting frameworks</w:t>
      </w:r>
    </w:p>
    <w:p w14:paraId="08C28B99" w14:textId="77777777" w:rsidR="00727216" w:rsidRDefault="00F003F0" w:rsidP="00727216">
      <w:pPr>
        <w:pStyle w:val="ListParagraph"/>
        <w:numPr>
          <w:ilvl w:val="0"/>
          <w:numId w:val="15"/>
        </w:numPr>
        <w:spacing w:before="0" w:after="160" w:line="259" w:lineRule="auto"/>
        <w:ind w:left="709"/>
        <w:rPr>
          <w:rFonts w:asciiTheme="minorHAnsi" w:hAnsiTheme="minorHAnsi" w:cstheme="minorHAnsi"/>
          <w:szCs w:val="21"/>
        </w:rPr>
      </w:pPr>
      <w:r w:rsidRPr="00727216">
        <w:rPr>
          <w:rFonts w:asciiTheme="minorHAnsi" w:hAnsiTheme="minorHAnsi" w:cstheme="minorHAnsi"/>
          <w:szCs w:val="21"/>
        </w:rPr>
        <w:t>Measures</w:t>
      </w:r>
      <w:r w:rsidR="00180E59" w:rsidRPr="00727216">
        <w:rPr>
          <w:rFonts w:asciiTheme="minorHAnsi" w:hAnsiTheme="minorHAnsi" w:cstheme="minorHAnsi"/>
          <w:szCs w:val="21"/>
        </w:rPr>
        <w:t xml:space="preserve"> to grow </w:t>
      </w:r>
      <w:r w:rsidRPr="00727216">
        <w:rPr>
          <w:rFonts w:asciiTheme="minorHAnsi" w:hAnsiTheme="minorHAnsi" w:cstheme="minorHAnsi"/>
          <w:szCs w:val="21"/>
        </w:rPr>
        <w:t xml:space="preserve">the supply-side of </w:t>
      </w:r>
      <w:r w:rsidR="00180E59" w:rsidRPr="00727216">
        <w:rPr>
          <w:rFonts w:asciiTheme="minorHAnsi" w:hAnsiTheme="minorHAnsi" w:cstheme="minorHAnsi"/>
          <w:i/>
          <w:szCs w:val="21"/>
        </w:rPr>
        <w:t>social impact investment markets</w:t>
      </w:r>
      <w:r w:rsidR="00180E59" w:rsidRPr="00727216">
        <w:rPr>
          <w:rFonts w:asciiTheme="minorHAnsi" w:hAnsiTheme="minorHAnsi" w:cstheme="minorHAnsi"/>
          <w:szCs w:val="21"/>
        </w:rPr>
        <w:t xml:space="preserve"> </w:t>
      </w:r>
    </w:p>
    <w:p w14:paraId="2A722335" w14:textId="77777777" w:rsidR="00F003F0" w:rsidRPr="00727216" w:rsidRDefault="00180E59" w:rsidP="00727216">
      <w:pPr>
        <w:pStyle w:val="ListParagraph"/>
        <w:spacing w:before="0" w:after="160" w:line="259" w:lineRule="auto"/>
        <w:ind w:left="709"/>
        <w:rPr>
          <w:rFonts w:asciiTheme="minorHAnsi" w:hAnsiTheme="minorHAnsi" w:cstheme="minorHAnsi"/>
          <w:szCs w:val="21"/>
        </w:rPr>
      </w:pPr>
      <w:r w:rsidRPr="00727216">
        <w:rPr>
          <w:rFonts w:asciiTheme="minorHAnsi" w:hAnsiTheme="minorHAnsi" w:cstheme="minorHAnsi"/>
          <w:szCs w:val="21"/>
        </w:rPr>
        <w:t>(Wilkinson, Medhurst et al</w:t>
      </w:r>
      <w:r w:rsidR="002746C6" w:rsidRPr="00727216">
        <w:rPr>
          <w:rFonts w:asciiTheme="minorHAnsi" w:hAnsiTheme="minorHAnsi" w:cstheme="minorHAnsi"/>
          <w:szCs w:val="21"/>
        </w:rPr>
        <w:t>.</w:t>
      </w:r>
      <w:r w:rsidRPr="00727216">
        <w:rPr>
          <w:rFonts w:asciiTheme="minorHAnsi" w:hAnsiTheme="minorHAnsi" w:cstheme="minorHAnsi"/>
          <w:szCs w:val="21"/>
        </w:rPr>
        <w:t xml:space="preserve"> 2014: 50).</w:t>
      </w:r>
    </w:p>
    <w:p w14:paraId="77BD6BB0" w14:textId="77777777" w:rsidR="00F003F0" w:rsidRPr="00F003F0" w:rsidRDefault="00F003F0" w:rsidP="00F003F0">
      <w:pPr>
        <w:spacing w:after="160" w:line="259" w:lineRule="auto"/>
        <w:rPr>
          <w:rFonts w:asciiTheme="minorHAnsi" w:hAnsiTheme="minorHAnsi" w:cstheme="minorHAnsi"/>
          <w:szCs w:val="21"/>
        </w:rPr>
      </w:pPr>
      <w:r>
        <w:rPr>
          <w:rFonts w:asciiTheme="minorHAnsi" w:hAnsiTheme="minorHAnsi" w:cstheme="minorHAnsi"/>
          <w:szCs w:val="21"/>
        </w:rPr>
        <w:t>Many countries also adopt coordinated social enterprise strategies</w:t>
      </w:r>
      <w:r w:rsidR="005139EA">
        <w:rPr>
          <w:rFonts w:asciiTheme="minorHAnsi" w:hAnsiTheme="minorHAnsi" w:cstheme="minorHAnsi"/>
          <w:szCs w:val="21"/>
        </w:rPr>
        <w:t>, such as that recently launched by the Victorian Government</w:t>
      </w:r>
      <w:r>
        <w:rPr>
          <w:rFonts w:asciiTheme="minorHAnsi" w:hAnsiTheme="minorHAnsi" w:cstheme="minorHAnsi"/>
          <w:szCs w:val="21"/>
        </w:rPr>
        <w:t xml:space="preserve">.   </w:t>
      </w:r>
    </w:p>
    <w:p w14:paraId="38D92B0F" w14:textId="77777777" w:rsidR="004E6407" w:rsidRPr="004E6407" w:rsidRDefault="005139EA" w:rsidP="004E6407">
      <w:pPr>
        <w:rPr>
          <w:szCs w:val="21"/>
        </w:rPr>
      </w:pPr>
      <w:r>
        <w:rPr>
          <w:szCs w:val="21"/>
        </w:rPr>
        <w:t>The 2016 FASES study</w:t>
      </w:r>
      <w:r w:rsidR="004E6407" w:rsidRPr="004E6407">
        <w:rPr>
          <w:szCs w:val="21"/>
        </w:rPr>
        <w:t xml:space="preserve"> found that s</w:t>
      </w:r>
      <w:r w:rsidR="00A0783F" w:rsidRPr="004E6407">
        <w:rPr>
          <w:szCs w:val="21"/>
        </w:rPr>
        <w:t xml:space="preserve">ocial enterprise policy in Australia is piecemeal and </w:t>
      </w:r>
      <w:r>
        <w:rPr>
          <w:szCs w:val="21"/>
        </w:rPr>
        <w:t>exposed to political change</w:t>
      </w:r>
      <w:r w:rsidR="00A0783F" w:rsidRPr="004E6407">
        <w:rPr>
          <w:szCs w:val="21"/>
        </w:rPr>
        <w:t>.  All levels of government could provide policy responses, with local government assisting with market development, and state and federal government supporting development of organisations, stimulating policy design innovation and enabling regulation (Barraket, Mason et al</w:t>
      </w:r>
      <w:r w:rsidR="004D3F3B" w:rsidRPr="004E6407">
        <w:rPr>
          <w:szCs w:val="21"/>
        </w:rPr>
        <w:t>.</w:t>
      </w:r>
      <w:r w:rsidR="00A0783F" w:rsidRPr="004E6407">
        <w:rPr>
          <w:szCs w:val="21"/>
        </w:rPr>
        <w:t xml:space="preserve"> 2016: 31).  However, given the number of industries in which social enterprises operate, industry regulation could override any generic developments for social enterprises </w:t>
      </w:r>
      <w:r w:rsidR="00F02D6B">
        <w:rPr>
          <w:szCs w:val="21"/>
        </w:rPr>
        <w:t>(</w:t>
      </w:r>
      <w:r w:rsidR="00A0783F" w:rsidRPr="004E6407">
        <w:rPr>
          <w:szCs w:val="21"/>
        </w:rPr>
        <w:t>Barraket, Mason et al</w:t>
      </w:r>
      <w:r w:rsidR="004D3F3B" w:rsidRPr="004E6407">
        <w:rPr>
          <w:szCs w:val="21"/>
        </w:rPr>
        <w:t>.</w:t>
      </w:r>
      <w:r w:rsidR="00A0783F" w:rsidRPr="004E6407">
        <w:rPr>
          <w:szCs w:val="21"/>
        </w:rPr>
        <w:t xml:space="preserve"> 2016: 53).  The </w:t>
      </w:r>
      <w:r>
        <w:rPr>
          <w:szCs w:val="21"/>
        </w:rPr>
        <w:t xml:space="preserve">study’s </w:t>
      </w:r>
      <w:r w:rsidR="00A0783F" w:rsidRPr="004E6407">
        <w:rPr>
          <w:szCs w:val="21"/>
        </w:rPr>
        <w:t>survey found over 80 per cent agreeing that new opportunities would be encouraged by government policy support, with the majority of the remainder neutral (Barraket, Mason et al</w:t>
      </w:r>
      <w:r w:rsidR="004D3F3B" w:rsidRPr="004E6407">
        <w:rPr>
          <w:szCs w:val="21"/>
        </w:rPr>
        <w:t>.</w:t>
      </w:r>
      <w:r w:rsidR="00A0783F" w:rsidRPr="004E6407">
        <w:rPr>
          <w:szCs w:val="21"/>
        </w:rPr>
        <w:t xml:space="preserve"> 2016: 28).  46 per cent of respondents were neutral on a new legal form helping social enterprises to achieve their goals, with 32 per cent agreeing and 22 per cent disagreeing (Barraket, Mason et al</w:t>
      </w:r>
      <w:r w:rsidR="004D3F3B" w:rsidRPr="004E6407">
        <w:rPr>
          <w:szCs w:val="21"/>
        </w:rPr>
        <w:t>.</w:t>
      </w:r>
      <w:r w:rsidR="00A0783F" w:rsidRPr="004E6407">
        <w:rPr>
          <w:szCs w:val="21"/>
        </w:rPr>
        <w:t xml:space="preserve"> 2016: 27-28). </w:t>
      </w:r>
    </w:p>
    <w:p w14:paraId="7E55BC7B" w14:textId="77777777" w:rsidR="00D41CC0" w:rsidRDefault="00F003F0" w:rsidP="00180E59">
      <w:pPr>
        <w:autoSpaceDE w:val="0"/>
        <w:autoSpaceDN w:val="0"/>
        <w:adjustRightInd w:val="0"/>
        <w:rPr>
          <w:rStyle w:val="s1"/>
          <w:rFonts w:asciiTheme="minorHAnsi" w:hAnsiTheme="minorHAnsi" w:cs="Arial"/>
          <w:i/>
          <w:szCs w:val="21"/>
        </w:rPr>
      </w:pPr>
      <w:r>
        <w:rPr>
          <w:rStyle w:val="s1"/>
          <w:rFonts w:asciiTheme="minorHAnsi" w:hAnsiTheme="minorHAnsi" w:cs="Arial"/>
          <w:i/>
          <w:szCs w:val="21"/>
        </w:rPr>
        <w:t>Public policies for enabling SIBs</w:t>
      </w:r>
    </w:p>
    <w:p w14:paraId="3A2CB950" w14:textId="77777777" w:rsidR="00F003F0" w:rsidRPr="00F003F0" w:rsidRDefault="00F003F0" w:rsidP="00180E59">
      <w:pPr>
        <w:autoSpaceDE w:val="0"/>
        <w:autoSpaceDN w:val="0"/>
        <w:adjustRightInd w:val="0"/>
        <w:rPr>
          <w:rFonts w:asciiTheme="minorHAnsi" w:hAnsiTheme="minorHAnsi" w:cstheme="minorHAnsi"/>
          <w:szCs w:val="21"/>
        </w:rPr>
      </w:pPr>
      <w:r>
        <w:rPr>
          <w:rFonts w:asciiTheme="minorHAnsi" w:hAnsiTheme="minorHAnsi" w:cstheme="minorHAnsi"/>
          <w:szCs w:val="21"/>
        </w:rPr>
        <w:t>Policy interventions and initiatives</w:t>
      </w:r>
      <w:r w:rsidR="001C683C">
        <w:rPr>
          <w:rFonts w:asciiTheme="minorHAnsi" w:hAnsiTheme="minorHAnsi" w:cstheme="minorHAnsi"/>
          <w:szCs w:val="21"/>
        </w:rPr>
        <w:t xml:space="preserve"> for</w:t>
      </w:r>
      <w:r>
        <w:rPr>
          <w:rFonts w:asciiTheme="minorHAnsi" w:hAnsiTheme="minorHAnsi" w:cstheme="minorHAnsi"/>
          <w:szCs w:val="21"/>
        </w:rPr>
        <w:t xml:space="preserve"> SIBs normally take the form of ‘soft’</w:t>
      </w:r>
      <w:r w:rsidR="00D17977">
        <w:rPr>
          <w:rFonts w:asciiTheme="minorHAnsi" w:hAnsiTheme="minorHAnsi" w:cstheme="minorHAnsi"/>
          <w:szCs w:val="21"/>
        </w:rPr>
        <w:t xml:space="preserve"> instruments including: grant funding for infrastructure </w:t>
      </w:r>
      <w:r w:rsidR="006B68AC">
        <w:rPr>
          <w:rFonts w:asciiTheme="minorHAnsi" w:hAnsiTheme="minorHAnsi" w:cstheme="minorHAnsi"/>
          <w:szCs w:val="21"/>
        </w:rPr>
        <w:t>and technical assistance for</w:t>
      </w:r>
      <w:r w:rsidR="00D17977">
        <w:rPr>
          <w:rFonts w:asciiTheme="minorHAnsi" w:hAnsiTheme="minorHAnsi" w:cstheme="minorHAnsi"/>
          <w:szCs w:val="21"/>
        </w:rPr>
        <w:t xml:space="preserve"> SIB development (</w:t>
      </w:r>
      <w:r w:rsidR="006B68AC">
        <w:rPr>
          <w:rFonts w:asciiTheme="minorHAnsi" w:hAnsiTheme="minorHAnsi" w:cstheme="minorHAnsi"/>
          <w:szCs w:val="21"/>
        </w:rPr>
        <w:t>targeted at</w:t>
      </w:r>
      <w:r w:rsidR="00D17977">
        <w:rPr>
          <w:rFonts w:asciiTheme="minorHAnsi" w:hAnsiTheme="minorHAnsi" w:cstheme="minorHAnsi"/>
          <w:szCs w:val="21"/>
        </w:rPr>
        <w:t xml:space="preserve"> inter</w:t>
      </w:r>
      <w:r w:rsidR="001C683C">
        <w:rPr>
          <w:rFonts w:asciiTheme="minorHAnsi" w:hAnsiTheme="minorHAnsi" w:cstheme="minorHAnsi"/>
          <w:szCs w:val="21"/>
        </w:rPr>
        <w:t>mediaries and service providers) and</w:t>
      </w:r>
      <w:r w:rsidR="00D17977">
        <w:rPr>
          <w:rFonts w:asciiTheme="minorHAnsi" w:hAnsiTheme="minorHAnsi" w:cstheme="minorHAnsi"/>
          <w:szCs w:val="21"/>
        </w:rPr>
        <w:t xml:space="preserve"> strategies and policy framework</w:t>
      </w:r>
      <w:r w:rsidR="001C683C">
        <w:rPr>
          <w:rFonts w:asciiTheme="minorHAnsi" w:hAnsiTheme="minorHAnsi" w:cstheme="minorHAnsi"/>
          <w:szCs w:val="21"/>
        </w:rPr>
        <w:t>s that place pay</w:t>
      </w:r>
      <w:r w:rsidR="004E6407">
        <w:rPr>
          <w:rFonts w:asciiTheme="minorHAnsi" w:hAnsiTheme="minorHAnsi" w:cstheme="minorHAnsi"/>
          <w:szCs w:val="21"/>
        </w:rPr>
        <w:t>ment by</w:t>
      </w:r>
      <w:r w:rsidR="001C683C">
        <w:rPr>
          <w:rFonts w:asciiTheme="minorHAnsi" w:hAnsiTheme="minorHAnsi" w:cstheme="minorHAnsi"/>
          <w:szCs w:val="21"/>
        </w:rPr>
        <w:t xml:space="preserve"> </w:t>
      </w:r>
      <w:r w:rsidR="004E6407">
        <w:rPr>
          <w:rFonts w:asciiTheme="minorHAnsi" w:hAnsiTheme="minorHAnsi" w:cstheme="minorHAnsi"/>
          <w:szCs w:val="21"/>
        </w:rPr>
        <w:t>results</w:t>
      </w:r>
      <w:r w:rsidR="006B68AC">
        <w:rPr>
          <w:rFonts w:asciiTheme="minorHAnsi" w:hAnsiTheme="minorHAnsi" w:cstheme="minorHAnsi"/>
          <w:szCs w:val="21"/>
        </w:rPr>
        <w:t xml:space="preserve"> </w:t>
      </w:r>
      <w:r w:rsidR="005711F8">
        <w:rPr>
          <w:rFonts w:asciiTheme="minorHAnsi" w:hAnsiTheme="minorHAnsi" w:cstheme="minorHAnsi"/>
          <w:szCs w:val="21"/>
        </w:rPr>
        <w:t xml:space="preserve">contracts </w:t>
      </w:r>
      <w:r w:rsidR="006B68AC">
        <w:rPr>
          <w:rFonts w:asciiTheme="minorHAnsi" w:hAnsiTheme="minorHAnsi" w:cstheme="minorHAnsi"/>
          <w:szCs w:val="21"/>
        </w:rPr>
        <w:t>at the heart of public policy</w:t>
      </w:r>
      <w:r w:rsidR="00D17977">
        <w:rPr>
          <w:rFonts w:asciiTheme="minorHAnsi" w:hAnsiTheme="minorHAnsi" w:cstheme="minorHAnsi"/>
          <w:szCs w:val="21"/>
        </w:rPr>
        <w:t>.  ‘Hard’ regula</w:t>
      </w:r>
      <w:r w:rsidR="006B68AC">
        <w:rPr>
          <w:rFonts w:asciiTheme="minorHAnsi" w:hAnsiTheme="minorHAnsi" w:cstheme="minorHAnsi"/>
          <w:szCs w:val="21"/>
        </w:rPr>
        <w:t>tory and legislative reforms include:</w:t>
      </w:r>
      <w:r w:rsidR="00D17977">
        <w:rPr>
          <w:rFonts w:asciiTheme="minorHAnsi" w:hAnsiTheme="minorHAnsi" w:cstheme="minorHAnsi"/>
          <w:szCs w:val="21"/>
        </w:rPr>
        <w:t xml:space="preserve"> tax relief </w:t>
      </w:r>
      <w:r w:rsidR="006B68AC">
        <w:rPr>
          <w:rFonts w:asciiTheme="minorHAnsi" w:hAnsiTheme="minorHAnsi" w:cstheme="minorHAnsi"/>
          <w:szCs w:val="21"/>
        </w:rPr>
        <w:t xml:space="preserve">and incentives for investors </w:t>
      </w:r>
      <w:r w:rsidR="00D17977">
        <w:rPr>
          <w:rFonts w:asciiTheme="minorHAnsi" w:hAnsiTheme="minorHAnsi" w:cstheme="minorHAnsi"/>
          <w:szCs w:val="21"/>
        </w:rPr>
        <w:t xml:space="preserve">and </w:t>
      </w:r>
      <w:r w:rsidR="006B68AC">
        <w:rPr>
          <w:rFonts w:asciiTheme="minorHAnsi" w:hAnsiTheme="minorHAnsi" w:cstheme="minorHAnsi"/>
          <w:szCs w:val="21"/>
        </w:rPr>
        <w:t xml:space="preserve">public finance reforms to provide budgetary certainty. </w:t>
      </w:r>
      <w:r w:rsidR="00D17977">
        <w:rPr>
          <w:rFonts w:asciiTheme="minorHAnsi" w:hAnsiTheme="minorHAnsi" w:cstheme="minorHAnsi"/>
          <w:szCs w:val="21"/>
        </w:rPr>
        <w:t xml:space="preserve"> </w:t>
      </w:r>
    </w:p>
    <w:p w14:paraId="60CE0B00" w14:textId="77777777" w:rsidR="00F003F0" w:rsidRPr="00772A15" w:rsidRDefault="00180E59" w:rsidP="00180E59">
      <w:pPr>
        <w:autoSpaceDE w:val="0"/>
        <w:autoSpaceDN w:val="0"/>
        <w:adjustRightInd w:val="0"/>
        <w:rPr>
          <w:rFonts w:asciiTheme="minorHAnsi" w:hAnsiTheme="minorHAnsi" w:cstheme="minorHAnsi"/>
          <w:szCs w:val="21"/>
        </w:rPr>
      </w:pPr>
      <w:r w:rsidRPr="00772A15">
        <w:rPr>
          <w:rFonts w:asciiTheme="minorHAnsi" w:hAnsiTheme="minorHAnsi" w:cstheme="minorHAnsi"/>
          <w:szCs w:val="21"/>
        </w:rPr>
        <w:t>Guffaston-Wright, Gardiner et al</w:t>
      </w:r>
      <w:r w:rsidR="004D3F3B">
        <w:rPr>
          <w:rFonts w:asciiTheme="minorHAnsi" w:hAnsiTheme="minorHAnsi" w:cstheme="minorHAnsi"/>
          <w:szCs w:val="21"/>
        </w:rPr>
        <w:t>.</w:t>
      </w:r>
      <w:r w:rsidRPr="00772A15">
        <w:rPr>
          <w:rFonts w:asciiTheme="minorHAnsi" w:hAnsiTheme="minorHAnsi" w:cstheme="minorHAnsi"/>
          <w:szCs w:val="21"/>
        </w:rPr>
        <w:t xml:space="preserve"> (2015: 33-4, 134-5, 137) have provided a summary of UK and US government support for the SIB ‘ecosystem’ including:</w:t>
      </w:r>
      <w:r w:rsidR="006B68AC">
        <w:rPr>
          <w:rFonts w:asciiTheme="minorHAnsi" w:hAnsiTheme="minorHAnsi" w:cstheme="minorHAnsi"/>
          <w:szCs w:val="21"/>
        </w:rPr>
        <w:br/>
      </w:r>
    </w:p>
    <w:p w14:paraId="5B88F024" w14:textId="77777777" w:rsidR="00180E59" w:rsidRPr="00772A15" w:rsidRDefault="00727216" w:rsidP="00180E59">
      <w:pPr>
        <w:pStyle w:val="ListParagraph"/>
        <w:numPr>
          <w:ilvl w:val="0"/>
          <w:numId w:val="16"/>
        </w:numPr>
        <w:autoSpaceDE w:val="0"/>
        <w:autoSpaceDN w:val="0"/>
        <w:adjustRightInd w:val="0"/>
        <w:spacing w:before="0" w:after="160" w:line="259" w:lineRule="auto"/>
        <w:rPr>
          <w:rFonts w:asciiTheme="minorHAnsi" w:hAnsiTheme="minorHAnsi" w:cstheme="minorHAnsi"/>
          <w:szCs w:val="21"/>
        </w:rPr>
      </w:pPr>
      <w:r>
        <w:rPr>
          <w:rFonts w:asciiTheme="minorHAnsi" w:hAnsiTheme="minorHAnsi" w:cstheme="minorHAnsi"/>
          <w:szCs w:val="21"/>
        </w:rPr>
        <w:t>T</w:t>
      </w:r>
      <w:r w:rsidR="00180E59" w:rsidRPr="00772A15">
        <w:rPr>
          <w:rFonts w:asciiTheme="minorHAnsi" w:hAnsiTheme="minorHAnsi" w:cstheme="minorHAnsi"/>
          <w:szCs w:val="21"/>
        </w:rPr>
        <w:t>he UK</w:t>
      </w:r>
      <w:r>
        <w:rPr>
          <w:rFonts w:asciiTheme="minorHAnsi" w:hAnsiTheme="minorHAnsi" w:cstheme="minorHAnsi"/>
          <w:szCs w:val="21"/>
        </w:rPr>
        <w:t>’s</w:t>
      </w:r>
      <w:r w:rsidR="00180E59" w:rsidRPr="00772A15">
        <w:rPr>
          <w:rFonts w:asciiTheme="minorHAnsi" w:hAnsiTheme="minorHAnsi" w:cstheme="minorHAnsi"/>
          <w:szCs w:val="21"/>
        </w:rPr>
        <w:t xml:space="preserve"> </w:t>
      </w:r>
      <w:r w:rsidR="00180E59" w:rsidRPr="004E6407">
        <w:rPr>
          <w:rFonts w:asciiTheme="minorHAnsi" w:hAnsiTheme="minorHAnsi" w:cstheme="minorHAnsi"/>
          <w:szCs w:val="21"/>
        </w:rPr>
        <w:t>Social Investment Tax Relief</w:t>
      </w:r>
      <w:r w:rsidR="004E6407">
        <w:rPr>
          <w:rFonts w:asciiTheme="minorHAnsi" w:hAnsiTheme="minorHAnsi" w:cstheme="minorHAnsi"/>
          <w:szCs w:val="21"/>
        </w:rPr>
        <w:t xml:space="preserve"> </w:t>
      </w:r>
      <w:r w:rsidRPr="00772A15">
        <w:rPr>
          <w:rFonts w:asciiTheme="minorHAnsi" w:hAnsiTheme="minorHAnsi" w:cstheme="minorHAnsi"/>
          <w:szCs w:val="21"/>
        </w:rPr>
        <w:t>2014 legislation</w:t>
      </w:r>
      <w:r w:rsidR="00180E59" w:rsidRPr="00772A15">
        <w:rPr>
          <w:rFonts w:asciiTheme="minorHAnsi" w:hAnsiTheme="minorHAnsi" w:cstheme="minorHAnsi"/>
          <w:szCs w:val="21"/>
        </w:rPr>
        <w:t xml:space="preserve"> that provides tax benefits for individuals investing in qualifying social enterprises including SIBs, as a percentage of the amount invested and deferral of capital gains tax in certain circumstances</w:t>
      </w:r>
      <w:r w:rsidR="00F02D6B">
        <w:rPr>
          <w:rFonts w:asciiTheme="minorHAnsi" w:hAnsiTheme="minorHAnsi" w:cstheme="minorHAnsi"/>
          <w:szCs w:val="21"/>
        </w:rPr>
        <w:t>.</w:t>
      </w:r>
      <w:r w:rsidR="00180E59" w:rsidRPr="00772A15">
        <w:rPr>
          <w:rFonts w:asciiTheme="minorHAnsi" w:hAnsiTheme="minorHAnsi" w:cstheme="minorHAnsi"/>
          <w:szCs w:val="21"/>
        </w:rPr>
        <w:t xml:space="preserve"> </w:t>
      </w:r>
    </w:p>
    <w:p w14:paraId="2F71798F" w14:textId="77777777" w:rsidR="00180E59" w:rsidRPr="00772A15" w:rsidRDefault="00180E59" w:rsidP="00180E59">
      <w:pPr>
        <w:pStyle w:val="ListParagraph"/>
        <w:numPr>
          <w:ilvl w:val="0"/>
          <w:numId w:val="16"/>
        </w:numPr>
        <w:autoSpaceDE w:val="0"/>
        <w:autoSpaceDN w:val="0"/>
        <w:adjustRightInd w:val="0"/>
        <w:spacing w:before="0" w:after="160" w:line="259" w:lineRule="auto"/>
        <w:rPr>
          <w:rFonts w:asciiTheme="minorHAnsi" w:hAnsiTheme="minorHAnsi" w:cstheme="minorHAnsi"/>
          <w:szCs w:val="21"/>
        </w:rPr>
      </w:pPr>
      <w:r w:rsidRPr="00772A15">
        <w:rPr>
          <w:rFonts w:asciiTheme="minorHAnsi" w:hAnsiTheme="minorHAnsi" w:cstheme="minorHAnsi"/>
          <w:szCs w:val="21"/>
        </w:rPr>
        <w:t>The UK</w:t>
      </w:r>
      <w:r w:rsidR="00727216">
        <w:rPr>
          <w:rFonts w:asciiTheme="minorHAnsi" w:hAnsiTheme="minorHAnsi" w:cstheme="minorHAnsi"/>
          <w:szCs w:val="21"/>
        </w:rPr>
        <w:t>’s</w:t>
      </w:r>
      <w:r w:rsidRPr="00772A15">
        <w:rPr>
          <w:rFonts w:asciiTheme="minorHAnsi" w:hAnsiTheme="minorHAnsi" w:cstheme="minorHAnsi"/>
          <w:szCs w:val="21"/>
        </w:rPr>
        <w:t xml:space="preserve"> Centre for Social Impact Bonds </w:t>
      </w:r>
      <w:r w:rsidR="00727216">
        <w:rPr>
          <w:rFonts w:asciiTheme="minorHAnsi" w:hAnsiTheme="minorHAnsi" w:cstheme="minorHAnsi"/>
          <w:szCs w:val="21"/>
        </w:rPr>
        <w:t>(with</w:t>
      </w:r>
      <w:r w:rsidRPr="00772A15">
        <w:rPr>
          <w:rFonts w:asciiTheme="minorHAnsi" w:hAnsiTheme="minorHAnsi" w:cstheme="minorHAnsi"/>
          <w:szCs w:val="21"/>
        </w:rPr>
        <w:t>in the Social Investment Finance Team in The Prime Minister’s Cabinet Office</w:t>
      </w:r>
      <w:r w:rsidR="00727216">
        <w:rPr>
          <w:rFonts w:asciiTheme="minorHAnsi" w:hAnsiTheme="minorHAnsi" w:cstheme="minorHAnsi"/>
          <w:szCs w:val="21"/>
        </w:rPr>
        <w:t>) which</w:t>
      </w:r>
      <w:r w:rsidRPr="00772A15">
        <w:rPr>
          <w:rFonts w:asciiTheme="minorHAnsi" w:hAnsiTheme="minorHAnsi" w:cstheme="minorHAnsi"/>
          <w:szCs w:val="21"/>
        </w:rPr>
        <w:t xml:space="preserve"> analyses and facilitates the market through the provision of information and tools, and by building an evidence-base and showcasing innovation in public service delivery through SIBs.  </w:t>
      </w:r>
    </w:p>
    <w:p w14:paraId="2F512CAE" w14:textId="77777777" w:rsidR="00180E59" w:rsidRPr="00772A15" w:rsidRDefault="00727216" w:rsidP="00180E59">
      <w:pPr>
        <w:pStyle w:val="ListParagraph"/>
        <w:numPr>
          <w:ilvl w:val="0"/>
          <w:numId w:val="16"/>
        </w:numPr>
        <w:autoSpaceDE w:val="0"/>
        <w:autoSpaceDN w:val="0"/>
        <w:adjustRightInd w:val="0"/>
        <w:spacing w:before="0" w:after="160" w:line="259" w:lineRule="auto"/>
        <w:rPr>
          <w:rFonts w:asciiTheme="minorHAnsi" w:hAnsiTheme="minorHAnsi" w:cstheme="minorHAnsi"/>
          <w:szCs w:val="21"/>
        </w:rPr>
      </w:pPr>
      <w:r>
        <w:rPr>
          <w:rFonts w:asciiTheme="minorHAnsi" w:hAnsiTheme="minorHAnsi" w:cstheme="minorHAnsi"/>
          <w:szCs w:val="21"/>
        </w:rPr>
        <w:t>T</w:t>
      </w:r>
      <w:r w:rsidR="00180E59" w:rsidRPr="00772A15">
        <w:rPr>
          <w:rFonts w:asciiTheme="minorHAnsi" w:hAnsiTheme="minorHAnsi" w:cstheme="minorHAnsi"/>
          <w:szCs w:val="21"/>
        </w:rPr>
        <w:t>he</w:t>
      </w:r>
      <w:r>
        <w:rPr>
          <w:rFonts w:asciiTheme="minorHAnsi" w:hAnsiTheme="minorHAnsi" w:cstheme="minorHAnsi"/>
          <w:szCs w:val="21"/>
        </w:rPr>
        <w:t xml:space="preserve"> UK’s</w:t>
      </w:r>
      <w:r w:rsidR="00180E59" w:rsidRPr="00772A15">
        <w:rPr>
          <w:rFonts w:asciiTheme="minorHAnsi" w:hAnsiTheme="minorHAnsi" w:cstheme="minorHAnsi"/>
          <w:szCs w:val="21"/>
        </w:rPr>
        <w:t xml:space="preserve"> 2012 Social Outcomes Fund (£20 million)</w:t>
      </w:r>
      <w:r>
        <w:rPr>
          <w:rFonts w:asciiTheme="minorHAnsi" w:hAnsiTheme="minorHAnsi" w:cstheme="minorHAnsi"/>
          <w:szCs w:val="21"/>
        </w:rPr>
        <w:t xml:space="preserve"> which</w:t>
      </w:r>
      <w:r w:rsidR="00180E59" w:rsidRPr="00772A15">
        <w:rPr>
          <w:rFonts w:asciiTheme="minorHAnsi" w:hAnsiTheme="minorHAnsi" w:cstheme="minorHAnsi"/>
          <w:szCs w:val="21"/>
        </w:rPr>
        <w:t xml:space="preserve"> provides additional funds for SIBs, using central government funding where the savings apply to multiple departments that would be difficult for one department to fund.</w:t>
      </w:r>
    </w:p>
    <w:p w14:paraId="582BDEDC" w14:textId="77777777" w:rsidR="00180E59" w:rsidRPr="00772A15" w:rsidRDefault="00180E59" w:rsidP="00180E59">
      <w:pPr>
        <w:pStyle w:val="ListParagraph"/>
        <w:numPr>
          <w:ilvl w:val="0"/>
          <w:numId w:val="16"/>
        </w:numPr>
        <w:autoSpaceDE w:val="0"/>
        <w:autoSpaceDN w:val="0"/>
        <w:adjustRightInd w:val="0"/>
        <w:spacing w:before="0" w:after="160" w:line="259" w:lineRule="auto"/>
        <w:rPr>
          <w:rFonts w:asciiTheme="minorHAnsi" w:hAnsiTheme="minorHAnsi" w:cstheme="minorHAnsi"/>
          <w:szCs w:val="21"/>
        </w:rPr>
      </w:pPr>
      <w:r w:rsidRPr="00772A15">
        <w:rPr>
          <w:rFonts w:asciiTheme="minorHAnsi" w:hAnsiTheme="minorHAnsi" w:cstheme="minorHAnsi"/>
          <w:szCs w:val="21"/>
        </w:rPr>
        <w:t>The US is establishing a similar national fund</w:t>
      </w:r>
      <w:r w:rsidR="00727216">
        <w:rPr>
          <w:rFonts w:asciiTheme="minorHAnsi" w:hAnsiTheme="minorHAnsi" w:cstheme="minorHAnsi"/>
          <w:szCs w:val="21"/>
        </w:rPr>
        <w:t xml:space="preserve"> to the UK’s Social Outcomes Fund</w:t>
      </w:r>
      <w:r w:rsidRPr="00772A15">
        <w:rPr>
          <w:rFonts w:asciiTheme="minorHAnsi" w:hAnsiTheme="minorHAnsi" w:cstheme="minorHAnsi"/>
          <w:szCs w:val="21"/>
        </w:rPr>
        <w:t xml:space="preserve">. </w:t>
      </w:r>
      <w:r w:rsidR="00727216">
        <w:rPr>
          <w:rFonts w:asciiTheme="minorHAnsi" w:hAnsiTheme="minorHAnsi" w:cstheme="minorHAnsi"/>
          <w:szCs w:val="21"/>
        </w:rPr>
        <w:t>T</w:t>
      </w:r>
      <w:r w:rsidRPr="00772A15">
        <w:rPr>
          <w:rFonts w:asciiTheme="minorHAnsi" w:hAnsiTheme="minorHAnsi" w:cstheme="minorHAnsi"/>
          <w:szCs w:val="21"/>
        </w:rPr>
        <w:t xml:space="preserve">he </w:t>
      </w:r>
      <w:r w:rsidR="00727216">
        <w:rPr>
          <w:rFonts w:asciiTheme="minorHAnsi" w:hAnsiTheme="minorHAnsi" w:cstheme="minorHAnsi"/>
          <w:szCs w:val="21"/>
        </w:rPr>
        <w:t xml:space="preserve">US’s </w:t>
      </w:r>
      <w:r w:rsidRPr="00772A15">
        <w:rPr>
          <w:rFonts w:asciiTheme="minorHAnsi" w:hAnsiTheme="minorHAnsi" w:cstheme="minorHAnsi"/>
          <w:szCs w:val="21"/>
        </w:rPr>
        <w:t>federal agency, the Corporation for National and Community Service, has also established a Social Innovation Fund which has awarded eight organisations grants to develop SIBs. Massachusetts and Utah have passed legislation authorising SIBs and eight other states have introduced legislation.</w:t>
      </w:r>
    </w:p>
    <w:p w14:paraId="26117AFC" w14:textId="77777777" w:rsidR="00180E59" w:rsidRPr="00772A15" w:rsidRDefault="00180E59" w:rsidP="00180E59">
      <w:pPr>
        <w:pStyle w:val="ListParagraph"/>
        <w:numPr>
          <w:ilvl w:val="0"/>
          <w:numId w:val="16"/>
        </w:numPr>
        <w:autoSpaceDE w:val="0"/>
        <w:autoSpaceDN w:val="0"/>
        <w:adjustRightInd w:val="0"/>
        <w:spacing w:before="0" w:after="160" w:line="259" w:lineRule="auto"/>
        <w:rPr>
          <w:rFonts w:asciiTheme="minorHAnsi" w:hAnsiTheme="minorHAnsi" w:cstheme="minorHAnsi"/>
          <w:szCs w:val="21"/>
        </w:rPr>
      </w:pPr>
      <w:r w:rsidRPr="00772A15">
        <w:rPr>
          <w:rFonts w:asciiTheme="minorHAnsi" w:hAnsiTheme="minorHAnsi" w:cstheme="minorHAnsi"/>
          <w:szCs w:val="21"/>
        </w:rPr>
        <w:t>Various US legislation appl</w:t>
      </w:r>
      <w:r w:rsidR="00727216">
        <w:rPr>
          <w:rFonts w:asciiTheme="minorHAnsi" w:hAnsiTheme="minorHAnsi" w:cstheme="minorHAnsi"/>
          <w:szCs w:val="21"/>
        </w:rPr>
        <w:t>ying</w:t>
      </w:r>
      <w:r w:rsidRPr="00772A15">
        <w:rPr>
          <w:rFonts w:asciiTheme="minorHAnsi" w:hAnsiTheme="minorHAnsi" w:cstheme="minorHAnsi"/>
          <w:szCs w:val="21"/>
        </w:rPr>
        <w:t xml:space="preserve"> to investment in SIBs</w:t>
      </w:r>
      <w:r w:rsidR="00727216">
        <w:rPr>
          <w:rFonts w:asciiTheme="minorHAnsi" w:hAnsiTheme="minorHAnsi" w:cstheme="minorHAnsi"/>
          <w:szCs w:val="21"/>
        </w:rPr>
        <w:t>:</w:t>
      </w:r>
      <w:r w:rsidRPr="00772A15">
        <w:rPr>
          <w:rFonts w:asciiTheme="minorHAnsi" w:hAnsiTheme="minorHAnsi" w:cstheme="minorHAnsi"/>
          <w:szCs w:val="21"/>
        </w:rPr>
        <w:t xml:space="preserve"> the Community Reinvestment Act </w:t>
      </w:r>
      <w:r w:rsidR="002746C6">
        <w:rPr>
          <w:rFonts w:asciiTheme="minorHAnsi" w:hAnsiTheme="minorHAnsi" w:cstheme="minorHAnsi"/>
          <w:szCs w:val="21"/>
        </w:rPr>
        <w:t>1977</w:t>
      </w:r>
      <w:r w:rsidRPr="00772A15">
        <w:rPr>
          <w:rFonts w:asciiTheme="minorHAnsi" w:hAnsiTheme="minorHAnsi" w:cstheme="minorHAnsi"/>
          <w:szCs w:val="21"/>
        </w:rPr>
        <w:t xml:space="preserve"> </w:t>
      </w:r>
      <w:r w:rsidR="00727216">
        <w:rPr>
          <w:rFonts w:asciiTheme="minorHAnsi" w:hAnsiTheme="minorHAnsi" w:cstheme="minorHAnsi"/>
          <w:szCs w:val="21"/>
        </w:rPr>
        <w:t>(</w:t>
      </w:r>
      <w:r w:rsidRPr="00772A15">
        <w:rPr>
          <w:rFonts w:asciiTheme="minorHAnsi" w:hAnsiTheme="minorHAnsi" w:cstheme="minorHAnsi"/>
          <w:szCs w:val="21"/>
        </w:rPr>
        <w:t>leveraged for banks</w:t>
      </w:r>
      <w:r w:rsidR="00727216">
        <w:rPr>
          <w:rFonts w:asciiTheme="minorHAnsi" w:hAnsiTheme="minorHAnsi" w:cstheme="minorHAnsi"/>
          <w:szCs w:val="21"/>
        </w:rPr>
        <w:t>);</w:t>
      </w:r>
      <w:r w:rsidRPr="00772A15">
        <w:rPr>
          <w:rFonts w:asciiTheme="minorHAnsi" w:hAnsiTheme="minorHAnsi" w:cstheme="minorHAnsi"/>
          <w:szCs w:val="21"/>
        </w:rPr>
        <w:t xml:space="preserve"> the Tax Reform Act for Program Related Investments</w:t>
      </w:r>
      <w:r w:rsidR="00727216">
        <w:rPr>
          <w:rFonts w:asciiTheme="minorHAnsi" w:hAnsiTheme="minorHAnsi" w:cstheme="minorHAnsi"/>
          <w:szCs w:val="21"/>
        </w:rPr>
        <w:t>;</w:t>
      </w:r>
      <w:r w:rsidRPr="00772A15">
        <w:rPr>
          <w:rFonts w:asciiTheme="minorHAnsi" w:hAnsiTheme="minorHAnsi" w:cstheme="minorHAnsi"/>
          <w:szCs w:val="21"/>
        </w:rPr>
        <w:t xml:space="preserve"> and the </w:t>
      </w:r>
      <w:r w:rsidRPr="00772A15">
        <w:rPr>
          <w:rFonts w:asciiTheme="minorHAnsi" w:hAnsiTheme="minorHAnsi"/>
          <w:szCs w:val="21"/>
        </w:rPr>
        <w:t>Riegle Community Development Regulatory Improvement Act</w:t>
      </w:r>
      <w:r w:rsidRPr="00772A15">
        <w:rPr>
          <w:rFonts w:asciiTheme="minorHAnsi" w:hAnsiTheme="minorHAnsi" w:cstheme="minorHAnsi"/>
          <w:szCs w:val="21"/>
        </w:rPr>
        <w:t xml:space="preserve"> of 1994 for Community Development Finance Institution (CDFI) Funds</w:t>
      </w:r>
      <w:r w:rsidR="002746C6">
        <w:rPr>
          <w:rFonts w:asciiTheme="minorHAnsi" w:hAnsiTheme="minorHAnsi" w:cstheme="minorHAnsi"/>
          <w:szCs w:val="21"/>
        </w:rPr>
        <w:t>.</w:t>
      </w:r>
    </w:p>
    <w:p w14:paraId="07A7DFF4" w14:textId="77777777" w:rsidR="00180E59" w:rsidRPr="00772A15" w:rsidRDefault="00180E59" w:rsidP="00180E59">
      <w:pPr>
        <w:rPr>
          <w:rFonts w:asciiTheme="minorHAnsi" w:hAnsiTheme="minorHAnsi" w:cstheme="minorHAnsi"/>
          <w:szCs w:val="21"/>
        </w:rPr>
      </w:pPr>
      <w:r w:rsidRPr="00772A15">
        <w:rPr>
          <w:rFonts w:asciiTheme="minorHAnsi" w:hAnsiTheme="minorHAnsi" w:cstheme="minorHAnsi"/>
          <w:szCs w:val="21"/>
        </w:rPr>
        <w:t>Guffaston-Wright, Gardiner et al</w:t>
      </w:r>
      <w:r w:rsidR="004D3F3B">
        <w:rPr>
          <w:rFonts w:asciiTheme="minorHAnsi" w:hAnsiTheme="minorHAnsi" w:cstheme="minorHAnsi"/>
          <w:szCs w:val="21"/>
        </w:rPr>
        <w:t>.</w:t>
      </w:r>
      <w:r w:rsidRPr="00772A15">
        <w:rPr>
          <w:rFonts w:asciiTheme="minorHAnsi" w:hAnsiTheme="minorHAnsi" w:cstheme="minorHAnsi"/>
          <w:szCs w:val="21"/>
        </w:rPr>
        <w:t xml:space="preserve"> (2015</w:t>
      </w:r>
      <w:r w:rsidR="00BF4663">
        <w:rPr>
          <w:rFonts w:asciiTheme="minorHAnsi" w:hAnsiTheme="minorHAnsi" w:cstheme="minorHAnsi"/>
          <w:szCs w:val="21"/>
        </w:rPr>
        <w:t>:</w:t>
      </w:r>
      <w:r w:rsidRPr="00772A15">
        <w:rPr>
          <w:rFonts w:asciiTheme="minorHAnsi" w:hAnsiTheme="minorHAnsi" w:cstheme="minorHAnsi"/>
          <w:szCs w:val="21"/>
        </w:rPr>
        <w:t xml:space="preserve"> 130-9) further summarise legislation and policy frameworks relating to exploring, designing and implementing SIBs in Australia, Canada, the UK and US (at federal and state levels). Types of legislative support include scoping, pilot, authorisation, financing and incentives for financing.  Government action supporting SIBs includes technical assistance, scoping, incubating, pilot, financing (grants, start-up costs, payment of intermediaries), issuing Requests for Information (RFIs) and Requests for Proposals (RFPs) and commitment.</w:t>
      </w:r>
    </w:p>
    <w:p w14:paraId="4E475547" w14:textId="77777777" w:rsidR="004E6407" w:rsidRDefault="006B68AC" w:rsidP="00180E59">
      <w:pPr>
        <w:autoSpaceDE w:val="0"/>
        <w:autoSpaceDN w:val="0"/>
        <w:adjustRightInd w:val="0"/>
        <w:rPr>
          <w:rFonts w:asciiTheme="minorHAnsi" w:hAnsiTheme="minorHAnsi" w:cstheme="minorHAnsi"/>
          <w:szCs w:val="21"/>
        </w:rPr>
      </w:pPr>
      <w:r>
        <w:rPr>
          <w:rFonts w:asciiTheme="minorHAnsi" w:hAnsiTheme="minorHAnsi" w:cstheme="minorHAnsi"/>
          <w:szCs w:val="21"/>
        </w:rPr>
        <w:t xml:space="preserve">As noted </w:t>
      </w:r>
      <w:r w:rsidR="004E6407">
        <w:rPr>
          <w:rFonts w:asciiTheme="minorHAnsi" w:hAnsiTheme="minorHAnsi" w:cstheme="minorHAnsi"/>
          <w:szCs w:val="21"/>
        </w:rPr>
        <w:t xml:space="preserve">in </w:t>
      </w:r>
      <w:r>
        <w:rPr>
          <w:rFonts w:asciiTheme="minorHAnsi" w:hAnsiTheme="minorHAnsi" w:cstheme="minorHAnsi"/>
          <w:szCs w:val="21"/>
        </w:rPr>
        <w:t>the Discussion Paper</w:t>
      </w:r>
      <w:r w:rsidR="005139EA">
        <w:rPr>
          <w:rFonts w:asciiTheme="minorHAnsi" w:hAnsiTheme="minorHAnsi" w:cstheme="minorHAnsi"/>
          <w:szCs w:val="21"/>
        </w:rPr>
        <w:t>,</w:t>
      </w:r>
      <w:r>
        <w:rPr>
          <w:rFonts w:asciiTheme="minorHAnsi" w:hAnsiTheme="minorHAnsi" w:cstheme="minorHAnsi"/>
          <w:szCs w:val="21"/>
        </w:rPr>
        <w:t xml:space="preserve"> </w:t>
      </w:r>
      <w:r w:rsidR="005139EA">
        <w:rPr>
          <w:rFonts w:asciiTheme="minorHAnsi" w:hAnsiTheme="minorHAnsi" w:cstheme="minorHAnsi"/>
          <w:szCs w:val="21"/>
        </w:rPr>
        <w:t>g</w:t>
      </w:r>
      <w:r w:rsidR="00180E59" w:rsidRPr="00772A15">
        <w:rPr>
          <w:rFonts w:asciiTheme="minorHAnsi" w:hAnsiTheme="minorHAnsi" w:cstheme="minorHAnsi"/>
          <w:szCs w:val="21"/>
        </w:rPr>
        <w:t xml:space="preserve">overnments may need to change legal conditions to facilitate payment for outcomes, including allowing payment to intermediaries and in years following the fiscal year in which the contracts are executed (Burand 2013: 476-7; Guffaston-Wright and Gardiner 2015: 6; Instiglio 2014: 14).  </w:t>
      </w:r>
    </w:p>
    <w:p w14:paraId="219F6321" w14:textId="77777777" w:rsidR="00180E59" w:rsidRPr="00772A15" w:rsidRDefault="00180E59" w:rsidP="00180E59">
      <w:pPr>
        <w:autoSpaceDE w:val="0"/>
        <w:autoSpaceDN w:val="0"/>
        <w:adjustRightInd w:val="0"/>
        <w:rPr>
          <w:rFonts w:asciiTheme="minorHAnsi" w:hAnsiTheme="minorHAnsi" w:cstheme="minorHAnsi"/>
          <w:szCs w:val="21"/>
        </w:rPr>
      </w:pPr>
      <w:r w:rsidRPr="00772A15">
        <w:rPr>
          <w:rFonts w:asciiTheme="minorHAnsi" w:hAnsiTheme="minorHAnsi" w:cstheme="minorHAnsi"/>
          <w:szCs w:val="21"/>
        </w:rPr>
        <w:t xml:space="preserve">This may require the establishment of sinking funds, trusts or special </w:t>
      </w:r>
      <w:r w:rsidR="006B68AC">
        <w:rPr>
          <w:rFonts w:asciiTheme="minorHAnsi" w:hAnsiTheme="minorHAnsi" w:cstheme="minorHAnsi"/>
          <w:szCs w:val="21"/>
        </w:rPr>
        <w:t xml:space="preserve">purpose </w:t>
      </w:r>
      <w:r w:rsidRPr="00772A15">
        <w:rPr>
          <w:rFonts w:asciiTheme="minorHAnsi" w:hAnsiTheme="minorHAnsi" w:cstheme="minorHAnsi"/>
          <w:szCs w:val="21"/>
        </w:rPr>
        <w:t>vehicles.  Changes may also be required to procurement procedures and to allow the intermediary to make decisions, for example, selecting the service provider. Governments may also need to provide clarity on the tax treatment of SIBs (equity and debt components) and for international investors (Burand 2013: 476-7; Guffaston-Wright and Gardiner 2015: 6; Instiglio 2014).</w:t>
      </w:r>
    </w:p>
    <w:p w14:paraId="7AAAB6C3" w14:textId="77777777" w:rsidR="00F003F0" w:rsidRPr="006B68AC" w:rsidRDefault="00180E59" w:rsidP="00180E59">
      <w:pPr>
        <w:widowControl w:val="0"/>
        <w:autoSpaceDE w:val="0"/>
        <w:autoSpaceDN w:val="0"/>
        <w:adjustRightInd w:val="0"/>
        <w:rPr>
          <w:rFonts w:asciiTheme="minorHAnsi" w:hAnsiTheme="minorHAnsi" w:cstheme="minorHAnsi"/>
          <w:szCs w:val="21"/>
        </w:rPr>
      </w:pPr>
      <w:r w:rsidRPr="00772A15">
        <w:rPr>
          <w:rFonts w:asciiTheme="minorHAnsi" w:hAnsiTheme="minorHAnsi" w:cstheme="minorHAnsi"/>
          <w:szCs w:val="21"/>
        </w:rPr>
        <w:t xml:space="preserve">In </w:t>
      </w:r>
      <w:r w:rsidR="006B68AC">
        <w:rPr>
          <w:rFonts w:asciiTheme="minorHAnsi" w:hAnsiTheme="minorHAnsi" w:cstheme="minorHAnsi"/>
          <w:szCs w:val="21"/>
        </w:rPr>
        <w:t>a</w:t>
      </w:r>
      <w:r w:rsidRPr="00772A15">
        <w:rPr>
          <w:rFonts w:asciiTheme="minorHAnsi" w:hAnsiTheme="minorHAnsi" w:cstheme="minorHAnsi"/>
          <w:szCs w:val="21"/>
        </w:rPr>
        <w:t xml:space="preserve"> review of the early years of SIBs, </w:t>
      </w:r>
      <w:r w:rsidRPr="006B68AC">
        <w:rPr>
          <w:rFonts w:asciiTheme="minorHAnsi" w:hAnsiTheme="minorHAnsi" w:cstheme="minorHAnsi"/>
          <w:szCs w:val="21"/>
        </w:rPr>
        <w:t xml:space="preserve">Dear, Helbitz et al (2016: 48-9) </w:t>
      </w:r>
      <w:r w:rsidR="006B68AC" w:rsidRPr="006B68AC">
        <w:rPr>
          <w:rFonts w:asciiTheme="minorHAnsi" w:hAnsiTheme="minorHAnsi" w:cstheme="minorHAnsi"/>
          <w:szCs w:val="21"/>
        </w:rPr>
        <w:t>found three common factors govern</w:t>
      </w:r>
      <w:r w:rsidR="006B68AC">
        <w:rPr>
          <w:rFonts w:asciiTheme="minorHAnsi" w:hAnsiTheme="minorHAnsi" w:cstheme="minorHAnsi"/>
          <w:szCs w:val="21"/>
        </w:rPr>
        <w:t>ment should consider:</w:t>
      </w:r>
      <w:r w:rsidR="006B68AC">
        <w:rPr>
          <w:rFonts w:asciiTheme="minorHAnsi" w:hAnsiTheme="minorHAnsi" w:cstheme="minorHAnsi"/>
          <w:szCs w:val="21"/>
        </w:rPr>
        <w:br/>
      </w:r>
    </w:p>
    <w:p w14:paraId="02324583" w14:textId="77777777" w:rsidR="00180E59" w:rsidRPr="006B68AC" w:rsidRDefault="006B68AC" w:rsidP="00180E59">
      <w:pPr>
        <w:pStyle w:val="ListParagraph"/>
        <w:widowControl w:val="0"/>
        <w:numPr>
          <w:ilvl w:val="0"/>
          <w:numId w:val="17"/>
        </w:numPr>
        <w:autoSpaceDE w:val="0"/>
        <w:autoSpaceDN w:val="0"/>
        <w:adjustRightInd w:val="0"/>
        <w:spacing w:before="0" w:after="160" w:line="259" w:lineRule="auto"/>
        <w:rPr>
          <w:rFonts w:asciiTheme="minorHAnsi" w:hAnsiTheme="minorHAnsi" w:cstheme="minorHAnsi"/>
          <w:szCs w:val="21"/>
        </w:rPr>
      </w:pPr>
      <w:r w:rsidRPr="006B68AC">
        <w:rPr>
          <w:rFonts w:asciiTheme="minorHAnsi" w:hAnsiTheme="minorHAnsi" w:cstheme="minorHAnsi"/>
          <w:szCs w:val="21"/>
        </w:rPr>
        <w:t xml:space="preserve">Dedicated </w:t>
      </w:r>
      <w:r w:rsidR="00180E59" w:rsidRPr="006B68AC">
        <w:rPr>
          <w:rFonts w:asciiTheme="minorHAnsi" w:hAnsiTheme="minorHAnsi" w:cstheme="minorHAnsi"/>
          <w:szCs w:val="21"/>
        </w:rPr>
        <w:t xml:space="preserve">staffing </w:t>
      </w:r>
      <w:r w:rsidRPr="006B68AC">
        <w:rPr>
          <w:rFonts w:asciiTheme="minorHAnsi" w:hAnsiTheme="minorHAnsi" w:cstheme="minorHAnsi"/>
          <w:szCs w:val="21"/>
        </w:rPr>
        <w:t xml:space="preserve">for SIBs and other </w:t>
      </w:r>
      <w:r w:rsidR="00B21F87">
        <w:rPr>
          <w:rFonts w:asciiTheme="minorHAnsi" w:hAnsiTheme="minorHAnsi" w:cstheme="minorHAnsi"/>
          <w:szCs w:val="21"/>
        </w:rPr>
        <w:t>payments by results</w:t>
      </w:r>
      <w:r w:rsidRPr="006B68AC">
        <w:rPr>
          <w:rFonts w:asciiTheme="minorHAnsi" w:hAnsiTheme="minorHAnsi" w:cstheme="minorHAnsi"/>
          <w:szCs w:val="21"/>
        </w:rPr>
        <w:t xml:space="preserve"> program as well as </w:t>
      </w:r>
      <w:r w:rsidR="00180E59" w:rsidRPr="006B68AC">
        <w:rPr>
          <w:rFonts w:asciiTheme="minorHAnsi" w:hAnsiTheme="minorHAnsi" w:cstheme="minorHAnsi"/>
          <w:szCs w:val="21"/>
        </w:rPr>
        <w:t>champion</w:t>
      </w:r>
      <w:r w:rsidRPr="006B68AC">
        <w:rPr>
          <w:rFonts w:asciiTheme="minorHAnsi" w:hAnsiTheme="minorHAnsi" w:cstheme="minorHAnsi"/>
          <w:szCs w:val="21"/>
        </w:rPr>
        <w:t xml:space="preserve">s for individual </w:t>
      </w:r>
      <w:r w:rsidR="00180E59" w:rsidRPr="006B68AC">
        <w:rPr>
          <w:rFonts w:asciiTheme="minorHAnsi" w:hAnsiTheme="minorHAnsi" w:cstheme="minorHAnsi"/>
          <w:szCs w:val="21"/>
        </w:rPr>
        <w:t>SIB</w:t>
      </w:r>
      <w:r w:rsidRPr="006B68AC">
        <w:rPr>
          <w:rFonts w:asciiTheme="minorHAnsi" w:hAnsiTheme="minorHAnsi" w:cstheme="minorHAnsi"/>
          <w:szCs w:val="21"/>
        </w:rPr>
        <w:t xml:space="preserve">s (including </w:t>
      </w:r>
      <w:r w:rsidR="00180E59" w:rsidRPr="006B68AC">
        <w:rPr>
          <w:rFonts w:asciiTheme="minorHAnsi" w:hAnsiTheme="minorHAnsi" w:cstheme="minorHAnsi"/>
          <w:szCs w:val="21"/>
        </w:rPr>
        <w:t>external intermediaries or advisors</w:t>
      </w:r>
      <w:r w:rsidRPr="006B68AC">
        <w:rPr>
          <w:rFonts w:asciiTheme="minorHAnsi" w:hAnsiTheme="minorHAnsi" w:cstheme="minorHAnsi"/>
          <w:szCs w:val="21"/>
        </w:rPr>
        <w:t>)</w:t>
      </w:r>
    </w:p>
    <w:p w14:paraId="5DA17101" w14:textId="77777777" w:rsidR="00180E59" w:rsidRPr="006B68AC" w:rsidRDefault="006B68AC" w:rsidP="00180E59">
      <w:pPr>
        <w:pStyle w:val="ListParagraph"/>
        <w:widowControl w:val="0"/>
        <w:numPr>
          <w:ilvl w:val="0"/>
          <w:numId w:val="17"/>
        </w:numPr>
        <w:autoSpaceDE w:val="0"/>
        <w:autoSpaceDN w:val="0"/>
        <w:adjustRightInd w:val="0"/>
        <w:spacing w:before="0" w:after="160" w:line="259" w:lineRule="auto"/>
        <w:rPr>
          <w:rFonts w:asciiTheme="minorHAnsi" w:hAnsiTheme="minorHAnsi" w:cstheme="minorHAnsi"/>
          <w:szCs w:val="21"/>
        </w:rPr>
      </w:pPr>
      <w:r w:rsidRPr="006B68AC">
        <w:rPr>
          <w:rFonts w:asciiTheme="minorHAnsi" w:hAnsiTheme="minorHAnsi" w:cstheme="minorHAnsi"/>
          <w:szCs w:val="21"/>
        </w:rPr>
        <w:t>S</w:t>
      </w:r>
      <w:r>
        <w:rPr>
          <w:rFonts w:asciiTheme="minorHAnsi" w:hAnsiTheme="minorHAnsi" w:cstheme="minorHAnsi"/>
          <w:szCs w:val="21"/>
        </w:rPr>
        <w:t>tructures that</w:t>
      </w:r>
      <w:r w:rsidR="00180E59" w:rsidRPr="006B68AC">
        <w:rPr>
          <w:rFonts w:asciiTheme="minorHAnsi" w:hAnsiTheme="minorHAnsi" w:cstheme="minorHAnsi"/>
          <w:szCs w:val="21"/>
        </w:rPr>
        <w:t xml:space="preserve"> </w:t>
      </w:r>
      <w:r w:rsidRPr="006B68AC">
        <w:rPr>
          <w:rFonts w:asciiTheme="minorHAnsi" w:hAnsiTheme="minorHAnsi" w:cstheme="minorHAnsi"/>
          <w:szCs w:val="21"/>
        </w:rPr>
        <w:t xml:space="preserve">transition </w:t>
      </w:r>
      <w:r w:rsidR="00180E59" w:rsidRPr="006B68AC">
        <w:rPr>
          <w:rFonts w:asciiTheme="minorHAnsi" w:hAnsiTheme="minorHAnsi" w:cstheme="minorHAnsi"/>
          <w:szCs w:val="21"/>
        </w:rPr>
        <w:t xml:space="preserve">changes in </w:t>
      </w:r>
      <w:r w:rsidRPr="006B68AC">
        <w:rPr>
          <w:rFonts w:asciiTheme="minorHAnsi" w:hAnsiTheme="minorHAnsi" w:cstheme="minorHAnsi"/>
          <w:szCs w:val="21"/>
        </w:rPr>
        <w:t xml:space="preserve">government and </w:t>
      </w:r>
      <w:r w:rsidR="00180E59" w:rsidRPr="006B68AC">
        <w:rPr>
          <w:rFonts w:asciiTheme="minorHAnsi" w:hAnsiTheme="minorHAnsi" w:cstheme="minorHAnsi"/>
          <w:szCs w:val="21"/>
        </w:rPr>
        <w:t>priorities and staff</w:t>
      </w:r>
    </w:p>
    <w:p w14:paraId="157918F9" w14:textId="77777777" w:rsidR="009A0712" w:rsidRDefault="006B68AC" w:rsidP="00180E59">
      <w:pPr>
        <w:pStyle w:val="ListParagraph"/>
        <w:widowControl w:val="0"/>
        <w:numPr>
          <w:ilvl w:val="0"/>
          <w:numId w:val="17"/>
        </w:numPr>
        <w:autoSpaceDE w:val="0"/>
        <w:autoSpaceDN w:val="0"/>
        <w:adjustRightInd w:val="0"/>
        <w:spacing w:before="0" w:after="160" w:line="259" w:lineRule="auto"/>
        <w:rPr>
          <w:rFonts w:asciiTheme="minorHAnsi" w:hAnsiTheme="minorHAnsi" w:cstheme="minorHAnsi"/>
          <w:szCs w:val="21"/>
        </w:rPr>
      </w:pPr>
      <w:r>
        <w:rPr>
          <w:rFonts w:asciiTheme="minorHAnsi" w:hAnsiTheme="minorHAnsi" w:cstheme="minorHAnsi"/>
          <w:szCs w:val="21"/>
        </w:rPr>
        <w:t>Combining</w:t>
      </w:r>
      <w:r w:rsidR="00180E59" w:rsidRPr="006B68AC">
        <w:rPr>
          <w:rFonts w:asciiTheme="minorHAnsi" w:hAnsiTheme="minorHAnsi" w:cstheme="minorHAnsi"/>
          <w:szCs w:val="21"/>
        </w:rPr>
        <w:t xml:space="preserve"> funding sources, particularly where outcomes are spread across multiple departments, for example the UK Outcomes Fund.</w:t>
      </w:r>
    </w:p>
    <w:p w14:paraId="61BFB842" w14:textId="77777777" w:rsidR="008344AF" w:rsidRDefault="00A52616" w:rsidP="00180E59">
      <w:r>
        <w:t xml:space="preserve">The impact of SIBs has been seen as relatively small given the amount of structuring that is required.  </w:t>
      </w:r>
      <w:r w:rsidR="00F73802">
        <w:t xml:space="preserve">SIBs are complex and exhibit bespoke features.  They require significant intermediation due their complex structure, substantial resources in development, and extensive due diligence for investors, which lack familiarity with the model. </w:t>
      </w:r>
      <w:r>
        <w:t>The lack of a</w:t>
      </w:r>
      <w:r w:rsidR="00CB1C56">
        <w:t>n</w:t>
      </w:r>
      <w:r>
        <w:t xml:space="preserve"> </w:t>
      </w:r>
      <w:r w:rsidR="00CB1C56">
        <w:t xml:space="preserve">easily </w:t>
      </w:r>
      <w:r>
        <w:t xml:space="preserve">replicable model </w:t>
      </w:r>
      <w:r w:rsidR="00CB1C56">
        <w:t>also</w:t>
      </w:r>
      <w:r>
        <w:t xml:space="preserve"> </w:t>
      </w:r>
      <w:r w:rsidR="00CB1C56">
        <w:t xml:space="preserve">can </w:t>
      </w:r>
      <w:r>
        <w:t xml:space="preserve">present prohibitively high transactions costs.  </w:t>
      </w:r>
      <w:r w:rsidR="00CB1C56">
        <w:t xml:space="preserve">These </w:t>
      </w:r>
      <w:r>
        <w:t xml:space="preserve">challenges have </w:t>
      </w:r>
      <w:r w:rsidR="00727216">
        <w:t xml:space="preserve">resulted in </w:t>
      </w:r>
      <w:r>
        <w:t xml:space="preserve">a perception that the complexity of the development process limits their utility to social policy challenges.  </w:t>
      </w:r>
      <w:r w:rsidR="00727216">
        <w:t xml:space="preserve">There is also, as yet, limited evidence about their effectiveness and efficiency in delivering social outcomes. </w:t>
      </w:r>
      <w:r>
        <w:t xml:space="preserve"> </w:t>
      </w:r>
      <w:r w:rsidR="00CB1C56">
        <w:br/>
      </w:r>
    </w:p>
    <w:p w14:paraId="130CB7D6" w14:textId="77777777" w:rsidR="00180E59" w:rsidRPr="008344AF" w:rsidRDefault="006B68AC" w:rsidP="00180E59">
      <w:pPr>
        <w:rPr>
          <w:rStyle w:val="s1"/>
        </w:rPr>
      </w:pPr>
      <w:r>
        <w:rPr>
          <w:rStyle w:val="s1"/>
          <w:rFonts w:asciiTheme="minorHAnsi" w:hAnsiTheme="minorHAnsi" w:cs="Arial"/>
          <w:i/>
          <w:szCs w:val="21"/>
        </w:rPr>
        <w:t xml:space="preserve">Public policy for enabling </w:t>
      </w:r>
      <w:r w:rsidR="0085304A">
        <w:rPr>
          <w:rStyle w:val="s1"/>
          <w:rFonts w:asciiTheme="minorHAnsi" w:hAnsiTheme="minorHAnsi" w:cs="Arial"/>
          <w:i/>
          <w:szCs w:val="21"/>
        </w:rPr>
        <w:t>s</w:t>
      </w:r>
      <w:r>
        <w:rPr>
          <w:rStyle w:val="s1"/>
          <w:rFonts w:asciiTheme="minorHAnsi" w:hAnsiTheme="minorHAnsi" w:cs="Arial"/>
          <w:i/>
          <w:szCs w:val="21"/>
        </w:rPr>
        <w:t xml:space="preserve">ocial </w:t>
      </w:r>
      <w:r w:rsidR="0085304A">
        <w:rPr>
          <w:rStyle w:val="s1"/>
          <w:rFonts w:asciiTheme="minorHAnsi" w:hAnsiTheme="minorHAnsi" w:cs="Arial"/>
          <w:i/>
          <w:szCs w:val="21"/>
        </w:rPr>
        <w:t>i</w:t>
      </w:r>
      <w:r>
        <w:rPr>
          <w:rStyle w:val="s1"/>
          <w:rFonts w:asciiTheme="minorHAnsi" w:hAnsiTheme="minorHAnsi" w:cs="Arial"/>
          <w:i/>
          <w:szCs w:val="21"/>
        </w:rPr>
        <w:t xml:space="preserve">mpact </w:t>
      </w:r>
      <w:r w:rsidR="0085304A">
        <w:rPr>
          <w:rStyle w:val="s1"/>
          <w:rFonts w:asciiTheme="minorHAnsi" w:hAnsiTheme="minorHAnsi" w:cs="Arial"/>
          <w:i/>
          <w:szCs w:val="21"/>
        </w:rPr>
        <w:t>i</w:t>
      </w:r>
      <w:r>
        <w:rPr>
          <w:rStyle w:val="s1"/>
          <w:rFonts w:asciiTheme="minorHAnsi" w:hAnsiTheme="minorHAnsi" w:cs="Arial"/>
          <w:i/>
          <w:szCs w:val="21"/>
        </w:rPr>
        <w:t>nvest</w:t>
      </w:r>
      <w:r w:rsidR="000F5EBE">
        <w:rPr>
          <w:rStyle w:val="s1"/>
          <w:rFonts w:asciiTheme="minorHAnsi" w:hAnsiTheme="minorHAnsi" w:cs="Arial"/>
          <w:i/>
          <w:szCs w:val="21"/>
        </w:rPr>
        <w:t>ing</w:t>
      </w:r>
      <w:r>
        <w:rPr>
          <w:rStyle w:val="s1"/>
          <w:rFonts w:asciiTheme="minorHAnsi" w:hAnsiTheme="minorHAnsi" w:cs="Arial"/>
          <w:i/>
          <w:szCs w:val="21"/>
        </w:rPr>
        <w:t xml:space="preserve"> </w:t>
      </w:r>
      <w:r w:rsidR="0085304A">
        <w:rPr>
          <w:rStyle w:val="s1"/>
          <w:rFonts w:asciiTheme="minorHAnsi" w:hAnsiTheme="minorHAnsi" w:cs="Arial"/>
          <w:i/>
          <w:szCs w:val="21"/>
        </w:rPr>
        <w:t>f</w:t>
      </w:r>
      <w:r>
        <w:rPr>
          <w:rStyle w:val="s1"/>
          <w:rFonts w:asciiTheme="minorHAnsi" w:hAnsiTheme="minorHAnsi" w:cs="Arial"/>
          <w:i/>
          <w:szCs w:val="21"/>
        </w:rPr>
        <w:t xml:space="preserve">unds </w:t>
      </w:r>
    </w:p>
    <w:p w14:paraId="69F549E2" w14:textId="77777777" w:rsidR="00CB1C56" w:rsidRPr="00CB1C56" w:rsidRDefault="00CB1C56" w:rsidP="00CB1C56">
      <w:pPr>
        <w:rPr>
          <w:rFonts w:asciiTheme="minorHAnsi" w:hAnsiTheme="minorHAnsi" w:cstheme="minorHAnsi"/>
          <w:szCs w:val="21"/>
        </w:rPr>
      </w:pPr>
      <w:r w:rsidRPr="00CB1C56">
        <w:rPr>
          <w:rFonts w:asciiTheme="minorHAnsi" w:hAnsiTheme="minorHAnsi" w:cstheme="minorHAnsi"/>
          <w:szCs w:val="21"/>
        </w:rPr>
        <w:t xml:space="preserve">Access to capital (grants and loans) for social enterprises is a challenge particularly from traditional sources (Brackertz and Moran 2010; Social Investment Taskforce 2000).  This has resulted in multiple policy interventions </w:t>
      </w:r>
      <w:r w:rsidR="00727216">
        <w:rPr>
          <w:rFonts w:asciiTheme="minorHAnsi" w:hAnsiTheme="minorHAnsi" w:cstheme="minorHAnsi"/>
          <w:szCs w:val="21"/>
        </w:rPr>
        <w:t>aiming to</w:t>
      </w:r>
      <w:r w:rsidRPr="00CB1C56">
        <w:rPr>
          <w:rFonts w:asciiTheme="minorHAnsi" w:hAnsiTheme="minorHAnsi" w:cstheme="minorHAnsi"/>
          <w:szCs w:val="21"/>
        </w:rPr>
        <w:t xml:space="preserve"> grow social finance.</w:t>
      </w:r>
    </w:p>
    <w:p w14:paraId="02204556" w14:textId="77777777" w:rsidR="00CB1C56" w:rsidRPr="00CB1C56" w:rsidRDefault="00CB1C56" w:rsidP="00CB1C56">
      <w:pPr>
        <w:rPr>
          <w:rFonts w:asciiTheme="minorHAnsi" w:hAnsiTheme="minorHAnsi" w:cstheme="minorHAnsi"/>
          <w:szCs w:val="21"/>
        </w:rPr>
      </w:pPr>
      <w:r w:rsidRPr="00CB1C56">
        <w:rPr>
          <w:rFonts w:asciiTheme="minorHAnsi" w:hAnsiTheme="minorHAnsi" w:cstheme="minorHAnsi"/>
          <w:szCs w:val="21"/>
        </w:rPr>
        <w:t xml:space="preserve">This development commonly takes market infrastructure forms such as specialist funds targeted at intermediaries (Wilkinson, Medhurst et al. 2014). Intermediaries provide repayable loans and other forms of finance including equity (where legal form permits) and quasi-equity (feasible). </w:t>
      </w:r>
      <w:r w:rsidR="00EE4B8E">
        <w:rPr>
          <w:rFonts w:asciiTheme="minorHAnsi" w:hAnsiTheme="minorHAnsi" w:cstheme="minorHAnsi"/>
          <w:szCs w:val="21"/>
        </w:rPr>
        <w:t>However, f</w:t>
      </w:r>
      <w:r w:rsidRPr="00CB1C56">
        <w:rPr>
          <w:rFonts w:asciiTheme="minorHAnsi" w:hAnsiTheme="minorHAnsi" w:cstheme="minorHAnsi"/>
          <w:szCs w:val="21"/>
        </w:rPr>
        <w:t xml:space="preserve">orms of equity are rare in Australia as most social enterprises are structurally precluded from distributing profits (Addis, McLeod et al. 2013). </w:t>
      </w:r>
    </w:p>
    <w:p w14:paraId="2B10ACBD" w14:textId="77777777" w:rsidR="00CB1C56" w:rsidRPr="00CB1C56" w:rsidRDefault="00CB1C56" w:rsidP="00CB1C56">
      <w:pPr>
        <w:rPr>
          <w:sz w:val="22"/>
        </w:rPr>
      </w:pPr>
      <w:r w:rsidRPr="00CB1C56">
        <w:rPr>
          <w:rFonts w:asciiTheme="minorHAnsi" w:hAnsiTheme="minorHAnsi" w:cstheme="minorHAnsi"/>
          <w:szCs w:val="21"/>
        </w:rPr>
        <w:t xml:space="preserve">Improving investment readiness has been a less common focus but </w:t>
      </w:r>
      <w:r w:rsidR="00EE4B8E">
        <w:rPr>
          <w:rFonts w:asciiTheme="minorHAnsi" w:hAnsiTheme="minorHAnsi" w:cstheme="minorHAnsi"/>
          <w:szCs w:val="21"/>
        </w:rPr>
        <w:t xml:space="preserve">one </w:t>
      </w:r>
      <w:r w:rsidRPr="00CB1C56">
        <w:rPr>
          <w:rFonts w:asciiTheme="minorHAnsi" w:hAnsiTheme="minorHAnsi" w:cstheme="minorHAnsi"/>
          <w:szCs w:val="21"/>
        </w:rPr>
        <w:t>example</w:t>
      </w:r>
      <w:r w:rsidR="00EE4B8E">
        <w:rPr>
          <w:rFonts w:asciiTheme="minorHAnsi" w:hAnsiTheme="minorHAnsi" w:cstheme="minorHAnsi"/>
          <w:szCs w:val="21"/>
        </w:rPr>
        <w:t xml:space="preserve"> is the </w:t>
      </w:r>
      <w:r w:rsidRPr="00CB1C56">
        <w:rPr>
          <w:rFonts w:asciiTheme="minorHAnsi" w:hAnsiTheme="minorHAnsi" w:cstheme="minorHAnsi"/>
          <w:szCs w:val="21"/>
        </w:rPr>
        <w:t xml:space="preserve">now closed Investment and Contract Readiness Fund </w:t>
      </w:r>
      <w:r>
        <w:rPr>
          <w:rFonts w:asciiTheme="minorHAnsi" w:hAnsiTheme="minorHAnsi" w:cstheme="minorHAnsi"/>
          <w:szCs w:val="21"/>
        </w:rPr>
        <w:t>established by the UK Government</w:t>
      </w:r>
      <w:r w:rsidRPr="00CB1C56">
        <w:rPr>
          <w:rFonts w:asciiTheme="minorHAnsi" w:hAnsiTheme="minorHAnsi" w:cstheme="minorHAnsi"/>
          <w:szCs w:val="21"/>
        </w:rPr>
        <w:t xml:space="preserve">. </w:t>
      </w:r>
      <w:r w:rsidR="00EE4B8E">
        <w:rPr>
          <w:rFonts w:asciiTheme="minorHAnsi" w:hAnsiTheme="minorHAnsi" w:cstheme="minorHAnsi"/>
          <w:szCs w:val="21"/>
        </w:rPr>
        <w:t>In Australia, t</w:t>
      </w:r>
      <w:r w:rsidRPr="00CB1C56">
        <w:rPr>
          <w:rStyle w:val="s1"/>
        </w:rPr>
        <w:t>he SEDIF is a clear example where government has established an investment fund and mobilised over 124 per cent of the public funding in private finance. It financed 64 social enterprises with strong direct effects in scaling social impacts and capacity building, and had modest indirect capacity building effects for 424 social enterprises which were financed or had financing declined (Barraket, Muir et al. 2016).</w:t>
      </w:r>
    </w:p>
    <w:p w14:paraId="39BFA6DB" w14:textId="77777777" w:rsidR="00CB1C56" w:rsidRPr="00CB1C56" w:rsidRDefault="00CB1C56" w:rsidP="00CB1C56">
      <w:pPr>
        <w:rPr>
          <w:rFonts w:asciiTheme="minorHAnsi" w:hAnsiTheme="minorHAnsi" w:cstheme="minorHAnsi"/>
          <w:i/>
          <w:szCs w:val="21"/>
        </w:rPr>
      </w:pPr>
      <w:r w:rsidRPr="00CB1C56">
        <w:rPr>
          <w:rFonts w:asciiTheme="minorHAnsi" w:hAnsiTheme="minorHAnsi" w:cstheme="minorHAnsi"/>
          <w:i/>
          <w:szCs w:val="21"/>
        </w:rPr>
        <w:t xml:space="preserve">Big Society Capital and Access - The Foundation for Social Investment </w:t>
      </w:r>
    </w:p>
    <w:p w14:paraId="0870E206" w14:textId="77777777" w:rsidR="00CB1C56" w:rsidRPr="00CB1C56" w:rsidRDefault="00CB1C56" w:rsidP="00CB1C56">
      <w:pPr>
        <w:rPr>
          <w:rFonts w:asciiTheme="minorHAnsi" w:hAnsiTheme="minorHAnsi" w:cstheme="minorHAnsi"/>
          <w:szCs w:val="21"/>
        </w:rPr>
      </w:pPr>
      <w:r w:rsidRPr="00CB1C56">
        <w:rPr>
          <w:rFonts w:asciiTheme="minorHAnsi" w:hAnsiTheme="minorHAnsi" w:cstheme="minorHAnsi"/>
          <w:szCs w:val="21"/>
        </w:rPr>
        <w:t xml:space="preserve">The UK Government </w:t>
      </w:r>
      <w:r w:rsidR="00F73802">
        <w:rPr>
          <w:rFonts w:asciiTheme="minorHAnsi" w:hAnsiTheme="minorHAnsi" w:cstheme="minorHAnsi"/>
          <w:szCs w:val="21"/>
        </w:rPr>
        <w:t xml:space="preserve">also </w:t>
      </w:r>
      <w:r w:rsidRPr="00CB1C56">
        <w:rPr>
          <w:rFonts w:asciiTheme="minorHAnsi" w:hAnsiTheme="minorHAnsi" w:cstheme="minorHAnsi"/>
          <w:szCs w:val="21"/>
        </w:rPr>
        <w:t>established Big Society Capital (BSC) in 2012 with £400m of unclaimed assets in dormant bank accounts and £200m from the largest four retail banks. It has invested in 14 intermediaries, many focussing exclusively or partly on social enterprise (BSC</w:t>
      </w:r>
      <w:r w:rsidR="008344AF">
        <w:rPr>
          <w:rFonts w:asciiTheme="minorHAnsi" w:hAnsiTheme="minorHAnsi" w:cstheme="minorHAnsi"/>
          <w:szCs w:val="21"/>
        </w:rPr>
        <w:t xml:space="preserve"> 2017</w:t>
      </w:r>
      <w:r w:rsidRPr="00CB1C56">
        <w:rPr>
          <w:rFonts w:asciiTheme="minorHAnsi" w:hAnsiTheme="minorHAnsi" w:cstheme="minorHAnsi"/>
          <w:szCs w:val="21"/>
        </w:rPr>
        <w:t xml:space="preserve">). </w:t>
      </w:r>
    </w:p>
    <w:p w14:paraId="6D9BB813" w14:textId="77777777" w:rsidR="00CB1C56" w:rsidRPr="00CB1C56" w:rsidRDefault="00CB1C56" w:rsidP="00CB1C56">
      <w:pPr>
        <w:rPr>
          <w:rStyle w:val="s1"/>
        </w:rPr>
      </w:pPr>
      <w:r w:rsidRPr="00CB1C56">
        <w:rPr>
          <w:rFonts w:asciiTheme="minorHAnsi" w:hAnsiTheme="minorHAnsi" w:cstheme="minorHAnsi"/>
          <w:szCs w:val="21"/>
        </w:rPr>
        <w:t>In 2015 the UK government established, Access - The Foundation for Social Investment in partnership with The Big Lottery Fund (Access 2015).  Through a £45m Growth Fund (£22.5m grant from The Big Lottery Fund, £22.5m loan from BSC) its objective is to assist early stage social enterprises access social investment to move beyond pilot to scale, by providing</w:t>
      </w:r>
      <w:r w:rsidR="00F73802">
        <w:rPr>
          <w:rFonts w:asciiTheme="minorHAnsi" w:hAnsiTheme="minorHAnsi" w:cstheme="minorHAnsi"/>
          <w:szCs w:val="21"/>
        </w:rPr>
        <w:t xml:space="preserve"> ‘</w:t>
      </w:r>
      <w:r w:rsidRPr="00CB1C56">
        <w:rPr>
          <w:rFonts w:asciiTheme="minorHAnsi" w:hAnsiTheme="minorHAnsi" w:cstheme="minorHAnsi"/>
          <w:szCs w:val="21"/>
        </w:rPr>
        <w:t xml:space="preserve">small, </w:t>
      </w:r>
      <w:r w:rsidR="00F73802">
        <w:rPr>
          <w:rFonts w:asciiTheme="minorHAnsi" w:hAnsiTheme="minorHAnsi" w:cstheme="minorHAnsi"/>
          <w:szCs w:val="21"/>
        </w:rPr>
        <w:t>affordable and flexible finance’</w:t>
      </w:r>
      <w:r w:rsidRPr="00CB1C56">
        <w:rPr>
          <w:rFonts w:asciiTheme="minorHAnsi" w:hAnsiTheme="minorHAnsi" w:cstheme="minorHAnsi"/>
          <w:szCs w:val="21"/>
        </w:rPr>
        <w:t xml:space="preserve">. The Cabinet Office also </w:t>
      </w:r>
      <w:r w:rsidR="00F73802">
        <w:rPr>
          <w:rFonts w:asciiTheme="minorHAnsi" w:hAnsiTheme="minorHAnsi" w:cstheme="minorHAnsi"/>
          <w:szCs w:val="21"/>
        </w:rPr>
        <w:t>provided</w:t>
      </w:r>
      <w:r w:rsidRPr="00CB1C56">
        <w:rPr>
          <w:rFonts w:asciiTheme="minorHAnsi" w:hAnsiTheme="minorHAnsi" w:cstheme="minorHAnsi"/>
          <w:szCs w:val="21"/>
        </w:rPr>
        <w:t xml:space="preserve"> £60m to Access as an endowment to support capacity building. </w:t>
      </w:r>
      <w:r w:rsidRPr="00CB1C56">
        <w:rPr>
          <w:rStyle w:val="s1"/>
        </w:rPr>
        <w:t xml:space="preserve">Other forms of government support can include tax credits </w:t>
      </w:r>
      <w:r w:rsidR="00EE4B8E">
        <w:rPr>
          <w:rStyle w:val="s1"/>
        </w:rPr>
        <w:t xml:space="preserve">(e.g. </w:t>
      </w:r>
      <w:r w:rsidRPr="00CB1C56">
        <w:rPr>
          <w:rStyle w:val="s1"/>
        </w:rPr>
        <w:t>LIHTC in the US or guarantees such as Affordable Housing Finance in the UK</w:t>
      </w:r>
      <w:r w:rsidR="00EE4B8E">
        <w:rPr>
          <w:rStyle w:val="s1"/>
        </w:rPr>
        <w:t>)</w:t>
      </w:r>
      <w:r w:rsidRPr="00CB1C56">
        <w:rPr>
          <w:rStyle w:val="s1"/>
        </w:rPr>
        <w:t xml:space="preserve"> which </w:t>
      </w:r>
      <w:r w:rsidR="00EE4B8E">
        <w:rPr>
          <w:rStyle w:val="s1"/>
        </w:rPr>
        <w:t>offer</w:t>
      </w:r>
      <w:r w:rsidRPr="00CB1C56">
        <w:rPr>
          <w:rStyle w:val="s1"/>
        </w:rPr>
        <w:t xml:space="preserve"> investment at scale </w:t>
      </w:r>
      <w:r w:rsidR="00EE4B8E">
        <w:rPr>
          <w:rStyle w:val="s1"/>
        </w:rPr>
        <w:t xml:space="preserve">and are facilitated through </w:t>
      </w:r>
      <w:r w:rsidRPr="00CB1C56">
        <w:rPr>
          <w:rStyle w:val="s1"/>
        </w:rPr>
        <w:t>intermediary investment managers.</w:t>
      </w:r>
    </w:p>
    <w:p w14:paraId="09F19E14" w14:textId="77777777" w:rsidR="00CB1C56" w:rsidRPr="006B68AC" w:rsidRDefault="00CB1C56" w:rsidP="00CB1C56">
      <w:pPr>
        <w:rPr>
          <w:rStyle w:val="s1"/>
          <w:rFonts w:asciiTheme="minorHAnsi" w:hAnsiTheme="minorHAnsi" w:cs="Arial"/>
          <w:szCs w:val="21"/>
        </w:rPr>
      </w:pPr>
      <w:r w:rsidRPr="00CB1C56">
        <w:rPr>
          <w:rStyle w:val="s1"/>
          <w:rFonts w:asciiTheme="minorHAnsi" w:hAnsiTheme="minorHAnsi" w:cs="Arial"/>
          <w:szCs w:val="21"/>
        </w:rPr>
        <w:t xml:space="preserve">As noted in the Discussion Paper (p. 8) and by the Affordable Housing Working Group of the Council on Federal Financial Relations (2016b), social impact investment is complementary to and not a replacement for government funding.  </w:t>
      </w:r>
    </w:p>
    <w:p w14:paraId="154A0B68" w14:textId="77777777" w:rsidR="00674913" w:rsidRPr="00A80092" w:rsidRDefault="00AD4BE6" w:rsidP="00674913">
      <w:pPr>
        <w:pStyle w:val="Heading3"/>
        <w:rPr>
          <w:rStyle w:val="s1"/>
        </w:rPr>
      </w:pPr>
      <w:r w:rsidRPr="00674913">
        <w:rPr>
          <w:rStyle w:val="s1"/>
        </w:rPr>
        <w:t>Question 5</w:t>
      </w:r>
      <w:r w:rsidR="00EE4B8E">
        <w:rPr>
          <w:rStyle w:val="s1"/>
        </w:rPr>
        <w:t xml:space="preserve"> &amp; 8</w:t>
      </w:r>
      <w:r w:rsidRPr="00674913">
        <w:rPr>
          <w:rStyle w:val="s1"/>
        </w:rPr>
        <w:t xml:space="preserve">: Do you see different roles for different levels of government in the Australian social impact investing market </w:t>
      </w:r>
      <w:r w:rsidR="00EE4B8E">
        <w:rPr>
          <w:rStyle w:val="s1"/>
        </w:rPr>
        <w:t>(f</w:t>
      </w:r>
      <w:r w:rsidRPr="00674913">
        <w:rPr>
          <w:rStyle w:val="s1"/>
        </w:rPr>
        <w:t>or example, the Australian Government as co-funder with State and Territory Governments</w:t>
      </w:r>
      <w:r w:rsidR="00EE4B8E">
        <w:rPr>
          <w:rStyle w:val="s1"/>
        </w:rPr>
        <w:t>)</w:t>
      </w:r>
      <w:r w:rsidRPr="00674913">
        <w:rPr>
          <w:rStyle w:val="s1"/>
        </w:rPr>
        <w:t xml:space="preserve"> continuing to take the lead in developing social impact investments?</w:t>
      </w:r>
      <w:r w:rsidR="00EE4B8E">
        <w:rPr>
          <w:rStyle w:val="s1"/>
        </w:rPr>
        <w:t xml:space="preserve"> </w:t>
      </w:r>
      <w:r w:rsidR="00674913" w:rsidRPr="00A80092">
        <w:rPr>
          <w:rStyle w:val="s1"/>
        </w:rPr>
        <w:t xml:space="preserve">Are there opportunities for the Australian Government to collaborate with State and Territory Governments to develop or support joint social impact investments?  </w:t>
      </w:r>
    </w:p>
    <w:p w14:paraId="54A459B7" w14:textId="77777777" w:rsidR="005648A0" w:rsidRPr="007734E5" w:rsidRDefault="005648A0" w:rsidP="007734E5">
      <w:pPr>
        <w:rPr>
          <w:szCs w:val="21"/>
        </w:rPr>
      </w:pPr>
      <w:r w:rsidRPr="007734E5">
        <w:rPr>
          <w:szCs w:val="21"/>
        </w:rPr>
        <w:t xml:space="preserve">The roles for different levels of government in the social impact investing market relate to their different roles as regulators and/or funders which vary for different areas of service delivery.  </w:t>
      </w:r>
    </w:p>
    <w:p w14:paraId="40129F84" w14:textId="77777777" w:rsidR="005648A0" w:rsidRPr="007734E5" w:rsidRDefault="005648A0" w:rsidP="007734E5">
      <w:pPr>
        <w:rPr>
          <w:szCs w:val="21"/>
        </w:rPr>
      </w:pPr>
      <w:r w:rsidRPr="007734E5">
        <w:rPr>
          <w:szCs w:val="21"/>
        </w:rPr>
        <w:t>As the primary providers of services, S</w:t>
      </w:r>
      <w:r w:rsidR="007734E5">
        <w:rPr>
          <w:szCs w:val="21"/>
        </w:rPr>
        <w:t>tate</w:t>
      </w:r>
      <w:r w:rsidRPr="007734E5">
        <w:rPr>
          <w:szCs w:val="21"/>
        </w:rPr>
        <w:t xml:space="preserve"> and T</w:t>
      </w:r>
      <w:r w:rsidR="007734E5">
        <w:rPr>
          <w:szCs w:val="21"/>
        </w:rPr>
        <w:t xml:space="preserve">erritory governments </w:t>
      </w:r>
      <w:r w:rsidRPr="007734E5">
        <w:rPr>
          <w:szCs w:val="21"/>
        </w:rPr>
        <w:t>are taking the lead in payment-by-results contracts</w:t>
      </w:r>
      <w:r w:rsidR="007734E5">
        <w:rPr>
          <w:szCs w:val="21"/>
        </w:rPr>
        <w:t>,</w:t>
      </w:r>
      <w:r w:rsidRPr="007734E5">
        <w:rPr>
          <w:szCs w:val="21"/>
        </w:rPr>
        <w:t xml:space="preserve"> including SIBs.  However there is scope for Commonwealth involvement in the development of best practice documentation and measurement across the States and Territories. Consistent documentation would result in lower costs</w:t>
      </w:r>
      <w:r w:rsidR="00EE4B8E">
        <w:rPr>
          <w:szCs w:val="21"/>
        </w:rPr>
        <w:t xml:space="preserve"> (including legal)</w:t>
      </w:r>
      <w:r w:rsidRPr="007734E5">
        <w:rPr>
          <w:szCs w:val="21"/>
        </w:rPr>
        <w:t xml:space="preserve"> over time. Convergence of outcomes measurement across the States and Territories would lower transaction costs over time and provide investors with the opportunity to compare </w:t>
      </w:r>
      <w:r w:rsidR="0068056E">
        <w:rPr>
          <w:szCs w:val="21"/>
        </w:rPr>
        <w:t>different social impact investments</w:t>
      </w:r>
      <w:r w:rsidR="0068056E" w:rsidRPr="007734E5">
        <w:rPr>
          <w:szCs w:val="21"/>
        </w:rPr>
        <w:t xml:space="preserve"> </w:t>
      </w:r>
      <w:r w:rsidRPr="007734E5">
        <w:rPr>
          <w:szCs w:val="21"/>
        </w:rPr>
        <w:t xml:space="preserve">for risk, return and impact. By agreeing standard timeframes for savings and considering different departments for areas of saving, the effectiveness of the interventions could be compared. </w:t>
      </w:r>
    </w:p>
    <w:p w14:paraId="257E6338" w14:textId="77777777" w:rsidR="005648A0" w:rsidRPr="007734E5" w:rsidRDefault="005648A0" w:rsidP="005648A0">
      <w:r w:rsidRPr="007734E5">
        <w:t>More generally, and as discussed in Q</w:t>
      </w:r>
      <w:r w:rsidR="00F02D6B">
        <w:t>.</w:t>
      </w:r>
      <w:r w:rsidRPr="007734E5">
        <w:t xml:space="preserve">1 and </w:t>
      </w:r>
      <w:r w:rsidR="00F02D6B">
        <w:t>Q.</w:t>
      </w:r>
      <w:r w:rsidRPr="007734E5">
        <w:t xml:space="preserve">3 above, the establishment and measurement costs of some social impact investments mean it is difficult to deliver a market return. Federal, State and Territory Governments can provide grant funding for establishment, due diligence and measurement costs. </w:t>
      </w:r>
      <w:r w:rsidR="0068056E">
        <w:t>However, t</w:t>
      </w:r>
      <w:r w:rsidR="0068056E" w:rsidRPr="007734E5">
        <w:t xml:space="preserve">here </w:t>
      </w:r>
      <w:r w:rsidRPr="007734E5">
        <w:t xml:space="preserve">is potential for the Commonwealth to provide this funding for social impact investments being developed </w:t>
      </w:r>
      <w:r w:rsidR="0068056E">
        <w:t>at</w:t>
      </w:r>
      <w:r w:rsidRPr="007734E5">
        <w:t xml:space="preserve"> </w:t>
      </w:r>
      <w:r w:rsidR="0068056E">
        <w:t xml:space="preserve">the </w:t>
      </w:r>
      <w:r w:rsidRPr="007734E5">
        <w:t>State</w:t>
      </w:r>
      <w:r w:rsidR="0068056E">
        <w:t>/</w:t>
      </w:r>
      <w:r w:rsidRPr="007734E5">
        <w:t>Territory Government</w:t>
      </w:r>
      <w:r w:rsidR="0068056E">
        <w:t xml:space="preserve"> level</w:t>
      </w:r>
      <w:r w:rsidRPr="007734E5">
        <w:t xml:space="preserve">.  </w:t>
      </w:r>
    </w:p>
    <w:p w14:paraId="7CB13421" w14:textId="77777777" w:rsidR="005648A0" w:rsidRPr="007734E5" w:rsidRDefault="005648A0" w:rsidP="005648A0">
      <w:r w:rsidRPr="007734E5">
        <w:t>In areas, such as housing and homelessness, where both federal and State or Territory Governments have responsibilities, coordination is important for investors</w:t>
      </w:r>
      <w:r w:rsidR="00A412A1">
        <w:t>, service providers</w:t>
      </w:r>
      <w:r w:rsidR="0068056E">
        <w:t xml:space="preserve"> and may help to improve outcomes for beneficiaries</w:t>
      </w:r>
      <w:r w:rsidRPr="007734E5">
        <w:t xml:space="preserve">.  </w:t>
      </w:r>
    </w:p>
    <w:p w14:paraId="3529DF8F" w14:textId="77777777" w:rsidR="005648A0" w:rsidRPr="00016EB9" w:rsidRDefault="005648A0" w:rsidP="005648A0">
      <w:pPr>
        <w:rPr>
          <w:rStyle w:val="s1"/>
          <w:rFonts w:asciiTheme="minorHAnsi" w:hAnsiTheme="minorHAnsi" w:cstheme="minorHAnsi"/>
          <w:szCs w:val="21"/>
        </w:rPr>
      </w:pPr>
      <w:r w:rsidRPr="007734E5">
        <w:t>All levels, including local</w:t>
      </w:r>
      <w:r w:rsidR="00A52616">
        <w:t xml:space="preserve"> </w:t>
      </w:r>
      <w:r w:rsidRPr="007734E5">
        <w:t>governments</w:t>
      </w:r>
      <w:r w:rsidR="00A52616">
        <w:t>,</w:t>
      </w:r>
      <w:r w:rsidRPr="007734E5">
        <w:t xml:space="preserve"> can adopt procurement policies to support </w:t>
      </w:r>
      <w:r w:rsidR="000D0783">
        <w:t>service providers</w:t>
      </w:r>
      <w:r w:rsidRPr="007734E5">
        <w:t xml:space="preserve"> with social impact investment finance</w:t>
      </w:r>
      <w:r w:rsidR="00A52616">
        <w:t xml:space="preserve"> </w:t>
      </w:r>
      <w:r w:rsidR="00A52616" w:rsidRPr="00A52616">
        <w:t>(</w:t>
      </w:r>
      <w:r w:rsidR="00A52616" w:rsidRPr="00A52616">
        <w:rPr>
          <w:rStyle w:val="s1"/>
          <w:rFonts w:asciiTheme="minorHAnsi" w:hAnsiTheme="minorHAnsi" w:cstheme="minorHAnsi"/>
          <w:szCs w:val="21"/>
        </w:rPr>
        <w:t>as recently announced by the Victorian Government</w:t>
      </w:r>
      <w:r w:rsidR="00A52616">
        <w:rPr>
          <w:rStyle w:val="s1"/>
          <w:rFonts w:asciiTheme="minorHAnsi" w:hAnsiTheme="minorHAnsi" w:cstheme="minorHAnsi"/>
          <w:szCs w:val="21"/>
        </w:rPr>
        <w:t xml:space="preserve"> in its Social Enterprise Strategy</w:t>
      </w:r>
      <w:r w:rsidR="00EE4B8E">
        <w:rPr>
          <w:rStyle w:val="s1"/>
          <w:rFonts w:asciiTheme="minorHAnsi" w:hAnsiTheme="minorHAnsi" w:cstheme="minorHAnsi"/>
          <w:szCs w:val="21"/>
        </w:rPr>
        <w:t>;</w:t>
      </w:r>
      <w:r w:rsidR="00A52616">
        <w:rPr>
          <w:rStyle w:val="s1"/>
          <w:rFonts w:asciiTheme="minorHAnsi" w:hAnsiTheme="minorHAnsi" w:cstheme="minorHAnsi"/>
          <w:szCs w:val="21"/>
        </w:rPr>
        <w:t xml:space="preserve"> </w:t>
      </w:r>
      <w:r w:rsidR="00A52616" w:rsidRPr="00A52616">
        <w:t>2017)</w:t>
      </w:r>
      <w:r w:rsidR="00A52616">
        <w:t xml:space="preserve">. </w:t>
      </w:r>
      <w:r w:rsidR="00A52616" w:rsidRPr="00A52616">
        <w:t xml:space="preserve"> </w:t>
      </w:r>
      <w:r w:rsidRPr="00A52616">
        <w:rPr>
          <w:rStyle w:val="s1"/>
          <w:rFonts w:asciiTheme="minorHAnsi" w:hAnsiTheme="minorHAnsi" w:cstheme="minorHAnsi"/>
          <w:szCs w:val="21"/>
        </w:rPr>
        <w:t xml:space="preserve"> </w:t>
      </w:r>
    </w:p>
    <w:p w14:paraId="2272374F" w14:textId="77777777" w:rsidR="00AD4BE6" w:rsidRDefault="00AD4BE6" w:rsidP="00016EB9">
      <w:pPr>
        <w:pStyle w:val="Heading3"/>
        <w:rPr>
          <w:rStyle w:val="s1"/>
        </w:rPr>
      </w:pPr>
      <w:r>
        <w:rPr>
          <w:rStyle w:val="s1"/>
        </w:rPr>
        <w:t xml:space="preserve">Question 6:  </w:t>
      </w:r>
      <w:r w:rsidRPr="00AD4BE6">
        <w:rPr>
          <w:rStyle w:val="s1"/>
        </w:rPr>
        <w:t>Are there areas where funding through a social investment framework may generate more effective and efficient policy outcomes than direct grant funding</w:t>
      </w:r>
      <w:r w:rsidR="007734E5">
        <w:rPr>
          <w:rStyle w:val="s1"/>
        </w:rPr>
        <w:t xml:space="preserve">? </w:t>
      </w:r>
    </w:p>
    <w:p w14:paraId="12C09AAF" w14:textId="77777777" w:rsidR="00431E60" w:rsidRDefault="00431E60" w:rsidP="0085304A">
      <w:r>
        <w:t>Social impact investing will not be suitable for all social services. Opportunities only exist where the investment in the policy or intervention can result in financial and social returns. Therefore, it will not be an appropriate model where:</w:t>
      </w:r>
    </w:p>
    <w:p w14:paraId="01FADBE8" w14:textId="77777777" w:rsidR="00431E60" w:rsidRDefault="00431E60" w:rsidP="0085304A">
      <w:pPr>
        <w:pStyle w:val="ListParagraph"/>
        <w:numPr>
          <w:ilvl w:val="0"/>
          <w:numId w:val="18"/>
        </w:numPr>
      </w:pPr>
      <w:r>
        <w:t>Costs of the intervention are higher than the financial return and social returns</w:t>
      </w:r>
    </w:p>
    <w:p w14:paraId="0FD30CD4" w14:textId="77777777" w:rsidR="00431E60" w:rsidRDefault="00431E60" w:rsidP="0085304A">
      <w:pPr>
        <w:pStyle w:val="ListParagraph"/>
        <w:numPr>
          <w:ilvl w:val="0"/>
          <w:numId w:val="18"/>
        </w:numPr>
      </w:pPr>
      <w:r>
        <w:t>There is not sufficient readiness or capability in the service provision market</w:t>
      </w:r>
    </w:p>
    <w:p w14:paraId="2E9FE7AD" w14:textId="77777777" w:rsidR="00431E60" w:rsidRDefault="00431E60" w:rsidP="0085304A">
      <w:pPr>
        <w:pStyle w:val="ListParagraph"/>
        <w:numPr>
          <w:ilvl w:val="0"/>
          <w:numId w:val="18"/>
        </w:numPr>
      </w:pPr>
      <w:r>
        <w:t xml:space="preserve">Markets are thin and the returns are low </w:t>
      </w:r>
    </w:p>
    <w:p w14:paraId="4787AD57" w14:textId="77777777" w:rsidR="00E243D9" w:rsidRPr="00431E60" w:rsidRDefault="00E243D9" w:rsidP="0085304A">
      <w:pPr>
        <w:pStyle w:val="ListParagraph"/>
        <w:numPr>
          <w:ilvl w:val="0"/>
          <w:numId w:val="18"/>
        </w:numPr>
      </w:pPr>
      <w:r>
        <w:t>Outcomes are likely to take very long periods of time (beyond the appetite for investors) and clear incremental pathways cannot easily be established regarding short and medium term progress</w:t>
      </w:r>
    </w:p>
    <w:p w14:paraId="3B11C61C" w14:textId="77777777" w:rsidR="00431E60" w:rsidRPr="0085304A" w:rsidRDefault="00431E60" w:rsidP="00AD4BE6">
      <w:pPr>
        <w:rPr>
          <w:szCs w:val="21"/>
        </w:rPr>
      </w:pPr>
      <w:r w:rsidRPr="0085304A">
        <w:rPr>
          <w:szCs w:val="21"/>
        </w:rPr>
        <w:t xml:space="preserve">There is difficulty, however, in outlining specific service areas where social impact investment may be effective or ineffective because </w:t>
      </w:r>
      <w:r w:rsidR="00AD4BE6" w:rsidRPr="0085304A">
        <w:rPr>
          <w:szCs w:val="21"/>
        </w:rPr>
        <w:t>international and local</w:t>
      </w:r>
      <w:r w:rsidRPr="0085304A">
        <w:rPr>
          <w:szCs w:val="21"/>
        </w:rPr>
        <w:t xml:space="preserve"> evidence</w:t>
      </w:r>
      <w:r w:rsidR="00AD4BE6" w:rsidRPr="0085304A">
        <w:rPr>
          <w:szCs w:val="21"/>
        </w:rPr>
        <w:t xml:space="preserve"> is not yet strong. </w:t>
      </w:r>
      <w:r w:rsidRPr="0085304A">
        <w:rPr>
          <w:szCs w:val="21"/>
        </w:rPr>
        <w:t xml:space="preserve">It is important that sound outcomes measurement frameworks are established and that the evidence base is built regarding areas of highest effectiveness and areas of potential risk. </w:t>
      </w:r>
    </w:p>
    <w:p w14:paraId="33EA0267" w14:textId="77777777" w:rsidR="00431E60" w:rsidRPr="0085304A" w:rsidRDefault="00431E60" w:rsidP="00AD4BE6">
      <w:pPr>
        <w:rPr>
          <w:szCs w:val="21"/>
        </w:rPr>
      </w:pPr>
      <w:r w:rsidRPr="0085304A">
        <w:rPr>
          <w:szCs w:val="21"/>
        </w:rPr>
        <w:t xml:space="preserve">Further, it is important </w:t>
      </w:r>
      <w:r w:rsidR="00AD4BE6" w:rsidRPr="0085304A">
        <w:rPr>
          <w:szCs w:val="21"/>
        </w:rPr>
        <w:t xml:space="preserve">to distinguish between social innovation (new and improved responses to complex social problems) and innovations in financial mechanisms that support social policy agendas. </w:t>
      </w:r>
    </w:p>
    <w:p w14:paraId="336B0847" w14:textId="77777777" w:rsidR="00AD4BE6" w:rsidRPr="0085304A" w:rsidRDefault="00431E60" w:rsidP="00AD4BE6">
      <w:pPr>
        <w:rPr>
          <w:szCs w:val="21"/>
          <w:lang w:val="en-AU" w:eastAsia="en-AU"/>
        </w:rPr>
      </w:pPr>
      <w:r w:rsidRPr="0085304A">
        <w:rPr>
          <w:szCs w:val="21"/>
        </w:rPr>
        <w:t>S</w:t>
      </w:r>
      <w:r w:rsidR="00AD4BE6" w:rsidRPr="0085304A">
        <w:rPr>
          <w:szCs w:val="21"/>
        </w:rPr>
        <w:t xml:space="preserve">ocial investment models </w:t>
      </w:r>
      <w:r w:rsidRPr="0085304A">
        <w:rPr>
          <w:szCs w:val="21"/>
        </w:rPr>
        <w:t xml:space="preserve">have the potential to leverage </w:t>
      </w:r>
      <w:r w:rsidR="00AD4BE6" w:rsidRPr="0085304A">
        <w:rPr>
          <w:szCs w:val="21"/>
        </w:rPr>
        <w:t>new sources of finance</w:t>
      </w:r>
      <w:r w:rsidRPr="0085304A">
        <w:rPr>
          <w:szCs w:val="21"/>
        </w:rPr>
        <w:t xml:space="preserve"> and bring together investors, providers and beneficiaries. However, it is not known</w:t>
      </w:r>
      <w:r w:rsidR="00AD4BE6" w:rsidRPr="0085304A">
        <w:rPr>
          <w:szCs w:val="21"/>
        </w:rPr>
        <w:t xml:space="preserve"> how much </w:t>
      </w:r>
      <w:r w:rsidRPr="0085304A">
        <w:rPr>
          <w:szCs w:val="21"/>
        </w:rPr>
        <w:t xml:space="preserve">capital </w:t>
      </w:r>
      <w:r w:rsidR="00AD4BE6" w:rsidRPr="0085304A">
        <w:rPr>
          <w:szCs w:val="21"/>
        </w:rPr>
        <w:t>there is</w:t>
      </w:r>
      <w:r w:rsidRPr="0085304A">
        <w:rPr>
          <w:szCs w:val="21"/>
        </w:rPr>
        <w:t xml:space="preserve"> (or would be)</w:t>
      </w:r>
      <w:r w:rsidR="00AD4BE6" w:rsidRPr="0085304A">
        <w:rPr>
          <w:szCs w:val="21"/>
        </w:rPr>
        <w:t xml:space="preserve"> </w:t>
      </w:r>
      <w:r w:rsidRPr="0085304A">
        <w:rPr>
          <w:szCs w:val="21"/>
        </w:rPr>
        <w:t xml:space="preserve">available </w:t>
      </w:r>
      <w:r w:rsidR="00AD4BE6" w:rsidRPr="0085304A">
        <w:rPr>
          <w:szCs w:val="21"/>
        </w:rPr>
        <w:t xml:space="preserve">and how much </w:t>
      </w:r>
      <w:r w:rsidRPr="0085304A">
        <w:rPr>
          <w:szCs w:val="21"/>
        </w:rPr>
        <w:t xml:space="preserve">money would be </w:t>
      </w:r>
      <w:r w:rsidR="00AD4BE6" w:rsidRPr="0085304A">
        <w:rPr>
          <w:szCs w:val="21"/>
        </w:rPr>
        <w:t>displaced from traditional granting sources</w:t>
      </w:r>
      <w:r w:rsidRPr="0085304A">
        <w:rPr>
          <w:szCs w:val="21"/>
        </w:rPr>
        <w:t>, and whether outcomes would improve if funding was displaced</w:t>
      </w:r>
      <w:r w:rsidR="00AD4BE6" w:rsidRPr="0085304A">
        <w:rPr>
          <w:szCs w:val="21"/>
        </w:rPr>
        <w:t>.</w:t>
      </w:r>
    </w:p>
    <w:p w14:paraId="2C2963FC" w14:textId="77777777" w:rsidR="005648A0" w:rsidRPr="0085304A" w:rsidRDefault="00431E60" w:rsidP="005648A0">
      <w:pPr>
        <w:rPr>
          <w:szCs w:val="21"/>
        </w:rPr>
      </w:pPr>
      <w:r w:rsidRPr="0085304A">
        <w:rPr>
          <w:szCs w:val="21"/>
        </w:rPr>
        <w:t xml:space="preserve">A significant promise of social impact investment is the shift to track, understand and reward based on outcomes. This reflects the </w:t>
      </w:r>
      <w:r w:rsidR="005648A0" w:rsidRPr="0085304A">
        <w:rPr>
          <w:szCs w:val="21"/>
        </w:rPr>
        <w:t>trend to outcomes and payment-for-results</w:t>
      </w:r>
      <w:r w:rsidRPr="0085304A">
        <w:rPr>
          <w:szCs w:val="21"/>
        </w:rPr>
        <w:t>, rather than the historic funding of activities</w:t>
      </w:r>
      <w:r w:rsidR="005648A0" w:rsidRPr="0085304A">
        <w:rPr>
          <w:szCs w:val="21"/>
        </w:rPr>
        <w:t>.</w:t>
      </w:r>
      <w:r w:rsidRPr="0085304A">
        <w:rPr>
          <w:szCs w:val="21"/>
        </w:rPr>
        <w:t xml:space="preserve"> It will be important to understand where outcomes occur, for who and under what circumstances and to track which groups could be left behind.</w:t>
      </w:r>
      <w:r w:rsidR="00AF3C4C" w:rsidRPr="0085304A">
        <w:rPr>
          <w:szCs w:val="21"/>
        </w:rPr>
        <w:t xml:space="preserve"> </w:t>
      </w:r>
      <w:r w:rsidR="00E243D9" w:rsidRPr="0085304A">
        <w:rPr>
          <w:szCs w:val="21"/>
        </w:rPr>
        <w:t xml:space="preserve">It will be important </w:t>
      </w:r>
      <w:r w:rsidR="00EE4B8E">
        <w:rPr>
          <w:szCs w:val="21"/>
        </w:rPr>
        <w:t>that</w:t>
      </w:r>
      <w:r w:rsidR="00E243D9" w:rsidRPr="0085304A">
        <w:rPr>
          <w:szCs w:val="21"/>
        </w:rPr>
        <w:t xml:space="preserve"> different mechanisms for funding social services</w:t>
      </w:r>
      <w:r w:rsidR="00EE4B8E">
        <w:rPr>
          <w:szCs w:val="21"/>
        </w:rPr>
        <w:t xml:space="preserve"> remain</w:t>
      </w:r>
      <w:r w:rsidR="00E243D9" w:rsidRPr="0085304A">
        <w:rPr>
          <w:szCs w:val="21"/>
        </w:rPr>
        <w:t>, including the continuation of government block grants where investment approaches are not appropriate.</w:t>
      </w:r>
    </w:p>
    <w:p w14:paraId="4AED8C5E" w14:textId="77777777" w:rsidR="00AD4BE6" w:rsidRDefault="00AD4BE6" w:rsidP="008132A8">
      <w:pPr>
        <w:pStyle w:val="Heading3"/>
      </w:pPr>
      <w:r>
        <w:rPr>
          <w:rStyle w:val="s1"/>
        </w:rPr>
        <w:t xml:space="preserve">Question 7:  </w:t>
      </w:r>
      <w:r w:rsidRPr="00AD4BE6">
        <w:rPr>
          <w:rStyle w:val="s1"/>
        </w:rPr>
        <w:t>What Australian Government policy or service delivery areas hold the most potential for social impact investing? Are there any specific opportunities you are aware of?</w:t>
      </w:r>
    </w:p>
    <w:p w14:paraId="162ED97A" w14:textId="77777777" w:rsidR="000C410E" w:rsidRPr="007734E5" w:rsidRDefault="000C410E" w:rsidP="000C410E">
      <w:pPr>
        <w:rPr>
          <w:rStyle w:val="s1"/>
          <w:i/>
        </w:rPr>
      </w:pPr>
      <w:r w:rsidRPr="007734E5">
        <w:rPr>
          <w:rStyle w:val="s1"/>
          <w:i/>
        </w:rPr>
        <w:t>Social</w:t>
      </w:r>
      <w:r w:rsidR="008132A8" w:rsidRPr="007734E5">
        <w:rPr>
          <w:rStyle w:val="s1"/>
          <w:i/>
        </w:rPr>
        <w:t xml:space="preserve"> </w:t>
      </w:r>
      <w:r w:rsidR="0085304A">
        <w:rPr>
          <w:rStyle w:val="s1"/>
          <w:i/>
        </w:rPr>
        <w:t>i</w:t>
      </w:r>
      <w:r w:rsidR="008132A8" w:rsidRPr="007734E5">
        <w:rPr>
          <w:rStyle w:val="s1"/>
          <w:i/>
        </w:rPr>
        <w:t>mpact</w:t>
      </w:r>
      <w:r w:rsidRPr="007734E5">
        <w:rPr>
          <w:rStyle w:val="s1"/>
          <w:i/>
        </w:rPr>
        <w:t xml:space="preserve"> </w:t>
      </w:r>
      <w:r w:rsidR="00A52616">
        <w:rPr>
          <w:rStyle w:val="s1"/>
          <w:i/>
        </w:rPr>
        <w:t>investment f</w:t>
      </w:r>
      <w:r w:rsidRPr="007734E5">
        <w:rPr>
          <w:rStyle w:val="s1"/>
          <w:i/>
        </w:rPr>
        <w:t>unds</w:t>
      </w:r>
    </w:p>
    <w:p w14:paraId="1E59E34E" w14:textId="47EC919E" w:rsidR="000C410E" w:rsidRPr="007734E5" w:rsidRDefault="00D005B7" w:rsidP="000C410E">
      <w:pPr>
        <w:rPr>
          <w:rStyle w:val="s1"/>
        </w:rPr>
      </w:pPr>
      <w:r>
        <w:rPr>
          <w:rStyle w:val="s1"/>
        </w:rPr>
        <w:t>The</w:t>
      </w:r>
      <w:r w:rsidR="000C410E" w:rsidRPr="007734E5">
        <w:rPr>
          <w:rStyle w:val="s1"/>
        </w:rPr>
        <w:t xml:space="preserve"> SEDIF research suggests that ‘bricks and mortar’ investments </w:t>
      </w:r>
      <w:r w:rsidR="000D0783">
        <w:rPr>
          <w:rStyle w:val="s1"/>
        </w:rPr>
        <w:t>have the most potential</w:t>
      </w:r>
      <w:r w:rsidR="000C410E" w:rsidRPr="007734E5">
        <w:rPr>
          <w:rStyle w:val="s1"/>
        </w:rPr>
        <w:t>, such as social and affordable housing, and physical infrastructure for</w:t>
      </w:r>
      <w:r w:rsidR="008132A8" w:rsidRPr="007734E5">
        <w:rPr>
          <w:rStyle w:val="s1"/>
        </w:rPr>
        <w:t xml:space="preserve"> not for profits</w:t>
      </w:r>
      <w:r w:rsidR="000C410E" w:rsidRPr="007734E5">
        <w:rPr>
          <w:rStyle w:val="s1"/>
        </w:rPr>
        <w:t xml:space="preserve">, because of the security provided by real assets.  </w:t>
      </w:r>
    </w:p>
    <w:p w14:paraId="7971F3D6" w14:textId="77777777" w:rsidR="000C410E" w:rsidRPr="007734E5" w:rsidRDefault="000C410E" w:rsidP="000C410E">
      <w:pPr>
        <w:rPr>
          <w:rStyle w:val="s1"/>
        </w:rPr>
      </w:pPr>
      <w:r w:rsidRPr="007734E5">
        <w:rPr>
          <w:rStyle w:val="s1"/>
        </w:rPr>
        <w:t>This has been illustrated with the significant support for the housing bond aggregator from community housing providers, intermediaries and institutional investors (Council on Fed</w:t>
      </w:r>
      <w:r w:rsidR="008132A8" w:rsidRPr="007734E5">
        <w:rPr>
          <w:rStyle w:val="s1"/>
        </w:rPr>
        <w:t xml:space="preserve">eral Financial Relations </w:t>
      </w:r>
      <w:r w:rsidRPr="007734E5">
        <w:rPr>
          <w:rStyle w:val="s1"/>
        </w:rPr>
        <w:t>2016b).</w:t>
      </w:r>
    </w:p>
    <w:p w14:paraId="23A4440B" w14:textId="77777777" w:rsidR="000C410E" w:rsidRPr="007734E5" w:rsidRDefault="000C410E" w:rsidP="000C410E">
      <w:pPr>
        <w:rPr>
          <w:rStyle w:val="s1"/>
        </w:rPr>
      </w:pPr>
      <w:r w:rsidRPr="007734E5">
        <w:rPr>
          <w:rStyle w:val="s1"/>
        </w:rPr>
        <w:t xml:space="preserve">Some social infrastructure funds and property funds own social assets (e.g. schools, hospitals, water treatment plants) that enable the provision of services by services providers, often under public private partnership (PPP) models.  However, these funds do not typically measure social outcomes and would not fall under the definition of social impact investing.  </w:t>
      </w:r>
    </w:p>
    <w:p w14:paraId="6FD311AA" w14:textId="77777777" w:rsidR="000C410E" w:rsidRPr="007734E5" w:rsidRDefault="000C410E" w:rsidP="000C410E">
      <w:pPr>
        <w:rPr>
          <w:rStyle w:val="s1"/>
          <w:i/>
        </w:rPr>
      </w:pPr>
      <w:r w:rsidRPr="007734E5">
        <w:rPr>
          <w:rStyle w:val="s1"/>
          <w:i/>
        </w:rPr>
        <w:t>S</w:t>
      </w:r>
      <w:r w:rsidR="008132A8" w:rsidRPr="007734E5">
        <w:rPr>
          <w:rStyle w:val="s1"/>
          <w:i/>
        </w:rPr>
        <w:t xml:space="preserve">ocial </w:t>
      </w:r>
      <w:r w:rsidR="0085304A">
        <w:rPr>
          <w:rStyle w:val="s1"/>
          <w:i/>
        </w:rPr>
        <w:t>i</w:t>
      </w:r>
      <w:r w:rsidR="008132A8" w:rsidRPr="007734E5">
        <w:rPr>
          <w:rStyle w:val="s1"/>
          <w:i/>
        </w:rPr>
        <w:t xml:space="preserve">mpact </w:t>
      </w:r>
      <w:r w:rsidR="0085304A">
        <w:rPr>
          <w:rStyle w:val="s1"/>
          <w:i/>
        </w:rPr>
        <w:t>b</w:t>
      </w:r>
      <w:r w:rsidR="008132A8" w:rsidRPr="007734E5">
        <w:rPr>
          <w:rStyle w:val="s1"/>
          <w:i/>
        </w:rPr>
        <w:t>ond</w:t>
      </w:r>
      <w:r w:rsidRPr="007734E5">
        <w:rPr>
          <w:rStyle w:val="s1"/>
          <w:i/>
        </w:rPr>
        <w:t>s</w:t>
      </w:r>
    </w:p>
    <w:p w14:paraId="0F59A564" w14:textId="77777777" w:rsidR="000C410E" w:rsidRPr="007734E5" w:rsidRDefault="000C410E" w:rsidP="000C410E">
      <w:pPr>
        <w:rPr>
          <w:rStyle w:val="s1"/>
        </w:rPr>
      </w:pPr>
      <w:r w:rsidRPr="007734E5">
        <w:rPr>
          <w:rStyle w:val="s1"/>
        </w:rPr>
        <w:t xml:space="preserve">The availability of baseline data for the comparison of outcomes from SIBs will vary by State and Territory and may result in particular service delivery areas having more or less potential. </w:t>
      </w:r>
    </w:p>
    <w:p w14:paraId="7D2A9FE7" w14:textId="77777777" w:rsidR="002D2678" w:rsidRDefault="007734E5" w:rsidP="000C410E">
      <w:pPr>
        <w:rPr>
          <w:rStyle w:val="s1"/>
        </w:rPr>
      </w:pPr>
      <w:r w:rsidRPr="007734E5">
        <w:rPr>
          <w:rStyle w:val="s1"/>
        </w:rPr>
        <w:t>In 2016 intermediary Social Finance, which has played a prominent role in the growth of SIBs providing the foundational model at Peterborough in 2010, established an Impact Bond database of SIBs. It shows as of June 2016 there have been 60 Impact Bonds launched with US$216 million of capital raised. The social impact areas were</w:t>
      </w:r>
      <w:r w:rsidR="00EE4B8E">
        <w:rPr>
          <w:rStyle w:val="s1"/>
        </w:rPr>
        <w:t xml:space="preserve"> as follows:</w:t>
      </w:r>
      <w:r w:rsidRPr="007734E5">
        <w:rPr>
          <w:rStyle w:val="s1"/>
        </w:rPr>
        <w:t xml:space="preserve"> 24 workforce development (40%), 12 housing/homelessness (20%), 8 child and family welfare (13.3%), 5 health (8.3%), 5 criminal justice (8.3%), 5 education and early years (8.3%) and 1 adults with complex needs (1.7%</w:t>
      </w:r>
      <w:r w:rsidR="00EE4B8E">
        <w:rPr>
          <w:rStyle w:val="s1"/>
        </w:rPr>
        <w:t>;</w:t>
      </w:r>
      <w:r w:rsidRPr="007734E5">
        <w:rPr>
          <w:rStyle w:val="s1"/>
        </w:rPr>
        <w:t xml:space="preserve"> Social Finance 2016).</w:t>
      </w:r>
      <w:r w:rsidR="000D0783">
        <w:rPr>
          <w:rStyle w:val="s1"/>
        </w:rPr>
        <w:t xml:space="preserve"> </w:t>
      </w:r>
    </w:p>
    <w:p w14:paraId="6745520F" w14:textId="77777777" w:rsidR="00EE4B8E" w:rsidRDefault="000D0783" w:rsidP="000C410E">
      <w:r>
        <w:rPr>
          <w:rStyle w:val="s1"/>
        </w:rPr>
        <w:t>Further research is needed to determine whether and to what extent these SIBs delivered financial and social returns</w:t>
      </w:r>
      <w:r w:rsidR="002D2678">
        <w:rPr>
          <w:rStyle w:val="s1"/>
        </w:rPr>
        <w:t xml:space="preserve">. The </w:t>
      </w:r>
      <w:r w:rsidR="002D2678">
        <w:t>model is relatively immature</w:t>
      </w:r>
      <w:r w:rsidR="00CB1C56">
        <w:t>, the evidence-base still emergent,</w:t>
      </w:r>
      <w:r w:rsidR="002D2678">
        <w:t xml:space="preserve"> and the potential for replication within and across jurisdictions is challenging.  </w:t>
      </w:r>
    </w:p>
    <w:p w14:paraId="6969EE13" w14:textId="77777777" w:rsidR="000C410E" w:rsidRPr="007734E5" w:rsidRDefault="008132A8" w:rsidP="000C410E">
      <w:pPr>
        <w:rPr>
          <w:rStyle w:val="s1"/>
          <w:i/>
        </w:rPr>
      </w:pPr>
      <w:r w:rsidRPr="007734E5">
        <w:rPr>
          <w:rStyle w:val="s1"/>
          <w:i/>
        </w:rPr>
        <w:t xml:space="preserve">Social </w:t>
      </w:r>
      <w:r w:rsidR="0085304A">
        <w:rPr>
          <w:rStyle w:val="s1"/>
          <w:i/>
        </w:rPr>
        <w:t>e</w:t>
      </w:r>
      <w:r w:rsidR="000C410E" w:rsidRPr="007734E5">
        <w:rPr>
          <w:rStyle w:val="s1"/>
          <w:i/>
        </w:rPr>
        <w:t>nterprises</w:t>
      </w:r>
    </w:p>
    <w:p w14:paraId="1FDF4CEF" w14:textId="77777777" w:rsidR="000C410E" w:rsidRPr="007734E5" w:rsidRDefault="000C410E" w:rsidP="000C410E">
      <w:pPr>
        <w:rPr>
          <w:rStyle w:val="s1"/>
        </w:rPr>
      </w:pPr>
      <w:r w:rsidRPr="007734E5">
        <w:rPr>
          <w:rStyle w:val="s1"/>
        </w:rPr>
        <w:t xml:space="preserve">Social </w:t>
      </w:r>
      <w:r w:rsidR="00940B1C">
        <w:rPr>
          <w:rStyle w:val="s1"/>
        </w:rPr>
        <w:t xml:space="preserve">enterprises </w:t>
      </w:r>
      <w:r w:rsidR="000D0783">
        <w:rPr>
          <w:rStyle w:val="s1"/>
        </w:rPr>
        <w:t>can use diverse forms of social finance</w:t>
      </w:r>
      <w:r w:rsidRPr="007734E5">
        <w:rPr>
          <w:rStyle w:val="s1"/>
        </w:rPr>
        <w:t>.</w:t>
      </w:r>
      <w:r w:rsidR="008132A8" w:rsidRPr="007734E5">
        <w:rPr>
          <w:rStyle w:val="s1"/>
        </w:rPr>
        <w:t xml:space="preserve"> </w:t>
      </w:r>
      <w:r w:rsidRPr="007734E5">
        <w:rPr>
          <w:rStyle w:val="s1"/>
        </w:rPr>
        <w:t xml:space="preserve">The SEDIF </w:t>
      </w:r>
      <w:r w:rsidR="0085304A">
        <w:rPr>
          <w:rStyle w:val="s1"/>
        </w:rPr>
        <w:t>e</w:t>
      </w:r>
      <w:r w:rsidRPr="007734E5">
        <w:rPr>
          <w:rStyle w:val="s1"/>
        </w:rPr>
        <w:t>valuation identified the need for diverse forms of social finance – including patient capital, blended finance, guarantees – to support the work of SME social enterprises (Barraket, Mason et al. 2016).</w:t>
      </w:r>
    </w:p>
    <w:p w14:paraId="5497343B" w14:textId="77777777" w:rsidR="00A80092" w:rsidRPr="00A80092" w:rsidRDefault="00A80092" w:rsidP="00A80092">
      <w:pPr>
        <w:pStyle w:val="Heading3"/>
        <w:rPr>
          <w:rStyle w:val="s1"/>
        </w:rPr>
      </w:pPr>
      <w:r>
        <w:rPr>
          <w:rStyle w:val="s1"/>
        </w:rPr>
        <w:t xml:space="preserve">Question 10: </w:t>
      </w:r>
      <w:r w:rsidRPr="00A80092">
        <w:rPr>
          <w:rStyle w:val="s1"/>
        </w:rPr>
        <w:t>Are there opportunities for the Australian Government to form data sharing partnerships with State and Territory Governments, intermediaries and/or service providers?</w:t>
      </w:r>
    </w:p>
    <w:p w14:paraId="47BB993E" w14:textId="77777777" w:rsidR="00EE6001" w:rsidRDefault="00F55E6B" w:rsidP="000C410E">
      <w:pPr>
        <w:rPr>
          <w:rStyle w:val="s1"/>
        </w:rPr>
      </w:pPr>
      <w:r>
        <w:rPr>
          <w:rStyle w:val="s1"/>
        </w:rPr>
        <w:t>T</w:t>
      </w:r>
      <w:r w:rsidR="000C410E" w:rsidRPr="007734E5">
        <w:rPr>
          <w:rStyle w:val="s1"/>
        </w:rPr>
        <w:t xml:space="preserve">he development of common </w:t>
      </w:r>
      <w:r w:rsidR="007734E5">
        <w:rPr>
          <w:rStyle w:val="s1"/>
        </w:rPr>
        <w:t>outcomes measurement</w:t>
      </w:r>
      <w:r>
        <w:rPr>
          <w:rStyle w:val="s1"/>
        </w:rPr>
        <w:t xml:space="preserve"> frameworks and tools</w:t>
      </w:r>
      <w:r w:rsidR="00EE6001">
        <w:rPr>
          <w:rStyle w:val="s1"/>
        </w:rPr>
        <w:t>, linking data and providing de-identified aggregated reporting</w:t>
      </w:r>
      <w:r w:rsidR="007734E5">
        <w:rPr>
          <w:rStyle w:val="s1"/>
        </w:rPr>
        <w:t xml:space="preserve"> across governments</w:t>
      </w:r>
      <w:r w:rsidR="000C410E" w:rsidRPr="007734E5">
        <w:rPr>
          <w:rStyle w:val="s1"/>
        </w:rPr>
        <w:t xml:space="preserve"> could</w:t>
      </w:r>
      <w:r w:rsidR="00EE6001">
        <w:rPr>
          <w:rStyle w:val="s1"/>
        </w:rPr>
        <w:t>:</w:t>
      </w:r>
    </w:p>
    <w:p w14:paraId="02F2C940" w14:textId="77777777" w:rsidR="00EE6001" w:rsidRDefault="00EE6001" w:rsidP="00EE6001">
      <w:pPr>
        <w:pStyle w:val="ListParagraph"/>
        <w:numPr>
          <w:ilvl w:val="0"/>
          <w:numId w:val="25"/>
        </w:numPr>
        <w:rPr>
          <w:rStyle w:val="s1"/>
        </w:rPr>
      </w:pPr>
      <w:r>
        <w:rPr>
          <w:rStyle w:val="s1"/>
        </w:rPr>
        <w:t>f</w:t>
      </w:r>
      <w:r w:rsidR="000C410E" w:rsidRPr="007734E5">
        <w:rPr>
          <w:rStyle w:val="s1"/>
        </w:rPr>
        <w:t xml:space="preserve">acilitate comparison of </w:t>
      </w:r>
      <w:r w:rsidR="00AC61B2">
        <w:rPr>
          <w:rStyle w:val="s1"/>
        </w:rPr>
        <w:t xml:space="preserve">outcomes across </w:t>
      </w:r>
      <w:r w:rsidR="000C410E" w:rsidRPr="007734E5">
        <w:rPr>
          <w:rStyle w:val="s1"/>
        </w:rPr>
        <w:t xml:space="preserve">programs </w:t>
      </w:r>
    </w:p>
    <w:p w14:paraId="371F5B0A" w14:textId="77777777" w:rsidR="00EE6001" w:rsidRDefault="00AC61B2" w:rsidP="000C410E">
      <w:pPr>
        <w:pStyle w:val="ListParagraph"/>
        <w:numPr>
          <w:ilvl w:val="0"/>
          <w:numId w:val="25"/>
        </w:numPr>
        <w:rPr>
          <w:rStyle w:val="s1"/>
        </w:rPr>
      </w:pPr>
      <w:r>
        <w:rPr>
          <w:rStyle w:val="s1"/>
        </w:rPr>
        <w:t xml:space="preserve">assist to minimise (or inform) </w:t>
      </w:r>
      <w:r w:rsidR="000C410E" w:rsidRPr="007734E5">
        <w:rPr>
          <w:rStyle w:val="s1"/>
        </w:rPr>
        <w:t>risk</w:t>
      </w:r>
      <w:r>
        <w:rPr>
          <w:rStyle w:val="s1"/>
        </w:rPr>
        <w:t xml:space="preserve"> taken</w:t>
      </w:r>
      <w:r w:rsidR="000C410E" w:rsidRPr="007734E5">
        <w:rPr>
          <w:rStyle w:val="s1"/>
        </w:rPr>
        <w:t xml:space="preserve"> by investors and government</w:t>
      </w:r>
      <w:r w:rsidR="00F55E6B">
        <w:rPr>
          <w:rStyle w:val="s1"/>
        </w:rPr>
        <w:t xml:space="preserve"> </w:t>
      </w:r>
    </w:p>
    <w:p w14:paraId="48F470B7" w14:textId="77777777" w:rsidR="00EE6001" w:rsidRDefault="00F55E6B" w:rsidP="000C410E">
      <w:pPr>
        <w:pStyle w:val="ListParagraph"/>
        <w:numPr>
          <w:ilvl w:val="0"/>
          <w:numId w:val="25"/>
        </w:numPr>
        <w:rPr>
          <w:rStyle w:val="s1"/>
        </w:rPr>
      </w:pPr>
      <w:r>
        <w:rPr>
          <w:rStyle w:val="s1"/>
        </w:rPr>
        <w:t>reduce individual transaction costs.</w:t>
      </w:r>
      <w:r w:rsidR="00F6715F">
        <w:rPr>
          <w:rStyle w:val="s1"/>
        </w:rPr>
        <w:t xml:space="preserve"> </w:t>
      </w:r>
    </w:p>
    <w:p w14:paraId="64950467" w14:textId="77777777" w:rsidR="00EE6001" w:rsidRDefault="00F6715F" w:rsidP="000C410E">
      <w:pPr>
        <w:pStyle w:val="ListParagraph"/>
        <w:numPr>
          <w:ilvl w:val="0"/>
          <w:numId w:val="25"/>
        </w:numPr>
        <w:rPr>
          <w:rStyle w:val="s1"/>
        </w:rPr>
      </w:pPr>
      <w:r>
        <w:rPr>
          <w:rStyle w:val="s1"/>
        </w:rPr>
        <w:t>help to inform evidence based policy in Australia and, in turn produc</w:t>
      </w:r>
      <w:r w:rsidR="002D2678">
        <w:rPr>
          <w:rStyle w:val="s1"/>
        </w:rPr>
        <w:t xml:space="preserve">e </w:t>
      </w:r>
      <w:r>
        <w:rPr>
          <w:rStyle w:val="s1"/>
        </w:rPr>
        <w:t>beneficial outcomes for individuals, communities and the broader society.</w:t>
      </w:r>
      <w:r w:rsidR="000C410E" w:rsidRPr="007734E5">
        <w:rPr>
          <w:rStyle w:val="s1"/>
        </w:rPr>
        <w:t xml:space="preserve"> </w:t>
      </w:r>
    </w:p>
    <w:p w14:paraId="43D6E126" w14:textId="77777777" w:rsidR="000C410E" w:rsidRPr="007734E5" w:rsidRDefault="00AC61B2" w:rsidP="00EE6001">
      <w:pPr>
        <w:rPr>
          <w:rStyle w:val="s1"/>
        </w:rPr>
      </w:pPr>
      <w:r>
        <w:rPr>
          <w:rStyle w:val="s1"/>
        </w:rPr>
        <w:t xml:space="preserve">It will be important </w:t>
      </w:r>
      <w:r w:rsidR="002B4424">
        <w:rPr>
          <w:rStyle w:val="s1"/>
        </w:rPr>
        <w:t>to consider and apply high standards of</w:t>
      </w:r>
      <w:r>
        <w:rPr>
          <w:rStyle w:val="s1"/>
        </w:rPr>
        <w:t xml:space="preserve"> privacy, ethics, benchmarks for different groups, quality indicators and real time</w:t>
      </w:r>
      <w:r w:rsidR="002B4424">
        <w:rPr>
          <w:rStyle w:val="s1"/>
        </w:rPr>
        <w:t>, accessible</w:t>
      </w:r>
      <w:r>
        <w:rPr>
          <w:rStyle w:val="s1"/>
        </w:rPr>
        <w:t xml:space="preserve"> reporting. </w:t>
      </w:r>
    </w:p>
    <w:p w14:paraId="258840B4" w14:textId="77777777" w:rsidR="00843EFE" w:rsidRPr="007734E5" w:rsidRDefault="00A80092" w:rsidP="007734E5">
      <w:pPr>
        <w:pStyle w:val="Heading3"/>
      </w:pPr>
      <w:r>
        <w:rPr>
          <w:rStyle w:val="s1"/>
        </w:rPr>
        <w:t xml:space="preserve">Question 11: </w:t>
      </w:r>
      <w:r w:rsidRPr="00A80092">
        <w:rPr>
          <w:rStyle w:val="s1"/>
        </w:rPr>
        <w:t>We are seeking your feedback on the four proposed Principles for social impact investing.</w:t>
      </w:r>
    </w:p>
    <w:p w14:paraId="77270152" w14:textId="77777777" w:rsidR="002B4424" w:rsidRDefault="0027446B" w:rsidP="008132A8">
      <w:pPr>
        <w:rPr>
          <w:rStyle w:val="s1"/>
        </w:rPr>
      </w:pPr>
      <w:r w:rsidRPr="007734E5">
        <w:rPr>
          <w:rStyle w:val="s1"/>
        </w:rPr>
        <w:t xml:space="preserve">The four proposed Principles are </w:t>
      </w:r>
      <w:r w:rsidR="002B4424">
        <w:rPr>
          <w:rStyle w:val="s1"/>
        </w:rPr>
        <w:t>important. In addition to value for money; robust outcomes-based measurement; fair sharing of risk and return; and a focus on deliverable and relevant social outcomes, we suggest adding</w:t>
      </w:r>
      <w:r w:rsidR="00C423BB">
        <w:rPr>
          <w:rStyle w:val="s1"/>
        </w:rPr>
        <w:t xml:space="preserve"> a fifth principle</w:t>
      </w:r>
      <w:r w:rsidR="002B4424">
        <w:rPr>
          <w:rStyle w:val="s1"/>
        </w:rPr>
        <w:t>:</w:t>
      </w:r>
    </w:p>
    <w:p w14:paraId="2E6A8F04" w14:textId="77777777" w:rsidR="002B4424" w:rsidRDefault="002B4424" w:rsidP="000E6803">
      <w:pPr>
        <w:pStyle w:val="ListParagraph"/>
        <w:numPr>
          <w:ilvl w:val="0"/>
          <w:numId w:val="18"/>
        </w:numPr>
        <w:rPr>
          <w:rStyle w:val="s1"/>
        </w:rPr>
      </w:pPr>
      <w:r>
        <w:rPr>
          <w:rStyle w:val="s1"/>
        </w:rPr>
        <w:t>“Do no harm”</w:t>
      </w:r>
      <w:r w:rsidR="0027446B" w:rsidRPr="007734E5">
        <w:rPr>
          <w:rStyle w:val="s1"/>
        </w:rPr>
        <w:t xml:space="preserve">.  </w:t>
      </w:r>
    </w:p>
    <w:p w14:paraId="48FD5967" w14:textId="77777777" w:rsidR="002B4424" w:rsidRDefault="002B4424" w:rsidP="008132A8">
      <w:pPr>
        <w:rPr>
          <w:rStyle w:val="s1"/>
        </w:rPr>
      </w:pPr>
      <w:r>
        <w:rPr>
          <w:rStyle w:val="s1"/>
        </w:rPr>
        <w:t>Do no harm is a principle successfully embedded</w:t>
      </w:r>
      <w:r w:rsidR="00C423BB">
        <w:rPr>
          <w:rStyle w:val="s1"/>
        </w:rPr>
        <w:t xml:space="preserve"> and widely understood </w:t>
      </w:r>
      <w:r>
        <w:rPr>
          <w:rStyle w:val="s1"/>
        </w:rPr>
        <w:t>in health, humanitarian, foreign aid</w:t>
      </w:r>
      <w:r w:rsidR="00C423BB">
        <w:rPr>
          <w:rStyle w:val="s1"/>
        </w:rPr>
        <w:t xml:space="preserve">, and environmental protection areas. It </w:t>
      </w:r>
      <w:r>
        <w:rPr>
          <w:rStyle w:val="s1"/>
        </w:rPr>
        <w:t xml:space="preserve">would be beneficial to add </w:t>
      </w:r>
      <w:r w:rsidR="00046947">
        <w:rPr>
          <w:rStyle w:val="s1"/>
        </w:rPr>
        <w:t xml:space="preserve">this principle </w:t>
      </w:r>
      <w:r>
        <w:rPr>
          <w:rStyle w:val="s1"/>
        </w:rPr>
        <w:t>to social impact investment. More broadly, this should be applied if market failure occurs and alternative funding and social supports are needed.</w:t>
      </w:r>
    </w:p>
    <w:p w14:paraId="3A5BB32A" w14:textId="77777777" w:rsidR="00C423BB" w:rsidRDefault="00C423BB" w:rsidP="00C423BB">
      <w:pPr>
        <w:rPr>
          <w:rStyle w:val="s1"/>
        </w:rPr>
      </w:pPr>
      <w:r>
        <w:rPr>
          <w:rStyle w:val="s1"/>
        </w:rPr>
        <w:t>Some additional considerations for the four principles outlined include:</w:t>
      </w:r>
    </w:p>
    <w:p w14:paraId="6AF51790" w14:textId="77777777" w:rsidR="00C423BB" w:rsidRPr="00EE6001" w:rsidRDefault="00C423BB" w:rsidP="000E6803">
      <w:pPr>
        <w:pStyle w:val="ListParagraph"/>
        <w:numPr>
          <w:ilvl w:val="0"/>
          <w:numId w:val="18"/>
        </w:numPr>
        <w:rPr>
          <w:rStyle w:val="s1"/>
          <w:i/>
        </w:rPr>
      </w:pPr>
      <w:r w:rsidRPr="00EE6001">
        <w:rPr>
          <w:rStyle w:val="s1"/>
          <w:i/>
        </w:rPr>
        <w:t>Value for money</w:t>
      </w:r>
    </w:p>
    <w:p w14:paraId="5795F030" w14:textId="77777777" w:rsidR="00C423BB" w:rsidRDefault="00C423BB" w:rsidP="000E6803">
      <w:pPr>
        <w:pStyle w:val="ListParagraph"/>
        <w:numPr>
          <w:ilvl w:val="1"/>
          <w:numId w:val="18"/>
        </w:numPr>
        <w:rPr>
          <w:rStyle w:val="s1"/>
        </w:rPr>
      </w:pPr>
      <w:r>
        <w:rPr>
          <w:rStyle w:val="s1"/>
        </w:rPr>
        <w:t>It is important to understand that different investors have different expectations of ‘value’</w:t>
      </w:r>
      <w:r w:rsidR="00046947">
        <w:rPr>
          <w:rStyle w:val="s1"/>
        </w:rPr>
        <w:t xml:space="preserve"> (e.g. philanthropic investors will often have lower expectations of financial return than finance first investors)</w:t>
      </w:r>
      <w:r>
        <w:rPr>
          <w:rStyle w:val="s1"/>
        </w:rPr>
        <w:t xml:space="preserve"> </w:t>
      </w:r>
    </w:p>
    <w:p w14:paraId="2E2C4B76" w14:textId="77777777" w:rsidR="00C423BB" w:rsidRPr="00EE6001" w:rsidRDefault="00C423BB" w:rsidP="000E6803">
      <w:pPr>
        <w:pStyle w:val="ListParagraph"/>
        <w:numPr>
          <w:ilvl w:val="0"/>
          <w:numId w:val="18"/>
        </w:numPr>
        <w:rPr>
          <w:rStyle w:val="s1"/>
          <w:i/>
        </w:rPr>
      </w:pPr>
      <w:r w:rsidRPr="00EE6001">
        <w:rPr>
          <w:rStyle w:val="s1"/>
          <w:i/>
        </w:rPr>
        <w:t>Robust outcomes based measurement</w:t>
      </w:r>
    </w:p>
    <w:p w14:paraId="7457C887" w14:textId="77777777" w:rsidR="00C423BB" w:rsidRDefault="00C423BB" w:rsidP="000E6803">
      <w:pPr>
        <w:pStyle w:val="ListParagraph"/>
        <w:numPr>
          <w:ilvl w:val="1"/>
          <w:numId w:val="18"/>
        </w:numPr>
        <w:rPr>
          <w:rStyle w:val="s1"/>
        </w:rPr>
      </w:pPr>
      <w:r>
        <w:rPr>
          <w:rStyle w:val="s1"/>
        </w:rPr>
        <w:t>Reasonable pathways for measuring outcomes are important. These should be based on clear theories of change and provide stepping stones for measuring changes in the short, medium and longer term</w:t>
      </w:r>
    </w:p>
    <w:p w14:paraId="66B4DB00" w14:textId="77777777" w:rsidR="00462612" w:rsidRDefault="008E49EB" w:rsidP="000E6803">
      <w:pPr>
        <w:pStyle w:val="ListParagraph"/>
        <w:numPr>
          <w:ilvl w:val="1"/>
          <w:numId w:val="18"/>
        </w:numPr>
        <w:rPr>
          <w:rStyle w:val="s1"/>
        </w:rPr>
      </w:pPr>
      <w:r>
        <w:rPr>
          <w:rStyle w:val="s1"/>
        </w:rPr>
        <w:t>In determining who benefits from social impact investment, it is important to note that evidence will not always be available to confirm levels of attribution to outcomes. As the Discussion Paper outlines, RCTs or quasi-experimental design can be adopted, but these can be prohibitively expensive and may result in a barrier to investment. Further, since complex problems require collaborative, holistic solutions, it may be more cost effective to understand contribution than attribution</w:t>
      </w:r>
    </w:p>
    <w:p w14:paraId="434287DC" w14:textId="77777777" w:rsidR="00046947" w:rsidRPr="00EE6001" w:rsidRDefault="00046947" w:rsidP="00046947">
      <w:pPr>
        <w:pStyle w:val="ListParagraph"/>
        <w:numPr>
          <w:ilvl w:val="0"/>
          <w:numId w:val="18"/>
        </w:numPr>
        <w:rPr>
          <w:rStyle w:val="s1"/>
          <w:i/>
        </w:rPr>
      </w:pPr>
      <w:r w:rsidRPr="00EE6001">
        <w:rPr>
          <w:rStyle w:val="s1"/>
          <w:i/>
        </w:rPr>
        <w:t>Fair sharing of risk and return</w:t>
      </w:r>
    </w:p>
    <w:p w14:paraId="6A62DC3C" w14:textId="77777777" w:rsidR="00046947" w:rsidRDefault="00046947" w:rsidP="00046947">
      <w:pPr>
        <w:pStyle w:val="ListParagraph"/>
        <w:numPr>
          <w:ilvl w:val="1"/>
          <w:numId w:val="18"/>
        </w:numPr>
        <w:rPr>
          <w:rStyle w:val="s1"/>
        </w:rPr>
      </w:pPr>
      <w:r>
        <w:rPr>
          <w:rStyle w:val="s1"/>
        </w:rPr>
        <w:t>The expectation of service providers to hold ‘risk’ could limit the market pool of service providers able to take part in social impact investment</w:t>
      </w:r>
    </w:p>
    <w:p w14:paraId="6DA7D76A" w14:textId="77777777" w:rsidR="00D2648E" w:rsidRDefault="00046947" w:rsidP="000E6803">
      <w:pPr>
        <w:pStyle w:val="ListParagraph"/>
        <w:numPr>
          <w:ilvl w:val="1"/>
          <w:numId w:val="18"/>
        </w:numPr>
        <w:rPr>
          <w:rStyle w:val="s1"/>
        </w:rPr>
      </w:pPr>
      <w:r>
        <w:rPr>
          <w:rStyle w:val="s1"/>
        </w:rPr>
        <w:t>It may lead to unexpected consequences regarding ‘cherry picking’ clients who will have the highest returns for the lowest costs, which will be problematic if it is at the expense of beneficiaries with greater needs</w:t>
      </w:r>
    </w:p>
    <w:p w14:paraId="5AFFF3BE" w14:textId="77777777" w:rsidR="00D2648E" w:rsidRDefault="00D2648E" w:rsidP="000E6803">
      <w:pPr>
        <w:pStyle w:val="ListParagraph"/>
        <w:numPr>
          <w:ilvl w:val="1"/>
          <w:numId w:val="18"/>
        </w:numPr>
        <w:rPr>
          <w:rStyle w:val="s1"/>
        </w:rPr>
      </w:pPr>
      <w:r>
        <w:rPr>
          <w:rStyle w:val="s1"/>
        </w:rPr>
        <w:t>In different social areas, government will need to accept a higher level of risk and/or decrease the risks of others contributing capital</w:t>
      </w:r>
    </w:p>
    <w:p w14:paraId="2836B224" w14:textId="77777777" w:rsidR="00D2648E" w:rsidRDefault="00D2648E" w:rsidP="00D2648E">
      <w:pPr>
        <w:pStyle w:val="ListParagraph"/>
        <w:numPr>
          <w:ilvl w:val="1"/>
          <w:numId w:val="18"/>
        </w:numPr>
        <w:rPr>
          <w:rStyle w:val="s1"/>
        </w:rPr>
      </w:pPr>
      <w:r>
        <w:rPr>
          <w:rStyle w:val="s1"/>
        </w:rPr>
        <w:t xml:space="preserve">Stable policy and regulatory contexts will be critical to help decrease the real and perceived risks faced by investors and service providers </w:t>
      </w:r>
    </w:p>
    <w:p w14:paraId="555CDB0E" w14:textId="77777777" w:rsidR="00046947" w:rsidRPr="00EE6001" w:rsidRDefault="00046947" w:rsidP="000E6803">
      <w:pPr>
        <w:pStyle w:val="ListParagraph"/>
        <w:numPr>
          <w:ilvl w:val="0"/>
          <w:numId w:val="18"/>
        </w:numPr>
        <w:rPr>
          <w:rStyle w:val="s1"/>
          <w:i/>
        </w:rPr>
      </w:pPr>
      <w:r w:rsidRPr="00EE6001">
        <w:rPr>
          <w:rStyle w:val="s1"/>
          <w:i/>
        </w:rPr>
        <w:t>Deliverable and relevant social outcomes</w:t>
      </w:r>
    </w:p>
    <w:p w14:paraId="664C88F7" w14:textId="77777777" w:rsidR="006802DA" w:rsidRDefault="00046947" w:rsidP="000E6803">
      <w:pPr>
        <w:pStyle w:val="ListParagraph"/>
        <w:numPr>
          <w:ilvl w:val="1"/>
          <w:numId w:val="18"/>
        </w:numPr>
        <w:rPr>
          <w:rStyle w:val="s1"/>
        </w:rPr>
      </w:pPr>
      <w:r>
        <w:rPr>
          <w:rStyle w:val="s1"/>
        </w:rPr>
        <w:t>We suggest also adding “evidence that the service provider can deliver outcomes to the cohort targeted”</w:t>
      </w:r>
      <w:r w:rsidR="006802DA">
        <w:rPr>
          <w:rStyle w:val="s1"/>
        </w:rPr>
        <w:t xml:space="preserve"> to the list of factors</w:t>
      </w:r>
    </w:p>
    <w:p w14:paraId="212F669D" w14:textId="77777777" w:rsidR="00046947" w:rsidRDefault="006802DA" w:rsidP="000E6803">
      <w:pPr>
        <w:pStyle w:val="ListParagraph"/>
        <w:numPr>
          <w:ilvl w:val="1"/>
          <w:numId w:val="18"/>
        </w:numPr>
        <w:rPr>
          <w:rStyle w:val="s1"/>
          <w:rFonts w:ascii="Arial" w:hAnsi="Arial" w:cstheme="minorBidi"/>
          <w:color w:val="000000" w:themeColor="text1"/>
          <w:sz w:val="20"/>
          <w:szCs w:val="22"/>
          <w:lang w:val="en-AU" w:eastAsia="en-AU"/>
        </w:rPr>
      </w:pPr>
      <w:r>
        <w:rPr>
          <w:rStyle w:val="s1"/>
        </w:rPr>
        <w:t xml:space="preserve">There may be risks in transferring funding to a social impact investment market before there is readiness to deliver outcomes </w:t>
      </w:r>
    </w:p>
    <w:p w14:paraId="32806AAE" w14:textId="77777777" w:rsidR="0027446B" w:rsidRPr="007734E5" w:rsidRDefault="002B4424" w:rsidP="008132A8">
      <w:pPr>
        <w:rPr>
          <w:rStyle w:val="s1"/>
        </w:rPr>
      </w:pPr>
      <w:r>
        <w:rPr>
          <w:rStyle w:val="s1"/>
        </w:rPr>
        <w:t xml:space="preserve">Different </w:t>
      </w:r>
      <w:r w:rsidR="0027446B" w:rsidRPr="007734E5">
        <w:rPr>
          <w:rStyle w:val="s1"/>
        </w:rPr>
        <w:t xml:space="preserve">types of social impact investment </w:t>
      </w:r>
      <w:r>
        <w:rPr>
          <w:rStyle w:val="s1"/>
        </w:rPr>
        <w:t xml:space="preserve">may </w:t>
      </w:r>
      <w:r w:rsidR="0027446B" w:rsidRPr="007734E5">
        <w:rPr>
          <w:rStyle w:val="s1"/>
        </w:rPr>
        <w:t>require flexibility</w:t>
      </w:r>
      <w:r>
        <w:rPr>
          <w:rStyle w:val="s1"/>
        </w:rPr>
        <w:t xml:space="preserve"> in the application of the principles, but the principles can be applied across the suite of SII instruments</w:t>
      </w:r>
      <w:r w:rsidR="0027446B" w:rsidRPr="007734E5">
        <w:rPr>
          <w:rStyle w:val="s1"/>
        </w:rPr>
        <w:t xml:space="preserve">.  </w:t>
      </w:r>
    </w:p>
    <w:p w14:paraId="0389604B" w14:textId="77777777" w:rsidR="0027446B" w:rsidRPr="007734E5" w:rsidRDefault="0027446B" w:rsidP="00F55E6B">
      <w:pPr>
        <w:rPr>
          <w:rStyle w:val="s1"/>
        </w:rPr>
      </w:pPr>
      <w:r w:rsidRPr="007734E5">
        <w:rPr>
          <w:rStyle w:val="s1"/>
        </w:rPr>
        <w:t xml:space="preserve">As highlighted </w:t>
      </w:r>
      <w:r w:rsidR="000E6803">
        <w:rPr>
          <w:rStyle w:val="s1"/>
        </w:rPr>
        <w:t>i</w:t>
      </w:r>
      <w:r w:rsidRPr="007734E5">
        <w:rPr>
          <w:rStyle w:val="s1"/>
        </w:rPr>
        <w:t>n the Discussion Paper</w:t>
      </w:r>
      <w:r w:rsidR="000E6803">
        <w:rPr>
          <w:rStyle w:val="s1"/>
        </w:rPr>
        <w:t xml:space="preserve"> (</w:t>
      </w:r>
      <w:r w:rsidR="000E6803" w:rsidRPr="007734E5">
        <w:rPr>
          <w:rStyle w:val="s1"/>
        </w:rPr>
        <w:t>p. 14</w:t>
      </w:r>
      <w:r w:rsidR="000E6803">
        <w:rPr>
          <w:rStyle w:val="s1"/>
        </w:rPr>
        <w:t>)</w:t>
      </w:r>
      <w:r w:rsidRPr="007734E5">
        <w:rPr>
          <w:rStyle w:val="s1"/>
        </w:rPr>
        <w:t>, government is not a participant in many social impact investments.  </w:t>
      </w:r>
      <w:r w:rsidR="002B4424">
        <w:rPr>
          <w:rStyle w:val="s1"/>
        </w:rPr>
        <w:t>Thus, w</w:t>
      </w:r>
      <w:r w:rsidR="002B4424" w:rsidRPr="007734E5">
        <w:rPr>
          <w:rStyle w:val="s1"/>
        </w:rPr>
        <w:t xml:space="preserve">hile the aim of the proposed Principles is to guide the Australian Government in the development of the social impact investing market, it should clearly be stated that care should be taken by other market participants </w:t>
      </w:r>
      <w:r w:rsidR="002B4424">
        <w:rPr>
          <w:rStyle w:val="s1"/>
        </w:rPr>
        <w:t>in</w:t>
      </w:r>
      <w:r w:rsidR="002B4424" w:rsidRPr="007734E5">
        <w:rPr>
          <w:rStyle w:val="s1"/>
        </w:rPr>
        <w:t xml:space="preserve"> adopting the Principles.</w:t>
      </w:r>
      <w:r w:rsidRPr="007734E5">
        <w:rPr>
          <w:rStyle w:val="s1"/>
        </w:rPr>
        <w:t xml:space="preserve"> </w:t>
      </w:r>
    </w:p>
    <w:p w14:paraId="483FD0DF" w14:textId="77777777" w:rsidR="00A80092" w:rsidRPr="00A80092" w:rsidRDefault="00A80092" w:rsidP="00A80092">
      <w:pPr>
        <w:pStyle w:val="Heading3"/>
        <w:rPr>
          <w:rStyle w:val="s1"/>
        </w:rPr>
      </w:pPr>
      <w:r>
        <w:rPr>
          <w:rStyle w:val="s1"/>
        </w:rPr>
        <w:t xml:space="preserve">Question 23: </w:t>
      </w:r>
      <w:r w:rsidRPr="00A80092">
        <w:rPr>
          <w:rStyle w:val="s1"/>
        </w:rPr>
        <w:t>What guidance in particular would provide a desired level of clarity on the fiduciary duty of superannuation trustees on impact investing?</w:t>
      </w:r>
    </w:p>
    <w:p w14:paraId="533CDA9F" w14:textId="77777777" w:rsidR="00016EB9" w:rsidRDefault="00843EFE" w:rsidP="00843EFE">
      <w:pPr>
        <w:pStyle w:val="Heading3"/>
        <w:rPr>
          <w:rStyle w:val="apple-converted-space"/>
          <w:rFonts w:ascii="Calibri" w:eastAsia="Times New Roman" w:hAnsi="Calibri"/>
          <w:b w:val="0"/>
          <w:bCs/>
          <w:color w:val="000000"/>
          <w:u w:val="none"/>
        </w:rPr>
      </w:pPr>
      <w:r w:rsidRPr="00843EFE">
        <w:rPr>
          <w:rStyle w:val="s1"/>
          <w:rFonts w:ascii="Calibri" w:eastAsia="Times New Roman" w:hAnsi="Calibri"/>
          <w:b w:val="0"/>
          <w:bCs/>
          <w:color w:val="000000"/>
          <w:u w:val="none"/>
        </w:rPr>
        <w:t>Superannuation funds require market rate risk adjusted financial returns due to the requirements of the sole purpose test</w:t>
      </w:r>
      <w:bookmarkStart w:id="1" w:name="_ftnref1"/>
      <w:r w:rsidR="007324A8">
        <w:rPr>
          <w:rStyle w:val="FootnoteReference"/>
          <w:rFonts w:ascii="Calibri" w:eastAsia="Times New Roman" w:hAnsi="Calibri"/>
          <w:b w:val="0"/>
          <w:bCs/>
          <w:color w:val="000000"/>
          <w:u w:val="none"/>
        </w:rPr>
        <w:footnoteReference w:id="4"/>
      </w:r>
      <w:bookmarkEnd w:id="1"/>
      <w:r w:rsidRPr="00890EE5">
        <w:rPr>
          <w:rStyle w:val="s1"/>
          <w:rFonts w:ascii="Calibri" w:eastAsia="Times New Roman" w:hAnsi="Calibri"/>
          <w:b w:val="0"/>
          <w:bCs/>
          <w:color w:val="000000"/>
          <w:u w:val="none"/>
        </w:rPr>
        <w:t>.</w:t>
      </w:r>
      <w:r w:rsidRPr="00843EFE">
        <w:rPr>
          <w:rStyle w:val="apple-converted-space"/>
          <w:rFonts w:ascii="Calibri" w:eastAsia="Times New Roman" w:hAnsi="Calibri"/>
          <w:b w:val="0"/>
          <w:bCs/>
          <w:color w:val="000000"/>
          <w:u w:val="none"/>
        </w:rPr>
        <w:t> </w:t>
      </w:r>
      <w:r w:rsidRPr="00843EFE">
        <w:rPr>
          <w:rStyle w:val="s1"/>
          <w:rFonts w:ascii="Calibri" w:eastAsia="Times New Roman" w:hAnsi="Calibri"/>
          <w:b w:val="0"/>
          <w:bCs/>
          <w:color w:val="000000"/>
          <w:u w:val="none"/>
        </w:rPr>
        <w:t> Most superannuation funds consider environmental, social and governance (ESG) issues as part of their investment analysis because of their impact on the value and risk of the investments. </w:t>
      </w:r>
      <w:r w:rsidRPr="00843EFE">
        <w:rPr>
          <w:rStyle w:val="apple-converted-space"/>
          <w:rFonts w:ascii="Calibri" w:eastAsia="Times New Roman" w:hAnsi="Calibri"/>
          <w:b w:val="0"/>
          <w:bCs/>
          <w:color w:val="000000"/>
          <w:u w:val="none"/>
        </w:rPr>
        <w:t> </w:t>
      </w:r>
      <w:r w:rsidRPr="00843EFE">
        <w:rPr>
          <w:rStyle w:val="s1"/>
          <w:rFonts w:ascii="Calibri" w:eastAsia="Times New Roman" w:hAnsi="Calibri"/>
          <w:b w:val="0"/>
          <w:bCs/>
          <w:color w:val="000000"/>
          <w:u w:val="none"/>
        </w:rPr>
        <w:t>This includes consideration of the corporate social responsibility (CSR) policies and practices of the portfolio companies, and engagement on particular issues. </w:t>
      </w:r>
      <w:r w:rsidRPr="00843EFE">
        <w:rPr>
          <w:rStyle w:val="apple-converted-space"/>
          <w:rFonts w:ascii="Calibri" w:eastAsia="Times New Roman" w:hAnsi="Calibri"/>
          <w:b w:val="0"/>
          <w:bCs/>
          <w:color w:val="000000"/>
          <w:u w:val="none"/>
        </w:rPr>
        <w:t> </w:t>
      </w:r>
    </w:p>
    <w:p w14:paraId="609BD6E8" w14:textId="77777777" w:rsidR="00446AF1" w:rsidRPr="0027446B" w:rsidRDefault="00843EFE" w:rsidP="0027446B">
      <w:pPr>
        <w:pStyle w:val="Heading3"/>
        <w:rPr>
          <w:rFonts w:ascii="Calibri" w:eastAsia="Times New Roman" w:hAnsi="Calibri"/>
          <w:color w:val="000000"/>
          <w:sz w:val="27"/>
          <w:u w:val="none"/>
          <w:lang w:eastAsia="en-GB"/>
        </w:rPr>
      </w:pPr>
      <w:r w:rsidRPr="00843EFE">
        <w:rPr>
          <w:rStyle w:val="s1"/>
          <w:rFonts w:ascii="Calibri" w:eastAsia="Times New Roman" w:hAnsi="Calibri"/>
          <w:b w:val="0"/>
          <w:bCs/>
          <w:color w:val="000000"/>
          <w:u w:val="none"/>
        </w:rPr>
        <w:t>With its dual returns (social and financial), social impact investing is more targeted (Responsible Investment Association Australasia 2016). </w:t>
      </w:r>
      <w:r w:rsidRPr="00843EFE">
        <w:rPr>
          <w:rStyle w:val="apple-converted-space"/>
          <w:rFonts w:ascii="Calibri" w:eastAsia="Times New Roman" w:hAnsi="Calibri"/>
          <w:b w:val="0"/>
          <w:bCs/>
          <w:color w:val="000000"/>
          <w:u w:val="none"/>
        </w:rPr>
        <w:t> </w:t>
      </w:r>
      <w:r w:rsidRPr="00843EFE">
        <w:rPr>
          <w:rStyle w:val="s1"/>
          <w:rFonts w:ascii="Calibri" w:eastAsia="Times New Roman" w:hAnsi="Calibri"/>
          <w:b w:val="0"/>
          <w:bCs/>
          <w:color w:val="000000"/>
          <w:u w:val="none"/>
        </w:rPr>
        <w:t>Social impact investments are being considered by some superannuation funds, either for socially responsible member choice options or the fund as a whole. </w:t>
      </w:r>
      <w:r w:rsidRPr="00843EFE">
        <w:rPr>
          <w:rStyle w:val="apple-converted-space"/>
          <w:rFonts w:ascii="Calibri" w:eastAsia="Times New Roman" w:hAnsi="Calibri"/>
          <w:b w:val="0"/>
          <w:bCs/>
          <w:color w:val="000000"/>
          <w:u w:val="none"/>
        </w:rPr>
        <w:t> </w:t>
      </w:r>
      <w:r w:rsidR="002D2678">
        <w:rPr>
          <w:rStyle w:val="s1"/>
          <w:rFonts w:ascii="Calibri" w:eastAsia="Times New Roman" w:hAnsi="Calibri"/>
          <w:b w:val="0"/>
          <w:bCs/>
          <w:color w:val="000000"/>
          <w:u w:val="none"/>
        </w:rPr>
        <w:t>While</w:t>
      </w:r>
      <w:r w:rsidRPr="00843EFE">
        <w:rPr>
          <w:rStyle w:val="s1"/>
          <w:rFonts w:ascii="Calibri" w:eastAsia="Times New Roman" w:hAnsi="Calibri"/>
          <w:b w:val="0"/>
          <w:bCs/>
          <w:color w:val="000000"/>
          <w:u w:val="none"/>
        </w:rPr>
        <w:t xml:space="preserve"> the sole purpose test requires risk adjusted market returns for the fund as a whole, clarity could be provided on the fiduciary duty of trustees for socially responsible member choice options where the </w:t>
      </w:r>
      <w:r w:rsidR="00016EB9" w:rsidRPr="00843EFE">
        <w:rPr>
          <w:rStyle w:val="s1"/>
          <w:rFonts w:ascii="Calibri" w:eastAsia="Times New Roman" w:hAnsi="Calibri"/>
          <w:b w:val="0"/>
          <w:bCs/>
          <w:color w:val="000000"/>
          <w:u w:val="none"/>
        </w:rPr>
        <w:t>trade-off</w:t>
      </w:r>
      <w:r w:rsidRPr="00843EFE">
        <w:rPr>
          <w:rStyle w:val="s1"/>
          <w:rFonts w:ascii="Calibri" w:eastAsia="Times New Roman" w:hAnsi="Calibri"/>
          <w:b w:val="0"/>
          <w:bCs/>
          <w:color w:val="000000"/>
          <w:u w:val="none"/>
        </w:rPr>
        <w:t xml:space="preserve"> between returns and impact may be different if it is clearly disclosed to members in the product disclosure statements.</w:t>
      </w:r>
    </w:p>
    <w:p w14:paraId="5590779E" w14:textId="77777777" w:rsidR="00A80092" w:rsidRPr="00A80092" w:rsidRDefault="00A80092" w:rsidP="00A80092">
      <w:pPr>
        <w:pStyle w:val="Heading3"/>
        <w:rPr>
          <w:rStyle w:val="s1"/>
        </w:rPr>
      </w:pPr>
      <w:r>
        <w:rPr>
          <w:rStyle w:val="s1"/>
        </w:rPr>
        <w:t xml:space="preserve">Question 24: </w:t>
      </w:r>
      <w:r w:rsidRPr="00A80092">
        <w:rPr>
          <w:rStyle w:val="s1"/>
        </w:rPr>
        <w:t xml:space="preserve">To what extent are the current arrangements for program related investments appropriate? Should changes be made to: </w:t>
      </w:r>
    </w:p>
    <w:p w14:paraId="2249D379" w14:textId="77777777" w:rsidR="0027446B" w:rsidRPr="0027446B" w:rsidRDefault="00A80092" w:rsidP="0027446B">
      <w:pPr>
        <w:pStyle w:val="Heading3"/>
        <w:ind w:left="720"/>
      </w:pPr>
      <w:r>
        <w:rPr>
          <w:rStyle w:val="s1"/>
        </w:rPr>
        <w:t xml:space="preserve">24.1 </w:t>
      </w:r>
      <w:r w:rsidRPr="00A80092">
        <w:rPr>
          <w:rStyle w:val="s1"/>
        </w:rPr>
        <w:t>recognise the total loan, rather than only the discount rate between a commercial rate and the concessional loan rate, for the purposes of meeting the ancillary’s funds minimum annual distribution; and</w:t>
      </w:r>
      <w:r w:rsidR="00F57B58">
        <w:rPr>
          <w:rStyle w:val="s1"/>
        </w:rPr>
        <w:t xml:space="preserve"> </w:t>
      </w:r>
      <w:r>
        <w:rPr>
          <w:rStyle w:val="s1"/>
        </w:rPr>
        <w:t xml:space="preserve">24.2 </w:t>
      </w:r>
      <w:r w:rsidRPr="00A80092">
        <w:rPr>
          <w:rStyle w:val="s1"/>
        </w:rPr>
        <w:t>allow ancillary funds to make program related investments to non</w:t>
      </w:r>
      <w:r w:rsidRPr="00A80092">
        <w:rPr>
          <w:rStyle w:val="s1"/>
        </w:rPr>
        <w:noBreakHyphen/>
        <w:t>DGR organisations</w:t>
      </w:r>
    </w:p>
    <w:p w14:paraId="05429217" w14:textId="77777777" w:rsidR="0027446B" w:rsidRPr="005D6A35" w:rsidRDefault="0027446B" w:rsidP="0027446B">
      <w:pPr>
        <w:rPr>
          <w:szCs w:val="21"/>
        </w:rPr>
      </w:pPr>
      <w:r w:rsidRPr="005D6A35">
        <w:rPr>
          <w:szCs w:val="21"/>
        </w:rPr>
        <w:t xml:space="preserve">The current arrangements with regards to PRIs do not effectively promote social impact investment.  </w:t>
      </w:r>
    </w:p>
    <w:p w14:paraId="65EB3A9E" w14:textId="77777777" w:rsidR="0027446B" w:rsidRPr="005D6A35" w:rsidRDefault="0027446B" w:rsidP="0027446B">
      <w:pPr>
        <w:rPr>
          <w:szCs w:val="21"/>
        </w:rPr>
      </w:pPr>
      <w:r w:rsidRPr="005D6A35">
        <w:rPr>
          <w:szCs w:val="21"/>
        </w:rPr>
        <w:t>As outlined in the Discussion Paper, existing treatment constrains the ability of PAFs and PuAFs to make ‘impact first’ PRIs, beyond the narrow scope allowed by amendments to the ancillary fund guidelines.  The implications are two-fold: it limits the availability of capital to a pool of DGR Category 1s and reduces the appeal of PRIs to ancillary funds due to limits on the annual distribution.  The expanded treatment proposed in the Discussion Paper (</w:t>
      </w:r>
      <w:r w:rsidR="007324A8">
        <w:rPr>
          <w:szCs w:val="21"/>
        </w:rPr>
        <w:t>p</w:t>
      </w:r>
      <w:r w:rsidRPr="005D6A35">
        <w:rPr>
          <w:szCs w:val="21"/>
        </w:rPr>
        <w:t xml:space="preserve">p. 30-31) should in principle address these issues.  </w:t>
      </w:r>
    </w:p>
    <w:p w14:paraId="0C34BD6E" w14:textId="77777777" w:rsidR="0027446B" w:rsidRPr="005D6A35" w:rsidRDefault="0027446B" w:rsidP="0027446B">
      <w:pPr>
        <w:rPr>
          <w:szCs w:val="21"/>
        </w:rPr>
      </w:pPr>
      <w:r w:rsidRPr="005D6A35">
        <w:rPr>
          <w:szCs w:val="21"/>
        </w:rPr>
        <w:t xml:space="preserve">As noted, there are significant implications of the extension of treatment to include non-DGRs.  DGR categories are tightly regulated in line with other government regulatory and policy objectives.  Caution must be taken when making this amendment and should be addressed within the wider, and ongoing, discussions around DGR status.  </w:t>
      </w:r>
    </w:p>
    <w:p w14:paraId="5E53EC5E" w14:textId="77777777" w:rsidR="0027446B" w:rsidRPr="005D6A35" w:rsidRDefault="0027446B" w:rsidP="0027446B">
      <w:pPr>
        <w:rPr>
          <w:szCs w:val="21"/>
        </w:rPr>
      </w:pPr>
      <w:r w:rsidRPr="005D6A35">
        <w:rPr>
          <w:szCs w:val="21"/>
        </w:rPr>
        <w:t xml:space="preserve">The report prepared by Philanthropy Australia for the Prime Minister’s Community Business Partnership (Philanthropy Australia 2015: 22) has identified that this would also require ‘relatively straight-forward’ amendments to legislation with regulation with respect to Income Tax Assessment Act 1997 and ancillary funds.  </w:t>
      </w:r>
    </w:p>
    <w:p w14:paraId="549FAFF5" w14:textId="77777777" w:rsidR="00AD4BE6" w:rsidRPr="0027446B" w:rsidRDefault="00A80092" w:rsidP="0027446B">
      <w:pPr>
        <w:pStyle w:val="Heading3"/>
      </w:pPr>
      <w:r>
        <w:rPr>
          <w:rStyle w:val="s1"/>
        </w:rPr>
        <w:t xml:space="preserve">Question 29:  </w:t>
      </w:r>
      <w:r w:rsidR="00AD4BE6" w:rsidRPr="00AD4BE6">
        <w:rPr>
          <w:rStyle w:val="s1"/>
        </w:rPr>
        <w:t>Would making a model constitution for a social enterprise assist in reducing the costs for individuals intending to establish a new entity? What other standard products or other industry</w:t>
      </w:r>
      <w:r w:rsidR="00AD4BE6" w:rsidRPr="00AD4BE6">
        <w:rPr>
          <w:rStyle w:val="s1"/>
        </w:rPr>
        <w:noBreakHyphen/>
        <w:t>led solutions would assist in reducing the costs for individuals intending to establish a social enterprise?</w:t>
      </w:r>
    </w:p>
    <w:p w14:paraId="0D2E33BB" w14:textId="77777777" w:rsidR="00CB1C56" w:rsidRDefault="00F76F58" w:rsidP="00D947D4">
      <w:pPr>
        <w:rPr>
          <w:szCs w:val="21"/>
        </w:rPr>
      </w:pPr>
      <w:r w:rsidRPr="0058361B">
        <w:rPr>
          <w:szCs w:val="21"/>
        </w:rPr>
        <w:t xml:space="preserve">Over eight years of conducting research with the Australian </w:t>
      </w:r>
      <w:r w:rsidR="00DE7903" w:rsidRPr="0058361B">
        <w:rPr>
          <w:szCs w:val="21"/>
        </w:rPr>
        <w:t>social enterprise</w:t>
      </w:r>
      <w:r w:rsidRPr="0058361B">
        <w:rPr>
          <w:szCs w:val="21"/>
        </w:rPr>
        <w:t xml:space="preserve"> sector, the direct costs of incorporation have never presented as a barrier to entry in CSI staff’s experience. </w:t>
      </w:r>
      <w:r w:rsidR="00F33CBB" w:rsidRPr="0058361B">
        <w:rPr>
          <w:szCs w:val="21"/>
        </w:rPr>
        <w:t xml:space="preserve">Rather, the transaction costs of finding suitable legal advice and the capital costs of establishing particular businesses – both of which are arguably barriers to entry for mainstream SMEs – are identifiable challenges. </w:t>
      </w:r>
    </w:p>
    <w:p w14:paraId="40834BB9" w14:textId="77777777" w:rsidR="00CB1C56" w:rsidRDefault="00F33CBB" w:rsidP="00D947D4">
      <w:pPr>
        <w:rPr>
          <w:szCs w:val="21"/>
        </w:rPr>
      </w:pPr>
      <w:r w:rsidRPr="0058361B">
        <w:rPr>
          <w:szCs w:val="21"/>
        </w:rPr>
        <w:t xml:space="preserve">As detailed in relation to the findings of FASES 2016 above, it is not clear at this stage that a legal remedy is desired by the social enterprise sector, nor that this would remove barriers to entry or greater access to external finance. Much of the discussion of new legal forms </w:t>
      </w:r>
      <w:r w:rsidR="00DE7903" w:rsidRPr="0058361B">
        <w:rPr>
          <w:szCs w:val="21"/>
        </w:rPr>
        <w:t xml:space="preserve">presented during FASES 2016 focus groups with 75 participants related much more to increasing visibility and public legitimacy of social enterprises than it did to accessing finance or resolving legal constraints. </w:t>
      </w:r>
    </w:p>
    <w:p w14:paraId="07FCDA4B" w14:textId="77777777" w:rsidR="00AD4BE6" w:rsidRPr="0058361B" w:rsidRDefault="00DE7903" w:rsidP="00D947D4">
      <w:pPr>
        <w:rPr>
          <w:szCs w:val="21"/>
        </w:rPr>
      </w:pPr>
      <w:r w:rsidRPr="0058361B">
        <w:rPr>
          <w:szCs w:val="21"/>
        </w:rPr>
        <w:t>As identified in the SEDIF evaluation and above, access to diverse forms of social finance</w:t>
      </w:r>
      <w:r w:rsidR="00314A4A" w:rsidRPr="0058361B">
        <w:rPr>
          <w:szCs w:val="21"/>
        </w:rPr>
        <w:t xml:space="preserve"> – including but not limite</w:t>
      </w:r>
      <w:r w:rsidR="00CB1C56">
        <w:rPr>
          <w:szCs w:val="21"/>
        </w:rPr>
        <w:t xml:space="preserve">d to social impact investment – </w:t>
      </w:r>
      <w:r w:rsidRPr="0058361B">
        <w:rPr>
          <w:szCs w:val="21"/>
        </w:rPr>
        <w:t>is important to meeting the needs of diverse social enterprises. Further, finance first models of social enterprise development are often unsuccessful, with capacity building for new market entrants typically required in relation to: understanding and apprenticing the social problem they seek to resolve; establishing business model</w:t>
      </w:r>
      <w:r w:rsidR="00314A4A" w:rsidRPr="0058361B">
        <w:rPr>
          <w:szCs w:val="21"/>
        </w:rPr>
        <w:t>, governance</w:t>
      </w:r>
      <w:r w:rsidRPr="0058361B">
        <w:rPr>
          <w:szCs w:val="21"/>
        </w:rPr>
        <w:t xml:space="preserve"> and operations; developing peer support and networks; and fostering market opportunities. Attention to these issues –</w:t>
      </w:r>
      <w:r w:rsidR="00314A4A" w:rsidRPr="0058361B">
        <w:rPr>
          <w:szCs w:val="21"/>
        </w:rPr>
        <w:t xml:space="preserve"> with</w:t>
      </w:r>
      <w:r w:rsidRPr="0058361B">
        <w:rPr>
          <w:szCs w:val="21"/>
        </w:rPr>
        <w:t xml:space="preserve"> government investmen</w:t>
      </w:r>
      <w:r w:rsidR="00314A4A" w:rsidRPr="0058361B">
        <w:rPr>
          <w:szCs w:val="21"/>
        </w:rPr>
        <w:t>t</w:t>
      </w:r>
      <w:r w:rsidR="00CB1C56">
        <w:rPr>
          <w:szCs w:val="21"/>
        </w:rPr>
        <w:t xml:space="preserve"> in specialist intermediaries – </w:t>
      </w:r>
      <w:r w:rsidRPr="0058361B">
        <w:rPr>
          <w:szCs w:val="21"/>
        </w:rPr>
        <w:t>is likely to</w:t>
      </w:r>
      <w:r w:rsidR="00314A4A" w:rsidRPr="0058361B">
        <w:rPr>
          <w:szCs w:val="21"/>
        </w:rPr>
        <w:t xml:space="preserve"> improve social enterprise start-up and performance. Educating legal and financial advisors about diverse business forms, including social enterprises, is also likely to improve the quality and accessibility of advice to start-up and established social enterprises.</w:t>
      </w:r>
      <w:r w:rsidRPr="0058361B">
        <w:rPr>
          <w:szCs w:val="21"/>
        </w:rPr>
        <w:t xml:space="preserve"> </w:t>
      </w:r>
    </w:p>
    <w:p w14:paraId="0A4F19CF" w14:textId="77777777" w:rsidR="00446AF1" w:rsidRDefault="00446AF1">
      <w:pPr>
        <w:spacing w:before="0"/>
      </w:pPr>
    </w:p>
    <w:p w14:paraId="7D1AB136" w14:textId="77777777" w:rsidR="001B04C4" w:rsidRDefault="001B04C4">
      <w:pPr>
        <w:rPr>
          <w:rStyle w:val="s1"/>
          <w:rFonts w:ascii="Arial" w:hAnsi="Arial" w:cs="Arial"/>
          <w:b/>
          <w:szCs w:val="21"/>
          <w:u w:val="single"/>
        </w:rPr>
      </w:pPr>
      <w:r>
        <w:rPr>
          <w:rStyle w:val="s1"/>
          <w:rFonts w:ascii="Arial" w:hAnsi="Arial" w:cs="Arial"/>
          <w:b/>
          <w:szCs w:val="21"/>
          <w:u w:val="single"/>
        </w:rPr>
        <w:br w:type="page"/>
      </w:r>
    </w:p>
    <w:p w14:paraId="179DD445" w14:textId="0A125A31" w:rsidR="00C17ED1" w:rsidRPr="008132A8" w:rsidRDefault="00C17ED1" w:rsidP="00C17ED1">
      <w:pPr>
        <w:rPr>
          <w:rStyle w:val="s1"/>
          <w:rFonts w:ascii="Arial" w:hAnsi="Arial"/>
          <w:b/>
          <w:szCs w:val="21"/>
          <w:u w:val="single"/>
        </w:rPr>
      </w:pPr>
      <w:r w:rsidRPr="008132A8">
        <w:rPr>
          <w:rStyle w:val="s1"/>
          <w:rFonts w:ascii="Arial" w:hAnsi="Arial" w:cs="Arial"/>
          <w:b/>
          <w:szCs w:val="21"/>
          <w:u w:val="single"/>
        </w:rPr>
        <w:t>References</w:t>
      </w:r>
    </w:p>
    <w:p w14:paraId="1CE52C24" w14:textId="77777777" w:rsidR="00F73802" w:rsidRDefault="00F73802" w:rsidP="00F73802">
      <w:pPr>
        <w:contextualSpacing/>
        <w:rPr>
          <w:rFonts w:ascii="Gill Sans MT" w:hAnsi="Gill Sans MT" w:cs="Calibri"/>
          <w:sz w:val="20"/>
        </w:rPr>
      </w:pPr>
    </w:p>
    <w:p w14:paraId="1EDB2916" w14:textId="77777777" w:rsidR="00F73802" w:rsidRDefault="00F73802" w:rsidP="00F73802">
      <w:pPr>
        <w:autoSpaceDE w:val="0"/>
        <w:autoSpaceDN w:val="0"/>
        <w:adjustRightInd w:val="0"/>
        <w:spacing w:after="160" w:line="259" w:lineRule="auto"/>
        <w:rPr>
          <w:rFonts w:asciiTheme="minorHAnsi" w:hAnsiTheme="minorHAnsi" w:cs="Arial"/>
          <w:szCs w:val="21"/>
        </w:rPr>
      </w:pPr>
      <w:r w:rsidRPr="00F73802">
        <w:rPr>
          <w:rFonts w:asciiTheme="minorHAnsi" w:hAnsiTheme="minorHAnsi" w:cs="Arial"/>
          <w:szCs w:val="21"/>
        </w:rPr>
        <w:t>Access (</w:t>
      </w:r>
      <w:r>
        <w:rPr>
          <w:rFonts w:asciiTheme="minorHAnsi" w:hAnsiTheme="minorHAnsi" w:cs="Arial"/>
          <w:szCs w:val="21"/>
        </w:rPr>
        <w:t>2017</w:t>
      </w:r>
      <w:r w:rsidRPr="00F73802">
        <w:rPr>
          <w:rFonts w:asciiTheme="minorHAnsi" w:hAnsiTheme="minorHAnsi" w:cs="Arial"/>
          <w:szCs w:val="21"/>
        </w:rPr>
        <w:t>).</w:t>
      </w:r>
      <w:r>
        <w:rPr>
          <w:rFonts w:asciiTheme="minorHAnsi" w:hAnsiTheme="minorHAnsi" w:cs="Arial"/>
          <w:szCs w:val="21"/>
        </w:rPr>
        <w:t xml:space="preserve"> ‘Access: The Foundations for Social Investment’</w:t>
      </w:r>
      <w:r w:rsidRPr="00F73802">
        <w:rPr>
          <w:rFonts w:asciiTheme="minorHAnsi" w:hAnsiTheme="minorHAnsi" w:cs="Arial"/>
          <w:szCs w:val="21"/>
        </w:rPr>
        <w:t xml:space="preserve"> </w:t>
      </w:r>
      <w:hyperlink r:id="rId14" w:history="1">
        <w:r w:rsidRPr="005A34CE">
          <w:rPr>
            <w:rStyle w:val="Hyperlink"/>
            <w:rFonts w:asciiTheme="minorHAnsi" w:hAnsiTheme="minorHAnsi" w:cs="Arial"/>
            <w:szCs w:val="21"/>
          </w:rPr>
          <w:t>http://access-socialinvestment.org.uk/</w:t>
        </w:r>
      </w:hyperlink>
    </w:p>
    <w:p w14:paraId="58C3F9D2" w14:textId="77777777" w:rsidR="00C17ED1" w:rsidRPr="004D3F3B" w:rsidRDefault="00C17ED1" w:rsidP="00C17ED1">
      <w:pPr>
        <w:autoSpaceDE w:val="0"/>
        <w:autoSpaceDN w:val="0"/>
        <w:adjustRightInd w:val="0"/>
        <w:spacing w:after="160" w:line="259" w:lineRule="auto"/>
        <w:rPr>
          <w:rFonts w:asciiTheme="minorHAnsi" w:hAnsiTheme="minorHAnsi" w:cs="Arial"/>
          <w:szCs w:val="21"/>
        </w:rPr>
      </w:pPr>
      <w:r w:rsidRPr="004D3F3B">
        <w:rPr>
          <w:rFonts w:asciiTheme="minorHAnsi" w:hAnsiTheme="minorHAnsi" w:cs="Arial"/>
          <w:szCs w:val="21"/>
        </w:rPr>
        <w:t>A</w:t>
      </w:r>
      <w:r w:rsidR="00F73802">
        <w:rPr>
          <w:rFonts w:asciiTheme="minorHAnsi" w:hAnsiTheme="minorHAnsi" w:cs="Arial"/>
          <w:szCs w:val="21"/>
        </w:rPr>
        <w:t>ustr</w:t>
      </w:r>
      <w:r w:rsidRPr="004D3F3B">
        <w:rPr>
          <w:rFonts w:asciiTheme="minorHAnsi" w:hAnsiTheme="minorHAnsi" w:cs="Arial"/>
          <w:szCs w:val="21"/>
        </w:rPr>
        <w:t xml:space="preserve">alian Government (1993) </w:t>
      </w:r>
      <w:r w:rsidRPr="004D3F3B">
        <w:rPr>
          <w:rFonts w:asciiTheme="minorHAnsi" w:hAnsiTheme="minorHAnsi" w:cs="Arial"/>
          <w:i/>
          <w:szCs w:val="21"/>
        </w:rPr>
        <w:t>Superannuation Industry (Supervision) Act 1993 – Sect 62; Sole purpose test</w:t>
      </w:r>
      <w:r w:rsidRPr="004D3F3B">
        <w:rPr>
          <w:rFonts w:asciiTheme="minorHAnsi" w:hAnsiTheme="minorHAnsi" w:cs="Arial"/>
          <w:szCs w:val="21"/>
        </w:rPr>
        <w:t xml:space="preserve">, Commonwealth Consolidated Acts, Australian Government, accessed 7 February 2017, </w:t>
      </w:r>
      <w:hyperlink r:id="rId15" w:history="1">
        <w:r w:rsidR="004D724E" w:rsidRPr="005A34CE">
          <w:rPr>
            <w:rStyle w:val="Hyperlink"/>
            <w:rFonts w:asciiTheme="minorHAnsi" w:hAnsiTheme="minorHAnsi" w:cs="Arial"/>
            <w:szCs w:val="21"/>
          </w:rPr>
          <w:t>http://www.austlii.edu.au/au/legis/cth/consol_act/sia1993473/s62.html</w:t>
        </w:r>
      </w:hyperlink>
      <w:r w:rsidR="004D724E">
        <w:rPr>
          <w:rFonts w:asciiTheme="minorHAnsi" w:hAnsiTheme="minorHAnsi" w:cs="Arial"/>
          <w:szCs w:val="21"/>
        </w:rPr>
        <w:t xml:space="preserve"> </w:t>
      </w:r>
    </w:p>
    <w:p w14:paraId="7153DC68" w14:textId="77777777" w:rsidR="00C17ED1" w:rsidRPr="00A66BFC" w:rsidRDefault="00C17ED1" w:rsidP="00C17ED1">
      <w:pPr>
        <w:spacing w:after="160" w:line="259" w:lineRule="auto"/>
        <w:rPr>
          <w:rFonts w:asciiTheme="minorHAnsi" w:hAnsiTheme="minorHAnsi" w:cs="Arial"/>
          <w:b/>
          <w:szCs w:val="21"/>
        </w:rPr>
      </w:pPr>
      <w:r w:rsidRPr="004D3F3B">
        <w:rPr>
          <w:rFonts w:asciiTheme="minorHAnsi" w:hAnsiTheme="minorHAnsi" w:cs="Arial"/>
          <w:szCs w:val="21"/>
        </w:rPr>
        <w:t xml:space="preserve">Addis, R., McCutchan, S. and Munro, P. (2015) </w:t>
      </w:r>
      <w:r w:rsidRPr="004D3F3B">
        <w:rPr>
          <w:rFonts w:asciiTheme="minorHAnsi" w:hAnsiTheme="minorHAnsi" w:cs="Arial"/>
          <w:i/>
          <w:szCs w:val="21"/>
        </w:rPr>
        <w:t>Blueprint to Market: Impact Capital Australia</w:t>
      </w:r>
      <w:r w:rsidRPr="004D3F3B">
        <w:rPr>
          <w:rFonts w:asciiTheme="minorHAnsi" w:hAnsiTheme="minorHAnsi" w:cs="Arial"/>
          <w:szCs w:val="21"/>
        </w:rPr>
        <w:t>, Impact Investing Australia, Melbourne.</w:t>
      </w:r>
    </w:p>
    <w:p w14:paraId="393B69EF" w14:textId="77777777" w:rsidR="00F73802" w:rsidRDefault="00F73802" w:rsidP="00F73802">
      <w:pPr>
        <w:spacing w:after="160" w:line="259" w:lineRule="auto"/>
        <w:rPr>
          <w:rFonts w:asciiTheme="minorHAnsi" w:hAnsiTheme="minorHAnsi" w:cs="Arial"/>
          <w:szCs w:val="21"/>
        </w:rPr>
      </w:pPr>
      <w:r>
        <w:rPr>
          <w:rFonts w:asciiTheme="minorHAnsi" w:hAnsiTheme="minorHAnsi" w:cs="Arial"/>
          <w:szCs w:val="21"/>
        </w:rPr>
        <w:t>Big Society Capital (BSC) (2017) ‘What We Do’</w:t>
      </w:r>
      <w:r w:rsidRPr="00F73802">
        <w:rPr>
          <w:rFonts w:asciiTheme="minorHAnsi" w:hAnsiTheme="minorHAnsi" w:cs="Arial"/>
          <w:szCs w:val="21"/>
        </w:rPr>
        <w:t xml:space="preserve"> </w:t>
      </w:r>
      <w:hyperlink r:id="rId16" w:history="1">
        <w:r w:rsidRPr="005A34CE">
          <w:rPr>
            <w:rStyle w:val="Hyperlink"/>
            <w:rFonts w:asciiTheme="minorHAnsi" w:hAnsiTheme="minorHAnsi" w:cs="Arial"/>
            <w:szCs w:val="21"/>
          </w:rPr>
          <w:t>http://www.bigsocietycapital.com/about-big-society-capital</w:t>
        </w:r>
      </w:hyperlink>
    </w:p>
    <w:p w14:paraId="375BBBE2" w14:textId="77777777" w:rsidR="00D00E80" w:rsidRPr="00A66BFC" w:rsidRDefault="00D00E80" w:rsidP="00D00E80">
      <w:pPr>
        <w:rPr>
          <w:rFonts w:asciiTheme="minorHAnsi" w:hAnsiTheme="minorHAnsi"/>
          <w:szCs w:val="21"/>
        </w:rPr>
      </w:pPr>
      <w:r w:rsidRPr="00A66BFC">
        <w:rPr>
          <w:rFonts w:asciiTheme="minorHAnsi" w:hAnsiTheme="minorHAnsi"/>
          <w:szCs w:val="21"/>
        </w:rPr>
        <w:t xml:space="preserve">B Corp 2016, </w:t>
      </w:r>
      <w:r w:rsidRPr="00A66BFC">
        <w:rPr>
          <w:rFonts w:asciiTheme="minorHAnsi" w:hAnsiTheme="minorHAnsi"/>
          <w:i/>
          <w:szCs w:val="21"/>
        </w:rPr>
        <w:t>What are B Corps?</w:t>
      </w:r>
      <w:r w:rsidRPr="00A66BFC">
        <w:rPr>
          <w:rFonts w:asciiTheme="minorHAnsi" w:hAnsiTheme="minorHAnsi"/>
          <w:szCs w:val="21"/>
        </w:rPr>
        <w:t xml:space="preserve">, B Corp, </w:t>
      </w:r>
      <w:r w:rsidR="00A66BFC">
        <w:rPr>
          <w:rFonts w:asciiTheme="minorHAnsi" w:hAnsiTheme="minorHAnsi"/>
          <w:szCs w:val="21"/>
        </w:rPr>
        <w:t xml:space="preserve">accessed </w:t>
      </w:r>
      <w:r w:rsidR="00A66BFC" w:rsidRPr="00A66BFC">
        <w:rPr>
          <w:rFonts w:asciiTheme="minorHAnsi" w:hAnsiTheme="minorHAnsi"/>
          <w:szCs w:val="21"/>
        </w:rPr>
        <w:t>24</w:t>
      </w:r>
      <w:r w:rsidRPr="00A66BFC">
        <w:rPr>
          <w:rFonts w:asciiTheme="minorHAnsi" w:hAnsiTheme="minorHAnsi"/>
          <w:szCs w:val="21"/>
        </w:rPr>
        <w:t xml:space="preserve"> </w:t>
      </w:r>
      <w:r w:rsidR="00A66BFC">
        <w:rPr>
          <w:rFonts w:asciiTheme="minorHAnsi" w:hAnsiTheme="minorHAnsi"/>
          <w:szCs w:val="21"/>
        </w:rPr>
        <w:t>February</w:t>
      </w:r>
      <w:r w:rsidR="00A66BFC" w:rsidRPr="00A66BFC">
        <w:rPr>
          <w:rFonts w:asciiTheme="minorHAnsi" w:hAnsiTheme="minorHAnsi"/>
          <w:szCs w:val="21"/>
        </w:rPr>
        <w:t xml:space="preserve"> 2017, </w:t>
      </w:r>
      <w:r w:rsidRPr="00A66BFC">
        <w:rPr>
          <w:rFonts w:asciiTheme="minorHAnsi" w:hAnsiTheme="minorHAnsi"/>
          <w:szCs w:val="21"/>
        </w:rPr>
        <w:t>https://www.bcorporation.net/what-are-b-corps</w:t>
      </w:r>
      <w:r w:rsidR="00A66BFC">
        <w:rPr>
          <w:rFonts w:asciiTheme="minorHAnsi" w:hAnsiTheme="minorHAnsi"/>
          <w:szCs w:val="21"/>
        </w:rPr>
        <w:t>.</w:t>
      </w:r>
    </w:p>
    <w:p w14:paraId="5543A092" w14:textId="77777777" w:rsidR="00D00E80" w:rsidRPr="00A66BFC" w:rsidRDefault="00D00E80" w:rsidP="00C17ED1">
      <w:pPr>
        <w:autoSpaceDE w:val="0"/>
        <w:autoSpaceDN w:val="0"/>
        <w:adjustRightInd w:val="0"/>
        <w:spacing w:before="0"/>
        <w:rPr>
          <w:rFonts w:asciiTheme="minorHAnsi" w:hAnsiTheme="minorHAnsi" w:cs="Arial"/>
          <w:szCs w:val="21"/>
        </w:rPr>
      </w:pPr>
    </w:p>
    <w:p w14:paraId="1E73E838" w14:textId="77777777" w:rsidR="00C17ED1" w:rsidRPr="004D3F3B" w:rsidRDefault="00C17ED1" w:rsidP="00C17ED1">
      <w:pPr>
        <w:autoSpaceDE w:val="0"/>
        <w:autoSpaceDN w:val="0"/>
        <w:adjustRightInd w:val="0"/>
        <w:spacing w:before="0"/>
        <w:rPr>
          <w:rFonts w:asciiTheme="minorHAnsi" w:hAnsiTheme="minorHAnsi" w:cs="Arial"/>
          <w:szCs w:val="21"/>
        </w:rPr>
      </w:pPr>
      <w:r w:rsidRPr="000678D8">
        <w:rPr>
          <w:rFonts w:asciiTheme="minorHAnsi" w:hAnsiTheme="minorHAnsi" w:cs="Arial"/>
          <w:szCs w:val="21"/>
        </w:rPr>
        <w:t xml:space="preserve">Barraket, J., Collyer, N., O’Connor, M. and Anderson, H. (2010), </w:t>
      </w:r>
      <w:r w:rsidRPr="000678D8">
        <w:rPr>
          <w:rFonts w:asciiTheme="minorHAnsi" w:hAnsiTheme="minorHAnsi" w:cs="Arial"/>
          <w:i/>
          <w:szCs w:val="21"/>
        </w:rPr>
        <w:t xml:space="preserve">Finding Australia’s Social Enterprise Sector: Final </w:t>
      </w:r>
      <w:r w:rsidRPr="000678D8">
        <w:rPr>
          <w:rFonts w:asciiTheme="minorHAnsi" w:hAnsiTheme="minorHAnsi" w:cs="Arial"/>
          <w:szCs w:val="21"/>
        </w:rPr>
        <w:t xml:space="preserve">Report, FASES, </w:t>
      </w:r>
      <w:r w:rsidRPr="00C23952">
        <w:rPr>
          <w:rFonts w:asciiTheme="minorHAnsi" w:hAnsiTheme="minorHAnsi" w:cs="Arial"/>
          <w:szCs w:val="21"/>
          <w:lang w:val="en-AU" w:eastAsia="en-AU"/>
        </w:rPr>
        <w:t>Social Traders and the Australian Centre for Philanthro</w:t>
      </w:r>
      <w:r w:rsidRPr="00774782">
        <w:rPr>
          <w:rFonts w:asciiTheme="minorHAnsi" w:hAnsiTheme="minorHAnsi" w:cs="Arial"/>
          <w:szCs w:val="21"/>
          <w:lang w:val="en-AU" w:eastAsia="en-AU"/>
        </w:rPr>
        <w:t>py</w:t>
      </w:r>
      <w:r w:rsidRPr="00A66BFC">
        <w:rPr>
          <w:rFonts w:asciiTheme="minorHAnsi" w:hAnsiTheme="minorHAnsi" w:cs="Arial"/>
          <w:szCs w:val="21"/>
        </w:rPr>
        <w:t xml:space="preserve"> </w:t>
      </w:r>
      <w:r w:rsidRPr="00A66BFC">
        <w:rPr>
          <w:rFonts w:asciiTheme="minorHAnsi" w:hAnsiTheme="minorHAnsi" w:cs="Arial"/>
          <w:szCs w:val="21"/>
          <w:lang w:val="en-AU" w:eastAsia="en-AU"/>
        </w:rPr>
        <w:t>and Nonprofit Studies</w:t>
      </w:r>
      <w:r w:rsidRPr="004D3F3B">
        <w:rPr>
          <w:rFonts w:asciiTheme="minorHAnsi" w:hAnsiTheme="minorHAnsi" w:cs="Arial"/>
          <w:szCs w:val="21"/>
          <w:lang w:val="en-AU" w:eastAsia="en-AU"/>
        </w:rPr>
        <w:t>, Queensland University of Technology.</w:t>
      </w:r>
    </w:p>
    <w:p w14:paraId="5FA06463" w14:textId="77777777" w:rsidR="00C17ED1" w:rsidRPr="004D3F3B" w:rsidRDefault="00C17ED1" w:rsidP="00C17ED1">
      <w:pPr>
        <w:autoSpaceDE w:val="0"/>
        <w:autoSpaceDN w:val="0"/>
        <w:adjustRightInd w:val="0"/>
        <w:spacing w:after="160" w:line="259" w:lineRule="auto"/>
        <w:rPr>
          <w:rFonts w:asciiTheme="minorHAnsi" w:hAnsiTheme="minorHAnsi" w:cs="Arial"/>
          <w:szCs w:val="21"/>
        </w:rPr>
      </w:pPr>
      <w:r w:rsidRPr="004D3F3B">
        <w:rPr>
          <w:rFonts w:asciiTheme="minorHAnsi" w:hAnsiTheme="minorHAnsi" w:cs="Arial"/>
          <w:szCs w:val="21"/>
        </w:rPr>
        <w:t xml:space="preserve">Barraket, J., Mason, C and Blain B. (2016) </w:t>
      </w:r>
      <w:r w:rsidRPr="004D3F3B">
        <w:rPr>
          <w:rFonts w:asciiTheme="minorHAnsi" w:hAnsiTheme="minorHAnsi" w:cs="Arial"/>
          <w:i/>
          <w:szCs w:val="21"/>
        </w:rPr>
        <w:t>Finding Australia’s Social Enterprise Sector 2016: Final Report</w:t>
      </w:r>
      <w:r w:rsidRPr="004D3F3B">
        <w:rPr>
          <w:rFonts w:asciiTheme="minorHAnsi" w:hAnsiTheme="minorHAnsi" w:cs="Arial"/>
          <w:szCs w:val="21"/>
        </w:rPr>
        <w:t>, Centre for Social Impact Swinburne, Swinburne University of Technology, Melbourne.</w:t>
      </w:r>
    </w:p>
    <w:p w14:paraId="27382513" w14:textId="77777777" w:rsidR="00C17ED1" w:rsidRDefault="00C17ED1" w:rsidP="00C17ED1">
      <w:pPr>
        <w:autoSpaceDE w:val="0"/>
        <w:autoSpaceDN w:val="0"/>
        <w:adjustRightInd w:val="0"/>
        <w:spacing w:after="160" w:line="259" w:lineRule="auto"/>
        <w:rPr>
          <w:rFonts w:asciiTheme="minorHAnsi" w:hAnsiTheme="minorHAnsi" w:cs="Arial"/>
          <w:szCs w:val="21"/>
        </w:rPr>
      </w:pPr>
      <w:r w:rsidRPr="004D3F3B">
        <w:rPr>
          <w:rFonts w:asciiTheme="minorHAnsi" w:hAnsiTheme="minorHAnsi" w:cs="Arial"/>
          <w:szCs w:val="21"/>
        </w:rPr>
        <w:t xml:space="preserve">Barraket, J. and Moran, M (2015) </w:t>
      </w:r>
      <w:r w:rsidRPr="004D3F3B">
        <w:rPr>
          <w:rFonts w:asciiTheme="minorHAnsi" w:hAnsiTheme="minorHAnsi" w:cs="Arial"/>
          <w:i/>
          <w:szCs w:val="21"/>
        </w:rPr>
        <w:t>Social Enterprise in Australia and Internationally: An Evidence Review</w:t>
      </w:r>
      <w:r w:rsidRPr="004D3F3B">
        <w:rPr>
          <w:rFonts w:asciiTheme="minorHAnsi" w:hAnsiTheme="minorHAnsi" w:cs="Arial"/>
          <w:szCs w:val="21"/>
        </w:rPr>
        <w:t>, Centre for Social Impact Swinburne, Swinburne University of Technology, Melbourne.</w:t>
      </w:r>
    </w:p>
    <w:p w14:paraId="19B6A56E" w14:textId="052024B0" w:rsidR="002626CA" w:rsidRPr="004D3F3B" w:rsidRDefault="002626CA" w:rsidP="00C17ED1">
      <w:pPr>
        <w:autoSpaceDE w:val="0"/>
        <w:autoSpaceDN w:val="0"/>
        <w:adjustRightInd w:val="0"/>
        <w:spacing w:after="160" w:line="259" w:lineRule="auto"/>
        <w:rPr>
          <w:rFonts w:asciiTheme="minorHAnsi" w:hAnsiTheme="minorHAnsi" w:cs="Arial"/>
          <w:szCs w:val="21"/>
        </w:rPr>
      </w:pPr>
      <w:r>
        <w:rPr>
          <w:rFonts w:asciiTheme="minorHAnsi" w:hAnsiTheme="minorHAnsi" w:cs="Arial"/>
          <w:szCs w:val="21"/>
        </w:rPr>
        <w:t xml:space="preserve">Barraket, J., Muir, K., Lasater, Z., Dunkley, M., Mason, C., Joyce, A., Giuntoli, G., Salignac, F., Foenander, E., Blain, B. (2016). </w:t>
      </w:r>
      <w:r w:rsidRPr="002626CA">
        <w:rPr>
          <w:rFonts w:asciiTheme="minorHAnsi" w:hAnsiTheme="minorHAnsi" w:cs="Arial"/>
          <w:i/>
          <w:szCs w:val="21"/>
        </w:rPr>
        <w:t>Social Enterprise Development and Investment Funds (SEDIF) Evaluation Report</w:t>
      </w:r>
      <w:r>
        <w:rPr>
          <w:rFonts w:asciiTheme="minorHAnsi" w:hAnsiTheme="minorHAnsi" w:cs="Arial"/>
          <w:szCs w:val="21"/>
        </w:rPr>
        <w:t>, Department of Employment, Australian Government, Canberra.</w:t>
      </w:r>
    </w:p>
    <w:p w14:paraId="2FF30E17" w14:textId="77777777" w:rsidR="00F73802" w:rsidRPr="00F73802" w:rsidRDefault="00F73802" w:rsidP="00F73802">
      <w:pPr>
        <w:autoSpaceDE w:val="0"/>
        <w:autoSpaceDN w:val="0"/>
        <w:adjustRightInd w:val="0"/>
        <w:spacing w:after="160" w:line="259" w:lineRule="auto"/>
        <w:rPr>
          <w:rFonts w:asciiTheme="minorHAnsi" w:hAnsiTheme="minorHAnsi" w:cs="Arial"/>
          <w:szCs w:val="21"/>
        </w:rPr>
      </w:pPr>
      <w:r w:rsidRPr="00F73802">
        <w:rPr>
          <w:rFonts w:asciiTheme="minorHAnsi" w:hAnsiTheme="minorHAnsi" w:cs="Arial"/>
          <w:szCs w:val="21"/>
        </w:rPr>
        <w:t xml:space="preserve">Brackertz, N., &amp; Moran, M. (2010). Barriers to innovation and investment in the social economy: Retrofitting for environmental sustainability in Australian community housing. </w:t>
      </w:r>
      <w:r w:rsidRPr="00F73802">
        <w:rPr>
          <w:rFonts w:asciiTheme="minorHAnsi" w:hAnsiTheme="minorHAnsi" w:cs="Arial"/>
          <w:i/>
          <w:szCs w:val="21"/>
        </w:rPr>
        <w:t>Third Sector Review</w:t>
      </w:r>
      <w:r w:rsidRPr="00F73802">
        <w:rPr>
          <w:rFonts w:asciiTheme="minorHAnsi" w:hAnsiTheme="minorHAnsi" w:cs="Arial"/>
          <w:szCs w:val="21"/>
        </w:rPr>
        <w:t xml:space="preserve">, 16(2), 49-72. </w:t>
      </w:r>
    </w:p>
    <w:p w14:paraId="1A704713" w14:textId="77777777" w:rsidR="00C17ED1" w:rsidRPr="004D3F3B" w:rsidRDefault="00C17ED1" w:rsidP="00C17ED1">
      <w:pPr>
        <w:autoSpaceDE w:val="0"/>
        <w:autoSpaceDN w:val="0"/>
        <w:adjustRightInd w:val="0"/>
        <w:rPr>
          <w:rFonts w:asciiTheme="minorHAnsi" w:hAnsiTheme="minorHAnsi" w:cs="Arial"/>
          <w:szCs w:val="21"/>
        </w:rPr>
      </w:pPr>
      <w:r w:rsidRPr="004D3F3B">
        <w:rPr>
          <w:rFonts w:asciiTheme="minorHAnsi" w:hAnsiTheme="minorHAnsi" w:cs="Arial"/>
          <w:szCs w:val="21"/>
        </w:rPr>
        <w:t xml:space="preserve">Burand, D. (2013) ‘Globalizing social finance: How social impact bonds and social impact performance guarantees can scale development’, </w:t>
      </w:r>
      <w:r w:rsidRPr="004D3F3B">
        <w:rPr>
          <w:rFonts w:asciiTheme="minorHAnsi" w:hAnsiTheme="minorHAnsi" w:cs="Arial"/>
          <w:i/>
          <w:szCs w:val="21"/>
        </w:rPr>
        <w:t>NYU Journal of Law &amp; Business</w:t>
      </w:r>
      <w:r w:rsidRPr="004D3F3B">
        <w:rPr>
          <w:rFonts w:asciiTheme="minorHAnsi" w:hAnsiTheme="minorHAnsi" w:cs="Arial"/>
          <w:szCs w:val="21"/>
          <w:u w:val="single"/>
        </w:rPr>
        <w:t>,</w:t>
      </w:r>
      <w:r w:rsidRPr="004D3F3B">
        <w:rPr>
          <w:rFonts w:asciiTheme="minorHAnsi" w:hAnsiTheme="minorHAnsi" w:cs="Arial"/>
          <w:szCs w:val="21"/>
        </w:rPr>
        <w:t xml:space="preserve"> vol. </w:t>
      </w:r>
      <w:r w:rsidRPr="004D3F3B">
        <w:rPr>
          <w:rFonts w:asciiTheme="minorHAnsi" w:hAnsiTheme="minorHAnsi" w:cs="Arial"/>
          <w:bCs/>
          <w:szCs w:val="21"/>
        </w:rPr>
        <w:t>9</w:t>
      </w:r>
      <w:r w:rsidRPr="004D3F3B">
        <w:rPr>
          <w:rFonts w:asciiTheme="minorHAnsi" w:hAnsiTheme="minorHAnsi" w:cs="Arial"/>
          <w:szCs w:val="21"/>
        </w:rPr>
        <w:t>: 447-502.</w:t>
      </w:r>
    </w:p>
    <w:p w14:paraId="606358A6" w14:textId="77777777" w:rsidR="00C17ED1" w:rsidRPr="004D3F3B" w:rsidRDefault="00C17ED1" w:rsidP="00C17ED1">
      <w:pPr>
        <w:tabs>
          <w:tab w:val="left" w:pos="1134"/>
        </w:tabs>
        <w:rPr>
          <w:rFonts w:asciiTheme="minorHAnsi" w:hAnsiTheme="minorHAnsi" w:cs="Arial"/>
          <w:szCs w:val="21"/>
        </w:rPr>
      </w:pPr>
      <w:r w:rsidRPr="004D3F3B">
        <w:rPr>
          <w:rFonts w:asciiTheme="minorHAnsi" w:hAnsiTheme="minorHAnsi" w:cs="Arial"/>
          <w:szCs w:val="21"/>
        </w:rPr>
        <w:t xml:space="preserve">Council on Federal Financial Relations (2016a) </w:t>
      </w:r>
      <w:r w:rsidRPr="004D3F3B">
        <w:rPr>
          <w:rFonts w:asciiTheme="minorHAnsi" w:hAnsiTheme="minorHAnsi" w:cs="Arial"/>
          <w:i/>
          <w:szCs w:val="21"/>
        </w:rPr>
        <w:t>Affordable Housing Working Group: Issues Paper</w:t>
      </w:r>
      <w:r w:rsidRPr="004D3F3B">
        <w:rPr>
          <w:rFonts w:asciiTheme="minorHAnsi" w:hAnsiTheme="minorHAnsi" w:cs="Arial"/>
          <w:szCs w:val="21"/>
        </w:rPr>
        <w:t>, Affordable Housing Working Group, Australian Government, Canberra.</w:t>
      </w:r>
    </w:p>
    <w:p w14:paraId="5E4CD3B6" w14:textId="77777777" w:rsidR="00C17ED1" w:rsidRPr="004D3F3B" w:rsidRDefault="00C17ED1" w:rsidP="00C17ED1">
      <w:pPr>
        <w:tabs>
          <w:tab w:val="left" w:pos="1134"/>
        </w:tabs>
        <w:rPr>
          <w:rFonts w:asciiTheme="minorHAnsi" w:hAnsiTheme="minorHAnsi" w:cs="Arial"/>
          <w:szCs w:val="21"/>
        </w:rPr>
      </w:pPr>
      <w:r w:rsidRPr="004D3F3B">
        <w:rPr>
          <w:rFonts w:asciiTheme="minorHAnsi" w:hAnsiTheme="minorHAnsi" w:cs="Arial"/>
          <w:szCs w:val="21"/>
        </w:rPr>
        <w:t xml:space="preserve">Council on Federal Financial Relations (2016b) </w:t>
      </w:r>
      <w:r w:rsidRPr="004D3F3B">
        <w:rPr>
          <w:rFonts w:asciiTheme="minorHAnsi" w:hAnsiTheme="minorHAnsi" w:cs="Arial"/>
          <w:i/>
          <w:szCs w:val="21"/>
        </w:rPr>
        <w:t>Innovative Financing Models to Improve the Supply of Affordable Housing</w:t>
      </w:r>
      <w:r w:rsidRPr="004D3F3B">
        <w:rPr>
          <w:rFonts w:asciiTheme="minorHAnsi" w:hAnsiTheme="minorHAnsi" w:cs="Arial"/>
          <w:szCs w:val="21"/>
        </w:rPr>
        <w:t>, Affordable Housing Working Group, Australian Government, Canberra.</w:t>
      </w:r>
    </w:p>
    <w:p w14:paraId="4462CD2D" w14:textId="77777777" w:rsidR="00C17ED1" w:rsidRDefault="00C17ED1" w:rsidP="00C17ED1">
      <w:pPr>
        <w:rPr>
          <w:rFonts w:asciiTheme="minorHAnsi" w:hAnsiTheme="minorHAnsi" w:cs="Arial"/>
          <w:szCs w:val="21"/>
        </w:rPr>
      </w:pPr>
      <w:r w:rsidRPr="004D3F3B">
        <w:rPr>
          <w:rFonts w:asciiTheme="minorHAnsi" w:hAnsiTheme="minorHAnsi" w:cs="Arial"/>
          <w:szCs w:val="21"/>
        </w:rPr>
        <w:t xml:space="preserve">Dear, A., Helbitz, A., Khare, R., Lotan, R., Newman, J., Crosby Sims, G. and Zaraulis, A. (2016) </w:t>
      </w:r>
      <w:r w:rsidRPr="004D3F3B">
        <w:rPr>
          <w:rFonts w:asciiTheme="minorHAnsi" w:hAnsiTheme="minorHAnsi" w:cs="Arial"/>
          <w:i/>
          <w:szCs w:val="21"/>
        </w:rPr>
        <w:t>Social Impact Bonds; The Early Years</w:t>
      </w:r>
      <w:r w:rsidRPr="004D3F3B">
        <w:rPr>
          <w:rFonts w:asciiTheme="minorHAnsi" w:hAnsiTheme="minorHAnsi" w:cs="Arial"/>
          <w:szCs w:val="21"/>
        </w:rPr>
        <w:t xml:space="preserve">, Social Finance, London. </w:t>
      </w:r>
    </w:p>
    <w:p w14:paraId="1D660BF2" w14:textId="77777777" w:rsidR="000678D8" w:rsidRPr="000678D8" w:rsidRDefault="000678D8" w:rsidP="00C17ED1">
      <w:pPr>
        <w:rPr>
          <w:szCs w:val="21"/>
        </w:rPr>
      </w:pPr>
      <w:r>
        <w:rPr>
          <w:szCs w:val="21"/>
        </w:rPr>
        <w:t xml:space="preserve">Department for Business Innovation &amp; Skills (2016) </w:t>
      </w:r>
      <w:r>
        <w:rPr>
          <w:i/>
          <w:szCs w:val="21"/>
        </w:rPr>
        <w:t>Office of the Regulator of Community Interest Companies: Information and guidance notes; Chapter 1: Introduction</w:t>
      </w:r>
      <w:r>
        <w:rPr>
          <w:szCs w:val="21"/>
        </w:rPr>
        <w:t xml:space="preserve">, UK Government, accessed 24 February 2017, </w:t>
      </w:r>
      <w:hyperlink r:id="rId17" w:history="1">
        <w:r w:rsidR="004D724E" w:rsidRPr="005A34CE">
          <w:rPr>
            <w:rStyle w:val="Hyperlink"/>
            <w:szCs w:val="21"/>
          </w:rPr>
          <w:t>https://www.gov.uk/government/uploads/system/uploads/attachment_data/file/588175/cic-12-1333-community-interest-companies-guidance-chapter-1-introduction-Feb-2017.pdf</w:t>
        </w:r>
      </w:hyperlink>
      <w:r w:rsidR="004D724E">
        <w:rPr>
          <w:szCs w:val="21"/>
        </w:rPr>
        <w:t xml:space="preserve"> </w:t>
      </w:r>
    </w:p>
    <w:p w14:paraId="6EE4F929" w14:textId="77777777" w:rsidR="00327F84" w:rsidRPr="00327F84" w:rsidRDefault="003839BC" w:rsidP="00C17ED1">
      <w:pPr>
        <w:autoSpaceDE w:val="0"/>
        <w:autoSpaceDN w:val="0"/>
        <w:adjustRightInd w:val="0"/>
        <w:rPr>
          <w:rFonts w:asciiTheme="minorHAnsi" w:hAnsiTheme="minorHAnsi" w:cs="Arial"/>
          <w:szCs w:val="21"/>
        </w:rPr>
      </w:pPr>
      <w:r>
        <w:rPr>
          <w:rFonts w:asciiTheme="minorHAnsi" w:hAnsiTheme="minorHAnsi" w:cs="Arial"/>
          <w:szCs w:val="21"/>
        </w:rPr>
        <w:t xml:space="preserve">Discussion </w:t>
      </w:r>
      <w:r w:rsidR="00327F84">
        <w:rPr>
          <w:rFonts w:asciiTheme="minorHAnsi" w:hAnsiTheme="minorHAnsi" w:cs="Arial"/>
          <w:szCs w:val="21"/>
        </w:rPr>
        <w:t>Paper (</w:t>
      </w:r>
      <w:r w:rsidR="00327F84" w:rsidRPr="0058361B">
        <w:rPr>
          <w:rFonts w:cs="Arial"/>
          <w:szCs w:val="21"/>
        </w:rPr>
        <w:t xml:space="preserve">2017) </w:t>
      </w:r>
      <w:r w:rsidR="00327F84" w:rsidRPr="0058361B">
        <w:rPr>
          <w:rFonts w:cs="Arial"/>
          <w:i/>
          <w:szCs w:val="21"/>
        </w:rPr>
        <w:t>Social Impact Investing Discussion Paper</w:t>
      </w:r>
      <w:r w:rsidR="00327F84" w:rsidRPr="0058361B">
        <w:rPr>
          <w:rFonts w:cs="Arial"/>
          <w:szCs w:val="21"/>
        </w:rPr>
        <w:t xml:space="preserve">, The Treasury, Australian Government, Canberra, accessed 2 February 2017, </w:t>
      </w:r>
      <w:hyperlink r:id="rId18" w:history="1">
        <w:r w:rsidR="00327F84" w:rsidRPr="0058361B">
          <w:rPr>
            <w:rFonts w:cs="Arial"/>
            <w:szCs w:val="21"/>
          </w:rPr>
          <w:t>http://www.treasury.gov.au/~/media/Treasury/Consultations%20and%20Reviews/Consultations/2017/Social%20Impact%20Investing/Key%20Documents/PDF/Social_Impact_Investing_DP.ashx</w:t>
        </w:r>
      </w:hyperlink>
      <w:r w:rsidR="004D724E">
        <w:rPr>
          <w:rFonts w:cs="Arial"/>
          <w:szCs w:val="21"/>
        </w:rPr>
        <w:t xml:space="preserve"> </w:t>
      </w:r>
    </w:p>
    <w:p w14:paraId="61378737" w14:textId="77777777" w:rsidR="0058361B" w:rsidRPr="0058361B" w:rsidRDefault="0058361B" w:rsidP="00C17ED1">
      <w:pPr>
        <w:autoSpaceDE w:val="0"/>
        <w:autoSpaceDN w:val="0"/>
        <w:adjustRightInd w:val="0"/>
        <w:rPr>
          <w:rFonts w:asciiTheme="minorHAnsi" w:hAnsiTheme="minorHAnsi" w:cs="Arial"/>
          <w:szCs w:val="21"/>
        </w:rPr>
      </w:pPr>
      <w:r w:rsidRPr="0058361B">
        <w:rPr>
          <w:rFonts w:cs="Arial"/>
          <w:szCs w:val="21"/>
        </w:rPr>
        <w:t xml:space="preserve">(2017) </w:t>
      </w:r>
      <w:r w:rsidRPr="0058361B">
        <w:rPr>
          <w:rFonts w:cs="Arial"/>
          <w:i/>
          <w:szCs w:val="21"/>
        </w:rPr>
        <w:t>Social Impact Investing Discussion Paper</w:t>
      </w:r>
      <w:r w:rsidRPr="0058361B">
        <w:rPr>
          <w:rFonts w:cs="Arial"/>
          <w:szCs w:val="21"/>
        </w:rPr>
        <w:t xml:space="preserve">, The Treasury, Australian Government, Canberra, accessed 2 February 2017, </w:t>
      </w:r>
      <w:hyperlink r:id="rId19" w:history="1">
        <w:r w:rsidRPr="0058361B">
          <w:rPr>
            <w:rFonts w:cs="Arial"/>
            <w:szCs w:val="21"/>
          </w:rPr>
          <w:t>http://www.treasury.gov.au/~/media/Treasury/Consultations%20and%20Reviews/Consultations/2017/Social%20Impact%20Investing/Key%20Documents/PDF/Social_Impact_Investing_DP.ashx</w:t>
        </w:r>
      </w:hyperlink>
      <w:r w:rsidR="004D724E">
        <w:rPr>
          <w:rFonts w:cs="Arial"/>
          <w:szCs w:val="21"/>
        </w:rPr>
        <w:t>.</w:t>
      </w:r>
    </w:p>
    <w:p w14:paraId="2A4B236C" w14:textId="77777777" w:rsidR="00C17ED1" w:rsidRPr="004D3F3B" w:rsidRDefault="00C17ED1" w:rsidP="00C17ED1">
      <w:pPr>
        <w:autoSpaceDE w:val="0"/>
        <w:autoSpaceDN w:val="0"/>
        <w:adjustRightInd w:val="0"/>
        <w:rPr>
          <w:rFonts w:asciiTheme="minorHAnsi" w:hAnsiTheme="minorHAnsi" w:cs="Arial"/>
          <w:szCs w:val="21"/>
        </w:rPr>
      </w:pPr>
      <w:r w:rsidRPr="004D3F3B">
        <w:rPr>
          <w:rFonts w:asciiTheme="minorHAnsi" w:hAnsiTheme="minorHAnsi" w:cs="Arial"/>
          <w:szCs w:val="21"/>
        </w:rPr>
        <w:t xml:space="preserve">Floyd, D., Gregory, D., and Wilson, N, (2015) </w:t>
      </w:r>
      <w:r w:rsidRPr="004D3F3B">
        <w:rPr>
          <w:rFonts w:asciiTheme="minorHAnsi" w:hAnsiTheme="minorHAnsi" w:cs="Arial"/>
          <w:i/>
          <w:iCs/>
          <w:szCs w:val="21"/>
        </w:rPr>
        <w:t>After the gold rush: the report of the alternative commission on social investment,</w:t>
      </w:r>
      <w:r w:rsidRPr="004D3F3B">
        <w:rPr>
          <w:rFonts w:asciiTheme="minorHAnsi" w:hAnsiTheme="minorHAnsi" w:cs="Arial"/>
          <w:szCs w:val="21"/>
        </w:rPr>
        <w:t xml:space="preserve"> Alternative Commission on Social Investment, London.  </w:t>
      </w:r>
    </w:p>
    <w:p w14:paraId="1F9AA2EE" w14:textId="77777777" w:rsidR="00C17ED1" w:rsidRPr="004D3F3B" w:rsidRDefault="00C17ED1" w:rsidP="00C17ED1">
      <w:pPr>
        <w:autoSpaceDE w:val="0"/>
        <w:autoSpaceDN w:val="0"/>
        <w:adjustRightInd w:val="0"/>
        <w:rPr>
          <w:rFonts w:asciiTheme="minorHAnsi" w:hAnsiTheme="minorHAnsi" w:cs="Arial"/>
          <w:szCs w:val="21"/>
        </w:rPr>
      </w:pPr>
      <w:r w:rsidRPr="004D3F3B">
        <w:rPr>
          <w:rFonts w:asciiTheme="minorHAnsi" w:hAnsiTheme="minorHAnsi" w:cs="Arial"/>
          <w:szCs w:val="21"/>
        </w:rPr>
        <w:t xml:space="preserve">Giving Australia (2016) </w:t>
      </w:r>
      <w:r w:rsidRPr="004D3F3B">
        <w:rPr>
          <w:rFonts w:asciiTheme="minorHAnsi" w:hAnsiTheme="minorHAnsi" w:cs="Arial"/>
          <w:i/>
          <w:szCs w:val="21"/>
        </w:rPr>
        <w:t>Giving Australia 2016</w:t>
      </w:r>
      <w:r w:rsidRPr="004D3F3B">
        <w:rPr>
          <w:rFonts w:asciiTheme="minorHAnsi" w:hAnsiTheme="minorHAnsi" w:cs="Arial"/>
          <w:szCs w:val="21"/>
        </w:rPr>
        <w:t xml:space="preserve">, Australian Centre for Philanthropy and Nonprofit Studies, </w:t>
      </w:r>
      <w:r w:rsidRPr="004D3F3B">
        <w:rPr>
          <w:rFonts w:asciiTheme="minorHAnsi" w:hAnsiTheme="minorHAnsi" w:cs="Arial"/>
          <w:szCs w:val="21"/>
          <w:lang w:val="en-AU" w:eastAsia="en-AU"/>
        </w:rPr>
        <w:t>Queensland University of Technology, Brisbane.</w:t>
      </w:r>
    </w:p>
    <w:p w14:paraId="0A693CE3" w14:textId="77777777" w:rsidR="000E6803" w:rsidRDefault="00C17ED1" w:rsidP="004D3F3B">
      <w:pPr>
        <w:rPr>
          <w:rFonts w:asciiTheme="minorHAnsi" w:hAnsiTheme="minorHAnsi" w:cs="Arial"/>
          <w:szCs w:val="21"/>
        </w:rPr>
      </w:pPr>
      <w:r w:rsidRPr="004D3F3B">
        <w:rPr>
          <w:rFonts w:asciiTheme="minorHAnsi" w:hAnsiTheme="minorHAnsi" w:cs="Arial"/>
          <w:szCs w:val="21"/>
        </w:rPr>
        <w:t xml:space="preserve">Goldman, P. and Booker, L. (2015) ‘Parsing Impact Investing’s Big Tent’, </w:t>
      </w:r>
      <w:r w:rsidRPr="004D3F3B">
        <w:rPr>
          <w:rFonts w:asciiTheme="minorHAnsi" w:hAnsiTheme="minorHAnsi" w:cs="Arial"/>
          <w:i/>
          <w:szCs w:val="21"/>
        </w:rPr>
        <w:t>Stanford Social Innovation Review</w:t>
      </w:r>
      <w:r w:rsidRPr="004D3F3B">
        <w:rPr>
          <w:rFonts w:asciiTheme="minorHAnsi" w:hAnsiTheme="minorHAnsi" w:cs="Arial"/>
          <w:szCs w:val="21"/>
        </w:rPr>
        <w:t xml:space="preserve">, accessed 13 February 2017, </w:t>
      </w:r>
      <w:r w:rsidR="000E6803">
        <w:rPr>
          <w:rFonts w:asciiTheme="minorHAnsi" w:hAnsiTheme="minorHAnsi" w:cs="Arial"/>
          <w:szCs w:val="21"/>
        </w:rPr>
        <w:t>http://ssir.org/articles/entry/parsing_impact_investings_big_tent.</w:t>
      </w:r>
    </w:p>
    <w:p w14:paraId="02517B54" w14:textId="77777777" w:rsidR="004D3F3B" w:rsidRDefault="004D3F3B" w:rsidP="004D3F3B">
      <w:pPr>
        <w:rPr>
          <w:rFonts w:asciiTheme="minorHAnsi" w:hAnsiTheme="minorHAnsi" w:cs="Arial"/>
          <w:szCs w:val="21"/>
        </w:rPr>
      </w:pPr>
      <w:r w:rsidRPr="004D3F3B">
        <w:rPr>
          <w:rFonts w:asciiTheme="minorHAnsi" w:hAnsiTheme="minorHAnsi" w:cs="Arial"/>
          <w:szCs w:val="21"/>
        </w:rPr>
        <w:t>Gustafsson-Wr</w:t>
      </w:r>
      <w:r>
        <w:rPr>
          <w:rFonts w:asciiTheme="minorHAnsi" w:hAnsiTheme="minorHAnsi" w:cs="Arial"/>
          <w:szCs w:val="21"/>
        </w:rPr>
        <w:t xml:space="preserve">ight, E. and S. Gardiner (2015) </w:t>
      </w:r>
      <w:r>
        <w:rPr>
          <w:rFonts w:asciiTheme="minorHAnsi" w:hAnsiTheme="minorHAnsi" w:cs="Arial"/>
          <w:i/>
          <w:szCs w:val="21"/>
        </w:rPr>
        <w:t>Policy Recommendations for the Application of Impact Bonds; A summary of lessons learned from the first five years of expericnc3e worldwide</w:t>
      </w:r>
      <w:r>
        <w:rPr>
          <w:rFonts w:asciiTheme="minorHAnsi" w:hAnsiTheme="minorHAnsi" w:cs="Arial"/>
          <w:szCs w:val="21"/>
        </w:rPr>
        <w:t>,</w:t>
      </w:r>
      <w:r w:rsidR="007676BB" w:rsidRPr="004D3F3B">
        <w:rPr>
          <w:rFonts w:asciiTheme="minorHAnsi" w:hAnsiTheme="minorHAnsi" w:cs="Arial"/>
          <w:szCs w:val="21"/>
        </w:rPr>
        <w:t xml:space="preserve"> The Brookings Institution, Washington, DC</w:t>
      </w:r>
      <w:r w:rsidR="007676BB">
        <w:rPr>
          <w:rFonts w:asciiTheme="minorHAnsi" w:hAnsiTheme="minorHAnsi" w:cs="Arial"/>
          <w:szCs w:val="21"/>
        </w:rPr>
        <w:t>.</w:t>
      </w:r>
    </w:p>
    <w:p w14:paraId="0AF4F519" w14:textId="77777777" w:rsidR="00C17ED1" w:rsidRPr="004D3F3B" w:rsidRDefault="00C17ED1" w:rsidP="00C17ED1">
      <w:pPr>
        <w:autoSpaceDE w:val="0"/>
        <w:autoSpaceDN w:val="0"/>
        <w:adjustRightInd w:val="0"/>
        <w:rPr>
          <w:rFonts w:asciiTheme="minorHAnsi" w:hAnsiTheme="minorHAnsi" w:cs="Arial"/>
          <w:szCs w:val="21"/>
        </w:rPr>
      </w:pPr>
      <w:r w:rsidRPr="004D3F3B">
        <w:rPr>
          <w:rFonts w:asciiTheme="minorHAnsi" w:hAnsiTheme="minorHAnsi" w:cs="Arial"/>
          <w:szCs w:val="21"/>
        </w:rPr>
        <w:t xml:space="preserve">Gustafsson-Wright, E., Gardiner, S. and Putcha, V. (2015) </w:t>
      </w:r>
      <w:r w:rsidRPr="004D3F3B">
        <w:rPr>
          <w:rFonts w:asciiTheme="minorHAnsi" w:hAnsiTheme="minorHAnsi" w:cs="Arial"/>
          <w:i/>
          <w:szCs w:val="21"/>
        </w:rPr>
        <w:t>The Potential and Limitations of Impact Bonds: Lessons from the First Five Years of Experience Worldwide</w:t>
      </w:r>
      <w:r w:rsidRPr="004D3F3B">
        <w:rPr>
          <w:rFonts w:asciiTheme="minorHAnsi" w:hAnsiTheme="minorHAnsi" w:cs="Arial"/>
          <w:szCs w:val="21"/>
        </w:rPr>
        <w:t>, The Brookings Institution, Washington, DC.</w:t>
      </w:r>
    </w:p>
    <w:p w14:paraId="726B80AB" w14:textId="77777777" w:rsidR="009840FF" w:rsidRDefault="009840FF" w:rsidP="00C17ED1">
      <w:pPr>
        <w:autoSpaceDE w:val="0"/>
        <w:autoSpaceDN w:val="0"/>
        <w:adjustRightInd w:val="0"/>
        <w:rPr>
          <w:rFonts w:asciiTheme="minorHAnsi" w:hAnsiTheme="minorHAnsi" w:cs="Arial"/>
          <w:szCs w:val="21"/>
        </w:rPr>
      </w:pPr>
      <w:r w:rsidRPr="009840FF">
        <w:rPr>
          <w:rFonts w:asciiTheme="minorHAnsi" w:hAnsiTheme="minorHAnsi" w:cs="Arial"/>
          <w:szCs w:val="21"/>
        </w:rPr>
        <w:t>Lyon</w:t>
      </w:r>
      <w:r>
        <w:rPr>
          <w:rFonts w:asciiTheme="minorHAnsi" w:hAnsiTheme="minorHAnsi" w:cs="Arial"/>
          <w:szCs w:val="21"/>
        </w:rPr>
        <w:t>, F</w:t>
      </w:r>
      <w:r w:rsidRPr="009840FF">
        <w:rPr>
          <w:rFonts w:asciiTheme="minorHAnsi" w:hAnsiTheme="minorHAnsi" w:cs="Arial"/>
          <w:szCs w:val="21"/>
        </w:rPr>
        <w:t xml:space="preserve"> (2016), ‘Lending to Social Ventures: Existing Demand for Finance an</w:t>
      </w:r>
      <w:r>
        <w:rPr>
          <w:rFonts w:asciiTheme="minorHAnsi" w:hAnsiTheme="minorHAnsi" w:cs="Arial"/>
          <w:szCs w:val="21"/>
        </w:rPr>
        <w:t xml:space="preserve">d the Potential Role of Social </w:t>
      </w:r>
      <w:r w:rsidRPr="009840FF">
        <w:rPr>
          <w:rFonts w:asciiTheme="minorHAnsi" w:hAnsiTheme="minorHAnsi" w:cs="Arial"/>
          <w:szCs w:val="21"/>
        </w:rPr>
        <w:t xml:space="preserve">Investment’ in Othmar Lehner et al (eds), </w:t>
      </w:r>
      <w:r w:rsidRPr="009840FF">
        <w:rPr>
          <w:rFonts w:asciiTheme="minorHAnsi" w:hAnsiTheme="minorHAnsi" w:cs="Arial"/>
          <w:i/>
          <w:szCs w:val="21"/>
        </w:rPr>
        <w:t>The Routledge Handbook of Social and  Sustainable Finance</w:t>
      </w:r>
      <w:r>
        <w:rPr>
          <w:rFonts w:asciiTheme="minorHAnsi" w:hAnsiTheme="minorHAnsi" w:cs="Arial"/>
          <w:szCs w:val="21"/>
        </w:rPr>
        <w:t xml:space="preserve"> </w:t>
      </w:r>
      <w:r w:rsidRPr="009840FF">
        <w:rPr>
          <w:rFonts w:asciiTheme="minorHAnsi" w:hAnsiTheme="minorHAnsi" w:cs="Arial"/>
          <w:szCs w:val="21"/>
        </w:rPr>
        <w:t>(London: Routledge) 177</w:t>
      </w:r>
      <w:r>
        <w:rPr>
          <w:rFonts w:asciiTheme="minorHAnsi" w:hAnsiTheme="minorHAnsi" w:cs="Arial"/>
          <w:szCs w:val="21"/>
        </w:rPr>
        <w:t xml:space="preserve">-188. </w:t>
      </w:r>
    </w:p>
    <w:p w14:paraId="213426FC" w14:textId="77777777" w:rsidR="00C17ED1" w:rsidRPr="004D3F3B" w:rsidRDefault="00C17ED1" w:rsidP="00C17ED1">
      <w:pPr>
        <w:autoSpaceDE w:val="0"/>
        <w:autoSpaceDN w:val="0"/>
        <w:adjustRightInd w:val="0"/>
        <w:rPr>
          <w:rFonts w:asciiTheme="minorHAnsi" w:hAnsiTheme="minorHAnsi" w:cs="Arial"/>
          <w:szCs w:val="21"/>
        </w:rPr>
      </w:pPr>
      <w:r w:rsidRPr="004D3F3B">
        <w:rPr>
          <w:rFonts w:asciiTheme="minorHAnsi" w:hAnsiTheme="minorHAnsi" w:cs="Arial"/>
          <w:szCs w:val="21"/>
        </w:rPr>
        <w:t xml:space="preserve">Instiglio (2014) </w:t>
      </w:r>
      <w:r w:rsidRPr="004D3F3B">
        <w:rPr>
          <w:rFonts w:asciiTheme="minorHAnsi" w:hAnsiTheme="minorHAnsi" w:cs="Arial"/>
          <w:i/>
          <w:szCs w:val="21"/>
        </w:rPr>
        <w:t>A legal road map for social impact bonds in developing countries</w:t>
      </w:r>
      <w:r w:rsidRPr="004D3F3B">
        <w:rPr>
          <w:rFonts w:asciiTheme="minorHAnsi" w:hAnsiTheme="minorHAnsi" w:cs="Arial"/>
          <w:szCs w:val="21"/>
        </w:rPr>
        <w:t>, Instiglio, Thomson Reuters Foundation, Baker &amp; McKenzie, London.</w:t>
      </w:r>
    </w:p>
    <w:p w14:paraId="68C85A73" w14:textId="77777777" w:rsidR="00C17ED1" w:rsidRPr="004D3F3B" w:rsidRDefault="00C17ED1" w:rsidP="00C17ED1">
      <w:pPr>
        <w:widowControl w:val="0"/>
        <w:autoSpaceDE w:val="0"/>
        <w:autoSpaceDN w:val="0"/>
        <w:adjustRightInd w:val="0"/>
        <w:ind w:right="-64"/>
        <w:rPr>
          <w:rFonts w:asciiTheme="minorHAnsi" w:hAnsiTheme="minorHAnsi" w:cs="Arial"/>
          <w:szCs w:val="21"/>
        </w:rPr>
      </w:pPr>
      <w:r w:rsidRPr="004D3F3B">
        <w:rPr>
          <w:rFonts w:asciiTheme="minorHAnsi" w:hAnsiTheme="minorHAnsi" w:cs="Arial"/>
          <w:szCs w:val="21"/>
        </w:rPr>
        <w:t xml:space="preserve">Nicholls, A. (2010) ‘The Institutionalization of Social Investment: The Interplay of Investment Logics and Investor Rationalities’, </w:t>
      </w:r>
      <w:r w:rsidRPr="004D3F3B">
        <w:rPr>
          <w:rFonts w:asciiTheme="minorHAnsi" w:hAnsiTheme="minorHAnsi" w:cs="Arial"/>
          <w:i/>
          <w:szCs w:val="21"/>
        </w:rPr>
        <w:t>Journal of Social Entrepreneurship</w:t>
      </w:r>
      <w:r w:rsidRPr="004D3F3B">
        <w:rPr>
          <w:rFonts w:asciiTheme="minorHAnsi" w:hAnsiTheme="minorHAnsi" w:cs="Arial"/>
          <w:szCs w:val="21"/>
        </w:rPr>
        <w:t xml:space="preserve">, vol. 1, no. 1: 70–100. </w:t>
      </w:r>
    </w:p>
    <w:p w14:paraId="6942E3DD" w14:textId="77777777" w:rsidR="007324A8" w:rsidRPr="007324A8" w:rsidRDefault="007324A8" w:rsidP="00C17ED1">
      <w:pPr>
        <w:autoSpaceDE w:val="0"/>
        <w:autoSpaceDN w:val="0"/>
        <w:adjustRightInd w:val="0"/>
        <w:spacing w:after="160" w:line="259" w:lineRule="auto"/>
        <w:rPr>
          <w:szCs w:val="21"/>
        </w:rPr>
      </w:pPr>
      <w:r w:rsidRPr="005D6A35">
        <w:rPr>
          <w:szCs w:val="21"/>
        </w:rPr>
        <w:t xml:space="preserve">Philanthropy Australia </w:t>
      </w:r>
      <w:r>
        <w:rPr>
          <w:szCs w:val="21"/>
        </w:rPr>
        <w:t>(</w:t>
      </w:r>
      <w:r w:rsidRPr="005D6A35">
        <w:rPr>
          <w:szCs w:val="21"/>
        </w:rPr>
        <w:t>2015</w:t>
      </w:r>
      <w:r>
        <w:rPr>
          <w:szCs w:val="21"/>
        </w:rPr>
        <w:t xml:space="preserve">) </w:t>
      </w:r>
      <w:r>
        <w:rPr>
          <w:i/>
          <w:szCs w:val="21"/>
        </w:rPr>
        <w:t>Program Related Investments – an Opportunity for Australia</w:t>
      </w:r>
      <w:r>
        <w:rPr>
          <w:szCs w:val="21"/>
        </w:rPr>
        <w:t xml:space="preserve">, Philanthropy Australia, Melbourne, accessed 24 February 2017, </w:t>
      </w:r>
      <w:r w:rsidRPr="007324A8">
        <w:rPr>
          <w:rFonts w:asciiTheme="minorHAnsi" w:hAnsiTheme="minorHAnsi" w:cs="Arial"/>
          <w:szCs w:val="21"/>
        </w:rPr>
        <w:t>http://www.communitybusinesspartnership.gov.au/wp-content/uploads/2016/01/program_related_investments_report.pdf</w:t>
      </w:r>
      <w:r>
        <w:rPr>
          <w:rFonts w:asciiTheme="minorHAnsi" w:hAnsiTheme="minorHAnsi" w:cs="Arial"/>
          <w:szCs w:val="21"/>
        </w:rPr>
        <w:t xml:space="preserve">. </w:t>
      </w:r>
    </w:p>
    <w:p w14:paraId="462C7950" w14:textId="77777777" w:rsidR="00C17ED1" w:rsidRPr="004D3F3B" w:rsidRDefault="00C17ED1" w:rsidP="00C17ED1">
      <w:pPr>
        <w:autoSpaceDE w:val="0"/>
        <w:autoSpaceDN w:val="0"/>
        <w:adjustRightInd w:val="0"/>
        <w:spacing w:after="160" w:line="259" w:lineRule="auto"/>
        <w:rPr>
          <w:rFonts w:asciiTheme="minorHAnsi" w:hAnsiTheme="minorHAnsi" w:cs="Arial"/>
          <w:szCs w:val="21"/>
        </w:rPr>
      </w:pPr>
      <w:r w:rsidRPr="004D3F3B">
        <w:rPr>
          <w:rFonts w:asciiTheme="minorHAnsi" w:hAnsiTheme="minorHAnsi" w:cs="Arial"/>
          <w:szCs w:val="21"/>
        </w:rPr>
        <w:t xml:space="preserve">Responsible Investment Association Australasia (2016) </w:t>
      </w:r>
      <w:r w:rsidRPr="004D3F3B">
        <w:rPr>
          <w:rFonts w:asciiTheme="minorHAnsi" w:hAnsiTheme="minorHAnsi" w:cs="Arial"/>
          <w:i/>
          <w:szCs w:val="21"/>
        </w:rPr>
        <w:t>RI explained</w:t>
      </w:r>
      <w:r w:rsidRPr="004D3F3B">
        <w:rPr>
          <w:rFonts w:asciiTheme="minorHAnsi" w:hAnsiTheme="minorHAnsi" w:cs="Arial"/>
          <w:szCs w:val="21"/>
        </w:rPr>
        <w:t>, Responsible Investment Association Australasia, accessed 1 February 2017, http://responsibleinvestment.org/what-is-ri/ri-explained/.</w:t>
      </w:r>
    </w:p>
    <w:p w14:paraId="3336DEB6" w14:textId="77777777" w:rsidR="005C6AF4" w:rsidRDefault="00C17ED1" w:rsidP="00C17ED1">
      <w:pPr>
        <w:tabs>
          <w:tab w:val="left" w:pos="1134"/>
        </w:tabs>
        <w:spacing w:after="160" w:line="259" w:lineRule="auto"/>
        <w:rPr>
          <w:rFonts w:asciiTheme="minorHAnsi" w:hAnsiTheme="minorHAnsi" w:cs="Arial"/>
          <w:szCs w:val="21"/>
        </w:rPr>
      </w:pPr>
      <w:r w:rsidRPr="004D3F3B">
        <w:rPr>
          <w:rFonts w:asciiTheme="minorHAnsi" w:hAnsiTheme="minorHAnsi" w:cs="Arial"/>
          <w:szCs w:val="21"/>
        </w:rPr>
        <w:t xml:space="preserve">Rowley, S., James, A., Gilbert, C., Gurran, N., Ong, R., Phinbs, P., Rosen, D. and Whitehead, C. (2016) </w:t>
      </w:r>
      <w:r w:rsidRPr="004D3F3B">
        <w:rPr>
          <w:rFonts w:asciiTheme="minorHAnsi" w:hAnsiTheme="minorHAnsi" w:cs="Arial"/>
          <w:i/>
          <w:szCs w:val="21"/>
        </w:rPr>
        <w:t>Subsidised affordable rental housing: lessons from Australia and overseas</w:t>
      </w:r>
      <w:r w:rsidRPr="004D3F3B">
        <w:rPr>
          <w:rFonts w:asciiTheme="minorHAnsi" w:hAnsiTheme="minorHAnsi" w:cs="Arial"/>
          <w:szCs w:val="21"/>
        </w:rPr>
        <w:t xml:space="preserve">, </w:t>
      </w:r>
      <w:r w:rsidRPr="004D3F3B">
        <w:rPr>
          <w:rFonts w:asciiTheme="minorHAnsi" w:hAnsiTheme="minorHAnsi" w:cs="Arial"/>
          <w:iCs/>
          <w:szCs w:val="21"/>
        </w:rPr>
        <w:t>AHURI Final Report</w:t>
      </w:r>
      <w:r w:rsidRPr="004D3F3B">
        <w:rPr>
          <w:rFonts w:asciiTheme="minorHAnsi" w:hAnsiTheme="minorHAnsi" w:cs="Arial"/>
          <w:i/>
          <w:iCs/>
          <w:szCs w:val="21"/>
        </w:rPr>
        <w:t xml:space="preserve"> </w:t>
      </w:r>
      <w:r w:rsidRPr="004D3F3B">
        <w:rPr>
          <w:rFonts w:asciiTheme="minorHAnsi" w:hAnsiTheme="minorHAnsi" w:cs="Arial"/>
          <w:iCs/>
          <w:szCs w:val="21"/>
        </w:rPr>
        <w:t>No. 267</w:t>
      </w:r>
      <w:r w:rsidRPr="004D3F3B">
        <w:rPr>
          <w:rFonts w:asciiTheme="minorHAnsi" w:hAnsiTheme="minorHAnsi" w:cs="Arial"/>
          <w:szCs w:val="21"/>
        </w:rPr>
        <w:t>, Australian Housing and Urban Research Institute</w:t>
      </w:r>
      <w:r w:rsidRPr="004D3F3B">
        <w:rPr>
          <w:rFonts w:asciiTheme="minorHAnsi" w:hAnsiTheme="minorHAnsi" w:cs="Arial"/>
          <w:iCs/>
          <w:szCs w:val="21"/>
        </w:rPr>
        <w:t xml:space="preserve">, </w:t>
      </w:r>
      <w:r w:rsidRPr="004D3F3B">
        <w:rPr>
          <w:rFonts w:asciiTheme="minorHAnsi" w:hAnsiTheme="minorHAnsi" w:cs="Arial"/>
          <w:szCs w:val="21"/>
        </w:rPr>
        <w:t>Melbourne.</w:t>
      </w:r>
    </w:p>
    <w:p w14:paraId="5B0AAE21" w14:textId="77777777" w:rsidR="005C6AF4" w:rsidRDefault="005C6AF4" w:rsidP="00C17ED1">
      <w:pPr>
        <w:tabs>
          <w:tab w:val="left" w:pos="1134"/>
        </w:tabs>
        <w:spacing w:after="160" w:line="259" w:lineRule="auto"/>
        <w:rPr>
          <w:rFonts w:asciiTheme="minorHAnsi" w:hAnsiTheme="minorHAnsi" w:cs="Arial"/>
          <w:szCs w:val="21"/>
        </w:rPr>
      </w:pPr>
      <w:r>
        <w:t xml:space="preserve">Social Finance (2016) </w:t>
      </w:r>
      <w:r>
        <w:rPr>
          <w:i/>
          <w:iCs/>
        </w:rPr>
        <w:t>Impact Bond Global Database</w:t>
      </w:r>
      <w:r>
        <w:t>, accessed 24 February 2017,</w:t>
      </w:r>
      <w:r w:rsidR="000E6803">
        <w:t xml:space="preserve"> </w:t>
      </w:r>
      <w:hyperlink r:id="rId20" w:history="1">
        <w:r w:rsidRPr="000E6803">
          <w:t>http://www.socialfinance.org.uk/database/</w:t>
        </w:r>
      </w:hyperlink>
      <w:r w:rsidR="000E6803">
        <w:t>.</w:t>
      </w:r>
    </w:p>
    <w:p w14:paraId="43C702CD" w14:textId="77777777" w:rsidR="00C17ED1" w:rsidRPr="004D3F3B" w:rsidRDefault="00C17ED1" w:rsidP="00C17ED1">
      <w:pPr>
        <w:tabs>
          <w:tab w:val="left" w:pos="1134"/>
        </w:tabs>
        <w:spacing w:after="160" w:line="259" w:lineRule="auto"/>
        <w:rPr>
          <w:rFonts w:asciiTheme="minorHAnsi" w:hAnsiTheme="minorHAnsi" w:cs="Arial"/>
          <w:szCs w:val="21"/>
        </w:rPr>
      </w:pPr>
      <w:r w:rsidRPr="004D3F3B">
        <w:rPr>
          <w:rFonts w:asciiTheme="minorHAnsi" w:hAnsiTheme="minorHAnsi" w:cs="Arial"/>
          <w:szCs w:val="21"/>
        </w:rPr>
        <w:t xml:space="preserve">Social Impact Investment Taskforce (2014) </w:t>
      </w:r>
      <w:r w:rsidRPr="004D3F3B">
        <w:rPr>
          <w:rFonts w:asciiTheme="minorHAnsi" w:hAnsiTheme="minorHAnsi" w:cs="Arial"/>
          <w:i/>
          <w:szCs w:val="21"/>
        </w:rPr>
        <w:t xml:space="preserve">Impact investment: the invisible heart of markets, </w:t>
      </w:r>
      <w:r w:rsidRPr="004D3F3B">
        <w:rPr>
          <w:rFonts w:asciiTheme="minorHAnsi" w:hAnsiTheme="minorHAnsi" w:cs="Arial"/>
          <w:szCs w:val="21"/>
        </w:rPr>
        <w:t>The G8 Social Impact Investment Taskforce, London.</w:t>
      </w:r>
    </w:p>
    <w:p w14:paraId="44C35202" w14:textId="77777777" w:rsidR="00A52616" w:rsidRDefault="00A52616" w:rsidP="00C17ED1">
      <w:pPr>
        <w:rPr>
          <w:rStyle w:val="s1"/>
          <w:rFonts w:asciiTheme="minorHAnsi" w:hAnsiTheme="minorHAnsi" w:cstheme="minorHAnsi"/>
          <w:szCs w:val="21"/>
        </w:rPr>
      </w:pPr>
      <w:r>
        <w:rPr>
          <w:rFonts w:asciiTheme="minorHAnsi" w:hAnsiTheme="minorHAnsi" w:cs="Arial"/>
          <w:szCs w:val="21"/>
        </w:rPr>
        <w:t xml:space="preserve">State Government of Victoria (2017), ‘Social Enterprise Strategy’ </w:t>
      </w:r>
      <w:hyperlink r:id="rId21" w:anchor="utm_source=economicdevelopment-vic-gov-au&amp;utm_medium=vanity-url-301ssredirect&amp;utm_content=social-enterprise&amp;utm_campaign=about-us" w:history="1">
        <w:r w:rsidRPr="005A34CE">
          <w:rPr>
            <w:rStyle w:val="Hyperlink"/>
            <w:rFonts w:asciiTheme="minorHAnsi" w:hAnsiTheme="minorHAnsi" w:cstheme="minorHAnsi"/>
            <w:szCs w:val="21"/>
          </w:rPr>
          <w:t>http://economicdevelopment.vic.gov.au/about-us/overview/strategies-and-initiatives/social-enterprise#utm_source=economicdevelopment-vic-gov-au&amp;utm_medium=vanity-url-301ssredirect&amp;utm_content=social-enterprise&amp;utm_campaign=about-us</w:t>
        </w:r>
      </w:hyperlink>
    </w:p>
    <w:p w14:paraId="142DE0E9" w14:textId="77777777" w:rsidR="00C17ED1" w:rsidRPr="00A52616" w:rsidRDefault="00A52616" w:rsidP="00C17ED1">
      <w:pPr>
        <w:rPr>
          <w:rFonts w:asciiTheme="minorHAnsi" w:hAnsiTheme="minorHAnsi" w:cstheme="minorHAnsi"/>
          <w:szCs w:val="21"/>
        </w:rPr>
      </w:pPr>
      <w:r>
        <w:rPr>
          <w:rFonts w:asciiTheme="minorHAnsi" w:hAnsiTheme="minorHAnsi" w:cs="Arial"/>
          <w:szCs w:val="21"/>
        </w:rPr>
        <w:t xml:space="preserve"> </w:t>
      </w:r>
      <w:r w:rsidR="00C17ED1" w:rsidRPr="004D3F3B">
        <w:rPr>
          <w:rFonts w:asciiTheme="minorHAnsi" w:hAnsiTheme="minorHAnsi" w:cs="Arial"/>
          <w:szCs w:val="21"/>
        </w:rPr>
        <w:t xml:space="preserve">Thornley, B. and Clark, C. (201) </w:t>
      </w:r>
      <w:r w:rsidR="00C17ED1" w:rsidRPr="004D3F3B">
        <w:rPr>
          <w:rFonts w:asciiTheme="minorHAnsi" w:hAnsiTheme="minorHAnsi" w:cs="Arial"/>
          <w:i/>
          <w:szCs w:val="21"/>
        </w:rPr>
        <w:t>Navigating Impact Investing; The opportunity in impact classes</w:t>
      </w:r>
      <w:r w:rsidR="00C17ED1" w:rsidRPr="004D3F3B">
        <w:rPr>
          <w:rFonts w:asciiTheme="minorHAnsi" w:hAnsiTheme="minorHAnsi" w:cs="Arial"/>
          <w:szCs w:val="21"/>
        </w:rPr>
        <w:t>, Tideline/Duke University, New York NY.</w:t>
      </w:r>
    </w:p>
    <w:p w14:paraId="3F19F761" w14:textId="77777777" w:rsidR="00C17ED1" w:rsidRPr="004D3F3B" w:rsidRDefault="00C17ED1" w:rsidP="00C17ED1">
      <w:pPr>
        <w:autoSpaceDE w:val="0"/>
        <w:autoSpaceDN w:val="0"/>
        <w:adjustRightInd w:val="0"/>
        <w:spacing w:after="160" w:line="259" w:lineRule="auto"/>
        <w:rPr>
          <w:rFonts w:asciiTheme="minorHAnsi" w:hAnsiTheme="minorHAnsi" w:cs="Arial"/>
          <w:szCs w:val="21"/>
        </w:rPr>
      </w:pPr>
      <w:r w:rsidRPr="004D3F3B">
        <w:rPr>
          <w:rFonts w:asciiTheme="minorHAnsi" w:hAnsiTheme="minorHAnsi" w:cs="Arial"/>
          <w:szCs w:val="21"/>
        </w:rPr>
        <w:t xml:space="preserve">Wilkinson, C., Medhurst, J., Henry, N. and Wihlborg, M. (2014) </w:t>
      </w:r>
      <w:r w:rsidRPr="004D3F3B">
        <w:rPr>
          <w:rFonts w:asciiTheme="minorHAnsi" w:hAnsiTheme="minorHAnsi" w:cs="Arial"/>
          <w:i/>
          <w:szCs w:val="21"/>
        </w:rPr>
        <w:t>A map of social enterprises and their eco-systems in Europe. Executive Summary</w:t>
      </w:r>
      <w:r w:rsidRPr="004D3F3B">
        <w:rPr>
          <w:rFonts w:asciiTheme="minorHAnsi" w:hAnsiTheme="minorHAnsi" w:cs="Arial"/>
          <w:szCs w:val="21"/>
        </w:rPr>
        <w:t>, A report submitted by ICF Consulting Services, European Commission, Luxembourg.</w:t>
      </w:r>
    </w:p>
    <w:p w14:paraId="62340892" w14:textId="77777777" w:rsidR="00446AF1" w:rsidRPr="004D3F3B" w:rsidRDefault="00446AF1" w:rsidP="00885744">
      <w:pPr>
        <w:rPr>
          <w:rFonts w:asciiTheme="minorHAnsi" w:hAnsiTheme="minorHAnsi" w:cs="Arial"/>
          <w:szCs w:val="21"/>
        </w:rPr>
      </w:pPr>
    </w:p>
    <w:sectPr w:rsidR="00446AF1" w:rsidRPr="004D3F3B" w:rsidSect="005A78FF">
      <w:headerReference w:type="default" r:id="rId22"/>
      <w:footerReference w:type="default" r:id="rId23"/>
      <w:pgSz w:w="11909" w:h="16834" w:code="9"/>
      <w:pgMar w:top="1558" w:right="1225" w:bottom="1276" w:left="1225" w:header="426"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3A0F2" w14:textId="77777777" w:rsidR="00413ABC" w:rsidRDefault="00413ABC" w:rsidP="00FA01AA">
      <w:r>
        <w:separator/>
      </w:r>
    </w:p>
  </w:endnote>
  <w:endnote w:type="continuationSeparator" w:id="0">
    <w:p w14:paraId="47A63BBC" w14:textId="77777777" w:rsidR="00413ABC" w:rsidRDefault="00413ABC" w:rsidP="00FA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85BD" w14:textId="77777777" w:rsidR="00D00E80" w:rsidRDefault="00D00E80" w:rsidP="001E1AE7">
    <w:pPr>
      <w:pStyle w:val="Footer"/>
      <w:jc w:val="right"/>
    </w:pPr>
    <w:r w:rsidRPr="0000783F">
      <w:rPr>
        <w:noProof/>
        <w:lang w:eastAsia="en-AU"/>
      </w:rPr>
      <w:drawing>
        <wp:anchor distT="0" distB="0" distL="114300" distR="114300" simplePos="0" relativeHeight="251661312" behindDoc="0" locked="0" layoutInCell="1" allowOverlap="1" wp14:anchorId="5552E74B" wp14:editId="688010C5">
          <wp:simplePos x="0" y="0"/>
          <wp:positionH relativeFrom="column">
            <wp:posOffset>-273050</wp:posOffset>
          </wp:positionH>
          <wp:positionV relativeFrom="paragraph">
            <wp:posOffset>65405</wp:posOffset>
          </wp:positionV>
          <wp:extent cx="3035300" cy="139700"/>
          <wp:effectExtent l="0" t="0" r="12700" b="12700"/>
          <wp:wrapTight wrapText="bothSides">
            <wp:wrapPolygon edited="0">
              <wp:start x="0" y="0"/>
              <wp:lineTo x="0" y="19636"/>
              <wp:lineTo x="13918" y="19636"/>
              <wp:lineTo x="21510" y="19636"/>
              <wp:lineTo x="21510" y="0"/>
              <wp:lineTo x="13918" y="0"/>
              <wp:lineTo x="0" y="0"/>
            </wp:wrapPolygon>
          </wp:wrapTight>
          <wp:docPr id="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35300" cy="139700"/>
                  </a:xfrm>
                  <a:prstGeom prst="rect">
                    <a:avLst/>
                  </a:prstGeom>
                </pic:spPr>
              </pic:pic>
            </a:graphicData>
          </a:graphic>
          <wp14:sizeRelH relativeFrom="page">
            <wp14:pctWidth>0</wp14:pctWidth>
          </wp14:sizeRelH>
          <wp14:sizeRelV relativeFrom="page">
            <wp14:pctHeight>0</wp14:pctHeight>
          </wp14:sizeRelV>
        </wp:anchor>
      </w:drawing>
    </w:r>
    <w:r w:rsidRPr="001E1AE7">
      <w:t xml:space="preserve"> </w:t>
    </w:r>
    <w:sdt>
      <w:sdtPr>
        <w:id w:val="1786149138"/>
        <w:docPartObj>
          <w:docPartGallery w:val="Page Numbers (Bottom of Page)"/>
          <w:docPartUnique/>
        </w:docPartObj>
      </w:sdtPr>
      <w:sdtEndPr>
        <w:rPr>
          <w:noProof/>
        </w:rPr>
      </w:sdtEndPr>
      <w:sdtContent>
        <w:r w:rsidRPr="0028088E">
          <w:rPr>
            <w:szCs w:val="18"/>
          </w:rPr>
          <w:fldChar w:fldCharType="begin"/>
        </w:r>
        <w:r w:rsidRPr="0028088E">
          <w:rPr>
            <w:szCs w:val="18"/>
          </w:rPr>
          <w:instrText xml:space="preserve"> PAGE   \* MERGEFORMAT </w:instrText>
        </w:r>
        <w:r w:rsidRPr="0028088E">
          <w:rPr>
            <w:szCs w:val="18"/>
          </w:rPr>
          <w:fldChar w:fldCharType="separate"/>
        </w:r>
        <w:r w:rsidR="00EE7436">
          <w:rPr>
            <w:noProof/>
            <w:szCs w:val="18"/>
          </w:rPr>
          <w:t>2</w:t>
        </w:r>
        <w:r w:rsidRPr="0028088E">
          <w:rPr>
            <w:noProof/>
            <w:szCs w:val="18"/>
          </w:rPr>
          <w:fldChar w:fldCharType="end"/>
        </w:r>
      </w:sdtContent>
    </w:sdt>
  </w:p>
  <w:p w14:paraId="38FB80DF" w14:textId="77777777" w:rsidR="00D00E80" w:rsidRDefault="00D00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CD18D" w14:textId="77777777" w:rsidR="00413ABC" w:rsidRDefault="00413ABC" w:rsidP="00FA01AA">
      <w:r>
        <w:separator/>
      </w:r>
    </w:p>
  </w:footnote>
  <w:footnote w:type="continuationSeparator" w:id="0">
    <w:p w14:paraId="57A8A8D0" w14:textId="77777777" w:rsidR="00413ABC" w:rsidRDefault="00413ABC" w:rsidP="00FA01AA">
      <w:r>
        <w:continuationSeparator/>
      </w:r>
    </w:p>
  </w:footnote>
  <w:footnote w:id="1">
    <w:p w14:paraId="14103E52" w14:textId="77777777" w:rsidR="00D00E80" w:rsidRPr="003E43F9" w:rsidRDefault="00D00E80" w:rsidP="000678D8">
      <w:pPr>
        <w:rPr>
          <w:lang w:val="en-AU"/>
        </w:rPr>
      </w:pPr>
      <w:r>
        <w:rPr>
          <w:rStyle w:val="FootnoteReference"/>
        </w:rPr>
        <w:footnoteRef/>
      </w:r>
      <w:r>
        <w:t xml:space="preserve"> </w:t>
      </w:r>
      <w:r w:rsidRPr="003E43F9">
        <w:rPr>
          <w:sz w:val="20"/>
        </w:rPr>
        <w:t>While there is some scope to structure social enterprise as a not</w:t>
      </w:r>
      <w:r>
        <w:rPr>
          <w:sz w:val="20"/>
        </w:rPr>
        <w:t xml:space="preserve"> </w:t>
      </w:r>
      <w:r w:rsidRPr="003E43F9">
        <w:rPr>
          <w:sz w:val="20"/>
        </w:rPr>
        <w:t>for</w:t>
      </w:r>
      <w:r>
        <w:rPr>
          <w:sz w:val="20"/>
        </w:rPr>
        <w:t xml:space="preserve"> </w:t>
      </w:r>
      <w:r w:rsidRPr="003E43F9">
        <w:rPr>
          <w:sz w:val="20"/>
        </w:rPr>
        <w:t xml:space="preserve">profit </w:t>
      </w:r>
      <w:r>
        <w:rPr>
          <w:sz w:val="20"/>
        </w:rPr>
        <w:t xml:space="preserve">that can receive equity investments </w:t>
      </w:r>
      <w:r w:rsidRPr="003E43F9">
        <w:rPr>
          <w:sz w:val="20"/>
        </w:rPr>
        <w:t xml:space="preserve">this is complicated and relatively rare (Justice Connect model, https://www.justiceconnect.org.au/new-social-enterprise-guide). </w:t>
      </w:r>
    </w:p>
  </w:footnote>
  <w:footnote w:id="2">
    <w:p w14:paraId="4E3380B7" w14:textId="6434AAA1" w:rsidR="000678D8" w:rsidRPr="000A7D28" w:rsidRDefault="000678D8" w:rsidP="000678D8">
      <w:pPr>
        <w:pStyle w:val="NormalWeb"/>
        <w:spacing w:before="120" w:beforeAutospacing="0" w:after="0" w:afterAutospacing="0"/>
        <w:rPr>
          <w:rFonts w:asciiTheme="minorHAnsi" w:hAnsiTheme="minorHAnsi" w:cstheme="minorHAnsi"/>
          <w:sz w:val="20"/>
          <w:szCs w:val="20"/>
          <w:lang w:eastAsia="en-US"/>
        </w:rPr>
      </w:pPr>
      <w:r w:rsidRPr="000A7D28">
        <w:rPr>
          <w:rStyle w:val="FootnoteReference"/>
          <w:rFonts w:asciiTheme="minorHAnsi" w:hAnsiTheme="minorHAnsi" w:cstheme="minorHAnsi"/>
          <w:sz w:val="20"/>
          <w:szCs w:val="20"/>
        </w:rPr>
        <w:footnoteRef/>
      </w:r>
      <w:r w:rsidR="00F75902">
        <w:rPr>
          <w:rFonts w:asciiTheme="minorHAnsi" w:hAnsiTheme="minorHAnsi" w:cstheme="minorHAnsi"/>
          <w:sz w:val="20"/>
          <w:szCs w:val="20"/>
        </w:rPr>
        <w:t xml:space="preserve"> </w:t>
      </w:r>
      <w:r w:rsidRPr="000A7D28">
        <w:rPr>
          <w:rFonts w:asciiTheme="minorHAnsi" w:hAnsiTheme="minorHAnsi" w:cstheme="minorHAnsi"/>
          <w:sz w:val="20"/>
          <w:szCs w:val="20"/>
          <w:lang w:eastAsia="en-US"/>
        </w:rPr>
        <w:t>CICs are limited companies which operate to provide a benefit to the community they serve. They are not strictly 'not for profit', and CICs can, and do, deliver returns to investors. However, the purpose of CIC is primarily one of community benefit rather than private profit. Whilst returns to investors are permitted, these must be balanced and reasonable, to encourage investment in the social enterprise sector whilst ensuring true community benefit is always at the heart of any CIC’ (</w:t>
      </w:r>
      <w:r w:rsidRPr="000A7D28">
        <w:rPr>
          <w:rFonts w:asciiTheme="minorHAnsi" w:hAnsiTheme="minorHAnsi" w:cstheme="minorHAnsi"/>
          <w:sz w:val="20"/>
          <w:szCs w:val="20"/>
        </w:rPr>
        <w:t>Department for Business Innovation &amp; Skills 2016: 3</w:t>
      </w:r>
      <w:r w:rsidRPr="000A7D28">
        <w:rPr>
          <w:rFonts w:asciiTheme="minorHAnsi" w:hAnsiTheme="minorHAnsi" w:cstheme="minorHAnsi"/>
          <w:sz w:val="20"/>
          <w:szCs w:val="20"/>
          <w:lang w:eastAsia="en-US"/>
        </w:rPr>
        <w:t>).</w:t>
      </w:r>
    </w:p>
  </w:footnote>
  <w:footnote w:id="3">
    <w:p w14:paraId="28DDDDC6" w14:textId="77777777" w:rsidR="00D00E80" w:rsidRPr="000A7D28" w:rsidRDefault="00D00E80" w:rsidP="000678D8">
      <w:pPr>
        <w:rPr>
          <w:rFonts w:asciiTheme="minorHAnsi" w:hAnsiTheme="minorHAnsi" w:cstheme="minorHAnsi"/>
          <w:sz w:val="20"/>
        </w:rPr>
      </w:pPr>
      <w:r w:rsidRPr="000A7D28">
        <w:rPr>
          <w:rStyle w:val="FootnoteReference"/>
          <w:rFonts w:asciiTheme="minorHAnsi" w:hAnsiTheme="minorHAnsi" w:cstheme="minorHAnsi"/>
          <w:sz w:val="20"/>
        </w:rPr>
        <w:footnoteRef/>
      </w:r>
      <w:r w:rsidRPr="000A7D28">
        <w:rPr>
          <w:rFonts w:asciiTheme="minorHAnsi" w:hAnsiTheme="minorHAnsi" w:cstheme="minorHAnsi"/>
          <w:sz w:val="20"/>
        </w:rPr>
        <w:t xml:space="preserve"> B Lab certifies for-profit companies as Benefit Corporations when they meet rigorous standards of transparency, accountability and social and environmental performance </w:t>
      </w:r>
      <w:r w:rsidRPr="000A7D28">
        <w:rPr>
          <w:rFonts w:asciiTheme="minorHAnsi" w:hAnsiTheme="minorHAnsi" w:cstheme="minorHAnsi"/>
          <w:color w:val="1A1A1A"/>
          <w:sz w:val="20"/>
          <w:lang w:val="en-US"/>
        </w:rPr>
        <w:t>(B Corp 2016).</w:t>
      </w:r>
    </w:p>
  </w:footnote>
  <w:footnote w:id="4">
    <w:p w14:paraId="6291C0FB" w14:textId="77777777" w:rsidR="00D00E80" w:rsidRPr="002D2678" w:rsidRDefault="00D00E80">
      <w:pPr>
        <w:pStyle w:val="FootnoteText"/>
        <w:rPr>
          <w:sz w:val="20"/>
          <w:lang w:val="en-US"/>
        </w:rPr>
      </w:pPr>
      <w:r w:rsidRPr="002D2678">
        <w:rPr>
          <w:rStyle w:val="FootnoteReference"/>
          <w:sz w:val="20"/>
        </w:rPr>
        <w:footnoteRef/>
      </w:r>
      <w:r w:rsidRPr="002D2678">
        <w:rPr>
          <w:sz w:val="20"/>
        </w:rPr>
        <w:t xml:space="preserve"> </w:t>
      </w:r>
      <w:r w:rsidRPr="002D2678">
        <w:rPr>
          <w:rFonts w:asciiTheme="minorHAnsi" w:hAnsiTheme="minorHAnsi" w:cstheme="majorHAnsi"/>
          <w:color w:val="000000" w:themeColor="text1"/>
          <w:sz w:val="20"/>
          <w:lang w:eastAsia="en-AU"/>
        </w:rPr>
        <w:t>Under the Superannuation Industry (Supervision) Act 1993, the sole purpose test specifies that trustees must ensure superannuation funds are solely maintained to provide retirement (or death) benefits for members (Australian Government 1993).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0E0D5" w14:textId="77777777" w:rsidR="00D00E80" w:rsidRPr="00311845" w:rsidRDefault="00D00E80" w:rsidP="004501BF">
    <w:pPr>
      <w:pStyle w:val="Header2"/>
      <w:jc w:val="right"/>
    </w:pPr>
    <w:r>
      <w:drawing>
        <wp:anchor distT="0" distB="0" distL="114300" distR="114300" simplePos="0" relativeHeight="251660288" behindDoc="0" locked="0" layoutInCell="1" allowOverlap="1" wp14:anchorId="720CC839" wp14:editId="6F6A1FCD">
          <wp:simplePos x="0" y="0"/>
          <wp:positionH relativeFrom="column">
            <wp:posOffset>4558665</wp:posOffset>
          </wp:positionH>
          <wp:positionV relativeFrom="paragraph">
            <wp:posOffset>3810</wp:posOffset>
          </wp:positionV>
          <wp:extent cx="1445260" cy="83820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_Logo_Horizontal_Black_large-01.jpg"/>
                  <pic:cNvPicPr/>
                </pic:nvPicPr>
                <pic:blipFill>
                  <a:blip r:embed="rId1">
                    <a:extLst>
                      <a:ext uri="{28A0092B-C50C-407E-A947-70E740481C1C}">
                        <a14:useLocalDpi xmlns:a14="http://schemas.microsoft.com/office/drawing/2010/main" val="0"/>
                      </a:ext>
                    </a:extLst>
                  </a:blip>
                  <a:stretch>
                    <a:fillRect/>
                  </a:stretch>
                </pic:blipFill>
                <pic:spPr>
                  <a:xfrm>
                    <a:off x="0" y="0"/>
                    <a:ext cx="144526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73456"/>
    <w:multiLevelType w:val="hybridMultilevel"/>
    <w:tmpl w:val="221A97E4"/>
    <w:lvl w:ilvl="0" w:tplc="B1E6594A">
      <w:start w:val="1"/>
      <w:numFmt w:val="bullet"/>
      <w:pStyle w:val="Bullet2"/>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80CC3"/>
    <w:multiLevelType w:val="singleLevel"/>
    <w:tmpl w:val="22AA449A"/>
    <w:lvl w:ilvl="0">
      <w:start w:val="1"/>
      <w:numFmt w:val="lowerLetter"/>
      <w:pStyle w:val="Number2"/>
      <w:lvlText w:val="%1)"/>
      <w:lvlJc w:val="left"/>
      <w:pPr>
        <w:tabs>
          <w:tab w:val="num" w:pos="1440"/>
        </w:tabs>
        <w:ind w:left="1440" w:hanging="720"/>
      </w:pPr>
      <w:rPr>
        <w:rFonts w:hint="default"/>
      </w:rPr>
    </w:lvl>
  </w:abstractNum>
  <w:abstractNum w:abstractNumId="3">
    <w:nsid w:val="06620D66"/>
    <w:multiLevelType w:val="hybridMultilevel"/>
    <w:tmpl w:val="963E6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D61F42"/>
    <w:multiLevelType w:val="hybridMultilevel"/>
    <w:tmpl w:val="7DD0F3B6"/>
    <w:lvl w:ilvl="0" w:tplc="262A819A">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70ED7"/>
    <w:multiLevelType w:val="hybridMultilevel"/>
    <w:tmpl w:val="09EE4746"/>
    <w:lvl w:ilvl="0" w:tplc="D42C2A10">
      <w:start w:val="3"/>
      <w:numFmt w:val="bullet"/>
      <w:lvlText w:val="-"/>
      <w:lvlJc w:val="left"/>
      <w:pPr>
        <w:ind w:left="720" w:hanging="360"/>
      </w:pPr>
      <w:rPr>
        <w:rFonts w:ascii="Calibri" w:eastAsiaTheme="minorEastAsia" w:hAnsi="Calibri" w:cs="Calibr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82136"/>
    <w:multiLevelType w:val="hybridMultilevel"/>
    <w:tmpl w:val="7748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63EA5"/>
    <w:multiLevelType w:val="hybridMultilevel"/>
    <w:tmpl w:val="26E47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B4E5BD9"/>
    <w:multiLevelType w:val="hybridMultilevel"/>
    <w:tmpl w:val="CD14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C805FC"/>
    <w:multiLevelType w:val="hybridMultilevel"/>
    <w:tmpl w:val="7A98A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883B5F"/>
    <w:multiLevelType w:val="hybridMultilevel"/>
    <w:tmpl w:val="EF80B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094E89"/>
    <w:multiLevelType w:val="hybridMultilevel"/>
    <w:tmpl w:val="09462C78"/>
    <w:lvl w:ilvl="0" w:tplc="BF20E4C6">
      <w:start w:val="1"/>
      <w:numFmt w:val="bullet"/>
      <w:pStyle w:val="TableBullet1"/>
      <w:lvlText w:val=""/>
      <w:lvlJc w:val="left"/>
      <w:pPr>
        <w:ind w:left="4329" w:hanging="360"/>
      </w:pPr>
      <w:rPr>
        <w:rFonts w:ascii="Symbol" w:hAnsi="Symbol" w:hint="default"/>
      </w:rPr>
    </w:lvl>
    <w:lvl w:ilvl="1" w:tplc="5AE8F3A4">
      <w:start w:val="1"/>
      <w:numFmt w:val="bullet"/>
      <w:pStyle w:val="Table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B72908"/>
    <w:multiLevelType w:val="hybridMultilevel"/>
    <w:tmpl w:val="858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6E084F"/>
    <w:multiLevelType w:val="hybridMultilevel"/>
    <w:tmpl w:val="CBFE8E5C"/>
    <w:lvl w:ilvl="0" w:tplc="03F2AFDA">
      <w:start w:val="1"/>
      <w:numFmt w:val="decimal"/>
      <w:pStyle w:val="Number1"/>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CEF7FA9"/>
    <w:multiLevelType w:val="hybridMultilevel"/>
    <w:tmpl w:val="548280CC"/>
    <w:lvl w:ilvl="0" w:tplc="F5AA1312">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2C26B87"/>
    <w:multiLevelType w:val="hybridMultilevel"/>
    <w:tmpl w:val="AFAE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CB2BE6"/>
    <w:multiLevelType w:val="hybridMultilevel"/>
    <w:tmpl w:val="8BB4E86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8">
    <w:nsid w:val="70E43965"/>
    <w:multiLevelType w:val="hybridMultilevel"/>
    <w:tmpl w:val="192E7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5E94984"/>
    <w:multiLevelType w:val="hybridMultilevel"/>
    <w:tmpl w:val="0088B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66D164C"/>
    <w:multiLevelType w:val="hybridMultilevel"/>
    <w:tmpl w:val="2F8E9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85676"/>
    <w:multiLevelType w:val="hybridMultilevel"/>
    <w:tmpl w:val="D856EB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D266770"/>
    <w:multiLevelType w:val="hybridMultilevel"/>
    <w:tmpl w:val="A5703BF2"/>
    <w:lvl w:ilvl="0" w:tplc="C122E3B4">
      <w:start w:val="1"/>
      <w:numFmt w:val="decimal"/>
      <w:pStyle w:val="ListnumberAHURI"/>
      <w:lvlText w:val="%1"/>
      <w:lvlJc w:val="left"/>
      <w:pPr>
        <w:tabs>
          <w:tab w:val="num" w:pos="284"/>
        </w:tabs>
        <w:ind w:left="284" w:hanging="284"/>
      </w:pPr>
      <w:rPr>
        <w:rFonts w:hint="default"/>
        <w:b/>
        <w:bCs/>
        <w:i w:val="0"/>
        <w:iCs w:val="0"/>
        <w:color w:val="D7182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EBF275E"/>
    <w:multiLevelType w:val="multilevel"/>
    <w:tmpl w:val="A6800B9E"/>
    <w:numStyleLink w:val="Outlinenumbering"/>
  </w:abstractNum>
  <w:num w:numId="1">
    <w:abstractNumId w:val="2"/>
  </w:num>
  <w:num w:numId="2">
    <w:abstractNumId w:val="1"/>
  </w:num>
  <w:num w:numId="3">
    <w:abstractNumId w:val="14"/>
  </w:num>
  <w:num w:numId="4">
    <w:abstractNumId w:val="12"/>
  </w:num>
  <w:num w:numId="5">
    <w:abstractNumId w:val="15"/>
  </w:num>
  <w:num w:numId="6">
    <w:abstractNumId w:val="6"/>
  </w:num>
  <w:num w:numId="7">
    <w:abstractNumId w:val="13"/>
  </w:num>
  <w:num w:numId="8">
    <w:abstractNumId w:val="20"/>
  </w:num>
  <w:num w:numId="9">
    <w:abstractNumId w:val="8"/>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9"/>
  </w:num>
  <w:num w:numId="15">
    <w:abstractNumId w:val="10"/>
  </w:num>
  <w:num w:numId="16">
    <w:abstractNumId w:val="16"/>
  </w:num>
  <w:num w:numId="17">
    <w:abstractNumId w:val="7"/>
  </w:num>
  <w:num w:numId="18">
    <w:abstractNumId w:val="5"/>
  </w:num>
  <w:num w:numId="19">
    <w:abstractNumId w:val="22"/>
  </w:num>
  <w:num w:numId="20">
    <w:abstractNumId w:val="11"/>
  </w:num>
  <w:num w:numId="21">
    <w:abstractNumId w:val="3"/>
  </w:num>
  <w:num w:numId="22">
    <w:abstractNumId w:val="21"/>
  </w:num>
  <w:num w:numId="23">
    <w:abstractNumId w:val="19"/>
  </w:num>
  <w:num w:numId="24">
    <w:abstractNumId w:val="18"/>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00"/>
    <w:rsid w:val="00004481"/>
    <w:rsid w:val="00004F23"/>
    <w:rsid w:val="00006FBA"/>
    <w:rsid w:val="000162C4"/>
    <w:rsid w:val="00016EB9"/>
    <w:rsid w:val="000225AD"/>
    <w:rsid w:val="000233D4"/>
    <w:rsid w:val="000307DD"/>
    <w:rsid w:val="00033EBC"/>
    <w:rsid w:val="00035AFE"/>
    <w:rsid w:val="000363F2"/>
    <w:rsid w:val="00044458"/>
    <w:rsid w:val="00044830"/>
    <w:rsid w:val="00046947"/>
    <w:rsid w:val="00047BD3"/>
    <w:rsid w:val="00050306"/>
    <w:rsid w:val="00051C87"/>
    <w:rsid w:val="00051FB3"/>
    <w:rsid w:val="000546E2"/>
    <w:rsid w:val="00054A36"/>
    <w:rsid w:val="00062628"/>
    <w:rsid w:val="00063A9B"/>
    <w:rsid w:val="000678D8"/>
    <w:rsid w:val="00070830"/>
    <w:rsid w:val="000738E2"/>
    <w:rsid w:val="00075E2D"/>
    <w:rsid w:val="00076AA2"/>
    <w:rsid w:val="00080148"/>
    <w:rsid w:val="00082EDF"/>
    <w:rsid w:val="000948D7"/>
    <w:rsid w:val="00094EC9"/>
    <w:rsid w:val="00097498"/>
    <w:rsid w:val="000A018D"/>
    <w:rsid w:val="000A09C4"/>
    <w:rsid w:val="000A1B5C"/>
    <w:rsid w:val="000A5A87"/>
    <w:rsid w:val="000A609B"/>
    <w:rsid w:val="000A6459"/>
    <w:rsid w:val="000A7D28"/>
    <w:rsid w:val="000B08A8"/>
    <w:rsid w:val="000B352A"/>
    <w:rsid w:val="000B7834"/>
    <w:rsid w:val="000C1B0D"/>
    <w:rsid w:val="000C1D4D"/>
    <w:rsid w:val="000C410E"/>
    <w:rsid w:val="000C744E"/>
    <w:rsid w:val="000C7A92"/>
    <w:rsid w:val="000D0783"/>
    <w:rsid w:val="000D523C"/>
    <w:rsid w:val="000D7774"/>
    <w:rsid w:val="000E2216"/>
    <w:rsid w:val="000E242B"/>
    <w:rsid w:val="000E2910"/>
    <w:rsid w:val="000E2E23"/>
    <w:rsid w:val="000E624F"/>
    <w:rsid w:val="000E6803"/>
    <w:rsid w:val="000E78F5"/>
    <w:rsid w:val="000E7ECD"/>
    <w:rsid w:val="000F0254"/>
    <w:rsid w:val="000F2A24"/>
    <w:rsid w:val="000F2F4B"/>
    <w:rsid w:val="000F43A5"/>
    <w:rsid w:val="000F5E10"/>
    <w:rsid w:val="000F5EBE"/>
    <w:rsid w:val="00101185"/>
    <w:rsid w:val="0010309B"/>
    <w:rsid w:val="001037E4"/>
    <w:rsid w:val="0010380E"/>
    <w:rsid w:val="001043BE"/>
    <w:rsid w:val="00106B54"/>
    <w:rsid w:val="00106D98"/>
    <w:rsid w:val="00106F4D"/>
    <w:rsid w:val="00111A45"/>
    <w:rsid w:val="001126FF"/>
    <w:rsid w:val="001139AA"/>
    <w:rsid w:val="00116D43"/>
    <w:rsid w:val="00117064"/>
    <w:rsid w:val="00117E8A"/>
    <w:rsid w:val="00120230"/>
    <w:rsid w:val="001223E7"/>
    <w:rsid w:val="00122CCE"/>
    <w:rsid w:val="001238E4"/>
    <w:rsid w:val="00123C49"/>
    <w:rsid w:val="00125D6C"/>
    <w:rsid w:val="00125E72"/>
    <w:rsid w:val="00127A79"/>
    <w:rsid w:val="00132A19"/>
    <w:rsid w:val="00137638"/>
    <w:rsid w:val="00137C2A"/>
    <w:rsid w:val="001402CC"/>
    <w:rsid w:val="00141210"/>
    <w:rsid w:val="0014361D"/>
    <w:rsid w:val="00145571"/>
    <w:rsid w:val="00145E41"/>
    <w:rsid w:val="0015372A"/>
    <w:rsid w:val="001557DA"/>
    <w:rsid w:val="00156754"/>
    <w:rsid w:val="001645F0"/>
    <w:rsid w:val="001715EC"/>
    <w:rsid w:val="00174C44"/>
    <w:rsid w:val="00175C38"/>
    <w:rsid w:val="00180AF9"/>
    <w:rsid w:val="00180E59"/>
    <w:rsid w:val="00180FCD"/>
    <w:rsid w:val="00181294"/>
    <w:rsid w:val="001815C4"/>
    <w:rsid w:val="0018227B"/>
    <w:rsid w:val="00185C59"/>
    <w:rsid w:val="00186B05"/>
    <w:rsid w:val="001926DA"/>
    <w:rsid w:val="00193C67"/>
    <w:rsid w:val="001941E9"/>
    <w:rsid w:val="0019665A"/>
    <w:rsid w:val="001977CC"/>
    <w:rsid w:val="001A0915"/>
    <w:rsid w:val="001A2A13"/>
    <w:rsid w:val="001B04C4"/>
    <w:rsid w:val="001B2E51"/>
    <w:rsid w:val="001B3993"/>
    <w:rsid w:val="001C4FC2"/>
    <w:rsid w:val="001C5991"/>
    <w:rsid w:val="001C683C"/>
    <w:rsid w:val="001D2ABE"/>
    <w:rsid w:val="001D7124"/>
    <w:rsid w:val="001E05B4"/>
    <w:rsid w:val="001E1AE7"/>
    <w:rsid w:val="001E2067"/>
    <w:rsid w:val="001E587E"/>
    <w:rsid w:val="001F1609"/>
    <w:rsid w:val="001F1A39"/>
    <w:rsid w:val="001F4DA0"/>
    <w:rsid w:val="001F55B5"/>
    <w:rsid w:val="001F6096"/>
    <w:rsid w:val="00200BF3"/>
    <w:rsid w:val="00202A74"/>
    <w:rsid w:val="002030D0"/>
    <w:rsid w:val="00204381"/>
    <w:rsid w:val="00210218"/>
    <w:rsid w:val="002126F3"/>
    <w:rsid w:val="00215621"/>
    <w:rsid w:val="00215652"/>
    <w:rsid w:val="00220286"/>
    <w:rsid w:val="00221944"/>
    <w:rsid w:val="00223961"/>
    <w:rsid w:val="00223BEE"/>
    <w:rsid w:val="00224FFD"/>
    <w:rsid w:val="0022530F"/>
    <w:rsid w:val="00227FC8"/>
    <w:rsid w:val="0023145A"/>
    <w:rsid w:val="00234B55"/>
    <w:rsid w:val="002403F7"/>
    <w:rsid w:val="00242DAD"/>
    <w:rsid w:val="0024707C"/>
    <w:rsid w:val="00247362"/>
    <w:rsid w:val="00250537"/>
    <w:rsid w:val="002518CB"/>
    <w:rsid w:val="00255A91"/>
    <w:rsid w:val="00256AB7"/>
    <w:rsid w:val="002620EE"/>
    <w:rsid w:val="002625A0"/>
    <w:rsid w:val="002626CA"/>
    <w:rsid w:val="00263326"/>
    <w:rsid w:val="002647C4"/>
    <w:rsid w:val="00265295"/>
    <w:rsid w:val="00265F8C"/>
    <w:rsid w:val="00267757"/>
    <w:rsid w:val="00270043"/>
    <w:rsid w:val="00271F9F"/>
    <w:rsid w:val="0027369D"/>
    <w:rsid w:val="0027446B"/>
    <w:rsid w:val="002746B5"/>
    <w:rsid w:val="002746C6"/>
    <w:rsid w:val="00274B16"/>
    <w:rsid w:val="00275CF6"/>
    <w:rsid w:val="00275E46"/>
    <w:rsid w:val="0028088E"/>
    <w:rsid w:val="0028127F"/>
    <w:rsid w:val="00281DC0"/>
    <w:rsid w:val="00292C01"/>
    <w:rsid w:val="002943CB"/>
    <w:rsid w:val="00294E76"/>
    <w:rsid w:val="00295BDC"/>
    <w:rsid w:val="00296055"/>
    <w:rsid w:val="00296F1A"/>
    <w:rsid w:val="00297E75"/>
    <w:rsid w:val="002A05F3"/>
    <w:rsid w:val="002A0A80"/>
    <w:rsid w:val="002A45D2"/>
    <w:rsid w:val="002A79E0"/>
    <w:rsid w:val="002B40EB"/>
    <w:rsid w:val="002B4424"/>
    <w:rsid w:val="002B521D"/>
    <w:rsid w:val="002B52BF"/>
    <w:rsid w:val="002B5376"/>
    <w:rsid w:val="002B6242"/>
    <w:rsid w:val="002B641E"/>
    <w:rsid w:val="002B6964"/>
    <w:rsid w:val="002C07CD"/>
    <w:rsid w:val="002C2ED4"/>
    <w:rsid w:val="002C4B6A"/>
    <w:rsid w:val="002C67E1"/>
    <w:rsid w:val="002C785B"/>
    <w:rsid w:val="002D2678"/>
    <w:rsid w:val="002D30EC"/>
    <w:rsid w:val="002D3379"/>
    <w:rsid w:val="002D74C9"/>
    <w:rsid w:val="002E2932"/>
    <w:rsid w:val="002E7550"/>
    <w:rsid w:val="002F09D0"/>
    <w:rsid w:val="002F1753"/>
    <w:rsid w:val="002F22DC"/>
    <w:rsid w:val="002F2D30"/>
    <w:rsid w:val="002F3D53"/>
    <w:rsid w:val="002F7F35"/>
    <w:rsid w:val="00304578"/>
    <w:rsid w:val="00305891"/>
    <w:rsid w:val="00305D75"/>
    <w:rsid w:val="00307411"/>
    <w:rsid w:val="003101BB"/>
    <w:rsid w:val="00310E54"/>
    <w:rsid w:val="00311A1E"/>
    <w:rsid w:val="00312DD6"/>
    <w:rsid w:val="00314A4A"/>
    <w:rsid w:val="00315EFD"/>
    <w:rsid w:val="0032020C"/>
    <w:rsid w:val="003210B2"/>
    <w:rsid w:val="00323753"/>
    <w:rsid w:val="00323F75"/>
    <w:rsid w:val="00327CEE"/>
    <w:rsid w:val="00327F84"/>
    <w:rsid w:val="0033168B"/>
    <w:rsid w:val="0033739B"/>
    <w:rsid w:val="0033763F"/>
    <w:rsid w:val="0034156C"/>
    <w:rsid w:val="00341CEF"/>
    <w:rsid w:val="00342081"/>
    <w:rsid w:val="0034248A"/>
    <w:rsid w:val="003435AB"/>
    <w:rsid w:val="00344FB0"/>
    <w:rsid w:val="00345ED5"/>
    <w:rsid w:val="003538A2"/>
    <w:rsid w:val="00355944"/>
    <w:rsid w:val="003567D0"/>
    <w:rsid w:val="0036014E"/>
    <w:rsid w:val="00361075"/>
    <w:rsid w:val="00361EFC"/>
    <w:rsid w:val="0036384C"/>
    <w:rsid w:val="00364AAC"/>
    <w:rsid w:val="0037143A"/>
    <w:rsid w:val="00373FFE"/>
    <w:rsid w:val="00375CD0"/>
    <w:rsid w:val="003833BD"/>
    <w:rsid w:val="003839BC"/>
    <w:rsid w:val="00392378"/>
    <w:rsid w:val="00393B61"/>
    <w:rsid w:val="00393EF4"/>
    <w:rsid w:val="0039570C"/>
    <w:rsid w:val="003966D3"/>
    <w:rsid w:val="00397859"/>
    <w:rsid w:val="003A09BE"/>
    <w:rsid w:val="003A2FD5"/>
    <w:rsid w:val="003A32D6"/>
    <w:rsid w:val="003A39DE"/>
    <w:rsid w:val="003A41C9"/>
    <w:rsid w:val="003A50DA"/>
    <w:rsid w:val="003A690B"/>
    <w:rsid w:val="003A6982"/>
    <w:rsid w:val="003A7AEE"/>
    <w:rsid w:val="003B0313"/>
    <w:rsid w:val="003B0EE4"/>
    <w:rsid w:val="003B2423"/>
    <w:rsid w:val="003C27A4"/>
    <w:rsid w:val="003C6BDE"/>
    <w:rsid w:val="003D35EE"/>
    <w:rsid w:val="003D41A0"/>
    <w:rsid w:val="003D4CFB"/>
    <w:rsid w:val="003E092C"/>
    <w:rsid w:val="003E2605"/>
    <w:rsid w:val="003E43F9"/>
    <w:rsid w:val="003E53C0"/>
    <w:rsid w:val="003E7DC4"/>
    <w:rsid w:val="003F0491"/>
    <w:rsid w:val="003F0ACD"/>
    <w:rsid w:val="003F1C1B"/>
    <w:rsid w:val="003F2371"/>
    <w:rsid w:val="003F4279"/>
    <w:rsid w:val="003F60E8"/>
    <w:rsid w:val="003F6727"/>
    <w:rsid w:val="00400294"/>
    <w:rsid w:val="00401316"/>
    <w:rsid w:val="004061C8"/>
    <w:rsid w:val="004061DE"/>
    <w:rsid w:val="00407C6C"/>
    <w:rsid w:val="00413ABC"/>
    <w:rsid w:val="00413AD9"/>
    <w:rsid w:val="004172A8"/>
    <w:rsid w:val="004179A0"/>
    <w:rsid w:val="0042342F"/>
    <w:rsid w:val="00424F1F"/>
    <w:rsid w:val="004252D3"/>
    <w:rsid w:val="00426016"/>
    <w:rsid w:val="00430A72"/>
    <w:rsid w:val="00430EAF"/>
    <w:rsid w:val="00431E60"/>
    <w:rsid w:val="0043427F"/>
    <w:rsid w:val="00435863"/>
    <w:rsid w:val="00440F68"/>
    <w:rsid w:val="004425A7"/>
    <w:rsid w:val="00442996"/>
    <w:rsid w:val="004432DB"/>
    <w:rsid w:val="00446AF1"/>
    <w:rsid w:val="004501BF"/>
    <w:rsid w:val="004534B5"/>
    <w:rsid w:val="004543E6"/>
    <w:rsid w:val="00456B19"/>
    <w:rsid w:val="00460188"/>
    <w:rsid w:val="00461DA7"/>
    <w:rsid w:val="00462612"/>
    <w:rsid w:val="00462FE2"/>
    <w:rsid w:val="004640F7"/>
    <w:rsid w:val="004660F0"/>
    <w:rsid w:val="00467216"/>
    <w:rsid w:val="00467B7C"/>
    <w:rsid w:val="00470798"/>
    <w:rsid w:val="00471399"/>
    <w:rsid w:val="00475C96"/>
    <w:rsid w:val="00480B0B"/>
    <w:rsid w:val="00484E59"/>
    <w:rsid w:val="004937BA"/>
    <w:rsid w:val="004A05D6"/>
    <w:rsid w:val="004A618A"/>
    <w:rsid w:val="004A7FF7"/>
    <w:rsid w:val="004B0093"/>
    <w:rsid w:val="004B2232"/>
    <w:rsid w:val="004B5451"/>
    <w:rsid w:val="004B63E6"/>
    <w:rsid w:val="004B6DDE"/>
    <w:rsid w:val="004B7A0E"/>
    <w:rsid w:val="004C1087"/>
    <w:rsid w:val="004C1467"/>
    <w:rsid w:val="004C1F96"/>
    <w:rsid w:val="004C29A1"/>
    <w:rsid w:val="004C42C5"/>
    <w:rsid w:val="004C5E74"/>
    <w:rsid w:val="004C6676"/>
    <w:rsid w:val="004C7945"/>
    <w:rsid w:val="004D156B"/>
    <w:rsid w:val="004D18AE"/>
    <w:rsid w:val="004D37BA"/>
    <w:rsid w:val="004D3F3B"/>
    <w:rsid w:val="004D4933"/>
    <w:rsid w:val="004D5CB3"/>
    <w:rsid w:val="004D6149"/>
    <w:rsid w:val="004D724E"/>
    <w:rsid w:val="004E4E2E"/>
    <w:rsid w:val="004E6035"/>
    <w:rsid w:val="004E62CE"/>
    <w:rsid w:val="004E6407"/>
    <w:rsid w:val="004F17C2"/>
    <w:rsid w:val="004F3047"/>
    <w:rsid w:val="004F351E"/>
    <w:rsid w:val="004F4297"/>
    <w:rsid w:val="004F4B1E"/>
    <w:rsid w:val="004F6894"/>
    <w:rsid w:val="004F73EB"/>
    <w:rsid w:val="004F7D97"/>
    <w:rsid w:val="00501496"/>
    <w:rsid w:val="005035E6"/>
    <w:rsid w:val="00504B24"/>
    <w:rsid w:val="00506F9D"/>
    <w:rsid w:val="005113BB"/>
    <w:rsid w:val="00511F2B"/>
    <w:rsid w:val="005124F0"/>
    <w:rsid w:val="00512BC8"/>
    <w:rsid w:val="005139EA"/>
    <w:rsid w:val="00514930"/>
    <w:rsid w:val="00525662"/>
    <w:rsid w:val="00525B88"/>
    <w:rsid w:val="00526094"/>
    <w:rsid w:val="005300FE"/>
    <w:rsid w:val="0053122E"/>
    <w:rsid w:val="00531C97"/>
    <w:rsid w:val="00532052"/>
    <w:rsid w:val="00544B08"/>
    <w:rsid w:val="005503EE"/>
    <w:rsid w:val="00550CC1"/>
    <w:rsid w:val="00553943"/>
    <w:rsid w:val="005554C2"/>
    <w:rsid w:val="00556374"/>
    <w:rsid w:val="00557CDE"/>
    <w:rsid w:val="0056135C"/>
    <w:rsid w:val="00561DF9"/>
    <w:rsid w:val="00562F09"/>
    <w:rsid w:val="005648A0"/>
    <w:rsid w:val="00565086"/>
    <w:rsid w:val="005670A8"/>
    <w:rsid w:val="00567A53"/>
    <w:rsid w:val="005704A8"/>
    <w:rsid w:val="005711F8"/>
    <w:rsid w:val="00572310"/>
    <w:rsid w:val="005736DC"/>
    <w:rsid w:val="00575B59"/>
    <w:rsid w:val="00577F9E"/>
    <w:rsid w:val="00580645"/>
    <w:rsid w:val="00580DE9"/>
    <w:rsid w:val="0058361B"/>
    <w:rsid w:val="00584333"/>
    <w:rsid w:val="005848D1"/>
    <w:rsid w:val="005855D5"/>
    <w:rsid w:val="00587381"/>
    <w:rsid w:val="00587924"/>
    <w:rsid w:val="00587D9B"/>
    <w:rsid w:val="005930AD"/>
    <w:rsid w:val="00594570"/>
    <w:rsid w:val="005956B9"/>
    <w:rsid w:val="005A166B"/>
    <w:rsid w:val="005A397A"/>
    <w:rsid w:val="005A4479"/>
    <w:rsid w:val="005A78FF"/>
    <w:rsid w:val="005B3927"/>
    <w:rsid w:val="005B3D5B"/>
    <w:rsid w:val="005B43C3"/>
    <w:rsid w:val="005B5D0E"/>
    <w:rsid w:val="005B677D"/>
    <w:rsid w:val="005B6810"/>
    <w:rsid w:val="005C057A"/>
    <w:rsid w:val="005C0C0E"/>
    <w:rsid w:val="005C1A80"/>
    <w:rsid w:val="005C39EB"/>
    <w:rsid w:val="005C3ECE"/>
    <w:rsid w:val="005C5E6B"/>
    <w:rsid w:val="005C6AF4"/>
    <w:rsid w:val="005D0719"/>
    <w:rsid w:val="005D3E98"/>
    <w:rsid w:val="005D6A35"/>
    <w:rsid w:val="005D72B8"/>
    <w:rsid w:val="005E443D"/>
    <w:rsid w:val="005E7112"/>
    <w:rsid w:val="005F011E"/>
    <w:rsid w:val="005F0A00"/>
    <w:rsid w:val="005F16BA"/>
    <w:rsid w:val="005F65E0"/>
    <w:rsid w:val="005F7CFE"/>
    <w:rsid w:val="006029F4"/>
    <w:rsid w:val="00602BE9"/>
    <w:rsid w:val="00603004"/>
    <w:rsid w:val="006037F3"/>
    <w:rsid w:val="006038EE"/>
    <w:rsid w:val="00605C80"/>
    <w:rsid w:val="00606924"/>
    <w:rsid w:val="00610DB9"/>
    <w:rsid w:val="00616AC4"/>
    <w:rsid w:val="006212EF"/>
    <w:rsid w:val="00623AB0"/>
    <w:rsid w:val="00623DA9"/>
    <w:rsid w:val="00630E73"/>
    <w:rsid w:val="006334A2"/>
    <w:rsid w:val="00635760"/>
    <w:rsid w:val="006372EF"/>
    <w:rsid w:val="0064456D"/>
    <w:rsid w:val="006448DE"/>
    <w:rsid w:val="00645E93"/>
    <w:rsid w:val="00651127"/>
    <w:rsid w:val="00654799"/>
    <w:rsid w:val="00657F15"/>
    <w:rsid w:val="00657FD9"/>
    <w:rsid w:val="00661A94"/>
    <w:rsid w:val="00664480"/>
    <w:rsid w:val="00664C7F"/>
    <w:rsid w:val="0066645F"/>
    <w:rsid w:val="006720F5"/>
    <w:rsid w:val="00672C7C"/>
    <w:rsid w:val="00674913"/>
    <w:rsid w:val="00676623"/>
    <w:rsid w:val="00676C11"/>
    <w:rsid w:val="00677D7F"/>
    <w:rsid w:val="006802DA"/>
    <w:rsid w:val="0068056E"/>
    <w:rsid w:val="00682012"/>
    <w:rsid w:val="006908AF"/>
    <w:rsid w:val="0069126D"/>
    <w:rsid w:val="00691819"/>
    <w:rsid w:val="006918D2"/>
    <w:rsid w:val="00691DB3"/>
    <w:rsid w:val="00691E1A"/>
    <w:rsid w:val="006932C9"/>
    <w:rsid w:val="00695B69"/>
    <w:rsid w:val="006A70DE"/>
    <w:rsid w:val="006B3D1C"/>
    <w:rsid w:val="006B47B7"/>
    <w:rsid w:val="006B49D4"/>
    <w:rsid w:val="006B68AC"/>
    <w:rsid w:val="006C5DBD"/>
    <w:rsid w:val="006C5F41"/>
    <w:rsid w:val="006C7FC8"/>
    <w:rsid w:val="006D3413"/>
    <w:rsid w:val="006D5B78"/>
    <w:rsid w:val="006E11CC"/>
    <w:rsid w:val="006E3029"/>
    <w:rsid w:val="006E5B1D"/>
    <w:rsid w:val="006F15C5"/>
    <w:rsid w:val="006F22B1"/>
    <w:rsid w:val="006F2512"/>
    <w:rsid w:val="006F6BCC"/>
    <w:rsid w:val="006F6EAF"/>
    <w:rsid w:val="00700914"/>
    <w:rsid w:val="00701C6E"/>
    <w:rsid w:val="0070303F"/>
    <w:rsid w:val="007050B2"/>
    <w:rsid w:val="00706E18"/>
    <w:rsid w:val="00707623"/>
    <w:rsid w:val="0071216A"/>
    <w:rsid w:val="00712EA2"/>
    <w:rsid w:val="007142CA"/>
    <w:rsid w:val="00715582"/>
    <w:rsid w:val="00715AF7"/>
    <w:rsid w:val="00715F8E"/>
    <w:rsid w:val="00717F12"/>
    <w:rsid w:val="007215ED"/>
    <w:rsid w:val="00722FFB"/>
    <w:rsid w:val="00723155"/>
    <w:rsid w:val="00727216"/>
    <w:rsid w:val="007324A8"/>
    <w:rsid w:val="00734096"/>
    <w:rsid w:val="00736F68"/>
    <w:rsid w:val="00737690"/>
    <w:rsid w:val="00752D68"/>
    <w:rsid w:val="00753F69"/>
    <w:rsid w:val="00754551"/>
    <w:rsid w:val="00754880"/>
    <w:rsid w:val="00755366"/>
    <w:rsid w:val="007553CB"/>
    <w:rsid w:val="00755813"/>
    <w:rsid w:val="00760FE0"/>
    <w:rsid w:val="00762593"/>
    <w:rsid w:val="00763838"/>
    <w:rsid w:val="0076690C"/>
    <w:rsid w:val="007676BB"/>
    <w:rsid w:val="00770FEE"/>
    <w:rsid w:val="00772A15"/>
    <w:rsid w:val="007731C0"/>
    <w:rsid w:val="007734E5"/>
    <w:rsid w:val="00774782"/>
    <w:rsid w:val="00774BBE"/>
    <w:rsid w:val="0077578C"/>
    <w:rsid w:val="0077674D"/>
    <w:rsid w:val="00776900"/>
    <w:rsid w:val="00776E66"/>
    <w:rsid w:val="00782052"/>
    <w:rsid w:val="00782532"/>
    <w:rsid w:val="00783C72"/>
    <w:rsid w:val="00786595"/>
    <w:rsid w:val="0078735B"/>
    <w:rsid w:val="007966BB"/>
    <w:rsid w:val="00796AF5"/>
    <w:rsid w:val="007A55D0"/>
    <w:rsid w:val="007A63A4"/>
    <w:rsid w:val="007B2ED0"/>
    <w:rsid w:val="007C016B"/>
    <w:rsid w:val="007C12AD"/>
    <w:rsid w:val="007C3212"/>
    <w:rsid w:val="007C3480"/>
    <w:rsid w:val="007C37B9"/>
    <w:rsid w:val="007C47BB"/>
    <w:rsid w:val="007C49AE"/>
    <w:rsid w:val="007C530E"/>
    <w:rsid w:val="007C589A"/>
    <w:rsid w:val="007C59BF"/>
    <w:rsid w:val="007C7160"/>
    <w:rsid w:val="007D1CD7"/>
    <w:rsid w:val="007D5A63"/>
    <w:rsid w:val="007D6970"/>
    <w:rsid w:val="007D78A0"/>
    <w:rsid w:val="007E1B89"/>
    <w:rsid w:val="007E3585"/>
    <w:rsid w:val="007E3899"/>
    <w:rsid w:val="007E4B16"/>
    <w:rsid w:val="007E5E34"/>
    <w:rsid w:val="007F0F0A"/>
    <w:rsid w:val="00800370"/>
    <w:rsid w:val="00800A7B"/>
    <w:rsid w:val="00804C32"/>
    <w:rsid w:val="00807D03"/>
    <w:rsid w:val="00810FD8"/>
    <w:rsid w:val="008132A8"/>
    <w:rsid w:val="00813A04"/>
    <w:rsid w:val="008140B1"/>
    <w:rsid w:val="0081684C"/>
    <w:rsid w:val="00821A63"/>
    <w:rsid w:val="0082368A"/>
    <w:rsid w:val="00824796"/>
    <w:rsid w:val="00825DD6"/>
    <w:rsid w:val="00825FD3"/>
    <w:rsid w:val="00827161"/>
    <w:rsid w:val="008278F5"/>
    <w:rsid w:val="008304D4"/>
    <w:rsid w:val="008317ED"/>
    <w:rsid w:val="008344AF"/>
    <w:rsid w:val="00837B90"/>
    <w:rsid w:val="008401F4"/>
    <w:rsid w:val="00841497"/>
    <w:rsid w:val="00843BA0"/>
    <w:rsid w:val="00843C0E"/>
    <w:rsid w:val="00843EFE"/>
    <w:rsid w:val="008453F4"/>
    <w:rsid w:val="00846A45"/>
    <w:rsid w:val="0084790A"/>
    <w:rsid w:val="00851A05"/>
    <w:rsid w:val="0085304A"/>
    <w:rsid w:val="00860270"/>
    <w:rsid w:val="0086069C"/>
    <w:rsid w:val="008606D8"/>
    <w:rsid w:val="00860F90"/>
    <w:rsid w:val="00861E30"/>
    <w:rsid w:val="00866302"/>
    <w:rsid w:val="00867599"/>
    <w:rsid w:val="00870703"/>
    <w:rsid w:val="00870E8B"/>
    <w:rsid w:val="00873BBC"/>
    <w:rsid w:val="00875211"/>
    <w:rsid w:val="00877417"/>
    <w:rsid w:val="00877FBD"/>
    <w:rsid w:val="00883968"/>
    <w:rsid w:val="008847EC"/>
    <w:rsid w:val="00885744"/>
    <w:rsid w:val="00886DF0"/>
    <w:rsid w:val="00890EE5"/>
    <w:rsid w:val="008929B8"/>
    <w:rsid w:val="008944FF"/>
    <w:rsid w:val="008A1D58"/>
    <w:rsid w:val="008A518F"/>
    <w:rsid w:val="008A6672"/>
    <w:rsid w:val="008C6B1B"/>
    <w:rsid w:val="008C7304"/>
    <w:rsid w:val="008D2ADF"/>
    <w:rsid w:val="008D3D78"/>
    <w:rsid w:val="008D5012"/>
    <w:rsid w:val="008D5293"/>
    <w:rsid w:val="008E34CB"/>
    <w:rsid w:val="008E49EB"/>
    <w:rsid w:val="008E4E15"/>
    <w:rsid w:val="008F3809"/>
    <w:rsid w:val="008F56F8"/>
    <w:rsid w:val="008F5A7D"/>
    <w:rsid w:val="008F63F6"/>
    <w:rsid w:val="008F6552"/>
    <w:rsid w:val="008F69C2"/>
    <w:rsid w:val="008F71FC"/>
    <w:rsid w:val="00902502"/>
    <w:rsid w:val="00903EDE"/>
    <w:rsid w:val="009040CF"/>
    <w:rsid w:val="0090594F"/>
    <w:rsid w:val="00910B0D"/>
    <w:rsid w:val="00920FFA"/>
    <w:rsid w:val="00921ABD"/>
    <w:rsid w:val="00922813"/>
    <w:rsid w:val="00924B00"/>
    <w:rsid w:val="00925763"/>
    <w:rsid w:val="00925900"/>
    <w:rsid w:val="00926263"/>
    <w:rsid w:val="0093050E"/>
    <w:rsid w:val="00931EFA"/>
    <w:rsid w:val="00933596"/>
    <w:rsid w:val="00934349"/>
    <w:rsid w:val="00934CF8"/>
    <w:rsid w:val="009354FF"/>
    <w:rsid w:val="00940B1C"/>
    <w:rsid w:val="0094107D"/>
    <w:rsid w:val="00941848"/>
    <w:rsid w:val="00941FAE"/>
    <w:rsid w:val="00942939"/>
    <w:rsid w:val="00943849"/>
    <w:rsid w:val="009457CC"/>
    <w:rsid w:val="009476D7"/>
    <w:rsid w:val="009513C1"/>
    <w:rsid w:val="00951806"/>
    <w:rsid w:val="009635AE"/>
    <w:rsid w:val="0096375A"/>
    <w:rsid w:val="009639FD"/>
    <w:rsid w:val="0096701C"/>
    <w:rsid w:val="00971B20"/>
    <w:rsid w:val="00972F41"/>
    <w:rsid w:val="0097399D"/>
    <w:rsid w:val="009745E3"/>
    <w:rsid w:val="0097482D"/>
    <w:rsid w:val="009748AA"/>
    <w:rsid w:val="00975D89"/>
    <w:rsid w:val="00976968"/>
    <w:rsid w:val="00976E67"/>
    <w:rsid w:val="0098256B"/>
    <w:rsid w:val="00983756"/>
    <w:rsid w:val="009840FF"/>
    <w:rsid w:val="00985292"/>
    <w:rsid w:val="009873A2"/>
    <w:rsid w:val="00994460"/>
    <w:rsid w:val="009954D5"/>
    <w:rsid w:val="0099615E"/>
    <w:rsid w:val="00996C4C"/>
    <w:rsid w:val="00996C67"/>
    <w:rsid w:val="009A0712"/>
    <w:rsid w:val="009A4D33"/>
    <w:rsid w:val="009A666E"/>
    <w:rsid w:val="009A6D39"/>
    <w:rsid w:val="009A78BB"/>
    <w:rsid w:val="009B1A13"/>
    <w:rsid w:val="009B2E01"/>
    <w:rsid w:val="009C6DC5"/>
    <w:rsid w:val="009D0CAC"/>
    <w:rsid w:val="009D26D5"/>
    <w:rsid w:val="009D40C0"/>
    <w:rsid w:val="009D4C33"/>
    <w:rsid w:val="009D722B"/>
    <w:rsid w:val="009D7F89"/>
    <w:rsid w:val="009E0F75"/>
    <w:rsid w:val="009E664C"/>
    <w:rsid w:val="009E6F61"/>
    <w:rsid w:val="009E7BC2"/>
    <w:rsid w:val="009F53AA"/>
    <w:rsid w:val="009F661A"/>
    <w:rsid w:val="00A03845"/>
    <w:rsid w:val="00A06B98"/>
    <w:rsid w:val="00A0783F"/>
    <w:rsid w:val="00A1060A"/>
    <w:rsid w:val="00A113A7"/>
    <w:rsid w:val="00A174BB"/>
    <w:rsid w:val="00A1769D"/>
    <w:rsid w:val="00A17F19"/>
    <w:rsid w:val="00A20499"/>
    <w:rsid w:val="00A21BBF"/>
    <w:rsid w:val="00A2200D"/>
    <w:rsid w:val="00A25C3F"/>
    <w:rsid w:val="00A26ECF"/>
    <w:rsid w:val="00A27C17"/>
    <w:rsid w:val="00A315C0"/>
    <w:rsid w:val="00A31D7A"/>
    <w:rsid w:val="00A33AF2"/>
    <w:rsid w:val="00A412A1"/>
    <w:rsid w:val="00A42EEC"/>
    <w:rsid w:val="00A45A5E"/>
    <w:rsid w:val="00A4661D"/>
    <w:rsid w:val="00A52616"/>
    <w:rsid w:val="00A5743D"/>
    <w:rsid w:val="00A57AA8"/>
    <w:rsid w:val="00A6031B"/>
    <w:rsid w:val="00A60345"/>
    <w:rsid w:val="00A614D5"/>
    <w:rsid w:val="00A650E5"/>
    <w:rsid w:val="00A65719"/>
    <w:rsid w:val="00A66BFC"/>
    <w:rsid w:val="00A70103"/>
    <w:rsid w:val="00A7087C"/>
    <w:rsid w:val="00A71065"/>
    <w:rsid w:val="00A7139B"/>
    <w:rsid w:val="00A72F6F"/>
    <w:rsid w:val="00A7462D"/>
    <w:rsid w:val="00A751A8"/>
    <w:rsid w:val="00A75A57"/>
    <w:rsid w:val="00A80092"/>
    <w:rsid w:val="00A80C1B"/>
    <w:rsid w:val="00A814C4"/>
    <w:rsid w:val="00A864C6"/>
    <w:rsid w:val="00A865CC"/>
    <w:rsid w:val="00A86E95"/>
    <w:rsid w:val="00A907F8"/>
    <w:rsid w:val="00A9315A"/>
    <w:rsid w:val="00A934CB"/>
    <w:rsid w:val="00A957B6"/>
    <w:rsid w:val="00A97096"/>
    <w:rsid w:val="00AA1D2C"/>
    <w:rsid w:val="00AA2CE0"/>
    <w:rsid w:val="00AA5625"/>
    <w:rsid w:val="00AA6890"/>
    <w:rsid w:val="00AB0E76"/>
    <w:rsid w:val="00AB1031"/>
    <w:rsid w:val="00AB52CB"/>
    <w:rsid w:val="00AB6D97"/>
    <w:rsid w:val="00AC2467"/>
    <w:rsid w:val="00AC2D84"/>
    <w:rsid w:val="00AC61B2"/>
    <w:rsid w:val="00AC63C6"/>
    <w:rsid w:val="00AC650B"/>
    <w:rsid w:val="00AD2D29"/>
    <w:rsid w:val="00AD3A9D"/>
    <w:rsid w:val="00AD4BE6"/>
    <w:rsid w:val="00AD5A29"/>
    <w:rsid w:val="00AD6FBD"/>
    <w:rsid w:val="00AE08DE"/>
    <w:rsid w:val="00AE2985"/>
    <w:rsid w:val="00AF1610"/>
    <w:rsid w:val="00AF26A6"/>
    <w:rsid w:val="00AF2AC1"/>
    <w:rsid w:val="00AF3C4C"/>
    <w:rsid w:val="00AF4768"/>
    <w:rsid w:val="00AF6498"/>
    <w:rsid w:val="00AF678E"/>
    <w:rsid w:val="00B014E7"/>
    <w:rsid w:val="00B03290"/>
    <w:rsid w:val="00B0344F"/>
    <w:rsid w:val="00B03772"/>
    <w:rsid w:val="00B11159"/>
    <w:rsid w:val="00B11CE3"/>
    <w:rsid w:val="00B15CF9"/>
    <w:rsid w:val="00B21F87"/>
    <w:rsid w:val="00B2394F"/>
    <w:rsid w:val="00B23A53"/>
    <w:rsid w:val="00B25D41"/>
    <w:rsid w:val="00B35F86"/>
    <w:rsid w:val="00B37B9F"/>
    <w:rsid w:val="00B4120F"/>
    <w:rsid w:val="00B53AAA"/>
    <w:rsid w:val="00B55E4C"/>
    <w:rsid w:val="00B57210"/>
    <w:rsid w:val="00B575CA"/>
    <w:rsid w:val="00B576C3"/>
    <w:rsid w:val="00B57AB5"/>
    <w:rsid w:val="00B60B0B"/>
    <w:rsid w:val="00B622F7"/>
    <w:rsid w:val="00B6272B"/>
    <w:rsid w:val="00B642FF"/>
    <w:rsid w:val="00B650C1"/>
    <w:rsid w:val="00B6750C"/>
    <w:rsid w:val="00B70815"/>
    <w:rsid w:val="00B752E7"/>
    <w:rsid w:val="00B765B5"/>
    <w:rsid w:val="00B7789D"/>
    <w:rsid w:val="00B82C5D"/>
    <w:rsid w:val="00B915CE"/>
    <w:rsid w:val="00B91BEB"/>
    <w:rsid w:val="00B947CF"/>
    <w:rsid w:val="00BA0E78"/>
    <w:rsid w:val="00BB6435"/>
    <w:rsid w:val="00BB6FE5"/>
    <w:rsid w:val="00BC2A83"/>
    <w:rsid w:val="00BC2AD9"/>
    <w:rsid w:val="00BC5071"/>
    <w:rsid w:val="00BC5F8A"/>
    <w:rsid w:val="00BC682A"/>
    <w:rsid w:val="00BD026F"/>
    <w:rsid w:val="00BD4183"/>
    <w:rsid w:val="00BD5119"/>
    <w:rsid w:val="00BD6614"/>
    <w:rsid w:val="00BE0DC8"/>
    <w:rsid w:val="00BE381C"/>
    <w:rsid w:val="00BE3FA2"/>
    <w:rsid w:val="00BF08CE"/>
    <w:rsid w:val="00BF21CA"/>
    <w:rsid w:val="00BF4663"/>
    <w:rsid w:val="00BF5D8C"/>
    <w:rsid w:val="00BF6648"/>
    <w:rsid w:val="00BF74AB"/>
    <w:rsid w:val="00C03805"/>
    <w:rsid w:val="00C04E0B"/>
    <w:rsid w:val="00C05BEF"/>
    <w:rsid w:val="00C10880"/>
    <w:rsid w:val="00C11589"/>
    <w:rsid w:val="00C13075"/>
    <w:rsid w:val="00C1331C"/>
    <w:rsid w:val="00C145EE"/>
    <w:rsid w:val="00C170FB"/>
    <w:rsid w:val="00C17ED1"/>
    <w:rsid w:val="00C20336"/>
    <w:rsid w:val="00C23952"/>
    <w:rsid w:val="00C246B3"/>
    <w:rsid w:val="00C26F39"/>
    <w:rsid w:val="00C275D1"/>
    <w:rsid w:val="00C40C15"/>
    <w:rsid w:val="00C41BEC"/>
    <w:rsid w:val="00C420BF"/>
    <w:rsid w:val="00C423BB"/>
    <w:rsid w:val="00C47059"/>
    <w:rsid w:val="00C536B2"/>
    <w:rsid w:val="00C5781B"/>
    <w:rsid w:val="00C62B4B"/>
    <w:rsid w:val="00C64C95"/>
    <w:rsid w:val="00C67858"/>
    <w:rsid w:val="00C775CE"/>
    <w:rsid w:val="00C824C3"/>
    <w:rsid w:val="00C87D98"/>
    <w:rsid w:val="00C91605"/>
    <w:rsid w:val="00C92C88"/>
    <w:rsid w:val="00C93D60"/>
    <w:rsid w:val="00CA0E7C"/>
    <w:rsid w:val="00CA1B93"/>
    <w:rsid w:val="00CA353D"/>
    <w:rsid w:val="00CA35E0"/>
    <w:rsid w:val="00CA62C9"/>
    <w:rsid w:val="00CA73CA"/>
    <w:rsid w:val="00CB117D"/>
    <w:rsid w:val="00CB1881"/>
    <w:rsid w:val="00CB1C56"/>
    <w:rsid w:val="00CB6C0B"/>
    <w:rsid w:val="00CC0CB3"/>
    <w:rsid w:val="00CC25CD"/>
    <w:rsid w:val="00CC6511"/>
    <w:rsid w:val="00CC7661"/>
    <w:rsid w:val="00CC7ECE"/>
    <w:rsid w:val="00CD455A"/>
    <w:rsid w:val="00CD5FE1"/>
    <w:rsid w:val="00CD6930"/>
    <w:rsid w:val="00CD734E"/>
    <w:rsid w:val="00CD7946"/>
    <w:rsid w:val="00CE05D5"/>
    <w:rsid w:val="00CE0BBF"/>
    <w:rsid w:val="00CE13BE"/>
    <w:rsid w:val="00CE444B"/>
    <w:rsid w:val="00CE7979"/>
    <w:rsid w:val="00CF1BC4"/>
    <w:rsid w:val="00CF28EA"/>
    <w:rsid w:val="00CF516B"/>
    <w:rsid w:val="00CF6B2C"/>
    <w:rsid w:val="00D005B7"/>
    <w:rsid w:val="00D00E80"/>
    <w:rsid w:val="00D01669"/>
    <w:rsid w:val="00D054B2"/>
    <w:rsid w:val="00D07D88"/>
    <w:rsid w:val="00D10A16"/>
    <w:rsid w:val="00D12FDA"/>
    <w:rsid w:val="00D148CF"/>
    <w:rsid w:val="00D15053"/>
    <w:rsid w:val="00D17977"/>
    <w:rsid w:val="00D22EA9"/>
    <w:rsid w:val="00D23D01"/>
    <w:rsid w:val="00D26354"/>
    <w:rsid w:val="00D2648E"/>
    <w:rsid w:val="00D271E3"/>
    <w:rsid w:val="00D27515"/>
    <w:rsid w:val="00D30A01"/>
    <w:rsid w:val="00D3154F"/>
    <w:rsid w:val="00D3160B"/>
    <w:rsid w:val="00D33B3F"/>
    <w:rsid w:val="00D34ECB"/>
    <w:rsid w:val="00D35745"/>
    <w:rsid w:val="00D363B7"/>
    <w:rsid w:val="00D36F7D"/>
    <w:rsid w:val="00D41B32"/>
    <w:rsid w:val="00D41CC0"/>
    <w:rsid w:val="00D42FE9"/>
    <w:rsid w:val="00D5178E"/>
    <w:rsid w:val="00D53321"/>
    <w:rsid w:val="00D55078"/>
    <w:rsid w:val="00D56A2D"/>
    <w:rsid w:val="00D57A30"/>
    <w:rsid w:val="00D60EDC"/>
    <w:rsid w:val="00D614B1"/>
    <w:rsid w:val="00D618C0"/>
    <w:rsid w:val="00D63533"/>
    <w:rsid w:val="00D70D07"/>
    <w:rsid w:val="00D7197E"/>
    <w:rsid w:val="00D74BC9"/>
    <w:rsid w:val="00D7636A"/>
    <w:rsid w:val="00D77F68"/>
    <w:rsid w:val="00D86B47"/>
    <w:rsid w:val="00D871C1"/>
    <w:rsid w:val="00D904AA"/>
    <w:rsid w:val="00D90DCC"/>
    <w:rsid w:val="00D91E35"/>
    <w:rsid w:val="00D947D4"/>
    <w:rsid w:val="00D968DD"/>
    <w:rsid w:val="00D97857"/>
    <w:rsid w:val="00DA3CDA"/>
    <w:rsid w:val="00DA4770"/>
    <w:rsid w:val="00DB0A8C"/>
    <w:rsid w:val="00DB120C"/>
    <w:rsid w:val="00DB65DB"/>
    <w:rsid w:val="00DC34CB"/>
    <w:rsid w:val="00DC3F7D"/>
    <w:rsid w:val="00DC553A"/>
    <w:rsid w:val="00DC76EF"/>
    <w:rsid w:val="00DD0519"/>
    <w:rsid w:val="00DD73DB"/>
    <w:rsid w:val="00DE189F"/>
    <w:rsid w:val="00DE249D"/>
    <w:rsid w:val="00DE2D0E"/>
    <w:rsid w:val="00DE536C"/>
    <w:rsid w:val="00DE766E"/>
    <w:rsid w:val="00DE7903"/>
    <w:rsid w:val="00DF1208"/>
    <w:rsid w:val="00DF3F11"/>
    <w:rsid w:val="00DF6078"/>
    <w:rsid w:val="00E064F6"/>
    <w:rsid w:val="00E074DA"/>
    <w:rsid w:val="00E12AB8"/>
    <w:rsid w:val="00E13934"/>
    <w:rsid w:val="00E15184"/>
    <w:rsid w:val="00E15756"/>
    <w:rsid w:val="00E2097F"/>
    <w:rsid w:val="00E217BB"/>
    <w:rsid w:val="00E23B2A"/>
    <w:rsid w:val="00E243D9"/>
    <w:rsid w:val="00E25D36"/>
    <w:rsid w:val="00E264D5"/>
    <w:rsid w:val="00E274A9"/>
    <w:rsid w:val="00E33C1E"/>
    <w:rsid w:val="00E33E3E"/>
    <w:rsid w:val="00E35136"/>
    <w:rsid w:val="00E36509"/>
    <w:rsid w:val="00E41F92"/>
    <w:rsid w:val="00E4224A"/>
    <w:rsid w:val="00E45950"/>
    <w:rsid w:val="00E537CD"/>
    <w:rsid w:val="00E53D0F"/>
    <w:rsid w:val="00E54918"/>
    <w:rsid w:val="00E55FC8"/>
    <w:rsid w:val="00E57DD1"/>
    <w:rsid w:val="00E60840"/>
    <w:rsid w:val="00E61FB3"/>
    <w:rsid w:val="00E62B2D"/>
    <w:rsid w:val="00E63333"/>
    <w:rsid w:val="00E65A54"/>
    <w:rsid w:val="00E66654"/>
    <w:rsid w:val="00E67F40"/>
    <w:rsid w:val="00E747E3"/>
    <w:rsid w:val="00E775CD"/>
    <w:rsid w:val="00E804F6"/>
    <w:rsid w:val="00E810A5"/>
    <w:rsid w:val="00E850F0"/>
    <w:rsid w:val="00E86A54"/>
    <w:rsid w:val="00E8714A"/>
    <w:rsid w:val="00E90D20"/>
    <w:rsid w:val="00E91D01"/>
    <w:rsid w:val="00E94B77"/>
    <w:rsid w:val="00E958CE"/>
    <w:rsid w:val="00E95B03"/>
    <w:rsid w:val="00E97048"/>
    <w:rsid w:val="00EA095B"/>
    <w:rsid w:val="00EA28DA"/>
    <w:rsid w:val="00EA429F"/>
    <w:rsid w:val="00EA72AC"/>
    <w:rsid w:val="00EA79D0"/>
    <w:rsid w:val="00EB1888"/>
    <w:rsid w:val="00EB19D4"/>
    <w:rsid w:val="00EB1CCB"/>
    <w:rsid w:val="00EB4070"/>
    <w:rsid w:val="00EB7C47"/>
    <w:rsid w:val="00EC047A"/>
    <w:rsid w:val="00EC371E"/>
    <w:rsid w:val="00EC38EC"/>
    <w:rsid w:val="00EC4308"/>
    <w:rsid w:val="00EC683A"/>
    <w:rsid w:val="00ED4331"/>
    <w:rsid w:val="00ED7979"/>
    <w:rsid w:val="00EE047E"/>
    <w:rsid w:val="00EE0F87"/>
    <w:rsid w:val="00EE2920"/>
    <w:rsid w:val="00EE3E27"/>
    <w:rsid w:val="00EE4B8E"/>
    <w:rsid w:val="00EE6001"/>
    <w:rsid w:val="00EE61DA"/>
    <w:rsid w:val="00EE6746"/>
    <w:rsid w:val="00EE7068"/>
    <w:rsid w:val="00EE7436"/>
    <w:rsid w:val="00EE7F2F"/>
    <w:rsid w:val="00EF23AF"/>
    <w:rsid w:val="00EF27E2"/>
    <w:rsid w:val="00EF3807"/>
    <w:rsid w:val="00EF61A2"/>
    <w:rsid w:val="00EF6816"/>
    <w:rsid w:val="00EF76F2"/>
    <w:rsid w:val="00F003F0"/>
    <w:rsid w:val="00F02D6B"/>
    <w:rsid w:val="00F04C27"/>
    <w:rsid w:val="00F10361"/>
    <w:rsid w:val="00F11FF2"/>
    <w:rsid w:val="00F148E1"/>
    <w:rsid w:val="00F1575C"/>
    <w:rsid w:val="00F159C6"/>
    <w:rsid w:val="00F23D00"/>
    <w:rsid w:val="00F26663"/>
    <w:rsid w:val="00F26756"/>
    <w:rsid w:val="00F26EA4"/>
    <w:rsid w:val="00F30215"/>
    <w:rsid w:val="00F30920"/>
    <w:rsid w:val="00F30FA2"/>
    <w:rsid w:val="00F33CBB"/>
    <w:rsid w:val="00F3570E"/>
    <w:rsid w:val="00F37209"/>
    <w:rsid w:val="00F44192"/>
    <w:rsid w:val="00F4508E"/>
    <w:rsid w:val="00F47C35"/>
    <w:rsid w:val="00F507F6"/>
    <w:rsid w:val="00F5089A"/>
    <w:rsid w:val="00F509CD"/>
    <w:rsid w:val="00F55E6B"/>
    <w:rsid w:val="00F56D64"/>
    <w:rsid w:val="00F57B58"/>
    <w:rsid w:val="00F60259"/>
    <w:rsid w:val="00F60689"/>
    <w:rsid w:val="00F61F2A"/>
    <w:rsid w:val="00F667AB"/>
    <w:rsid w:val="00F6715F"/>
    <w:rsid w:val="00F67817"/>
    <w:rsid w:val="00F70773"/>
    <w:rsid w:val="00F720CA"/>
    <w:rsid w:val="00F7328A"/>
    <w:rsid w:val="00F73802"/>
    <w:rsid w:val="00F74124"/>
    <w:rsid w:val="00F74D81"/>
    <w:rsid w:val="00F75824"/>
    <w:rsid w:val="00F75902"/>
    <w:rsid w:val="00F76F58"/>
    <w:rsid w:val="00F77C20"/>
    <w:rsid w:val="00F826B8"/>
    <w:rsid w:val="00F861FB"/>
    <w:rsid w:val="00F87F44"/>
    <w:rsid w:val="00F90BA0"/>
    <w:rsid w:val="00F90CE7"/>
    <w:rsid w:val="00F91557"/>
    <w:rsid w:val="00F95520"/>
    <w:rsid w:val="00F968E6"/>
    <w:rsid w:val="00F97385"/>
    <w:rsid w:val="00F979A2"/>
    <w:rsid w:val="00FA01AA"/>
    <w:rsid w:val="00FA2399"/>
    <w:rsid w:val="00FA47B5"/>
    <w:rsid w:val="00FA79A1"/>
    <w:rsid w:val="00FB38E6"/>
    <w:rsid w:val="00FB5FD1"/>
    <w:rsid w:val="00FB793F"/>
    <w:rsid w:val="00FB7D05"/>
    <w:rsid w:val="00FC3218"/>
    <w:rsid w:val="00FC57C4"/>
    <w:rsid w:val="00FD18DD"/>
    <w:rsid w:val="00FD3859"/>
    <w:rsid w:val="00FD49A5"/>
    <w:rsid w:val="00FE408B"/>
    <w:rsid w:val="00FE5895"/>
    <w:rsid w:val="00FE5C61"/>
    <w:rsid w:val="00FE6708"/>
    <w:rsid w:val="00FF09C2"/>
    <w:rsid w:val="00FF1EBB"/>
    <w:rsid w:val="00FF4192"/>
    <w:rsid w:val="00FF58D8"/>
    <w:rsid w:val="00FF63EB"/>
    <w:rsid w:val="00FF72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61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pPr>
        <w:spacing w:before="120"/>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lsdException w:name="heading 6" w:unhideWhenUsed="1"/>
    <w:lsdException w:name="heading 7" w:unhideWhenUsed="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lsdException w:name="Emphasis" w:semiHidden="0" w:uiPriority="2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202A74"/>
    <w:rPr>
      <w:rFonts w:ascii="Calibri" w:hAnsi="Calibri"/>
      <w:sz w:val="21"/>
      <w:lang w:val="en-GB" w:eastAsia="en-US"/>
    </w:rPr>
  </w:style>
  <w:style w:type="paragraph" w:styleId="Heading1">
    <w:name w:val="heading 1"/>
    <w:basedOn w:val="Normal"/>
    <w:next w:val="Normal"/>
    <w:qFormat/>
    <w:rsid w:val="007A55D0"/>
    <w:pPr>
      <w:keepNext/>
      <w:spacing w:before="240"/>
      <w:outlineLvl w:val="0"/>
    </w:pPr>
    <w:rPr>
      <w:rFonts w:ascii="Arial" w:hAnsi="Arial" w:cs="Arial"/>
      <w:b/>
      <w:smallCaps/>
      <w:color w:val="FF6A40"/>
      <w:kern w:val="28"/>
      <w:sz w:val="28"/>
      <w:szCs w:val="28"/>
    </w:rPr>
  </w:style>
  <w:style w:type="paragraph" w:styleId="Heading2">
    <w:name w:val="heading 2"/>
    <w:basedOn w:val="Normal"/>
    <w:next w:val="Normal"/>
    <w:link w:val="Heading2Char"/>
    <w:qFormat/>
    <w:rsid w:val="00EC4308"/>
    <w:pPr>
      <w:keepNext/>
      <w:spacing w:before="240"/>
      <w:outlineLvl w:val="1"/>
    </w:pPr>
    <w:rPr>
      <w:rFonts w:ascii="Arial" w:hAnsi="Arial" w:cs="Arial"/>
      <w:b/>
      <w:i/>
      <w:sz w:val="23"/>
      <w:szCs w:val="23"/>
    </w:rPr>
  </w:style>
  <w:style w:type="paragraph" w:styleId="Heading3">
    <w:name w:val="heading 3"/>
    <w:basedOn w:val="Heading5"/>
    <w:next w:val="Normal"/>
    <w:link w:val="Heading3Char"/>
    <w:qFormat/>
    <w:rsid w:val="00EC4308"/>
    <w:pPr>
      <w:spacing w:before="240"/>
      <w:outlineLvl w:val="2"/>
    </w:pPr>
    <w:rPr>
      <w:rFonts w:ascii="Arial" w:hAnsi="Arial" w:cs="Arial"/>
      <w:b/>
      <w:i w:val="0"/>
      <w:szCs w:val="21"/>
      <w:u w:val="single"/>
    </w:rPr>
  </w:style>
  <w:style w:type="paragraph" w:styleId="Heading4">
    <w:name w:val="heading 4"/>
    <w:basedOn w:val="Normal"/>
    <w:next w:val="Normal"/>
    <w:link w:val="Heading4Char"/>
    <w:qFormat/>
    <w:rsid w:val="00EC4308"/>
    <w:pPr>
      <w:keepNext/>
      <w:spacing w:before="240"/>
      <w:outlineLvl w:val="3"/>
    </w:pPr>
    <w:rPr>
      <w:rFonts w:ascii="Arial" w:hAnsi="Arial" w:cs="Arial"/>
      <w:sz w:val="20"/>
      <w:u w:val="single"/>
    </w:rPr>
  </w:style>
  <w:style w:type="paragraph" w:styleId="Heading5">
    <w:name w:val="heading 5"/>
    <w:basedOn w:val="Normal"/>
    <w:next w:val="Normal"/>
    <w:rsid w:val="000A1B5C"/>
    <w:pPr>
      <w:keepNext/>
      <w:spacing w:before="220"/>
      <w:outlineLvl w:val="4"/>
    </w:pPr>
    <w:rPr>
      <w:i/>
    </w:rPr>
  </w:style>
  <w:style w:type="paragraph" w:styleId="Heading6">
    <w:name w:val="heading 6"/>
    <w:basedOn w:val="Normal"/>
    <w:next w:val="Normal"/>
    <w:rsid w:val="0081684C"/>
    <w:pPr>
      <w:keepNext/>
      <w:widowControl w:val="0"/>
      <w:outlineLvl w:val="5"/>
    </w:pPr>
    <w:rPr>
      <w:rFonts w:ascii="Century Gothic" w:eastAsia="SimSun" w:hAnsi="Century Gothic"/>
      <w:b/>
      <w:color w:val="000080"/>
      <w:lang w:val="en-AU" w:eastAsia="zh-CN"/>
    </w:rPr>
  </w:style>
  <w:style w:type="paragraph" w:styleId="Heading7">
    <w:name w:val="heading 7"/>
    <w:basedOn w:val="Normal"/>
    <w:next w:val="Normal"/>
    <w:rsid w:val="0081684C"/>
    <w:pPr>
      <w:keepNext/>
      <w:spacing w:before="40" w:after="4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qFormat/>
    <w:rsid w:val="00FA01AA"/>
    <w:pPr>
      <w:numPr>
        <w:numId w:val="2"/>
      </w:numPr>
      <w:tabs>
        <w:tab w:val="clear" w:pos="360"/>
      </w:tabs>
      <w:spacing w:before="60"/>
      <w:ind w:left="709" w:hanging="283"/>
    </w:pPr>
  </w:style>
  <w:style w:type="paragraph" w:customStyle="1" w:styleId="Bullet1">
    <w:name w:val="Bullet 1"/>
    <w:basedOn w:val="Bullet2"/>
    <w:link w:val="Bullet1Char"/>
    <w:qFormat/>
    <w:rsid w:val="00A4661D"/>
    <w:pPr>
      <w:numPr>
        <w:numId w:val="5"/>
      </w:numPr>
      <w:spacing w:before="80"/>
    </w:pPr>
    <w:rPr>
      <w:szCs w:val="21"/>
    </w:rPr>
  </w:style>
  <w:style w:type="paragraph" w:styleId="Header">
    <w:name w:val="header"/>
    <w:basedOn w:val="Normal"/>
    <w:link w:val="HeaderChar"/>
    <w:rsid w:val="00EC4308"/>
    <w:pPr>
      <w:tabs>
        <w:tab w:val="center" w:pos="4320"/>
        <w:tab w:val="right" w:pos="8640"/>
      </w:tabs>
      <w:spacing w:before="60" w:after="600"/>
    </w:pPr>
    <w:rPr>
      <w:rFonts w:ascii="Arial" w:hAnsi="Arial" w:cs="Arial"/>
      <w:b/>
      <w:noProof/>
      <w:sz w:val="28"/>
      <w:lang w:val="en-AU" w:eastAsia="en-AU"/>
    </w:rPr>
  </w:style>
  <w:style w:type="paragraph" w:styleId="Quote">
    <w:name w:val="Quote"/>
    <w:basedOn w:val="Normal"/>
    <w:qFormat/>
    <w:rsid w:val="00E810A5"/>
    <w:pPr>
      <w:tabs>
        <w:tab w:val="right" w:pos="8647"/>
      </w:tabs>
      <w:ind w:left="993" w:right="812"/>
    </w:pPr>
    <w:rPr>
      <w:i/>
    </w:rPr>
  </w:style>
  <w:style w:type="paragraph" w:customStyle="1" w:styleId="Title1">
    <w:name w:val="Title 1"/>
    <w:basedOn w:val="Normal"/>
    <w:rsid w:val="00E958CE"/>
    <w:pPr>
      <w:jc w:val="center"/>
    </w:pPr>
    <w:rPr>
      <w:rFonts w:ascii="Arial" w:hAnsi="Arial"/>
      <w:b/>
      <w:i/>
      <w:color w:val="000000"/>
      <w:sz w:val="48"/>
    </w:rPr>
  </w:style>
  <w:style w:type="paragraph" w:customStyle="1" w:styleId="Title2">
    <w:name w:val="Title 2"/>
    <w:basedOn w:val="Title1"/>
    <w:rsid w:val="00E958CE"/>
    <w:rPr>
      <w:sz w:val="36"/>
      <w:szCs w:val="36"/>
    </w:rPr>
  </w:style>
  <w:style w:type="paragraph" w:customStyle="1" w:styleId="Title3">
    <w:name w:val="Title 3"/>
    <w:basedOn w:val="Title2"/>
    <w:rsid w:val="0081684C"/>
    <w:rPr>
      <w:b w:val="0"/>
      <w:i w:val="0"/>
      <w:sz w:val="28"/>
    </w:rPr>
  </w:style>
  <w:style w:type="paragraph" w:styleId="Footer">
    <w:name w:val="footer"/>
    <w:basedOn w:val="FootnoteText"/>
    <w:link w:val="FooterChar"/>
    <w:uiPriority w:val="99"/>
    <w:qFormat/>
    <w:rsid w:val="0028088E"/>
    <w:pPr>
      <w:spacing w:before="20"/>
    </w:pPr>
    <w:rPr>
      <w:sz w:val="18"/>
      <w:szCs w:val="16"/>
      <w:lang w:val="en-AU"/>
    </w:rPr>
  </w:style>
  <w:style w:type="character" w:styleId="PageNumber">
    <w:name w:val="page number"/>
    <w:rsid w:val="000A1B5C"/>
    <w:rPr>
      <w:rFonts w:ascii="Georgia" w:hAnsi="Georgia"/>
      <w:sz w:val="20"/>
    </w:rPr>
  </w:style>
  <w:style w:type="paragraph" w:customStyle="1" w:styleId="Header2">
    <w:name w:val="Header 2"/>
    <w:basedOn w:val="Header"/>
    <w:rsid w:val="00EC4308"/>
    <w:pPr>
      <w:spacing w:before="0" w:after="0"/>
    </w:pPr>
    <w:rPr>
      <w:i/>
      <w:sz w:val="24"/>
      <w:szCs w:val="24"/>
    </w:rPr>
  </w:style>
  <w:style w:type="character" w:styleId="Hyperlink">
    <w:name w:val="Hyperlink"/>
    <w:uiPriority w:val="99"/>
    <w:rsid w:val="0081684C"/>
    <w:rPr>
      <w:color w:val="0000FF"/>
      <w:u w:val="single"/>
    </w:rPr>
  </w:style>
  <w:style w:type="paragraph" w:customStyle="1" w:styleId="Table">
    <w:name w:val="Table"/>
    <w:basedOn w:val="Normal"/>
    <w:qFormat/>
    <w:rsid w:val="0028088E"/>
    <w:pPr>
      <w:spacing w:before="40" w:after="40"/>
    </w:pPr>
    <w:rPr>
      <w:rFonts w:asciiTheme="minorHAnsi" w:hAnsiTheme="minorHAnsi" w:cs="Arial"/>
      <w:sz w:val="19"/>
      <w:szCs w:val="19"/>
    </w:rPr>
  </w:style>
  <w:style w:type="paragraph" w:styleId="FootnoteText">
    <w:name w:val="footnote text"/>
    <w:basedOn w:val="Normal"/>
    <w:link w:val="FootnoteTextChar"/>
    <w:semiHidden/>
    <w:rsid w:val="0081684C"/>
  </w:style>
  <w:style w:type="paragraph" w:customStyle="1" w:styleId="Number1">
    <w:name w:val="Number 1"/>
    <w:basedOn w:val="Bullet1"/>
    <w:qFormat/>
    <w:rsid w:val="000162C4"/>
    <w:pPr>
      <w:numPr>
        <w:numId w:val="3"/>
      </w:numPr>
      <w:tabs>
        <w:tab w:val="clear" w:pos="360"/>
      </w:tabs>
      <w:ind w:left="425" w:hanging="425"/>
    </w:pPr>
  </w:style>
  <w:style w:type="paragraph" w:customStyle="1" w:styleId="Number2">
    <w:name w:val="Number 2"/>
    <w:basedOn w:val="Bullet2"/>
    <w:qFormat/>
    <w:rsid w:val="00623AB0"/>
    <w:pPr>
      <w:numPr>
        <w:numId w:val="1"/>
      </w:numPr>
      <w:tabs>
        <w:tab w:val="clear" w:pos="1440"/>
      </w:tabs>
      <w:ind w:left="851" w:hanging="284"/>
    </w:pPr>
  </w:style>
  <w:style w:type="table" w:styleId="TableGrid">
    <w:name w:val="Table Grid"/>
    <w:basedOn w:val="TableNormal"/>
    <w:uiPriority w:val="39"/>
    <w:rsid w:val="002A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41FAE"/>
    <w:pPr>
      <w:tabs>
        <w:tab w:val="left" w:pos="567"/>
        <w:tab w:val="right" w:leader="dot" w:pos="9072"/>
      </w:tabs>
      <w:ind w:left="568" w:hanging="284"/>
    </w:pPr>
    <w:rPr>
      <w:rFonts w:cs="Arial"/>
      <w:bCs/>
      <w:smallCaps/>
      <w:noProof/>
      <w:sz w:val="22"/>
      <w:szCs w:val="22"/>
    </w:rPr>
  </w:style>
  <w:style w:type="character" w:styleId="FootnoteReference">
    <w:name w:val="footnote reference"/>
    <w:uiPriority w:val="99"/>
    <w:rsid w:val="0078735B"/>
    <w:rPr>
      <w:vertAlign w:val="superscript"/>
    </w:rPr>
  </w:style>
  <w:style w:type="paragraph" w:styleId="TOCHeading">
    <w:name w:val="TOC Heading"/>
    <w:basedOn w:val="Heading1"/>
    <w:next w:val="Normal"/>
    <w:uiPriority w:val="39"/>
    <w:semiHidden/>
    <w:unhideWhenUsed/>
    <w:qFormat/>
    <w:rsid w:val="00753F69"/>
    <w:pPr>
      <w:keepLines/>
      <w:spacing w:before="480" w:line="276" w:lineRule="auto"/>
      <w:outlineLvl w:val="9"/>
    </w:pPr>
    <w:rPr>
      <w:rFonts w:asciiTheme="majorHAnsi" w:eastAsiaTheme="majorEastAsia" w:hAnsiTheme="majorHAnsi" w:cstheme="majorBidi"/>
      <w:bCs/>
      <w:color w:val="365F91" w:themeColor="accent1" w:themeShade="BF"/>
      <w:kern w:val="0"/>
      <w:lang w:eastAsia="ja-JP"/>
    </w:rPr>
  </w:style>
  <w:style w:type="paragraph" w:styleId="TOC3">
    <w:name w:val="toc 3"/>
    <w:basedOn w:val="Normal"/>
    <w:next w:val="Normal"/>
    <w:autoRedefine/>
    <w:uiPriority w:val="39"/>
    <w:unhideWhenUsed/>
    <w:qFormat/>
    <w:rsid w:val="00941FAE"/>
    <w:pPr>
      <w:tabs>
        <w:tab w:val="right" w:leader="dot" w:pos="9072"/>
      </w:tabs>
      <w:spacing w:before="40"/>
      <w:ind w:left="1559" w:hanging="425"/>
    </w:pPr>
    <w:rPr>
      <w:noProof/>
      <w:sz w:val="20"/>
    </w:rPr>
  </w:style>
  <w:style w:type="paragraph" w:styleId="BalloonText">
    <w:name w:val="Balloon Text"/>
    <w:basedOn w:val="Normal"/>
    <w:link w:val="BalloonTextChar"/>
    <w:rsid w:val="00753F69"/>
    <w:pPr>
      <w:spacing w:before="0"/>
    </w:pPr>
    <w:rPr>
      <w:rFonts w:ascii="Tahoma" w:hAnsi="Tahoma" w:cs="Tahoma"/>
      <w:sz w:val="16"/>
      <w:szCs w:val="16"/>
    </w:rPr>
  </w:style>
  <w:style w:type="character" w:styleId="EndnoteReference">
    <w:name w:val="endnote reference"/>
    <w:uiPriority w:val="99"/>
    <w:rsid w:val="00753F69"/>
  </w:style>
  <w:style w:type="character" w:customStyle="1" w:styleId="BalloonTextChar">
    <w:name w:val="Balloon Text Char"/>
    <w:basedOn w:val="DefaultParagraphFont"/>
    <w:link w:val="BalloonText"/>
    <w:rsid w:val="00753F69"/>
    <w:rPr>
      <w:rFonts w:ascii="Tahoma" w:hAnsi="Tahoma" w:cs="Tahoma"/>
      <w:sz w:val="16"/>
      <w:szCs w:val="16"/>
      <w:lang w:val="en-US" w:eastAsia="en-US"/>
    </w:rPr>
  </w:style>
  <w:style w:type="character" w:customStyle="1" w:styleId="FootnoteTextChar">
    <w:name w:val="Footnote Text Char"/>
    <w:link w:val="FootnoteText"/>
    <w:semiHidden/>
    <w:rsid w:val="002625A0"/>
    <w:rPr>
      <w:rFonts w:ascii="Arial" w:hAnsi="Arial"/>
      <w:lang w:val="en-US" w:eastAsia="en-US"/>
    </w:rPr>
  </w:style>
  <w:style w:type="paragraph" w:customStyle="1" w:styleId="TableBullet1">
    <w:name w:val="Table Bullet 1"/>
    <w:basedOn w:val="Table"/>
    <w:qFormat/>
    <w:rsid w:val="0028088E"/>
    <w:pPr>
      <w:numPr>
        <w:numId w:val="4"/>
      </w:numPr>
      <w:tabs>
        <w:tab w:val="left" w:pos="142"/>
      </w:tabs>
      <w:ind w:left="142" w:hanging="142"/>
    </w:pPr>
  </w:style>
  <w:style w:type="paragraph" w:customStyle="1" w:styleId="TableBullet2">
    <w:name w:val="Table Bullet 2"/>
    <w:basedOn w:val="TableBullet1"/>
    <w:qFormat/>
    <w:rsid w:val="0028088E"/>
    <w:pPr>
      <w:numPr>
        <w:ilvl w:val="1"/>
      </w:numPr>
      <w:tabs>
        <w:tab w:val="clear" w:pos="142"/>
        <w:tab w:val="left" w:pos="426"/>
      </w:tabs>
      <w:spacing w:before="0"/>
      <w:ind w:left="426" w:hanging="142"/>
    </w:pPr>
  </w:style>
  <w:style w:type="character" w:customStyle="1" w:styleId="HeaderChar">
    <w:name w:val="Header Char"/>
    <w:link w:val="Header"/>
    <w:rsid w:val="00EC4308"/>
    <w:rPr>
      <w:rFonts w:ascii="Arial" w:hAnsi="Arial" w:cs="Arial"/>
      <w:b/>
      <w:noProof/>
      <w:sz w:val="28"/>
    </w:rPr>
  </w:style>
  <w:style w:type="character" w:customStyle="1" w:styleId="FooterChar">
    <w:name w:val="Footer Char"/>
    <w:link w:val="Footer"/>
    <w:uiPriority w:val="99"/>
    <w:rsid w:val="0028088E"/>
    <w:rPr>
      <w:rFonts w:ascii="Calibri" w:hAnsi="Calibri"/>
      <w:sz w:val="18"/>
      <w:szCs w:val="16"/>
      <w:lang w:eastAsia="en-US"/>
    </w:rPr>
  </w:style>
  <w:style w:type="paragraph" w:styleId="TOC2">
    <w:name w:val="toc 2"/>
    <w:basedOn w:val="Normal"/>
    <w:next w:val="Normal"/>
    <w:autoRedefine/>
    <w:uiPriority w:val="39"/>
    <w:qFormat/>
    <w:rsid w:val="00941FAE"/>
    <w:pPr>
      <w:tabs>
        <w:tab w:val="right" w:leader="dot" w:pos="9072"/>
      </w:tabs>
      <w:spacing w:before="80"/>
      <w:ind w:left="1276" w:hanging="425"/>
    </w:pPr>
    <w:rPr>
      <w:rFonts w:cs="Arial"/>
      <w:bCs/>
      <w:noProof/>
    </w:rPr>
  </w:style>
  <w:style w:type="character" w:customStyle="1" w:styleId="Bullet1Char">
    <w:name w:val="Bullet 1 Char"/>
    <w:link w:val="Bullet1"/>
    <w:rsid w:val="00A4661D"/>
    <w:rPr>
      <w:rFonts w:ascii="Calibri" w:hAnsi="Calibri"/>
      <w:sz w:val="21"/>
      <w:szCs w:val="21"/>
      <w:lang w:val="en-GB" w:eastAsia="en-US"/>
    </w:rPr>
  </w:style>
  <w:style w:type="paragraph" w:customStyle="1" w:styleId="Table1">
    <w:name w:val="Table1"/>
    <w:basedOn w:val="Normal"/>
    <w:rsid w:val="006B47B7"/>
    <w:pPr>
      <w:spacing w:before="40" w:after="40"/>
    </w:pPr>
    <w:rPr>
      <w:sz w:val="18"/>
    </w:rPr>
  </w:style>
  <w:style w:type="character" w:customStyle="1" w:styleId="Heading2Char">
    <w:name w:val="Heading 2 Char"/>
    <w:basedOn w:val="DefaultParagraphFont"/>
    <w:link w:val="Heading2"/>
    <w:rsid w:val="00EC4308"/>
    <w:rPr>
      <w:rFonts w:ascii="Arial" w:hAnsi="Arial" w:cs="Arial"/>
      <w:b/>
      <w:i/>
      <w:sz w:val="23"/>
      <w:szCs w:val="23"/>
      <w:lang w:val="en-US" w:eastAsia="en-US"/>
    </w:rPr>
  </w:style>
  <w:style w:type="character" w:customStyle="1" w:styleId="Heading3Char">
    <w:name w:val="Heading 3 Char"/>
    <w:basedOn w:val="DefaultParagraphFont"/>
    <w:link w:val="Heading3"/>
    <w:rsid w:val="00EC4308"/>
    <w:rPr>
      <w:rFonts w:ascii="Arial" w:hAnsi="Arial" w:cs="Arial"/>
      <w:b/>
      <w:sz w:val="21"/>
      <w:szCs w:val="21"/>
      <w:u w:val="single"/>
      <w:lang w:val="en-US" w:eastAsia="en-US"/>
    </w:rPr>
  </w:style>
  <w:style w:type="table" w:styleId="LightGrid-Accent3">
    <w:name w:val="Light Grid Accent 3"/>
    <w:basedOn w:val="TableNormal"/>
    <w:uiPriority w:val="62"/>
    <w:rsid w:val="000225AD"/>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4Char">
    <w:name w:val="Heading 4 Char"/>
    <w:basedOn w:val="DefaultParagraphFont"/>
    <w:link w:val="Heading4"/>
    <w:rsid w:val="00EC4308"/>
    <w:rPr>
      <w:rFonts w:ascii="Arial" w:hAnsi="Arial" w:cs="Arial"/>
      <w:u w:val="single"/>
      <w:lang w:val="en-US" w:eastAsia="en-US"/>
    </w:rPr>
  </w:style>
  <w:style w:type="paragraph" w:customStyle="1" w:styleId="Outcomes">
    <w:name w:val="Outcomes"/>
    <w:basedOn w:val="Table"/>
    <w:rsid w:val="00EA429F"/>
    <w:rPr>
      <w:rFonts w:cs="Times New Roman"/>
      <w:sz w:val="18"/>
      <w:szCs w:val="18"/>
    </w:rPr>
  </w:style>
  <w:style w:type="paragraph" w:customStyle="1" w:styleId="OutcomesBullets">
    <w:name w:val="Outcomes Bullets"/>
    <w:basedOn w:val="TableBullet1"/>
    <w:rsid w:val="00EA429F"/>
    <w:rPr>
      <w:rFonts w:cs="Times New Roman"/>
      <w:sz w:val="18"/>
      <w:szCs w:val="18"/>
    </w:rPr>
  </w:style>
  <w:style w:type="paragraph" w:styleId="ListParagraph">
    <w:name w:val="List Paragraph"/>
    <w:basedOn w:val="Normal"/>
    <w:uiPriority w:val="34"/>
    <w:qFormat/>
    <w:rsid w:val="00E35136"/>
    <w:pPr>
      <w:ind w:left="720"/>
      <w:contextualSpacing/>
    </w:pPr>
  </w:style>
  <w:style w:type="paragraph" w:styleId="NormalWeb">
    <w:name w:val="Normal (Web)"/>
    <w:basedOn w:val="Normal"/>
    <w:uiPriority w:val="99"/>
    <w:unhideWhenUsed/>
    <w:rsid w:val="00E35136"/>
    <w:pPr>
      <w:spacing w:before="100" w:beforeAutospacing="1" w:after="100" w:afterAutospacing="1"/>
    </w:pPr>
    <w:rPr>
      <w:rFonts w:ascii="Times New Roman" w:hAnsi="Times New Roman"/>
      <w:sz w:val="24"/>
      <w:szCs w:val="24"/>
      <w:lang w:val="en-AU" w:eastAsia="en-AU"/>
    </w:rPr>
  </w:style>
  <w:style w:type="character" w:styleId="CommentReference">
    <w:name w:val="annotation reference"/>
    <w:basedOn w:val="DefaultParagraphFont"/>
    <w:uiPriority w:val="99"/>
    <w:rsid w:val="00BE3FA2"/>
    <w:rPr>
      <w:sz w:val="16"/>
      <w:szCs w:val="16"/>
    </w:rPr>
  </w:style>
  <w:style w:type="paragraph" w:styleId="CommentText">
    <w:name w:val="annotation text"/>
    <w:basedOn w:val="Normal"/>
    <w:link w:val="CommentTextChar"/>
    <w:uiPriority w:val="99"/>
    <w:rsid w:val="00BE3FA2"/>
  </w:style>
  <w:style w:type="character" w:customStyle="1" w:styleId="CommentTextChar">
    <w:name w:val="Comment Text Char"/>
    <w:basedOn w:val="DefaultParagraphFont"/>
    <w:link w:val="CommentText"/>
    <w:uiPriority w:val="99"/>
    <w:rsid w:val="00BE3FA2"/>
    <w:rPr>
      <w:rFonts w:ascii="Georgia" w:hAnsi="Georgia"/>
      <w:lang w:val="en-US" w:eastAsia="en-US"/>
    </w:rPr>
  </w:style>
  <w:style w:type="paragraph" w:styleId="PlainText">
    <w:name w:val="Plain Text"/>
    <w:basedOn w:val="Normal"/>
    <w:link w:val="PlainTextChar"/>
    <w:uiPriority w:val="99"/>
    <w:unhideWhenUsed/>
    <w:rsid w:val="00C92C88"/>
    <w:pPr>
      <w:spacing w:before="0"/>
    </w:pPr>
    <w:rPr>
      <w:rFonts w:eastAsiaTheme="minorHAnsi" w:cstheme="minorBidi"/>
      <w:sz w:val="22"/>
      <w:szCs w:val="21"/>
      <w:lang w:val="en-AU"/>
    </w:rPr>
  </w:style>
  <w:style w:type="character" w:customStyle="1" w:styleId="PlainTextChar">
    <w:name w:val="Plain Text Char"/>
    <w:basedOn w:val="DefaultParagraphFont"/>
    <w:link w:val="PlainText"/>
    <w:uiPriority w:val="99"/>
    <w:rsid w:val="00C92C88"/>
    <w:rPr>
      <w:rFonts w:ascii="Calibri" w:eastAsiaTheme="minorHAnsi" w:hAnsi="Calibri" w:cstheme="minorBidi"/>
      <w:sz w:val="22"/>
      <w:szCs w:val="21"/>
      <w:lang w:eastAsia="en-US"/>
    </w:rPr>
  </w:style>
  <w:style w:type="character" w:styleId="Emphasis">
    <w:name w:val="Emphasis"/>
    <w:basedOn w:val="DefaultParagraphFont"/>
    <w:uiPriority w:val="20"/>
    <w:rsid w:val="00C92C88"/>
    <w:rPr>
      <w:i/>
      <w:iCs/>
    </w:rPr>
  </w:style>
  <w:style w:type="character" w:styleId="Strong">
    <w:name w:val="Strong"/>
    <w:basedOn w:val="DefaultParagraphFont"/>
    <w:uiPriority w:val="22"/>
    <w:rsid w:val="00C92C88"/>
    <w:rPr>
      <w:b/>
      <w:bCs/>
    </w:rPr>
  </w:style>
  <w:style w:type="paragraph" w:customStyle="1" w:styleId="TableHeader">
    <w:name w:val="Table Header"/>
    <w:basedOn w:val="Table"/>
    <w:qFormat/>
    <w:rsid w:val="0028088E"/>
    <w:pPr>
      <w:jc w:val="center"/>
    </w:pPr>
    <w:rPr>
      <w:rFonts w:cs="Times New Roman"/>
      <w:b/>
      <w:bCs/>
      <w:color w:val="FFFFFF" w:themeColor="background1"/>
      <w:szCs w:val="20"/>
    </w:rPr>
  </w:style>
  <w:style w:type="paragraph" w:styleId="CommentSubject">
    <w:name w:val="annotation subject"/>
    <w:basedOn w:val="CommentText"/>
    <w:next w:val="CommentText"/>
    <w:link w:val="CommentSubjectChar"/>
    <w:rsid w:val="009F661A"/>
    <w:rPr>
      <w:b/>
      <w:bCs/>
      <w:sz w:val="20"/>
    </w:rPr>
  </w:style>
  <w:style w:type="character" w:customStyle="1" w:styleId="CommentSubjectChar">
    <w:name w:val="Comment Subject Char"/>
    <w:basedOn w:val="CommentTextChar"/>
    <w:link w:val="CommentSubject"/>
    <w:rsid w:val="009F661A"/>
    <w:rPr>
      <w:rFonts w:ascii="Calibri" w:hAnsi="Calibri"/>
      <w:b/>
      <w:bCs/>
      <w:lang w:val="en-GB" w:eastAsia="en-US"/>
    </w:rPr>
  </w:style>
  <w:style w:type="paragraph" w:styleId="NoSpacing">
    <w:name w:val="No Spacing"/>
    <w:uiPriority w:val="1"/>
    <w:qFormat/>
    <w:rsid w:val="00B55E4C"/>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B55E4C"/>
    <w:pPr>
      <w:spacing w:before="0"/>
    </w:pPr>
    <w:rPr>
      <w:rFonts w:ascii="Georgia" w:eastAsiaTheme="minorHAnsi" w:hAnsi="Georgia" w:cstheme="minorBidi"/>
      <w:sz w:val="20"/>
      <w:lang w:val="en-AU"/>
    </w:rPr>
  </w:style>
  <w:style w:type="character" w:customStyle="1" w:styleId="EndnoteTextChar">
    <w:name w:val="Endnote Text Char"/>
    <w:basedOn w:val="DefaultParagraphFont"/>
    <w:link w:val="EndnoteText"/>
    <w:uiPriority w:val="99"/>
    <w:semiHidden/>
    <w:rsid w:val="00B55E4C"/>
    <w:rPr>
      <w:rFonts w:ascii="Georgia" w:eastAsiaTheme="minorHAnsi" w:hAnsi="Georgia" w:cstheme="minorBidi"/>
      <w:lang w:eastAsia="en-US"/>
    </w:rPr>
  </w:style>
  <w:style w:type="paragraph" w:customStyle="1" w:styleId="p1">
    <w:name w:val="p1"/>
    <w:basedOn w:val="Normal"/>
    <w:rsid w:val="005A78FF"/>
    <w:pPr>
      <w:spacing w:before="0"/>
    </w:pPr>
    <w:rPr>
      <w:sz w:val="17"/>
      <w:szCs w:val="17"/>
      <w:lang w:val="en-US"/>
    </w:rPr>
  </w:style>
  <w:style w:type="character" w:customStyle="1" w:styleId="s1">
    <w:name w:val="s1"/>
    <w:basedOn w:val="DefaultParagraphFont"/>
    <w:rsid w:val="005A78FF"/>
  </w:style>
  <w:style w:type="paragraph" w:customStyle="1" w:styleId="OutlineNumbered1">
    <w:name w:val="Outline Numbered 1"/>
    <w:basedOn w:val="Normal"/>
    <w:link w:val="OutlineNumbered1Char"/>
    <w:rsid w:val="00AD4BE6"/>
    <w:pPr>
      <w:numPr>
        <w:numId w:val="10"/>
      </w:numPr>
      <w:spacing w:before="0" w:after="240" w:line="260" w:lineRule="exact"/>
      <w:jc w:val="both"/>
    </w:pPr>
    <w:rPr>
      <w:rFonts w:eastAsia="Times New Roman"/>
      <w:color w:val="000000"/>
      <w:sz w:val="22"/>
      <w:lang w:val="en-AU" w:eastAsia="en-AU"/>
    </w:rPr>
  </w:style>
  <w:style w:type="paragraph" w:customStyle="1" w:styleId="OutlineNumbered2">
    <w:name w:val="Outline Numbered 2"/>
    <w:basedOn w:val="Normal"/>
    <w:rsid w:val="00AD4BE6"/>
    <w:pPr>
      <w:numPr>
        <w:ilvl w:val="1"/>
        <w:numId w:val="10"/>
      </w:numPr>
      <w:spacing w:before="0" w:after="240" w:line="260" w:lineRule="exact"/>
      <w:jc w:val="both"/>
    </w:pPr>
    <w:rPr>
      <w:rFonts w:eastAsia="Times New Roman"/>
      <w:color w:val="000000"/>
      <w:sz w:val="22"/>
      <w:lang w:val="en-AU" w:eastAsia="en-AU"/>
    </w:rPr>
  </w:style>
  <w:style w:type="paragraph" w:customStyle="1" w:styleId="OutlineNumbered3">
    <w:name w:val="Outline Numbered 3"/>
    <w:basedOn w:val="Normal"/>
    <w:rsid w:val="00AD4BE6"/>
    <w:pPr>
      <w:numPr>
        <w:ilvl w:val="2"/>
        <w:numId w:val="10"/>
      </w:numPr>
      <w:spacing w:before="0" w:after="240" w:line="260" w:lineRule="exact"/>
      <w:jc w:val="both"/>
    </w:pPr>
    <w:rPr>
      <w:rFonts w:eastAsia="Times New Roman"/>
      <w:color w:val="000000"/>
      <w:sz w:val="22"/>
      <w:lang w:val="en-AU" w:eastAsia="en-AU"/>
    </w:rPr>
  </w:style>
  <w:style w:type="numbering" w:customStyle="1" w:styleId="Outlinenumbering">
    <w:name w:val="Outline numbering"/>
    <w:uiPriority w:val="99"/>
    <w:rsid w:val="00AD4BE6"/>
    <w:pPr>
      <w:numPr>
        <w:numId w:val="9"/>
      </w:numPr>
    </w:pPr>
  </w:style>
  <w:style w:type="character" w:customStyle="1" w:styleId="OutlineNumbered1Char">
    <w:name w:val="Outline Numbered 1 Char"/>
    <w:link w:val="OutlineNumbered1"/>
    <w:rsid w:val="00AD4BE6"/>
    <w:rPr>
      <w:rFonts w:ascii="Calibri" w:eastAsia="Times New Roman" w:hAnsi="Calibri"/>
      <w:color w:val="000000"/>
      <w:sz w:val="22"/>
    </w:rPr>
  </w:style>
  <w:style w:type="character" w:customStyle="1" w:styleId="apple-converted-space">
    <w:name w:val="apple-converted-space"/>
    <w:basedOn w:val="DefaultParagraphFont"/>
    <w:rsid w:val="00843EFE"/>
  </w:style>
  <w:style w:type="paragraph" w:customStyle="1" w:styleId="BodytextAHURI">
    <w:name w:val="Body text (AHURI)"/>
    <w:qFormat/>
    <w:rsid w:val="00885744"/>
    <w:pPr>
      <w:tabs>
        <w:tab w:val="left" w:pos="284"/>
        <w:tab w:val="left" w:pos="567"/>
        <w:tab w:val="left" w:pos="851"/>
      </w:tabs>
      <w:suppressAutoHyphens/>
      <w:spacing w:before="0" w:after="120" w:line="260" w:lineRule="exact"/>
    </w:pPr>
    <w:rPr>
      <w:rFonts w:ascii="Arial" w:hAnsi="Arial" w:cstheme="minorBidi"/>
      <w:color w:val="000000" w:themeColor="text1"/>
      <w:szCs w:val="22"/>
    </w:rPr>
  </w:style>
  <w:style w:type="paragraph" w:customStyle="1" w:styleId="ListnumberAHURI">
    <w:name w:val="List number (AHURI)"/>
    <w:basedOn w:val="Normal"/>
    <w:next w:val="BodytextAHURI"/>
    <w:uiPriority w:val="2"/>
    <w:qFormat/>
    <w:rsid w:val="00885744"/>
    <w:pPr>
      <w:numPr>
        <w:numId w:val="19"/>
      </w:numPr>
      <w:tabs>
        <w:tab w:val="left" w:pos="567"/>
        <w:tab w:val="left" w:pos="851"/>
      </w:tabs>
      <w:suppressAutoHyphens/>
      <w:spacing w:before="0" w:after="120" w:line="260" w:lineRule="exact"/>
    </w:pPr>
    <w:rPr>
      <w:rFonts w:ascii="Arial" w:hAnsi="Arial" w:cstheme="minorBidi"/>
      <w:color w:val="000000" w:themeColor="text1"/>
      <w:sz w:val="20"/>
      <w:szCs w:val="22"/>
      <w:lang w:val="en-AU" w:eastAsia="en-AU"/>
    </w:rPr>
  </w:style>
  <w:style w:type="paragraph" w:styleId="Revision">
    <w:name w:val="Revision"/>
    <w:hidden/>
    <w:uiPriority w:val="99"/>
    <w:semiHidden/>
    <w:rsid w:val="002F2D30"/>
    <w:pPr>
      <w:spacing w:before="0"/>
    </w:pPr>
    <w:rPr>
      <w:rFonts w:ascii="Calibri" w:hAnsi="Calibri"/>
      <w:sz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pPr>
        <w:spacing w:before="120"/>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lsdException w:name="heading 6" w:unhideWhenUsed="1"/>
    <w:lsdException w:name="heading 7" w:unhideWhenUsed="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lsdException w:name="Emphasis" w:semiHidden="0" w:uiPriority="2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202A74"/>
    <w:rPr>
      <w:rFonts w:ascii="Calibri" w:hAnsi="Calibri"/>
      <w:sz w:val="21"/>
      <w:lang w:val="en-GB" w:eastAsia="en-US"/>
    </w:rPr>
  </w:style>
  <w:style w:type="paragraph" w:styleId="Heading1">
    <w:name w:val="heading 1"/>
    <w:basedOn w:val="Normal"/>
    <w:next w:val="Normal"/>
    <w:qFormat/>
    <w:rsid w:val="007A55D0"/>
    <w:pPr>
      <w:keepNext/>
      <w:spacing w:before="240"/>
      <w:outlineLvl w:val="0"/>
    </w:pPr>
    <w:rPr>
      <w:rFonts w:ascii="Arial" w:hAnsi="Arial" w:cs="Arial"/>
      <w:b/>
      <w:smallCaps/>
      <w:color w:val="FF6A40"/>
      <w:kern w:val="28"/>
      <w:sz w:val="28"/>
      <w:szCs w:val="28"/>
    </w:rPr>
  </w:style>
  <w:style w:type="paragraph" w:styleId="Heading2">
    <w:name w:val="heading 2"/>
    <w:basedOn w:val="Normal"/>
    <w:next w:val="Normal"/>
    <w:link w:val="Heading2Char"/>
    <w:qFormat/>
    <w:rsid w:val="00EC4308"/>
    <w:pPr>
      <w:keepNext/>
      <w:spacing w:before="240"/>
      <w:outlineLvl w:val="1"/>
    </w:pPr>
    <w:rPr>
      <w:rFonts w:ascii="Arial" w:hAnsi="Arial" w:cs="Arial"/>
      <w:b/>
      <w:i/>
      <w:sz w:val="23"/>
      <w:szCs w:val="23"/>
    </w:rPr>
  </w:style>
  <w:style w:type="paragraph" w:styleId="Heading3">
    <w:name w:val="heading 3"/>
    <w:basedOn w:val="Heading5"/>
    <w:next w:val="Normal"/>
    <w:link w:val="Heading3Char"/>
    <w:qFormat/>
    <w:rsid w:val="00EC4308"/>
    <w:pPr>
      <w:spacing w:before="240"/>
      <w:outlineLvl w:val="2"/>
    </w:pPr>
    <w:rPr>
      <w:rFonts w:ascii="Arial" w:hAnsi="Arial" w:cs="Arial"/>
      <w:b/>
      <w:i w:val="0"/>
      <w:szCs w:val="21"/>
      <w:u w:val="single"/>
    </w:rPr>
  </w:style>
  <w:style w:type="paragraph" w:styleId="Heading4">
    <w:name w:val="heading 4"/>
    <w:basedOn w:val="Normal"/>
    <w:next w:val="Normal"/>
    <w:link w:val="Heading4Char"/>
    <w:qFormat/>
    <w:rsid w:val="00EC4308"/>
    <w:pPr>
      <w:keepNext/>
      <w:spacing w:before="240"/>
      <w:outlineLvl w:val="3"/>
    </w:pPr>
    <w:rPr>
      <w:rFonts w:ascii="Arial" w:hAnsi="Arial" w:cs="Arial"/>
      <w:sz w:val="20"/>
      <w:u w:val="single"/>
    </w:rPr>
  </w:style>
  <w:style w:type="paragraph" w:styleId="Heading5">
    <w:name w:val="heading 5"/>
    <w:basedOn w:val="Normal"/>
    <w:next w:val="Normal"/>
    <w:rsid w:val="000A1B5C"/>
    <w:pPr>
      <w:keepNext/>
      <w:spacing w:before="220"/>
      <w:outlineLvl w:val="4"/>
    </w:pPr>
    <w:rPr>
      <w:i/>
    </w:rPr>
  </w:style>
  <w:style w:type="paragraph" w:styleId="Heading6">
    <w:name w:val="heading 6"/>
    <w:basedOn w:val="Normal"/>
    <w:next w:val="Normal"/>
    <w:rsid w:val="0081684C"/>
    <w:pPr>
      <w:keepNext/>
      <w:widowControl w:val="0"/>
      <w:outlineLvl w:val="5"/>
    </w:pPr>
    <w:rPr>
      <w:rFonts w:ascii="Century Gothic" w:eastAsia="SimSun" w:hAnsi="Century Gothic"/>
      <w:b/>
      <w:color w:val="000080"/>
      <w:lang w:val="en-AU" w:eastAsia="zh-CN"/>
    </w:rPr>
  </w:style>
  <w:style w:type="paragraph" w:styleId="Heading7">
    <w:name w:val="heading 7"/>
    <w:basedOn w:val="Normal"/>
    <w:next w:val="Normal"/>
    <w:rsid w:val="0081684C"/>
    <w:pPr>
      <w:keepNext/>
      <w:spacing w:before="40" w:after="4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qFormat/>
    <w:rsid w:val="00FA01AA"/>
    <w:pPr>
      <w:numPr>
        <w:numId w:val="2"/>
      </w:numPr>
      <w:tabs>
        <w:tab w:val="clear" w:pos="360"/>
      </w:tabs>
      <w:spacing w:before="60"/>
      <w:ind w:left="709" w:hanging="283"/>
    </w:pPr>
  </w:style>
  <w:style w:type="paragraph" w:customStyle="1" w:styleId="Bullet1">
    <w:name w:val="Bullet 1"/>
    <w:basedOn w:val="Bullet2"/>
    <w:link w:val="Bullet1Char"/>
    <w:qFormat/>
    <w:rsid w:val="00A4661D"/>
    <w:pPr>
      <w:numPr>
        <w:numId w:val="5"/>
      </w:numPr>
      <w:spacing w:before="80"/>
    </w:pPr>
    <w:rPr>
      <w:szCs w:val="21"/>
    </w:rPr>
  </w:style>
  <w:style w:type="paragraph" w:styleId="Header">
    <w:name w:val="header"/>
    <w:basedOn w:val="Normal"/>
    <w:link w:val="HeaderChar"/>
    <w:rsid w:val="00EC4308"/>
    <w:pPr>
      <w:tabs>
        <w:tab w:val="center" w:pos="4320"/>
        <w:tab w:val="right" w:pos="8640"/>
      </w:tabs>
      <w:spacing w:before="60" w:after="600"/>
    </w:pPr>
    <w:rPr>
      <w:rFonts w:ascii="Arial" w:hAnsi="Arial" w:cs="Arial"/>
      <w:b/>
      <w:noProof/>
      <w:sz w:val="28"/>
      <w:lang w:val="en-AU" w:eastAsia="en-AU"/>
    </w:rPr>
  </w:style>
  <w:style w:type="paragraph" w:styleId="Quote">
    <w:name w:val="Quote"/>
    <w:basedOn w:val="Normal"/>
    <w:qFormat/>
    <w:rsid w:val="00E810A5"/>
    <w:pPr>
      <w:tabs>
        <w:tab w:val="right" w:pos="8647"/>
      </w:tabs>
      <w:ind w:left="993" w:right="812"/>
    </w:pPr>
    <w:rPr>
      <w:i/>
    </w:rPr>
  </w:style>
  <w:style w:type="paragraph" w:customStyle="1" w:styleId="Title1">
    <w:name w:val="Title 1"/>
    <w:basedOn w:val="Normal"/>
    <w:rsid w:val="00E958CE"/>
    <w:pPr>
      <w:jc w:val="center"/>
    </w:pPr>
    <w:rPr>
      <w:rFonts w:ascii="Arial" w:hAnsi="Arial"/>
      <w:b/>
      <w:i/>
      <w:color w:val="000000"/>
      <w:sz w:val="48"/>
    </w:rPr>
  </w:style>
  <w:style w:type="paragraph" w:customStyle="1" w:styleId="Title2">
    <w:name w:val="Title 2"/>
    <w:basedOn w:val="Title1"/>
    <w:rsid w:val="00E958CE"/>
    <w:rPr>
      <w:sz w:val="36"/>
      <w:szCs w:val="36"/>
    </w:rPr>
  </w:style>
  <w:style w:type="paragraph" w:customStyle="1" w:styleId="Title3">
    <w:name w:val="Title 3"/>
    <w:basedOn w:val="Title2"/>
    <w:rsid w:val="0081684C"/>
    <w:rPr>
      <w:b w:val="0"/>
      <w:i w:val="0"/>
      <w:sz w:val="28"/>
    </w:rPr>
  </w:style>
  <w:style w:type="paragraph" w:styleId="Footer">
    <w:name w:val="footer"/>
    <w:basedOn w:val="FootnoteText"/>
    <w:link w:val="FooterChar"/>
    <w:uiPriority w:val="99"/>
    <w:qFormat/>
    <w:rsid w:val="0028088E"/>
    <w:pPr>
      <w:spacing w:before="20"/>
    </w:pPr>
    <w:rPr>
      <w:sz w:val="18"/>
      <w:szCs w:val="16"/>
      <w:lang w:val="en-AU"/>
    </w:rPr>
  </w:style>
  <w:style w:type="character" w:styleId="PageNumber">
    <w:name w:val="page number"/>
    <w:rsid w:val="000A1B5C"/>
    <w:rPr>
      <w:rFonts w:ascii="Georgia" w:hAnsi="Georgia"/>
      <w:sz w:val="20"/>
    </w:rPr>
  </w:style>
  <w:style w:type="paragraph" w:customStyle="1" w:styleId="Header2">
    <w:name w:val="Header 2"/>
    <w:basedOn w:val="Header"/>
    <w:rsid w:val="00EC4308"/>
    <w:pPr>
      <w:spacing w:before="0" w:after="0"/>
    </w:pPr>
    <w:rPr>
      <w:i/>
      <w:sz w:val="24"/>
      <w:szCs w:val="24"/>
    </w:rPr>
  </w:style>
  <w:style w:type="character" w:styleId="Hyperlink">
    <w:name w:val="Hyperlink"/>
    <w:uiPriority w:val="99"/>
    <w:rsid w:val="0081684C"/>
    <w:rPr>
      <w:color w:val="0000FF"/>
      <w:u w:val="single"/>
    </w:rPr>
  </w:style>
  <w:style w:type="paragraph" w:customStyle="1" w:styleId="Table">
    <w:name w:val="Table"/>
    <w:basedOn w:val="Normal"/>
    <w:qFormat/>
    <w:rsid w:val="0028088E"/>
    <w:pPr>
      <w:spacing w:before="40" w:after="40"/>
    </w:pPr>
    <w:rPr>
      <w:rFonts w:asciiTheme="minorHAnsi" w:hAnsiTheme="minorHAnsi" w:cs="Arial"/>
      <w:sz w:val="19"/>
      <w:szCs w:val="19"/>
    </w:rPr>
  </w:style>
  <w:style w:type="paragraph" w:styleId="FootnoteText">
    <w:name w:val="footnote text"/>
    <w:basedOn w:val="Normal"/>
    <w:link w:val="FootnoteTextChar"/>
    <w:semiHidden/>
    <w:rsid w:val="0081684C"/>
  </w:style>
  <w:style w:type="paragraph" w:customStyle="1" w:styleId="Number1">
    <w:name w:val="Number 1"/>
    <w:basedOn w:val="Bullet1"/>
    <w:qFormat/>
    <w:rsid w:val="000162C4"/>
    <w:pPr>
      <w:numPr>
        <w:numId w:val="3"/>
      </w:numPr>
      <w:tabs>
        <w:tab w:val="clear" w:pos="360"/>
      </w:tabs>
      <w:ind w:left="425" w:hanging="425"/>
    </w:pPr>
  </w:style>
  <w:style w:type="paragraph" w:customStyle="1" w:styleId="Number2">
    <w:name w:val="Number 2"/>
    <w:basedOn w:val="Bullet2"/>
    <w:qFormat/>
    <w:rsid w:val="00623AB0"/>
    <w:pPr>
      <w:numPr>
        <w:numId w:val="1"/>
      </w:numPr>
      <w:tabs>
        <w:tab w:val="clear" w:pos="1440"/>
      </w:tabs>
      <w:ind w:left="851" w:hanging="284"/>
    </w:pPr>
  </w:style>
  <w:style w:type="table" w:styleId="TableGrid">
    <w:name w:val="Table Grid"/>
    <w:basedOn w:val="TableNormal"/>
    <w:uiPriority w:val="39"/>
    <w:rsid w:val="002A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41FAE"/>
    <w:pPr>
      <w:tabs>
        <w:tab w:val="left" w:pos="567"/>
        <w:tab w:val="right" w:leader="dot" w:pos="9072"/>
      </w:tabs>
      <w:ind w:left="568" w:hanging="284"/>
    </w:pPr>
    <w:rPr>
      <w:rFonts w:cs="Arial"/>
      <w:bCs/>
      <w:smallCaps/>
      <w:noProof/>
      <w:sz w:val="22"/>
      <w:szCs w:val="22"/>
    </w:rPr>
  </w:style>
  <w:style w:type="character" w:styleId="FootnoteReference">
    <w:name w:val="footnote reference"/>
    <w:uiPriority w:val="99"/>
    <w:rsid w:val="0078735B"/>
    <w:rPr>
      <w:vertAlign w:val="superscript"/>
    </w:rPr>
  </w:style>
  <w:style w:type="paragraph" w:styleId="TOCHeading">
    <w:name w:val="TOC Heading"/>
    <w:basedOn w:val="Heading1"/>
    <w:next w:val="Normal"/>
    <w:uiPriority w:val="39"/>
    <w:semiHidden/>
    <w:unhideWhenUsed/>
    <w:qFormat/>
    <w:rsid w:val="00753F69"/>
    <w:pPr>
      <w:keepLines/>
      <w:spacing w:before="480" w:line="276" w:lineRule="auto"/>
      <w:outlineLvl w:val="9"/>
    </w:pPr>
    <w:rPr>
      <w:rFonts w:asciiTheme="majorHAnsi" w:eastAsiaTheme="majorEastAsia" w:hAnsiTheme="majorHAnsi" w:cstheme="majorBidi"/>
      <w:bCs/>
      <w:color w:val="365F91" w:themeColor="accent1" w:themeShade="BF"/>
      <w:kern w:val="0"/>
      <w:lang w:eastAsia="ja-JP"/>
    </w:rPr>
  </w:style>
  <w:style w:type="paragraph" w:styleId="TOC3">
    <w:name w:val="toc 3"/>
    <w:basedOn w:val="Normal"/>
    <w:next w:val="Normal"/>
    <w:autoRedefine/>
    <w:uiPriority w:val="39"/>
    <w:unhideWhenUsed/>
    <w:qFormat/>
    <w:rsid w:val="00941FAE"/>
    <w:pPr>
      <w:tabs>
        <w:tab w:val="right" w:leader="dot" w:pos="9072"/>
      </w:tabs>
      <w:spacing w:before="40"/>
      <w:ind w:left="1559" w:hanging="425"/>
    </w:pPr>
    <w:rPr>
      <w:noProof/>
      <w:sz w:val="20"/>
    </w:rPr>
  </w:style>
  <w:style w:type="paragraph" w:styleId="BalloonText">
    <w:name w:val="Balloon Text"/>
    <w:basedOn w:val="Normal"/>
    <w:link w:val="BalloonTextChar"/>
    <w:rsid w:val="00753F69"/>
    <w:pPr>
      <w:spacing w:before="0"/>
    </w:pPr>
    <w:rPr>
      <w:rFonts w:ascii="Tahoma" w:hAnsi="Tahoma" w:cs="Tahoma"/>
      <w:sz w:val="16"/>
      <w:szCs w:val="16"/>
    </w:rPr>
  </w:style>
  <w:style w:type="character" w:styleId="EndnoteReference">
    <w:name w:val="endnote reference"/>
    <w:uiPriority w:val="99"/>
    <w:rsid w:val="00753F69"/>
  </w:style>
  <w:style w:type="character" w:customStyle="1" w:styleId="BalloonTextChar">
    <w:name w:val="Balloon Text Char"/>
    <w:basedOn w:val="DefaultParagraphFont"/>
    <w:link w:val="BalloonText"/>
    <w:rsid w:val="00753F69"/>
    <w:rPr>
      <w:rFonts w:ascii="Tahoma" w:hAnsi="Tahoma" w:cs="Tahoma"/>
      <w:sz w:val="16"/>
      <w:szCs w:val="16"/>
      <w:lang w:val="en-US" w:eastAsia="en-US"/>
    </w:rPr>
  </w:style>
  <w:style w:type="character" w:customStyle="1" w:styleId="FootnoteTextChar">
    <w:name w:val="Footnote Text Char"/>
    <w:link w:val="FootnoteText"/>
    <w:semiHidden/>
    <w:rsid w:val="002625A0"/>
    <w:rPr>
      <w:rFonts w:ascii="Arial" w:hAnsi="Arial"/>
      <w:lang w:val="en-US" w:eastAsia="en-US"/>
    </w:rPr>
  </w:style>
  <w:style w:type="paragraph" w:customStyle="1" w:styleId="TableBullet1">
    <w:name w:val="Table Bullet 1"/>
    <w:basedOn w:val="Table"/>
    <w:qFormat/>
    <w:rsid w:val="0028088E"/>
    <w:pPr>
      <w:numPr>
        <w:numId w:val="4"/>
      </w:numPr>
      <w:tabs>
        <w:tab w:val="left" w:pos="142"/>
      </w:tabs>
      <w:ind w:left="142" w:hanging="142"/>
    </w:pPr>
  </w:style>
  <w:style w:type="paragraph" w:customStyle="1" w:styleId="TableBullet2">
    <w:name w:val="Table Bullet 2"/>
    <w:basedOn w:val="TableBullet1"/>
    <w:qFormat/>
    <w:rsid w:val="0028088E"/>
    <w:pPr>
      <w:numPr>
        <w:ilvl w:val="1"/>
      </w:numPr>
      <w:tabs>
        <w:tab w:val="clear" w:pos="142"/>
        <w:tab w:val="left" w:pos="426"/>
      </w:tabs>
      <w:spacing w:before="0"/>
      <w:ind w:left="426" w:hanging="142"/>
    </w:pPr>
  </w:style>
  <w:style w:type="character" w:customStyle="1" w:styleId="HeaderChar">
    <w:name w:val="Header Char"/>
    <w:link w:val="Header"/>
    <w:rsid w:val="00EC4308"/>
    <w:rPr>
      <w:rFonts w:ascii="Arial" w:hAnsi="Arial" w:cs="Arial"/>
      <w:b/>
      <w:noProof/>
      <w:sz w:val="28"/>
    </w:rPr>
  </w:style>
  <w:style w:type="character" w:customStyle="1" w:styleId="FooterChar">
    <w:name w:val="Footer Char"/>
    <w:link w:val="Footer"/>
    <w:uiPriority w:val="99"/>
    <w:rsid w:val="0028088E"/>
    <w:rPr>
      <w:rFonts w:ascii="Calibri" w:hAnsi="Calibri"/>
      <w:sz w:val="18"/>
      <w:szCs w:val="16"/>
      <w:lang w:eastAsia="en-US"/>
    </w:rPr>
  </w:style>
  <w:style w:type="paragraph" w:styleId="TOC2">
    <w:name w:val="toc 2"/>
    <w:basedOn w:val="Normal"/>
    <w:next w:val="Normal"/>
    <w:autoRedefine/>
    <w:uiPriority w:val="39"/>
    <w:qFormat/>
    <w:rsid w:val="00941FAE"/>
    <w:pPr>
      <w:tabs>
        <w:tab w:val="right" w:leader="dot" w:pos="9072"/>
      </w:tabs>
      <w:spacing w:before="80"/>
      <w:ind w:left="1276" w:hanging="425"/>
    </w:pPr>
    <w:rPr>
      <w:rFonts w:cs="Arial"/>
      <w:bCs/>
      <w:noProof/>
    </w:rPr>
  </w:style>
  <w:style w:type="character" w:customStyle="1" w:styleId="Bullet1Char">
    <w:name w:val="Bullet 1 Char"/>
    <w:link w:val="Bullet1"/>
    <w:rsid w:val="00A4661D"/>
    <w:rPr>
      <w:rFonts w:ascii="Calibri" w:hAnsi="Calibri"/>
      <w:sz w:val="21"/>
      <w:szCs w:val="21"/>
      <w:lang w:val="en-GB" w:eastAsia="en-US"/>
    </w:rPr>
  </w:style>
  <w:style w:type="paragraph" w:customStyle="1" w:styleId="Table1">
    <w:name w:val="Table1"/>
    <w:basedOn w:val="Normal"/>
    <w:rsid w:val="006B47B7"/>
    <w:pPr>
      <w:spacing w:before="40" w:after="40"/>
    </w:pPr>
    <w:rPr>
      <w:sz w:val="18"/>
    </w:rPr>
  </w:style>
  <w:style w:type="character" w:customStyle="1" w:styleId="Heading2Char">
    <w:name w:val="Heading 2 Char"/>
    <w:basedOn w:val="DefaultParagraphFont"/>
    <w:link w:val="Heading2"/>
    <w:rsid w:val="00EC4308"/>
    <w:rPr>
      <w:rFonts w:ascii="Arial" w:hAnsi="Arial" w:cs="Arial"/>
      <w:b/>
      <w:i/>
      <w:sz w:val="23"/>
      <w:szCs w:val="23"/>
      <w:lang w:val="en-US" w:eastAsia="en-US"/>
    </w:rPr>
  </w:style>
  <w:style w:type="character" w:customStyle="1" w:styleId="Heading3Char">
    <w:name w:val="Heading 3 Char"/>
    <w:basedOn w:val="DefaultParagraphFont"/>
    <w:link w:val="Heading3"/>
    <w:rsid w:val="00EC4308"/>
    <w:rPr>
      <w:rFonts w:ascii="Arial" w:hAnsi="Arial" w:cs="Arial"/>
      <w:b/>
      <w:sz w:val="21"/>
      <w:szCs w:val="21"/>
      <w:u w:val="single"/>
      <w:lang w:val="en-US" w:eastAsia="en-US"/>
    </w:rPr>
  </w:style>
  <w:style w:type="table" w:styleId="LightGrid-Accent3">
    <w:name w:val="Light Grid Accent 3"/>
    <w:basedOn w:val="TableNormal"/>
    <w:uiPriority w:val="62"/>
    <w:rsid w:val="000225AD"/>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4Char">
    <w:name w:val="Heading 4 Char"/>
    <w:basedOn w:val="DefaultParagraphFont"/>
    <w:link w:val="Heading4"/>
    <w:rsid w:val="00EC4308"/>
    <w:rPr>
      <w:rFonts w:ascii="Arial" w:hAnsi="Arial" w:cs="Arial"/>
      <w:u w:val="single"/>
      <w:lang w:val="en-US" w:eastAsia="en-US"/>
    </w:rPr>
  </w:style>
  <w:style w:type="paragraph" w:customStyle="1" w:styleId="Outcomes">
    <w:name w:val="Outcomes"/>
    <w:basedOn w:val="Table"/>
    <w:rsid w:val="00EA429F"/>
    <w:rPr>
      <w:rFonts w:cs="Times New Roman"/>
      <w:sz w:val="18"/>
      <w:szCs w:val="18"/>
    </w:rPr>
  </w:style>
  <w:style w:type="paragraph" w:customStyle="1" w:styleId="OutcomesBullets">
    <w:name w:val="Outcomes Bullets"/>
    <w:basedOn w:val="TableBullet1"/>
    <w:rsid w:val="00EA429F"/>
    <w:rPr>
      <w:rFonts w:cs="Times New Roman"/>
      <w:sz w:val="18"/>
      <w:szCs w:val="18"/>
    </w:rPr>
  </w:style>
  <w:style w:type="paragraph" w:styleId="ListParagraph">
    <w:name w:val="List Paragraph"/>
    <w:basedOn w:val="Normal"/>
    <w:uiPriority w:val="34"/>
    <w:qFormat/>
    <w:rsid w:val="00E35136"/>
    <w:pPr>
      <w:ind w:left="720"/>
      <w:contextualSpacing/>
    </w:pPr>
  </w:style>
  <w:style w:type="paragraph" w:styleId="NormalWeb">
    <w:name w:val="Normal (Web)"/>
    <w:basedOn w:val="Normal"/>
    <w:uiPriority w:val="99"/>
    <w:unhideWhenUsed/>
    <w:rsid w:val="00E35136"/>
    <w:pPr>
      <w:spacing w:before="100" w:beforeAutospacing="1" w:after="100" w:afterAutospacing="1"/>
    </w:pPr>
    <w:rPr>
      <w:rFonts w:ascii="Times New Roman" w:hAnsi="Times New Roman"/>
      <w:sz w:val="24"/>
      <w:szCs w:val="24"/>
      <w:lang w:val="en-AU" w:eastAsia="en-AU"/>
    </w:rPr>
  </w:style>
  <w:style w:type="character" w:styleId="CommentReference">
    <w:name w:val="annotation reference"/>
    <w:basedOn w:val="DefaultParagraphFont"/>
    <w:uiPriority w:val="99"/>
    <w:rsid w:val="00BE3FA2"/>
    <w:rPr>
      <w:sz w:val="16"/>
      <w:szCs w:val="16"/>
    </w:rPr>
  </w:style>
  <w:style w:type="paragraph" w:styleId="CommentText">
    <w:name w:val="annotation text"/>
    <w:basedOn w:val="Normal"/>
    <w:link w:val="CommentTextChar"/>
    <w:uiPriority w:val="99"/>
    <w:rsid w:val="00BE3FA2"/>
  </w:style>
  <w:style w:type="character" w:customStyle="1" w:styleId="CommentTextChar">
    <w:name w:val="Comment Text Char"/>
    <w:basedOn w:val="DefaultParagraphFont"/>
    <w:link w:val="CommentText"/>
    <w:uiPriority w:val="99"/>
    <w:rsid w:val="00BE3FA2"/>
    <w:rPr>
      <w:rFonts w:ascii="Georgia" w:hAnsi="Georgia"/>
      <w:lang w:val="en-US" w:eastAsia="en-US"/>
    </w:rPr>
  </w:style>
  <w:style w:type="paragraph" w:styleId="PlainText">
    <w:name w:val="Plain Text"/>
    <w:basedOn w:val="Normal"/>
    <w:link w:val="PlainTextChar"/>
    <w:uiPriority w:val="99"/>
    <w:unhideWhenUsed/>
    <w:rsid w:val="00C92C88"/>
    <w:pPr>
      <w:spacing w:before="0"/>
    </w:pPr>
    <w:rPr>
      <w:rFonts w:eastAsiaTheme="minorHAnsi" w:cstheme="minorBidi"/>
      <w:sz w:val="22"/>
      <w:szCs w:val="21"/>
      <w:lang w:val="en-AU"/>
    </w:rPr>
  </w:style>
  <w:style w:type="character" w:customStyle="1" w:styleId="PlainTextChar">
    <w:name w:val="Plain Text Char"/>
    <w:basedOn w:val="DefaultParagraphFont"/>
    <w:link w:val="PlainText"/>
    <w:uiPriority w:val="99"/>
    <w:rsid w:val="00C92C88"/>
    <w:rPr>
      <w:rFonts w:ascii="Calibri" w:eastAsiaTheme="minorHAnsi" w:hAnsi="Calibri" w:cstheme="minorBidi"/>
      <w:sz w:val="22"/>
      <w:szCs w:val="21"/>
      <w:lang w:eastAsia="en-US"/>
    </w:rPr>
  </w:style>
  <w:style w:type="character" w:styleId="Emphasis">
    <w:name w:val="Emphasis"/>
    <w:basedOn w:val="DefaultParagraphFont"/>
    <w:uiPriority w:val="20"/>
    <w:rsid w:val="00C92C88"/>
    <w:rPr>
      <w:i/>
      <w:iCs/>
    </w:rPr>
  </w:style>
  <w:style w:type="character" w:styleId="Strong">
    <w:name w:val="Strong"/>
    <w:basedOn w:val="DefaultParagraphFont"/>
    <w:uiPriority w:val="22"/>
    <w:rsid w:val="00C92C88"/>
    <w:rPr>
      <w:b/>
      <w:bCs/>
    </w:rPr>
  </w:style>
  <w:style w:type="paragraph" w:customStyle="1" w:styleId="TableHeader">
    <w:name w:val="Table Header"/>
    <w:basedOn w:val="Table"/>
    <w:qFormat/>
    <w:rsid w:val="0028088E"/>
    <w:pPr>
      <w:jc w:val="center"/>
    </w:pPr>
    <w:rPr>
      <w:rFonts w:cs="Times New Roman"/>
      <w:b/>
      <w:bCs/>
      <w:color w:val="FFFFFF" w:themeColor="background1"/>
      <w:szCs w:val="20"/>
    </w:rPr>
  </w:style>
  <w:style w:type="paragraph" w:styleId="CommentSubject">
    <w:name w:val="annotation subject"/>
    <w:basedOn w:val="CommentText"/>
    <w:next w:val="CommentText"/>
    <w:link w:val="CommentSubjectChar"/>
    <w:rsid w:val="009F661A"/>
    <w:rPr>
      <w:b/>
      <w:bCs/>
      <w:sz w:val="20"/>
    </w:rPr>
  </w:style>
  <w:style w:type="character" w:customStyle="1" w:styleId="CommentSubjectChar">
    <w:name w:val="Comment Subject Char"/>
    <w:basedOn w:val="CommentTextChar"/>
    <w:link w:val="CommentSubject"/>
    <w:rsid w:val="009F661A"/>
    <w:rPr>
      <w:rFonts w:ascii="Calibri" w:hAnsi="Calibri"/>
      <w:b/>
      <w:bCs/>
      <w:lang w:val="en-GB" w:eastAsia="en-US"/>
    </w:rPr>
  </w:style>
  <w:style w:type="paragraph" w:styleId="NoSpacing">
    <w:name w:val="No Spacing"/>
    <w:uiPriority w:val="1"/>
    <w:qFormat/>
    <w:rsid w:val="00B55E4C"/>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B55E4C"/>
    <w:pPr>
      <w:spacing w:before="0"/>
    </w:pPr>
    <w:rPr>
      <w:rFonts w:ascii="Georgia" w:eastAsiaTheme="minorHAnsi" w:hAnsi="Georgia" w:cstheme="minorBidi"/>
      <w:sz w:val="20"/>
      <w:lang w:val="en-AU"/>
    </w:rPr>
  </w:style>
  <w:style w:type="character" w:customStyle="1" w:styleId="EndnoteTextChar">
    <w:name w:val="Endnote Text Char"/>
    <w:basedOn w:val="DefaultParagraphFont"/>
    <w:link w:val="EndnoteText"/>
    <w:uiPriority w:val="99"/>
    <w:semiHidden/>
    <w:rsid w:val="00B55E4C"/>
    <w:rPr>
      <w:rFonts w:ascii="Georgia" w:eastAsiaTheme="minorHAnsi" w:hAnsi="Georgia" w:cstheme="minorBidi"/>
      <w:lang w:eastAsia="en-US"/>
    </w:rPr>
  </w:style>
  <w:style w:type="paragraph" w:customStyle="1" w:styleId="p1">
    <w:name w:val="p1"/>
    <w:basedOn w:val="Normal"/>
    <w:rsid w:val="005A78FF"/>
    <w:pPr>
      <w:spacing w:before="0"/>
    </w:pPr>
    <w:rPr>
      <w:sz w:val="17"/>
      <w:szCs w:val="17"/>
      <w:lang w:val="en-US"/>
    </w:rPr>
  </w:style>
  <w:style w:type="character" w:customStyle="1" w:styleId="s1">
    <w:name w:val="s1"/>
    <w:basedOn w:val="DefaultParagraphFont"/>
    <w:rsid w:val="005A78FF"/>
  </w:style>
  <w:style w:type="paragraph" w:customStyle="1" w:styleId="OutlineNumbered1">
    <w:name w:val="Outline Numbered 1"/>
    <w:basedOn w:val="Normal"/>
    <w:link w:val="OutlineNumbered1Char"/>
    <w:rsid w:val="00AD4BE6"/>
    <w:pPr>
      <w:numPr>
        <w:numId w:val="10"/>
      </w:numPr>
      <w:spacing w:before="0" w:after="240" w:line="260" w:lineRule="exact"/>
      <w:jc w:val="both"/>
    </w:pPr>
    <w:rPr>
      <w:rFonts w:eastAsia="Times New Roman"/>
      <w:color w:val="000000"/>
      <w:sz w:val="22"/>
      <w:lang w:val="en-AU" w:eastAsia="en-AU"/>
    </w:rPr>
  </w:style>
  <w:style w:type="paragraph" w:customStyle="1" w:styleId="OutlineNumbered2">
    <w:name w:val="Outline Numbered 2"/>
    <w:basedOn w:val="Normal"/>
    <w:rsid w:val="00AD4BE6"/>
    <w:pPr>
      <w:numPr>
        <w:ilvl w:val="1"/>
        <w:numId w:val="10"/>
      </w:numPr>
      <w:spacing w:before="0" w:after="240" w:line="260" w:lineRule="exact"/>
      <w:jc w:val="both"/>
    </w:pPr>
    <w:rPr>
      <w:rFonts w:eastAsia="Times New Roman"/>
      <w:color w:val="000000"/>
      <w:sz w:val="22"/>
      <w:lang w:val="en-AU" w:eastAsia="en-AU"/>
    </w:rPr>
  </w:style>
  <w:style w:type="paragraph" w:customStyle="1" w:styleId="OutlineNumbered3">
    <w:name w:val="Outline Numbered 3"/>
    <w:basedOn w:val="Normal"/>
    <w:rsid w:val="00AD4BE6"/>
    <w:pPr>
      <w:numPr>
        <w:ilvl w:val="2"/>
        <w:numId w:val="10"/>
      </w:numPr>
      <w:spacing w:before="0" w:after="240" w:line="260" w:lineRule="exact"/>
      <w:jc w:val="both"/>
    </w:pPr>
    <w:rPr>
      <w:rFonts w:eastAsia="Times New Roman"/>
      <w:color w:val="000000"/>
      <w:sz w:val="22"/>
      <w:lang w:val="en-AU" w:eastAsia="en-AU"/>
    </w:rPr>
  </w:style>
  <w:style w:type="numbering" w:customStyle="1" w:styleId="Outlinenumbering">
    <w:name w:val="Outline numbering"/>
    <w:uiPriority w:val="99"/>
    <w:rsid w:val="00AD4BE6"/>
    <w:pPr>
      <w:numPr>
        <w:numId w:val="9"/>
      </w:numPr>
    </w:pPr>
  </w:style>
  <w:style w:type="character" w:customStyle="1" w:styleId="OutlineNumbered1Char">
    <w:name w:val="Outline Numbered 1 Char"/>
    <w:link w:val="OutlineNumbered1"/>
    <w:rsid w:val="00AD4BE6"/>
    <w:rPr>
      <w:rFonts w:ascii="Calibri" w:eastAsia="Times New Roman" w:hAnsi="Calibri"/>
      <w:color w:val="000000"/>
      <w:sz w:val="22"/>
    </w:rPr>
  </w:style>
  <w:style w:type="character" w:customStyle="1" w:styleId="apple-converted-space">
    <w:name w:val="apple-converted-space"/>
    <w:basedOn w:val="DefaultParagraphFont"/>
    <w:rsid w:val="00843EFE"/>
  </w:style>
  <w:style w:type="paragraph" w:customStyle="1" w:styleId="BodytextAHURI">
    <w:name w:val="Body text (AHURI)"/>
    <w:qFormat/>
    <w:rsid w:val="00885744"/>
    <w:pPr>
      <w:tabs>
        <w:tab w:val="left" w:pos="284"/>
        <w:tab w:val="left" w:pos="567"/>
        <w:tab w:val="left" w:pos="851"/>
      </w:tabs>
      <w:suppressAutoHyphens/>
      <w:spacing w:before="0" w:after="120" w:line="260" w:lineRule="exact"/>
    </w:pPr>
    <w:rPr>
      <w:rFonts w:ascii="Arial" w:hAnsi="Arial" w:cstheme="minorBidi"/>
      <w:color w:val="000000" w:themeColor="text1"/>
      <w:szCs w:val="22"/>
    </w:rPr>
  </w:style>
  <w:style w:type="paragraph" w:customStyle="1" w:styleId="ListnumberAHURI">
    <w:name w:val="List number (AHURI)"/>
    <w:basedOn w:val="Normal"/>
    <w:next w:val="BodytextAHURI"/>
    <w:uiPriority w:val="2"/>
    <w:qFormat/>
    <w:rsid w:val="00885744"/>
    <w:pPr>
      <w:numPr>
        <w:numId w:val="19"/>
      </w:numPr>
      <w:tabs>
        <w:tab w:val="left" w:pos="567"/>
        <w:tab w:val="left" w:pos="851"/>
      </w:tabs>
      <w:suppressAutoHyphens/>
      <w:spacing w:before="0" w:after="120" w:line="260" w:lineRule="exact"/>
    </w:pPr>
    <w:rPr>
      <w:rFonts w:ascii="Arial" w:hAnsi="Arial" w:cstheme="minorBidi"/>
      <w:color w:val="000000" w:themeColor="text1"/>
      <w:sz w:val="20"/>
      <w:szCs w:val="22"/>
      <w:lang w:val="en-AU" w:eastAsia="en-AU"/>
    </w:rPr>
  </w:style>
  <w:style w:type="paragraph" w:styleId="Revision">
    <w:name w:val="Revision"/>
    <w:hidden/>
    <w:uiPriority w:val="99"/>
    <w:semiHidden/>
    <w:rsid w:val="002F2D30"/>
    <w:pPr>
      <w:spacing w:before="0"/>
    </w:pPr>
    <w:rPr>
      <w:rFonts w:ascii="Calibri" w:hAnsi="Calibri"/>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6251">
      <w:bodyDiv w:val="1"/>
      <w:marLeft w:val="0"/>
      <w:marRight w:val="0"/>
      <w:marTop w:val="0"/>
      <w:marBottom w:val="0"/>
      <w:divBdr>
        <w:top w:val="none" w:sz="0" w:space="0" w:color="auto"/>
        <w:left w:val="none" w:sz="0" w:space="0" w:color="auto"/>
        <w:bottom w:val="none" w:sz="0" w:space="0" w:color="auto"/>
        <w:right w:val="none" w:sz="0" w:space="0" w:color="auto"/>
      </w:divBdr>
    </w:div>
    <w:div w:id="88624601">
      <w:bodyDiv w:val="1"/>
      <w:marLeft w:val="0"/>
      <w:marRight w:val="0"/>
      <w:marTop w:val="0"/>
      <w:marBottom w:val="0"/>
      <w:divBdr>
        <w:top w:val="none" w:sz="0" w:space="0" w:color="auto"/>
        <w:left w:val="none" w:sz="0" w:space="0" w:color="auto"/>
        <w:bottom w:val="none" w:sz="0" w:space="0" w:color="auto"/>
        <w:right w:val="none" w:sz="0" w:space="0" w:color="auto"/>
      </w:divBdr>
    </w:div>
    <w:div w:id="109054092">
      <w:bodyDiv w:val="1"/>
      <w:marLeft w:val="0"/>
      <w:marRight w:val="0"/>
      <w:marTop w:val="0"/>
      <w:marBottom w:val="0"/>
      <w:divBdr>
        <w:top w:val="none" w:sz="0" w:space="0" w:color="auto"/>
        <w:left w:val="none" w:sz="0" w:space="0" w:color="auto"/>
        <w:bottom w:val="none" w:sz="0" w:space="0" w:color="auto"/>
        <w:right w:val="none" w:sz="0" w:space="0" w:color="auto"/>
      </w:divBdr>
    </w:div>
    <w:div w:id="163670875">
      <w:bodyDiv w:val="1"/>
      <w:marLeft w:val="0"/>
      <w:marRight w:val="0"/>
      <w:marTop w:val="0"/>
      <w:marBottom w:val="0"/>
      <w:divBdr>
        <w:top w:val="none" w:sz="0" w:space="0" w:color="auto"/>
        <w:left w:val="none" w:sz="0" w:space="0" w:color="auto"/>
        <w:bottom w:val="none" w:sz="0" w:space="0" w:color="auto"/>
        <w:right w:val="none" w:sz="0" w:space="0" w:color="auto"/>
      </w:divBdr>
      <w:divsChild>
        <w:div w:id="1349404707">
          <w:marLeft w:val="0"/>
          <w:marRight w:val="0"/>
          <w:marTop w:val="0"/>
          <w:marBottom w:val="0"/>
          <w:divBdr>
            <w:top w:val="none" w:sz="0" w:space="0" w:color="auto"/>
            <w:left w:val="none" w:sz="0" w:space="0" w:color="auto"/>
            <w:bottom w:val="none" w:sz="0" w:space="0" w:color="auto"/>
            <w:right w:val="none" w:sz="0" w:space="0" w:color="auto"/>
          </w:divBdr>
          <w:divsChild>
            <w:div w:id="1288468487">
              <w:marLeft w:val="0"/>
              <w:marRight w:val="0"/>
              <w:marTop w:val="0"/>
              <w:marBottom w:val="0"/>
              <w:divBdr>
                <w:top w:val="none" w:sz="0" w:space="0" w:color="auto"/>
                <w:left w:val="none" w:sz="0" w:space="0" w:color="auto"/>
                <w:bottom w:val="none" w:sz="0" w:space="0" w:color="auto"/>
                <w:right w:val="none" w:sz="0" w:space="0" w:color="auto"/>
              </w:divBdr>
              <w:divsChild>
                <w:div w:id="1709181384">
                  <w:marLeft w:val="0"/>
                  <w:marRight w:val="0"/>
                  <w:marTop w:val="0"/>
                  <w:marBottom w:val="0"/>
                  <w:divBdr>
                    <w:top w:val="none" w:sz="0" w:space="0" w:color="auto"/>
                    <w:left w:val="none" w:sz="0" w:space="0" w:color="auto"/>
                    <w:bottom w:val="none" w:sz="0" w:space="0" w:color="auto"/>
                    <w:right w:val="none" w:sz="0" w:space="0" w:color="auto"/>
                  </w:divBdr>
                  <w:divsChild>
                    <w:div w:id="8456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5390">
      <w:bodyDiv w:val="1"/>
      <w:marLeft w:val="0"/>
      <w:marRight w:val="0"/>
      <w:marTop w:val="0"/>
      <w:marBottom w:val="0"/>
      <w:divBdr>
        <w:top w:val="none" w:sz="0" w:space="0" w:color="auto"/>
        <w:left w:val="none" w:sz="0" w:space="0" w:color="auto"/>
        <w:bottom w:val="none" w:sz="0" w:space="0" w:color="auto"/>
        <w:right w:val="none" w:sz="0" w:space="0" w:color="auto"/>
      </w:divBdr>
    </w:div>
    <w:div w:id="328757494">
      <w:bodyDiv w:val="1"/>
      <w:marLeft w:val="0"/>
      <w:marRight w:val="0"/>
      <w:marTop w:val="0"/>
      <w:marBottom w:val="0"/>
      <w:divBdr>
        <w:top w:val="none" w:sz="0" w:space="0" w:color="auto"/>
        <w:left w:val="none" w:sz="0" w:space="0" w:color="auto"/>
        <w:bottom w:val="none" w:sz="0" w:space="0" w:color="auto"/>
        <w:right w:val="none" w:sz="0" w:space="0" w:color="auto"/>
      </w:divBdr>
    </w:div>
    <w:div w:id="565991070">
      <w:bodyDiv w:val="1"/>
      <w:marLeft w:val="0"/>
      <w:marRight w:val="0"/>
      <w:marTop w:val="0"/>
      <w:marBottom w:val="0"/>
      <w:divBdr>
        <w:top w:val="none" w:sz="0" w:space="0" w:color="auto"/>
        <w:left w:val="none" w:sz="0" w:space="0" w:color="auto"/>
        <w:bottom w:val="none" w:sz="0" w:space="0" w:color="auto"/>
        <w:right w:val="none" w:sz="0" w:space="0" w:color="auto"/>
      </w:divBdr>
    </w:div>
    <w:div w:id="641347591">
      <w:bodyDiv w:val="1"/>
      <w:marLeft w:val="0"/>
      <w:marRight w:val="0"/>
      <w:marTop w:val="0"/>
      <w:marBottom w:val="0"/>
      <w:divBdr>
        <w:top w:val="none" w:sz="0" w:space="0" w:color="auto"/>
        <w:left w:val="none" w:sz="0" w:space="0" w:color="auto"/>
        <w:bottom w:val="none" w:sz="0" w:space="0" w:color="auto"/>
        <w:right w:val="none" w:sz="0" w:space="0" w:color="auto"/>
      </w:divBdr>
    </w:div>
    <w:div w:id="684791691">
      <w:bodyDiv w:val="1"/>
      <w:marLeft w:val="0"/>
      <w:marRight w:val="0"/>
      <w:marTop w:val="0"/>
      <w:marBottom w:val="0"/>
      <w:divBdr>
        <w:top w:val="none" w:sz="0" w:space="0" w:color="auto"/>
        <w:left w:val="none" w:sz="0" w:space="0" w:color="auto"/>
        <w:bottom w:val="none" w:sz="0" w:space="0" w:color="auto"/>
        <w:right w:val="none" w:sz="0" w:space="0" w:color="auto"/>
      </w:divBdr>
    </w:div>
    <w:div w:id="795030239">
      <w:bodyDiv w:val="1"/>
      <w:marLeft w:val="0"/>
      <w:marRight w:val="0"/>
      <w:marTop w:val="0"/>
      <w:marBottom w:val="0"/>
      <w:divBdr>
        <w:top w:val="none" w:sz="0" w:space="0" w:color="auto"/>
        <w:left w:val="none" w:sz="0" w:space="0" w:color="auto"/>
        <w:bottom w:val="none" w:sz="0" w:space="0" w:color="auto"/>
        <w:right w:val="none" w:sz="0" w:space="0" w:color="auto"/>
      </w:divBdr>
    </w:div>
    <w:div w:id="798495326">
      <w:bodyDiv w:val="1"/>
      <w:marLeft w:val="0"/>
      <w:marRight w:val="0"/>
      <w:marTop w:val="0"/>
      <w:marBottom w:val="0"/>
      <w:divBdr>
        <w:top w:val="none" w:sz="0" w:space="0" w:color="auto"/>
        <w:left w:val="none" w:sz="0" w:space="0" w:color="auto"/>
        <w:bottom w:val="none" w:sz="0" w:space="0" w:color="auto"/>
        <w:right w:val="none" w:sz="0" w:space="0" w:color="auto"/>
      </w:divBdr>
    </w:div>
    <w:div w:id="822694433">
      <w:bodyDiv w:val="1"/>
      <w:marLeft w:val="0"/>
      <w:marRight w:val="0"/>
      <w:marTop w:val="0"/>
      <w:marBottom w:val="0"/>
      <w:divBdr>
        <w:top w:val="none" w:sz="0" w:space="0" w:color="auto"/>
        <w:left w:val="none" w:sz="0" w:space="0" w:color="auto"/>
        <w:bottom w:val="none" w:sz="0" w:space="0" w:color="auto"/>
        <w:right w:val="none" w:sz="0" w:space="0" w:color="auto"/>
      </w:divBdr>
    </w:div>
    <w:div w:id="827327399">
      <w:bodyDiv w:val="1"/>
      <w:marLeft w:val="0"/>
      <w:marRight w:val="0"/>
      <w:marTop w:val="0"/>
      <w:marBottom w:val="0"/>
      <w:divBdr>
        <w:top w:val="none" w:sz="0" w:space="0" w:color="auto"/>
        <w:left w:val="none" w:sz="0" w:space="0" w:color="auto"/>
        <w:bottom w:val="none" w:sz="0" w:space="0" w:color="auto"/>
        <w:right w:val="none" w:sz="0" w:space="0" w:color="auto"/>
      </w:divBdr>
    </w:div>
    <w:div w:id="901140342">
      <w:bodyDiv w:val="1"/>
      <w:marLeft w:val="0"/>
      <w:marRight w:val="0"/>
      <w:marTop w:val="0"/>
      <w:marBottom w:val="0"/>
      <w:divBdr>
        <w:top w:val="none" w:sz="0" w:space="0" w:color="auto"/>
        <w:left w:val="none" w:sz="0" w:space="0" w:color="auto"/>
        <w:bottom w:val="none" w:sz="0" w:space="0" w:color="auto"/>
        <w:right w:val="none" w:sz="0" w:space="0" w:color="auto"/>
      </w:divBdr>
    </w:div>
    <w:div w:id="1047219953">
      <w:bodyDiv w:val="1"/>
      <w:marLeft w:val="0"/>
      <w:marRight w:val="0"/>
      <w:marTop w:val="0"/>
      <w:marBottom w:val="0"/>
      <w:divBdr>
        <w:top w:val="none" w:sz="0" w:space="0" w:color="auto"/>
        <w:left w:val="none" w:sz="0" w:space="0" w:color="auto"/>
        <w:bottom w:val="none" w:sz="0" w:space="0" w:color="auto"/>
        <w:right w:val="none" w:sz="0" w:space="0" w:color="auto"/>
      </w:divBdr>
    </w:div>
    <w:div w:id="1058170844">
      <w:bodyDiv w:val="1"/>
      <w:marLeft w:val="0"/>
      <w:marRight w:val="0"/>
      <w:marTop w:val="0"/>
      <w:marBottom w:val="0"/>
      <w:divBdr>
        <w:top w:val="none" w:sz="0" w:space="0" w:color="auto"/>
        <w:left w:val="none" w:sz="0" w:space="0" w:color="auto"/>
        <w:bottom w:val="none" w:sz="0" w:space="0" w:color="auto"/>
        <w:right w:val="none" w:sz="0" w:space="0" w:color="auto"/>
      </w:divBdr>
    </w:div>
    <w:div w:id="1075666550">
      <w:bodyDiv w:val="1"/>
      <w:marLeft w:val="0"/>
      <w:marRight w:val="0"/>
      <w:marTop w:val="0"/>
      <w:marBottom w:val="0"/>
      <w:divBdr>
        <w:top w:val="none" w:sz="0" w:space="0" w:color="auto"/>
        <w:left w:val="none" w:sz="0" w:space="0" w:color="auto"/>
        <w:bottom w:val="none" w:sz="0" w:space="0" w:color="auto"/>
        <w:right w:val="none" w:sz="0" w:space="0" w:color="auto"/>
      </w:divBdr>
    </w:div>
    <w:div w:id="1121221442">
      <w:bodyDiv w:val="1"/>
      <w:marLeft w:val="0"/>
      <w:marRight w:val="0"/>
      <w:marTop w:val="0"/>
      <w:marBottom w:val="0"/>
      <w:divBdr>
        <w:top w:val="none" w:sz="0" w:space="0" w:color="auto"/>
        <w:left w:val="none" w:sz="0" w:space="0" w:color="auto"/>
        <w:bottom w:val="none" w:sz="0" w:space="0" w:color="auto"/>
        <w:right w:val="none" w:sz="0" w:space="0" w:color="auto"/>
      </w:divBdr>
    </w:div>
    <w:div w:id="1289891007">
      <w:bodyDiv w:val="1"/>
      <w:marLeft w:val="0"/>
      <w:marRight w:val="0"/>
      <w:marTop w:val="0"/>
      <w:marBottom w:val="0"/>
      <w:divBdr>
        <w:top w:val="none" w:sz="0" w:space="0" w:color="auto"/>
        <w:left w:val="none" w:sz="0" w:space="0" w:color="auto"/>
        <w:bottom w:val="none" w:sz="0" w:space="0" w:color="auto"/>
        <w:right w:val="none" w:sz="0" w:space="0" w:color="auto"/>
      </w:divBdr>
    </w:div>
    <w:div w:id="1302536507">
      <w:bodyDiv w:val="1"/>
      <w:marLeft w:val="0"/>
      <w:marRight w:val="0"/>
      <w:marTop w:val="0"/>
      <w:marBottom w:val="0"/>
      <w:divBdr>
        <w:top w:val="none" w:sz="0" w:space="0" w:color="auto"/>
        <w:left w:val="none" w:sz="0" w:space="0" w:color="auto"/>
        <w:bottom w:val="none" w:sz="0" w:space="0" w:color="auto"/>
        <w:right w:val="none" w:sz="0" w:space="0" w:color="auto"/>
      </w:divBdr>
    </w:div>
    <w:div w:id="1353990604">
      <w:bodyDiv w:val="1"/>
      <w:marLeft w:val="0"/>
      <w:marRight w:val="0"/>
      <w:marTop w:val="0"/>
      <w:marBottom w:val="0"/>
      <w:divBdr>
        <w:top w:val="none" w:sz="0" w:space="0" w:color="auto"/>
        <w:left w:val="none" w:sz="0" w:space="0" w:color="auto"/>
        <w:bottom w:val="none" w:sz="0" w:space="0" w:color="auto"/>
        <w:right w:val="none" w:sz="0" w:space="0" w:color="auto"/>
      </w:divBdr>
    </w:div>
    <w:div w:id="1363894360">
      <w:bodyDiv w:val="1"/>
      <w:marLeft w:val="0"/>
      <w:marRight w:val="0"/>
      <w:marTop w:val="0"/>
      <w:marBottom w:val="0"/>
      <w:divBdr>
        <w:top w:val="none" w:sz="0" w:space="0" w:color="auto"/>
        <w:left w:val="none" w:sz="0" w:space="0" w:color="auto"/>
        <w:bottom w:val="none" w:sz="0" w:space="0" w:color="auto"/>
        <w:right w:val="none" w:sz="0" w:space="0" w:color="auto"/>
      </w:divBdr>
    </w:div>
    <w:div w:id="1373074023">
      <w:bodyDiv w:val="1"/>
      <w:marLeft w:val="0"/>
      <w:marRight w:val="0"/>
      <w:marTop w:val="0"/>
      <w:marBottom w:val="0"/>
      <w:divBdr>
        <w:top w:val="none" w:sz="0" w:space="0" w:color="auto"/>
        <w:left w:val="none" w:sz="0" w:space="0" w:color="auto"/>
        <w:bottom w:val="none" w:sz="0" w:space="0" w:color="auto"/>
        <w:right w:val="none" w:sz="0" w:space="0" w:color="auto"/>
      </w:divBdr>
    </w:div>
    <w:div w:id="1420983292">
      <w:bodyDiv w:val="1"/>
      <w:marLeft w:val="0"/>
      <w:marRight w:val="0"/>
      <w:marTop w:val="0"/>
      <w:marBottom w:val="0"/>
      <w:divBdr>
        <w:top w:val="none" w:sz="0" w:space="0" w:color="auto"/>
        <w:left w:val="none" w:sz="0" w:space="0" w:color="auto"/>
        <w:bottom w:val="none" w:sz="0" w:space="0" w:color="auto"/>
        <w:right w:val="none" w:sz="0" w:space="0" w:color="auto"/>
      </w:divBdr>
    </w:div>
    <w:div w:id="1466897791">
      <w:bodyDiv w:val="1"/>
      <w:marLeft w:val="0"/>
      <w:marRight w:val="0"/>
      <w:marTop w:val="0"/>
      <w:marBottom w:val="0"/>
      <w:divBdr>
        <w:top w:val="none" w:sz="0" w:space="0" w:color="auto"/>
        <w:left w:val="none" w:sz="0" w:space="0" w:color="auto"/>
        <w:bottom w:val="none" w:sz="0" w:space="0" w:color="auto"/>
        <w:right w:val="none" w:sz="0" w:space="0" w:color="auto"/>
      </w:divBdr>
    </w:div>
    <w:div w:id="1484590831">
      <w:bodyDiv w:val="1"/>
      <w:marLeft w:val="0"/>
      <w:marRight w:val="0"/>
      <w:marTop w:val="0"/>
      <w:marBottom w:val="0"/>
      <w:divBdr>
        <w:top w:val="none" w:sz="0" w:space="0" w:color="auto"/>
        <w:left w:val="none" w:sz="0" w:space="0" w:color="auto"/>
        <w:bottom w:val="none" w:sz="0" w:space="0" w:color="auto"/>
        <w:right w:val="none" w:sz="0" w:space="0" w:color="auto"/>
      </w:divBdr>
    </w:div>
    <w:div w:id="1500609499">
      <w:bodyDiv w:val="1"/>
      <w:marLeft w:val="0"/>
      <w:marRight w:val="0"/>
      <w:marTop w:val="0"/>
      <w:marBottom w:val="0"/>
      <w:divBdr>
        <w:top w:val="none" w:sz="0" w:space="0" w:color="auto"/>
        <w:left w:val="none" w:sz="0" w:space="0" w:color="auto"/>
        <w:bottom w:val="none" w:sz="0" w:space="0" w:color="auto"/>
        <w:right w:val="none" w:sz="0" w:space="0" w:color="auto"/>
      </w:divBdr>
      <w:divsChild>
        <w:div w:id="2008288847">
          <w:marLeft w:val="0"/>
          <w:marRight w:val="0"/>
          <w:marTop w:val="0"/>
          <w:marBottom w:val="0"/>
          <w:divBdr>
            <w:top w:val="none" w:sz="0" w:space="0" w:color="auto"/>
            <w:left w:val="none" w:sz="0" w:space="0" w:color="auto"/>
            <w:bottom w:val="none" w:sz="0" w:space="0" w:color="auto"/>
            <w:right w:val="none" w:sz="0" w:space="0" w:color="auto"/>
          </w:divBdr>
        </w:div>
        <w:div w:id="106586484">
          <w:marLeft w:val="0"/>
          <w:marRight w:val="0"/>
          <w:marTop w:val="0"/>
          <w:marBottom w:val="0"/>
          <w:divBdr>
            <w:top w:val="none" w:sz="0" w:space="0" w:color="auto"/>
            <w:left w:val="none" w:sz="0" w:space="0" w:color="auto"/>
            <w:bottom w:val="none" w:sz="0" w:space="0" w:color="auto"/>
            <w:right w:val="none" w:sz="0" w:space="0" w:color="auto"/>
          </w:divBdr>
        </w:div>
        <w:div w:id="990862157">
          <w:marLeft w:val="0"/>
          <w:marRight w:val="0"/>
          <w:marTop w:val="0"/>
          <w:marBottom w:val="0"/>
          <w:divBdr>
            <w:top w:val="none" w:sz="0" w:space="0" w:color="auto"/>
            <w:left w:val="none" w:sz="0" w:space="0" w:color="auto"/>
            <w:bottom w:val="none" w:sz="0" w:space="0" w:color="auto"/>
            <w:right w:val="none" w:sz="0" w:space="0" w:color="auto"/>
          </w:divBdr>
        </w:div>
        <w:div w:id="963540866">
          <w:marLeft w:val="0"/>
          <w:marRight w:val="0"/>
          <w:marTop w:val="0"/>
          <w:marBottom w:val="0"/>
          <w:divBdr>
            <w:top w:val="none" w:sz="0" w:space="0" w:color="auto"/>
            <w:left w:val="none" w:sz="0" w:space="0" w:color="auto"/>
            <w:bottom w:val="none" w:sz="0" w:space="0" w:color="auto"/>
            <w:right w:val="none" w:sz="0" w:space="0" w:color="auto"/>
          </w:divBdr>
        </w:div>
        <w:div w:id="1446195142">
          <w:marLeft w:val="0"/>
          <w:marRight w:val="0"/>
          <w:marTop w:val="0"/>
          <w:marBottom w:val="0"/>
          <w:divBdr>
            <w:top w:val="none" w:sz="0" w:space="0" w:color="auto"/>
            <w:left w:val="none" w:sz="0" w:space="0" w:color="auto"/>
            <w:bottom w:val="none" w:sz="0" w:space="0" w:color="auto"/>
            <w:right w:val="none" w:sz="0" w:space="0" w:color="auto"/>
          </w:divBdr>
        </w:div>
        <w:div w:id="1252660235">
          <w:marLeft w:val="0"/>
          <w:marRight w:val="0"/>
          <w:marTop w:val="0"/>
          <w:marBottom w:val="0"/>
          <w:divBdr>
            <w:top w:val="none" w:sz="0" w:space="0" w:color="auto"/>
            <w:left w:val="none" w:sz="0" w:space="0" w:color="auto"/>
            <w:bottom w:val="none" w:sz="0" w:space="0" w:color="auto"/>
            <w:right w:val="none" w:sz="0" w:space="0" w:color="auto"/>
          </w:divBdr>
        </w:div>
        <w:div w:id="116992486">
          <w:marLeft w:val="0"/>
          <w:marRight w:val="0"/>
          <w:marTop w:val="0"/>
          <w:marBottom w:val="0"/>
          <w:divBdr>
            <w:top w:val="none" w:sz="0" w:space="0" w:color="auto"/>
            <w:left w:val="none" w:sz="0" w:space="0" w:color="auto"/>
            <w:bottom w:val="none" w:sz="0" w:space="0" w:color="auto"/>
            <w:right w:val="none" w:sz="0" w:space="0" w:color="auto"/>
          </w:divBdr>
        </w:div>
        <w:div w:id="1900245146">
          <w:marLeft w:val="0"/>
          <w:marRight w:val="0"/>
          <w:marTop w:val="0"/>
          <w:marBottom w:val="0"/>
          <w:divBdr>
            <w:top w:val="none" w:sz="0" w:space="0" w:color="auto"/>
            <w:left w:val="none" w:sz="0" w:space="0" w:color="auto"/>
            <w:bottom w:val="none" w:sz="0" w:space="0" w:color="auto"/>
            <w:right w:val="none" w:sz="0" w:space="0" w:color="auto"/>
          </w:divBdr>
        </w:div>
        <w:div w:id="1886718040">
          <w:marLeft w:val="0"/>
          <w:marRight w:val="0"/>
          <w:marTop w:val="0"/>
          <w:marBottom w:val="0"/>
          <w:divBdr>
            <w:top w:val="none" w:sz="0" w:space="0" w:color="auto"/>
            <w:left w:val="none" w:sz="0" w:space="0" w:color="auto"/>
            <w:bottom w:val="none" w:sz="0" w:space="0" w:color="auto"/>
            <w:right w:val="none" w:sz="0" w:space="0" w:color="auto"/>
          </w:divBdr>
        </w:div>
        <w:div w:id="398478994">
          <w:marLeft w:val="0"/>
          <w:marRight w:val="0"/>
          <w:marTop w:val="0"/>
          <w:marBottom w:val="0"/>
          <w:divBdr>
            <w:top w:val="none" w:sz="0" w:space="0" w:color="auto"/>
            <w:left w:val="none" w:sz="0" w:space="0" w:color="auto"/>
            <w:bottom w:val="none" w:sz="0" w:space="0" w:color="auto"/>
            <w:right w:val="none" w:sz="0" w:space="0" w:color="auto"/>
          </w:divBdr>
        </w:div>
      </w:divsChild>
    </w:div>
    <w:div w:id="1570726639">
      <w:bodyDiv w:val="1"/>
      <w:marLeft w:val="0"/>
      <w:marRight w:val="0"/>
      <w:marTop w:val="0"/>
      <w:marBottom w:val="0"/>
      <w:divBdr>
        <w:top w:val="none" w:sz="0" w:space="0" w:color="auto"/>
        <w:left w:val="none" w:sz="0" w:space="0" w:color="auto"/>
        <w:bottom w:val="none" w:sz="0" w:space="0" w:color="auto"/>
        <w:right w:val="none" w:sz="0" w:space="0" w:color="auto"/>
      </w:divBdr>
    </w:div>
    <w:div w:id="1580560918">
      <w:bodyDiv w:val="1"/>
      <w:marLeft w:val="0"/>
      <w:marRight w:val="0"/>
      <w:marTop w:val="0"/>
      <w:marBottom w:val="0"/>
      <w:divBdr>
        <w:top w:val="none" w:sz="0" w:space="0" w:color="auto"/>
        <w:left w:val="none" w:sz="0" w:space="0" w:color="auto"/>
        <w:bottom w:val="none" w:sz="0" w:space="0" w:color="auto"/>
        <w:right w:val="none" w:sz="0" w:space="0" w:color="auto"/>
      </w:divBdr>
    </w:div>
    <w:div w:id="1628125068">
      <w:bodyDiv w:val="1"/>
      <w:marLeft w:val="0"/>
      <w:marRight w:val="0"/>
      <w:marTop w:val="0"/>
      <w:marBottom w:val="0"/>
      <w:divBdr>
        <w:top w:val="none" w:sz="0" w:space="0" w:color="auto"/>
        <w:left w:val="none" w:sz="0" w:space="0" w:color="auto"/>
        <w:bottom w:val="none" w:sz="0" w:space="0" w:color="auto"/>
        <w:right w:val="none" w:sz="0" w:space="0" w:color="auto"/>
      </w:divBdr>
    </w:div>
    <w:div w:id="1694961650">
      <w:bodyDiv w:val="1"/>
      <w:marLeft w:val="0"/>
      <w:marRight w:val="0"/>
      <w:marTop w:val="0"/>
      <w:marBottom w:val="0"/>
      <w:divBdr>
        <w:top w:val="none" w:sz="0" w:space="0" w:color="auto"/>
        <w:left w:val="none" w:sz="0" w:space="0" w:color="auto"/>
        <w:bottom w:val="none" w:sz="0" w:space="0" w:color="auto"/>
        <w:right w:val="none" w:sz="0" w:space="0" w:color="auto"/>
      </w:divBdr>
    </w:div>
    <w:div w:id="1808862588">
      <w:bodyDiv w:val="1"/>
      <w:marLeft w:val="0"/>
      <w:marRight w:val="0"/>
      <w:marTop w:val="0"/>
      <w:marBottom w:val="0"/>
      <w:divBdr>
        <w:top w:val="none" w:sz="0" w:space="0" w:color="auto"/>
        <w:left w:val="none" w:sz="0" w:space="0" w:color="auto"/>
        <w:bottom w:val="none" w:sz="0" w:space="0" w:color="auto"/>
        <w:right w:val="none" w:sz="0" w:space="0" w:color="auto"/>
      </w:divBdr>
    </w:div>
    <w:div w:id="1852986835">
      <w:bodyDiv w:val="1"/>
      <w:marLeft w:val="0"/>
      <w:marRight w:val="0"/>
      <w:marTop w:val="0"/>
      <w:marBottom w:val="0"/>
      <w:divBdr>
        <w:top w:val="none" w:sz="0" w:space="0" w:color="auto"/>
        <w:left w:val="none" w:sz="0" w:space="0" w:color="auto"/>
        <w:bottom w:val="none" w:sz="0" w:space="0" w:color="auto"/>
        <w:right w:val="none" w:sz="0" w:space="0" w:color="auto"/>
      </w:divBdr>
    </w:div>
    <w:div w:id="1859196494">
      <w:bodyDiv w:val="1"/>
      <w:marLeft w:val="0"/>
      <w:marRight w:val="0"/>
      <w:marTop w:val="0"/>
      <w:marBottom w:val="0"/>
      <w:divBdr>
        <w:top w:val="none" w:sz="0" w:space="0" w:color="auto"/>
        <w:left w:val="none" w:sz="0" w:space="0" w:color="auto"/>
        <w:bottom w:val="none" w:sz="0" w:space="0" w:color="auto"/>
        <w:right w:val="none" w:sz="0" w:space="0" w:color="auto"/>
      </w:divBdr>
    </w:div>
    <w:div w:id="2006468709">
      <w:bodyDiv w:val="1"/>
      <w:marLeft w:val="0"/>
      <w:marRight w:val="0"/>
      <w:marTop w:val="0"/>
      <w:marBottom w:val="0"/>
      <w:divBdr>
        <w:top w:val="none" w:sz="0" w:space="0" w:color="auto"/>
        <w:left w:val="none" w:sz="0" w:space="0" w:color="auto"/>
        <w:bottom w:val="none" w:sz="0" w:space="0" w:color="auto"/>
        <w:right w:val="none" w:sz="0" w:space="0" w:color="auto"/>
      </w:divBdr>
    </w:div>
    <w:div w:id="2007245921">
      <w:bodyDiv w:val="1"/>
      <w:marLeft w:val="0"/>
      <w:marRight w:val="0"/>
      <w:marTop w:val="0"/>
      <w:marBottom w:val="0"/>
      <w:divBdr>
        <w:top w:val="none" w:sz="0" w:space="0" w:color="auto"/>
        <w:left w:val="none" w:sz="0" w:space="0" w:color="auto"/>
        <w:bottom w:val="none" w:sz="0" w:space="0" w:color="auto"/>
        <w:right w:val="none" w:sz="0" w:space="0" w:color="auto"/>
      </w:divBdr>
    </w:div>
    <w:div w:id="2051419192">
      <w:bodyDiv w:val="1"/>
      <w:marLeft w:val="0"/>
      <w:marRight w:val="0"/>
      <w:marTop w:val="0"/>
      <w:marBottom w:val="0"/>
      <w:divBdr>
        <w:top w:val="none" w:sz="0" w:space="0" w:color="auto"/>
        <w:left w:val="none" w:sz="0" w:space="0" w:color="auto"/>
        <w:bottom w:val="none" w:sz="0" w:space="0" w:color="auto"/>
        <w:right w:val="none" w:sz="0" w:space="0" w:color="auto"/>
      </w:divBdr>
      <w:divsChild>
        <w:div w:id="1606814090">
          <w:marLeft w:val="0"/>
          <w:marRight w:val="0"/>
          <w:marTop w:val="0"/>
          <w:marBottom w:val="0"/>
          <w:divBdr>
            <w:top w:val="none" w:sz="0" w:space="0" w:color="auto"/>
            <w:left w:val="none" w:sz="0" w:space="0" w:color="auto"/>
            <w:bottom w:val="none" w:sz="0" w:space="0" w:color="auto"/>
            <w:right w:val="none" w:sz="0" w:space="0" w:color="auto"/>
          </w:divBdr>
          <w:divsChild>
            <w:div w:id="7527019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98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easury.gov.au/~/media/Treasury/Consultations%20and%20Reviews/Consultations/2017/Social%20Impact%20Investing/Key%20Documents/PDF/Social_Impact_Investing_DP.ashx" TargetMode="External"/><Relationship Id="rId3" Type="http://schemas.openxmlformats.org/officeDocument/2006/relationships/customXml" Target="../customXml/item3.xml"/><Relationship Id="rId21" Type="http://schemas.openxmlformats.org/officeDocument/2006/relationships/hyperlink" Target="http://economicdevelopment.vic.gov.au/about-us/overview/strategies-and-initiatives/social-enterpris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uploads/system/uploads/attachment_data/file/588175/cic-12-1333-community-interest-companies-guidance-chapter-1-introduction-Feb-2017.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gsocietycapital.com/about-big-society-capital" TargetMode="External"/><Relationship Id="rId20" Type="http://schemas.openxmlformats.org/officeDocument/2006/relationships/hyperlink" Target="http://www.socialfinance.org.uk/databa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lii.edu.au/au/legis/cth/consol_act/sia1993473/s62.html"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treasury.gov.au/~/media/Treasury/Consultations%20and%20Reviews/Consultations/2017/Social%20Impact%20Investing/Key%20Documents/PDF/Social_Impact_Investing_DP.ash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access-socialinvestment.org.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2017FG-116-769</_dlc_DocId>
    <TaxCatchAll xmlns="e544e5cc-ab70-42e1-849e-1a0f8bb1f4ef">
      <Value>2</Value>
    </TaxCatchAll>
    <_dlc_DocIdUrl xmlns="e544e5cc-ab70-42e1-849e-1a0f8bb1f4ef">
      <Url>http://tweb/sites/fg/spd/_layouts/15/DocIdRedir.aspx?ID=2017FG-116-769</Url>
      <Description>2017FG-116-769</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F180-5A5F-4B43-808C-38B77CC075D4}">
  <ds:schemaRefs>
    <ds:schemaRef ds:uri="http://schemas.microsoft.com/sharepoint/events"/>
  </ds:schemaRefs>
</ds:datastoreItem>
</file>

<file path=customXml/itemProps2.xml><?xml version="1.0" encoding="utf-8"?>
<ds:datastoreItem xmlns:ds="http://schemas.openxmlformats.org/officeDocument/2006/customXml" ds:itemID="{645EC443-F618-4824-B03A-CF3F81506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BA93F-4DC1-46BA-9E94-E44DDA516B86}">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D3EB45B7-ABCB-46CD-8ECF-AE8CBE9E4366}">
  <ds:schemaRefs>
    <ds:schemaRef ds:uri="http://schemas.microsoft.com/sharepoint/v3/contenttype/forms"/>
  </ds:schemaRefs>
</ds:datastoreItem>
</file>

<file path=customXml/itemProps5.xml><?xml version="1.0" encoding="utf-8"?>
<ds:datastoreItem xmlns:ds="http://schemas.openxmlformats.org/officeDocument/2006/customXml" ds:itemID="{5A7D685A-B909-4AD1-BDB9-73BF0B974A11}">
  <ds:schemaRefs>
    <ds:schemaRef ds:uri="office.server.policy"/>
  </ds:schemaRefs>
</ds:datastoreItem>
</file>

<file path=customXml/itemProps6.xml><?xml version="1.0" encoding="utf-8"?>
<ds:datastoreItem xmlns:ds="http://schemas.openxmlformats.org/officeDocument/2006/customXml" ds:itemID="{1E11B03C-6052-4BB2-9C77-EF0E067F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7206</Words>
  <Characters>43642</Characters>
  <Application>Microsoft Office Word</Application>
  <DocSecurity>0</DocSecurity>
  <Lines>606</Lines>
  <Paragraphs>202</Paragraphs>
  <ScaleCrop>false</ScaleCrop>
  <Company/>
  <LinksUpToDate>false</LinksUpToDate>
  <CharactersWithSpaces>50865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 Submission to Social Impact Investing</dc:title>
  <dc:creator/>
  <cp:lastModifiedBy/>
  <cp:revision>1</cp:revision>
  <dcterms:created xsi:type="dcterms:W3CDTF">2017-05-02T02:43:00Z</dcterms:created>
  <dcterms:modified xsi:type="dcterms:W3CDTF">2017-05-02T02:43:00Z</dcterms:modified>
  <dc:language>English</dc:language>
</cp:coreProperties>
</file>