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34411" w14:textId="7D1315F1" w:rsidR="00125078" w:rsidRPr="001A391B" w:rsidRDefault="00112F03" w:rsidP="00125078">
      <w:pPr>
        <w:jc w:val="center"/>
        <w:rPr>
          <w:rFonts w:cs="Lucida Grande"/>
          <w:color w:val="1C2020"/>
          <w:sz w:val="28"/>
          <w:szCs w:val="28"/>
        </w:rPr>
      </w:pPr>
      <w:bookmarkStart w:id="0" w:name="_GoBack"/>
      <w:bookmarkEnd w:id="0"/>
      <w:r>
        <w:rPr>
          <w:rFonts w:cs="Lucida Grande"/>
          <w:noProof/>
          <w:color w:val="1C2020"/>
          <w:sz w:val="28"/>
          <w:szCs w:val="28"/>
          <w:lang w:eastAsia="en-AU"/>
        </w:rPr>
        <w:drawing>
          <wp:anchor distT="0" distB="0" distL="114300" distR="114300" simplePos="0" relativeHeight="251660288" behindDoc="0" locked="0" layoutInCell="1" allowOverlap="1" wp14:anchorId="6C22F525" wp14:editId="18A88F0C">
            <wp:simplePos x="0" y="0"/>
            <wp:positionH relativeFrom="column">
              <wp:posOffset>4572000</wp:posOffset>
            </wp:positionH>
            <wp:positionV relativeFrom="paragraph">
              <wp:posOffset>-914400</wp:posOffset>
            </wp:positionV>
            <wp:extent cx="2093595" cy="1343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TS-logo-Title-01.png"/>
                    <pic:cNvPicPr/>
                  </pic:nvPicPr>
                  <pic:blipFill>
                    <a:blip r:embed="rId14">
                      <a:extLst>
                        <a:ext uri="{28A0092B-C50C-407E-A947-70E740481C1C}">
                          <a14:useLocalDpi xmlns:a14="http://schemas.microsoft.com/office/drawing/2010/main" val="0"/>
                        </a:ext>
                      </a:extLst>
                    </a:blip>
                    <a:stretch>
                      <a:fillRect/>
                    </a:stretch>
                  </pic:blipFill>
                  <pic:spPr>
                    <a:xfrm>
                      <a:off x="0" y="0"/>
                      <a:ext cx="2093595" cy="1343660"/>
                    </a:xfrm>
                    <a:prstGeom prst="rect">
                      <a:avLst/>
                    </a:prstGeom>
                  </pic:spPr>
                </pic:pic>
              </a:graphicData>
            </a:graphic>
            <wp14:sizeRelH relativeFrom="page">
              <wp14:pctWidth>0</wp14:pctWidth>
            </wp14:sizeRelH>
            <wp14:sizeRelV relativeFrom="page">
              <wp14:pctHeight>0</wp14:pctHeight>
            </wp14:sizeRelV>
          </wp:anchor>
        </w:drawing>
      </w:r>
    </w:p>
    <w:p w14:paraId="66120CED" w14:textId="6A5F0560" w:rsidR="00112F03" w:rsidRDefault="00D82AD5" w:rsidP="00125078">
      <w:pPr>
        <w:jc w:val="center"/>
        <w:rPr>
          <w:rFonts w:cs="Lucida Grande"/>
        </w:rPr>
      </w:pPr>
      <w:r w:rsidRPr="00D82AD5">
        <w:rPr>
          <w:rFonts w:cs="Lucida Grande"/>
          <w:noProof/>
          <w:sz w:val="20"/>
          <w:szCs w:val="20"/>
          <w:lang w:eastAsia="en-AU"/>
        </w:rPr>
        <w:drawing>
          <wp:inline distT="0" distB="0" distL="0" distR="0" wp14:anchorId="5A5E34AD" wp14:editId="6B17B3E7">
            <wp:extent cx="5731510" cy="1026982"/>
            <wp:effectExtent l="0" t="0" r="2540" b="1905"/>
            <wp:docPr id="3" name="Picture 3" descr="C:\Users\130239\AppData\Local\Microsoft\Windows\Temporary Internet Files\Content.Outlook\PQ7TEP8H\CBSI-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0239\AppData\Local\Microsoft\Windows\Temporary Internet Files\Content.Outlook\PQ7TEP8H\CBSI-horizont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26982"/>
                    </a:xfrm>
                    <a:prstGeom prst="rect">
                      <a:avLst/>
                    </a:prstGeom>
                    <a:noFill/>
                    <a:ln>
                      <a:noFill/>
                    </a:ln>
                  </pic:spPr>
                </pic:pic>
              </a:graphicData>
            </a:graphic>
          </wp:inline>
        </w:drawing>
      </w:r>
    </w:p>
    <w:p w14:paraId="04A7050A" w14:textId="55335EB9" w:rsidR="00125078" w:rsidRPr="001A391B" w:rsidRDefault="00125078" w:rsidP="00125078">
      <w:pPr>
        <w:jc w:val="center"/>
        <w:rPr>
          <w:rFonts w:cs="Lucida Grande"/>
        </w:rPr>
      </w:pPr>
      <w:r w:rsidRPr="001A391B">
        <w:rPr>
          <w:rFonts w:cs="Lucida Grande"/>
          <w:b/>
          <w:noProof/>
          <w:color w:val="FF0000"/>
          <w:sz w:val="40"/>
          <w:szCs w:val="40"/>
          <w:lang w:eastAsia="en-AU"/>
        </w:rPr>
        <w:drawing>
          <wp:anchor distT="0" distB="0" distL="114300" distR="114300" simplePos="0" relativeHeight="251659264" behindDoc="0" locked="0" layoutInCell="1" allowOverlap="1" wp14:anchorId="2D892652" wp14:editId="61DAC117">
            <wp:simplePos x="0" y="0"/>
            <wp:positionH relativeFrom="margin">
              <wp:posOffset>0</wp:posOffset>
            </wp:positionH>
            <wp:positionV relativeFrom="margin">
              <wp:posOffset>1371600</wp:posOffset>
            </wp:positionV>
            <wp:extent cx="5829300" cy="3221355"/>
            <wp:effectExtent l="76200" t="76200" r="165100" b="156845"/>
            <wp:wrapSquare wrapText="bothSides"/>
            <wp:docPr id="4" name="Picture 4" descr="Macintosh HD:Users:nick:Downloads:07_2988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cintosh HD:Users:nick:Downloads:07_298855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3221355"/>
                    </a:xfrm>
                    <a:prstGeom prst="rect">
                      <a:avLst/>
                    </a:prstGeom>
                    <a:ln w="38100" cap="sq">
                      <a:solidFill>
                        <a:srgbClr val="139ED2"/>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6790157" w14:textId="77777777" w:rsidR="00125078" w:rsidRDefault="00125078" w:rsidP="00125078">
      <w:pPr>
        <w:rPr>
          <w:rFonts w:cs="Lucida Grande"/>
        </w:rPr>
      </w:pPr>
    </w:p>
    <w:p w14:paraId="3B351CA1" w14:textId="77777777" w:rsidR="00125078" w:rsidRPr="001A391B" w:rsidRDefault="00125078" w:rsidP="00125078">
      <w:pPr>
        <w:rPr>
          <w:rFonts w:cs="Lucida Grande"/>
        </w:rPr>
      </w:pPr>
    </w:p>
    <w:sdt>
      <w:sdtPr>
        <w:rPr>
          <w:rFonts w:cs="Lucida Grande"/>
          <w:sz w:val="12"/>
        </w:rPr>
        <w:id w:val="-2035872297"/>
        <w:docPartObj>
          <w:docPartGallery w:val="Cover Pages"/>
          <w:docPartUnique/>
        </w:docPartObj>
      </w:sdtPr>
      <w:sdtEndPr>
        <w:rPr>
          <w:sz w:val="28"/>
          <w:szCs w:val="28"/>
        </w:rPr>
      </w:sdtEndPr>
      <w:sdtContent>
        <w:p w14:paraId="7F9824E6" w14:textId="48A0BD4B" w:rsidR="00125078" w:rsidRPr="001A391B" w:rsidRDefault="0032248E" w:rsidP="00C72743">
          <w:pPr>
            <w:ind w:right="1134"/>
            <w:rPr>
              <w:rFonts w:cs="Lucida Grande"/>
              <w:b/>
              <w:sz w:val="40"/>
              <w:szCs w:val="40"/>
            </w:rPr>
          </w:pPr>
          <w:r>
            <w:rPr>
              <w:rFonts w:cs="Lucida Grande"/>
              <w:sz w:val="40"/>
              <w:szCs w:val="40"/>
            </w:rPr>
            <w:t>Social Impact Investing Discussion Paper</w:t>
          </w:r>
        </w:p>
        <w:p w14:paraId="0ACC98A6" w14:textId="141237FA" w:rsidR="00125078" w:rsidRPr="001A391B" w:rsidRDefault="0032248E" w:rsidP="00125078">
          <w:pPr>
            <w:rPr>
              <w:rFonts w:cs="Lucida Grande"/>
              <w:b/>
              <w:sz w:val="40"/>
              <w:szCs w:val="40"/>
            </w:rPr>
          </w:pPr>
          <w:r>
            <w:rPr>
              <w:rFonts w:cs="Lucida Grande"/>
              <w:b/>
              <w:sz w:val="40"/>
              <w:szCs w:val="40"/>
            </w:rPr>
            <w:t>Submission</w:t>
          </w:r>
        </w:p>
        <w:p w14:paraId="6608CCFA" w14:textId="77777777" w:rsidR="00125078" w:rsidRPr="001A391B" w:rsidRDefault="00125078" w:rsidP="00125078">
          <w:pPr>
            <w:rPr>
              <w:rFonts w:cs="Lucida Grande"/>
              <w:b/>
              <w:sz w:val="40"/>
              <w:szCs w:val="40"/>
            </w:rPr>
          </w:pPr>
        </w:p>
        <w:p w14:paraId="7AAC8741" w14:textId="233C09BF" w:rsidR="00125078" w:rsidRDefault="0032248E" w:rsidP="00125078">
          <w:pPr>
            <w:rPr>
              <w:rFonts w:cs="Lucida Grande"/>
              <w:sz w:val="32"/>
              <w:szCs w:val="32"/>
            </w:rPr>
          </w:pPr>
          <w:r>
            <w:rPr>
              <w:rFonts w:cs="Lucida Grande"/>
              <w:sz w:val="32"/>
              <w:szCs w:val="32"/>
            </w:rPr>
            <w:t>24</w:t>
          </w:r>
          <w:r w:rsidR="006A3A19">
            <w:rPr>
              <w:rFonts w:cs="Lucida Grande"/>
              <w:sz w:val="32"/>
              <w:szCs w:val="32"/>
            </w:rPr>
            <w:t xml:space="preserve"> February 2017</w:t>
          </w:r>
          <w:r>
            <w:rPr>
              <w:rFonts w:cs="Lucida Grande"/>
              <w:sz w:val="32"/>
              <w:szCs w:val="32"/>
            </w:rPr>
            <w:t xml:space="preserve"> </w:t>
          </w:r>
        </w:p>
        <w:p w14:paraId="1F010855" w14:textId="05A9689E" w:rsidR="00D82AD5" w:rsidRDefault="00D82AD5">
          <w:pPr>
            <w:spacing w:before="0" w:after="0"/>
            <w:jc w:val="left"/>
            <w:rPr>
              <w:rFonts w:cs="Lucida Grande"/>
              <w:sz w:val="32"/>
              <w:szCs w:val="32"/>
            </w:rPr>
          </w:pPr>
          <w:r>
            <w:rPr>
              <w:rFonts w:cs="Lucida Grande"/>
              <w:sz w:val="32"/>
              <w:szCs w:val="32"/>
            </w:rPr>
            <w:br w:type="page"/>
          </w:r>
        </w:p>
        <w:p w14:paraId="4DD44C67" w14:textId="77777777" w:rsidR="00D82AD5" w:rsidRPr="00D82AD5" w:rsidRDefault="00D82AD5" w:rsidP="00D82AD5">
          <w:pPr>
            <w:rPr>
              <w:lang w:val="en-US"/>
            </w:rPr>
          </w:pPr>
          <w:r w:rsidRPr="00D82AD5">
            <w:rPr>
              <w:lang w:val="en-US"/>
            </w:rPr>
            <w:lastRenderedPageBreak/>
            <w:t>Associate Professor Danielle Logue</w:t>
          </w:r>
        </w:p>
        <w:p w14:paraId="6483EE06" w14:textId="77777777" w:rsidR="00D82AD5" w:rsidRPr="00D82AD5" w:rsidRDefault="00D82AD5" w:rsidP="00D82AD5">
          <w:pPr>
            <w:rPr>
              <w:lang w:val="en-US"/>
            </w:rPr>
          </w:pPr>
          <w:r w:rsidRPr="00D82AD5">
            <w:rPr>
              <w:lang w:val="en-US"/>
            </w:rPr>
            <w:t>Dr Gillian McAllister</w:t>
          </w:r>
        </w:p>
        <w:p w14:paraId="344F3785" w14:textId="77777777" w:rsidR="00D82AD5" w:rsidRPr="00D82AD5" w:rsidRDefault="00D82AD5" w:rsidP="00D82AD5">
          <w:pPr>
            <w:rPr>
              <w:lang w:val="en-US"/>
            </w:rPr>
          </w:pPr>
          <w:r w:rsidRPr="00D82AD5">
            <w:rPr>
              <w:lang w:val="en-US"/>
            </w:rPr>
            <w:t>Centre for Business &amp; Social Innovation</w:t>
          </w:r>
        </w:p>
        <w:p w14:paraId="5E11ACE6" w14:textId="77777777" w:rsidR="00D82AD5" w:rsidRPr="00D82AD5" w:rsidRDefault="00D82AD5" w:rsidP="00D82AD5">
          <w:pPr>
            <w:rPr>
              <w:lang w:val="en-US"/>
            </w:rPr>
          </w:pPr>
          <w:r w:rsidRPr="00D82AD5">
            <w:rPr>
              <w:lang w:val="en-US"/>
            </w:rPr>
            <w:t>UTS Business School</w:t>
          </w:r>
        </w:p>
        <w:p w14:paraId="6722ED9C" w14:textId="77777777" w:rsidR="00D82AD5" w:rsidRPr="00D82AD5" w:rsidRDefault="00D82AD5" w:rsidP="00D82AD5">
          <w:pPr>
            <w:rPr>
              <w:lang w:val="en-US"/>
            </w:rPr>
          </w:pPr>
          <w:r w:rsidRPr="00D82AD5">
            <w:rPr>
              <w:lang w:val="en-US"/>
            </w:rPr>
            <w:t>University of Technology Sydney</w:t>
          </w:r>
        </w:p>
        <w:p w14:paraId="736C3F28" w14:textId="77777777" w:rsidR="00D82AD5" w:rsidRPr="00D82AD5" w:rsidRDefault="00D82AD5" w:rsidP="00D82AD5">
          <w:pPr>
            <w:rPr>
              <w:lang w:val="en-US"/>
            </w:rPr>
          </w:pPr>
        </w:p>
        <w:p w14:paraId="1ABFDDC4" w14:textId="07CF1320" w:rsidR="00D82AD5" w:rsidRPr="00D82AD5" w:rsidRDefault="00F72429" w:rsidP="00D82AD5">
          <w:pPr>
            <w:rPr>
              <w:lang w:val="en-US"/>
            </w:rPr>
          </w:pPr>
          <w:r>
            <w:rPr>
              <w:lang w:val="en-US"/>
            </w:rPr>
            <w:t>24</w:t>
          </w:r>
          <w:r w:rsidR="00CB05F0">
            <w:rPr>
              <w:lang w:val="en-US"/>
            </w:rPr>
            <w:t xml:space="preserve"> February 2017</w:t>
          </w:r>
        </w:p>
        <w:p w14:paraId="4DAB61D3" w14:textId="77777777" w:rsidR="00D82AD5" w:rsidRPr="00D82AD5" w:rsidRDefault="00D82AD5" w:rsidP="00D82AD5">
          <w:pPr>
            <w:rPr>
              <w:lang w:val="en-US"/>
            </w:rPr>
          </w:pPr>
        </w:p>
        <w:p w14:paraId="736EE986" w14:textId="77777777" w:rsidR="00D82AD5" w:rsidRPr="00D82AD5" w:rsidRDefault="00D82AD5" w:rsidP="00D82AD5">
          <w:pPr>
            <w:rPr>
              <w:lang w:val="en-US"/>
            </w:rPr>
          </w:pPr>
          <w:r w:rsidRPr="00D82AD5">
            <w:rPr>
              <w:lang w:val="en-US"/>
            </w:rPr>
            <w:t>Housing Unit Manager</w:t>
          </w:r>
        </w:p>
        <w:p w14:paraId="0101A6A1" w14:textId="77777777" w:rsidR="00D82AD5" w:rsidRPr="00D82AD5" w:rsidRDefault="00D82AD5" w:rsidP="00D82AD5">
          <w:pPr>
            <w:rPr>
              <w:lang w:val="en-US"/>
            </w:rPr>
          </w:pPr>
          <w:r w:rsidRPr="00D82AD5">
            <w:rPr>
              <w:lang w:val="en-US"/>
            </w:rPr>
            <w:t>Social Policy Division</w:t>
          </w:r>
        </w:p>
        <w:p w14:paraId="37622603" w14:textId="77777777" w:rsidR="00D82AD5" w:rsidRPr="00D82AD5" w:rsidRDefault="00D82AD5" w:rsidP="00D82AD5">
          <w:pPr>
            <w:rPr>
              <w:lang w:val="en-US"/>
            </w:rPr>
          </w:pPr>
          <w:r w:rsidRPr="00D82AD5">
            <w:rPr>
              <w:lang w:val="en-US"/>
            </w:rPr>
            <w:t>The Treasury</w:t>
          </w:r>
        </w:p>
        <w:p w14:paraId="4B590B6B" w14:textId="77777777" w:rsidR="00D82AD5" w:rsidRPr="00D82AD5" w:rsidRDefault="00D82AD5" w:rsidP="00D82AD5">
          <w:pPr>
            <w:rPr>
              <w:lang w:val="en-US"/>
            </w:rPr>
          </w:pPr>
          <w:r w:rsidRPr="00D82AD5">
            <w:rPr>
              <w:lang w:val="en-US"/>
            </w:rPr>
            <w:t>Langton Crescent</w:t>
          </w:r>
        </w:p>
        <w:p w14:paraId="3217F45E" w14:textId="77777777" w:rsidR="00D82AD5" w:rsidRPr="00D82AD5" w:rsidRDefault="00D82AD5" w:rsidP="00D82AD5">
          <w:pPr>
            <w:rPr>
              <w:lang w:val="en-US"/>
            </w:rPr>
          </w:pPr>
          <w:r w:rsidRPr="00D82AD5">
            <w:rPr>
              <w:lang w:val="en-US"/>
            </w:rPr>
            <w:t>Parkes ACT 2600</w:t>
          </w:r>
        </w:p>
        <w:p w14:paraId="35D5492A" w14:textId="77777777" w:rsidR="00D82AD5" w:rsidRPr="00D82AD5" w:rsidRDefault="00D82AD5" w:rsidP="00D82AD5">
          <w:pPr>
            <w:spacing w:before="0" w:after="0"/>
            <w:jc w:val="left"/>
            <w:rPr>
              <w:rFonts w:asciiTheme="minorHAnsi" w:hAnsiTheme="minorHAnsi"/>
              <w:sz w:val="24"/>
              <w:lang w:val="en-US"/>
            </w:rPr>
          </w:pPr>
        </w:p>
        <w:p w14:paraId="5264A633" w14:textId="1498D81C" w:rsidR="00D82AD5" w:rsidRPr="00D82AD5" w:rsidRDefault="00D82AD5" w:rsidP="00D82AD5">
          <w:pPr>
            <w:rPr>
              <w:lang w:val="en-US"/>
            </w:rPr>
          </w:pPr>
          <w:r w:rsidRPr="00D82AD5">
            <w:rPr>
              <w:lang w:val="en-US"/>
            </w:rPr>
            <w:t>Dear Sir/Madam</w:t>
          </w:r>
        </w:p>
        <w:p w14:paraId="7A48D97A" w14:textId="77777777" w:rsidR="00D82AD5" w:rsidRPr="00D82AD5" w:rsidRDefault="00D82AD5" w:rsidP="00D82AD5">
          <w:pPr>
            <w:rPr>
              <w:lang w:val="en-US"/>
            </w:rPr>
          </w:pPr>
        </w:p>
        <w:p w14:paraId="4A22CB9F" w14:textId="77777777" w:rsidR="00D82AD5" w:rsidRPr="00D82AD5" w:rsidRDefault="00D82AD5" w:rsidP="00D82AD5">
          <w:pPr>
            <w:rPr>
              <w:b/>
              <w:lang w:val="en-US"/>
            </w:rPr>
          </w:pPr>
          <w:r w:rsidRPr="00D82AD5">
            <w:rPr>
              <w:b/>
              <w:lang w:val="en-US"/>
            </w:rPr>
            <w:t>Re: Social Impact Investing Discussion Paper</w:t>
          </w:r>
        </w:p>
        <w:p w14:paraId="33EA5CCB" w14:textId="77777777" w:rsidR="00D82AD5" w:rsidRPr="00D82AD5" w:rsidRDefault="00D82AD5" w:rsidP="00D82AD5">
          <w:pPr>
            <w:rPr>
              <w:lang w:val="en-US"/>
            </w:rPr>
          </w:pPr>
        </w:p>
        <w:p w14:paraId="4FEE3CDB" w14:textId="788F1029" w:rsidR="00D82AD5" w:rsidRPr="00D82AD5" w:rsidRDefault="00D82AD5" w:rsidP="00D82AD5">
          <w:pPr>
            <w:rPr>
              <w:lang w:val="en-US"/>
            </w:rPr>
          </w:pPr>
          <w:r w:rsidRPr="00D82AD5">
            <w:rPr>
              <w:lang w:val="en-US"/>
            </w:rPr>
            <w:t xml:space="preserve">Please find enclosed our response to the aforementioned Discussion Paper, specifically on questions </w:t>
          </w:r>
          <w:r w:rsidR="00C8349D">
            <w:rPr>
              <w:lang w:val="en-US"/>
            </w:rPr>
            <w:t>1, 2, 4, 6, 11 and 29</w:t>
          </w:r>
          <w:r w:rsidRPr="00D82AD5">
            <w:rPr>
              <w:lang w:val="en-US"/>
            </w:rPr>
            <w:t xml:space="preserve">. </w:t>
          </w:r>
        </w:p>
        <w:p w14:paraId="01A18FD4" w14:textId="77777777" w:rsidR="00D82AD5" w:rsidRPr="00D82AD5" w:rsidRDefault="00D82AD5" w:rsidP="00D82AD5">
          <w:pPr>
            <w:rPr>
              <w:lang w:val="en-US"/>
            </w:rPr>
          </w:pPr>
        </w:p>
        <w:p w14:paraId="2E176B91" w14:textId="32A1F0DF" w:rsidR="00D82AD5" w:rsidRPr="00D82AD5" w:rsidRDefault="00D82AD5" w:rsidP="00D82AD5">
          <w:pPr>
            <w:rPr>
              <w:lang w:val="en-US"/>
            </w:rPr>
          </w:pPr>
          <w:r w:rsidRPr="00D82AD5">
            <w:rPr>
              <w:lang w:val="en-US"/>
            </w:rPr>
            <w:t xml:space="preserve">These comments are based on original research and commentary on the building of impact investing markets and social entrepreneurship </w:t>
          </w:r>
          <w:r w:rsidRPr="00F72429">
            <w:rPr>
              <w:lang w:val="en-US"/>
            </w:rPr>
            <w:t xml:space="preserve">globally </w:t>
          </w:r>
          <w:r w:rsidR="00F72429" w:rsidRPr="00F72429">
            <w:rPr>
              <w:lang w:val="en-US"/>
            </w:rPr>
            <w:t>(</w:t>
          </w:r>
          <w:r w:rsidR="00290378">
            <w:rPr>
              <w:lang w:val="en-US"/>
            </w:rPr>
            <w:t xml:space="preserve">as cited by the World Economic Forum </w:t>
          </w:r>
          <w:r w:rsidR="00F72429" w:rsidRPr="00F72429">
            <w:rPr>
              <w:lang w:val="en-US"/>
            </w:rPr>
            <w:t>https://www.weforum.o</w:t>
          </w:r>
          <w:r w:rsidR="00F72429">
            <w:rPr>
              <w:lang w:val="en-US"/>
            </w:rPr>
            <w:t>rg/agenda/authors/danielle-logue</w:t>
          </w:r>
          <w:r w:rsidRPr="00D82AD5">
            <w:rPr>
              <w:lang w:val="en-US"/>
            </w:rPr>
            <w:t>), fellowship of the Skoll Centre for Social Entrepreneurship, University of Oxford, and current position as chief investigators of DFAT</w:t>
          </w:r>
          <w:r>
            <w:rPr>
              <w:lang w:val="en-US"/>
            </w:rPr>
            <w:t>’</w:t>
          </w:r>
          <w:r w:rsidRPr="00D82AD5">
            <w:rPr>
              <w:lang w:val="en-US"/>
            </w:rPr>
            <w:t xml:space="preserve">s Social Entrepreneurship </w:t>
          </w:r>
          <w:r>
            <w:rPr>
              <w:lang w:val="en-US"/>
            </w:rPr>
            <w:t>and Impact Initiative (SEIII</w:t>
          </w:r>
          <w:r w:rsidRPr="00D82AD5">
            <w:rPr>
              <w:lang w:val="en-US"/>
            </w:rPr>
            <w:t xml:space="preserve">). </w:t>
          </w:r>
        </w:p>
        <w:p w14:paraId="53867251" w14:textId="77777777" w:rsidR="00D82AD5" w:rsidRPr="00D82AD5" w:rsidRDefault="00D82AD5" w:rsidP="00D82AD5">
          <w:pPr>
            <w:rPr>
              <w:lang w:val="en-US"/>
            </w:rPr>
          </w:pPr>
        </w:p>
        <w:p w14:paraId="67DC6E32" w14:textId="4AA013EA" w:rsidR="00D82AD5" w:rsidRPr="00D82AD5" w:rsidRDefault="00D82AD5" w:rsidP="00D82AD5">
          <w:pPr>
            <w:rPr>
              <w:lang w:val="en-US"/>
            </w:rPr>
          </w:pPr>
          <w:r w:rsidRPr="00D82AD5">
            <w:rPr>
              <w:lang w:val="en-US"/>
            </w:rPr>
            <w:t>Under SEI</w:t>
          </w:r>
          <w:r>
            <w:rPr>
              <w:lang w:val="en-US"/>
            </w:rPr>
            <w:t>I</w:t>
          </w:r>
          <w:r w:rsidRPr="00D82AD5">
            <w:rPr>
              <w:lang w:val="en-US"/>
            </w:rPr>
            <w:t xml:space="preserve">I we draw upon insights from 87 interviews and analysis of more than 90 research papers and secondary reports, with a particular focus on the Asia-Pacific region. This report will be available publicly </w:t>
          </w:r>
          <w:r>
            <w:rPr>
              <w:lang w:val="en-US"/>
            </w:rPr>
            <w:t>in</w:t>
          </w:r>
          <w:r w:rsidRPr="00D82AD5">
            <w:rPr>
              <w:lang w:val="en-US"/>
            </w:rPr>
            <w:t xml:space="preserve"> March 2017. </w:t>
          </w:r>
        </w:p>
        <w:p w14:paraId="0E7C5174" w14:textId="77777777" w:rsidR="00D82AD5" w:rsidRPr="00D82AD5" w:rsidRDefault="00D82AD5" w:rsidP="00D82AD5">
          <w:pPr>
            <w:rPr>
              <w:lang w:val="en-US"/>
            </w:rPr>
          </w:pPr>
        </w:p>
        <w:p w14:paraId="524D8816" w14:textId="7A28C27C" w:rsidR="00D82AD5" w:rsidRPr="00D82AD5" w:rsidRDefault="00D82AD5" w:rsidP="00D82AD5">
          <w:pPr>
            <w:rPr>
              <w:lang w:val="en-US"/>
            </w:rPr>
          </w:pPr>
          <w:r w:rsidRPr="00D82AD5">
            <w:rPr>
              <w:lang w:val="en-US"/>
            </w:rPr>
            <w:t xml:space="preserve">Thank you for the opportunity to respond to </w:t>
          </w:r>
          <w:r>
            <w:rPr>
              <w:lang w:val="en-US"/>
            </w:rPr>
            <w:t xml:space="preserve">the Discussion Paper </w:t>
          </w:r>
          <w:r w:rsidRPr="00D82AD5">
            <w:rPr>
              <w:lang w:val="en-US"/>
            </w:rPr>
            <w:t>and contribute to the national discussion on building a robust, productive and equitable impact investing market in Australia to support social innovation.</w:t>
          </w:r>
        </w:p>
        <w:p w14:paraId="036A8FA2" w14:textId="77777777" w:rsidR="00D82AD5" w:rsidRPr="00D82AD5" w:rsidRDefault="00D82AD5" w:rsidP="00D82AD5">
          <w:pPr>
            <w:rPr>
              <w:lang w:val="en-US"/>
            </w:rPr>
          </w:pPr>
        </w:p>
        <w:p w14:paraId="00B9177E" w14:textId="77777777" w:rsidR="00D82AD5" w:rsidRPr="00290378" w:rsidRDefault="00D82AD5" w:rsidP="00D82AD5">
          <w:pPr>
            <w:rPr>
              <w:b/>
              <w:lang w:val="en-US"/>
            </w:rPr>
          </w:pPr>
          <w:r w:rsidRPr="00290378">
            <w:rPr>
              <w:b/>
              <w:lang w:val="en-US"/>
            </w:rPr>
            <w:t>Associate Professor Danielle Logue &amp;</w:t>
          </w:r>
        </w:p>
        <w:p w14:paraId="57C6EDA0" w14:textId="77777777" w:rsidR="00D82AD5" w:rsidRPr="00290378" w:rsidRDefault="00D82AD5" w:rsidP="00D82AD5">
          <w:pPr>
            <w:rPr>
              <w:b/>
              <w:lang w:val="en-US"/>
            </w:rPr>
          </w:pPr>
          <w:r w:rsidRPr="00290378">
            <w:rPr>
              <w:b/>
              <w:lang w:val="en-US"/>
            </w:rPr>
            <w:t>Dr Gillian McAllister</w:t>
          </w:r>
        </w:p>
        <w:p w14:paraId="7E907AC0" w14:textId="35ED8D3E" w:rsidR="00125078" w:rsidRPr="00D82AD5" w:rsidRDefault="00D82AD5" w:rsidP="00D82AD5">
          <w:pPr>
            <w:rPr>
              <w:lang w:val="en-US"/>
            </w:rPr>
          </w:pPr>
          <w:r w:rsidRPr="00D82AD5">
            <w:rPr>
              <w:lang w:val="en-US"/>
            </w:rPr>
            <w:t>Centre for Business &amp; Social Innovation</w:t>
          </w:r>
          <w:r w:rsidR="00290378">
            <w:rPr>
              <w:lang w:val="en-US"/>
            </w:rPr>
            <w:t xml:space="preserve">, </w:t>
          </w:r>
          <w:r>
            <w:rPr>
              <w:lang w:val="en-US"/>
            </w:rPr>
            <w:t>UTS Business School</w:t>
          </w:r>
        </w:p>
      </w:sdtContent>
    </w:sdt>
    <w:sdt>
      <w:sdtPr>
        <w:rPr>
          <w:rFonts w:asciiTheme="majorHAnsi" w:eastAsia="Times New Roman" w:hAnsiTheme="majorHAnsi" w:cstheme="minorBidi"/>
          <w:b w:val="0"/>
          <w:bCs w:val="0"/>
          <w:color w:val="auto"/>
          <w:sz w:val="20"/>
          <w:szCs w:val="20"/>
          <w:lang w:val="en-AU"/>
        </w:rPr>
        <w:id w:val="-1415860676"/>
        <w:docPartObj>
          <w:docPartGallery w:val="Table of Contents"/>
          <w:docPartUnique/>
        </w:docPartObj>
      </w:sdtPr>
      <w:sdtEndPr>
        <w:rPr>
          <w:rFonts w:eastAsiaTheme="minorEastAsia" w:cs="Lucida Grande"/>
          <w:sz w:val="22"/>
          <w:szCs w:val="24"/>
        </w:rPr>
      </w:sdtEndPr>
      <w:sdtContent>
        <w:p w14:paraId="07C2158F" w14:textId="77777777" w:rsidR="00125078" w:rsidRPr="001A391B" w:rsidRDefault="00125078" w:rsidP="00125078">
          <w:pPr>
            <w:pStyle w:val="TOCHeading"/>
          </w:pPr>
          <w:r w:rsidRPr="001A391B">
            <w:t>Table of Contents</w:t>
          </w:r>
        </w:p>
        <w:p w14:paraId="1FC4DABD" w14:textId="77777777" w:rsidR="00FA1ADA" w:rsidRDefault="004C1FA0">
          <w:pPr>
            <w:pStyle w:val="TOC1"/>
            <w:tabs>
              <w:tab w:val="right" w:leader="dot" w:pos="9016"/>
            </w:tabs>
            <w:rPr>
              <w:b w:val="0"/>
              <w:caps w:val="0"/>
              <w:noProof/>
              <w:lang w:val="en-US"/>
            </w:rPr>
          </w:pPr>
          <w:r>
            <w:rPr>
              <w:caps w:val="0"/>
            </w:rPr>
            <w:fldChar w:fldCharType="begin"/>
          </w:r>
          <w:r>
            <w:rPr>
              <w:caps w:val="0"/>
            </w:rPr>
            <w:instrText xml:space="preserve"> TOC \o "1-3" </w:instrText>
          </w:r>
          <w:r>
            <w:rPr>
              <w:caps w:val="0"/>
            </w:rPr>
            <w:fldChar w:fldCharType="separate"/>
          </w:r>
          <w:r w:rsidR="00FA1ADA">
            <w:rPr>
              <w:noProof/>
            </w:rPr>
            <w:t>Summary of insights</w:t>
          </w:r>
          <w:r w:rsidR="00FA1ADA">
            <w:rPr>
              <w:noProof/>
            </w:rPr>
            <w:tab/>
          </w:r>
          <w:r w:rsidR="00FA1ADA">
            <w:rPr>
              <w:noProof/>
            </w:rPr>
            <w:fldChar w:fldCharType="begin"/>
          </w:r>
          <w:r w:rsidR="00FA1ADA">
            <w:rPr>
              <w:noProof/>
            </w:rPr>
            <w:instrText xml:space="preserve"> PAGEREF _Toc475623604 \h </w:instrText>
          </w:r>
          <w:r w:rsidR="00FA1ADA">
            <w:rPr>
              <w:noProof/>
            </w:rPr>
          </w:r>
          <w:r w:rsidR="00FA1ADA">
            <w:rPr>
              <w:noProof/>
            </w:rPr>
            <w:fldChar w:fldCharType="separate"/>
          </w:r>
          <w:r w:rsidR="00FA1ADA">
            <w:rPr>
              <w:noProof/>
            </w:rPr>
            <w:t>1</w:t>
          </w:r>
          <w:r w:rsidR="00FA1ADA">
            <w:rPr>
              <w:noProof/>
            </w:rPr>
            <w:fldChar w:fldCharType="end"/>
          </w:r>
        </w:p>
        <w:p w14:paraId="5E085881" w14:textId="77777777" w:rsidR="00FA1ADA" w:rsidRDefault="00FA1ADA">
          <w:pPr>
            <w:pStyle w:val="TOC1"/>
            <w:tabs>
              <w:tab w:val="right" w:leader="dot" w:pos="9016"/>
            </w:tabs>
            <w:rPr>
              <w:b w:val="0"/>
              <w:caps w:val="0"/>
              <w:noProof/>
              <w:lang w:val="en-US"/>
            </w:rPr>
          </w:pPr>
          <w:r>
            <w:rPr>
              <w:noProof/>
            </w:rPr>
            <w:t>Submission on Question 1</w:t>
          </w:r>
          <w:r>
            <w:rPr>
              <w:noProof/>
            </w:rPr>
            <w:tab/>
          </w:r>
          <w:r>
            <w:rPr>
              <w:noProof/>
            </w:rPr>
            <w:fldChar w:fldCharType="begin"/>
          </w:r>
          <w:r>
            <w:rPr>
              <w:noProof/>
            </w:rPr>
            <w:instrText xml:space="preserve"> PAGEREF _Toc475623605 \h </w:instrText>
          </w:r>
          <w:r>
            <w:rPr>
              <w:noProof/>
            </w:rPr>
          </w:r>
          <w:r>
            <w:rPr>
              <w:noProof/>
            </w:rPr>
            <w:fldChar w:fldCharType="separate"/>
          </w:r>
          <w:r>
            <w:rPr>
              <w:noProof/>
            </w:rPr>
            <w:t>2</w:t>
          </w:r>
          <w:r>
            <w:rPr>
              <w:noProof/>
            </w:rPr>
            <w:fldChar w:fldCharType="end"/>
          </w:r>
        </w:p>
        <w:p w14:paraId="01383086" w14:textId="77777777" w:rsidR="00FA1ADA" w:rsidRDefault="00FA1ADA">
          <w:pPr>
            <w:pStyle w:val="TOC1"/>
            <w:tabs>
              <w:tab w:val="right" w:leader="dot" w:pos="9016"/>
            </w:tabs>
            <w:rPr>
              <w:b w:val="0"/>
              <w:caps w:val="0"/>
              <w:noProof/>
              <w:lang w:val="en-US"/>
            </w:rPr>
          </w:pPr>
          <w:r>
            <w:rPr>
              <w:noProof/>
            </w:rPr>
            <w:t>Submission on Question 2</w:t>
          </w:r>
          <w:r>
            <w:rPr>
              <w:noProof/>
            </w:rPr>
            <w:tab/>
          </w:r>
          <w:r>
            <w:rPr>
              <w:noProof/>
            </w:rPr>
            <w:fldChar w:fldCharType="begin"/>
          </w:r>
          <w:r>
            <w:rPr>
              <w:noProof/>
            </w:rPr>
            <w:instrText xml:space="preserve"> PAGEREF _Toc475623606 \h </w:instrText>
          </w:r>
          <w:r>
            <w:rPr>
              <w:noProof/>
            </w:rPr>
          </w:r>
          <w:r>
            <w:rPr>
              <w:noProof/>
            </w:rPr>
            <w:fldChar w:fldCharType="separate"/>
          </w:r>
          <w:r>
            <w:rPr>
              <w:noProof/>
            </w:rPr>
            <w:t>3</w:t>
          </w:r>
          <w:r>
            <w:rPr>
              <w:noProof/>
            </w:rPr>
            <w:fldChar w:fldCharType="end"/>
          </w:r>
        </w:p>
        <w:p w14:paraId="63AA281E" w14:textId="77777777" w:rsidR="00FA1ADA" w:rsidRDefault="00FA1ADA">
          <w:pPr>
            <w:pStyle w:val="TOC1"/>
            <w:tabs>
              <w:tab w:val="right" w:leader="dot" w:pos="9016"/>
            </w:tabs>
            <w:rPr>
              <w:b w:val="0"/>
              <w:caps w:val="0"/>
              <w:noProof/>
              <w:lang w:val="en-US"/>
            </w:rPr>
          </w:pPr>
          <w:r>
            <w:rPr>
              <w:noProof/>
            </w:rPr>
            <w:t>Submission on Question 4 and Question 6</w:t>
          </w:r>
          <w:r>
            <w:rPr>
              <w:noProof/>
            </w:rPr>
            <w:tab/>
          </w:r>
          <w:r>
            <w:rPr>
              <w:noProof/>
            </w:rPr>
            <w:fldChar w:fldCharType="begin"/>
          </w:r>
          <w:r>
            <w:rPr>
              <w:noProof/>
            </w:rPr>
            <w:instrText xml:space="preserve"> PAGEREF _Toc475623607 \h </w:instrText>
          </w:r>
          <w:r>
            <w:rPr>
              <w:noProof/>
            </w:rPr>
          </w:r>
          <w:r>
            <w:rPr>
              <w:noProof/>
            </w:rPr>
            <w:fldChar w:fldCharType="separate"/>
          </w:r>
          <w:r>
            <w:rPr>
              <w:noProof/>
            </w:rPr>
            <w:t>3</w:t>
          </w:r>
          <w:r>
            <w:rPr>
              <w:noProof/>
            </w:rPr>
            <w:fldChar w:fldCharType="end"/>
          </w:r>
        </w:p>
        <w:p w14:paraId="11D203E2" w14:textId="77777777" w:rsidR="00FA1ADA" w:rsidRDefault="00FA1ADA">
          <w:pPr>
            <w:pStyle w:val="TOC1"/>
            <w:tabs>
              <w:tab w:val="right" w:leader="dot" w:pos="9016"/>
            </w:tabs>
            <w:rPr>
              <w:b w:val="0"/>
              <w:caps w:val="0"/>
              <w:noProof/>
              <w:lang w:val="en-US"/>
            </w:rPr>
          </w:pPr>
          <w:r>
            <w:rPr>
              <w:noProof/>
            </w:rPr>
            <w:t>Submission on Question 11</w:t>
          </w:r>
          <w:r>
            <w:rPr>
              <w:noProof/>
            </w:rPr>
            <w:tab/>
          </w:r>
          <w:r>
            <w:rPr>
              <w:noProof/>
            </w:rPr>
            <w:fldChar w:fldCharType="begin"/>
          </w:r>
          <w:r>
            <w:rPr>
              <w:noProof/>
            </w:rPr>
            <w:instrText xml:space="preserve"> PAGEREF _Toc475623608 \h </w:instrText>
          </w:r>
          <w:r>
            <w:rPr>
              <w:noProof/>
            </w:rPr>
          </w:r>
          <w:r>
            <w:rPr>
              <w:noProof/>
            </w:rPr>
            <w:fldChar w:fldCharType="separate"/>
          </w:r>
          <w:r>
            <w:rPr>
              <w:noProof/>
            </w:rPr>
            <w:t>5</w:t>
          </w:r>
          <w:r>
            <w:rPr>
              <w:noProof/>
            </w:rPr>
            <w:fldChar w:fldCharType="end"/>
          </w:r>
        </w:p>
        <w:p w14:paraId="40EBB324" w14:textId="77777777" w:rsidR="00FA1ADA" w:rsidRDefault="00FA1ADA">
          <w:pPr>
            <w:pStyle w:val="TOC1"/>
            <w:tabs>
              <w:tab w:val="right" w:leader="dot" w:pos="9016"/>
            </w:tabs>
            <w:rPr>
              <w:b w:val="0"/>
              <w:caps w:val="0"/>
              <w:noProof/>
              <w:lang w:val="en-US"/>
            </w:rPr>
          </w:pPr>
          <w:r>
            <w:rPr>
              <w:noProof/>
            </w:rPr>
            <w:t>Submission on Question 29</w:t>
          </w:r>
          <w:r>
            <w:rPr>
              <w:noProof/>
            </w:rPr>
            <w:tab/>
          </w:r>
          <w:r>
            <w:rPr>
              <w:noProof/>
            </w:rPr>
            <w:fldChar w:fldCharType="begin"/>
          </w:r>
          <w:r>
            <w:rPr>
              <w:noProof/>
            </w:rPr>
            <w:instrText xml:space="preserve"> PAGEREF _Toc475623609 \h </w:instrText>
          </w:r>
          <w:r>
            <w:rPr>
              <w:noProof/>
            </w:rPr>
          </w:r>
          <w:r>
            <w:rPr>
              <w:noProof/>
            </w:rPr>
            <w:fldChar w:fldCharType="separate"/>
          </w:r>
          <w:r>
            <w:rPr>
              <w:noProof/>
            </w:rPr>
            <w:t>5</w:t>
          </w:r>
          <w:r>
            <w:rPr>
              <w:noProof/>
            </w:rPr>
            <w:fldChar w:fldCharType="end"/>
          </w:r>
        </w:p>
        <w:p w14:paraId="2D445534" w14:textId="77777777" w:rsidR="00FA1ADA" w:rsidRDefault="00FA1ADA">
          <w:pPr>
            <w:pStyle w:val="TOC1"/>
            <w:tabs>
              <w:tab w:val="right" w:leader="dot" w:pos="9016"/>
            </w:tabs>
            <w:rPr>
              <w:b w:val="0"/>
              <w:caps w:val="0"/>
              <w:noProof/>
              <w:lang w:val="en-US"/>
            </w:rPr>
          </w:pPr>
          <w:r>
            <w:rPr>
              <w:noProof/>
            </w:rPr>
            <w:t>Summary of submission</w:t>
          </w:r>
          <w:r>
            <w:rPr>
              <w:noProof/>
            </w:rPr>
            <w:tab/>
          </w:r>
          <w:r>
            <w:rPr>
              <w:noProof/>
            </w:rPr>
            <w:fldChar w:fldCharType="begin"/>
          </w:r>
          <w:r>
            <w:rPr>
              <w:noProof/>
            </w:rPr>
            <w:instrText xml:space="preserve"> PAGEREF _Toc475623610 \h </w:instrText>
          </w:r>
          <w:r>
            <w:rPr>
              <w:noProof/>
            </w:rPr>
          </w:r>
          <w:r>
            <w:rPr>
              <w:noProof/>
            </w:rPr>
            <w:fldChar w:fldCharType="separate"/>
          </w:r>
          <w:r>
            <w:rPr>
              <w:noProof/>
            </w:rPr>
            <w:t>1</w:t>
          </w:r>
          <w:r>
            <w:rPr>
              <w:noProof/>
            </w:rPr>
            <w:fldChar w:fldCharType="end"/>
          </w:r>
        </w:p>
        <w:p w14:paraId="31857FA9" w14:textId="77777777" w:rsidR="00FA1ADA" w:rsidRDefault="00FA1ADA">
          <w:pPr>
            <w:pStyle w:val="TOC1"/>
            <w:tabs>
              <w:tab w:val="right" w:leader="dot" w:pos="9016"/>
            </w:tabs>
            <w:rPr>
              <w:b w:val="0"/>
              <w:caps w:val="0"/>
              <w:noProof/>
              <w:lang w:val="en-US"/>
            </w:rPr>
          </w:pPr>
          <w:r>
            <w:rPr>
              <w:noProof/>
            </w:rPr>
            <w:t>Contact information</w:t>
          </w:r>
          <w:r>
            <w:rPr>
              <w:noProof/>
            </w:rPr>
            <w:tab/>
          </w:r>
          <w:r>
            <w:rPr>
              <w:noProof/>
            </w:rPr>
            <w:fldChar w:fldCharType="begin"/>
          </w:r>
          <w:r>
            <w:rPr>
              <w:noProof/>
            </w:rPr>
            <w:instrText xml:space="preserve"> PAGEREF _Toc475623611 \h </w:instrText>
          </w:r>
          <w:r>
            <w:rPr>
              <w:noProof/>
            </w:rPr>
          </w:r>
          <w:r>
            <w:rPr>
              <w:noProof/>
            </w:rPr>
            <w:fldChar w:fldCharType="separate"/>
          </w:r>
          <w:r>
            <w:rPr>
              <w:noProof/>
            </w:rPr>
            <w:t>1</w:t>
          </w:r>
          <w:r>
            <w:rPr>
              <w:noProof/>
            </w:rPr>
            <w:fldChar w:fldCharType="end"/>
          </w:r>
        </w:p>
        <w:p w14:paraId="129E3DF6" w14:textId="0AE50866" w:rsidR="00125078" w:rsidRPr="001A391B" w:rsidRDefault="004C1FA0" w:rsidP="00125078">
          <w:pPr>
            <w:rPr>
              <w:rFonts w:cs="Lucida Grande"/>
            </w:rPr>
          </w:pPr>
          <w:r>
            <w:rPr>
              <w:rFonts w:asciiTheme="minorHAnsi" w:hAnsiTheme="minorHAnsi"/>
              <w:caps/>
              <w:szCs w:val="22"/>
            </w:rPr>
            <w:fldChar w:fldCharType="end"/>
          </w:r>
        </w:p>
      </w:sdtContent>
    </w:sdt>
    <w:p w14:paraId="5BBBC8D4" w14:textId="77777777" w:rsidR="00125078" w:rsidRPr="001A391B" w:rsidRDefault="00125078" w:rsidP="00125078">
      <w:pPr>
        <w:rPr>
          <w:rFonts w:cs="Lucida Grande"/>
        </w:rPr>
      </w:pPr>
    </w:p>
    <w:p w14:paraId="4E144B46" w14:textId="77777777" w:rsidR="00125078" w:rsidRPr="001A391B" w:rsidRDefault="00125078" w:rsidP="00125078">
      <w:pPr>
        <w:rPr>
          <w:rFonts w:cs="Lucida Grande"/>
        </w:rPr>
        <w:sectPr w:rsidR="00125078" w:rsidRPr="001A391B" w:rsidSect="00125078">
          <w:headerReference w:type="default" r:id="rId17"/>
          <w:footerReference w:type="default" r:id="rId18"/>
          <w:footnotePr>
            <w:numFmt w:val="chicago"/>
          </w:footnotePr>
          <w:pgSz w:w="11906" w:h="16838" w:code="9"/>
          <w:pgMar w:top="1440" w:right="1440" w:bottom="1440" w:left="1440" w:header="425" w:footer="513" w:gutter="0"/>
          <w:pgNumType w:fmt="lowerRoman"/>
          <w:cols w:space="720"/>
          <w:noEndnote/>
          <w:titlePg/>
        </w:sectPr>
      </w:pPr>
    </w:p>
    <w:p w14:paraId="1B818323" w14:textId="2F97B410" w:rsidR="0032248E" w:rsidRDefault="0032248E" w:rsidP="0032248E">
      <w:pPr>
        <w:pStyle w:val="Heading1"/>
      </w:pPr>
      <w:bookmarkStart w:id="1" w:name="_Toc475623604"/>
      <w:r>
        <w:t>Summary of insights</w:t>
      </w:r>
      <w:bookmarkEnd w:id="1"/>
    </w:p>
    <w:p w14:paraId="52909541" w14:textId="77777777" w:rsidR="0032248E" w:rsidRDefault="0032248E" w:rsidP="0032248E"/>
    <w:p w14:paraId="0FBAB9A8" w14:textId="77777777" w:rsidR="0032248E" w:rsidRDefault="0032248E" w:rsidP="0032248E">
      <w:r>
        <w:t>Based on our current research, we share the following insights:</w:t>
      </w:r>
    </w:p>
    <w:p w14:paraId="097109BF" w14:textId="77777777" w:rsidR="0032248E" w:rsidRDefault="0032248E" w:rsidP="0032248E"/>
    <w:p w14:paraId="508FA234" w14:textId="77777777" w:rsidR="0032248E" w:rsidRDefault="0032248E" w:rsidP="0032248E">
      <w:r>
        <w:t>1.</w:t>
      </w:r>
      <w:r>
        <w:tab/>
        <w:t>The existing impact investing market lacks infrastructure. Platforms such as ‘social stock exchanges’ lay the ground work for a market by providing coordination, education and connection of a marketplace (although limited liquidity at this nascent stage) (Question 1, Question 2)</w:t>
      </w:r>
    </w:p>
    <w:p w14:paraId="314E791C" w14:textId="77777777" w:rsidR="0032248E" w:rsidRDefault="0032248E" w:rsidP="0032248E"/>
    <w:p w14:paraId="2A89074E" w14:textId="4A0967E2" w:rsidR="0032248E" w:rsidRDefault="0032248E" w:rsidP="0032248E">
      <w:r>
        <w:t>2.</w:t>
      </w:r>
      <w:r>
        <w:tab/>
        <w:t xml:space="preserve">A robust impact investing market needs diversity in types of investors, beyond PAFs. </w:t>
      </w:r>
      <w:r w:rsidR="0033778B">
        <w:t>I</w:t>
      </w:r>
      <w:r>
        <w:t>t is important to make impact investing available to more types of investors and individuals, building a pipeline of financing and investment</w:t>
      </w:r>
      <w:r w:rsidR="0033778B">
        <w:t xml:space="preserve"> options (e.g. linking to crowd-</w:t>
      </w:r>
      <w:r>
        <w:t>sourced equity platforms) (Question 2)</w:t>
      </w:r>
    </w:p>
    <w:p w14:paraId="65EA16E5" w14:textId="77777777" w:rsidR="0032248E" w:rsidRDefault="0032248E" w:rsidP="0032248E"/>
    <w:p w14:paraId="607D4E0B" w14:textId="59443ACB" w:rsidR="0032248E" w:rsidRDefault="0032248E" w:rsidP="0032248E">
      <w:r>
        <w:t>3.</w:t>
      </w:r>
      <w:r>
        <w:tab/>
        <w:t>Existing Australian corporate law enables the creation of Pty Ltd ‘Social Benefit Businesses’. The creation of a similar form to UK Community Interest Companies (CICs) may also assist in providing a greater diversity of investment opportunities and legitimacy to the broader impact investing/social enterprise market. (Question 2, Question 29)</w:t>
      </w:r>
    </w:p>
    <w:p w14:paraId="4227E9B1" w14:textId="77777777" w:rsidR="0032248E" w:rsidRDefault="0032248E" w:rsidP="0032248E"/>
    <w:p w14:paraId="103D0225" w14:textId="30E25C9B" w:rsidR="0032248E" w:rsidRDefault="0032248E" w:rsidP="0032248E">
      <w:r>
        <w:t>4.</w:t>
      </w:r>
      <w:r>
        <w:tab/>
        <w:t>The work of intermediaries in building the impact investing market needs to be supported with grants; in this early stage of market deve</w:t>
      </w:r>
      <w:r w:rsidR="007520CD">
        <w:t>lopment, the brokering of large-</w:t>
      </w:r>
      <w:r>
        <w:t>scale impact investment deals can take between 6-24 months.</w:t>
      </w:r>
      <w:r w:rsidR="0033778B">
        <w:t xml:space="preserve"> </w:t>
      </w:r>
      <w:r w:rsidR="0033778B" w:rsidRPr="00FA1ADA">
        <w:t>(Question</w:t>
      </w:r>
      <w:r w:rsidR="00FA1ADA">
        <w:t xml:space="preserve"> 4, Question 6)</w:t>
      </w:r>
      <w:r w:rsidR="0033778B">
        <w:t xml:space="preserve"> </w:t>
      </w:r>
    </w:p>
    <w:p w14:paraId="0F880CED" w14:textId="77777777" w:rsidR="0032248E" w:rsidRDefault="0032248E" w:rsidP="0032248E"/>
    <w:p w14:paraId="71649E83" w14:textId="45B185E5" w:rsidR="0032248E" w:rsidRDefault="0032248E" w:rsidP="0032248E">
      <w:r>
        <w:t>5.</w:t>
      </w:r>
      <w:r>
        <w:tab/>
        <w:t xml:space="preserve">The Australian market would benefit from tax incentives </w:t>
      </w:r>
      <w:r w:rsidR="007520CD">
        <w:t>similar to</w:t>
      </w:r>
      <w:r>
        <w:t xml:space="preserve"> the UK’s Social Investment Tax Relief, where investors can claim up to 30% of deal costs as a tax deduction. </w:t>
      </w:r>
      <w:r w:rsidR="00FA1ADA" w:rsidRPr="00FA1ADA">
        <w:t>(Question</w:t>
      </w:r>
      <w:r w:rsidR="00FA1ADA">
        <w:t xml:space="preserve"> 4, Question 6)</w:t>
      </w:r>
    </w:p>
    <w:p w14:paraId="3C21ED31" w14:textId="77777777" w:rsidR="0032248E" w:rsidRDefault="0032248E" w:rsidP="0032248E"/>
    <w:p w14:paraId="4F393828" w14:textId="4C4930FF" w:rsidR="0032248E" w:rsidRDefault="0032248E" w:rsidP="0032248E">
      <w:r>
        <w:t>6.</w:t>
      </w:r>
      <w:r>
        <w:tab/>
        <w:t>Funding for education and capacity building of social enterprises is also needed.</w:t>
      </w:r>
      <w:r w:rsidR="0033778B">
        <w:t xml:space="preserve"> </w:t>
      </w:r>
      <w:r w:rsidR="00FA1ADA" w:rsidRPr="00FA1ADA">
        <w:t>(Question</w:t>
      </w:r>
      <w:r w:rsidR="00FA1ADA">
        <w:t xml:space="preserve"> 4, Question 6)</w:t>
      </w:r>
    </w:p>
    <w:p w14:paraId="1F4EE7AB" w14:textId="77777777" w:rsidR="00DF3529" w:rsidRDefault="00DF3529" w:rsidP="0032248E"/>
    <w:p w14:paraId="311A3D8D" w14:textId="7C93B1AE" w:rsidR="00DF3529" w:rsidRPr="0032248E" w:rsidRDefault="00DF3529" w:rsidP="0032248E">
      <w:r>
        <w:t>7.</w:t>
      </w:r>
      <w:r>
        <w:tab/>
      </w:r>
      <w:r w:rsidRPr="00DF3529">
        <w:t>We support the four principle</w:t>
      </w:r>
      <w:r>
        <w:t>s outlined for impact investing</w:t>
      </w:r>
      <w:r w:rsidRPr="00DF3529">
        <w:t xml:space="preserve"> </w:t>
      </w:r>
      <w:r>
        <w:t xml:space="preserve">and suggest some </w:t>
      </w:r>
      <w:r w:rsidRPr="00DF3529">
        <w:t>extensions</w:t>
      </w:r>
      <w:r>
        <w:t>. (Question 11)</w:t>
      </w:r>
    </w:p>
    <w:p w14:paraId="1AE5AA5C" w14:textId="77777777" w:rsidR="0032248E" w:rsidRDefault="0032248E">
      <w:pPr>
        <w:spacing w:before="0" w:after="0"/>
        <w:jc w:val="left"/>
        <w:rPr>
          <w:rFonts w:eastAsiaTheme="majorEastAsia" w:cstheme="majorBidi"/>
          <w:b/>
          <w:bCs/>
          <w:color w:val="345A8A" w:themeColor="accent1" w:themeShade="B5"/>
          <w:sz w:val="32"/>
          <w:szCs w:val="32"/>
        </w:rPr>
      </w:pPr>
      <w:r>
        <w:br w:type="page"/>
      </w:r>
    </w:p>
    <w:p w14:paraId="39843B53" w14:textId="242E3949" w:rsidR="00D14206" w:rsidRDefault="0032248E" w:rsidP="00125078">
      <w:pPr>
        <w:pStyle w:val="Heading1"/>
      </w:pPr>
      <w:bookmarkStart w:id="2" w:name="_Toc475623605"/>
      <w:r>
        <w:t>Submission on Question 1</w:t>
      </w:r>
      <w:bookmarkEnd w:id="2"/>
    </w:p>
    <w:tbl>
      <w:tblPr>
        <w:tblStyle w:val="TableGrid"/>
        <w:tblW w:w="0" w:type="auto"/>
        <w:tblLook w:val="04A0" w:firstRow="1" w:lastRow="0" w:firstColumn="1" w:lastColumn="0" w:noHBand="0" w:noVBand="1"/>
      </w:tblPr>
      <w:tblGrid>
        <w:gridCol w:w="9236"/>
      </w:tblGrid>
      <w:tr w:rsidR="0032248E" w14:paraId="66A928DD" w14:textId="77777777" w:rsidTr="0032248E">
        <w:tc>
          <w:tcPr>
            <w:tcW w:w="9236" w:type="dxa"/>
          </w:tcPr>
          <w:p w14:paraId="0C7B0630" w14:textId="4F4F7BDB" w:rsidR="0032248E" w:rsidRDefault="0032248E" w:rsidP="0032248E">
            <w:r>
              <w:t>Question 1: What do you see as the main barriers to growth of the social impact investing market in Australia? How to these barriers differ from the perspective of investors, service providers and intermediaries?</w:t>
            </w:r>
          </w:p>
        </w:tc>
      </w:tr>
    </w:tbl>
    <w:p w14:paraId="1C586716" w14:textId="77777777" w:rsidR="0032248E" w:rsidRPr="0032248E" w:rsidRDefault="0032248E" w:rsidP="0032248E"/>
    <w:p w14:paraId="2E483B4B" w14:textId="3DEA134F" w:rsidR="0032248E" w:rsidRDefault="0032248E" w:rsidP="0032248E">
      <w:r w:rsidRPr="0032248E">
        <w:t xml:space="preserve">Based on original research and recent </w:t>
      </w:r>
      <w:r>
        <w:t xml:space="preserve">work </w:t>
      </w:r>
      <w:r w:rsidR="009C68F3">
        <w:t xml:space="preserve">conducted for the </w:t>
      </w:r>
      <w:r>
        <w:t>SEII</w:t>
      </w:r>
      <w:r w:rsidR="009C68F3">
        <w:t>I</w:t>
      </w:r>
      <w:r w:rsidRPr="0032248E">
        <w:t xml:space="preserve">, </w:t>
      </w:r>
      <w:r>
        <w:t xml:space="preserve">we have summarised </w:t>
      </w:r>
      <w:r w:rsidR="00FA1ADA">
        <w:t xml:space="preserve">our findings as to </w:t>
      </w:r>
      <w:r>
        <w:t>the barriers in the table below.</w:t>
      </w:r>
    </w:p>
    <w:p w14:paraId="2798F74A" w14:textId="77777777" w:rsidR="0032248E" w:rsidRDefault="0032248E" w:rsidP="0032248E"/>
    <w:tbl>
      <w:tblPr>
        <w:tblStyle w:val="TableGrid1"/>
        <w:tblW w:w="0" w:type="auto"/>
        <w:tblLook w:val="04A0" w:firstRow="1" w:lastRow="0" w:firstColumn="1" w:lastColumn="0" w:noHBand="0" w:noVBand="1"/>
      </w:tblPr>
      <w:tblGrid>
        <w:gridCol w:w="2795"/>
        <w:gridCol w:w="5702"/>
      </w:tblGrid>
      <w:tr w:rsidR="0032248E" w:rsidRPr="00FD2E5C" w14:paraId="2495FEC5" w14:textId="77777777" w:rsidTr="00F72429">
        <w:tc>
          <w:tcPr>
            <w:tcW w:w="2795" w:type="dxa"/>
          </w:tcPr>
          <w:p w14:paraId="271422F0" w14:textId="77777777" w:rsidR="0032248E" w:rsidRPr="00FD2E5C" w:rsidRDefault="0032248E" w:rsidP="00F72429">
            <w:pPr>
              <w:jc w:val="center"/>
              <w:rPr>
                <w:rFonts w:cs="Times New Roman"/>
                <w:b/>
                <w:lang w:val="en-US"/>
              </w:rPr>
            </w:pPr>
            <w:r w:rsidRPr="00FD2E5C">
              <w:rPr>
                <w:rFonts w:cs="Times New Roman"/>
                <w:b/>
                <w:lang w:val="en-US"/>
              </w:rPr>
              <w:t>Stakeholder (‘Market Participant’)</w:t>
            </w:r>
          </w:p>
        </w:tc>
        <w:tc>
          <w:tcPr>
            <w:tcW w:w="5702" w:type="dxa"/>
          </w:tcPr>
          <w:p w14:paraId="4A8D2A21" w14:textId="77777777" w:rsidR="0032248E" w:rsidRPr="00FD2E5C" w:rsidRDefault="0032248E" w:rsidP="00F72429">
            <w:pPr>
              <w:jc w:val="center"/>
              <w:rPr>
                <w:rFonts w:cs="Times New Roman"/>
                <w:b/>
                <w:lang w:val="en-US"/>
              </w:rPr>
            </w:pPr>
            <w:r w:rsidRPr="00FD2E5C">
              <w:rPr>
                <w:rFonts w:cs="Times New Roman"/>
                <w:b/>
                <w:lang w:val="en-US"/>
              </w:rPr>
              <w:t>Barriers</w:t>
            </w:r>
          </w:p>
        </w:tc>
      </w:tr>
      <w:tr w:rsidR="0032248E" w:rsidRPr="00FD2E5C" w14:paraId="1734F641" w14:textId="77777777" w:rsidTr="00F72429">
        <w:tc>
          <w:tcPr>
            <w:tcW w:w="2795" w:type="dxa"/>
          </w:tcPr>
          <w:p w14:paraId="295B89AF" w14:textId="77777777" w:rsidR="0032248E" w:rsidRPr="00FD2E5C" w:rsidRDefault="0032248E" w:rsidP="00F72429">
            <w:pPr>
              <w:rPr>
                <w:rFonts w:cs="Times New Roman"/>
                <w:lang w:val="en-US"/>
              </w:rPr>
            </w:pPr>
            <w:r w:rsidRPr="00FD2E5C">
              <w:rPr>
                <w:rFonts w:cs="Times New Roman"/>
                <w:lang w:val="en-US"/>
              </w:rPr>
              <w:t>Investors (institutional)</w:t>
            </w:r>
          </w:p>
        </w:tc>
        <w:tc>
          <w:tcPr>
            <w:tcW w:w="5702" w:type="dxa"/>
          </w:tcPr>
          <w:p w14:paraId="37BDC84E" w14:textId="77777777" w:rsidR="0032248E" w:rsidRPr="00FD2E5C" w:rsidRDefault="0032248E" w:rsidP="0017405C">
            <w:pPr>
              <w:numPr>
                <w:ilvl w:val="0"/>
                <w:numId w:val="4"/>
              </w:numPr>
              <w:spacing w:before="0" w:after="0"/>
              <w:contextualSpacing/>
              <w:jc w:val="left"/>
              <w:rPr>
                <w:rFonts w:cs="Times New Roman"/>
                <w:lang w:val="en-US"/>
              </w:rPr>
            </w:pPr>
            <w:r w:rsidRPr="00FD2E5C">
              <w:rPr>
                <w:rFonts w:cs="Times New Roman"/>
                <w:lang w:val="en-US"/>
              </w:rPr>
              <w:t>Finding impact investment deals</w:t>
            </w:r>
          </w:p>
          <w:p w14:paraId="06BA27FD" w14:textId="77777777" w:rsidR="0032248E" w:rsidRPr="00FD2E5C" w:rsidRDefault="0032248E" w:rsidP="0017405C">
            <w:pPr>
              <w:numPr>
                <w:ilvl w:val="0"/>
                <w:numId w:val="4"/>
              </w:numPr>
              <w:spacing w:before="0" w:after="0"/>
              <w:contextualSpacing/>
              <w:jc w:val="left"/>
              <w:rPr>
                <w:rFonts w:cs="Times New Roman"/>
                <w:lang w:val="en-US"/>
              </w:rPr>
            </w:pPr>
            <w:r w:rsidRPr="00FD2E5C">
              <w:rPr>
                <w:rFonts w:cs="Times New Roman"/>
                <w:lang w:val="en-US"/>
              </w:rPr>
              <w:t>Finding impact investment deals of sufficient scale (for institutional investors)</w:t>
            </w:r>
          </w:p>
          <w:p w14:paraId="503BEA13" w14:textId="77777777" w:rsidR="0032248E" w:rsidRPr="00FD2E5C" w:rsidRDefault="0032248E" w:rsidP="0017405C">
            <w:pPr>
              <w:numPr>
                <w:ilvl w:val="0"/>
                <w:numId w:val="4"/>
              </w:numPr>
              <w:spacing w:before="0" w:after="0"/>
              <w:contextualSpacing/>
              <w:jc w:val="left"/>
              <w:rPr>
                <w:rFonts w:cs="Times New Roman"/>
                <w:lang w:val="en-US"/>
              </w:rPr>
            </w:pPr>
            <w:r w:rsidRPr="00FD2E5C">
              <w:rPr>
                <w:rFonts w:cs="Times New Roman"/>
                <w:lang w:val="en-US"/>
              </w:rPr>
              <w:t xml:space="preserve">No real transparency of previous deals, so lack of data </w:t>
            </w:r>
            <w:r>
              <w:rPr>
                <w:rFonts w:cs="Times New Roman"/>
                <w:lang w:val="en-US"/>
              </w:rPr>
              <w:t>to inform</w:t>
            </w:r>
            <w:r w:rsidRPr="00FD2E5C">
              <w:rPr>
                <w:rFonts w:cs="Times New Roman"/>
                <w:lang w:val="en-US"/>
              </w:rPr>
              <w:t xml:space="preserve"> expectation</w:t>
            </w:r>
            <w:r>
              <w:rPr>
                <w:rFonts w:cs="Times New Roman"/>
                <w:lang w:val="en-US"/>
              </w:rPr>
              <w:t>s</w:t>
            </w:r>
          </w:p>
          <w:p w14:paraId="258FC2E8" w14:textId="77777777" w:rsidR="0032248E" w:rsidRPr="00FD2E5C" w:rsidRDefault="0032248E" w:rsidP="0017405C">
            <w:pPr>
              <w:numPr>
                <w:ilvl w:val="0"/>
                <w:numId w:val="4"/>
              </w:numPr>
              <w:spacing w:before="0" w:after="0"/>
              <w:contextualSpacing/>
              <w:jc w:val="left"/>
              <w:rPr>
                <w:rFonts w:cs="Times New Roman"/>
                <w:lang w:val="en-US"/>
              </w:rPr>
            </w:pPr>
            <w:r w:rsidRPr="00FD2E5C">
              <w:rPr>
                <w:rFonts w:cs="Times New Roman"/>
                <w:lang w:val="en-US"/>
              </w:rPr>
              <w:t>Lack of convergence on measurement of impact</w:t>
            </w:r>
          </w:p>
        </w:tc>
      </w:tr>
      <w:tr w:rsidR="0032248E" w:rsidRPr="00FD2E5C" w14:paraId="36C53639" w14:textId="77777777" w:rsidTr="00F72429">
        <w:tc>
          <w:tcPr>
            <w:tcW w:w="2795" w:type="dxa"/>
          </w:tcPr>
          <w:p w14:paraId="65D7E963" w14:textId="77777777" w:rsidR="0032248E" w:rsidRPr="00FD2E5C" w:rsidRDefault="0032248E" w:rsidP="00F72429">
            <w:pPr>
              <w:rPr>
                <w:rFonts w:cs="Times New Roman"/>
                <w:lang w:val="en-US"/>
              </w:rPr>
            </w:pPr>
            <w:r w:rsidRPr="00FD2E5C">
              <w:rPr>
                <w:rFonts w:cs="Times New Roman"/>
                <w:lang w:val="en-US"/>
              </w:rPr>
              <w:t>Investors (</w:t>
            </w:r>
            <w:r>
              <w:rPr>
                <w:rFonts w:cs="Times New Roman"/>
                <w:lang w:val="en-US"/>
              </w:rPr>
              <w:t>retail</w:t>
            </w:r>
            <w:r w:rsidRPr="00FD2E5C">
              <w:rPr>
                <w:rFonts w:cs="Times New Roman"/>
                <w:lang w:val="en-US"/>
              </w:rPr>
              <w:t>)</w:t>
            </w:r>
          </w:p>
        </w:tc>
        <w:tc>
          <w:tcPr>
            <w:tcW w:w="5702" w:type="dxa"/>
          </w:tcPr>
          <w:p w14:paraId="272169A3" w14:textId="77777777" w:rsidR="0032248E" w:rsidRPr="00FD2E5C" w:rsidRDefault="0032248E" w:rsidP="0017405C">
            <w:pPr>
              <w:numPr>
                <w:ilvl w:val="0"/>
                <w:numId w:val="5"/>
              </w:numPr>
              <w:spacing w:before="0" w:after="0"/>
              <w:contextualSpacing/>
              <w:jc w:val="left"/>
              <w:rPr>
                <w:rFonts w:cs="Times New Roman"/>
                <w:lang w:val="en-US"/>
              </w:rPr>
            </w:pPr>
            <w:r w:rsidRPr="00FD2E5C">
              <w:rPr>
                <w:rFonts w:cs="Times New Roman"/>
                <w:lang w:val="en-US"/>
              </w:rPr>
              <w:t>Only accredited investors can participate</w:t>
            </w:r>
            <w:r>
              <w:rPr>
                <w:rFonts w:cs="Times New Roman"/>
                <w:lang w:val="en-US"/>
              </w:rPr>
              <w:t xml:space="preserve"> at present</w:t>
            </w:r>
          </w:p>
          <w:p w14:paraId="47DE508E" w14:textId="77777777" w:rsidR="0032248E" w:rsidRPr="00FD2E5C" w:rsidRDefault="0032248E" w:rsidP="0017405C">
            <w:pPr>
              <w:numPr>
                <w:ilvl w:val="0"/>
                <w:numId w:val="5"/>
              </w:numPr>
              <w:spacing w:before="0" w:after="0"/>
              <w:contextualSpacing/>
              <w:jc w:val="left"/>
              <w:rPr>
                <w:rFonts w:cs="Times New Roman"/>
                <w:lang w:val="en-US"/>
              </w:rPr>
            </w:pPr>
            <w:r>
              <w:t xml:space="preserve">No investor incentives or support are available </w:t>
            </w:r>
          </w:p>
        </w:tc>
      </w:tr>
      <w:tr w:rsidR="0032248E" w:rsidRPr="00FD2E5C" w14:paraId="21C9196E" w14:textId="77777777" w:rsidTr="00F72429">
        <w:tc>
          <w:tcPr>
            <w:tcW w:w="2795" w:type="dxa"/>
          </w:tcPr>
          <w:p w14:paraId="46BDEBFE" w14:textId="77777777" w:rsidR="0032248E" w:rsidRPr="00FD2E5C" w:rsidRDefault="0032248E" w:rsidP="00F72429">
            <w:pPr>
              <w:rPr>
                <w:rFonts w:cs="Times New Roman"/>
                <w:lang w:val="en-US"/>
              </w:rPr>
            </w:pPr>
            <w:r w:rsidRPr="00FD2E5C">
              <w:rPr>
                <w:rFonts w:cs="Times New Roman"/>
                <w:lang w:val="en-US"/>
              </w:rPr>
              <w:t>Intermediaries</w:t>
            </w:r>
          </w:p>
        </w:tc>
        <w:tc>
          <w:tcPr>
            <w:tcW w:w="5702" w:type="dxa"/>
          </w:tcPr>
          <w:p w14:paraId="7F134D74" w14:textId="77777777" w:rsidR="0032248E" w:rsidRPr="00FD2E5C" w:rsidRDefault="0032248E" w:rsidP="0017405C">
            <w:pPr>
              <w:numPr>
                <w:ilvl w:val="0"/>
                <w:numId w:val="5"/>
              </w:numPr>
              <w:spacing w:before="0" w:after="0"/>
              <w:contextualSpacing/>
              <w:jc w:val="left"/>
              <w:rPr>
                <w:rFonts w:cs="Times New Roman"/>
                <w:lang w:val="en-US"/>
              </w:rPr>
            </w:pPr>
            <w:r w:rsidRPr="00FD2E5C">
              <w:rPr>
                <w:rFonts w:cs="Times New Roman"/>
                <w:lang w:val="en-US"/>
              </w:rPr>
              <w:t>Securing revenue stream for own business model</w:t>
            </w:r>
          </w:p>
          <w:p w14:paraId="228F67B5" w14:textId="77777777" w:rsidR="0032248E" w:rsidRPr="00FD2E5C" w:rsidRDefault="0032248E" w:rsidP="0017405C">
            <w:pPr>
              <w:numPr>
                <w:ilvl w:val="0"/>
                <w:numId w:val="5"/>
              </w:numPr>
              <w:spacing w:before="0" w:after="0"/>
              <w:contextualSpacing/>
              <w:jc w:val="left"/>
              <w:rPr>
                <w:rFonts w:cs="Times New Roman"/>
                <w:lang w:val="en-US"/>
              </w:rPr>
            </w:pPr>
            <w:r w:rsidRPr="00FD2E5C">
              <w:rPr>
                <w:rFonts w:cs="Times New Roman"/>
                <w:lang w:val="en-US"/>
              </w:rPr>
              <w:t>Length of time to educate investors</w:t>
            </w:r>
          </w:p>
          <w:p w14:paraId="728A5B4D" w14:textId="3B574EE4" w:rsidR="0032248E" w:rsidRPr="00FD2E5C" w:rsidRDefault="0032248E" w:rsidP="0017405C">
            <w:pPr>
              <w:numPr>
                <w:ilvl w:val="0"/>
                <w:numId w:val="5"/>
              </w:numPr>
              <w:spacing w:before="0" w:after="0"/>
              <w:contextualSpacing/>
              <w:jc w:val="left"/>
              <w:rPr>
                <w:rFonts w:cs="Times New Roman"/>
                <w:lang w:val="en-US"/>
              </w:rPr>
            </w:pPr>
            <w:r w:rsidRPr="00FD2E5C">
              <w:rPr>
                <w:rFonts w:cs="Times New Roman"/>
                <w:lang w:val="en-US"/>
              </w:rPr>
              <w:t>Length of time to develop enterprise</w:t>
            </w:r>
            <w:r w:rsidR="00BB4477">
              <w:rPr>
                <w:rFonts w:cs="Times New Roman"/>
                <w:lang w:val="en-US"/>
              </w:rPr>
              <w:t>s</w:t>
            </w:r>
          </w:p>
          <w:p w14:paraId="0C0E75C7" w14:textId="39ED951F" w:rsidR="0032248E" w:rsidRPr="00E40623" w:rsidRDefault="0032248E" w:rsidP="0017405C">
            <w:pPr>
              <w:numPr>
                <w:ilvl w:val="0"/>
                <w:numId w:val="5"/>
              </w:numPr>
              <w:spacing w:before="0" w:after="0"/>
              <w:contextualSpacing/>
              <w:jc w:val="left"/>
              <w:rPr>
                <w:rFonts w:eastAsia="MS Mincho" w:cs="Times New Roman"/>
                <w:szCs w:val="24"/>
                <w:lang w:val="en-US"/>
              </w:rPr>
            </w:pPr>
            <w:r w:rsidRPr="00FD2E5C">
              <w:rPr>
                <w:rFonts w:cs="Times New Roman"/>
                <w:lang w:val="en-US"/>
              </w:rPr>
              <w:t xml:space="preserve">Cost and length of time </w:t>
            </w:r>
            <w:r>
              <w:rPr>
                <w:rFonts w:cs="Times New Roman"/>
                <w:lang w:val="en-US"/>
              </w:rPr>
              <w:t xml:space="preserve">involved in designing and </w:t>
            </w:r>
            <w:r w:rsidRPr="002947AD">
              <w:rPr>
                <w:rFonts w:eastAsia="MS Mincho" w:cs="Times New Roman"/>
                <w:szCs w:val="24"/>
                <w:lang w:val="en-US"/>
              </w:rPr>
              <w:t>establishing deals</w:t>
            </w:r>
          </w:p>
        </w:tc>
      </w:tr>
      <w:tr w:rsidR="0032248E" w:rsidRPr="00823752" w14:paraId="73C311D5" w14:textId="77777777" w:rsidTr="00F72429">
        <w:tc>
          <w:tcPr>
            <w:tcW w:w="2795" w:type="dxa"/>
          </w:tcPr>
          <w:p w14:paraId="3AE14509" w14:textId="77777777" w:rsidR="0032248E" w:rsidRPr="00FD2E5C" w:rsidRDefault="0032248E" w:rsidP="00F72429">
            <w:pPr>
              <w:rPr>
                <w:rFonts w:cs="Times New Roman"/>
                <w:lang w:val="en-US"/>
              </w:rPr>
            </w:pPr>
            <w:r w:rsidRPr="00FD2E5C">
              <w:rPr>
                <w:rFonts w:cs="Times New Roman"/>
                <w:lang w:val="en-US"/>
              </w:rPr>
              <w:t>Service providers (social enterprises – for-profit)</w:t>
            </w:r>
          </w:p>
        </w:tc>
        <w:tc>
          <w:tcPr>
            <w:tcW w:w="5702" w:type="dxa"/>
          </w:tcPr>
          <w:p w14:paraId="6F224D52" w14:textId="77777777" w:rsidR="0032248E" w:rsidRPr="00FD2E5C" w:rsidRDefault="0032248E" w:rsidP="0017405C">
            <w:pPr>
              <w:numPr>
                <w:ilvl w:val="0"/>
                <w:numId w:val="7"/>
              </w:numPr>
              <w:spacing w:before="0" w:after="0"/>
              <w:contextualSpacing/>
              <w:jc w:val="left"/>
              <w:rPr>
                <w:rFonts w:cs="Times New Roman"/>
                <w:lang w:val="en-US"/>
              </w:rPr>
            </w:pPr>
            <w:r w:rsidRPr="00FD2E5C">
              <w:rPr>
                <w:rFonts w:cs="Times New Roman"/>
                <w:lang w:val="en-US"/>
              </w:rPr>
              <w:t>Burdensome requirements for impact measurement</w:t>
            </w:r>
          </w:p>
          <w:p w14:paraId="11FD47F1" w14:textId="77777777" w:rsidR="0032248E" w:rsidRDefault="0032248E" w:rsidP="0017405C">
            <w:pPr>
              <w:numPr>
                <w:ilvl w:val="0"/>
                <w:numId w:val="7"/>
              </w:numPr>
              <w:spacing w:before="0" w:after="0"/>
              <w:contextualSpacing/>
              <w:jc w:val="left"/>
              <w:rPr>
                <w:rFonts w:cs="Times New Roman"/>
                <w:lang w:val="en-US"/>
              </w:rPr>
            </w:pPr>
            <w:r w:rsidRPr="00FD2E5C">
              <w:rPr>
                <w:rFonts w:cs="Times New Roman"/>
                <w:lang w:val="en-US"/>
              </w:rPr>
              <w:t xml:space="preserve">Lack of </w:t>
            </w:r>
            <w:r>
              <w:rPr>
                <w:rFonts w:cs="Times New Roman"/>
                <w:lang w:val="en-US"/>
              </w:rPr>
              <w:t>access to smaller scale finance:</w:t>
            </w:r>
          </w:p>
          <w:p w14:paraId="3CBD937C" w14:textId="77777777" w:rsidR="0032248E" w:rsidRDefault="0032248E" w:rsidP="0017405C">
            <w:pPr>
              <w:numPr>
                <w:ilvl w:val="1"/>
                <w:numId w:val="7"/>
              </w:numPr>
              <w:spacing w:before="0" w:after="0"/>
              <w:contextualSpacing/>
              <w:jc w:val="left"/>
              <w:rPr>
                <w:rFonts w:cs="Times New Roman"/>
                <w:lang w:val="en-US"/>
              </w:rPr>
            </w:pPr>
            <w:r>
              <w:rPr>
                <w:rFonts w:cs="Times New Roman"/>
                <w:lang w:val="en-US"/>
              </w:rPr>
              <w:t>I</w:t>
            </w:r>
            <w:r w:rsidRPr="00FD2E5C">
              <w:rPr>
                <w:rFonts w:cs="Times New Roman"/>
                <w:lang w:val="en-US"/>
              </w:rPr>
              <w:t xml:space="preserve">mpact investors </w:t>
            </w:r>
            <w:r>
              <w:rPr>
                <w:rFonts w:cs="Times New Roman"/>
                <w:lang w:val="en-US"/>
              </w:rPr>
              <w:t>often offer n</w:t>
            </w:r>
            <w:r w:rsidRPr="00FD2E5C">
              <w:rPr>
                <w:rFonts w:cs="Times New Roman"/>
                <w:lang w:val="en-US"/>
              </w:rPr>
              <w:t xml:space="preserve">on-competitive </w:t>
            </w:r>
            <w:r>
              <w:rPr>
                <w:rFonts w:cs="Times New Roman"/>
                <w:lang w:val="en-US"/>
              </w:rPr>
              <w:t xml:space="preserve">interest </w:t>
            </w:r>
            <w:r w:rsidRPr="00FD2E5C">
              <w:rPr>
                <w:rFonts w:cs="Times New Roman"/>
                <w:lang w:val="en-US"/>
              </w:rPr>
              <w:t xml:space="preserve">rates compared to mainstream commercial finance </w:t>
            </w:r>
          </w:p>
          <w:p w14:paraId="4FCFD8F5" w14:textId="77777777" w:rsidR="0032248E" w:rsidRPr="00823752" w:rsidRDefault="0032248E" w:rsidP="0017405C">
            <w:pPr>
              <w:numPr>
                <w:ilvl w:val="1"/>
                <w:numId w:val="7"/>
              </w:numPr>
              <w:spacing w:before="0" w:after="0"/>
              <w:contextualSpacing/>
              <w:jc w:val="left"/>
              <w:rPr>
                <w:rFonts w:eastAsia="MS Mincho" w:cs="Times New Roman"/>
                <w:szCs w:val="24"/>
                <w:lang w:val="en-US"/>
              </w:rPr>
            </w:pPr>
            <w:r>
              <w:rPr>
                <w:rFonts w:cs="Times New Roman"/>
                <w:lang w:val="en-US"/>
              </w:rPr>
              <w:t>There are barriers to equity investment for both institutional and retail investors, as noted above</w:t>
            </w:r>
          </w:p>
        </w:tc>
      </w:tr>
      <w:tr w:rsidR="0032248E" w:rsidRPr="00FD2E5C" w14:paraId="7D826351" w14:textId="77777777" w:rsidTr="00F72429">
        <w:tc>
          <w:tcPr>
            <w:tcW w:w="2795" w:type="dxa"/>
          </w:tcPr>
          <w:p w14:paraId="1D9008A0" w14:textId="77777777" w:rsidR="0032248E" w:rsidRPr="00FD2E5C" w:rsidRDefault="0032248E" w:rsidP="00F72429">
            <w:pPr>
              <w:rPr>
                <w:rFonts w:cs="Times New Roman"/>
                <w:lang w:val="en-US"/>
              </w:rPr>
            </w:pPr>
            <w:r w:rsidRPr="00FD2E5C">
              <w:rPr>
                <w:rFonts w:cs="Times New Roman"/>
                <w:lang w:val="en-US"/>
              </w:rPr>
              <w:t>Service providers (DGR, non-profit)</w:t>
            </w:r>
          </w:p>
        </w:tc>
        <w:tc>
          <w:tcPr>
            <w:tcW w:w="5702" w:type="dxa"/>
          </w:tcPr>
          <w:p w14:paraId="39A79959" w14:textId="77777777" w:rsidR="0032248E" w:rsidRPr="00FD2E5C" w:rsidRDefault="0032248E" w:rsidP="0017405C">
            <w:pPr>
              <w:numPr>
                <w:ilvl w:val="0"/>
                <w:numId w:val="8"/>
              </w:numPr>
              <w:spacing w:before="0" w:after="0"/>
              <w:contextualSpacing/>
              <w:jc w:val="left"/>
              <w:rPr>
                <w:rFonts w:cs="Times New Roman"/>
                <w:lang w:val="en-US"/>
              </w:rPr>
            </w:pPr>
            <w:r w:rsidRPr="00FD2E5C">
              <w:rPr>
                <w:rFonts w:cs="Times New Roman"/>
                <w:lang w:val="en-US"/>
              </w:rPr>
              <w:t>Restrict</w:t>
            </w:r>
            <w:r>
              <w:rPr>
                <w:rFonts w:cs="Times New Roman"/>
                <w:lang w:val="en-US"/>
              </w:rPr>
              <w:t>ed by constitution as to methods of financing</w:t>
            </w:r>
          </w:p>
          <w:p w14:paraId="6DB2C026" w14:textId="77777777" w:rsidR="0032248E" w:rsidRPr="00FD2E5C" w:rsidRDefault="0032248E" w:rsidP="0017405C">
            <w:pPr>
              <w:numPr>
                <w:ilvl w:val="0"/>
                <w:numId w:val="8"/>
              </w:numPr>
              <w:spacing w:before="0" w:after="0"/>
              <w:contextualSpacing/>
              <w:jc w:val="left"/>
              <w:rPr>
                <w:rFonts w:cs="Times New Roman"/>
                <w:lang w:val="en-US"/>
              </w:rPr>
            </w:pPr>
            <w:r>
              <w:rPr>
                <w:rFonts w:cs="Times New Roman"/>
                <w:lang w:val="en-US"/>
              </w:rPr>
              <w:t>Traditional o</w:t>
            </w:r>
            <w:r w:rsidRPr="005C7E65">
              <w:rPr>
                <w:rFonts w:cs="Times New Roman"/>
                <w:lang w:val="en-US"/>
              </w:rPr>
              <w:t xml:space="preserve">perating model is to accept grants and donations: </w:t>
            </w:r>
            <w:r w:rsidRPr="00FD2E5C">
              <w:rPr>
                <w:rFonts w:cs="Times New Roman"/>
                <w:lang w:val="en-US"/>
              </w:rPr>
              <w:t>imp</w:t>
            </w:r>
            <w:r>
              <w:rPr>
                <w:rFonts w:cs="Times New Roman"/>
                <w:lang w:val="en-US"/>
              </w:rPr>
              <w:t>act</w:t>
            </w:r>
            <w:r w:rsidRPr="00FD2E5C">
              <w:rPr>
                <w:rFonts w:cs="Times New Roman"/>
                <w:lang w:val="en-US"/>
              </w:rPr>
              <w:t xml:space="preserve"> inv</w:t>
            </w:r>
            <w:r>
              <w:rPr>
                <w:rFonts w:cs="Times New Roman"/>
                <w:lang w:val="en-US"/>
              </w:rPr>
              <w:t>esting can be</w:t>
            </w:r>
            <w:r w:rsidRPr="00FD2E5C">
              <w:rPr>
                <w:rFonts w:cs="Times New Roman"/>
                <w:lang w:val="en-US"/>
              </w:rPr>
              <w:t xml:space="preserve"> too </w:t>
            </w:r>
            <w:r>
              <w:rPr>
                <w:rFonts w:cs="Times New Roman"/>
                <w:lang w:val="en-US"/>
              </w:rPr>
              <w:t>complicated for some of these organisations</w:t>
            </w:r>
          </w:p>
        </w:tc>
      </w:tr>
    </w:tbl>
    <w:p w14:paraId="1C65B0EF" w14:textId="77777777" w:rsidR="0032248E" w:rsidRDefault="0032248E" w:rsidP="0032248E"/>
    <w:p w14:paraId="3123A441" w14:textId="77777777" w:rsidR="00BB4477" w:rsidRDefault="00BB4477">
      <w:pPr>
        <w:spacing w:before="0" w:after="0"/>
        <w:jc w:val="left"/>
        <w:rPr>
          <w:rFonts w:eastAsiaTheme="majorEastAsia" w:cstheme="majorBidi"/>
          <w:b/>
          <w:bCs/>
          <w:color w:val="345A8A" w:themeColor="accent1" w:themeShade="B5"/>
          <w:sz w:val="32"/>
          <w:szCs w:val="32"/>
        </w:rPr>
      </w:pPr>
      <w:bookmarkStart w:id="3" w:name="_Toc475623606"/>
      <w:r>
        <w:br w:type="page"/>
      </w:r>
    </w:p>
    <w:p w14:paraId="2ED273CE" w14:textId="1F7A47DD" w:rsidR="0032248E" w:rsidRDefault="0032248E" w:rsidP="0032248E">
      <w:pPr>
        <w:pStyle w:val="Heading1"/>
      </w:pPr>
      <w:r>
        <w:t>Submission on Question 2</w:t>
      </w:r>
      <w:bookmarkEnd w:id="3"/>
    </w:p>
    <w:tbl>
      <w:tblPr>
        <w:tblStyle w:val="TableGrid"/>
        <w:tblW w:w="0" w:type="auto"/>
        <w:tblLook w:val="04A0" w:firstRow="1" w:lastRow="0" w:firstColumn="1" w:lastColumn="0" w:noHBand="0" w:noVBand="1"/>
      </w:tblPr>
      <w:tblGrid>
        <w:gridCol w:w="9236"/>
      </w:tblGrid>
      <w:tr w:rsidR="0032248E" w14:paraId="6387E388" w14:textId="77777777" w:rsidTr="00F72429">
        <w:tc>
          <w:tcPr>
            <w:tcW w:w="9236" w:type="dxa"/>
          </w:tcPr>
          <w:p w14:paraId="5AB16BF8" w14:textId="065BACD7" w:rsidR="0032248E" w:rsidRDefault="0032248E" w:rsidP="00F72429">
            <w:r w:rsidRPr="0032248E">
              <w:t>Question 2. What do you see as the future for impact investing in Australia: for example, can you foresee the development of new structures for impact investing?</w:t>
            </w:r>
          </w:p>
        </w:tc>
      </w:tr>
    </w:tbl>
    <w:p w14:paraId="50FE50FA" w14:textId="42703B1F" w:rsidR="0032248E" w:rsidRDefault="0032248E" w:rsidP="0032248E"/>
    <w:p w14:paraId="5C6CBCBE" w14:textId="77777777" w:rsidR="0099645D" w:rsidRPr="0099645D" w:rsidRDefault="0099645D" w:rsidP="0099645D">
      <w:pPr>
        <w:pStyle w:val="Bullet"/>
        <w:rPr>
          <w:lang w:val="en-US"/>
        </w:rPr>
      </w:pPr>
      <w:r w:rsidRPr="0099645D">
        <w:rPr>
          <w:lang w:val="en-US"/>
        </w:rPr>
        <w:t xml:space="preserve">The impact investing market in Australia is at a nascent stage of development. </w:t>
      </w:r>
      <w:r w:rsidRPr="0099645D">
        <w:rPr>
          <w:b/>
          <w:lang w:val="en-US"/>
        </w:rPr>
        <w:t>It currently lacks market infrastructure</w:t>
      </w:r>
      <w:r w:rsidRPr="0099645D">
        <w:rPr>
          <w:lang w:val="en-US"/>
        </w:rPr>
        <w:t xml:space="preserve">, such as platforms that connect supply and demand (for example, social stock exchanges), transparency around brokers and intermediaries, and clarity on impact measurement options. </w:t>
      </w:r>
    </w:p>
    <w:p w14:paraId="5291B830" w14:textId="0D84F60D" w:rsidR="0099645D" w:rsidRPr="0099645D" w:rsidRDefault="0099645D" w:rsidP="0099645D">
      <w:pPr>
        <w:pStyle w:val="Bullet"/>
        <w:rPr>
          <w:lang w:val="en-US"/>
        </w:rPr>
      </w:pPr>
      <w:r w:rsidRPr="0099645D">
        <w:rPr>
          <w:b/>
          <w:lang w:val="en-US"/>
        </w:rPr>
        <w:t>Our current research</w:t>
      </w:r>
      <w:r w:rsidRPr="0099645D">
        <w:rPr>
          <w:b/>
          <w:vertAlign w:val="superscript"/>
          <w:lang w:val="en-US"/>
        </w:rPr>
        <w:footnoteReference w:id="1"/>
      </w:r>
      <w:r w:rsidRPr="0099645D">
        <w:rPr>
          <w:b/>
          <w:lang w:val="en-US"/>
        </w:rPr>
        <w:t xml:space="preserve"> on platforms such as social stock exchanges indicates that, while they may not provide</w:t>
      </w:r>
      <w:r w:rsidR="00BB4477">
        <w:rPr>
          <w:b/>
          <w:lang w:val="en-US"/>
        </w:rPr>
        <w:t xml:space="preserve"> liquidity in the market, they </w:t>
      </w:r>
      <w:r w:rsidRPr="0099645D">
        <w:rPr>
          <w:b/>
          <w:lang w:val="en-US"/>
        </w:rPr>
        <w:t>do provide essential infrastructure</w:t>
      </w:r>
      <w:r w:rsidRPr="0099645D">
        <w:rPr>
          <w:lang w:val="en-US"/>
        </w:rPr>
        <w:t xml:space="preserve">, coordinate, convene, educate and establish expectations and norms (for enterprises and investors) around required impact, returns, and deal structures. </w:t>
      </w:r>
    </w:p>
    <w:p w14:paraId="3B53EA3F" w14:textId="77777777" w:rsidR="0099645D" w:rsidRPr="0099645D" w:rsidRDefault="0099645D" w:rsidP="0099645D">
      <w:pPr>
        <w:pStyle w:val="Bullet"/>
        <w:rPr>
          <w:lang w:val="en-US"/>
        </w:rPr>
      </w:pPr>
      <w:r w:rsidRPr="0099645D">
        <w:rPr>
          <w:lang w:val="en-US"/>
        </w:rPr>
        <w:t xml:space="preserve">There is opportunity for </w:t>
      </w:r>
      <w:r w:rsidRPr="0099645D">
        <w:rPr>
          <w:b/>
          <w:lang w:val="en-US"/>
        </w:rPr>
        <w:t>Government to participate</w:t>
      </w:r>
      <w:r w:rsidRPr="0099645D">
        <w:rPr>
          <w:lang w:val="en-US"/>
        </w:rPr>
        <w:t xml:space="preserve"> as an investor, through blended finance deals (e.g. being a first loss investor), in continuing to engage in products such as social impact bonds (and importantly making those deals and learnings available to the wider market), and also in educating and building quality into the market (e.g. smaller funds and grants to support intermediaries to broker and test deals). </w:t>
      </w:r>
    </w:p>
    <w:p w14:paraId="1D4E4071" w14:textId="70FC7EFB" w:rsidR="0099645D" w:rsidRPr="0099645D" w:rsidRDefault="0099645D" w:rsidP="0099645D">
      <w:pPr>
        <w:pStyle w:val="Bullet"/>
        <w:rPr>
          <w:lang w:val="en-US"/>
        </w:rPr>
      </w:pPr>
      <w:r w:rsidRPr="0099645D">
        <w:rPr>
          <w:b/>
          <w:lang w:val="en-US"/>
        </w:rPr>
        <w:t>Diversity of investors is also needed</w:t>
      </w:r>
      <w:r w:rsidRPr="0099645D">
        <w:rPr>
          <w:lang w:val="en-US"/>
        </w:rPr>
        <w:t xml:space="preserve"> – beyond PAFs – in order to provide an investment pipeline for enterprises. We suggest that new categories of investors (e.g. ‘sophisticated</w:t>
      </w:r>
      <w:r w:rsidR="00A00501">
        <w:rPr>
          <w:lang w:val="en-US"/>
        </w:rPr>
        <w:t xml:space="preserve"> investor</w:t>
      </w:r>
      <w:r w:rsidRPr="0099645D">
        <w:rPr>
          <w:lang w:val="en-US"/>
        </w:rPr>
        <w:t xml:space="preserve">’ as in the UK crowd funding market, or opportunities provided to individuals </w:t>
      </w:r>
      <w:r w:rsidR="00A00501">
        <w:rPr>
          <w:lang w:val="en-US"/>
        </w:rPr>
        <w:t>under</w:t>
      </w:r>
      <w:r w:rsidRPr="0099645D">
        <w:rPr>
          <w:lang w:val="en-US"/>
        </w:rPr>
        <w:t xml:space="preserve"> the USA JOBS Act to i</w:t>
      </w:r>
      <w:r w:rsidR="00A00501">
        <w:rPr>
          <w:lang w:val="en-US"/>
        </w:rPr>
        <w:t>nvest up to $2,000 per year</w:t>
      </w:r>
      <w:r w:rsidRPr="0099645D">
        <w:rPr>
          <w:lang w:val="en-US"/>
        </w:rPr>
        <w:t xml:space="preserve">) are necessary for deal flow. </w:t>
      </w:r>
    </w:p>
    <w:p w14:paraId="6F30BB75" w14:textId="6A45812A" w:rsidR="0032248E" w:rsidRPr="0032248E" w:rsidRDefault="0032248E" w:rsidP="0099645D">
      <w:pPr>
        <w:pStyle w:val="Bullet"/>
        <w:numPr>
          <w:ilvl w:val="0"/>
          <w:numId w:val="0"/>
        </w:numPr>
        <w:ind w:left="360"/>
      </w:pPr>
    </w:p>
    <w:p w14:paraId="66BC2719" w14:textId="7E83A7FB" w:rsidR="0032248E" w:rsidRDefault="0032248E" w:rsidP="0032248E">
      <w:pPr>
        <w:pStyle w:val="Heading1"/>
      </w:pPr>
      <w:bookmarkStart w:id="4" w:name="_Toc475623607"/>
      <w:r w:rsidRPr="009C68F3">
        <w:t>Submission on Question 4</w:t>
      </w:r>
      <w:r w:rsidR="009C68F3">
        <w:t xml:space="preserve"> and </w:t>
      </w:r>
      <w:r w:rsidRPr="009C68F3">
        <w:t>Question 6</w:t>
      </w:r>
      <w:bookmarkEnd w:id="4"/>
    </w:p>
    <w:tbl>
      <w:tblPr>
        <w:tblStyle w:val="TableGrid"/>
        <w:tblW w:w="0" w:type="auto"/>
        <w:tblLook w:val="04A0" w:firstRow="1" w:lastRow="0" w:firstColumn="1" w:lastColumn="0" w:noHBand="0" w:noVBand="1"/>
      </w:tblPr>
      <w:tblGrid>
        <w:gridCol w:w="9236"/>
      </w:tblGrid>
      <w:tr w:rsidR="0032248E" w14:paraId="15B6DF18" w14:textId="77777777" w:rsidTr="00F72429">
        <w:tc>
          <w:tcPr>
            <w:tcW w:w="9236" w:type="dxa"/>
          </w:tcPr>
          <w:p w14:paraId="25E67AFC" w14:textId="77777777" w:rsidR="009C68F3" w:rsidRDefault="009C68F3" w:rsidP="0032248E">
            <w:r>
              <w:t>Question 4. What do you see as the role of the Australian Government in developing the social impact investing market?</w:t>
            </w:r>
          </w:p>
          <w:p w14:paraId="5B34DAB3" w14:textId="3491CE3F" w:rsidR="0032248E" w:rsidRDefault="0032248E" w:rsidP="0032248E">
            <w:r>
              <w:t>Question 6. Are there areas where funding through a social investment framework may generate more effective and efficient policy outcomes than direct grant funding?</w:t>
            </w:r>
          </w:p>
        </w:tc>
      </w:tr>
    </w:tbl>
    <w:p w14:paraId="23995BEF" w14:textId="77777777" w:rsidR="0032248E" w:rsidRDefault="0032248E" w:rsidP="0032248E"/>
    <w:p w14:paraId="310DAEF5" w14:textId="77777777" w:rsidR="009C68F3" w:rsidRDefault="009C68F3" w:rsidP="009C68F3">
      <w:pPr>
        <w:rPr>
          <w:lang w:val="en-US"/>
        </w:rPr>
      </w:pPr>
      <w:r>
        <w:rPr>
          <w:lang w:val="en-US"/>
        </w:rPr>
        <w:t>In this section, we respond to two issues:</w:t>
      </w:r>
    </w:p>
    <w:p w14:paraId="4DB84592" w14:textId="3DAED4D4" w:rsidR="0099645D" w:rsidRDefault="009C68F3" w:rsidP="009C68F3">
      <w:pPr>
        <w:pStyle w:val="Bullet"/>
        <w:rPr>
          <w:lang w:val="en-US"/>
        </w:rPr>
      </w:pPr>
      <w:r>
        <w:rPr>
          <w:lang w:val="en-US"/>
        </w:rPr>
        <w:t>What is the role of Government in developing the social impact investing market (Question 4)?; and</w:t>
      </w:r>
    </w:p>
    <w:p w14:paraId="7BE58126" w14:textId="45468CC0" w:rsidR="009C68F3" w:rsidRDefault="009C68F3" w:rsidP="009C68F3">
      <w:pPr>
        <w:pStyle w:val="Bullet"/>
        <w:rPr>
          <w:lang w:val="en-US"/>
        </w:rPr>
      </w:pPr>
      <w:r>
        <w:rPr>
          <w:lang w:val="en-US"/>
        </w:rPr>
        <w:t>Are there ways that Government can support the development of a social impact investing market other than through direct grant funding (Question 6)?</w:t>
      </w:r>
    </w:p>
    <w:p w14:paraId="0FB16C37" w14:textId="4DE18274" w:rsidR="009C68F3" w:rsidRPr="0099645D" w:rsidRDefault="009C68F3" w:rsidP="009C68F3">
      <w:pPr>
        <w:rPr>
          <w:lang w:val="en-US"/>
        </w:rPr>
      </w:pPr>
      <w:r w:rsidRPr="0099645D">
        <w:rPr>
          <w:lang w:val="en-US"/>
        </w:rPr>
        <w:t xml:space="preserve">It is our view that the Australian Government has a critical role to play in creating an enabling environment for private sector-led social impact investing as well as being a participant in the market. This enabling role is acknowledged in the Introduction to the Discussion Paper </w:t>
      </w:r>
      <w:r>
        <w:rPr>
          <w:lang w:val="en-US"/>
        </w:rPr>
        <w:t xml:space="preserve">and merits </w:t>
      </w:r>
      <w:r w:rsidRPr="0099645D">
        <w:rPr>
          <w:lang w:val="en-US"/>
        </w:rPr>
        <w:t xml:space="preserve">detailed consideration. Based on our research, </w:t>
      </w:r>
      <w:r w:rsidR="00DF6B2D">
        <w:rPr>
          <w:lang w:val="en-US"/>
        </w:rPr>
        <w:t>t</w:t>
      </w:r>
      <w:r w:rsidRPr="0099645D">
        <w:rPr>
          <w:lang w:val="en-US"/>
        </w:rPr>
        <w:t>here are a number of potential areas for action.</w:t>
      </w:r>
    </w:p>
    <w:p w14:paraId="58A2047A" w14:textId="77777777" w:rsidR="009C68F3" w:rsidRPr="0099645D" w:rsidRDefault="009C68F3" w:rsidP="009C68F3">
      <w:pPr>
        <w:rPr>
          <w:lang w:val="en-US"/>
        </w:rPr>
      </w:pPr>
    </w:p>
    <w:p w14:paraId="3151BFE4" w14:textId="77777777" w:rsidR="0099645D" w:rsidRPr="00F67914" w:rsidRDefault="0099645D" w:rsidP="00F67914">
      <w:pPr>
        <w:rPr>
          <w:b/>
          <w:lang w:val="en-US"/>
        </w:rPr>
      </w:pPr>
      <w:r w:rsidRPr="00F67914">
        <w:rPr>
          <w:b/>
          <w:lang w:val="en-US"/>
        </w:rPr>
        <w:t>1. Funding of intermediaries to develop deals</w:t>
      </w:r>
    </w:p>
    <w:p w14:paraId="283B5D1B" w14:textId="77777777" w:rsidR="0099645D" w:rsidRPr="0099645D" w:rsidRDefault="0099645D" w:rsidP="00F67914">
      <w:pPr>
        <w:pStyle w:val="Bullet"/>
        <w:rPr>
          <w:lang w:val="en-US"/>
        </w:rPr>
      </w:pPr>
      <w:r w:rsidRPr="0099645D">
        <w:rPr>
          <w:lang w:val="en-US"/>
        </w:rPr>
        <w:t xml:space="preserve">Funding of intermediaries and pools of funding to trial deals: necessary for market development are the brokers and intermediaries to develop deals. Given that impact investing deals (such as social impact bonds) can take 6-24 months to develop, funding support (in terms of grants) would assist here. Currently intermediaries struggle to develop sustainable business models to support this work, hindering deal flow.  </w:t>
      </w:r>
    </w:p>
    <w:p w14:paraId="086F8F08" w14:textId="77777777" w:rsidR="0099645D" w:rsidRPr="0099645D" w:rsidRDefault="0099645D" w:rsidP="00F67914">
      <w:pPr>
        <w:pStyle w:val="Bullet"/>
        <w:rPr>
          <w:lang w:val="en-US"/>
        </w:rPr>
      </w:pPr>
      <w:r w:rsidRPr="0099645D">
        <w:rPr>
          <w:lang w:val="en-US"/>
        </w:rPr>
        <w:t>For example, Convergence, a large sized wholesale fund based in Canada is an investor that also provides a small fund to support intermediaries to develop and test deals. Convergence will award a minimum of CAD 10M in design grants over the next five years, and this initial funding is provided by the Government of Canada.</w:t>
      </w:r>
      <w:r w:rsidRPr="0099645D">
        <w:rPr>
          <w:vertAlign w:val="superscript"/>
          <w:lang w:val="en-US"/>
        </w:rPr>
        <w:footnoteReference w:id="2"/>
      </w:r>
    </w:p>
    <w:p w14:paraId="3ACEDE8D" w14:textId="77777777" w:rsidR="0099645D" w:rsidRPr="0099645D" w:rsidRDefault="0099645D" w:rsidP="00F67914">
      <w:pPr>
        <w:pStyle w:val="Bullet"/>
        <w:rPr>
          <w:lang w:val="en-US"/>
        </w:rPr>
      </w:pPr>
      <w:r w:rsidRPr="0099645D">
        <w:rPr>
          <w:b/>
          <w:lang w:val="en-US"/>
        </w:rPr>
        <w:t>This support for intermediaries is currently missing in the Australian market.</w:t>
      </w:r>
      <w:r w:rsidRPr="0099645D">
        <w:rPr>
          <w:lang w:val="en-US"/>
        </w:rPr>
        <w:t xml:space="preserve"> </w:t>
      </w:r>
    </w:p>
    <w:p w14:paraId="2D3CAD5A" w14:textId="77777777" w:rsidR="0099645D" w:rsidRPr="0099645D" w:rsidRDefault="0099645D" w:rsidP="0099645D">
      <w:pPr>
        <w:spacing w:before="0" w:after="0"/>
        <w:ind w:left="720"/>
        <w:contextualSpacing/>
        <w:jc w:val="left"/>
        <w:rPr>
          <w:rFonts w:asciiTheme="minorHAnsi" w:hAnsiTheme="minorHAnsi"/>
          <w:sz w:val="24"/>
          <w:lang w:val="en-US"/>
        </w:rPr>
      </w:pPr>
    </w:p>
    <w:p w14:paraId="0BD31F47" w14:textId="77777777" w:rsidR="0099645D" w:rsidRPr="00F67914" w:rsidRDefault="0099645D" w:rsidP="00F67914">
      <w:pPr>
        <w:rPr>
          <w:b/>
          <w:lang w:val="en-US"/>
        </w:rPr>
      </w:pPr>
      <w:r w:rsidRPr="00F67914">
        <w:rPr>
          <w:b/>
          <w:lang w:val="en-US"/>
        </w:rPr>
        <w:t>2. Tax incentives for social investment</w:t>
      </w:r>
    </w:p>
    <w:p w14:paraId="3D63A881" w14:textId="77777777" w:rsidR="0099645D" w:rsidRPr="0099645D" w:rsidRDefault="0099645D" w:rsidP="0099645D">
      <w:pPr>
        <w:spacing w:before="0" w:after="0"/>
        <w:jc w:val="left"/>
        <w:rPr>
          <w:rFonts w:asciiTheme="minorHAnsi" w:hAnsiTheme="minorHAnsi"/>
          <w:sz w:val="24"/>
          <w:lang w:val="en-US"/>
        </w:rPr>
      </w:pPr>
    </w:p>
    <w:p w14:paraId="3344422B" w14:textId="77777777" w:rsidR="0099645D" w:rsidRPr="0099645D" w:rsidRDefault="0099645D" w:rsidP="00F67914">
      <w:pPr>
        <w:rPr>
          <w:lang w:val="en-US"/>
        </w:rPr>
      </w:pPr>
      <w:r w:rsidRPr="0099645D">
        <w:rPr>
          <w:lang w:val="en-US"/>
        </w:rPr>
        <w:t>The Australian market would benefit from tax incentives such as the UK’s Social Investment Tax Relief, where investors can claim up to 30% of deal costs as a tax deduction</w:t>
      </w:r>
      <w:r w:rsidRPr="0099645D">
        <w:rPr>
          <w:vertAlign w:val="superscript"/>
          <w:lang w:val="en-US"/>
        </w:rPr>
        <w:footnoteReference w:id="3"/>
      </w:r>
      <w:r w:rsidRPr="0099645D">
        <w:rPr>
          <w:lang w:val="en-US"/>
        </w:rPr>
        <w:t>.  Any efforts to reduce the cost of doing deals for investors, but also other stakeholders we believe would support market development. In seeking to mainstream impact investing, consistency with investment support in the start-up sector</w:t>
      </w:r>
      <w:r w:rsidRPr="0099645D">
        <w:rPr>
          <w:vertAlign w:val="superscript"/>
          <w:lang w:val="en-US"/>
        </w:rPr>
        <w:footnoteReference w:id="4"/>
      </w:r>
      <w:r w:rsidRPr="0099645D">
        <w:rPr>
          <w:lang w:val="en-US"/>
        </w:rPr>
        <w:t xml:space="preserve"> would also be welcome.  </w:t>
      </w:r>
    </w:p>
    <w:p w14:paraId="5CAB3546" w14:textId="77777777" w:rsidR="0099645D" w:rsidRPr="0099645D" w:rsidRDefault="0099645D" w:rsidP="0099645D">
      <w:pPr>
        <w:spacing w:before="0" w:after="0"/>
        <w:jc w:val="left"/>
        <w:rPr>
          <w:rFonts w:asciiTheme="minorHAnsi" w:hAnsiTheme="minorHAnsi"/>
          <w:sz w:val="24"/>
          <w:lang w:val="en-US"/>
        </w:rPr>
      </w:pPr>
    </w:p>
    <w:p w14:paraId="2F27AD7A" w14:textId="77777777" w:rsidR="0099645D" w:rsidRPr="00F67914" w:rsidRDefault="0099645D" w:rsidP="00F67914">
      <w:pPr>
        <w:rPr>
          <w:b/>
          <w:lang w:val="en-US"/>
        </w:rPr>
      </w:pPr>
      <w:r w:rsidRPr="00F67914">
        <w:rPr>
          <w:b/>
          <w:lang w:val="en-US"/>
        </w:rPr>
        <w:t>3. Education and capacity building</w:t>
      </w:r>
    </w:p>
    <w:p w14:paraId="2036DC24" w14:textId="77777777" w:rsidR="0099645D" w:rsidRPr="0099645D" w:rsidRDefault="0099645D" w:rsidP="00F67914">
      <w:pPr>
        <w:rPr>
          <w:lang w:val="en-US"/>
        </w:rPr>
      </w:pPr>
    </w:p>
    <w:p w14:paraId="73A81B1B" w14:textId="77777777" w:rsidR="0099645D" w:rsidRPr="0099645D" w:rsidRDefault="0099645D" w:rsidP="00F67914">
      <w:pPr>
        <w:rPr>
          <w:lang w:val="en-US"/>
        </w:rPr>
      </w:pPr>
      <w:r w:rsidRPr="0099645D">
        <w:rPr>
          <w:lang w:val="en-US"/>
        </w:rPr>
        <w:t>Our research on other national markets demonstrates the necessity of grant funding, especially for education and capacity building of enterprises in the early stage of market development. This could take the form of:</w:t>
      </w:r>
    </w:p>
    <w:p w14:paraId="1324C655" w14:textId="77777777" w:rsidR="0099645D" w:rsidRPr="0099645D" w:rsidRDefault="0099645D" w:rsidP="00F67914">
      <w:pPr>
        <w:pStyle w:val="Bullet"/>
        <w:rPr>
          <w:lang w:val="en-US"/>
        </w:rPr>
      </w:pPr>
      <w:r w:rsidRPr="0099645D">
        <w:rPr>
          <w:lang w:val="en-US"/>
        </w:rPr>
        <w:t>Funding for the establishment of incubator and accelerator programs tailored to social enterprises;</w:t>
      </w:r>
    </w:p>
    <w:p w14:paraId="04D97789" w14:textId="503D2D52" w:rsidR="0099645D" w:rsidRPr="0099645D" w:rsidRDefault="00A00501" w:rsidP="00F67914">
      <w:pPr>
        <w:pStyle w:val="Bullet"/>
        <w:rPr>
          <w:lang w:val="en-US"/>
        </w:rPr>
      </w:pPr>
      <w:r>
        <w:rPr>
          <w:lang w:val="en-US"/>
        </w:rPr>
        <w:t>Funding for social enterprises to purchase professional business advisory services;</w:t>
      </w:r>
      <w:r>
        <w:rPr>
          <w:rStyle w:val="FootnoteReference"/>
          <w:lang w:val="en-US"/>
        </w:rPr>
        <w:footnoteReference w:id="5"/>
      </w:r>
    </w:p>
    <w:p w14:paraId="25CB6F47" w14:textId="77777777" w:rsidR="0099645D" w:rsidRPr="0099645D" w:rsidRDefault="0099645D" w:rsidP="00F67914">
      <w:pPr>
        <w:pStyle w:val="Bullet"/>
        <w:rPr>
          <w:lang w:val="en-US"/>
        </w:rPr>
      </w:pPr>
      <w:r w:rsidRPr="0099645D">
        <w:rPr>
          <w:lang w:val="en-US"/>
        </w:rPr>
        <w:t>(If crowd-sourced equity funding is enabled), grant funding to intermediaries or platforms to educate social entrepreneurs in how to use this medium and run effective campaigns.</w:t>
      </w:r>
    </w:p>
    <w:p w14:paraId="0878CC97" w14:textId="77777777" w:rsidR="0099645D" w:rsidRPr="0099645D" w:rsidRDefault="0099645D" w:rsidP="0099645D">
      <w:pPr>
        <w:spacing w:before="0" w:after="0"/>
        <w:jc w:val="left"/>
        <w:rPr>
          <w:rFonts w:asciiTheme="minorHAnsi" w:hAnsiTheme="minorHAnsi"/>
          <w:sz w:val="24"/>
          <w:lang w:val="en-US"/>
        </w:rPr>
      </w:pPr>
    </w:p>
    <w:p w14:paraId="1D4D6F82" w14:textId="77777777" w:rsidR="0099645D" w:rsidRPr="0099645D" w:rsidRDefault="0099645D" w:rsidP="00F67914">
      <w:pPr>
        <w:rPr>
          <w:lang w:val="en-US"/>
        </w:rPr>
      </w:pPr>
      <w:r w:rsidRPr="0099645D">
        <w:rPr>
          <w:lang w:val="en-US"/>
        </w:rPr>
        <w:t xml:space="preserve">Our research also shows that Government can play an effective role as a </w:t>
      </w:r>
      <w:r w:rsidRPr="0099645D">
        <w:rPr>
          <w:b/>
          <w:lang w:val="en-US"/>
        </w:rPr>
        <w:t xml:space="preserve">participant in the impact investing market </w:t>
      </w:r>
      <w:r w:rsidRPr="0099645D">
        <w:rPr>
          <w:lang w:val="en-US"/>
        </w:rPr>
        <w:t>and ‘crowd in’ private funding. In a new market such as this, Government participation in deals can attract private capital by signaling credibility. Government can also use blended finance tools to reduce the perceived risk of investing in unfamiliar business models. Deploying grants, subordinated debt and guarantees to create a layer of first-loss capital can be effective to catalyse private investment in deals.</w:t>
      </w:r>
    </w:p>
    <w:p w14:paraId="4D0135DB" w14:textId="0E3DC216" w:rsidR="00F67914" w:rsidRDefault="00F67914" w:rsidP="00F67914">
      <w:pPr>
        <w:pStyle w:val="Heading1"/>
      </w:pPr>
      <w:bookmarkStart w:id="5" w:name="_Toc475623608"/>
      <w:r>
        <w:t>Submission on Question 11</w:t>
      </w:r>
      <w:bookmarkEnd w:id="5"/>
    </w:p>
    <w:tbl>
      <w:tblPr>
        <w:tblStyle w:val="TableGrid"/>
        <w:tblW w:w="0" w:type="auto"/>
        <w:tblLook w:val="04A0" w:firstRow="1" w:lastRow="0" w:firstColumn="1" w:lastColumn="0" w:noHBand="0" w:noVBand="1"/>
      </w:tblPr>
      <w:tblGrid>
        <w:gridCol w:w="9236"/>
      </w:tblGrid>
      <w:tr w:rsidR="00F67914" w14:paraId="28B2A503" w14:textId="77777777" w:rsidTr="00F72429">
        <w:tc>
          <w:tcPr>
            <w:tcW w:w="9236" w:type="dxa"/>
          </w:tcPr>
          <w:p w14:paraId="427BF6AA" w14:textId="6076D906" w:rsidR="00F67914" w:rsidRDefault="00F67914" w:rsidP="00F67914">
            <w:r>
              <w:t>Question 11</w:t>
            </w:r>
            <w:r w:rsidRPr="0032248E">
              <w:t xml:space="preserve">. </w:t>
            </w:r>
            <w:r>
              <w:t>We are seeking your feedback on the four proposed principles of social impact investing.</w:t>
            </w:r>
          </w:p>
        </w:tc>
      </w:tr>
    </w:tbl>
    <w:p w14:paraId="54605777" w14:textId="77777777" w:rsidR="00F67914" w:rsidRDefault="00F67914" w:rsidP="00F67914">
      <w:pPr>
        <w:spacing w:before="0" w:after="0"/>
        <w:jc w:val="left"/>
        <w:rPr>
          <w:rFonts w:asciiTheme="minorHAnsi" w:hAnsiTheme="minorHAnsi"/>
          <w:sz w:val="24"/>
          <w:lang w:val="en-US"/>
        </w:rPr>
      </w:pPr>
    </w:p>
    <w:p w14:paraId="1C5A8B94" w14:textId="77777777" w:rsidR="00F67914" w:rsidRPr="00F67914" w:rsidRDefault="00F67914" w:rsidP="00F67914">
      <w:pPr>
        <w:rPr>
          <w:lang w:val="en-US"/>
        </w:rPr>
      </w:pPr>
      <w:r w:rsidRPr="00F67914">
        <w:rPr>
          <w:lang w:val="en-US"/>
        </w:rPr>
        <w:t>We support the four principles outlined for impact investing, as pertaining to the Government. Based on our research, we highlight the following extensions:</w:t>
      </w:r>
    </w:p>
    <w:p w14:paraId="58A96FFA" w14:textId="0D660E14" w:rsidR="00F67914" w:rsidRPr="00F67914" w:rsidRDefault="00F67914" w:rsidP="00F67914">
      <w:pPr>
        <w:pStyle w:val="Bullet"/>
        <w:rPr>
          <w:lang w:val="en-US"/>
        </w:rPr>
      </w:pPr>
      <w:r w:rsidRPr="00F67914">
        <w:rPr>
          <w:b/>
          <w:lang w:val="en-US"/>
        </w:rPr>
        <w:t>Principle 2: Robust outcomes-based measurement and evaluation</w:t>
      </w:r>
      <w:r w:rsidRPr="00F67914">
        <w:rPr>
          <w:lang w:val="en-US"/>
        </w:rPr>
        <w:t>: there is currently no convergence around impact measurement. While the Global Impact Investing Network (GIIN) is building a global set of basic standards and options for impact measurement, we suggest flexibility in approach in this early stage of the market. We also suggest the Government needs to play a stronger role in providing data from multiple agencies in the case of development of SIBs, and start directing relevant agencies to f</w:t>
      </w:r>
      <w:r w:rsidR="005513AB">
        <w:rPr>
          <w:lang w:val="en-US"/>
        </w:rPr>
        <w:t>ocus on possible social outcome</w:t>
      </w:r>
      <w:r w:rsidRPr="00F67914">
        <w:rPr>
          <w:lang w:val="en-US"/>
        </w:rPr>
        <w:t xml:space="preserve"> measures to develop baseline data. </w:t>
      </w:r>
    </w:p>
    <w:p w14:paraId="7739A109" w14:textId="269E12F5" w:rsidR="00F67914" w:rsidRPr="00F67914" w:rsidRDefault="00F67914" w:rsidP="00F67914">
      <w:pPr>
        <w:pStyle w:val="Bullet"/>
        <w:rPr>
          <w:lang w:val="en-US"/>
        </w:rPr>
      </w:pPr>
      <w:r w:rsidRPr="00F67914">
        <w:rPr>
          <w:b/>
          <w:lang w:val="en-US"/>
        </w:rPr>
        <w:t xml:space="preserve">Principle 3: Fair </w:t>
      </w:r>
      <w:r w:rsidRPr="00494559">
        <w:rPr>
          <w:b/>
          <w:lang w:val="en-US"/>
        </w:rPr>
        <w:t>sharing of risk and return:</w:t>
      </w:r>
      <w:r w:rsidRPr="00494559">
        <w:rPr>
          <w:lang w:val="en-US"/>
        </w:rPr>
        <w:t xml:space="preserve"> </w:t>
      </w:r>
      <w:r w:rsidR="005513AB" w:rsidRPr="00494559">
        <w:rPr>
          <w:lang w:val="en-US"/>
        </w:rPr>
        <w:t xml:space="preserve">we only </w:t>
      </w:r>
      <w:r w:rsidRPr="00494559">
        <w:rPr>
          <w:lang w:val="en-US"/>
        </w:rPr>
        <w:t xml:space="preserve">caution here as to the </w:t>
      </w:r>
      <w:r w:rsidR="00933881" w:rsidRPr="00494559">
        <w:rPr>
          <w:lang w:val="en-US"/>
        </w:rPr>
        <w:t xml:space="preserve">Government </w:t>
      </w:r>
      <w:r w:rsidRPr="00494559">
        <w:rPr>
          <w:lang w:val="en-US"/>
        </w:rPr>
        <w:t>funding</w:t>
      </w:r>
      <w:r w:rsidR="00933881" w:rsidRPr="00494559">
        <w:rPr>
          <w:lang w:val="en-US"/>
        </w:rPr>
        <w:t xml:space="preserve"> due diligence on investment deals that are then exclusively offered to some investors and not made more widely available to the investment market. For </w:t>
      </w:r>
      <w:r w:rsidRPr="00494559">
        <w:rPr>
          <w:lang w:val="en-US"/>
        </w:rPr>
        <w:t>example, where one firm is contracted to identify impact invest</w:t>
      </w:r>
      <w:r w:rsidR="00933881" w:rsidRPr="00494559">
        <w:rPr>
          <w:lang w:val="en-US"/>
        </w:rPr>
        <w:t>ment</w:t>
      </w:r>
      <w:r w:rsidRPr="00494559">
        <w:rPr>
          <w:lang w:val="en-US"/>
        </w:rPr>
        <w:t xml:space="preserve"> opportunities (social enterprises) and then presents </w:t>
      </w:r>
      <w:r w:rsidR="005513AB" w:rsidRPr="00494559">
        <w:rPr>
          <w:lang w:val="en-US"/>
        </w:rPr>
        <w:t xml:space="preserve">these </w:t>
      </w:r>
      <w:r w:rsidR="00933881" w:rsidRPr="00494559">
        <w:rPr>
          <w:lang w:val="en-US"/>
        </w:rPr>
        <w:t xml:space="preserve">opportunities exclusively to </w:t>
      </w:r>
      <w:r w:rsidRPr="00494559">
        <w:rPr>
          <w:lang w:val="en-US"/>
        </w:rPr>
        <w:t>associated investment fund</w:t>
      </w:r>
      <w:r w:rsidR="005513AB" w:rsidRPr="00494559">
        <w:rPr>
          <w:lang w:val="en-US"/>
        </w:rPr>
        <w:t>s, rather than the broader market</w:t>
      </w:r>
      <w:r w:rsidRPr="00494559">
        <w:rPr>
          <w:lang w:val="en-US"/>
        </w:rPr>
        <w:t xml:space="preserve">. </w:t>
      </w:r>
      <w:r w:rsidR="005513AB" w:rsidRPr="00494559">
        <w:rPr>
          <w:lang w:val="en-US"/>
        </w:rPr>
        <w:t>While it is</w:t>
      </w:r>
      <w:r w:rsidRPr="00494559">
        <w:rPr>
          <w:lang w:val="en-US"/>
        </w:rPr>
        <w:t xml:space="preserve"> </w:t>
      </w:r>
      <w:r w:rsidR="005513AB" w:rsidRPr="00494559">
        <w:rPr>
          <w:lang w:val="en-US"/>
        </w:rPr>
        <w:t xml:space="preserve">helpful and </w:t>
      </w:r>
      <w:r w:rsidRPr="00494559">
        <w:rPr>
          <w:lang w:val="en-US"/>
        </w:rPr>
        <w:t xml:space="preserve">necessary that educators and accelerators </w:t>
      </w:r>
      <w:r w:rsidR="00933881" w:rsidRPr="00494559">
        <w:rPr>
          <w:lang w:val="en-US"/>
        </w:rPr>
        <w:t xml:space="preserve">for social enterprises </w:t>
      </w:r>
      <w:r w:rsidRPr="00494559">
        <w:rPr>
          <w:lang w:val="en-US"/>
        </w:rPr>
        <w:t xml:space="preserve">demonstrate connections to the investment market, </w:t>
      </w:r>
      <w:r w:rsidR="00933881" w:rsidRPr="00494559">
        <w:rPr>
          <w:lang w:val="en-US"/>
        </w:rPr>
        <w:t>these</w:t>
      </w:r>
      <w:r w:rsidRPr="00494559">
        <w:rPr>
          <w:lang w:val="en-US"/>
        </w:rPr>
        <w:t xml:space="preserve"> investment opportunities </w:t>
      </w:r>
      <w:r w:rsidR="00933881" w:rsidRPr="00494559">
        <w:rPr>
          <w:lang w:val="en-US"/>
        </w:rPr>
        <w:t xml:space="preserve">should not be exclusive. </w:t>
      </w:r>
      <w:r w:rsidRPr="00494559">
        <w:rPr>
          <w:lang w:val="en-US"/>
        </w:rPr>
        <w:t>We believe</w:t>
      </w:r>
      <w:r w:rsidRPr="00F67914">
        <w:rPr>
          <w:lang w:val="en-US"/>
        </w:rPr>
        <w:t xml:space="preserve"> this is a conflict of interest and should be avoided when attempting to catalyse a market. </w:t>
      </w:r>
    </w:p>
    <w:p w14:paraId="78E3C097" w14:textId="0BE02CA4" w:rsidR="00F67914" w:rsidRPr="00F67914" w:rsidRDefault="00F67914" w:rsidP="00F67914">
      <w:pPr>
        <w:pStyle w:val="Bullet"/>
        <w:rPr>
          <w:lang w:val="en-US"/>
        </w:rPr>
      </w:pPr>
      <w:r w:rsidRPr="00F67914">
        <w:rPr>
          <w:b/>
          <w:lang w:val="en-US"/>
        </w:rPr>
        <w:t>Principle 4: A deliverable and relevant social outcome:</w:t>
      </w:r>
      <w:r w:rsidRPr="00F67914">
        <w:rPr>
          <w:lang w:val="en-US"/>
        </w:rPr>
        <w:t xml:space="preserve"> the</w:t>
      </w:r>
      <w:r w:rsidR="00494559">
        <w:rPr>
          <w:lang w:val="en-US"/>
        </w:rPr>
        <w:t>re is opportunity here for the G</w:t>
      </w:r>
      <w:r w:rsidRPr="00F67914">
        <w:rPr>
          <w:lang w:val="en-US"/>
        </w:rPr>
        <w:t xml:space="preserve">overnment to more readily share rates of returns, agreements and structures of deals, to educate the market and manage expectations. </w:t>
      </w:r>
    </w:p>
    <w:p w14:paraId="658A0EA2" w14:textId="18593160" w:rsidR="00F67914" w:rsidRDefault="00F67914" w:rsidP="00F67914">
      <w:pPr>
        <w:pStyle w:val="Heading1"/>
      </w:pPr>
      <w:bookmarkStart w:id="6" w:name="_Toc475623609"/>
      <w:r>
        <w:t>Submission on Question 29</w:t>
      </w:r>
      <w:bookmarkEnd w:id="6"/>
    </w:p>
    <w:tbl>
      <w:tblPr>
        <w:tblStyle w:val="TableGrid"/>
        <w:tblW w:w="0" w:type="auto"/>
        <w:tblLook w:val="04A0" w:firstRow="1" w:lastRow="0" w:firstColumn="1" w:lastColumn="0" w:noHBand="0" w:noVBand="1"/>
      </w:tblPr>
      <w:tblGrid>
        <w:gridCol w:w="9236"/>
      </w:tblGrid>
      <w:tr w:rsidR="00F67914" w14:paraId="132A49F3" w14:textId="77777777" w:rsidTr="00F72429">
        <w:tc>
          <w:tcPr>
            <w:tcW w:w="9236" w:type="dxa"/>
          </w:tcPr>
          <w:p w14:paraId="7C603DA8" w14:textId="726B7041" w:rsidR="00F67914" w:rsidRDefault="00F67914" w:rsidP="00F72429">
            <w:r w:rsidRPr="00F67914">
              <w:t>Question 29. Would making a model constitution for a social enterprise assist in reducing the costs for individuals intending to establish a new entity? What other standard products or other industry-led solutions would assist in reducing the costs for individuals intending to establish a social enterprise</w:t>
            </w:r>
            <w:r>
              <w:t>.</w:t>
            </w:r>
          </w:p>
        </w:tc>
      </w:tr>
    </w:tbl>
    <w:p w14:paraId="5863A2C0" w14:textId="77777777" w:rsidR="00F67914" w:rsidRDefault="00F67914" w:rsidP="00F67914">
      <w:pPr>
        <w:spacing w:before="0" w:after="0"/>
        <w:jc w:val="left"/>
        <w:rPr>
          <w:rFonts w:asciiTheme="minorHAnsi" w:hAnsiTheme="minorHAnsi"/>
          <w:sz w:val="24"/>
          <w:lang w:val="en-US"/>
        </w:rPr>
      </w:pPr>
    </w:p>
    <w:p w14:paraId="364781D0" w14:textId="5C4FF927" w:rsidR="00F67914" w:rsidRPr="00F67914" w:rsidRDefault="00F67914" w:rsidP="00F67914">
      <w:pPr>
        <w:rPr>
          <w:lang w:val="en-US"/>
        </w:rPr>
      </w:pPr>
      <w:r w:rsidRPr="00F67914">
        <w:rPr>
          <w:lang w:val="en-US"/>
        </w:rPr>
        <w:t>We are unconvinced that a new corporate structure is required for social enterprises. A model based on the US Public Benefit Corporation is possible to craft under existing Australian Corporations law, as evidenced by social enterprise Chuffed</w:t>
      </w:r>
      <w:r w:rsidRPr="00F67914">
        <w:rPr>
          <w:vertAlign w:val="superscript"/>
          <w:lang w:val="en-US"/>
        </w:rPr>
        <w:footnoteReference w:id="6"/>
      </w:r>
      <w:r w:rsidRPr="00F67914">
        <w:rPr>
          <w:lang w:val="en-US"/>
        </w:rPr>
        <w:t xml:space="preserve">, a successful Australian crowd funding platform that has constituted itself as a </w:t>
      </w:r>
      <w:r w:rsidRPr="00F67914">
        <w:rPr>
          <w:b/>
          <w:lang w:val="en-US"/>
        </w:rPr>
        <w:t>Social Benefit Company</w:t>
      </w:r>
      <w:r w:rsidRPr="00F67914">
        <w:rPr>
          <w:b/>
          <w:vertAlign w:val="superscript"/>
          <w:lang w:val="en-US"/>
        </w:rPr>
        <w:footnoteReference w:id="7"/>
      </w:r>
      <w:r w:rsidRPr="00F67914">
        <w:rPr>
          <w:b/>
          <w:lang w:val="en-US"/>
        </w:rPr>
        <w:t xml:space="preserve"> in January 2016</w:t>
      </w:r>
      <w:r w:rsidRPr="00F67914">
        <w:rPr>
          <w:lang w:val="en-US"/>
        </w:rPr>
        <w:t>, and has taken on investment from leading technology venture capitalists Blackbird Ventures</w:t>
      </w:r>
      <w:r w:rsidRPr="00F67914">
        <w:rPr>
          <w:vertAlign w:val="superscript"/>
          <w:lang w:val="en-US"/>
        </w:rPr>
        <w:footnoteReference w:id="8"/>
      </w:r>
      <w:r w:rsidRPr="00F67914">
        <w:rPr>
          <w:lang w:val="en-US"/>
        </w:rPr>
        <w:t xml:space="preserve"> and Telstra Foundation, amongst others.</w:t>
      </w:r>
    </w:p>
    <w:p w14:paraId="704BCB79" w14:textId="77777777" w:rsidR="00F67914" w:rsidRPr="00F67914" w:rsidRDefault="00F67914" w:rsidP="00F67914">
      <w:pPr>
        <w:rPr>
          <w:lang w:val="en-US"/>
        </w:rPr>
      </w:pPr>
    </w:p>
    <w:p w14:paraId="26C9C2AA" w14:textId="77777777" w:rsidR="00F67914" w:rsidRPr="00F67914" w:rsidRDefault="00F67914" w:rsidP="00F67914">
      <w:pPr>
        <w:rPr>
          <w:lang w:val="en-US"/>
        </w:rPr>
      </w:pPr>
      <w:r w:rsidRPr="00F67914">
        <w:rPr>
          <w:lang w:val="en-US"/>
        </w:rPr>
        <w:t>Chuffed is incorporated as a Pty Ltd and its constitution as a Social Benefit Company is based on 3 tenets</w:t>
      </w:r>
      <w:r w:rsidRPr="00F67914">
        <w:rPr>
          <w:vertAlign w:val="superscript"/>
          <w:lang w:val="en-US"/>
        </w:rPr>
        <w:footnoteReference w:id="9"/>
      </w:r>
      <w:r w:rsidRPr="00F67914">
        <w:rPr>
          <w:lang w:val="en-US"/>
        </w:rPr>
        <w:t>:</w:t>
      </w:r>
    </w:p>
    <w:p w14:paraId="253DC834" w14:textId="77777777" w:rsidR="00F67914" w:rsidRPr="00F67914" w:rsidRDefault="00F67914" w:rsidP="0017405C">
      <w:pPr>
        <w:pStyle w:val="ListParagraph"/>
        <w:numPr>
          <w:ilvl w:val="0"/>
          <w:numId w:val="9"/>
        </w:numPr>
        <w:rPr>
          <w:lang w:val="en-US"/>
        </w:rPr>
      </w:pPr>
      <w:r w:rsidRPr="00F67914">
        <w:rPr>
          <w:lang w:val="en-US"/>
        </w:rPr>
        <w:t>A clear statement of a specific public benefit that the organization is set up to deliver (the “Purpose”) which is put in the constitution</w:t>
      </w:r>
    </w:p>
    <w:p w14:paraId="4E364191" w14:textId="77777777" w:rsidR="00F67914" w:rsidRPr="00F67914" w:rsidRDefault="00F67914" w:rsidP="0017405C">
      <w:pPr>
        <w:pStyle w:val="ListParagraph"/>
        <w:numPr>
          <w:ilvl w:val="0"/>
          <w:numId w:val="9"/>
        </w:numPr>
        <w:rPr>
          <w:lang w:val="en-US"/>
        </w:rPr>
      </w:pPr>
      <w:r w:rsidRPr="00F67914">
        <w:rPr>
          <w:lang w:val="en-US"/>
        </w:rPr>
        <w:t>Directors of the Social Benefit Company are permitted and required to deliver the Purpose and to consider the wider impacts of their decisions as part of their duties as a Director of that Company (“Directors Duties”) – this is also put in the Constitution</w:t>
      </w:r>
    </w:p>
    <w:p w14:paraId="127E26E1" w14:textId="77777777" w:rsidR="00F67914" w:rsidRPr="00F67914" w:rsidRDefault="00F67914" w:rsidP="0017405C">
      <w:pPr>
        <w:pStyle w:val="ListParagraph"/>
        <w:numPr>
          <w:ilvl w:val="0"/>
          <w:numId w:val="9"/>
        </w:numPr>
        <w:rPr>
          <w:lang w:val="en-US"/>
        </w:rPr>
      </w:pPr>
      <w:r w:rsidRPr="00F67914">
        <w:rPr>
          <w:lang w:val="en-US"/>
        </w:rPr>
        <w:t xml:space="preserve">A requirement that changing the Purpose or Directors Duties requires a 100% shareholder vote (“Mission Lock”). This is also put in the Shareholder’s Agreement. </w:t>
      </w:r>
    </w:p>
    <w:p w14:paraId="0CA638FE" w14:textId="77777777" w:rsidR="00F67914" w:rsidRPr="00F67914" w:rsidRDefault="00F67914" w:rsidP="00F67914">
      <w:pPr>
        <w:spacing w:before="0" w:after="0"/>
        <w:jc w:val="left"/>
        <w:rPr>
          <w:rFonts w:asciiTheme="minorHAnsi" w:hAnsiTheme="minorHAnsi"/>
          <w:sz w:val="24"/>
          <w:lang w:val="en-US"/>
        </w:rPr>
      </w:pPr>
    </w:p>
    <w:p w14:paraId="1EBE558B" w14:textId="25B9D8C1" w:rsidR="00F67914" w:rsidRPr="00A47FBD" w:rsidRDefault="00F67914" w:rsidP="00F67914">
      <w:r w:rsidRPr="00A47FBD">
        <w:rPr>
          <w:lang w:val="en-US"/>
        </w:rPr>
        <w:t xml:space="preserve">For social enterprises focused on localized service delivery, an organizational model similar to the UK’s CIC’s </w:t>
      </w:r>
      <w:r w:rsidR="00A47FBD">
        <w:rPr>
          <w:lang w:val="en-US"/>
        </w:rPr>
        <w:t xml:space="preserve">(Community Interest Company) </w:t>
      </w:r>
      <w:r w:rsidRPr="00A47FBD">
        <w:rPr>
          <w:lang w:val="en-US"/>
        </w:rPr>
        <w:t>could be considered. This was introduced over 10 years ago and has been taken up by over 11,000 organizations. This often allows charities to adopt a model to move into a social ente</w:t>
      </w:r>
      <w:r w:rsidR="00A47FBD" w:rsidRPr="00A47FBD">
        <w:rPr>
          <w:lang w:val="en-US"/>
        </w:rPr>
        <w:t xml:space="preserve">rprise (for-profit) form </w:t>
      </w:r>
      <w:r w:rsidRPr="00A47FBD">
        <w:rPr>
          <w:lang w:val="en-US"/>
        </w:rPr>
        <w:t xml:space="preserve">more readily. It would also give Australia a variety of organizational forms available to deliver </w:t>
      </w:r>
      <w:r w:rsidRPr="00A47FBD">
        <w:rPr>
          <w:rFonts w:cs="Times New Roman"/>
          <w:lang w:val="en-US"/>
        </w:rPr>
        <w:t xml:space="preserve">social impact. </w:t>
      </w:r>
      <w:r w:rsidRPr="00A47FBD">
        <w:t>Reports</w:t>
      </w:r>
      <w:r w:rsidRPr="00A47FBD">
        <w:rPr>
          <w:vertAlign w:val="superscript"/>
        </w:rPr>
        <w:footnoteReference w:id="10"/>
      </w:r>
      <w:r w:rsidRPr="00A47FBD">
        <w:rPr>
          <w:vertAlign w:val="superscript"/>
        </w:rPr>
        <w:t xml:space="preserve">  </w:t>
      </w:r>
      <w:r w:rsidRPr="00A47FBD">
        <w:t xml:space="preserve">from the UK indicate this form is mainly being taken up by smaller, local enterprises and </w:t>
      </w:r>
      <w:r w:rsidR="00A47FBD">
        <w:t xml:space="preserve">also </w:t>
      </w:r>
      <w:r w:rsidRPr="00A47FBD">
        <w:t>large spin-outs from the public sector (e.g. NHS). CIC status offers the simplicity of company structure without the extra level of governance of a charity. It would also be a symbolic move in further legitimating the social enterprise space in Australia.</w:t>
      </w:r>
    </w:p>
    <w:p w14:paraId="41E2A4A0" w14:textId="77777777" w:rsidR="0032248E" w:rsidRPr="00A47FBD" w:rsidRDefault="0032248E" w:rsidP="00F67914"/>
    <w:p w14:paraId="34B02D8E" w14:textId="77777777" w:rsidR="00F67914" w:rsidRDefault="00F67914" w:rsidP="00F67914">
      <w:pPr>
        <w:sectPr w:rsidR="00F67914" w:rsidSect="00C72743">
          <w:footerReference w:type="even" r:id="rId19"/>
          <w:footerReference w:type="default" r:id="rId20"/>
          <w:pgSz w:w="11900" w:h="16840"/>
          <w:pgMar w:top="1440" w:right="1440" w:bottom="1440" w:left="1440" w:header="708" w:footer="708" w:gutter="0"/>
          <w:pgNumType w:start="1"/>
          <w:cols w:space="708"/>
          <w:docGrid w:linePitch="360"/>
        </w:sectPr>
      </w:pPr>
    </w:p>
    <w:p w14:paraId="360D7684" w14:textId="7B4FAE0D" w:rsidR="00F67914" w:rsidRDefault="00F67914" w:rsidP="00F67914">
      <w:pPr>
        <w:pStyle w:val="Heading1"/>
      </w:pPr>
      <w:bookmarkStart w:id="7" w:name="_Toc475623610"/>
      <w:r w:rsidRPr="00F67914">
        <w:t>Summary of submission</w:t>
      </w:r>
      <w:bookmarkEnd w:id="7"/>
    </w:p>
    <w:tbl>
      <w:tblPr>
        <w:tblStyle w:val="TableGrid11"/>
        <w:tblW w:w="0" w:type="auto"/>
        <w:tblLook w:val="04A0" w:firstRow="1" w:lastRow="0" w:firstColumn="1" w:lastColumn="0" w:noHBand="0" w:noVBand="1"/>
      </w:tblPr>
      <w:tblGrid>
        <w:gridCol w:w="2795"/>
        <w:gridCol w:w="5702"/>
        <w:gridCol w:w="5678"/>
      </w:tblGrid>
      <w:tr w:rsidR="00F67914" w:rsidRPr="00DB116C" w14:paraId="5C0901C8" w14:textId="77777777" w:rsidTr="00F72429">
        <w:trPr>
          <w:tblHeader/>
        </w:trPr>
        <w:tc>
          <w:tcPr>
            <w:tcW w:w="2795" w:type="dxa"/>
          </w:tcPr>
          <w:p w14:paraId="2EB2C5C4" w14:textId="77777777" w:rsidR="00F67914" w:rsidRPr="00DB116C" w:rsidRDefault="00F67914" w:rsidP="00F67914">
            <w:pPr>
              <w:spacing w:before="0" w:after="200" w:line="276" w:lineRule="auto"/>
              <w:jc w:val="center"/>
              <w:rPr>
                <w:rFonts w:eastAsia="Calibri" w:cs="Times New Roman"/>
                <w:b/>
                <w:szCs w:val="22"/>
              </w:rPr>
            </w:pPr>
            <w:r w:rsidRPr="00DB116C">
              <w:rPr>
                <w:rFonts w:eastAsia="Calibri" w:cs="Times New Roman"/>
                <w:b/>
                <w:szCs w:val="22"/>
              </w:rPr>
              <w:t>Stakeholder (‘Market Participant’)</w:t>
            </w:r>
          </w:p>
        </w:tc>
        <w:tc>
          <w:tcPr>
            <w:tcW w:w="5702" w:type="dxa"/>
          </w:tcPr>
          <w:p w14:paraId="1B59B49D" w14:textId="77777777" w:rsidR="00F67914" w:rsidRPr="00DB116C" w:rsidRDefault="00F67914" w:rsidP="00F67914">
            <w:pPr>
              <w:spacing w:before="0" w:after="200" w:line="276" w:lineRule="auto"/>
              <w:jc w:val="center"/>
              <w:rPr>
                <w:rFonts w:eastAsia="Calibri" w:cs="Times New Roman"/>
                <w:b/>
                <w:szCs w:val="22"/>
              </w:rPr>
            </w:pPr>
            <w:r w:rsidRPr="00DB116C">
              <w:rPr>
                <w:rFonts w:eastAsia="Calibri" w:cs="Times New Roman"/>
                <w:b/>
                <w:szCs w:val="22"/>
              </w:rPr>
              <w:t>Current barriers</w:t>
            </w:r>
          </w:p>
        </w:tc>
        <w:tc>
          <w:tcPr>
            <w:tcW w:w="5678" w:type="dxa"/>
          </w:tcPr>
          <w:p w14:paraId="5B72BEA7" w14:textId="77777777" w:rsidR="00F67914" w:rsidRPr="00DB116C" w:rsidRDefault="00F67914" w:rsidP="00F67914">
            <w:pPr>
              <w:spacing w:before="0" w:after="200" w:line="276" w:lineRule="auto"/>
              <w:jc w:val="center"/>
              <w:rPr>
                <w:rFonts w:eastAsia="Calibri" w:cs="Times New Roman"/>
                <w:b/>
                <w:szCs w:val="22"/>
              </w:rPr>
            </w:pPr>
            <w:r w:rsidRPr="00DB116C">
              <w:rPr>
                <w:rFonts w:eastAsia="Calibri" w:cs="Times New Roman"/>
                <w:b/>
                <w:szCs w:val="22"/>
              </w:rPr>
              <w:t>Observations and suggested solutions</w:t>
            </w:r>
          </w:p>
        </w:tc>
      </w:tr>
      <w:tr w:rsidR="00F67914" w:rsidRPr="00DB116C" w14:paraId="49DA9D87" w14:textId="77777777" w:rsidTr="00F72429">
        <w:tc>
          <w:tcPr>
            <w:tcW w:w="2795" w:type="dxa"/>
          </w:tcPr>
          <w:p w14:paraId="60962BD2"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Investors (institutional)</w:t>
            </w:r>
          </w:p>
        </w:tc>
        <w:tc>
          <w:tcPr>
            <w:tcW w:w="5702" w:type="dxa"/>
          </w:tcPr>
          <w:p w14:paraId="7C1C1324" w14:textId="77777777" w:rsidR="00F67914" w:rsidRPr="00DB116C" w:rsidRDefault="00F67914" w:rsidP="0017405C">
            <w:pPr>
              <w:numPr>
                <w:ilvl w:val="0"/>
                <w:numId w:val="4"/>
              </w:numPr>
              <w:spacing w:before="0" w:after="200" w:line="276" w:lineRule="auto"/>
              <w:contextualSpacing/>
              <w:jc w:val="left"/>
              <w:rPr>
                <w:rFonts w:eastAsia="Calibri" w:cs="Times New Roman"/>
                <w:szCs w:val="22"/>
              </w:rPr>
            </w:pPr>
            <w:r w:rsidRPr="00DB116C">
              <w:rPr>
                <w:rFonts w:eastAsia="Calibri" w:cs="Times New Roman"/>
                <w:szCs w:val="22"/>
              </w:rPr>
              <w:t>Finding impact investment deals</w:t>
            </w:r>
          </w:p>
          <w:p w14:paraId="06490726" w14:textId="5302EB83" w:rsidR="00F67914" w:rsidRPr="00DB116C" w:rsidRDefault="00F67914" w:rsidP="00BC252F">
            <w:pPr>
              <w:numPr>
                <w:ilvl w:val="0"/>
                <w:numId w:val="4"/>
              </w:numPr>
              <w:spacing w:before="0" w:after="200" w:line="276" w:lineRule="auto"/>
              <w:contextualSpacing/>
              <w:jc w:val="left"/>
              <w:rPr>
                <w:rFonts w:eastAsia="Calibri" w:cs="Times New Roman"/>
                <w:szCs w:val="22"/>
              </w:rPr>
            </w:pPr>
            <w:r w:rsidRPr="00DB116C">
              <w:rPr>
                <w:rFonts w:eastAsia="Calibri" w:cs="Times New Roman"/>
                <w:szCs w:val="22"/>
              </w:rPr>
              <w:t>Finding impact investment deals of sufficient scale (for institutional investors)</w:t>
            </w:r>
          </w:p>
          <w:p w14:paraId="3AA3F54D" w14:textId="77777777" w:rsidR="00F67914" w:rsidRPr="00DB116C" w:rsidRDefault="00F67914" w:rsidP="0017405C">
            <w:pPr>
              <w:numPr>
                <w:ilvl w:val="0"/>
                <w:numId w:val="4"/>
              </w:numPr>
              <w:spacing w:before="0" w:after="200" w:line="276" w:lineRule="auto"/>
              <w:contextualSpacing/>
              <w:jc w:val="left"/>
              <w:rPr>
                <w:rFonts w:eastAsia="Calibri" w:cs="Times New Roman"/>
                <w:szCs w:val="22"/>
              </w:rPr>
            </w:pPr>
            <w:r w:rsidRPr="00DB116C">
              <w:rPr>
                <w:rFonts w:eastAsia="Calibri" w:cs="Times New Roman"/>
                <w:szCs w:val="22"/>
              </w:rPr>
              <w:t>No real transparency of previous deals, so lack of data to inform expectations</w:t>
            </w:r>
          </w:p>
          <w:p w14:paraId="3F06632A" w14:textId="77777777" w:rsidR="00F67914" w:rsidRPr="00DB116C" w:rsidRDefault="00F67914" w:rsidP="0017405C">
            <w:pPr>
              <w:numPr>
                <w:ilvl w:val="0"/>
                <w:numId w:val="4"/>
              </w:numPr>
              <w:spacing w:before="0" w:after="200" w:line="276" w:lineRule="auto"/>
              <w:contextualSpacing/>
              <w:jc w:val="left"/>
              <w:rPr>
                <w:rFonts w:eastAsia="Calibri" w:cs="Times New Roman"/>
                <w:szCs w:val="22"/>
              </w:rPr>
            </w:pPr>
            <w:r w:rsidRPr="00DB116C">
              <w:rPr>
                <w:rFonts w:eastAsia="Calibri" w:cs="Times New Roman"/>
                <w:szCs w:val="22"/>
              </w:rPr>
              <w:t>Lack of convergence on measurement of impact</w:t>
            </w:r>
          </w:p>
        </w:tc>
        <w:tc>
          <w:tcPr>
            <w:tcW w:w="5678" w:type="dxa"/>
          </w:tcPr>
          <w:p w14:paraId="73171414"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An impact investment platform would contribute to resolving many of these issues, given the nascent stage of this market. A platform could operate in one of two ways:</w:t>
            </w:r>
          </w:p>
          <w:p w14:paraId="576A2A97" w14:textId="77777777" w:rsidR="00F67914" w:rsidRPr="00DB116C" w:rsidRDefault="00F67914" w:rsidP="0017405C">
            <w:pPr>
              <w:numPr>
                <w:ilvl w:val="0"/>
                <w:numId w:val="11"/>
              </w:numPr>
              <w:spacing w:before="0" w:after="200" w:line="276" w:lineRule="auto"/>
              <w:contextualSpacing/>
              <w:jc w:val="left"/>
              <w:rPr>
                <w:rFonts w:eastAsia="Calibri" w:cs="Times New Roman"/>
                <w:szCs w:val="22"/>
              </w:rPr>
            </w:pPr>
            <w:r w:rsidRPr="00DB116C">
              <w:rPr>
                <w:rFonts w:eastAsia="Calibri" w:cs="Times New Roman"/>
                <w:szCs w:val="22"/>
              </w:rPr>
              <w:t>Through a simple membership model, the platform could connect supply and demand by listing investment opportunities; or</w:t>
            </w:r>
          </w:p>
          <w:p w14:paraId="1EF0CF47" w14:textId="77777777" w:rsidR="00F67914" w:rsidRPr="00DB116C" w:rsidRDefault="00F67914" w:rsidP="0017405C">
            <w:pPr>
              <w:numPr>
                <w:ilvl w:val="0"/>
                <w:numId w:val="10"/>
              </w:numPr>
              <w:spacing w:before="0" w:after="0" w:line="276" w:lineRule="auto"/>
              <w:ind w:left="714" w:hanging="357"/>
              <w:contextualSpacing/>
              <w:jc w:val="left"/>
              <w:rPr>
                <w:rFonts w:eastAsia="Calibri" w:cs="Times New Roman"/>
                <w:szCs w:val="22"/>
              </w:rPr>
            </w:pPr>
            <w:r w:rsidRPr="00DB116C">
              <w:rPr>
                <w:rFonts w:eastAsia="Calibri" w:cs="Times New Roman"/>
                <w:szCs w:val="22"/>
              </w:rPr>
              <w:t>The platform could operate as a clearinghouse or private placement platform for qualified investors.</w:t>
            </w:r>
          </w:p>
          <w:p w14:paraId="174CAA44"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The platform would also perform the function of an information exchange, improving transparency of deals and building knowledge within the market.</w:t>
            </w:r>
          </w:p>
          <w:p w14:paraId="732CB383"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The platform would be a key actor in building market infrastructure, including developing standards for impact measurement. A set of standard measures would provide efficiencies for enterprises and greater assurance for investors.</w:t>
            </w:r>
          </w:p>
          <w:p w14:paraId="14EFAD5E" w14:textId="77777777" w:rsidR="00F67914" w:rsidRPr="00DB116C" w:rsidRDefault="00F67914" w:rsidP="00F67914">
            <w:pPr>
              <w:spacing w:before="0" w:line="276" w:lineRule="auto"/>
              <w:jc w:val="left"/>
              <w:rPr>
                <w:rFonts w:eastAsia="Calibri" w:cs="Times New Roman"/>
                <w:szCs w:val="22"/>
              </w:rPr>
            </w:pPr>
          </w:p>
        </w:tc>
      </w:tr>
      <w:tr w:rsidR="00F67914" w:rsidRPr="00DB116C" w14:paraId="60E4F5C2" w14:textId="77777777" w:rsidTr="00F72429">
        <w:tc>
          <w:tcPr>
            <w:tcW w:w="2795" w:type="dxa"/>
          </w:tcPr>
          <w:p w14:paraId="62DA2E97"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Investors (retail)</w:t>
            </w:r>
          </w:p>
        </w:tc>
        <w:tc>
          <w:tcPr>
            <w:tcW w:w="5702" w:type="dxa"/>
          </w:tcPr>
          <w:p w14:paraId="673A3BEF" w14:textId="77777777" w:rsidR="00F67914" w:rsidRPr="00DB116C" w:rsidRDefault="00F67914" w:rsidP="0017405C">
            <w:pPr>
              <w:numPr>
                <w:ilvl w:val="0"/>
                <w:numId w:val="5"/>
              </w:numPr>
              <w:spacing w:before="0" w:after="200" w:line="276" w:lineRule="auto"/>
              <w:contextualSpacing/>
              <w:jc w:val="left"/>
              <w:rPr>
                <w:rFonts w:eastAsia="Calibri" w:cs="Times New Roman"/>
                <w:szCs w:val="22"/>
              </w:rPr>
            </w:pPr>
            <w:r w:rsidRPr="00DB116C">
              <w:rPr>
                <w:rFonts w:eastAsia="Calibri" w:cs="Times New Roman"/>
                <w:szCs w:val="22"/>
              </w:rPr>
              <w:t>Limited opportunities for non-accredited investors to participate at present</w:t>
            </w:r>
          </w:p>
          <w:p w14:paraId="401A1AF0" w14:textId="77777777" w:rsidR="00F67914" w:rsidRPr="00DB116C" w:rsidRDefault="00F67914" w:rsidP="0017405C">
            <w:pPr>
              <w:numPr>
                <w:ilvl w:val="0"/>
                <w:numId w:val="5"/>
              </w:numPr>
              <w:spacing w:before="0" w:after="200" w:line="276" w:lineRule="auto"/>
              <w:contextualSpacing/>
              <w:jc w:val="left"/>
              <w:rPr>
                <w:rFonts w:eastAsia="Calibri" w:cs="Times New Roman"/>
                <w:szCs w:val="22"/>
              </w:rPr>
            </w:pPr>
            <w:r w:rsidRPr="00DB116C">
              <w:rPr>
                <w:rFonts w:eastAsia="Calibri" w:cs="Times New Roman"/>
                <w:szCs w:val="22"/>
              </w:rPr>
              <w:t xml:space="preserve">No investor incentives or support are available </w:t>
            </w:r>
          </w:p>
        </w:tc>
        <w:tc>
          <w:tcPr>
            <w:tcW w:w="5678" w:type="dxa"/>
          </w:tcPr>
          <w:p w14:paraId="44883E3B"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The potential pool of investors for social enterprises needs to be broadened. This could be achieved by:</w:t>
            </w:r>
          </w:p>
          <w:p w14:paraId="39C83D7E" w14:textId="2C8C3552" w:rsidR="00F67914" w:rsidRPr="00DB116C" w:rsidRDefault="00F67914" w:rsidP="0017405C">
            <w:pPr>
              <w:numPr>
                <w:ilvl w:val="0"/>
                <w:numId w:val="12"/>
              </w:numPr>
              <w:spacing w:before="0" w:after="200" w:line="276" w:lineRule="auto"/>
              <w:contextualSpacing/>
              <w:jc w:val="left"/>
              <w:rPr>
                <w:rFonts w:eastAsia="Calibri" w:cs="Times New Roman"/>
                <w:szCs w:val="22"/>
              </w:rPr>
            </w:pPr>
            <w:r w:rsidRPr="00DB116C">
              <w:rPr>
                <w:rFonts w:eastAsia="Calibri" w:cs="Times New Roman"/>
                <w:szCs w:val="22"/>
              </w:rPr>
              <w:t>Opening up private equity funding to new categories of investors with appropriate protections (e.g. ‘sophisticated’ investors in the UK crowd funding market, or the USA JOBS Act provisions for limited retail investment through crowd-sourced funding);</w:t>
            </w:r>
          </w:p>
          <w:p w14:paraId="51EBDF5E" w14:textId="77777777" w:rsidR="00F72429" w:rsidRPr="00DB116C" w:rsidRDefault="00F67914" w:rsidP="0017405C">
            <w:pPr>
              <w:numPr>
                <w:ilvl w:val="0"/>
                <w:numId w:val="12"/>
              </w:numPr>
              <w:spacing w:before="0" w:after="0" w:line="276" w:lineRule="auto"/>
              <w:contextualSpacing/>
              <w:jc w:val="left"/>
              <w:rPr>
                <w:rFonts w:cs="Times New Roman"/>
                <w:szCs w:val="22"/>
              </w:rPr>
            </w:pPr>
            <w:r w:rsidRPr="00DB116C">
              <w:rPr>
                <w:rFonts w:eastAsia="Calibri" w:cs="Times New Roman"/>
                <w:szCs w:val="22"/>
              </w:rPr>
              <w:t>Providing tax incentives, similar to the Social Investment Tax Relief mechanism in the UK. Under the SITR, individuals are allowed a 30% tax relief from the cost of their investment, in addition to the ability to defer their capital gains tax, if such investment is made in a social enterprise.</w:t>
            </w:r>
          </w:p>
        </w:tc>
      </w:tr>
      <w:tr w:rsidR="00F67914" w:rsidRPr="00DB116C" w14:paraId="5DEF3FB1" w14:textId="77777777" w:rsidTr="00F72429">
        <w:tc>
          <w:tcPr>
            <w:tcW w:w="2795" w:type="dxa"/>
          </w:tcPr>
          <w:p w14:paraId="4AB500CC"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Intermediaries</w:t>
            </w:r>
          </w:p>
        </w:tc>
        <w:tc>
          <w:tcPr>
            <w:tcW w:w="5702" w:type="dxa"/>
          </w:tcPr>
          <w:p w14:paraId="1CEC6C7A" w14:textId="77777777" w:rsidR="00F67914" w:rsidRPr="00DB116C" w:rsidRDefault="00F67914" w:rsidP="0017405C">
            <w:pPr>
              <w:numPr>
                <w:ilvl w:val="0"/>
                <w:numId w:val="5"/>
              </w:numPr>
              <w:spacing w:before="0" w:after="200" w:line="276" w:lineRule="auto"/>
              <w:contextualSpacing/>
              <w:jc w:val="left"/>
              <w:rPr>
                <w:rFonts w:eastAsia="Calibri" w:cs="Times New Roman"/>
                <w:szCs w:val="22"/>
              </w:rPr>
            </w:pPr>
            <w:r w:rsidRPr="00DB116C">
              <w:rPr>
                <w:rFonts w:eastAsia="Calibri" w:cs="Times New Roman"/>
                <w:szCs w:val="22"/>
              </w:rPr>
              <w:t>Securing revenue stream for own business model</w:t>
            </w:r>
          </w:p>
          <w:p w14:paraId="350A3A0B" w14:textId="77777777" w:rsidR="00F67914" w:rsidRPr="00DB116C" w:rsidRDefault="00F67914" w:rsidP="0017405C">
            <w:pPr>
              <w:numPr>
                <w:ilvl w:val="0"/>
                <w:numId w:val="5"/>
              </w:numPr>
              <w:spacing w:before="0" w:after="200" w:line="276" w:lineRule="auto"/>
              <w:contextualSpacing/>
              <w:jc w:val="left"/>
              <w:rPr>
                <w:rFonts w:eastAsia="Calibri" w:cs="Times New Roman"/>
                <w:szCs w:val="22"/>
              </w:rPr>
            </w:pPr>
            <w:r w:rsidRPr="00DB116C">
              <w:rPr>
                <w:rFonts w:eastAsia="Calibri" w:cs="Times New Roman"/>
                <w:szCs w:val="22"/>
              </w:rPr>
              <w:t>Length of time to educate investors</w:t>
            </w:r>
          </w:p>
          <w:p w14:paraId="64619AE6" w14:textId="77777777" w:rsidR="00F67914" w:rsidRPr="00DB116C" w:rsidRDefault="00F67914" w:rsidP="0017405C">
            <w:pPr>
              <w:numPr>
                <w:ilvl w:val="0"/>
                <w:numId w:val="5"/>
              </w:numPr>
              <w:spacing w:before="0" w:after="200" w:line="276" w:lineRule="auto"/>
              <w:contextualSpacing/>
              <w:jc w:val="left"/>
              <w:rPr>
                <w:rFonts w:eastAsia="Calibri" w:cs="Times New Roman"/>
                <w:szCs w:val="22"/>
              </w:rPr>
            </w:pPr>
            <w:r w:rsidRPr="00DB116C">
              <w:rPr>
                <w:rFonts w:eastAsia="Calibri" w:cs="Times New Roman"/>
                <w:szCs w:val="22"/>
              </w:rPr>
              <w:t>Length of time to develop enterprise</w:t>
            </w:r>
          </w:p>
          <w:p w14:paraId="0F8060C5" w14:textId="77777777" w:rsidR="00F67914" w:rsidRPr="00DB116C" w:rsidRDefault="00F67914" w:rsidP="0017405C">
            <w:pPr>
              <w:numPr>
                <w:ilvl w:val="0"/>
                <w:numId w:val="5"/>
              </w:numPr>
              <w:spacing w:before="0" w:after="200" w:line="276" w:lineRule="auto"/>
              <w:contextualSpacing/>
              <w:jc w:val="left"/>
              <w:rPr>
                <w:rFonts w:cs="Times New Roman"/>
                <w:szCs w:val="22"/>
              </w:rPr>
            </w:pPr>
            <w:r w:rsidRPr="00DB116C">
              <w:rPr>
                <w:rFonts w:eastAsia="Calibri" w:cs="Times New Roman"/>
                <w:szCs w:val="22"/>
              </w:rPr>
              <w:t xml:space="preserve">Cost and length of time involved in designing and </w:t>
            </w:r>
            <w:r w:rsidRPr="00DB116C">
              <w:rPr>
                <w:rFonts w:cs="Times New Roman"/>
                <w:szCs w:val="22"/>
              </w:rPr>
              <w:t>establishing deals</w:t>
            </w:r>
          </w:p>
          <w:p w14:paraId="4B0D18AB" w14:textId="77777777" w:rsidR="00F67914" w:rsidRPr="00DB116C" w:rsidRDefault="00F67914" w:rsidP="00F67914">
            <w:pPr>
              <w:spacing w:before="0" w:after="200" w:line="276" w:lineRule="auto"/>
              <w:ind w:left="720"/>
              <w:contextualSpacing/>
              <w:jc w:val="left"/>
              <w:rPr>
                <w:rFonts w:eastAsia="Calibri" w:cs="Times New Roman"/>
                <w:szCs w:val="22"/>
              </w:rPr>
            </w:pPr>
          </w:p>
        </w:tc>
        <w:tc>
          <w:tcPr>
            <w:tcW w:w="5678" w:type="dxa"/>
          </w:tcPr>
          <w:p w14:paraId="50782D50"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In this early stage of the impact investing market, intermediaries play a vital role in connecting investors with businesses seeking capital. However, they struggle to secure a revenue stream for their own business models given that:</w:t>
            </w:r>
          </w:p>
          <w:p w14:paraId="2D6F440F" w14:textId="77777777" w:rsidR="00F67914" w:rsidRPr="00DB116C" w:rsidRDefault="00F67914" w:rsidP="0017405C">
            <w:pPr>
              <w:numPr>
                <w:ilvl w:val="0"/>
                <w:numId w:val="13"/>
              </w:numPr>
              <w:spacing w:before="0" w:after="200" w:line="276" w:lineRule="auto"/>
              <w:contextualSpacing/>
              <w:jc w:val="left"/>
              <w:rPr>
                <w:rFonts w:eastAsia="Calibri" w:cs="Times New Roman"/>
                <w:szCs w:val="22"/>
              </w:rPr>
            </w:pPr>
            <w:r w:rsidRPr="00DB116C">
              <w:rPr>
                <w:rFonts w:eastAsia="Calibri" w:cs="Times New Roman"/>
                <w:szCs w:val="22"/>
              </w:rPr>
              <w:t xml:space="preserve">In this new area of work, there is significant cost and time </w:t>
            </w:r>
            <w:r w:rsidR="0017405C" w:rsidRPr="00DB116C">
              <w:rPr>
                <w:rFonts w:cs="Times New Roman"/>
                <w:szCs w:val="22"/>
              </w:rPr>
              <w:t>involved in designing and establishing deals</w:t>
            </w:r>
            <w:r w:rsidRPr="00DB116C">
              <w:rPr>
                <w:rFonts w:eastAsia="Calibri" w:cs="Times New Roman"/>
                <w:szCs w:val="22"/>
              </w:rPr>
              <w:t xml:space="preserve"> </w:t>
            </w:r>
          </w:p>
          <w:p w14:paraId="2092BFCE" w14:textId="77777777" w:rsidR="00F67914" w:rsidRPr="00DB116C" w:rsidRDefault="00F67914" w:rsidP="0017405C">
            <w:pPr>
              <w:numPr>
                <w:ilvl w:val="0"/>
                <w:numId w:val="13"/>
              </w:numPr>
              <w:spacing w:before="0" w:after="200" w:line="276" w:lineRule="auto"/>
              <w:contextualSpacing/>
              <w:jc w:val="left"/>
              <w:rPr>
                <w:rFonts w:eastAsia="Calibri" w:cs="Times New Roman"/>
                <w:szCs w:val="22"/>
              </w:rPr>
            </w:pPr>
            <w:r w:rsidRPr="00DB116C">
              <w:rPr>
                <w:rFonts w:eastAsia="Calibri" w:cs="Times New Roman"/>
                <w:szCs w:val="22"/>
              </w:rPr>
              <w:t>There is a n</w:t>
            </w:r>
            <w:r w:rsidR="0017405C" w:rsidRPr="00DB116C">
              <w:rPr>
                <w:rFonts w:cs="Times New Roman"/>
                <w:szCs w:val="22"/>
              </w:rPr>
              <w:t xml:space="preserve">eed to educate investors and create </w:t>
            </w:r>
            <w:r w:rsidRPr="00DB116C">
              <w:rPr>
                <w:rFonts w:eastAsia="Calibri" w:cs="Times New Roman"/>
                <w:szCs w:val="22"/>
              </w:rPr>
              <w:t>interest in, and an appetite for,</w:t>
            </w:r>
            <w:r w:rsidR="0017405C" w:rsidRPr="00DB116C">
              <w:rPr>
                <w:rFonts w:cs="Times New Roman"/>
                <w:szCs w:val="22"/>
              </w:rPr>
              <w:t xml:space="preserve"> impact investing</w:t>
            </w:r>
            <w:r w:rsidRPr="00DB116C">
              <w:rPr>
                <w:rFonts w:eastAsia="Calibri" w:cs="Times New Roman"/>
                <w:szCs w:val="22"/>
              </w:rPr>
              <w:t>;</w:t>
            </w:r>
            <w:r w:rsidR="0017405C" w:rsidRPr="00DB116C">
              <w:rPr>
                <w:rFonts w:cs="Times New Roman"/>
                <w:szCs w:val="22"/>
              </w:rPr>
              <w:t xml:space="preserve"> and </w:t>
            </w:r>
          </w:p>
          <w:p w14:paraId="38D4F8D6" w14:textId="77777777" w:rsidR="00F67914" w:rsidRPr="00DB116C" w:rsidRDefault="00F67914" w:rsidP="0017405C">
            <w:pPr>
              <w:numPr>
                <w:ilvl w:val="0"/>
                <w:numId w:val="13"/>
              </w:numPr>
              <w:spacing w:before="0" w:after="0" w:line="276" w:lineRule="auto"/>
              <w:ind w:left="714" w:hanging="357"/>
              <w:contextualSpacing/>
              <w:jc w:val="left"/>
              <w:rPr>
                <w:rFonts w:eastAsia="Calibri" w:cs="Times New Roman"/>
                <w:szCs w:val="22"/>
              </w:rPr>
            </w:pPr>
            <w:r w:rsidRPr="00DB116C">
              <w:rPr>
                <w:rFonts w:eastAsia="Calibri" w:cs="Times New Roman"/>
                <w:szCs w:val="22"/>
              </w:rPr>
              <w:t>Business training and capacity building work is often required to create investable social enterprises.</w:t>
            </w:r>
          </w:p>
          <w:p w14:paraId="5D5AE9A8"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 xml:space="preserve">As part of its enabling role, Government should provide grants to support brokers to design and test deals. </w:t>
            </w:r>
          </w:p>
          <w:p w14:paraId="03C2A98D" w14:textId="77777777" w:rsidR="00F72429" w:rsidRPr="00DB116C" w:rsidRDefault="00F67914" w:rsidP="00F67914">
            <w:pPr>
              <w:spacing w:before="0" w:line="276" w:lineRule="auto"/>
              <w:jc w:val="left"/>
              <w:rPr>
                <w:rFonts w:eastAsia="Calibri" w:cs="Times New Roman"/>
                <w:szCs w:val="22"/>
              </w:rPr>
            </w:pPr>
            <w:r w:rsidRPr="00DB116C">
              <w:rPr>
                <w:rFonts w:eastAsia="Calibri" w:cs="Times New Roman"/>
                <w:szCs w:val="22"/>
              </w:rPr>
              <w:t>Government could also support incubation and acceleration programs tailored to social enterprises to build the pipeline of investable businesses.</w:t>
            </w:r>
          </w:p>
        </w:tc>
      </w:tr>
      <w:tr w:rsidR="00F67914" w:rsidRPr="00DB116C" w14:paraId="66D0AF1C" w14:textId="77777777" w:rsidTr="00F72429">
        <w:tc>
          <w:tcPr>
            <w:tcW w:w="2795" w:type="dxa"/>
          </w:tcPr>
          <w:p w14:paraId="3E6B4F5B"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Service providers (social enterprises – for-profit)</w:t>
            </w:r>
          </w:p>
        </w:tc>
        <w:tc>
          <w:tcPr>
            <w:tcW w:w="5702" w:type="dxa"/>
          </w:tcPr>
          <w:p w14:paraId="35D018AC" w14:textId="77777777" w:rsidR="00F67914" w:rsidRPr="00DB116C" w:rsidRDefault="00F67914" w:rsidP="0017405C">
            <w:pPr>
              <w:numPr>
                <w:ilvl w:val="0"/>
                <w:numId w:val="7"/>
              </w:numPr>
              <w:spacing w:before="0" w:after="200" w:line="276" w:lineRule="auto"/>
              <w:contextualSpacing/>
              <w:jc w:val="left"/>
              <w:rPr>
                <w:rFonts w:eastAsia="Calibri" w:cs="Times New Roman"/>
                <w:szCs w:val="22"/>
              </w:rPr>
            </w:pPr>
            <w:r w:rsidRPr="00DB116C">
              <w:rPr>
                <w:rFonts w:eastAsia="Calibri" w:cs="Times New Roman"/>
                <w:szCs w:val="22"/>
              </w:rPr>
              <w:t>Burdensome requirements for impact measurement</w:t>
            </w:r>
          </w:p>
          <w:p w14:paraId="0B4F4452" w14:textId="77777777" w:rsidR="00F67914" w:rsidRPr="00DB116C" w:rsidRDefault="00F67914" w:rsidP="0017405C">
            <w:pPr>
              <w:numPr>
                <w:ilvl w:val="0"/>
                <w:numId w:val="7"/>
              </w:numPr>
              <w:spacing w:before="0" w:after="200" w:line="276" w:lineRule="auto"/>
              <w:contextualSpacing/>
              <w:jc w:val="left"/>
              <w:rPr>
                <w:rFonts w:eastAsia="Calibri" w:cs="Times New Roman"/>
                <w:szCs w:val="22"/>
              </w:rPr>
            </w:pPr>
            <w:r w:rsidRPr="00DB116C">
              <w:rPr>
                <w:rFonts w:eastAsia="Calibri" w:cs="Times New Roman"/>
                <w:szCs w:val="22"/>
              </w:rPr>
              <w:t>Lack of access to smaller scale finance:</w:t>
            </w:r>
          </w:p>
          <w:p w14:paraId="7AFCBC5A" w14:textId="77777777" w:rsidR="00F67914" w:rsidRPr="00DB116C" w:rsidRDefault="00F67914" w:rsidP="0017405C">
            <w:pPr>
              <w:numPr>
                <w:ilvl w:val="1"/>
                <w:numId w:val="7"/>
              </w:numPr>
              <w:spacing w:before="0" w:after="200" w:line="276" w:lineRule="auto"/>
              <w:contextualSpacing/>
              <w:jc w:val="left"/>
              <w:rPr>
                <w:rFonts w:eastAsia="Calibri" w:cs="Times New Roman"/>
                <w:szCs w:val="22"/>
              </w:rPr>
            </w:pPr>
            <w:r w:rsidRPr="00DB116C">
              <w:rPr>
                <w:rFonts w:eastAsia="Calibri" w:cs="Times New Roman"/>
                <w:szCs w:val="22"/>
              </w:rPr>
              <w:t xml:space="preserve">Impact investors often offer non-competitive interest rates compared to mainstream commercial finance </w:t>
            </w:r>
          </w:p>
          <w:p w14:paraId="4CD2BC3C" w14:textId="77777777" w:rsidR="00F67914" w:rsidRPr="00DB116C" w:rsidRDefault="00F67914" w:rsidP="0017405C">
            <w:pPr>
              <w:numPr>
                <w:ilvl w:val="1"/>
                <w:numId w:val="7"/>
              </w:numPr>
              <w:spacing w:before="0" w:after="200" w:line="276" w:lineRule="auto"/>
              <w:contextualSpacing/>
              <w:jc w:val="left"/>
              <w:rPr>
                <w:rFonts w:cs="Times New Roman"/>
                <w:szCs w:val="22"/>
              </w:rPr>
            </w:pPr>
            <w:r w:rsidRPr="00DB116C">
              <w:rPr>
                <w:rFonts w:eastAsia="Calibri" w:cs="Times New Roman"/>
                <w:szCs w:val="22"/>
              </w:rPr>
              <w:t>There are barriers to equity investment for both institutional and retail investors, as noted above</w:t>
            </w:r>
          </w:p>
        </w:tc>
        <w:tc>
          <w:tcPr>
            <w:tcW w:w="5678" w:type="dxa"/>
          </w:tcPr>
          <w:p w14:paraId="4B8C2715"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 xml:space="preserve">As noted above, the establishment of standards around impact measurement would create efficiencies for social enterprises. It would be important, however, that the standards not be overly complex and that they do not impose prohibitive costs on social enterprises.  </w:t>
            </w:r>
          </w:p>
          <w:p w14:paraId="5AC42FF0"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Crowd-sourced equity financing presents an opportunity for social enterprises. Crowd funding for social and community projects has a successful track record (eg. StartSomeGood; Chuffed; Kiva). Social enterprises should be allowed to raise equity funding through a crowd sourcing portal from a broad base of retail investors. This is likely to require changes to the current regulatory framework around equity fund raising by companies if it is to benefit the majority of social enterprises.</w:t>
            </w:r>
          </w:p>
          <w:p w14:paraId="336FE5D3" w14:textId="77777777" w:rsidR="00F72429"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 xml:space="preserve">Research has shown that crowd sourcing campaigns rely on good business and marketing skills to be successful. Crowd-sourcing platforms often offer guidance and coaching to businesses to run their campaigns. Government could support this work with specific grants aimed at building the marketing and crowd-funding campaign skills of social enterprises. </w:t>
            </w:r>
          </w:p>
        </w:tc>
      </w:tr>
      <w:tr w:rsidR="00F67914" w:rsidRPr="00DB116C" w14:paraId="45744122" w14:textId="77777777" w:rsidTr="00F72429">
        <w:tc>
          <w:tcPr>
            <w:tcW w:w="2795" w:type="dxa"/>
          </w:tcPr>
          <w:p w14:paraId="6EDAAEBE" w14:textId="77777777" w:rsidR="00F67914"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Service providers (DGR, non-profit)</w:t>
            </w:r>
          </w:p>
        </w:tc>
        <w:tc>
          <w:tcPr>
            <w:tcW w:w="5702" w:type="dxa"/>
          </w:tcPr>
          <w:p w14:paraId="566EAC9A" w14:textId="77777777" w:rsidR="00F67914" w:rsidRPr="00DB116C" w:rsidRDefault="00F67914" w:rsidP="0017405C">
            <w:pPr>
              <w:numPr>
                <w:ilvl w:val="0"/>
                <w:numId w:val="8"/>
              </w:numPr>
              <w:spacing w:before="0" w:after="200" w:line="276" w:lineRule="auto"/>
              <w:contextualSpacing/>
              <w:jc w:val="left"/>
              <w:rPr>
                <w:rFonts w:eastAsia="Calibri" w:cs="Times New Roman"/>
                <w:szCs w:val="22"/>
              </w:rPr>
            </w:pPr>
            <w:r w:rsidRPr="00DB116C">
              <w:rPr>
                <w:rFonts w:eastAsia="Calibri" w:cs="Times New Roman"/>
                <w:szCs w:val="22"/>
              </w:rPr>
              <w:t>Restricted by constitution as to methods of financing</w:t>
            </w:r>
          </w:p>
          <w:p w14:paraId="6EE07A44" w14:textId="77777777" w:rsidR="00F67914" w:rsidRPr="00DB116C" w:rsidRDefault="00F67914" w:rsidP="0017405C">
            <w:pPr>
              <w:numPr>
                <w:ilvl w:val="0"/>
                <w:numId w:val="8"/>
              </w:numPr>
              <w:spacing w:before="0" w:after="200" w:line="276" w:lineRule="auto"/>
              <w:contextualSpacing/>
              <w:jc w:val="left"/>
              <w:rPr>
                <w:rFonts w:eastAsia="Calibri" w:cs="Times New Roman"/>
                <w:szCs w:val="22"/>
              </w:rPr>
            </w:pPr>
            <w:r w:rsidRPr="00DB116C">
              <w:rPr>
                <w:rFonts w:eastAsia="Calibri" w:cs="Times New Roman"/>
                <w:szCs w:val="22"/>
              </w:rPr>
              <w:t>Traditional operating model is to accept grants and donations: impact investing can be too complicated for some of these organisations</w:t>
            </w:r>
          </w:p>
        </w:tc>
        <w:tc>
          <w:tcPr>
            <w:tcW w:w="5678" w:type="dxa"/>
          </w:tcPr>
          <w:p w14:paraId="34BF793E" w14:textId="77777777" w:rsidR="00F67914" w:rsidRPr="00DB116C" w:rsidRDefault="00F67914" w:rsidP="00F67914">
            <w:pPr>
              <w:spacing w:before="0" w:line="276" w:lineRule="auto"/>
              <w:jc w:val="left"/>
              <w:rPr>
                <w:rFonts w:eastAsia="Calibri" w:cs="Times New Roman"/>
                <w:szCs w:val="22"/>
              </w:rPr>
            </w:pPr>
            <w:r w:rsidRPr="00DB116C">
              <w:rPr>
                <w:rFonts w:eastAsia="Calibri" w:cs="Times New Roman"/>
                <w:szCs w:val="22"/>
              </w:rPr>
              <w:t>Providing alternative corporate models could assist not-for-profit social enterprises to raise funds through impact investing. The creation of a similar form to UK Community Interest Companies (CICs) could open up opportunities for charities and smaller not-for-profit social enterprises.</w:t>
            </w:r>
          </w:p>
          <w:p w14:paraId="309B00A3" w14:textId="77777777" w:rsidR="00F72429" w:rsidRPr="00DB116C" w:rsidRDefault="00F67914" w:rsidP="00F67914">
            <w:pPr>
              <w:spacing w:before="0" w:after="200" w:line="276" w:lineRule="auto"/>
              <w:jc w:val="left"/>
              <w:rPr>
                <w:rFonts w:eastAsia="Calibri" w:cs="Times New Roman"/>
                <w:szCs w:val="22"/>
              </w:rPr>
            </w:pPr>
            <w:r w:rsidRPr="00DB116C">
              <w:rPr>
                <w:rFonts w:eastAsia="Calibri" w:cs="Times New Roman"/>
                <w:szCs w:val="22"/>
              </w:rPr>
              <w:t>Some level of skills-building would be required to assist not-for-profit social enterprises to become ‘investor ready’. Government may be able to assist by supporting education programs tailored to this sector.</w:t>
            </w:r>
          </w:p>
        </w:tc>
      </w:tr>
    </w:tbl>
    <w:p w14:paraId="3AD529C0" w14:textId="77777777" w:rsidR="00F67914" w:rsidRPr="00DB116C" w:rsidRDefault="00F67914" w:rsidP="00F67914">
      <w:pPr>
        <w:rPr>
          <w:szCs w:val="22"/>
        </w:rPr>
      </w:pPr>
    </w:p>
    <w:p w14:paraId="25C9B4A7" w14:textId="77777777" w:rsidR="00F67914" w:rsidRDefault="00F67914" w:rsidP="00F67914"/>
    <w:p w14:paraId="06F5FBCE" w14:textId="77777777" w:rsidR="00F67914" w:rsidRDefault="00F67914" w:rsidP="00FD5942">
      <w:pPr>
        <w:pStyle w:val="Heading1"/>
        <w:sectPr w:rsidR="00F67914" w:rsidSect="00F67914">
          <w:pgSz w:w="16840" w:h="11900" w:orient="landscape"/>
          <w:pgMar w:top="1440" w:right="1440" w:bottom="1440" w:left="1440" w:header="708" w:footer="708" w:gutter="0"/>
          <w:pgNumType w:start="1"/>
          <w:cols w:space="708"/>
          <w:docGrid w:linePitch="360"/>
        </w:sectPr>
      </w:pPr>
    </w:p>
    <w:p w14:paraId="7605D120" w14:textId="65D0666B" w:rsidR="00F90132" w:rsidRDefault="00E5418F" w:rsidP="00FD5942">
      <w:pPr>
        <w:pStyle w:val="Heading1"/>
      </w:pPr>
      <w:bookmarkStart w:id="8" w:name="_Toc475623611"/>
      <w:r>
        <w:t xml:space="preserve">Contact </w:t>
      </w:r>
      <w:r w:rsidR="00FB5F3E">
        <w:t>information</w:t>
      </w:r>
      <w:bookmarkEnd w:id="8"/>
    </w:p>
    <w:p w14:paraId="5834B05C" w14:textId="77777777" w:rsidR="00E5418F" w:rsidRDefault="00E5418F" w:rsidP="00FB5F3E">
      <w:pPr>
        <w:contextualSpacing/>
      </w:pPr>
      <w:r>
        <w:t>For further information, please contact</w:t>
      </w:r>
    </w:p>
    <w:p w14:paraId="26A9BB83" w14:textId="77777777" w:rsidR="00FB5F3E" w:rsidRDefault="00FB5F3E" w:rsidP="00FB5F3E">
      <w:pPr>
        <w:contextualSpacing/>
      </w:pPr>
    </w:p>
    <w:p w14:paraId="588B6974" w14:textId="25174462" w:rsidR="009B279C" w:rsidRPr="00DB116C" w:rsidRDefault="00E40623" w:rsidP="00FB5F3E">
      <w:pPr>
        <w:contextualSpacing/>
        <w:rPr>
          <w:b/>
        </w:rPr>
      </w:pPr>
      <w:r w:rsidRPr="00DB116C">
        <w:rPr>
          <w:b/>
        </w:rPr>
        <w:t>Associate Professor Danielle Logue</w:t>
      </w:r>
    </w:p>
    <w:p w14:paraId="19E64E14" w14:textId="5458EB32" w:rsidR="00E71787" w:rsidRDefault="00E71787" w:rsidP="00FB5F3E">
      <w:pPr>
        <w:contextualSpacing/>
      </w:pPr>
      <w:r>
        <w:t>Centre for Business and Social Innovation</w:t>
      </w:r>
    </w:p>
    <w:p w14:paraId="31D62D1D" w14:textId="63790D81" w:rsidR="009B279C" w:rsidRDefault="00FB5F3E" w:rsidP="00FB5F3E">
      <w:pPr>
        <w:contextualSpacing/>
      </w:pPr>
      <w:r>
        <w:t xml:space="preserve">Email: </w:t>
      </w:r>
      <w:hyperlink r:id="rId21" w:history="1">
        <w:r w:rsidR="0099645D" w:rsidRPr="00D51DE1">
          <w:rPr>
            <w:rStyle w:val="Hyperlink"/>
          </w:rPr>
          <w:t>Danielle.Logue@uts.edu.au</w:t>
        </w:r>
      </w:hyperlink>
      <w:r>
        <w:t xml:space="preserve"> </w:t>
      </w:r>
    </w:p>
    <w:p w14:paraId="008D84B6" w14:textId="77777777" w:rsidR="00FB5F3E" w:rsidRDefault="00FB5F3E" w:rsidP="00FB5F3E">
      <w:pPr>
        <w:contextualSpacing/>
      </w:pPr>
    </w:p>
    <w:p w14:paraId="013CD596" w14:textId="079835C7" w:rsidR="00FB5F3E" w:rsidRPr="00DB116C" w:rsidRDefault="00971D9B" w:rsidP="00F90132">
      <w:pPr>
        <w:contextualSpacing/>
        <w:rPr>
          <w:b/>
        </w:rPr>
      </w:pPr>
      <w:r w:rsidRPr="00DB116C">
        <w:rPr>
          <w:b/>
        </w:rPr>
        <w:t>Dr Gillian McAllister</w:t>
      </w:r>
    </w:p>
    <w:p w14:paraId="7243ADB6" w14:textId="4154BD7A" w:rsidR="00E71787" w:rsidRDefault="00E71787" w:rsidP="00F90132">
      <w:pPr>
        <w:contextualSpacing/>
      </w:pPr>
      <w:r>
        <w:t>Centre for Business and Social Innovation</w:t>
      </w:r>
    </w:p>
    <w:p w14:paraId="6FF0E543" w14:textId="48E7CA11" w:rsidR="00971D9B" w:rsidRDefault="00E40623" w:rsidP="00F90132">
      <w:pPr>
        <w:contextualSpacing/>
      </w:pPr>
      <w:r>
        <w:t>Senior Researcher</w:t>
      </w:r>
    </w:p>
    <w:p w14:paraId="3682CDFB" w14:textId="10C48532" w:rsidR="00971D9B" w:rsidRDefault="00971D9B">
      <w:r>
        <w:t xml:space="preserve">Email: </w:t>
      </w:r>
      <w:hyperlink r:id="rId22" w:history="1">
        <w:r w:rsidR="00C052CD" w:rsidRPr="007519CB">
          <w:rPr>
            <w:rStyle w:val="Hyperlink"/>
          </w:rPr>
          <w:t>Gillian.mcallister@uts.edu.au</w:t>
        </w:r>
      </w:hyperlink>
    </w:p>
    <w:p w14:paraId="68D06D5E" w14:textId="77777777" w:rsidR="00C052CD" w:rsidRDefault="00C052CD"/>
    <w:p w14:paraId="5E3682DD" w14:textId="3608029A" w:rsidR="00C052CD" w:rsidRDefault="00C052CD">
      <w:pPr>
        <w:spacing w:before="0" w:after="0"/>
        <w:jc w:val="left"/>
      </w:pPr>
    </w:p>
    <w:sectPr w:rsidR="00C052CD" w:rsidSect="00C72743">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06DFA" w14:textId="77777777" w:rsidR="00DB116C" w:rsidRDefault="00DB116C" w:rsidP="00CF3E97">
      <w:pPr>
        <w:spacing w:before="0" w:after="0"/>
      </w:pPr>
      <w:r>
        <w:separator/>
      </w:r>
    </w:p>
  </w:endnote>
  <w:endnote w:type="continuationSeparator" w:id="0">
    <w:p w14:paraId="121C5D28" w14:textId="77777777" w:rsidR="00DB116C" w:rsidRDefault="00DB116C" w:rsidP="00CF3E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0E49" w14:textId="77777777" w:rsidR="00DB116C" w:rsidRDefault="00DB116C" w:rsidP="00125078">
    <w:pPr>
      <w:pStyle w:val="Footer"/>
      <w:pBdr>
        <w:top w:val="dashSmallGap" w:sz="4" w:space="1" w:color="auto"/>
      </w:pBdr>
      <w:tabs>
        <w:tab w:val="center" w:pos="4680"/>
        <w:tab w:val="right" w:pos="9720"/>
      </w:tabs>
      <w:rPr>
        <w:sz w:val="16"/>
        <w:szCs w:val="16"/>
      </w:rPr>
    </w:pPr>
  </w:p>
  <w:p w14:paraId="3FD4DCBA" w14:textId="5317A7E4" w:rsidR="00DB116C" w:rsidRPr="00972998" w:rsidRDefault="00DB116C" w:rsidP="00125078">
    <w:pPr>
      <w:pStyle w:val="Footer"/>
      <w:tabs>
        <w:tab w:val="right" w:pos="9990"/>
      </w:tabs>
      <w:rPr>
        <w:rFonts w:cs="Arial"/>
        <w:sz w:val="16"/>
        <w:szCs w:val="16"/>
      </w:rPr>
    </w:pPr>
    <w:r w:rsidRPr="007F2D96">
      <w:rPr>
        <w:rFonts w:cs="Arial"/>
        <w:sz w:val="16"/>
        <w:szCs w:val="16"/>
      </w:rPr>
      <w:tab/>
    </w:r>
    <w:r w:rsidRPr="007F2D96">
      <w:rPr>
        <w:rStyle w:val="PageNumber"/>
        <w:rFonts w:eastAsiaTheme="majorEastAsia" w:cs="Arial"/>
        <w:sz w:val="16"/>
        <w:szCs w:val="16"/>
      </w:rPr>
      <w:fldChar w:fldCharType="begin"/>
    </w:r>
    <w:r w:rsidRPr="007F2D96">
      <w:rPr>
        <w:rStyle w:val="PageNumber"/>
        <w:rFonts w:eastAsiaTheme="majorEastAsia" w:cs="Arial"/>
        <w:sz w:val="16"/>
        <w:szCs w:val="16"/>
      </w:rPr>
      <w:instrText xml:space="preserve"> PAGE </w:instrText>
    </w:r>
    <w:r w:rsidRPr="007F2D96">
      <w:rPr>
        <w:rStyle w:val="PageNumber"/>
        <w:rFonts w:eastAsiaTheme="majorEastAsia" w:cs="Arial"/>
        <w:sz w:val="16"/>
        <w:szCs w:val="16"/>
      </w:rPr>
      <w:fldChar w:fldCharType="separate"/>
    </w:r>
    <w:r w:rsidR="00D31F7D">
      <w:rPr>
        <w:rStyle w:val="PageNumber"/>
        <w:rFonts w:eastAsiaTheme="majorEastAsia" w:cs="Arial"/>
        <w:noProof/>
        <w:sz w:val="16"/>
        <w:szCs w:val="16"/>
      </w:rPr>
      <w:t>ii</w:t>
    </w:r>
    <w:r w:rsidRPr="007F2D96">
      <w:rPr>
        <w:rStyle w:val="PageNumber"/>
        <w:rFonts w:eastAsiaTheme="majorEastAsia"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0158" w14:textId="77777777" w:rsidR="00DB116C" w:rsidRDefault="00DB116C" w:rsidP="00CF3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F8081" w14:textId="77777777" w:rsidR="00DB116C" w:rsidRDefault="00DB1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F8F9" w14:textId="77777777" w:rsidR="00DB116C" w:rsidRDefault="00DB116C" w:rsidP="00C72743">
    <w:pPr>
      <w:pStyle w:val="Footer"/>
      <w:framePr w:wrap="around" w:vAnchor="text" w:hAnchor="page" w:x="5941" w:y="-22"/>
      <w:rPr>
        <w:rStyle w:val="PageNumber"/>
      </w:rPr>
    </w:pPr>
    <w:r>
      <w:rPr>
        <w:rStyle w:val="PageNumber"/>
      </w:rPr>
      <w:fldChar w:fldCharType="begin"/>
    </w:r>
    <w:r>
      <w:rPr>
        <w:rStyle w:val="PageNumber"/>
      </w:rPr>
      <w:instrText xml:space="preserve">PAGE  </w:instrText>
    </w:r>
    <w:r>
      <w:rPr>
        <w:rStyle w:val="PageNumber"/>
      </w:rPr>
      <w:fldChar w:fldCharType="separate"/>
    </w:r>
    <w:r w:rsidR="000F721C">
      <w:rPr>
        <w:rStyle w:val="PageNumber"/>
        <w:noProof/>
      </w:rPr>
      <w:t>1</w:t>
    </w:r>
    <w:r>
      <w:rPr>
        <w:rStyle w:val="PageNumber"/>
      </w:rPr>
      <w:fldChar w:fldCharType="end"/>
    </w:r>
  </w:p>
  <w:p w14:paraId="107B4B11" w14:textId="77777777" w:rsidR="00DB116C" w:rsidRDefault="00DB1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A7C8" w14:textId="77777777" w:rsidR="00DB116C" w:rsidRDefault="00DB116C" w:rsidP="00CF3E97">
      <w:pPr>
        <w:spacing w:before="0" w:after="0"/>
      </w:pPr>
      <w:r>
        <w:separator/>
      </w:r>
    </w:p>
  </w:footnote>
  <w:footnote w:type="continuationSeparator" w:id="0">
    <w:p w14:paraId="0FB4CFDC" w14:textId="77777777" w:rsidR="00DB116C" w:rsidRDefault="00DB116C" w:rsidP="00CF3E97">
      <w:pPr>
        <w:spacing w:before="0" w:after="0"/>
      </w:pPr>
      <w:r>
        <w:continuationSeparator/>
      </w:r>
    </w:p>
  </w:footnote>
  <w:footnote w:id="1">
    <w:p w14:paraId="629E46D8" w14:textId="634D8F9D" w:rsidR="00DB116C" w:rsidRDefault="00DB116C" w:rsidP="0099645D">
      <w:pPr>
        <w:pStyle w:val="FootnoteText"/>
      </w:pPr>
      <w:r>
        <w:rPr>
          <w:rStyle w:val="FootnoteReference"/>
        </w:rPr>
        <w:footnoteRef/>
      </w:r>
      <w:r>
        <w:t xml:space="preserve"> See for example, </w:t>
      </w:r>
      <w:hyperlink r:id="rId1" w:history="1">
        <w:r w:rsidRPr="00BB539C">
          <w:rPr>
            <w:rStyle w:val="Hyperlink"/>
          </w:rPr>
          <w:t>https://theconversation.com/social-stock-exchanges-do-we-need-them-35898</w:t>
        </w:r>
      </w:hyperlink>
      <w:r>
        <w:t xml:space="preserve"> and </w:t>
      </w:r>
      <w:r w:rsidRPr="005F7721">
        <w:t>https://www.uts.edu.au/about/uts-business-school/news/arc-funds-projects-informing-health-economic-and-social-policy</w:t>
      </w:r>
    </w:p>
  </w:footnote>
  <w:footnote w:id="2">
    <w:p w14:paraId="3EBB9FF9" w14:textId="77777777" w:rsidR="00DB116C" w:rsidRPr="002478CA" w:rsidRDefault="00DB116C" w:rsidP="0099645D">
      <w:pPr>
        <w:pStyle w:val="FootnoteText"/>
      </w:pPr>
      <w:r>
        <w:rPr>
          <w:rStyle w:val="FootnoteReference"/>
        </w:rPr>
        <w:footnoteRef/>
      </w:r>
      <w:r>
        <w:t xml:space="preserve"> </w:t>
      </w:r>
      <w:r w:rsidRPr="000303B3">
        <w:t>https://convergence.finance/design-funding/open-window</w:t>
      </w:r>
    </w:p>
  </w:footnote>
  <w:footnote w:id="3">
    <w:p w14:paraId="3EF4F3D1" w14:textId="1B670891" w:rsidR="00DB116C" w:rsidRPr="00A00501" w:rsidRDefault="00DB116C" w:rsidP="00A00501">
      <w:pPr>
        <w:spacing w:before="0" w:after="0"/>
        <w:jc w:val="left"/>
        <w:rPr>
          <w:sz w:val="20"/>
          <w:szCs w:val="20"/>
        </w:rPr>
      </w:pPr>
      <w:r>
        <w:rPr>
          <w:rStyle w:val="FootnoteReference"/>
        </w:rPr>
        <w:footnoteRef/>
      </w:r>
      <w:r>
        <w:t xml:space="preserve"> </w:t>
      </w:r>
      <w:hyperlink r:id="rId2" w:history="1">
        <w:r w:rsidRPr="00A00501">
          <w:rPr>
            <w:rStyle w:val="Hyperlink"/>
            <w:sz w:val="20"/>
            <w:szCs w:val="20"/>
          </w:rPr>
          <w:t>https://www.gov.uk/government/publications/social-investment-tax-relief-factsheet/social-investment-tax-relief</w:t>
        </w:r>
      </w:hyperlink>
    </w:p>
  </w:footnote>
  <w:footnote w:id="4">
    <w:p w14:paraId="563A6307" w14:textId="77777777" w:rsidR="00DB116C" w:rsidRDefault="00DB116C" w:rsidP="0099645D">
      <w:pPr>
        <w:pStyle w:val="FootnoteText"/>
      </w:pPr>
      <w:r>
        <w:rPr>
          <w:rStyle w:val="FootnoteReference"/>
        </w:rPr>
        <w:footnoteRef/>
      </w:r>
      <w:r>
        <w:t xml:space="preserve"> </w:t>
      </w:r>
      <w:r w:rsidRPr="008C4B94">
        <w:t>http://www.innovation.gov.au/page/tax-incentives-investors</w:t>
      </w:r>
    </w:p>
  </w:footnote>
  <w:footnote w:id="5">
    <w:p w14:paraId="560087CB" w14:textId="4BEFC08B" w:rsidR="00DB116C" w:rsidRDefault="00DB116C">
      <w:pPr>
        <w:pStyle w:val="FootnoteText"/>
      </w:pPr>
      <w:r>
        <w:rPr>
          <w:rStyle w:val="FootnoteReference"/>
        </w:rPr>
        <w:footnoteRef/>
      </w:r>
      <w:r>
        <w:t xml:space="preserve"> The NAB Impact Investment Readiness Fund is an example of this type of support. </w:t>
      </w:r>
      <w:r w:rsidRPr="00A00501">
        <w:t xml:space="preserve">The fund offers grants up to $100,000 for not-for-profit organisations and social enterprises to purchase specialised capacity building support from advisory, financial, intermediary and legal service providers. </w:t>
      </w:r>
      <w:r>
        <w:t xml:space="preserve">See: </w:t>
      </w:r>
      <w:r w:rsidRPr="00A00501">
        <w:t>https://www.nab.com.au/about-us/corporate-responsibility/shareholders/impact-investment</w:t>
      </w:r>
    </w:p>
  </w:footnote>
  <w:footnote w:id="6">
    <w:p w14:paraId="74CAD662" w14:textId="77777777" w:rsidR="00DB116C" w:rsidRDefault="00DB116C" w:rsidP="00F67914">
      <w:pPr>
        <w:pStyle w:val="FootnoteText"/>
      </w:pPr>
      <w:r>
        <w:rPr>
          <w:rStyle w:val="FootnoteReference"/>
        </w:rPr>
        <w:footnoteRef/>
      </w:r>
      <w:r>
        <w:t xml:space="preserve"> </w:t>
      </w:r>
      <w:r w:rsidRPr="00984413">
        <w:t>https://chuffed.org</w:t>
      </w:r>
    </w:p>
  </w:footnote>
  <w:footnote w:id="7">
    <w:p w14:paraId="248F6111" w14:textId="77777777" w:rsidR="00DB116C" w:rsidRDefault="00DB116C" w:rsidP="00F67914">
      <w:pPr>
        <w:pStyle w:val="FootnoteText"/>
      </w:pPr>
      <w:r>
        <w:rPr>
          <w:rStyle w:val="FootnoteReference"/>
        </w:rPr>
        <w:footnoteRef/>
      </w:r>
      <w:r>
        <w:t xml:space="preserve"> </w:t>
      </w:r>
      <w:r w:rsidRPr="00984413">
        <w:t>https://chuffed.org/blog/the-social-benefit-company</w:t>
      </w:r>
    </w:p>
  </w:footnote>
  <w:footnote w:id="8">
    <w:p w14:paraId="2B8B9F92" w14:textId="77777777" w:rsidR="00DB116C" w:rsidRDefault="00DB116C" w:rsidP="00FA1ADA">
      <w:pPr>
        <w:pStyle w:val="FootnoteText"/>
        <w:jc w:val="left"/>
      </w:pPr>
      <w:r>
        <w:rPr>
          <w:rStyle w:val="FootnoteReference"/>
        </w:rPr>
        <w:footnoteRef/>
      </w:r>
      <w:r>
        <w:t xml:space="preserve"> </w:t>
      </w:r>
      <w:r w:rsidRPr="00984413">
        <w:t>http://www.startupdaily.net/2016/03/non-profit-crowdfunding-platform-chuffed-org-raises-1-1-million-seed-round-led-blackbird-ventures/</w:t>
      </w:r>
      <w:r>
        <w:t xml:space="preserve"> </w:t>
      </w:r>
    </w:p>
  </w:footnote>
  <w:footnote w:id="9">
    <w:p w14:paraId="26756813" w14:textId="77777777" w:rsidR="00DB116C" w:rsidRDefault="00DB116C" w:rsidP="00F67914">
      <w:pPr>
        <w:pStyle w:val="FootnoteText"/>
      </w:pPr>
      <w:r>
        <w:rPr>
          <w:rStyle w:val="FootnoteReference"/>
        </w:rPr>
        <w:footnoteRef/>
      </w:r>
      <w:r>
        <w:t xml:space="preserve"> </w:t>
      </w:r>
      <w:r w:rsidRPr="00984413">
        <w:t>https://chuffed.org/blog/the-social-benefit-company</w:t>
      </w:r>
    </w:p>
  </w:footnote>
  <w:footnote w:id="10">
    <w:p w14:paraId="0126780C" w14:textId="77777777" w:rsidR="00DB116C" w:rsidRDefault="00DB116C" w:rsidP="00FA1ADA">
      <w:pPr>
        <w:pStyle w:val="FootnoteText"/>
        <w:jc w:val="left"/>
      </w:pPr>
      <w:r>
        <w:rPr>
          <w:rStyle w:val="FootnoteReference"/>
        </w:rPr>
        <w:footnoteRef/>
      </w:r>
      <w:r>
        <w:t xml:space="preserve"> </w:t>
      </w:r>
      <w:r w:rsidRPr="006B1F35">
        <w:t>http://www.thirdsector.co.uk/analysis-rise-rise-community-interest-companies/governance/article/1348096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A64B" w14:textId="3262EDD7" w:rsidR="00DB116C" w:rsidRPr="00483635" w:rsidRDefault="00DB116C" w:rsidP="00125078">
    <w:pPr>
      <w:pBdr>
        <w:bottom w:val="single" w:sz="4" w:space="1" w:color="auto"/>
      </w:pBdr>
      <w:tabs>
        <w:tab w:val="right" w:pos="9356"/>
      </w:tabs>
      <w:jc w:val="center"/>
      <w:rPr>
        <w:rFonts w:cs="Arial"/>
        <w:sz w:val="20"/>
        <w:szCs w:val="20"/>
      </w:rPr>
    </w:pPr>
    <w:r>
      <w:rPr>
        <w:rFonts w:cs="Arial"/>
        <w:sz w:val="20"/>
        <w:szCs w:val="20"/>
      </w:rPr>
      <w:t>Submission on the Social Impact Investing Discussion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FDA"/>
    <w:multiLevelType w:val="hybridMultilevel"/>
    <w:tmpl w:val="0F6865EA"/>
    <w:lvl w:ilvl="0" w:tplc="F0464B88">
      <w:start w:val="1"/>
      <w:numFmt w:val="bullet"/>
      <w:pStyle w:val="ListParagraph"/>
      <w:lvlText w:val=""/>
      <w:lvlJc w:val="left"/>
      <w:pPr>
        <w:tabs>
          <w:tab w:val="num" w:pos="283"/>
        </w:tabs>
        <w:ind w:left="283" w:hanging="283"/>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F434C"/>
    <w:multiLevelType w:val="hybridMultilevel"/>
    <w:tmpl w:val="046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27D85"/>
    <w:multiLevelType w:val="hybridMultilevel"/>
    <w:tmpl w:val="3CC8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0465E"/>
    <w:multiLevelType w:val="hybridMultilevel"/>
    <w:tmpl w:val="A72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2235F"/>
    <w:multiLevelType w:val="hybridMultilevel"/>
    <w:tmpl w:val="50EE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5325A"/>
    <w:multiLevelType w:val="hybridMultilevel"/>
    <w:tmpl w:val="B202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95F5C"/>
    <w:multiLevelType w:val="hybridMultilevel"/>
    <w:tmpl w:val="318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52B15"/>
    <w:multiLevelType w:val="hybridMultilevel"/>
    <w:tmpl w:val="E05E3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E90531"/>
    <w:multiLevelType w:val="hybridMultilevel"/>
    <w:tmpl w:val="900A3A42"/>
    <w:lvl w:ilvl="0" w:tplc="A0DCAE2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A0E5B"/>
    <w:multiLevelType w:val="hybridMultilevel"/>
    <w:tmpl w:val="8F72A190"/>
    <w:lvl w:ilvl="0" w:tplc="7C9282E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8B2441B"/>
    <w:multiLevelType w:val="hybridMultilevel"/>
    <w:tmpl w:val="E5E05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F60AD"/>
    <w:multiLevelType w:val="hybridMultilevel"/>
    <w:tmpl w:val="4364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52E3E"/>
    <w:multiLevelType w:val="hybridMultilevel"/>
    <w:tmpl w:val="6BC6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3"/>
  </w:num>
  <w:num w:numId="6">
    <w:abstractNumId w:val="1"/>
  </w:num>
  <w:num w:numId="7">
    <w:abstractNumId w:val="7"/>
  </w:num>
  <w:num w:numId="8">
    <w:abstractNumId w:val="10"/>
  </w:num>
  <w:num w:numId="9">
    <w:abstractNumId w:val="5"/>
  </w:num>
  <w:num w:numId="10">
    <w:abstractNumId w:val="2"/>
  </w:num>
  <w:num w:numId="11">
    <w:abstractNumId w:val="12"/>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6F"/>
    <w:rsid w:val="00020EF2"/>
    <w:rsid w:val="00022EDA"/>
    <w:rsid w:val="00023890"/>
    <w:rsid w:val="00036E10"/>
    <w:rsid w:val="000548CF"/>
    <w:rsid w:val="00062067"/>
    <w:rsid w:val="00067AAA"/>
    <w:rsid w:val="0009001D"/>
    <w:rsid w:val="00091C28"/>
    <w:rsid w:val="000D2D2C"/>
    <w:rsid w:val="000E52CD"/>
    <w:rsid w:val="000F0941"/>
    <w:rsid w:val="000F721C"/>
    <w:rsid w:val="00105FC2"/>
    <w:rsid w:val="00112F03"/>
    <w:rsid w:val="00116950"/>
    <w:rsid w:val="00125078"/>
    <w:rsid w:val="001267F6"/>
    <w:rsid w:val="00127709"/>
    <w:rsid w:val="00142B8A"/>
    <w:rsid w:val="00150597"/>
    <w:rsid w:val="00161B4C"/>
    <w:rsid w:val="001634AA"/>
    <w:rsid w:val="0017405C"/>
    <w:rsid w:val="00182E3D"/>
    <w:rsid w:val="00193966"/>
    <w:rsid w:val="001A71C3"/>
    <w:rsid w:val="001C3F4B"/>
    <w:rsid w:val="001C636F"/>
    <w:rsid w:val="001D41D2"/>
    <w:rsid w:val="001F5106"/>
    <w:rsid w:val="001F54B1"/>
    <w:rsid w:val="00233960"/>
    <w:rsid w:val="0024586F"/>
    <w:rsid w:val="00247DE6"/>
    <w:rsid w:val="002504CB"/>
    <w:rsid w:val="00266DD5"/>
    <w:rsid w:val="002738BC"/>
    <w:rsid w:val="00280F3A"/>
    <w:rsid w:val="00290378"/>
    <w:rsid w:val="002973F7"/>
    <w:rsid w:val="002B290F"/>
    <w:rsid w:val="002C2A91"/>
    <w:rsid w:val="002C42E2"/>
    <w:rsid w:val="002D6C97"/>
    <w:rsid w:val="002E35C4"/>
    <w:rsid w:val="002E4077"/>
    <w:rsid w:val="002E7C05"/>
    <w:rsid w:val="002F390F"/>
    <w:rsid w:val="00301FFA"/>
    <w:rsid w:val="00303DD8"/>
    <w:rsid w:val="0032248E"/>
    <w:rsid w:val="00331A6E"/>
    <w:rsid w:val="003356D9"/>
    <w:rsid w:val="0033778B"/>
    <w:rsid w:val="00350686"/>
    <w:rsid w:val="003615B1"/>
    <w:rsid w:val="003732D2"/>
    <w:rsid w:val="003766F3"/>
    <w:rsid w:val="003A09D8"/>
    <w:rsid w:val="003C2E24"/>
    <w:rsid w:val="00410E13"/>
    <w:rsid w:val="00423D4B"/>
    <w:rsid w:val="00442130"/>
    <w:rsid w:val="00442947"/>
    <w:rsid w:val="004471EA"/>
    <w:rsid w:val="00454CFF"/>
    <w:rsid w:val="00462C1B"/>
    <w:rsid w:val="004929E2"/>
    <w:rsid w:val="00494334"/>
    <w:rsid w:val="00494559"/>
    <w:rsid w:val="004A1807"/>
    <w:rsid w:val="004A2DD4"/>
    <w:rsid w:val="004B3B1A"/>
    <w:rsid w:val="004B4682"/>
    <w:rsid w:val="004B6F13"/>
    <w:rsid w:val="004C1892"/>
    <w:rsid w:val="004C1FA0"/>
    <w:rsid w:val="004D1F38"/>
    <w:rsid w:val="004D7FEF"/>
    <w:rsid w:val="004E126C"/>
    <w:rsid w:val="004E6484"/>
    <w:rsid w:val="00513CD9"/>
    <w:rsid w:val="00526A66"/>
    <w:rsid w:val="00543E76"/>
    <w:rsid w:val="005513AB"/>
    <w:rsid w:val="00564373"/>
    <w:rsid w:val="0057610F"/>
    <w:rsid w:val="005769DE"/>
    <w:rsid w:val="00591AB2"/>
    <w:rsid w:val="00596F3E"/>
    <w:rsid w:val="005B3713"/>
    <w:rsid w:val="005D22A2"/>
    <w:rsid w:val="005D71A3"/>
    <w:rsid w:val="005E76BE"/>
    <w:rsid w:val="005F447B"/>
    <w:rsid w:val="00623AB6"/>
    <w:rsid w:val="006251E2"/>
    <w:rsid w:val="00625ED5"/>
    <w:rsid w:val="0067052D"/>
    <w:rsid w:val="00670F86"/>
    <w:rsid w:val="00683FE3"/>
    <w:rsid w:val="00690083"/>
    <w:rsid w:val="00691EAA"/>
    <w:rsid w:val="00695A82"/>
    <w:rsid w:val="006A1CD7"/>
    <w:rsid w:val="006A3A19"/>
    <w:rsid w:val="006A6D87"/>
    <w:rsid w:val="006B224E"/>
    <w:rsid w:val="006C57DB"/>
    <w:rsid w:val="006D0F22"/>
    <w:rsid w:val="00741C39"/>
    <w:rsid w:val="00744168"/>
    <w:rsid w:val="0075099C"/>
    <w:rsid w:val="007520CD"/>
    <w:rsid w:val="00761634"/>
    <w:rsid w:val="00770264"/>
    <w:rsid w:val="00794AE9"/>
    <w:rsid w:val="007B0AD3"/>
    <w:rsid w:val="007B7EC6"/>
    <w:rsid w:val="007C4236"/>
    <w:rsid w:val="008168B5"/>
    <w:rsid w:val="00827558"/>
    <w:rsid w:val="00827B51"/>
    <w:rsid w:val="00843D44"/>
    <w:rsid w:val="00851D78"/>
    <w:rsid w:val="00857DEA"/>
    <w:rsid w:val="00895C7C"/>
    <w:rsid w:val="008C064E"/>
    <w:rsid w:val="008C201D"/>
    <w:rsid w:val="008C2381"/>
    <w:rsid w:val="008C32D9"/>
    <w:rsid w:val="008C6B70"/>
    <w:rsid w:val="008D614D"/>
    <w:rsid w:val="008F2C03"/>
    <w:rsid w:val="0091155C"/>
    <w:rsid w:val="00922AD7"/>
    <w:rsid w:val="00924893"/>
    <w:rsid w:val="00933789"/>
    <w:rsid w:val="00933881"/>
    <w:rsid w:val="00941337"/>
    <w:rsid w:val="00971D9B"/>
    <w:rsid w:val="00975EB4"/>
    <w:rsid w:val="0099645D"/>
    <w:rsid w:val="009B279C"/>
    <w:rsid w:val="009C68F3"/>
    <w:rsid w:val="009D1732"/>
    <w:rsid w:val="009F6465"/>
    <w:rsid w:val="00A00501"/>
    <w:rsid w:val="00A156D6"/>
    <w:rsid w:val="00A345D3"/>
    <w:rsid w:val="00A47FBD"/>
    <w:rsid w:val="00A52024"/>
    <w:rsid w:val="00A8133B"/>
    <w:rsid w:val="00A931AC"/>
    <w:rsid w:val="00AA359D"/>
    <w:rsid w:val="00AB2E60"/>
    <w:rsid w:val="00AB526C"/>
    <w:rsid w:val="00AC7C84"/>
    <w:rsid w:val="00AD647F"/>
    <w:rsid w:val="00B045DB"/>
    <w:rsid w:val="00B257E7"/>
    <w:rsid w:val="00B36106"/>
    <w:rsid w:val="00B405D9"/>
    <w:rsid w:val="00B51BE4"/>
    <w:rsid w:val="00B532F5"/>
    <w:rsid w:val="00B61782"/>
    <w:rsid w:val="00B724F9"/>
    <w:rsid w:val="00B86527"/>
    <w:rsid w:val="00B931CC"/>
    <w:rsid w:val="00BB4477"/>
    <w:rsid w:val="00BC252F"/>
    <w:rsid w:val="00BD09E0"/>
    <w:rsid w:val="00BE2E83"/>
    <w:rsid w:val="00C052CD"/>
    <w:rsid w:val="00C056EB"/>
    <w:rsid w:val="00C260D7"/>
    <w:rsid w:val="00C35ACA"/>
    <w:rsid w:val="00C72743"/>
    <w:rsid w:val="00C768E2"/>
    <w:rsid w:val="00C8349D"/>
    <w:rsid w:val="00CA0724"/>
    <w:rsid w:val="00CA38C0"/>
    <w:rsid w:val="00CA49C9"/>
    <w:rsid w:val="00CB05F0"/>
    <w:rsid w:val="00CD3A9B"/>
    <w:rsid w:val="00CD45D4"/>
    <w:rsid w:val="00CD6BD7"/>
    <w:rsid w:val="00CE02D0"/>
    <w:rsid w:val="00CE5BFC"/>
    <w:rsid w:val="00CF3E97"/>
    <w:rsid w:val="00D07BC3"/>
    <w:rsid w:val="00D10E11"/>
    <w:rsid w:val="00D14206"/>
    <w:rsid w:val="00D25EA9"/>
    <w:rsid w:val="00D31F7D"/>
    <w:rsid w:val="00D33422"/>
    <w:rsid w:val="00D61597"/>
    <w:rsid w:val="00D66733"/>
    <w:rsid w:val="00D750DB"/>
    <w:rsid w:val="00D82AD5"/>
    <w:rsid w:val="00D85113"/>
    <w:rsid w:val="00D90426"/>
    <w:rsid w:val="00DB116C"/>
    <w:rsid w:val="00DB1D5B"/>
    <w:rsid w:val="00DB74C5"/>
    <w:rsid w:val="00DB79CE"/>
    <w:rsid w:val="00DE40E3"/>
    <w:rsid w:val="00DF3529"/>
    <w:rsid w:val="00DF6B2D"/>
    <w:rsid w:val="00E06FBF"/>
    <w:rsid w:val="00E40623"/>
    <w:rsid w:val="00E43042"/>
    <w:rsid w:val="00E47748"/>
    <w:rsid w:val="00E5418F"/>
    <w:rsid w:val="00E630CB"/>
    <w:rsid w:val="00E67B3C"/>
    <w:rsid w:val="00E67C7B"/>
    <w:rsid w:val="00E71787"/>
    <w:rsid w:val="00E72A3E"/>
    <w:rsid w:val="00E95E14"/>
    <w:rsid w:val="00EA5A85"/>
    <w:rsid w:val="00EB0E51"/>
    <w:rsid w:val="00EB346A"/>
    <w:rsid w:val="00EB4449"/>
    <w:rsid w:val="00EC2752"/>
    <w:rsid w:val="00ED4269"/>
    <w:rsid w:val="00EE74A7"/>
    <w:rsid w:val="00F136A4"/>
    <w:rsid w:val="00F27BD0"/>
    <w:rsid w:val="00F43E8D"/>
    <w:rsid w:val="00F451A5"/>
    <w:rsid w:val="00F52AC4"/>
    <w:rsid w:val="00F642F9"/>
    <w:rsid w:val="00F67914"/>
    <w:rsid w:val="00F7005D"/>
    <w:rsid w:val="00F71250"/>
    <w:rsid w:val="00F72429"/>
    <w:rsid w:val="00F74869"/>
    <w:rsid w:val="00F8286C"/>
    <w:rsid w:val="00F90132"/>
    <w:rsid w:val="00FA1ADA"/>
    <w:rsid w:val="00FA5AF8"/>
    <w:rsid w:val="00FB5F3E"/>
    <w:rsid w:val="00FB63E8"/>
    <w:rsid w:val="00FB7DAE"/>
    <w:rsid w:val="00FD14DD"/>
    <w:rsid w:val="00FD5942"/>
    <w:rsid w:val="00FE366C"/>
    <w:rsid w:val="00FF317E"/>
    <w:rsid w:val="00FF39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470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E6"/>
    <w:pPr>
      <w:spacing w:before="120" w:after="120"/>
      <w:jc w:val="both"/>
    </w:pPr>
    <w:rPr>
      <w:rFonts w:asciiTheme="majorHAnsi" w:hAnsiTheme="majorHAnsi"/>
      <w:sz w:val="22"/>
    </w:rPr>
  </w:style>
  <w:style w:type="paragraph" w:styleId="Heading1">
    <w:name w:val="heading 1"/>
    <w:basedOn w:val="Normal"/>
    <w:next w:val="Normal"/>
    <w:link w:val="Heading1Char"/>
    <w:uiPriority w:val="9"/>
    <w:qFormat/>
    <w:rsid w:val="00125078"/>
    <w:pPr>
      <w:keepNext/>
      <w:keepLines/>
      <w:spacing w:before="360"/>
      <w:ind w:left="431" w:hanging="431"/>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49C9"/>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D1F38"/>
    <w:pPr>
      <w:keepNext/>
      <w:keepLines/>
      <w:numPr>
        <w:numId w:val="2"/>
      </w:numPr>
      <w:spacing w:before="240"/>
      <w:ind w:left="357" w:hanging="357"/>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8"/>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link w:val="ListParagraphChar"/>
    <w:uiPriority w:val="34"/>
    <w:qFormat/>
    <w:rsid w:val="00FD5942"/>
    <w:pPr>
      <w:numPr>
        <w:numId w:val="1"/>
      </w:numPr>
      <w:tabs>
        <w:tab w:val="left" w:pos="851"/>
        <w:tab w:val="left" w:pos="1134"/>
        <w:tab w:val="left" w:pos="1440"/>
      </w:tabs>
      <w:contextualSpacing/>
    </w:pPr>
  </w:style>
  <w:style w:type="character" w:customStyle="1" w:styleId="ListParagraphChar">
    <w:name w:val="List Paragraph Char"/>
    <w:link w:val="ListParagraph"/>
    <w:uiPriority w:val="34"/>
    <w:locked/>
    <w:rsid w:val="00FD5942"/>
    <w:rPr>
      <w:rFonts w:asciiTheme="majorHAnsi" w:hAnsiTheme="majorHAnsi"/>
      <w:sz w:val="22"/>
    </w:rPr>
  </w:style>
  <w:style w:type="paragraph" w:styleId="Quote">
    <w:name w:val="Quote"/>
    <w:basedOn w:val="Normal"/>
    <w:next w:val="Normal"/>
    <w:link w:val="QuoteChar"/>
    <w:uiPriority w:val="29"/>
    <w:qFormat/>
    <w:rsid w:val="00233960"/>
    <w:pPr>
      <w:spacing w:line="216" w:lineRule="auto"/>
      <w:ind w:left="567" w:right="567"/>
    </w:pPr>
    <w:rPr>
      <w:iCs/>
      <w:color w:val="000000" w:themeColor="text1"/>
      <w:sz w:val="20"/>
    </w:rPr>
  </w:style>
  <w:style w:type="character" w:customStyle="1" w:styleId="QuoteChar">
    <w:name w:val="Quote Char"/>
    <w:basedOn w:val="DefaultParagraphFont"/>
    <w:link w:val="Quote"/>
    <w:uiPriority w:val="29"/>
    <w:rsid w:val="00233960"/>
    <w:rPr>
      <w:rFonts w:asciiTheme="majorHAnsi" w:hAnsiTheme="majorHAnsi"/>
      <w:iCs/>
      <w:color w:val="000000" w:themeColor="text1"/>
      <w:sz w:val="20"/>
    </w:rPr>
  </w:style>
  <w:style w:type="paragraph" w:styleId="Caption">
    <w:name w:val="caption"/>
    <w:basedOn w:val="Normal"/>
    <w:next w:val="Normal"/>
    <w:uiPriority w:val="35"/>
    <w:unhideWhenUsed/>
    <w:qFormat/>
    <w:rsid w:val="00E47748"/>
    <w:pPr>
      <w:spacing w:after="0"/>
    </w:pPr>
    <w:rPr>
      <w:b/>
      <w:bCs/>
      <w:color w:val="4F81BD" w:themeColor="accent1"/>
      <w:szCs w:val="18"/>
    </w:rPr>
  </w:style>
  <w:style w:type="paragraph" w:styleId="BalloonText">
    <w:name w:val="Balloon Text"/>
    <w:basedOn w:val="Normal"/>
    <w:link w:val="BalloonTextChar"/>
    <w:uiPriority w:val="99"/>
    <w:semiHidden/>
    <w:unhideWhenUsed/>
    <w:rsid w:val="00A931A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1AC"/>
    <w:rPr>
      <w:rFonts w:ascii="Lucida Grande" w:hAnsi="Lucida Grande" w:cs="Lucida Grande"/>
      <w:sz w:val="18"/>
      <w:szCs w:val="18"/>
    </w:rPr>
  </w:style>
  <w:style w:type="character" w:customStyle="1" w:styleId="Heading2Char">
    <w:name w:val="Heading 2 Char"/>
    <w:basedOn w:val="DefaultParagraphFont"/>
    <w:link w:val="Heading2"/>
    <w:uiPriority w:val="9"/>
    <w:rsid w:val="00CA49C9"/>
    <w:rPr>
      <w:rFonts w:asciiTheme="majorHAnsi" w:eastAsiaTheme="majorEastAsia" w:hAnsiTheme="majorHAnsi" w:cstheme="majorBidi"/>
      <w:b/>
      <w:bCs/>
      <w:color w:val="4F81BD" w:themeColor="accent1"/>
      <w:sz w:val="28"/>
      <w:szCs w:val="26"/>
    </w:rPr>
  </w:style>
  <w:style w:type="paragraph" w:styleId="Footer">
    <w:name w:val="footer"/>
    <w:basedOn w:val="Normal"/>
    <w:link w:val="FooterChar"/>
    <w:uiPriority w:val="99"/>
    <w:unhideWhenUsed/>
    <w:rsid w:val="00CF3E97"/>
    <w:pPr>
      <w:tabs>
        <w:tab w:val="center" w:pos="4320"/>
        <w:tab w:val="right" w:pos="8640"/>
      </w:tabs>
      <w:spacing w:before="0" w:after="0"/>
    </w:pPr>
  </w:style>
  <w:style w:type="character" w:customStyle="1" w:styleId="FooterChar">
    <w:name w:val="Footer Char"/>
    <w:basedOn w:val="DefaultParagraphFont"/>
    <w:link w:val="Footer"/>
    <w:uiPriority w:val="99"/>
    <w:rsid w:val="00CF3E97"/>
    <w:rPr>
      <w:rFonts w:asciiTheme="majorHAnsi" w:hAnsiTheme="majorHAnsi"/>
      <w:sz w:val="22"/>
    </w:rPr>
  </w:style>
  <w:style w:type="character" w:styleId="PageNumber">
    <w:name w:val="page number"/>
    <w:basedOn w:val="DefaultParagraphFont"/>
    <w:unhideWhenUsed/>
    <w:rsid w:val="00CF3E97"/>
  </w:style>
  <w:style w:type="character" w:customStyle="1" w:styleId="Heading3Char">
    <w:name w:val="Heading 3 Char"/>
    <w:basedOn w:val="DefaultParagraphFont"/>
    <w:link w:val="Heading3"/>
    <w:uiPriority w:val="9"/>
    <w:rsid w:val="004D1F3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25078"/>
    <w:pPr>
      <w:spacing w:before="240" w:after="240" w:line="276" w:lineRule="auto"/>
      <w:ind w:left="0" w:firstLine="0"/>
      <w:outlineLvl w:val="9"/>
    </w:pPr>
    <w:rPr>
      <w:rFonts w:ascii="Arial" w:hAnsi="Arial"/>
      <w:color w:val="365F91" w:themeColor="accent1" w:themeShade="BF"/>
      <w:sz w:val="28"/>
      <w:szCs w:val="28"/>
      <w:lang w:val="en-US"/>
    </w:rPr>
  </w:style>
  <w:style w:type="paragraph" w:styleId="TOC1">
    <w:name w:val="toc 1"/>
    <w:basedOn w:val="Normal"/>
    <w:next w:val="Normal"/>
    <w:autoRedefine/>
    <w:uiPriority w:val="39"/>
    <w:unhideWhenUsed/>
    <w:rsid w:val="00125078"/>
    <w:pPr>
      <w:spacing w:after="0"/>
      <w:jc w:val="left"/>
    </w:pPr>
    <w:rPr>
      <w:rFonts w:asciiTheme="minorHAnsi" w:hAnsiTheme="minorHAnsi"/>
      <w:b/>
      <w:caps/>
      <w:szCs w:val="22"/>
    </w:rPr>
  </w:style>
  <w:style w:type="paragraph" w:styleId="TOC2">
    <w:name w:val="toc 2"/>
    <w:basedOn w:val="Normal"/>
    <w:next w:val="Normal"/>
    <w:autoRedefine/>
    <w:uiPriority w:val="39"/>
    <w:unhideWhenUsed/>
    <w:rsid w:val="00125078"/>
    <w:pPr>
      <w:spacing w:before="0" w:after="0"/>
      <w:ind w:left="220"/>
      <w:jc w:val="left"/>
    </w:pPr>
    <w:rPr>
      <w:rFonts w:asciiTheme="minorHAnsi" w:hAnsiTheme="minorHAnsi"/>
      <w:smallCaps/>
      <w:szCs w:val="22"/>
    </w:rPr>
  </w:style>
  <w:style w:type="paragraph" w:styleId="Header">
    <w:name w:val="header"/>
    <w:basedOn w:val="Normal"/>
    <w:link w:val="HeaderChar"/>
    <w:uiPriority w:val="99"/>
    <w:unhideWhenUsed/>
    <w:rsid w:val="00C72743"/>
    <w:pPr>
      <w:tabs>
        <w:tab w:val="center" w:pos="4320"/>
        <w:tab w:val="right" w:pos="8640"/>
      </w:tabs>
      <w:spacing w:before="0" w:after="0"/>
    </w:pPr>
  </w:style>
  <w:style w:type="character" w:customStyle="1" w:styleId="HeaderChar">
    <w:name w:val="Header Char"/>
    <w:basedOn w:val="DefaultParagraphFont"/>
    <w:link w:val="Header"/>
    <w:uiPriority w:val="99"/>
    <w:rsid w:val="00C72743"/>
    <w:rPr>
      <w:rFonts w:asciiTheme="majorHAnsi" w:hAnsiTheme="majorHAnsi"/>
      <w:sz w:val="22"/>
    </w:rPr>
  </w:style>
  <w:style w:type="paragraph" w:styleId="TOC3">
    <w:name w:val="toc 3"/>
    <w:basedOn w:val="Normal"/>
    <w:next w:val="Normal"/>
    <w:autoRedefine/>
    <w:uiPriority w:val="39"/>
    <w:unhideWhenUsed/>
    <w:rsid w:val="00F90132"/>
    <w:pPr>
      <w:spacing w:before="0" w:after="0"/>
      <w:ind w:left="440"/>
      <w:jc w:val="left"/>
    </w:pPr>
    <w:rPr>
      <w:rFonts w:asciiTheme="minorHAnsi" w:hAnsiTheme="minorHAnsi"/>
      <w:i/>
      <w:szCs w:val="22"/>
    </w:rPr>
  </w:style>
  <w:style w:type="paragraph" w:styleId="TOC4">
    <w:name w:val="toc 4"/>
    <w:basedOn w:val="Normal"/>
    <w:next w:val="Normal"/>
    <w:autoRedefine/>
    <w:uiPriority w:val="39"/>
    <w:unhideWhenUsed/>
    <w:rsid w:val="00F90132"/>
    <w:pPr>
      <w:spacing w:before="0"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F90132"/>
    <w:pPr>
      <w:spacing w:before="0"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F90132"/>
    <w:pPr>
      <w:spacing w:before="0"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F90132"/>
    <w:pPr>
      <w:spacing w:before="0"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F90132"/>
    <w:pPr>
      <w:spacing w:before="0"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F90132"/>
    <w:pPr>
      <w:spacing w:before="0" w:after="0"/>
      <w:ind w:left="1760"/>
      <w:jc w:val="left"/>
    </w:pPr>
    <w:rPr>
      <w:rFonts w:asciiTheme="minorHAnsi" w:hAnsiTheme="minorHAnsi"/>
      <w:sz w:val="18"/>
      <w:szCs w:val="18"/>
    </w:rPr>
  </w:style>
  <w:style w:type="character" w:styleId="Hyperlink">
    <w:name w:val="Hyperlink"/>
    <w:basedOn w:val="DefaultParagraphFont"/>
    <w:uiPriority w:val="99"/>
    <w:unhideWhenUsed/>
    <w:rsid w:val="00FB5F3E"/>
    <w:rPr>
      <w:color w:val="0000FF" w:themeColor="hyperlink"/>
      <w:u w:val="single"/>
    </w:rPr>
  </w:style>
  <w:style w:type="paragraph" w:styleId="FootnoteText">
    <w:name w:val="footnote text"/>
    <w:basedOn w:val="Normal"/>
    <w:link w:val="FootnoteTextChar"/>
    <w:uiPriority w:val="99"/>
    <w:semiHidden/>
    <w:unhideWhenUsed/>
    <w:rsid w:val="00FF317E"/>
    <w:pPr>
      <w:spacing w:before="0" w:after="0"/>
    </w:pPr>
    <w:rPr>
      <w:sz w:val="20"/>
      <w:szCs w:val="20"/>
    </w:rPr>
  </w:style>
  <w:style w:type="character" w:customStyle="1" w:styleId="FootnoteTextChar">
    <w:name w:val="Footnote Text Char"/>
    <w:basedOn w:val="DefaultParagraphFont"/>
    <w:link w:val="FootnoteText"/>
    <w:uiPriority w:val="99"/>
    <w:semiHidden/>
    <w:rsid w:val="00FF317E"/>
    <w:rPr>
      <w:rFonts w:asciiTheme="majorHAnsi" w:hAnsiTheme="majorHAnsi"/>
      <w:sz w:val="20"/>
      <w:szCs w:val="20"/>
    </w:rPr>
  </w:style>
  <w:style w:type="character" w:styleId="FootnoteReference">
    <w:name w:val="footnote reference"/>
    <w:basedOn w:val="DefaultParagraphFont"/>
    <w:uiPriority w:val="99"/>
    <w:unhideWhenUsed/>
    <w:rsid w:val="00FF317E"/>
    <w:rPr>
      <w:vertAlign w:val="superscript"/>
    </w:rPr>
  </w:style>
  <w:style w:type="paragraph" w:customStyle="1" w:styleId="Bullet">
    <w:name w:val="Bullet"/>
    <w:basedOn w:val="ListParagraph"/>
    <w:link w:val="BulletChar"/>
    <w:qFormat/>
    <w:rsid w:val="00FD14DD"/>
    <w:pPr>
      <w:numPr>
        <w:numId w:val="3"/>
      </w:numPr>
    </w:pPr>
  </w:style>
  <w:style w:type="table" w:styleId="TableGrid">
    <w:name w:val="Table Grid"/>
    <w:basedOn w:val="TableNormal"/>
    <w:uiPriority w:val="59"/>
    <w:rsid w:val="00EA5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ListParagraphChar"/>
    <w:link w:val="Bullet"/>
    <w:rsid w:val="00FD14DD"/>
    <w:rPr>
      <w:rFonts w:asciiTheme="majorHAnsi" w:hAnsiTheme="majorHAnsi"/>
      <w:sz w:val="22"/>
    </w:rPr>
  </w:style>
  <w:style w:type="table" w:customStyle="1" w:styleId="TableGrid1">
    <w:name w:val="Table Grid1"/>
    <w:basedOn w:val="TableNormal"/>
    <w:next w:val="TableGrid"/>
    <w:uiPriority w:val="59"/>
    <w:rsid w:val="00EA5A8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9645D"/>
    <w:rPr>
      <w:sz w:val="20"/>
      <w:szCs w:val="20"/>
    </w:rPr>
  </w:style>
  <w:style w:type="character" w:customStyle="1" w:styleId="CommentTextChar">
    <w:name w:val="Comment Text Char"/>
    <w:basedOn w:val="DefaultParagraphFont"/>
    <w:link w:val="CommentText"/>
    <w:uiPriority w:val="99"/>
    <w:semiHidden/>
    <w:rsid w:val="0099645D"/>
    <w:rPr>
      <w:rFonts w:asciiTheme="majorHAnsi" w:hAnsiTheme="majorHAnsi"/>
      <w:sz w:val="20"/>
      <w:szCs w:val="20"/>
    </w:rPr>
  </w:style>
  <w:style w:type="character" w:styleId="CommentReference">
    <w:name w:val="annotation reference"/>
    <w:basedOn w:val="DefaultParagraphFont"/>
    <w:uiPriority w:val="99"/>
    <w:semiHidden/>
    <w:unhideWhenUsed/>
    <w:rsid w:val="0099645D"/>
    <w:rPr>
      <w:sz w:val="18"/>
      <w:szCs w:val="18"/>
    </w:rPr>
  </w:style>
  <w:style w:type="table" w:customStyle="1" w:styleId="TableGrid11">
    <w:name w:val="Table Grid11"/>
    <w:basedOn w:val="TableNormal"/>
    <w:next w:val="TableGrid"/>
    <w:uiPriority w:val="59"/>
    <w:rsid w:val="00F67914"/>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E6"/>
    <w:pPr>
      <w:spacing w:before="120" w:after="120"/>
      <w:jc w:val="both"/>
    </w:pPr>
    <w:rPr>
      <w:rFonts w:asciiTheme="majorHAnsi" w:hAnsiTheme="majorHAnsi"/>
      <w:sz w:val="22"/>
    </w:rPr>
  </w:style>
  <w:style w:type="paragraph" w:styleId="Heading1">
    <w:name w:val="heading 1"/>
    <w:basedOn w:val="Normal"/>
    <w:next w:val="Normal"/>
    <w:link w:val="Heading1Char"/>
    <w:uiPriority w:val="9"/>
    <w:qFormat/>
    <w:rsid w:val="00125078"/>
    <w:pPr>
      <w:keepNext/>
      <w:keepLines/>
      <w:spacing w:before="360"/>
      <w:ind w:left="431" w:hanging="431"/>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49C9"/>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D1F38"/>
    <w:pPr>
      <w:keepNext/>
      <w:keepLines/>
      <w:numPr>
        <w:numId w:val="2"/>
      </w:numPr>
      <w:spacing w:before="240"/>
      <w:ind w:left="357" w:hanging="357"/>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8"/>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link w:val="ListParagraphChar"/>
    <w:uiPriority w:val="34"/>
    <w:qFormat/>
    <w:rsid w:val="00FD5942"/>
    <w:pPr>
      <w:numPr>
        <w:numId w:val="1"/>
      </w:numPr>
      <w:tabs>
        <w:tab w:val="left" w:pos="851"/>
        <w:tab w:val="left" w:pos="1134"/>
        <w:tab w:val="left" w:pos="1440"/>
      </w:tabs>
      <w:contextualSpacing/>
    </w:pPr>
  </w:style>
  <w:style w:type="character" w:customStyle="1" w:styleId="ListParagraphChar">
    <w:name w:val="List Paragraph Char"/>
    <w:link w:val="ListParagraph"/>
    <w:uiPriority w:val="34"/>
    <w:locked/>
    <w:rsid w:val="00FD5942"/>
    <w:rPr>
      <w:rFonts w:asciiTheme="majorHAnsi" w:hAnsiTheme="majorHAnsi"/>
      <w:sz w:val="22"/>
    </w:rPr>
  </w:style>
  <w:style w:type="paragraph" w:styleId="Quote">
    <w:name w:val="Quote"/>
    <w:basedOn w:val="Normal"/>
    <w:next w:val="Normal"/>
    <w:link w:val="QuoteChar"/>
    <w:uiPriority w:val="29"/>
    <w:qFormat/>
    <w:rsid w:val="00233960"/>
    <w:pPr>
      <w:spacing w:line="216" w:lineRule="auto"/>
      <w:ind w:left="567" w:right="567"/>
    </w:pPr>
    <w:rPr>
      <w:iCs/>
      <w:color w:val="000000" w:themeColor="text1"/>
      <w:sz w:val="20"/>
    </w:rPr>
  </w:style>
  <w:style w:type="character" w:customStyle="1" w:styleId="QuoteChar">
    <w:name w:val="Quote Char"/>
    <w:basedOn w:val="DefaultParagraphFont"/>
    <w:link w:val="Quote"/>
    <w:uiPriority w:val="29"/>
    <w:rsid w:val="00233960"/>
    <w:rPr>
      <w:rFonts w:asciiTheme="majorHAnsi" w:hAnsiTheme="majorHAnsi"/>
      <w:iCs/>
      <w:color w:val="000000" w:themeColor="text1"/>
      <w:sz w:val="20"/>
    </w:rPr>
  </w:style>
  <w:style w:type="paragraph" w:styleId="Caption">
    <w:name w:val="caption"/>
    <w:basedOn w:val="Normal"/>
    <w:next w:val="Normal"/>
    <w:uiPriority w:val="35"/>
    <w:unhideWhenUsed/>
    <w:qFormat/>
    <w:rsid w:val="00E47748"/>
    <w:pPr>
      <w:spacing w:after="0"/>
    </w:pPr>
    <w:rPr>
      <w:b/>
      <w:bCs/>
      <w:color w:val="4F81BD" w:themeColor="accent1"/>
      <w:szCs w:val="18"/>
    </w:rPr>
  </w:style>
  <w:style w:type="paragraph" w:styleId="BalloonText">
    <w:name w:val="Balloon Text"/>
    <w:basedOn w:val="Normal"/>
    <w:link w:val="BalloonTextChar"/>
    <w:uiPriority w:val="99"/>
    <w:semiHidden/>
    <w:unhideWhenUsed/>
    <w:rsid w:val="00A931A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1AC"/>
    <w:rPr>
      <w:rFonts w:ascii="Lucida Grande" w:hAnsi="Lucida Grande" w:cs="Lucida Grande"/>
      <w:sz w:val="18"/>
      <w:szCs w:val="18"/>
    </w:rPr>
  </w:style>
  <w:style w:type="character" w:customStyle="1" w:styleId="Heading2Char">
    <w:name w:val="Heading 2 Char"/>
    <w:basedOn w:val="DefaultParagraphFont"/>
    <w:link w:val="Heading2"/>
    <w:uiPriority w:val="9"/>
    <w:rsid w:val="00CA49C9"/>
    <w:rPr>
      <w:rFonts w:asciiTheme="majorHAnsi" w:eastAsiaTheme="majorEastAsia" w:hAnsiTheme="majorHAnsi" w:cstheme="majorBidi"/>
      <w:b/>
      <w:bCs/>
      <w:color w:val="4F81BD" w:themeColor="accent1"/>
      <w:sz w:val="28"/>
      <w:szCs w:val="26"/>
    </w:rPr>
  </w:style>
  <w:style w:type="paragraph" w:styleId="Footer">
    <w:name w:val="footer"/>
    <w:basedOn w:val="Normal"/>
    <w:link w:val="FooterChar"/>
    <w:uiPriority w:val="99"/>
    <w:unhideWhenUsed/>
    <w:rsid w:val="00CF3E97"/>
    <w:pPr>
      <w:tabs>
        <w:tab w:val="center" w:pos="4320"/>
        <w:tab w:val="right" w:pos="8640"/>
      </w:tabs>
      <w:spacing w:before="0" w:after="0"/>
    </w:pPr>
  </w:style>
  <w:style w:type="character" w:customStyle="1" w:styleId="FooterChar">
    <w:name w:val="Footer Char"/>
    <w:basedOn w:val="DefaultParagraphFont"/>
    <w:link w:val="Footer"/>
    <w:uiPriority w:val="99"/>
    <w:rsid w:val="00CF3E97"/>
    <w:rPr>
      <w:rFonts w:asciiTheme="majorHAnsi" w:hAnsiTheme="majorHAnsi"/>
      <w:sz w:val="22"/>
    </w:rPr>
  </w:style>
  <w:style w:type="character" w:styleId="PageNumber">
    <w:name w:val="page number"/>
    <w:basedOn w:val="DefaultParagraphFont"/>
    <w:unhideWhenUsed/>
    <w:rsid w:val="00CF3E97"/>
  </w:style>
  <w:style w:type="character" w:customStyle="1" w:styleId="Heading3Char">
    <w:name w:val="Heading 3 Char"/>
    <w:basedOn w:val="DefaultParagraphFont"/>
    <w:link w:val="Heading3"/>
    <w:uiPriority w:val="9"/>
    <w:rsid w:val="004D1F3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25078"/>
    <w:pPr>
      <w:spacing w:before="240" w:after="240" w:line="276" w:lineRule="auto"/>
      <w:ind w:left="0" w:firstLine="0"/>
      <w:outlineLvl w:val="9"/>
    </w:pPr>
    <w:rPr>
      <w:rFonts w:ascii="Arial" w:hAnsi="Arial"/>
      <w:color w:val="365F91" w:themeColor="accent1" w:themeShade="BF"/>
      <w:sz w:val="28"/>
      <w:szCs w:val="28"/>
      <w:lang w:val="en-US"/>
    </w:rPr>
  </w:style>
  <w:style w:type="paragraph" w:styleId="TOC1">
    <w:name w:val="toc 1"/>
    <w:basedOn w:val="Normal"/>
    <w:next w:val="Normal"/>
    <w:autoRedefine/>
    <w:uiPriority w:val="39"/>
    <w:unhideWhenUsed/>
    <w:rsid w:val="00125078"/>
    <w:pPr>
      <w:spacing w:after="0"/>
      <w:jc w:val="left"/>
    </w:pPr>
    <w:rPr>
      <w:rFonts w:asciiTheme="minorHAnsi" w:hAnsiTheme="minorHAnsi"/>
      <w:b/>
      <w:caps/>
      <w:szCs w:val="22"/>
    </w:rPr>
  </w:style>
  <w:style w:type="paragraph" w:styleId="TOC2">
    <w:name w:val="toc 2"/>
    <w:basedOn w:val="Normal"/>
    <w:next w:val="Normal"/>
    <w:autoRedefine/>
    <w:uiPriority w:val="39"/>
    <w:unhideWhenUsed/>
    <w:rsid w:val="00125078"/>
    <w:pPr>
      <w:spacing w:before="0" w:after="0"/>
      <w:ind w:left="220"/>
      <w:jc w:val="left"/>
    </w:pPr>
    <w:rPr>
      <w:rFonts w:asciiTheme="minorHAnsi" w:hAnsiTheme="minorHAnsi"/>
      <w:smallCaps/>
      <w:szCs w:val="22"/>
    </w:rPr>
  </w:style>
  <w:style w:type="paragraph" w:styleId="Header">
    <w:name w:val="header"/>
    <w:basedOn w:val="Normal"/>
    <w:link w:val="HeaderChar"/>
    <w:uiPriority w:val="99"/>
    <w:unhideWhenUsed/>
    <w:rsid w:val="00C72743"/>
    <w:pPr>
      <w:tabs>
        <w:tab w:val="center" w:pos="4320"/>
        <w:tab w:val="right" w:pos="8640"/>
      </w:tabs>
      <w:spacing w:before="0" w:after="0"/>
    </w:pPr>
  </w:style>
  <w:style w:type="character" w:customStyle="1" w:styleId="HeaderChar">
    <w:name w:val="Header Char"/>
    <w:basedOn w:val="DefaultParagraphFont"/>
    <w:link w:val="Header"/>
    <w:uiPriority w:val="99"/>
    <w:rsid w:val="00C72743"/>
    <w:rPr>
      <w:rFonts w:asciiTheme="majorHAnsi" w:hAnsiTheme="majorHAnsi"/>
      <w:sz w:val="22"/>
    </w:rPr>
  </w:style>
  <w:style w:type="paragraph" w:styleId="TOC3">
    <w:name w:val="toc 3"/>
    <w:basedOn w:val="Normal"/>
    <w:next w:val="Normal"/>
    <w:autoRedefine/>
    <w:uiPriority w:val="39"/>
    <w:unhideWhenUsed/>
    <w:rsid w:val="00F90132"/>
    <w:pPr>
      <w:spacing w:before="0" w:after="0"/>
      <w:ind w:left="440"/>
      <w:jc w:val="left"/>
    </w:pPr>
    <w:rPr>
      <w:rFonts w:asciiTheme="minorHAnsi" w:hAnsiTheme="minorHAnsi"/>
      <w:i/>
      <w:szCs w:val="22"/>
    </w:rPr>
  </w:style>
  <w:style w:type="paragraph" w:styleId="TOC4">
    <w:name w:val="toc 4"/>
    <w:basedOn w:val="Normal"/>
    <w:next w:val="Normal"/>
    <w:autoRedefine/>
    <w:uiPriority w:val="39"/>
    <w:unhideWhenUsed/>
    <w:rsid w:val="00F90132"/>
    <w:pPr>
      <w:spacing w:before="0"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F90132"/>
    <w:pPr>
      <w:spacing w:before="0"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F90132"/>
    <w:pPr>
      <w:spacing w:before="0"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F90132"/>
    <w:pPr>
      <w:spacing w:before="0"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F90132"/>
    <w:pPr>
      <w:spacing w:before="0"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F90132"/>
    <w:pPr>
      <w:spacing w:before="0" w:after="0"/>
      <w:ind w:left="1760"/>
      <w:jc w:val="left"/>
    </w:pPr>
    <w:rPr>
      <w:rFonts w:asciiTheme="minorHAnsi" w:hAnsiTheme="minorHAnsi"/>
      <w:sz w:val="18"/>
      <w:szCs w:val="18"/>
    </w:rPr>
  </w:style>
  <w:style w:type="character" w:styleId="Hyperlink">
    <w:name w:val="Hyperlink"/>
    <w:basedOn w:val="DefaultParagraphFont"/>
    <w:uiPriority w:val="99"/>
    <w:unhideWhenUsed/>
    <w:rsid w:val="00FB5F3E"/>
    <w:rPr>
      <w:color w:val="0000FF" w:themeColor="hyperlink"/>
      <w:u w:val="single"/>
    </w:rPr>
  </w:style>
  <w:style w:type="paragraph" w:styleId="FootnoteText">
    <w:name w:val="footnote text"/>
    <w:basedOn w:val="Normal"/>
    <w:link w:val="FootnoteTextChar"/>
    <w:uiPriority w:val="99"/>
    <w:semiHidden/>
    <w:unhideWhenUsed/>
    <w:rsid w:val="00FF317E"/>
    <w:pPr>
      <w:spacing w:before="0" w:after="0"/>
    </w:pPr>
    <w:rPr>
      <w:sz w:val="20"/>
      <w:szCs w:val="20"/>
    </w:rPr>
  </w:style>
  <w:style w:type="character" w:customStyle="1" w:styleId="FootnoteTextChar">
    <w:name w:val="Footnote Text Char"/>
    <w:basedOn w:val="DefaultParagraphFont"/>
    <w:link w:val="FootnoteText"/>
    <w:uiPriority w:val="99"/>
    <w:semiHidden/>
    <w:rsid w:val="00FF317E"/>
    <w:rPr>
      <w:rFonts w:asciiTheme="majorHAnsi" w:hAnsiTheme="majorHAnsi"/>
      <w:sz w:val="20"/>
      <w:szCs w:val="20"/>
    </w:rPr>
  </w:style>
  <w:style w:type="character" w:styleId="FootnoteReference">
    <w:name w:val="footnote reference"/>
    <w:basedOn w:val="DefaultParagraphFont"/>
    <w:uiPriority w:val="99"/>
    <w:unhideWhenUsed/>
    <w:rsid w:val="00FF317E"/>
    <w:rPr>
      <w:vertAlign w:val="superscript"/>
    </w:rPr>
  </w:style>
  <w:style w:type="paragraph" w:customStyle="1" w:styleId="Bullet">
    <w:name w:val="Bullet"/>
    <w:basedOn w:val="ListParagraph"/>
    <w:link w:val="BulletChar"/>
    <w:qFormat/>
    <w:rsid w:val="00FD14DD"/>
    <w:pPr>
      <w:numPr>
        <w:numId w:val="3"/>
      </w:numPr>
    </w:pPr>
  </w:style>
  <w:style w:type="table" w:styleId="TableGrid">
    <w:name w:val="Table Grid"/>
    <w:basedOn w:val="TableNormal"/>
    <w:uiPriority w:val="59"/>
    <w:rsid w:val="00EA5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ListParagraphChar"/>
    <w:link w:val="Bullet"/>
    <w:rsid w:val="00FD14DD"/>
    <w:rPr>
      <w:rFonts w:asciiTheme="majorHAnsi" w:hAnsiTheme="majorHAnsi"/>
      <w:sz w:val="22"/>
    </w:rPr>
  </w:style>
  <w:style w:type="table" w:customStyle="1" w:styleId="TableGrid1">
    <w:name w:val="Table Grid1"/>
    <w:basedOn w:val="TableNormal"/>
    <w:next w:val="TableGrid"/>
    <w:uiPriority w:val="59"/>
    <w:rsid w:val="00EA5A8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9645D"/>
    <w:rPr>
      <w:sz w:val="20"/>
      <w:szCs w:val="20"/>
    </w:rPr>
  </w:style>
  <w:style w:type="character" w:customStyle="1" w:styleId="CommentTextChar">
    <w:name w:val="Comment Text Char"/>
    <w:basedOn w:val="DefaultParagraphFont"/>
    <w:link w:val="CommentText"/>
    <w:uiPriority w:val="99"/>
    <w:semiHidden/>
    <w:rsid w:val="0099645D"/>
    <w:rPr>
      <w:rFonts w:asciiTheme="majorHAnsi" w:hAnsiTheme="majorHAnsi"/>
      <w:sz w:val="20"/>
      <w:szCs w:val="20"/>
    </w:rPr>
  </w:style>
  <w:style w:type="character" w:styleId="CommentReference">
    <w:name w:val="annotation reference"/>
    <w:basedOn w:val="DefaultParagraphFont"/>
    <w:uiPriority w:val="99"/>
    <w:semiHidden/>
    <w:unhideWhenUsed/>
    <w:rsid w:val="0099645D"/>
    <w:rPr>
      <w:sz w:val="18"/>
      <w:szCs w:val="18"/>
    </w:rPr>
  </w:style>
  <w:style w:type="table" w:customStyle="1" w:styleId="TableGrid11">
    <w:name w:val="Table Grid11"/>
    <w:basedOn w:val="TableNormal"/>
    <w:next w:val="TableGrid"/>
    <w:uiPriority w:val="59"/>
    <w:rsid w:val="00F67914"/>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9315">
      <w:bodyDiv w:val="1"/>
      <w:marLeft w:val="0"/>
      <w:marRight w:val="0"/>
      <w:marTop w:val="0"/>
      <w:marBottom w:val="0"/>
      <w:divBdr>
        <w:top w:val="none" w:sz="0" w:space="0" w:color="auto"/>
        <w:left w:val="none" w:sz="0" w:space="0" w:color="auto"/>
        <w:bottom w:val="none" w:sz="0" w:space="0" w:color="auto"/>
        <w:right w:val="none" w:sz="0" w:space="0" w:color="auto"/>
      </w:divBdr>
    </w:div>
    <w:div w:id="828904925">
      <w:bodyDiv w:val="1"/>
      <w:marLeft w:val="0"/>
      <w:marRight w:val="0"/>
      <w:marTop w:val="0"/>
      <w:marBottom w:val="0"/>
      <w:divBdr>
        <w:top w:val="none" w:sz="0" w:space="0" w:color="auto"/>
        <w:left w:val="none" w:sz="0" w:space="0" w:color="auto"/>
        <w:bottom w:val="none" w:sz="0" w:space="0" w:color="auto"/>
        <w:right w:val="none" w:sz="0" w:space="0" w:color="auto"/>
      </w:divBdr>
    </w:div>
    <w:div w:id="1254439597">
      <w:bodyDiv w:val="1"/>
      <w:marLeft w:val="0"/>
      <w:marRight w:val="0"/>
      <w:marTop w:val="0"/>
      <w:marBottom w:val="0"/>
      <w:divBdr>
        <w:top w:val="none" w:sz="0" w:space="0" w:color="auto"/>
        <w:left w:val="none" w:sz="0" w:space="0" w:color="auto"/>
        <w:bottom w:val="none" w:sz="0" w:space="0" w:color="auto"/>
        <w:right w:val="none" w:sz="0" w:space="0" w:color="auto"/>
      </w:divBdr>
      <w:divsChild>
        <w:div w:id="296690989">
          <w:marLeft w:val="0"/>
          <w:marRight w:val="0"/>
          <w:marTop w:val="0"/>
          <w:marBottom w:val="240"/>
          <w:divBdr>
            <w:top w:val="none" w:sz="0" w:space="0" w:color="auto"/>
            <w:left w:val="none" w:sz="0" w:space="0" w:color="auto"/>
            <w:bottom w:val="none" w:sz="0" w:space="0" w:color="auto"/>
            <w:right w:val="none" w:sz="0" w:space="0" w:color="auto"/>
          </w:divBdr>
        </w:div>
        <w:div w:id="964427915">
          <w:marLeft w:val="0"/>
          <w:marRight w:val="0"/>
          <w:marTop w:val="150"/>
          <w:marBottom w:val="0"/>
          <w:divBdr>
            <w:top w:val="none" w:sz="0" w:space="0" w:color="auto"/>
            <w:left w:val="none" w:sz="0" w:space="0" w:color="auto"/>
            <w:bottom w:val="none" w:sz="0" w:space="0" w:color="auto"/>
            <w:right w:val="none" w:sz="0" w:space="0" w:color="auto"/>
          </w:divBdr>
        </w:div>
        <w:div w:id="1670450512">
          <w:marLeft w:val="0"/>
          <w:marRight w:val="0"/>
          <w:marTop w:val="300"/>
          <w:marBottom w:val="0"/>
          <w:divBdr>
            <w:top w:val="none" w:sz="0" w:space="0" w:color="auto"/>
            <w:left w:val="none" w:sz="0" w:space="0" w:color="auto"/>
            <w:bottom w:val="none" w:sz="0" w:space="0" w:color="auto"/>
            <w:right w:val="none" w:sz="0" w:space="0" w:color="auto"/>
          </w:divBdr>
        </w:div>
      </w:divsChild>
    </w:div>
    <w:div w:id="1437555809">
      <w:bodyDiv w:val="1"/>
      <w:marLeft w:val="0"/>
      <w:marRight w:val="0"/>
      <w:marTop w:val="0"/>
      <w:marBottom w:val="0"/>
      <w:divBdr>
        <w:top w:val="none" w:sz="0" w:space="0" w:color="auto"/>
        <w:left w:val="none" w:sz="0" w:space="0" w:color="auto"/>
        <w:bottom w:val="none" w:sz="0" w:space="0" w:color="auto"/>
        <w:right w:val="none" w:sz="0" w:space="0" w:color="auto"/>
      </w:divBdr>
    </w:div>
    <w:div w:id="212095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nielle.Logue@uts.edu.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Gillian.mcallister@uts.edu.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social-investment-tax-relief-factsheet/social-investment-tax-relief" TargetMode="External"/><Relationship Id="rId1" Type="http://schemas.openxmlformats.org/officeDocument/2006/relationships/hyperlink" Target="https://theconversation.com/social-stock-exchanges-do-we-need-them-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2017FG-116-575</_dlc_DocId>
    <_dlc_DocIdUrl xmlns="e544e5cc-ab70-42e1-849e-1a0f8bb1f4ef">
      <Url>http://tweb/sites/fg/spd/_layouts/15/DocIdRedir.aspx?ID=2017FG-116-575</Url>
      <Description>2017FG-116-575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9CF1-7279-4FB2-A69D-CE81042CD33F}">
  <ds:schemaRefs>
    <ds:schemaRef ds:uri="office.server.policy"/>
  </ds:schemaRefs>
</ds:datastoreItem>
</file>

<file path=customXml/itemProps2.xml><?xml version="1.0" encoding="utf-8"?>
<ds:datastoreItem xmlns:ds="http://schemas.openxmlformats.org/officeDocument/2006/customXml" ds:itemID="{BD0F7B20-822B-47D0-BE25-05620E0FA3BE}">
  <ds:schemaRefs>
    <ds:schemaRef ds:uri="http://schemas.microsoft.com/sharepoint/events"/>
  </ds:schemaRefs>
</ds:datastoreItem>
</file>

<file path=customXml/itemProps3.xml><?xml version="1.0" encoding="utf-8"?>
<ds:datastoreItem xmlns:ds="http://schemas.openxmlformats.org/officeDocument/2006/customXml" ds:itemID="{6591C6BC-BD18-4F03-B6E9-43F01106E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76A60-F6AA-413D-ACA6-0F945AFEB603}">
  <ds:schemaRefs>
    <ds:schemaRef ds:uri="http://purl.org/dc/dcmitype/"/>
    <ds:schemaRef ds:uri="e544e5cc-ab70-42e1-849e-1a0f8bb1f4ef"/>
    <ds:schemaRef ds:uri="http://purl.org/dc/elements/1.1/"/>
    <ds:schemaRef ds:uri="http://schemas.microsoft.com/sharepoint/v4"/>
    <ds:schemaRef ds:uri="http://schemas.microsoft.com/sharepoint/v3"/>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7ABDCDB1-4929-4FEB-B304-B6EFD7108C25}">
  <ds:schemaRefs>
    <ds:schemaRef ds:uri="http://schemas.microsoft.com/sharepoint/v3/contenttype/forms"/>
  </ds:schemaRefs>
</ds:datastoreItem>
</file>

<file path=customXml/itemProps6.xml><?xml version="1.0" encoding="utf-8"?>
<ds:datastoreItem xmlns:ds="http://schemas.openxmlformats.org/officeDocument/2006/customXml" ds:itemID="{0541D36A-7ED4-4E0D-B7F5-F682186F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2939</Words>
  <Characters>16784</Characters>
  <Application>Microsoft Office Word</Application>
  <DocSecurity>0</DocSecurity>
  <Lines>400</Lines>
  <Paragraphs>159</Paragraphs>
  <ScaleCrop>false</ScaleCrop>
  <Company/>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 Danielle Logue and Dr Gillian McAllister - Submission to Social Impact Investing</dc:title>
  <dc:creator/>
  <cp:lastModifiedBy/>
  <cp:revision>1</cp:revision>
  <dcterms:created xsi:type="dcterms:W3CDTF">2017-05-02T02:43:00Z</dcterms:created>
  <dcterms:modified xsi:type="dcterms:W3CDTF">2017-05-02T02:43:00Z</dcterms:modified>
  <dc:language>English</dc:language>
</cp:coreProperties>
</file>