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33A1B" w14:textId="77777777" w:rsidR="00605F10" w:rsidRDefault="00605F10" w:rsidP="00202EF4">
      <w:pPr>
        <w:spacing w:before="1440"/>
        <w:jc w:val="center"/>
      </w:pPr>
      <w:bookmarkStart w:id="0" w:name="_GoBack"/>
      <w:bookmarkEnd w:id="0"/>
      <w:r>
        <w:rPr>
          <w:noProof/>
          <w:lang w:eastAsia="en-AU"/>
        </w:rPr>
        <w:drawing>
          <wp:inline distT="0" distB="0" distL="0" distR="0" wp14:anchorId="718A1D97" wp14:editId="5A9E299B">
            <wp:extent cx="2619632" cy="1993703"/>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A_CMYK.png"/>
                    <pic:cNvPicPr/>
                  </pic:nvPicPr>
                  <pic:blipFill>
                    <a:blip r:embed="rId14">
                      <a:extLst>
                        <a:ext uri="{28A0092B-C50C-407E-A947-70E740481C1C}">
                          <a14:useLocalDpi xmlns:a14="http://schemas.microsoft.com/office/drawing/2010/main" val="0"/>
                        </a:ext>
                      </a:extLst>
                    </a:blip>
                    <a:stretch>
                      <a:fillRect/>
                    </a:stretch>
                  </pic:blipFill>
                  <pic:spPr>
                    <a:xfrm>
                      <a:off x="0" y="0"/>
                      <a:ext cx="2626140" cy="1998656"/>
                    </a:xfrm>
                    <a:prstGeom prst="rect">
                      <a:avLst/>
                    </a:prstGeom>
                  </pic:spPr>
                </pic:pic>
              </a:graphicData>
            </a:graphic>
          </wp:inline>
        </w:drawing>
      </w:r>
    </w:p>
    <w:p w14:paraId="7959031C" w14:textId="77777777" w:rsidR="00605F10" w:rsidRDefault="00605F10" w:rsidP="00202EF4">
      <w:pPr>
        <w:rPr>
          <w:rFonts w:ascii="Calibri" w:hAnsi="Calibri" w:cs="Calibri"/>
          <w:bCs/>
          <w:sz w:val="32"/>
        </w:rPr>
      </w:pPr>
    </w:p>
    <w:p w14:paraId="66D93930" w14:textId="77777777" w:rsidR="00A82E7D" w:rsidRDefault="00E02418" w:rsidP="00A82E7D">
      <w:pPr>
        <w:spacing w:before="240"/>
        <w:jc w:val="center"/>
        <w:rPr>
          <w:rFonts w:ascii="Calibri" w:hAnsi="Calibri" w:cs="Calibri"/>
          <w:b/>
          <w:color w:val="2E74B5" w:themeColor="accent1" w:themeShade="BF"/>
          <w:sz w:val="32"/>
        </w:rPr>
      </w:pPr>
      <w:r>
        <w:rPr>
          <w:rFonts w:ascii="Calibri" w:hAnsi="Calibri" w:cs="Calibri"/>
          <w:b/>
          <w:color w:val="2E74B5" w:themeColor="accent1" w:themeShade="BF"/>
          <w:sz w:val="32"/>
        </w:rPr>
        <w:t>Social Impact Investing</w:t>
      </w:r>
    </w:p>
    <w:p w14:paraId="3673D58F" w14:textId="77777777" w:rsidR="00A23667" w:rsidRPr="00C77DF2" w:rsidRDefault="003466C9" w:rsidP="00A82E7D">
      <w:pPr>
        <w:spacing w:before="240"/>
        <w:jc w:val="center"/>
        <w:rPr>
          <w:rFonts w:ascii="Calibri" w:hAnsi="Calibri" w:cs="Calibri"/>
          <w:b/>
          <w:color w:val="2E74B5" w:themeColor="accent1" w:themeShade="BF"/>
          <w:sz w:val="32"/>
        </w:rPr>
      </w:pPr>
      <w:r>
        <w:rPr>
          <w:rFonts w:ascii="Calibri" w:hAnsi="Calibri" w:cs="Calibri"/>
          <w:b/>
          <w:color w:val="2E74B5" w:themeColor="accent1" w:themeShade="BF"/>
          <w:sz w:val="32"/>
        </w:rPr>
        <w:t>Australian Government</w:t>
      </w:r>
      <w:r w:rsidR="00E02418">
        <w:rPr>
          <w:rFonts w:ascii="Calibri" w:hAnsi="Calibri" w:cs="Calibri"/>
          <w:b/>
          <w:color w:val="2E74B5" w:themeColor="accent1" w:themeShade="BF"/>
          <w:sz w:val="32"/>
        </w:rPr>
        <w:t xml:space="preserve"> Treasury</w:t>
      </w:r>
      <w:r w:rsidR="00A82E7D">
        <w:rPr>
          <w:rFonts w:ascii="Calibri" w:hAnsi="Calibri" w:cs="Calibri"/>
          <w:b/>
          <w:color w:val="2E74B5" w:themeColor="accent1" w:themeShade="BF"/>
          <w:sz w:val="32"/>
        </w:rPr>
        <w:t xml:space="preserve"> </w:t>
      </w:r>
      <w:r w:rsidR="00E02418">
        <w:rPr>
          <w:rFonts w:ascii="Calibri" w:hAnsi="Calibri" w:cs="Calibri"/>
          <w:b/>
          <w:color w:val="2E74B5" w:themeColor="accent1" w:themeShade="BF"/>
          <w:sz w:val="32"/>
        </w:rPr>
        <w:t>Discussion</w:t>
      </w:r>
      <w:r w:rsidR="00A82E7D">
        <w:rPr>
          <w:rFonts w:ascii="Calibri" w:hAnsi="Calibri" w:cs="Calibri"/>
          <w:b/>
          <w:color w:val="2E74B5" w:themeColor="accent1" w:themeShade="BF"/>
          <w:sz w:val="32"/>
        </w:rPr>
        <w:t xml:space="preserve"> Paper</w:t>
      </w:r>
    </w:p>
    <w:p w14:paraId="14D490BD" w14:textId="77777777" w:rsidR="00605F10" w:rsidRPr="005169BE" w:rsidRDefault="00605F10" w:rsidP="00202EF4"/>
    <w:p w14:paraId="39C16892" w14:textId="77777777" w:rsidR="00605F10" w:rsidRPr="00C5288F" w:rsidRDefault="00E02418" w:rsidP="00F51BF3">
      <w:pPr>
        <w:spacing w:before="480"/>
        <w:jc w:val="center"/>
        <w:rPr>
          <w:rFonts w:eastAsiaTheme="majorEastAsia" w:cstheme="minorHAnsi"/>
          <w:b/>
          <w:bCs/>
          <w:color w:val="2E74B5" w:themeColor="accent1" w:themeShade="BF"/>
          <w:sz w:val="32"/>
          <w:szCs w:val="28"/>
        </w:rPr>
      </w:pPr>
      <w:r>
        <w:rPr>
          <w:rFonts w:ascii="Calibri" w:hAnsi="Calibri" w:cs="Calibri"/>
          <w:b/>
          <w:color w:val="2E74B5" w:themeColor="accent1" w:themeShade="BF"/>
          <w:sz w:val="32"/>
        </w:rPr>
        <w:t>February</w:t>
      </w:r>
      <w:r w:rsidR="00A82E7D">
        <w:rPr>
          <w:rFonts w:ascii="Calibri" w:hAnsi="Calibri" w:cs="Calibri"/>
          <w:b/>
          <w:color w:val="2E74B5" w:themeColor="accent1" w:themeShade="BF"/>
          <w:sz w:val="32"/>
        </w:rPr>
        <w:t xml:space="preserve"> 201</w:t>
      </w:r>
      <w:r>
        <w:rPr>
          <w:rFonts w:ascii="Calibri" w:hAnsi="Calibri" w:cs="Calibri"/>
          <w:b/>
          <w:color w:val="2E74B5" w:themeColor="accent1" w:themeShade="BF"/>
          <w:sz w:val="32"/>
        </w:rPr>
        <w:t>7</w:t>
      </w:r>
    </w:p>
    <w:p w14:paraId="4BD56E92" w14:textId="77777777" w:rsidR="00605F10" w:rsidRPr="00C77DF2" w:rsidRDefault="00605F10" w:rsidP="00202EF4"/>
    <w:p w14:paraId="55FFC675" w14:textId="77777777" w:rsidR="00605F10" w:rsidRPr="00C77DF2" w:rsidRDefault="00605F10" w:rsidP="00202EF4"/>
    <w:p w14:paraId="506D542A" w14:textId="77777777" w:rsidR="00605F10" w:rsidRPr="00C77DF2" w:rsidRDefault="00605F10" w:rsidP="00202EF4"/>
    <w:p w14:paraId="0D42AB0C" w14:textId="77777777" w:rsidR="00605F10" w:rsidRPr="00C77DF2" w:rsidRDefault="00605F10" w:rsidP="00202EF4"/>
    <w:p w14:paraId="51A8B264" w14:textId="77777777" w:rsidR="00EF04F6" w:rsidRDefault="00EF04F6" w:rsidP="00202EF4">
      <w:pPr>
        <w:sectPr w:rsidR="00EF04F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406518861"/>
        <w:docPartObj>
          <w:docPartGallery w:val="Table of Contents"/>
          <w:docPartUnique/>
        </w:docPartObj>
      </w:sdtPr>
      <w:sdtEndPr>
        <w:rPr>
          <w:b/>
          <w:bCs/>
          <w:noProof/>
        </w:rPr>
      </w:sdtEndPr>
      <w:sdtContent>
        <w:p w14:paraId="4FD087A9" w14:textId="77777777" w:rsidR="00605F10" w:rsidRDefault="00605F10" w:rsidP="00202EF4">
          <w:pPr>
            <w:pStyle w:val="TOCHeading"/>
            <w:spacing w:after="120"/>
          </w:pPr>
          <w:r>
            <w:t>Table of Contents</w:t>
          </w:r>
        </w:p>
        <w:p w14:paraId="0650B82A" w14:textId="77777777" w:rsidR="008C7C42" w:rsidRDefault="00605F10">
          <w:pPr>
            <w:pStyle w:val="TOC1"/>
            <w:rPr>
              <w:rFonts w:cstheme="minorBidi"/>
              <w:lang w:val="en-AU" w:eastAsia="en-AU"/>
            </w:rPr>
          </w:pPr>
          <w:r>
            <w:fldChar w:fldCharType="begin"/>
          </w:r>
          <w:r>
            <w:instrText xml:space="preserve"> TOC \o "1-3" \h \z \u </w:instrText>
          </w:r>
          <w:r>
            <w:fldChar w:fldCharType="separate"/>
          </w:r>
          <w:hyperlink w:anchor="_Toc475977479" w:history="1">
            <w:r w:rsidR="008C7C42" w:rsidRPr="00EE7063">
              <w:rPr>
                <w:rStyle w:val="Hyperlink"/>
              </w:rPr>
              <w:t>1</w:t>
            </w:r>
            <w:r w:rsidR="008C7C42">
              <w:rPr>
                <w:rFonts w:cstheme="minorBidi"/>
                <w:lang w:val="en-AU" w:eastAsia="en-AU"/>
              </w:rPr>
              <w:tab/>
            </w:r>
            <w:r w:rsidR="008C7C42" w:rsidRPr="00EE7063">
              <w:rPr>
                <w:rStyle w:val="Hyperlink"/>
              </w:rPr>
              <w:t>Overview</w:t>
            </w:r>
            <w:r w:rsidR="008C7C42">
              <w:rPr>
                <w:webHidden/>
              </w:rPr>
              <w:tab/>
            </w:r>
            <w:r w:rsidR="008C7C42">
              <w:rPr>
                <w:webHidden/>
              </w:rPr>
              <w:fldChar w:fldCharType="begin"/>
            </w:r>
            <w:r w:rsidR="008C7C42">
              <w:rPr>
                <w:webHidden/>
              </w:rPr>
              <w:instrText xml:space="preserve"> PAGEREF _Toc475977479 \h </w:instrText>
            </w:r>
            <w:r w:rsidR="008C7C42">
              <w:rPr>
                <w:webHidden/>
              </w:rPr>
            </w:r>
            <w:r w:rsidR="008C7C42">
              <w:rPr>
                <w:webHidden/>
              </w:rPr>
              <w:fldChar w:fldCharType="separate"/>
            </w:r>
            <w:r w:rsidR="00B0641F">
              <w:rPr>
                <w:webHidden/>
              </w:rPr>
              <w:t>1</w:t>
            </w:r>
            <w:r w:rsidR="008C7C42">
              <w:rPr>
                <w:webHidden/>
              </w:rPr>
              <w:fldChar w:fldCharType="end"/>
            </w:r>
          </w:hyperlink>
        </w:p>
        <w:p w14:paraId="61B5C93F" w14:textId="77777777" w:rsidR="008C7C42" w:rsidRDefault="00831E16">
          <w:pPr>
            <w:pStyle w:val="TOC1"/>
            <w:rPr>
              <w:rFonts w:cstheme="minorBidi"/>
              <w:lang w:val="en-AU" w:eastAsia="en-AU"/>
            </w:rPr>
          </w:pPr>
          <w:hyperlink w:anchor="_Toc475977480" w:history="1">
            <w:r w:rsidR="008C7C42" w:rsidRPr="00EE7063">
              <w:rPr>
                <w:rStyle w:val="Hyperlink"/>
              </w:rPr>
              <w:t>2</w:t>
            </w:r>
            <w:r w:rsidR="008C7C42">
              <w:rPr>
                <w:rFonts w:cstheme="minorBidi"/>
                <w:lang w:val="en-AU" w:eastAsia="en-AU"/>
              </w:rPr>
              <w:tab/>
            </w:r>
            <w:r w:rsidR="008C7C42" w:rsidRPr="00EE7063">
              <w:rPr>
                <w:rStyle w:val="Hyperlink"/>
              </w:rPr>
              <w:t>Barriers to social impact investing in health</w:t>
            </w:r>
            <w:r w:rsidR="008C7C42">
              <w:rPr>
                <w:webHidden/>
              </w:rPr>
              <w:tab/>
            </w:r>
            <w:r w:rsidR="008C7C42">
              <w:rPr>
                <w:webHidden/>
              </w:rPr>
              <w:fldChar w:fldCharType="begin"/>
            </w:r>
            <w:r w:rsidR="008C7C42">
              <w:rPr>
                <w:webHidden/>
              </w:rPr>
              <w:instrText xml:space="preserve"> PAGEREF _Toc475977480 \h </w:instrText>
            </w:r>
            <w:r w:rsidR="008C7C42">
              <w:rPr>
                <w:webHidden/>
              </w:rPr>
            </w:r>
            <w:r w:rsidR="008C7C42">
              <w:rPr>
                <w:webHidden/>
              </w:rPr>
              <w:fldChar w:fldCharType="separate"/>
            </w:r>
            <w:r w:rsidR="00B0641F">
              <w:rPr>
                <w:webHidden/>
              </w:rPr>
              <w:t>2</w:t>
            </w:r>
            <w:r w:rsidR="008C7C42">
              <w:rPr>
                <w:webHidden/>
              </w:rPr>
              <w:fldChar w:fldCharType="end"/>
            </w:r>
          </w:hyperlink>
        </w:p>
        <w:p w14:paraId="15F65340" w14:textId="77777777" w:rsidR="008C7C42" w:rsidRDefault="00831E16">
          <w:pPr>
            <w:pStyle w:val="TOC2"/>
            <w:rPr>
              <w:rFonts w:cstheme="minorBidi"/>
              <w:noProof/>
              <w:lang w:val="en-AU" w:eastAsia="en-AU"/>
            </w:rPr>
          </w:pPr>
          <w:hyperlink w:anchor="_Toc475977481" w:history="1">
            <w:r w:rsidR="008C7C42" w:rsidRPr="00EE7063">
              <w:rPr>
                <w:rStyle w:val="Hyperlink"/>
                <w:noProof/>
              </w:rPr>
              <w:t>2.1</w:t>
            </w:r>
            <w:r w:rsidR="008C7C42">
              <w:rPr>
                <w:rFonts w:cstheme="minorBidi"/>
                <w:noProof/>
                <w:lang w:val="en-AU" w:eastAsia="en-AU"/>
              </w:rPr>
              <w:tab/>
            </w:r>
            <w:r w:rsidR="008C7C42" w:rsidRPr="00EE7063">
              <w:rPr>
                <w:rStyle w:val="Hyperlink"/>
                <w:noProof/>
              </w:rPr>
              <w:t>Data</w:t>
            </w:r>
            <w:r w:rsidR="008C7C42">
              <w:rPr>
                <w:noProof/>
                <w:webHidden/>
              </w:rPr>
              <w:tab/>
            </w:r>
            <w:r w:rsidR="008C7C42">
              <w:rPr>
                <w:noProof/>
                <w:webHidden/>
              </w:rPr>
              <w:fldChar w:fldCharType="begin"/>
            </w:r>
            <w:r w:rsidR="008C7C42">
              <w:rPr>
                <w:noProof/>
                <w:webHidden/>
              </w:rPr>
              <w:instrText xml:space="preserve"> PAGEREF _Toc475977481 \h </w:instrText>
            </w:r>
            <w:r w:rsidR="008C7C42">
              <w:rPr>
                <w:noProof/>
                <w:webHidden/>
              </w:rPr>
            </w:r>
            <w:r w:rsidR="008C7C42">
              <w:rPr>
                <w:noProof/>
                <w:webHidden/>
              </w:rPr>
              <w:fldChar w:fldCharType="separate"/>
            </w:r>
            <w:r w:rsidR="00B0641F">
              <w:rPr>
                <w:noProof/>
                <w:webHidden/>
              </w:rPr>
              <w:t>2</w:t>
            </w:r>
            <w:r w:rsidR="008C7C42">
              <w:rPr>
                <w:noProof/>
                <w:webHidden/>
              </w:rPr>
              <w:fldChar w:fldCharType="end"/>
            </w:r>
          </w:hyperlink>
        </w:p>
        <w:p w14:paraId="25E47E2A" w14:textId="77777777" w:rsidR="008C7C42" w:rsidRDefault="00831E16">
          <w:pPr>
            <w:pStyle w:val="TOC2"/>
            <w:rPr>
              <w:rFonts w:cstheme="minorBidi"/>
              <w:noProof/>
              <w:lang w:val="en-AU" w:eastAsia="en-AU"/>
            </w:rPr>
          </w:pPr>
          <w:hyperlink w:anchor="_Toc475977482" w:history="1">
            <w:r w:rsidR="008C7C42" w:rsidRPr="00EE7063">
              <w:rPr>
                <w:rStyle w:val="Hyperlink"/>
                <w:noProof/>
              </w:rPr>
              <w:t>2.2</w:t>
            </w:r>
            <w:r w:rsidR="008C7C42">
              <w:rPr>
                <w:rFonts w:cstheme="minorBidi"/>
                <w:noProof/>
                <w:lang w:val="en-AU" w:eastAsia="en-AU"/>
              </w:rPr>
              <w:tab/>
            </w:r>
            <w:r w:rsidR="008C7C42" w:rsidRPr="00EE7063">
              <w:rPr>
                <w:rStyle w:val="Hyperlink"/>
                <w:noProof/>
              </w:rPr>
              <w:t>Outcomes measurements</w:t>
            </w:r>
            <w:r w:rsidR="008C7C42">
              <w:rPr>
                <w:noProof/>
                <w:webHidden/>
              </w:rPr>
              <w:tab/>
            </w:r>
            <w:r w:rsidR="008C7C42">
              <w:rPr>
                <w:noProof/>
                <w:webHidden/>
              </w:rPr>
              <w:fldChar w:fldCharType="begin"/>
            </w:r>
            <w:r w:rsidR="008C7C42">
              <w:rPr>
                <w:noProof/>
                <w:webHidden/>
              </w:rPr>
              <w:instrText xml:space="preserve"> PAGEREF _Toc475977482 \h </w:instrText>
            </w:r>
            <w:r w:rsidR="008C7C42">
              <w:rPr>
                <w:noProof/>
                <w:webHidden/>
              </w:rPr>
            </w:r>
            <w:r w:rsidR="008C7C42">
              <w:rPr>
                <w:noProof/>
                <w:webHidden/>
              </w:rPr>
              <w:fldChar w:fldCharType="separate"/>
            </w:r>
            <w:r w:rsidR="00B0641F">
              <w:rPr>
                <w:noProof/>
                <w:webHidden/>
              </w:rPr>
              <w:t>2</w:t>
            </w:r>
            <w:r w:rsidR="008C7C42">
              <w:rPr>
                <w:noProof/>
                <w:webHidden/>
              </w:rPr>
              <w:fldChar w:fldCharType="end"/>
            </w:r>
          </w:hyperlink>
        </w:p>
        <w:p w14:paraId="49C8E8C6" w14:textId="77777777" w:rsidR="008C7C42" w:rsidRDefault="00831E16">
          <w:pPr>
            <w:pStyle w:val="TOC2"/>
            <w:rPr>
              <w:rFonts w:cstheme="minorBidi"/>
              <w:noProof/>
              <w:lang w:val="en-AU" w:eastAsia="en-AU"/>
            </w:rPr>
          </w:pPr>
          <w:hyperlink w:anchor="_Toc475977483" w:history="1">
            <w:r w:rsidR="008C7C42" w:rsidRPr="00EE7063">
              <w:rPr>
                <w:rStyle w:val="Hyperlink"/>
                <w:noProof/>
              </w:rPr>
              <w:t>2.3</w:t>
            </w:r>
            <w:r w:rsidR="008C7C42">
              <w:rPr>
                <w:rFonts w:cstheme="minorBidi"/>
                <w:noProof/>
                <w:lang w:val="en-AU" w:eastAsia="en-AU"/>
              </w:rPr>
              <w:tab/>
            </w:r>
            <w:r w:rsidR="008C7C42" w:rsidRPr="00EE7063">
              <w:rPr>
                <w:rStyle w:val="Hyperlink"/>
                <w:noProof/>
              </w:rPr>
              <w:t>Fee-for-service and activity-based mentality</w:t>
            </w:r>
            <w:r w:rsidR="008C7C42">
              <w:rPr>
                <w:noProof/>
                <w:webHidden/>
              </w:rPr>
              <w:tab/>
            </w:r>
            <w:r w:rsidR="008C7C42">
              <w:rPr>
                <w:noProof/>
                <w:webHidden/>
              </w:rPr>
              <w:fldChar w:fldCharType="begin"/>
            </w:r>
            <w:r w:rsidR="008C7C42">
              <w:rPr>
                <w:noProof/>
                <w:webHidden/>
              </w:rPr>
              <w:instrText xml:space="preserve"> PAGEREF _Toc475977483 \h </w:instrText>
            </w:r>
            <w:r w:rsidR="008C7C42">
              <w:rPr>
                <w:noProof/>
                <w:webHidden/>
              </w:rPr>
            </w:r>
            <w:r w:rsidR="008C7C42">
              <w:rPr>
                <w:noProof/>
                <w:webHidden/>
              </w:rPr>
              <w:fldChar w:fldCharType="separate"/>
            </w:r>
            <w:r w:rsidR="00B0641F">
              <w:rPr>
                <w:noProof/>
                <w:webHidden/>
              </w:rPr>
              <w:t>2</w:t>
            </w:r>
            <w:r w:rsidR="008C7C42">
              <w:rPr>
                <w:noProof/>
                <w:webHidden/>
              </w:rPr>
              <w:fldChar w:fldCharType="end"/>
            </w:r>
          </w:hyperlink>
        </w:p>
        <w:p w14:paraId="3B96D3C3" w14:textId="77777777" w:rsidR="008C7C42" w:rsidRDefault="00831E16">
          <w:pPr>
            <w:pStyle w:val="TOC2"/>
            <w:rPr>
              <w:rFonts w:cstheme="minorBidi"/>
              <w:noProof/>
              <w:lang w:val="en-AU" w:eastAsia="en-AU"/>
            </w:rPr>
          </w:pPr>
          <w:hyperlink w:anchor="_Toc475977484" w:history="1">
            <w:r w:rsidR="008C7C42" w:rsidRPr="00EE7063">
              <w:rPr>
                <w:rStyle w:val="Hyperlink"/>
                <w:noProof/>
              </w:rPr>
              <w:t>2.4</w:t>
            </w:r>
            <w:r w:rsidR="008C7C42">
              <w:rPr>
                <w:rFonts w:cstheme="minorBidi"/>
                <w:noProof/>
                <w:lang w:val="en-AU" w:eastAsia="en-AU"/>
              </w:rPr>
              <w:tab/>
            </w:r>
            <w:r w:rsidR="008C7C42" w:rsidRPr="00EE7063">
              <w:rPr>
                <w:rStyle w:val="Hyperlink"/>
                <w:noProof/>
              </w:rPr>
              <w:t>Realised benefit and return on investment</w:t>
            </w:r>
            <w:r w:rsidR="008C7C42">
              <w:rPr>
                <w:noProof/>
                <w:webHidden/>
              </w:rPr>
              <w:tab/>
            </w:r>
            <w:r w:rsidR="008C7C42">
              <w:rPr>
                <w:noProof/>
                <w:webHidden/>
              </w:rPr>
              <w:fldChar w:fldCharType="begin"/>
            </w:r>
            <w:r w:rsidR="008C7C42">
              <w:rPr>
                <w:noProof/>
                <w:webHidden/>
              </w:rPr>
              <w:instrText xml:space="preserve"> PAGEREF _Toc475977484 \h </w:instrText>
            </w:r>
            <w:r w:rsidR="008C7C42">
              <w:rPr>
                <w:noProof/>
                <w:webHidden/>
              </w:rPr>
            </w:r>
            <w:r w:rsidR="008C7C42">
              <w:rPr>
                <w:noProof/>
                <w:webHidden/>
              </w:rPr>
              <w:fldChar w:fldCharType="separate"/>
            </w:r>
            <w:r w:rsidR="00B0641F">
              <w:rPr>
                <w:noProof/>
                <w:webHidden/>
              </w:rPr>
              <w:t>3</w:t>
            </w:r>
            <w:r w:rsidR="008C7C42">
              <w:rPr>
                <w:noProof/>
                <w:webHidden/>
              </w:rPr>
              <w:fldChar w:fldCharType="end"/>
            </w:r>
          </w:hyperlink>
        </w:p>
        <w:p w14:paraId="2446C5E5" w14:textId="77777777" w:rsidR="008C7C42" w:rsidRDefault="00831E16">
          <w:pPr>
            <w:pStyle w:val="TOC2"/>
            <w:rPr>
              <w:rFonts w:cstheme="minorBidi"/>
              <w:noProof/>
              <w:lang w:val="en-AU" w:eastAsia="en-AU"/>
            </w:rPr>
          </w:pPr>
          <w:hyperlink w:anchor="_Toc475977485" w:history="1">
            <w:r w:rsidR="008C7C42" w:rsidRPr="00EE7063">
              <w:rPr>
                <w:rStyle w:val="Hyperlink"/>
                <w:noProof/>
              </w:rPr>
              <w:t>2.5</w:t>
            </w:r>
            <w:r w:rsidR="008C7C42">
              <w:rPr>
                <w:rFonts w:cstheme="minorBidi"/>
                <w:noProof/>
                <w:lang w:val="en-AU" w:eastAsia="en-AU"/>
              </w:rPr>
              <w:tab/>
            </w:r>
            <w:r w:rsidR="008C7C42" w:rsidRPr="00EE7063">
              <w:rPr>
                <w:rStyle w:val="Hyperlink"/>
                <w:noProof/>
              </w:rPr>
              <w:t>Investors</w:t>
            </w:r>
            <w:r w:rsidR="008C7C42">
              <w:rPr>
                <w:noProof/>
                <w:webHidden/>
              </w:rPr>
              <w:tab/>
            </w:r>
            <w:r w:rsidR="008C7C42">
              <w:rPr>
                <w:noProof/>
                <w:webHidden/>
              </w:rPr>
              <w:fldChar w:fldCharType="begin"/>
            </w:r>
            <w:r w:rsidR="008C7C42">
              <w:rPr>
                <w:noProof/>
                <w:webHidden/>
              </w:rPr>
              <w:instrText xml:space="preserve"> PAGEREF _Toc475977485 \h </w:instrText>
            </w:r>
            <w:r w:rsidR="008C7C42">
              <w:rPr>
                <w:noProof/>
                <w:webHidden/>
              </w:rPr>
            </w:r>
            <w:r w:rsidR="008C7C42">
              <w:rPr>
                <w:noProof/>
                <w:webHidden/>
              </w:rPr>
              <w:fldChar w:fldCharType="separate"/>
            </w:r>
            <w:r w:rsidR="00B0641F">
              <w:rPr>
                <w:noProof/>
                <w:webHidden/>
              </w:rPr>
              <w:t>3</w:t>
            </w:r>
            <w:r w:rsidR="008C7C42">
              <w:rPr>
                <w:noProof/>
                <w:webHidden/>
              </w:rPr>
              <w:fldChar w:fldCharType="end"/>
            </w:r>
          </w:hyperlink>
        </w:p>
        <w:p w14:paraId="4A22A4CD" w14:textId="77777777" w:rsidR="008C7C42" w:rsidRDefault="00831E16">
          <w:pPr>
            <w:pStyle w:val="TOC2"/>
            <w:rPr>
              <w:rFonts w:cstheme="minorBidi"/>
              <w:noProof/>
              <w:lang w:val="en-AU" w:eastAsia="en-AU"/>
            </w:rPr>
          </w:pPr>
          <w:hyperlink w:anchor="_Toc475977486" w:history="1">
            <w:r w:rsidR="008C7C42" w:rsidRPr="00EE7063">
              <w:rPr>
                <w:rStyle w:val="Hyperlink"/>
                <w:noProof/>
              </w:rPr>
              <w:t>2.6</w:t>
            </w:r>
            <w:r w:rsidR="008C7C42">
              <w:rPr>
                <w:rFonts w:cstheme="minorBidi"/>
                <w:noProof/>
                <w:lang w:val="en-AU" w:eastAsia="en-AU"/>
              </w:rPr>
              <w:tab/>
            </w:r>
            <w:r w:rsidR="008C7C42" w:rsidRPr="00EE7063">
              <w:rPr>
                <w:rStyle w:val="Hyperlink"/>
                <w:noProof/>
              </w:rPr>
              <w:t>Lack of evidence</w:t>
            </w:r>
            <w:r w:rsidR="008C7C42">
              <w:rPr>
                <w:noProof/>
                <w:webHidden/>
              </w:rPr>
              <w:tab/>
            </w:r>
            <w:r w:rsidR="008C7C42">
              <w:rPr>
                <w:noProof/>
                <w:webHidden/>
              </w:rPr>
              <w:fldChar w:fldCharType="begin"/>
            </w:r>
            <w:r w:rsidR="008C7C42">
              <w:rPr>
                <w:noProof/>
                <w:webHidden/>
              </w:rPr>
              <w:instrText xml:space="preserve"> PAGEREF _Toc475977486 \h </w:instrText>
            </w:r>
            <w:r w:rsidR="008C7C42">
              <w:rPr>
                <w:noProof/>
                <w:webHidden/>
              </w:rPr>
            </w:r>
            <w:r w:rsidR="008C7C42">
              <w:rPr>
                <w:noProof/>
                <w:webHidden/>
              </w:rPr>
              <w:fldChar w:fldCharType="separate"/>
            </w:r>
            <w:r w:rsidR="00B0641F">
              <w:rPr>
                <w:noProof/>
                <w:webHidden/>
              </w:rPr>
              <w:t>3</w:t>
            </w:r>
            <w:r w:rsidR="008C7C42">
              <w:rPr>
                <w:noProof/>
                <w:webHidden/>
              </w:rPr>
              <w:fldChar w:fldCharType="end"/>
            </w:r>
          </w:hyperlink>
        </w:p>
        <w:p w14:paraId="2E1938AC" w14:textId="77777777" w:rsidR="008C7C42" w:rsidRDefault="00831E16">
          <w:pPr>
            <w:pStyle w:val="TOC1"/>
            <w:rPr>
              <w:rFonts w:cstheme="minorBidi"/>
              <w:lang w:val="en-AU" w:eastAsia="en-AU"/>
            </w:rPr>
          </w:pPr>
          <w:hyperlink w:anchor="_Toc475977487" w:history="1">
            <w:r w:rsidR="008C7C42" w:rsidRPr="00EE7063">
              <w:rPr>
                <w:rStyle w:val="Hyperlink"/>
              </w:rPr>
              <w:t>3</w:t>
            </w:r>
            <w:r w:rsidR="008C7C42">
              <w:rPr>
                <w:rFonts w:cstheme="minorBidi"/>
                <w:lang w:val="en-AU" w:eastAsia="en-AU"/>
              </w:rPr>
              <w:tab/>
            </w:r>
            <w:r w:rsidR="008C7C42" w:rsidRPr="00EE7063">
              <w:rPr>
                <w:rStyle w:val="Hyperlink"/>
              </w:rPr>
              <w:t>Role of Australian Government and other jurisdictions</w:t>
            </w:r>
            <w:r w:rsidR="008C7C42">
              <w:rPr>
                <w:webHidden/>
              </w:rPr>
              <w:tab/>
            </w:r>
            <w:r w:rsidR="008C7C42">
              <w:rPr>
                <w:webHidden/>
              </w:rPr>
              <w:fldChar w:fldCharType="begin"/>
            </w:r>
            <w:r w:rsidR="008C7C42">
              <w:rPr>
                <w:webHidden/>
              </w:rPr>
              <w:instrText xml:space="preserve"> PAGEREF _Toc475977487 \h </w:instrText>
            </w:r>
            <w:r w:rsidR="008C7C42">
              <w:rPr>
                <w:webHidden/>
              </w:rPr>
            </w:r>
            <w:r w:rsidR="008C7C42">
              <w:rPr>
                <w:webHidden/>
              </w:rPr>
              <w:fldChar w:fldCharType="separate"/>
            </w:r>
            <w:r w:rsidR="00B0641F">
              <w:rPr>
                <w:webHidden/>
              </w:rPr>
              <w:t>3</w:t>
            </w:r>
            <w:r w:rsidR="008C7C42">
              <w:rPr>
                <w:webHidden/>
              </w:rPr>
              <w:fldChar w:fldCharType="end"/>
            </w:r>
          </w:hyperlink>
        </w:p>
        <w:p w14:paraId="189FDD0D" w14:textId="77777777" w:rsidR="008C7C42" w:rsidRDefault="00831E16">
          <w:pPr>
            <w:pStyle w:val="TOC1"/>
            <w:rPr>
              <w:rFonts w:cstheme="minorBidi"/>
              <w:lang w:val="en-AU" w:eastAsia="en-AU"/>
            </w:rPr>
          </w:pPr>
          <w:hyperlink w:anchor="_Toc475977488" w:history="1">
            <w:r w:rsidR="008C7C42" w:rsidRPr="00EE7063">
              <w:rPr>
                <w:rStyle w:val="Hyperlink"/>
              </w:rPr>
              <w:t>4</w:t>
            </w:r>
            <w:r w:rsidR="008C7C42">
              <w:rPr>
                <w:rFonts w:cstheme="minorBidi"/>
                <w:lang w:val="en-AU" w:eastAsia="en-AU"/>
              </w:rPr>
              <w:tab/>
            </w:r>
            <w:r w:rsidR="008C7C42" w:rsidRPr="00EE7063">
              <w:rPr>
                <w:rStyle w:val="Hyperlink"/>
              </w:rPr>
              <w:t>The Treasury’s four proposed principles for social impact investing</w:t>
            </w:r>
            <w:r w:rsidR="008C7C42">
              <w:rPr>
                <w:webHidden/>
              </w:rPr>
              <w:tab/>
            </w:r>
            <w:r w:rsidR="008C7C42">
              <w:rPr>
                <w:webHidden/>
              </w:rPr>
              <w:fldChar w:fldCharType="begin"/>
            </w:r>
            <w:r w:rsidR="008C7C42">
              <w:rPr>
                <w:webHidden/>
              </w:rPr>
              <w:instrText xml:space="preserve"> PAGEREF _Toc475977488 \h </w:instrText>
            </w:r>
            <w:r w:rsidR="008C7C42">
              <w:rPr>
                <w:webHidden/>
              </w:rPr>
            </w:r>
            <w:r w:rsidR="008C7C42">
              <w:rPr>
                <w:webHidden/>
              </w:rPr>
              <w:fldChar w:fldCharType="separate"/>
            </w:r>
            <w:r w:rsidR="00B0641F">
              <w:rPr>
                <w:webHidden/>
              </w:rPr>
              <w:t>4</w:t>
            </w:r>
            <w:r w:rsidR="008C7C42">
              <w:rPr>
                <w:webHidden/>
              </w:rPr>
              <w:fldChar w:fldCharType="end"/>
            </w:r>
          </w:hyperlink>
        </w:p>
        <w:p w14:paraId="47F008E6" w14:textId="77777777" w:rsidR="008C7C42" w:rsidRDefault="00831E16">
          <w:pPr>
            <w:pStyle w:val="TOC1"/>
            <w:rPr>
              <w:rFonts w:cstheme="minorBidi"/>
              <w:lang w:val="en-AU" w:eastAsia="en-AU"/>
            </w:rPr>
          </w:pPr>
          <w:hyperlink w:anchor="_Toc475977489" w:history="1">
            <w:r w:rsidR="008C7C42" w:rsidRPr="00EE7063">
              <w:rPr>
                <w:rStyle w:val="Hyperlink"/>
              </w:rPr>
              <w:t>5</w:t>
            </w:r>
            <w:r w:rsidR="008C7C42">
              <w:rPr>
                <w:rFonts w:cstheme="minorBidi"/>
                <w:lang w:val="en-AU" w:eastAsia="en-AU"/>
              </w:rPr>
              <w:tab/>
            </w:r>
            <w:r w:rsidR="008C7C42" w:rsidRPr="00EE7063">
              <w:rPr>
                <w:rStyle w:val="Hyperlink"/>
              </w:rPr>
              <w:t>Areas which lend themselves to social impact investing</w:t>
            </w:r>
            <w:r w:rsidR="008C7C42">
              <w:rPr>
                <w:webHidden/>
              </w:rPr>
              <w:tab/>
            </w:r>
            <w:r w:rsidR="008C7C42">
              <w:rPr>
                <w:webHidden/>
              </w:rPr>
              <w:fldChar w:fldCharType="begin"/>
            </w:r>
            <w:r w:rsidR="008C7C42">
              <w:rPr>
                <w:webHidden/>
              </w:rPr>
              <w:instrText xml:space="preserve"> PAGEREF _Toc475977489 \h </w:instrText>
            </w:r>
            <w:r w:rsidR="008C7C42">
              <w:rPr>
                <w:webHidden/>
              </w:rPr>
            </w:r>
            <w:r w:rsidR="008C7C42">
              <w:rPr>
                <w:webHidden/>
              </w:rPr>
              <w:fldChar w:fldCharType="separate"/>
            </w:r>
            <w:r w:rsidR="00B0641F">
              <w:rPr>
                <w:webHidden/>
              </w:rPr>
              <w:t>4</w:t>
            </w:r>
            <w:r w:rsidR="008C7C42">
              <w:rPr>
                <w:webHidden/>
              </w:rPr>
              <w:fldChar w:fldCharType="end"/>
            </w:r>
          </w:hyperlink>
        </w:p>
        <w:p w14:paraId="5E923CD7" w14:textId="77777777" w:rsidR="008C7C42" w:rsidRDefault="00831E16">
          <w:pPr>
            <w:pStyle w:val="TOC1"/>
            <w:rPr>
              <w:rFonts w:cstheme="minorBidi"/>
              <w:lang w:val="en-AU" w:eastAsia="en-AU"/>
            </w:rPr>
          </w:pPr>
          <w:hyperlink w:anchor="_Toc475977490" w:history="1">
            <w:r w:rsidR="008C7C42" w:rsidRPr="00EE7063">
              <w:rPr>
                <w:rStyle w:val="Hyperlink"/>
              </w:rPr>
              <w:t>6</w:t>
            </w:r>
            <w:r w:rsidR="008C7C42">
              <w:rPr>
                <w:rFonts w:cstheme="minorBidi"/>
                <w:lang w:val="en-AU" w:eastAsia="en-AU"/>
              </w:rPr>
              <w:tab/>
            </w:r>
            <w:r w:rsidR="008C7C42" w:rsidRPr="00EE7063">
              <w:rPr>
                <w:rStyle w:val="Hyperlink"/>
              </w:rPr>
              <w:t>Conclusion</w:t>
            </w:r>
            <w:r w:rsidR="008C7C42">
              <w:rPr>
                <w:webHidden/>
              </w:rPr>
              <w:tab/>
            </w:r>
            <w:r w:rsidR="008C7C42">
              <w:rPr>
                <w:webHidden/>
              </w:rPr>
              <w:fldChar w:fldCharType="begin"/>
            </w:r>
            <w:r w:rsidR="008C7C42">
              <w:rPr>
                <w:webHidden/>
              </w:rPr>
              <w:instrText xml:space="preserve"> PAGEREF _Toc475977490 \h </w:instrText>
            </w:r>
            <w:r w:rsidR="008C7C42">
              <w:rPr>
                <w:webHidden/>
              </w:rPr>
            </w:r>
            <w:r w:rsidR="008C7C42">
              <w:rPr>
                <w:webHidden/>
              </w:rPr>
              <w:fldChar w:fldCharType="separate"/>
            </w:r>
            <w:r w:rsidR="00B0641F">
              <w:rPr>
                <w:webHidden/>
              </w:rPr>
              <w:t>6</w:t>
            </w:r>
            <w:r w:rsidR="008C7C42">
              <w:rPr>
                <w:webHidden/>
              </w:rPr>
              <w:fldChar w:fldCharType="end"/>
            </w:r>
          </w:hyperlink>
        </w:p>
        <w:p w14:paraId="47157717" w14:textId="77777777" w:rsidR="00605F10" w:rsidRDefault="00605F10" w:rsidP="005E06CE">
          <w:pPr>
            <w:ind w:hanging="851"/>
          </w:pPr>
          <w:r>
            <w:rPr>
              <w:b/>
              <w:bCs/>
              <w:noProof/>
            </w:rPr>
            <w:fldChar w:fldCharType="end"/>
          </w:r>
        </w:p>
      </w:sdtContent>
    </w:sdt>
    <w:p w14:paraId="1D869104" w14:textId="77777777" w:rsidR="00605F10" w:rsidRDefault="00605F10" w:rsidP="00092E11">
      <w:pPr>
        <w:spacing w:afterLines="120" w:after="288" w:line="240" w:lineRule="auto"/>
        <w:ind w:left="907" w:hanging="907"/>
      </w:pPr>
    </w:p>
    <w:p w14:paraId="4E75F55C" w14:textId="77777777" w:rsidR="00605F10" w:rsidRDefault="00605F10" w:rsidP="00202EF4"/>
    <w:p w14:paraId="1E529906" w14:textId="77777777" w:rsidR="00605F10" w:rsidRDefault="00605F10" w:rsidP="00202EF4">
      <w:pPr>
        <w:sectPr w:rsidR="00605F10" w:rsidSect="00EF04F6">
          <w:headerReference w:type="first" r:id="rId21"/>
          <w:footerReference w:type="first" r:id="rId22"/>
          <w:pgSz w:w="11906" w:h="16838"/>
          <w:pgMar w:top="1440" w:right="1440" w:bottom="1440" w:left="1440" w:header="708" w:footer="708" w:gutter="0"/>
          <w:pgNumType w:start="1"/>
          <w:cols w:space="708"/>
          <w:titlePg/>
          <w:docGrid w:linePitch="360"/>
        </w:sectPr>
      </w:pPr>
    </w:p>
    <w:p w14:paraId="61C54369" w14:textId="77777777" w:rsidR="003409BC" w:rsidRDefault="001167A5" w:rsidP="001167A5">
      <w:pPr>
        <w:pStyle w:val="Heading1"/>
      </w:pPr>
      <w:bookmarkStart w:id="1" w:name="_Toc475977479"/>
      <w:r>
        <w:lastRenderedPageBreak/>
        <w:t>Overview</w:t>
      </w:r>
      <w:bookmarkEnd w:id="1"/>
    </w:p>
    <w:p w14:paraId="67B7F0E1" w14:textId="77777777" w:rsidR="00A82E7D" w:rsidRDefault="00A82E7D" w:rsidP="00A82E7D">
      <w:pPr>
        <w:jc w:val="both"/>
      </w:pPr>
      <w:r>
        <w:t xml:space="preserve">The Australian Healthcare and Hospitals Association (AHHA) is pleased to provide this submission to the </w:t>
      </w:r>
      <w:r w:rsidR="003466C9">
        <w:t>Australian Government Treasury</w:t>
      </w:r>
      <w:r w:rsidR="00824A07">
        <w:t xml:space="preserve"> </w:t>
      </w:r>
      <w:r w:rsidR="003466C9">
        <w:t>discuss</w:t>
      </w:r>
      <w:r w:rsidR="00824A07">
        <w:t>ion paper on</w:t>
      </w:r>
      <w:r>
        <w:t xml:space="preserve"> </w:t>
      </w:r>
      <w:r w:rsidR="003466C9">
        <w:rPr>
          <w:i/>
        </w:rPr>
        <w:t>Social Impact Investing</w:t>
      </w:r>
      <w:r>
        <w:t>.</w:t>
      </w:r>
    </w:p>
    <w:p w14:paraId="16A0CA7F" w14:textId="77777777" w:rsidR="00A82E7D" w:rsidRDefault="00A82E7D" w:rsidP="00A82E7D">
      <w:r>
        <w:t>The AHHA is Australia’s national peak body for public hospitals and health care providers. Our membership includes state health departments, Local Hospital Networks</w:t>
      </w:r>
      <w:r w:rsidR="00BA155B">
        <w:t xml:space="preserve"> (LHNs)</w:t>
      </w:r>
      <w:r>
        <w:t xml:space="preserve"> and public hospitals, community health services, Primary Health Networks</w:t>
      </w:r>
      <w:r w:rsidR="00BA155B">
        <w:t xml:space="preserve"> (PHNs)</w:t>
      </w:r>
      <w:r>
        <w:t xml:space="preserve"> and primary healthcare providers, aged care providers, universities, individual health professionals and academics. As such, we are uniquely placed to be an independent, national voice for universal high quality healthcare to benefit the whole community.</w:t>
      </w:r>
    </w:p>
    <w:p w14:paraId="31852D0D" w14:textId="77777777" w:rsidR="003466C9" w:rsidRPr="003466C9" w:rsidRDefault="003466C9" w:rsidP="003466C9">
      <w:pPr>
        <w:rPr>
          <w:rFonts w:ascii="Calibri" w:hAnsi="Calibri" w:cs="Calibri"/>
          <w:bCs/>
          <w:color w:val="000000"/>
        </w:rPr>
      </w:pPr>
      <w:r w:rsidRPr="003466C9">
        <w:rPr>
          <w:rFonts w:ascii="Calibri" w:hAnsi="Calibri" w:cs="Calibri"/>
          <w:bCs/>
          <w:color w:val="000000"/>
        </w:rPr>
        <w:t>Using social impact investing to drive positive health outcomes for specific conditions or populations is in its infanc</w:t>
      </w:r>
      <w:r w:rsidR="000C3CE7">
        <w:rPr>
          <w:rFonts w:ascii="Calibri" w:hAnsi="Calibri" w:cs="Calibri"/>
          <w:bCs/>
          <w:color w:val="000000"/>
        </w:rPr>
        <w:t>y in Australia, b</w:t>
      </w:r>
      <w:r w:rsidR="00BA155B">
        <w:rPr>
          <w:rFonts w:ascii="Calibri" w:hAnsi="Calibri" w:cs="Calibri"/>
          <w:bCs/>
          <w:color w:val="000000"/>
        </w:rPr>
        <w:t>ut governments</w:t>
      </w:r>
      <w:r w:rsidRPr="003466C9">
        <w:rPr>
          <w:rFonts w:ascii="Calibri" w:hAnsi="Calibri" w:cs="Calibri"/>
          <w:bCs/>
          <w:color w:val="000000"/>
        </w:rPr>
        <w:t xml:space="preserve"> are beginning to look at the international evidence and considering how social impact investing could be used in Australia to drive outcome-focused improvements.</w:t>
      </w:r>
    </w:p>
    <w:p w14:paraId="5D1E0710" w14:textId="77777777" w:rsidR="003466C9" w:rsidRPr="003466C9" w:rsidRDefault="003466C9" w:rsidP="003466C9">
      <w:pPr>
        <w:rPr>
          <w:rFonts w:ascii="Calibri" w:hAnsi="Calibri" w:cs="Calibri"/>
          <w:bCs/>
          <w:color w:val="000000"/>
        </w:rPr>
      </w:pPr>
      <w:r w:rsidRPr="003466C9">
        <w:rPr>
          <w:rFonts w:ascii="Calibri" w:hAnsi="Calibri" w:cs="Calibri"/>
          <w:bCs/>
          <w:color w:val="000000"/>
        </w:rPr>
        <w:t>Social impact investing involves private investors funding outcome-focused interventions and governments paying back the principal as well as a return on the investment only once the program meets its agreed outcomes. The attractiveness of social impact investing lies in risk mitigation to governments, cash flow management for government departments and the potential to promote innovation and increase accountability in service delivery through public-private partnerships.</w:t>
      </w:r>
    </w:p>
    <w:p w14:paraId="6401EB9E" w14:textId="77777777" w:rsidR="003466C9" w:rsidRPr="003466C9" w:rsidRDefault="003466C9" w:rsidP="003466C9">
      <w:pPr>
        <w:rPr>
          <w:rFonts w:ascii="Calibri" w:hAnsi="Calibri" w:cs="Calibri"/>
          <w:bCs/>
          <w:color w:val="000000"/>
        </w:rPr>
      </w:pPr>
      <w:r w:rsidRPr="003466C9">
        <w:rPr>
          <w:rFonts w:ascii="Calibri" w:hAnsi="Calibri" w:cs="Calibri"/>
          <w:bCs/>
          <w:color w:val="000000"/>
        </w:rPr>
        <w:t>Impact investing in health would require a change in mindset away from discussions of whether private or public interests are responsible for treating ill-health. The focus shifts to the mitigation of ill-health by adjusting tastes and behaviours and the achievement of positive health outcomes.</w:t>
      </w:r>
    </w:p>
    <w:p w14:paraId="38B90170" w14:textId="77777777" w:rsidR="003466C9" w:rsidRPr="003466C9" w:rsidRDefault="003466C9" w:rsidP="003466C9">
      <w:pPr>
        <w:rPr>
          <w:rFonts w:ascii="Calibri" w:hAnsi="Calibri" w:cs="Calibri"/>
          <w:bCs/>
          <w:color w:val="000000"/>
        </w:rPr>
      </w:pPr>
      <w:r w:rsidRPr="003466C9">
        <w:rPr>
          <w:rFonts w:ascii="Calibri" w:hAnsi="Calibri" w:cs="Calibri"/>
          <w:bCs/>
          <w:color w:val="000000"/>
        </w:rPr>
        <w:t>Essential ingredients for success in pursuing impact investing in the health sector include</w:t>
      </w:r>
      <w:r w:rsidR="00BA155B">
        <w:rPr>
          <w:rFonts w:ascii="Calibri" w:hAnsi="Calibri" w:cs="Calibri"/>
          <w:bCs/>
          <w:color w:val="000000"/>
        </w:rPr>
        <w:t xml:space="preserve"> access to quality data from public and private health service providers,</w:t>
      </w:r>
      <w:r w:rsidRPr="003466C9">
        <w:rPr>
          <w:rFonts w:ascii="Calibri" w:hAnsi="Calibri" w:cs="Calibri"/>
          <w:bCs/>
          <w:color w:val="000000"/>
        </w:rPr>
        <w:t xml:space="preserve"> the development of measurable and robust outcomes, niche investors seeking a return on a public good, the development of effective and innovative interventions, and consensus among the parties throughout the journey.</w:t>
      </w:r>
    </w:p>
    <w:p w14:paraId="2C78F4E3" w14:textId="77777777" w:rsidR="003466C9" w:rsidRPr="003466C9" w:rsidRDefault="003466C9" w:rsidP="003466C9">
      <w:pPr>
        <w:rPr>
          <w:rFonts w:ascii="Calibri" w:hAnsi="Calibri" w:cs="Calibri"/>
          <w:bCs/>
          <w:color w:val="000000"/>
        </w:rPr>
      </w:pPr>
      <w:r w:rsidRPr="003466C9">
        <w:rPr>
          <w:rFonts w:ascii="Calibri" w:hAnsi="Calibri" w:cs="Calibri"/>
          <w:bCs/>
          <w:color w:val="000000"/>
        </w:rPr>
        <w:t>Work</w:t>
      </w:r>
      <w:r w:rsidR="00BA155B">
        <w:rPr>
          <w:rFonts w:ascii="Calibri" w:hAnsi="Calibri" w:cs="Calibri"/>
          <w:bCs/>
          <w:color w:val="000000"/>
        </w:rPr>
        <w:t xml:space="preserve">ing together, PHNs and </w:t>
      </w:r>
      <w:r w:rsidRPr="003466C9">
        <w:rPr>
          <w:rFonts w:ascii="Calibri" w:hAnsi="Calibri" w:cs="Calibri"/>
          <w:bCs/>
          <w:color w:val="000000"/>
        </w:rPr>
        <w:t>LH</w:t>
      </w:r>
      <w:r w:rsidR="00BA155B">
        <w:rPr>
          <w:rFonts w:ascii="Calibri" w:hAnsi="Calibri" w:cs="Calibri"/>
          <w:bCs/>
          <w:color w:val="000000"/>
        </w:rPr>
        <w:t>N</w:t>
      </w:r>
      <w:r w:rsidRPr="003466C9">
        <w:rPr>
          <w:rFonts w:ascii="Calibri" w:hAnsi="Calibri" w:cs="Calibri"/>
          <w:bCs/>
          <w:color w:val="000000"/>
        </w:rPr>
        <w:t>s</w:t>
      </w:r>
      <w:r w:rsidR="000C3CE7">
        <w:rPr>
          <w:rFonts w:ascii="Calibri" w:hAnsi="Calibri" w:cs="Calibri"/>
          <w:bCs/>
          <w:color w:val="000000"/>
        </w:rPr>
        <w:t>,</w:t>
      </w:r>
      <w:r w:rsidRPr="003466C9">
        <w:rPr>
          <w:rFonts w:ascii="Calibri" w:hAnsi="Calibri" w:cs="Calibri"/>
          <w:bCs/>
          <w:color w:val="000000"/>
        </w:rPr>
        <w:t xml:space="preserve"> or their equivalent</w:t>
      </w:r>
      <w:r w:rsidR="000C3CE7">
        <w:rPr>
          <w:rFonts w:ascii="Calibri" w:hAnsi="Calibri" w:cs="Calibri"/>
          <w:bCs/>
          <w:color w:val="000000"/>
        </w:rPr>
        <w:t>,</w:t>
      </w:r>
      <w:r w:rsidRPr="003466C9">
        <w:rPr>
          <w:rFonts w:ascii="Calibri" w:hAnsi="Calibri" w:cs="Calibri"/>
          <w:bCs/>
          <w:color w:val="000000"/>
        </w:rPr>
        <w:t xml:space="preserve"> are well placed to be agents of positive change in realising better population health outcomes while being prudent fiscal stewards of public funds.</w:t>
      </w:r>
    </w:p>
    <w:p w14:paraId="37578214" w14:textId="7D19D165" w:rsidR="003466C9" w:rsidRPr="003466C9" w:rsidRDefault="003466C9" w:rsidP="003466C9">
      <w:pPr>
        <w:rPr>
          <w:rFonts w:ascii="Calibri" w:hAnsi="Calibri" w:cs="Calibri"/>
          <w:bCs/>
          <w:color w:val="000000"/>
        </w:rPr>
      </w:pPr>
      <w:r w:rsidRPr="003466C9">
        <w:rPr>
          <w:rFonts w:ascii="Calibri" w:hAnsi="Calibri" w:cs="Calibri"/>
          <w:bCs/>
          <w:color w:val="000000"/>
        </w:rPr>
        <w:t>PHNs and LH</w:t>
      </w:r>
      <w:r w:rsidR="00BA155B">
        <w:rPr>
          <w:rFonts w:ascii="Calibri" w:hAnsi="Calibri" w:cs="Calibri"/>
          <w:bCs/>
          <w:color w:val="000000"/>
        </w:rPr>
        <w:t>N</w:t>
      </w:r>
      <w:r w:rsidRPr="003466C9">
        <w:rPr>
          <w:rFonts w:ascii="Calibri" w:hAnsi="Calibri" w:cs="Calibri"/>
          <w:bCs/>
          <w:color w:val="000000"/>
        </w:rPr>
        <w:t>s have an opportunity to engage in impact investments in order to respond more directly to local needs. A fund</w:t>
      </w:r>
      <w:r w:rsidR="00BE785A">
        <w:rPr>
          <w:rFonts w:ascii="Calibri" w:hAnsi="Calibri" w:cs="Calibri"/>
          <w:bCs/>
          <w:color w:val="000000"/>
        </w:rPr>
        <w:t>ing</w:t>
      </w:r>
      <w:r w:rsidRPr="003466C9">
        <w:rPr>
          <w:rFonts w:ascii="Calibri" w:hAnsi="Calibri" w:cs="Calibri"/>
          <w:bCs/>
          <w:color w:val="000000"/>
        </w:rPr>
        <w:t xml:space="preserve"> emphasis on better health outcomes</w:t>
      </w:r>
      <w:r w:rsidR="00BE785A">
        <w:rPr>
          <w:rFonts w:ascii="Calibri" w:hAnsi="Calibri" w:cs="Calibri"/>
          <w:bCs/>
          <w:color w:val="000000"/>
        </w:rPr>
        <w:t>,</w:t>
      </w:r>
      <w:r w:rsidRPr="003466C9">
        <w:rPr>
          <w:rFonts w:ascii="Calibri" w:hAnsi="Calibri" w:cs="Calibri"/>
          <w:bCs/>
          <w:color w:val="000000"/>
        </w:rPr>
        <w:t xml:space="preserve"> rather than simply focusing on payments based on activity</w:t>
      </w:r>
      <w:r w:rsidR="00BE785A">
        <w:rPr>
          <w:rFonts w:ascii="Calibri" w:hAnsi="Calibri" w:cs="Calibri"/>
          <w:bCs/>
          <w:color w:val="000000"/>
        </w:rPr>
        <w:t>,</w:t>
      </w:r>
      <w:r w:rsidRPr="003466C9">
        <w:rPr>
          <w:rFonts w:ascii="Calibri" w:hAnsi="Calibri" w:cs="Calibri"/>
          <w:bCs/>
          <w:color w:val="000000"/>
        </w:rPr>
        <w:t xml:space="preserve"> is consistent with the commissioning role envisaged for the PHNs.</w:t>
      </w:r>
    </w:p>
    <w:p w14:paraId="33261C66" w14:textId="11E5C6B1" w:rsidR="00505692" w:rsidRDefault="003466C9" w:rsidP="003466C9">
      <w:pPr>
        <w:rPr>
          <w:rFonts w:ascii="Calibri" w:hAnsi="Calibri" w:cs="Calibri"/>
          <w:bCs/>
          <w:color w:val="000000"/>
        </w:rPr>
      </w:pPr>
      <w:r w:rsidRPr="003466C9">
        <w:rPr>
          <w:rFonts w:ascii="Calibri" w:hAnsi="Calibri" w:cs="Calibri"/>
          <w:bCs/>
          <w:color w:val="000000"/>
        </w:rPr>
        <w:t>More work is needed to determine the applicability of social impact investing to the Australian primary and ac</w:t>
      </w:r>
      <w:r w:rsidR="0009564C">
        <w:rPr>
          <w:rFonts w:ascii="Calibri" w:hAnsi="Calibri" w:cs="Calibri"/>
          <w:bCs/>
          <w:color w:val="000000"/>
        </w:rPr>
        <w:t xml:space="preserve">ute healthcare environment. </w:t>
      </w:r>
      <w:r w:rsidR="00985206">
        <w:rPr>
          <w:rFonts w:ascii="Calibri" w:hAnsi="Calibri" w:cs="Calibri"/>
          <w:bCs/>
          <w:color w:val="000000"/>
        </w:rPr>
        <w:t xml:space="preserve">As steward of the Australian health system, the </w:t>
      </w:r>
      <w:r w:rsidR="00BA155B">
        <w:rPr>
          <w:rFonts w:ascii="Calibri" w:hAnsi="Calibri" w:cs="Calibri"/>
          <w:bCs/>
          <w:color w:val="000000"/>
        </w:rPr>
        <w:t>Australian</w:t>
      </w:r>
      <w:r w:rsidRPr="003466C9">
        <w:rPr>
          <w:rFonts w:ascii="Calibri" w:hAnsi="Calibri" w:cs="Calibri"/>
          <w:bCs/>
          <w:color w:val="000000"/>
        </w:rPr>
        <w:t xml:space="preserve"> Government </w:t>
      </w:r>
      <w:r w:rsidR="0009564C">
        <w:rPr>
          <w:rFonts w:ascii="Calibri" w:hAnsi="Calibri" w:cs="Calibri"/>
          <w:bCs/>
          <w:color w:val="000000"/>
        </w:rPr>
        <w:t xml:space="preserve">should </w:t>
      </w:r>
      <w:r w:rsidRPr="003466C9">
        <w:rPr>
          <w:rFonts w:ascii="Calibri" w:hAnsi="Calibri" w:cs="Calibri"/>
          <w:bCs/>
          <w:color w:val="000000"/>
        </w:rPr>
        <w:t>work with state and territory</w:t>
      </w:r>
      <w:r w:rsidR="003E475D">
        <w:rPr>
          <w:rFonts w:ascii="Calibri" w:hAnsi="Calibri" w:cs="Calibri"/>
          <w:bCs/>
          <w:color w:val="000000"/>
        </w:rPr>
        <w:t xml:space="preserve"> governments t</w:t>
      </w:r>
      <w:r w:rsidRPr="003466C9">
        <w:rPr>
          <w:rFonts w:ascii="Calibri" w:hAnsi="Calibri" w:cs="Calibri"/>
          <w:bCs/>
          <w:color w:val="000000"/>
        </w:rPr>
        <w:t>o pilot small scale social impact investing initiatives tied with research components to establish an Australian evidence base on the effectiveness of this novel financing model.</w:t>
      </w:r>
    </w:p>
    <w:p w14:paraId="581C3471" w14:textId="49618093" w:rsidR="00D26B14" w:rsidRPr="00E817FB" w:rsidRDefault="00985206" w:rsidP="003466C9">
      <w:pPr>
        <w:rPr>
          <w:rFonts w:ascii="Calibri" w:hAnsi="Calibri" w:cs="Calibri"/>
          <w:bCs/>
          <w:color w:val="000000"/>
        </w:rPr>
      </w:pPr>
      <w:r>
        <w:rPr>
          <w:rFonts w:ascii="Calibri" w:hAnsi="Calibri" w:cs="Calibri"/>
          <w:bCs/>
          <w:color w:val="000000"/>
        </w:rPr>
        <w:t>Over the longer term, t</w:t>
      </w:r>
      <w:r w:rsidR="0009564C">
        <w:rPr>
          <w:rFonts w:ascii="Calibri" w:hAnsi="Calibri" w:cs="Calibri"/>
          <w:bCs/>
          <w:color w:val="000000"/>
        </w:rPr>
        <w:t>he Australian</w:t>
      </w:r>
      <w:r w:rsidR="004D0440" w:rsidRPr="004D0440">
        <w:rPr>
          <w:rFonts w:ascii="Calibri" w:hAnsi="Calibri" w:cs="Calibri"/>
          <w:bCs/>
          <w:color w:val="000000"/>
        </w:rPr>
        <w:t xml:space="preserve"> Government</w:t>
      </w:r>
      <w:r w:rsidR="0009564C">
        <w:rPr>
          <w:rFonts w:ascii="Calibri" w:hAnsi="Calibri" w:cs="Calibri"/>
          <w:bCs/>
          <w:color w:val="000000"/>
        </w:rPr>
        <w:t xml:space="preserve"> should work with the states and territories</w:t>
      </w:r>
      <w:r w:rsidR="004D0440" w:rsidRPr="004D0440">
        <w:rPr>
          <w:rFonts w:ascii="Calibri" w:hAnsi="Calibri" w:cs="Calibri"/>
          <w:bCs/>
          <w:color w:val="000000"/>
        </w:rPr>
        <w:t xml:space="preserve"> to design a system of fina</w:t>
      </w:r>
      <w:r w:rsidR="000C3CE7">
        <w:rPr>
          <w:rFonts w:ascii="Calibri" w:hAnsi="Calibri" w:cs="Calibri"/>
          <w:bCs/>
          <w:color w:val="000000"/>
        </w:rPr>
        <w:t>ncing that is not one‐size-fits-</w:t>
      </w:r>
      <w:r w:rsidR="004D0440" w:rsidRPr="004D0440">
        <w:rPr>
          <w:rFonts w:ascii="Calibri" w:hAnsi="Calibri" w:cs="Calibri"/>
          <w:bCs/>
          <w:color w:val="000000"/>
        </w:rPr>
        <w:t>all but a system</w:t>
      </w:r>
      <w:r w:rsidR="004D0440">
        <w:rPr>
          <w:rFonts w:ascii="Calibri" w:hAnsi="Calibri" w:cs="Calibri"/>
          <w:bCs/>
          <w:color w:val="000000"/>
        </w:rPr>
        <w:t xml:space="preserve"> </w:t>
      </w:r>
      <w:r w:rsidR="004D0440" w:rsidRPr="004D0440">
        <w:rPr>
          <w:rFonts w:ascii="Calibri" w:hAnsi="Calibri" w:cs="Calibri"/>
          <w:bCs/>
          <w:color w:val="000000"/>
        </w:rPr>
        <w:t>founded on principles of equity, a focus on quality outc</w:t>
      </w:r>
      <w:r w:rsidR="003E475D">
        <w:rPr>
          <w:rFonts w:ascii="Calibri" w:hAnsi="Calibri" w:cs="Calibri"/>
          <w:bCs/>
          <w:color w:val="000000"/>
        </w:rPr>
        <w:t xml:space="preserve">omes, transparency and </w:t>
      </w:r>
      <w:r w:rsidR="004D0440" w:rsidRPr="004D0440">
        <w:rPr>
          <w:rFonts w:ascii="Calibri" w:hAnsi="Calibri" w:cs="Calibri"/>
          <w:bCs/>
          <w:color w:val="000000"/>
        </w:rPr>
        <w:t>subsidiarity.</w:t>
      </w:r>
      <w:r>
        <w:rPr>
          <w:rFonts w:ascii="Calibri" w:hAnsi="Calibri" w:cs="Calibri"/>
          <w:bCs/>
          <w:color w:val="000000"/>
        </w:rPr>
        <w:t xml:space="preserve"> </w:t>
      </w:r>
      <w:r w:rsidR="00BA155B" w:rsidRPr="00BA155B">
        <w:rPr>
          <w:rFonts w:ascii="Calibri" w:hAnsi="Calibri" w:cs="Calibri"/>
          <w:bCs/>
          <w:color w:val="000000"/>
        </w:rPr>
        <w:t>These principles would enable a new system of health</w:t>
      </w:r>
      <w:r w:rsidR="00BA155B">
        <w:rPr>
          <w:rFonts w:ascii="Calibri" w:hAnsi="Calibri" w:cs="Calibri"/>
          <w:bCs/>
          <w:color w:val="000000"/>
        </w:rPr>
        <w:t xml:space="preserve"> financing </w:t>
      </w:r>
      <w:r>
        <w:rPr>
          <w:rFonts w:ascii="Calibri" w:hAnsi="Calibri" w:cs="Calibri"/>
          <w:bCs/>
          <w:color w:val="000000"/>
        </w:rPr>
        <w:t xml:space="preserve">to emerge and </w:t>
      </w:r>
      <w:r w:rsidR="00BA155B" w:rsidRPr="00BA155B">
        <w:rPr>
          <w:rFonts w:ascii="Calibri" w:hAnsi="Calibri" w:cs="Calibri"/>
          <w:bCs/>
          <w:color w:val="000000"/>
        </w:rPr>
        <w:t>would empower service providers at regional and catchment levels to share</w:t>
      </w:r>
      <w:r w:rsidR="00BA155B">
        <w:rPr>
          <w:rFonts w:ascii="Calibri" w:hAnsi="Calibri" w:cs="Calibri"/>
          <w:bCs/>
          <w:color w:val="000000"/>
        </w:rPr>
        <w:t xml:space="preserve"> </w:t>
      </w:r>
      <w:r w:rsidR="00BA155B" w:rsidRPr="00BA155B">
        <w:rPr>
          <w:rFonts w:ascii="Calibri" w:hAnsi="Calibri" w:cs="Calibri"/>
          <w:bCs/>
          <w:color w:val="000000"/>
        </w:rPr>
        <w:t>services and facilitate outcome‐based funding strategies.</w:t>
      </w:r>
      <w:r w:rsidR="000C3CE7">
        <w:rPr>
          <w:rFonts w:ascii="Calibri" w:hAnsi="Calibri" w:cs="Calibri"/>
          <w:bCs/>
          <w:color w:val="000000"/>
        </w:rPr>
        <w:t xml:space="preserve"> Social impact investing could be part of </w:t>
      </w:r>
      <w:r w:rsidR="001159EE">
        <w:rPr>
          <w:rFonts w:ascii="Calibri" w:hAnsi="Calibri" w:cs="Calibri"/>
          <w:bCs/>
          <w:color w:val="000000"/>
        </w:rPr>
        <w:t xml:space="preserve">the </w:t>
      </w:r>
      <w:r w:rsidR="00997468">
        <w:rPr>
          <w:rFonts w:ascii="Calibri" w:hAnsi="Calibri" w:cs="Calibri"/>
          <w:bCs/>
          <w:color w:val="000000"/>
        </w:rPr>
        <w:t>health sector financing mix.</w:t>
      </w:r>
      <w:r w:rsidR="00AD0588">
        <w:rPr>
          <w:bCs/>
        </w:rPr>
        <w:br w:type="page"/>
      </w:r>
    </w:p>
    <w:p w14:paraId="4D14C684" w14:textId="77777777" w:rsidR="00A82E7D" w:rsidRDefault="00E162BE" w:rsidP="00A82E7D">
      <w:pPr>
        <w:pStyle w:val="Heading1"/>
      </w:pPr>
      <w:bookmarkStart w:id="2" w:name="_Toc475977480"/>
      <w:r>
        <w:t>Barriers to social impact investing in health</w:t>
      </w:r>
      <w:bookmarkEnd w:id="2"/>
    </w:p>
    <w:p w14:paraId="31108C46" w14:textId="77777777" w:rsidR="00200C8A" w:rsidRPr="00505692" w:rsidRDefault="00985206" w:rsidP="00985206">
      <w:pPr>
        <w:pStyle w:val="Heading2"/>
      </w:pPr>
      <w:bookmarkStart w:id="3" w:name="_Toc475977481"/>
      <w:r>
        <w:t>D</w:t>
      </w:r>
      <w:r w:rsidR="00796E9B" w:rsidRPr="00505692">
        <w:t>ata</w:t>
      </w:r>
      <w:bookmarkEnd w:id="3"/>
    </w:p>
    <w:p w14:paraId="62E2167F" w14:textId="542BB60B" w:rsidR="00934A73" w:rsidRDefault="00985206" w:rsidP="00934A73">
      <w:r>
        <w:t>As noted in the Treasury discussion paper, ‘d</w:t>
      </w:r>
      <w:r w:rsidR="00934A73">
        <w:t>ata sharing is integral to social impact investing as high quality data is needed to determine whether a social impact has been achieved. Sharing data and evaluations is also a key aspect of building the evidence and knowledge base for social impact investing.’</w:t>
      </w:r>
      <w:r w:rsidR="003E475D">
        <w:rPr>
          <w:rStyle w:val="FootnoteReference"/>
        </w:rPr>
        <w:footnoteReference w:id="1"/>
      </w:r>
    </w:p>
    <w:p w14:paraId="1685E167" w14:textId="0981E19F" w:rsidR="000664BF" w:rsidRDefault="009B74B0" w:rsidP="00934A73">
      <w:r>
        <w:t>W</w:t>
      </w:r>
      <w:r w:rsidR="00985206">
        <w:t xml:space="preserve">hile </w:t>
      </w:r>
      <w:r w:rsidR="000664BF">
        <w:t xml:space="preserve">the discussion paper notes </w:t>
      </w:r>
      <w:r w:rsidR="00985206">
        <w:t xml:space="preserve">the Australian </w:t>
      </w:r>
      <w:r w:rsidR="00934A73">
        <w:t xml:space="preserve">Government has taken a proactive role to improving access to public data, </w:t>
      </w:r>
      <w:r w:rsidR="000664BF">
        <w:t>w</w:t>
      </w:r>
      <w:r w:rsidR="000664BF" w:rsidRPr="000664BF">
        <w:t xml:space="preserve">ork needs to begin urgently on a </w:t>
      </w:r>
      <w:r w:rsidR="000664BF">
        <w:t>p</w:t>
      </w:r>
      <w:r w:rsidR="000664BF" w:rsidRPr="000664BF">
        <w:t xml:space="preserve">rimary </w:t>
      </w:r>
      <w:r>
        <w:t>health</w:t>
      </w:r>
      <w:r w:rsidR="000664BF">
        <w:t>c</w:t>
      </w:r>
      <w:r w:rsidR="000664BF" w:rsidRPr="000664BF">
        <w:t xml:space="preserve">are </w:t>
      </w:r>
      <w:r w:rsidR="000664BF">
        <w:t>n</w:t>
      </w:r>
      <w:r w:rsidR="000664BF" w:rsidRPr="000664BF">
        <w:t xml:space="preserve">ational </w:t>
      </w:r>
      <w:r w:rsidR="000664BF">
        <w:t>m</w:t>
      </w:r>
      <w:r w:rsidR="000664BF" w:rsidRPr="000664BF">
        <w:t xml:space="preserve">inimum </w:t>
      </w:r>
      <w:r w:rsidR="000664BF">
        <w:t>d</w:t>
      </w:r>
      <w:r w:rsidR="000664BF" w:rsidRPr="000664BF">
        <w:t xml:space="preserve">ata </w:t>
      </w:r>
      <w:r w:rsidR="000664BF">
        <w:t>s</w:t>
      </w:r>
      <w:r w:rsidR="000664BF" w:rsidRPr="000664BF">
        <w:t>et, performance measurements that focus on health outcomes should be developed, and should ali</w:t>
      </w:r>
      <w:r w:rsidR="000664BF">
        <w:t>gn with acute sector data sets.</w:t>
      </w:r>
      <w:r w:rsidR="00017E28">
        <w:t xml:space="preserve"> Gordon </w:t>
      </w:r>
      <w:r w:rsidR="00017E28" w:rsidRPr="00017E28">
        <w:rPr>
          <w:i/>
        </w:rPr>
        <w:t>et al</w:t>
      </w:r>
      <w:r w:rsidR="003E475D">
        <w:t xml:space="preserve"> (2016) </w:t>
      </w:r>
      <w:r w:rsidR="00017E28">
        <w:t>also discuss the need for consistency in the collection of primary healthcare data.</w:t>
      </w:r>
      <w:r>
        <w:rPr>
          <w:rStyle w:val="FootnoteReference"/>
        </w:rPr>
        <w:footnoteReference w:id="2"/>
      </w:r>
    </w:p>
    <w:p w14:paraId="2924E909" w14:textId="78FF1DAC" w:rsidR="00934A73" w:rsidRDefault="000664BF" w:rsidP="00934A73">
      <w:r w:rsidRPr="000664BF">
        <w:t>The Primary Health Networks</w:t>
      </w:r>
      <w:r>
        <w:t xml:space="preserve"> (PHNs)</w:t>
      </w:r>
      <w:r w:rsidRPr="000664BF">
        <w:t xml:space="preserve"> must be central to this work</w:t>
      </w:r>
      <w:r>
        <w:t>. F</w:t>
      </w:r>
      <w:r w:rsidRPr="000664BF">
        <w:t xml:space="preserve">ragmented efforts including data collections from general practices and private health providers by other </w:t>
      </w:r>
      <w:r>
        <w:t>Australian</w:t>
      </w:r>
      <w:r w:rsidRPr="000664BF">
        <w:t xml:space="preserve"> government</w:t>
      </w:r>
      <w:r w:rsidR="00E73E7F">
        <w:noBreakHyphen/>
      </w:r>
      <w:r w:rsidRPr="000664BF">
        <w:t>funded bodies are unhelpful and burdensome.</w:t>
      </w:r>
    </w:p>
    <w:p w14:paraId="080CD617" w14:textId="77777777" w:rsidR="008D6F7E" w:rsidRPr="00505692" w:rsidRDefault="00796E9B" w:rsidP="000664BF">
      <w:pPr>
        <w:pStyle w:val="Heading2"/>
      </w:pPr>
      <w:bookmarkStart w:id="4" w:name="_Toc475977482"/>
      <w:r w:rsidRPr="00505692">
        <w:t>Outcomes</w:t>
      </w:r>
      <w:r w:rsidR="000664BF">
        <w:t xml:space="preserve"> measurements</w:t>
      </w:r>
      <w:bookmarkEnd w:id="4"/>
    </w:p>
    <w:p w14:paraId="6F7DDF55" w14:textId="1D6D1EF9" w:rsidR="00A01C7C" w:rsidRDefault="00505692" w:rsidP="00A01C7C">
      <w:r>
        <w:t xml:space="preserve">Impact financing has a focus on outcomes. Measuring </w:t>
      </w:r>
      <w:r w:rsidR="000664BF">
        <w:t xml:space="preserve">quality </w:t>
      </w:r>
      <w:r>
        <w:t xml:space="preserve">outcomes however is not a simple activity in primary </w:t>
      </w:r>
      <w:r w:rsidR="000664BF">
        <w:t>and acute health</w:t>
      </w:r>
      <w:r>
        <w:t>care.</w:t>
      </w:r>
      <w:r w:rsidR="00BA155B">
        <w:t xml:space="preserve"> </w:t>
      </w:r>
      <w:r w:rsidR="00A01C7C">
        <w:t>Two issues emerge in the use of social impact investing in the Australian health system. Firstly, how does it work in populations of people who are not coerced to participate in the intervention? Secondly, how do these interventions attribute causality in multi</w:t>
      </w:r>
      <w:r w:rsidR="00E73E7F">
        <w:noBreakHyphen/>
      </w:r>
      <w:r w:rsidR="00A01C7C">
        <w:t xml:space="preserve">agency and multi‐level interventions? In simple terms </w:t>
      </w:r>
      <w:r w:rsidR="00E73E7F">
        <w:t xml:space="preserve">should </w:t>
      </w:r>
      <w:r w:rsidR="00A01C7C">
        <w:t xml:space="preserve">an intervention </w:t>
      </w:r>
      <w:r w:rsidR="00E73E7F">
        <w:t xml:space="preserve">be rewarded </w:t>
      </w:r>
      <w:r w:rsidR="00A01C7C">
        <w:t xml:space="preserve">when </w:t>
      </w:r>
      <w:r w:rsidR="00E73E7F">
        <w:t xml:space="preserve">it is </w:t>
      </w:r>
      <w:r w:rsidR="00A01C7C">
        <w:t>not know</w:t>
      </w:r>
      <w:r w:rsidR="00E73E7F">
        <w:t>n</w:t>
      </w:r>
      <w:r w:rsidR="00A01C7C">
        <w:t xml:space="preserve"> which intervention has worked to impact health behavioural change?</w:t>
      </w:r>
    </w:p>
    <w:p w14:paraId="4AEDBBCF" w14:textId="77777777" w:rsidR="00745DE6" w:rsidRDefault="009B28FE" w:rsidP="004D0440">
      <w:r>
        <w:t xml:space="preserve">Associate </w:t>
      </w:r>
      <w:r w:rsidR="000664BF">
        <w:t>Prof</w:t>
      </w:r>
      <w:r>
        <w:t>essor</w:t>
      </w:r>
      <w:r w:rsidR="000664BF">
        <w:t xml:space="preserve"> John </w:t>
      </w:r>
      <w:r w:rsidR="00A01C7C" w:rsidRPr="000664BF">
        <w:t>Fitzgerald</w:t>
      </w:r>
      <w:r w:rsidR="000664BF" w:rsidRPr="000664BF">
        <w:t>’</w:t>
      </w:r>
      <w:r w:rsidR="00A01C7C">
        <w:t>s</w:t>
      </w:r>
      <w:r w:rsidR="000664BF">
        <w:t xml:space="preserve"> 2015 issues brief on options for finance in primary care</w:t>
      </w:r>
      <w:r w:rsidR="00A01C7C">
        <w:t xml:space="preserve"> in Australia</w:t>
      </w:r>
      <w:r w:rsidR="00A01C7C">
        <w:rPr>
          <w:rStyle w:val="FootnoteReference"/>
        </w:rPr>
        <w:footnoteReference w:id="3"/>
      </w:r>
      <w:r w:rsidR="000664BF">
        <w:t xml:space="preserve"> note t</w:t>
      </w:r>
      <w:r w:rsidR="004D0440" w:rsidRPr="000664BF">
        <w:t>wo</w:t>
      </w:r>
      <w:r w:rsidR="004D0440">
        <w:t xml:space="preserve"> </w:t>
      </w:r>
      <w:r w:rsidR="000664BF">
        <w:t xml:space="preserve">possible </w:t>
      </w:r>
      <w:r w:rsidR="004D0440">
        <w:t>options</w:t>
      </w:r>
      <w:r w:rsidR="00745DE6">
        <w:t>:</w:t>
      </w:r>
    </w:p>
    <w:p w14:paraId="1D4ADED3" w14:textId="77777777" w:rsidR="00745DE6" w:rsidRDefault="00745DE6" w:rsidP="00745DE6">
      <w:pPr>
        <w:pStyle w:val="ListParagraph"/>
        <w:numPr>
          <w:ilvl w:val="0"/>
          <w:numId w:val="9"/>
        </w:numPr>
      </w:pPr>
      <w:r>
        <w:t>S</w:t>
      </w:r>
      <w:r w:rsidR="004D0440">
        <w:t xml:space="preserve">electively target </w:t>
      </w:r>
      <w:r>
        <w:t xml:space="preserve">social impact investing </w:t>
      </w:r>
      <w:r w:rsidR="004D0440">
        <w:t xml:space="preserve">only to those programs where causal relations can be asserted </w:t>
      </w:r>
      <w:r>
        <w:t>and only in specific circumstances; and</w:t>
      </w:r>
    </w:p>
    <w:p w14:paraId="5C530A56" w14:textId="77777777" w:rsidR="004D0440" w:rsidRDefault="00745DE6" w:rsidP="00745DE6">
      <w:pPr>
        <w:pStyle w:val="ListParagraph"/>
        <w:numPr>
          <w:ilvl w:val="0"/>
          <w:numId w:val="9"/>
        </w:numPr>
      </w:pPr>
      <w:r>
        <w:t>E</w:t>
      </w:r>
      <w:r w:rsidR="004D0440">
        <w:t xml:space="preserve">xplicitly apply </w:t>
      </w:r>
      <w:r>
        <w:t xml:space="preserve">social impact investing </w:t>
      </w:r>
      <w:r w:rsidR="004D0440">
        <w:t>at a meso‐level of health governance, such as at a catchment/regional level where the idiosyncrasies of health and wellbeing needs can be serviced locally and yet the catchment is large enough such that outcomes can be measured at a pop</w:t>
      </w:r>
      <w:r>
        <w:t>ulation level.</w:t>
      </w:r>
    </w:p>
    <w:p w14:paraId="78C05C3B" w14:textId="77777777" w:rsidR="00796E9B" w:rsidRPr="004D0440" w:rsidRDefault="000C3CE7" w:rsidP="00067402">
      <w:pPr>
        <w:pStyle w:val="Heading2"/>
      </w:pPr>
      <w:bookmarkStart w:id="5" w:name="_Toc475977483"/>
      <w:r>
        <w:t>Fee-for-service and activity-based mentality</w:t>
      </w:r>
      <w:bookmarkEnd w:id="5"/>
    </w:p>
    <w:p w14:paraId="069F3F38" w14:textId="77777777" w:rsidR="00DB4E72" w:rsidRDefault="00067402" w:rsidP="004D0440">
      <w:pPr>
        <w:rPr>
          <w:rFonts w:ascii="Calibri" w:hAnsi="Calibri" w:cs="Calibri"/>
          <w:bCs/>
          <w:color w:val="000000"/>
        </w:rPr>
      </w:pPr>
      <w:r>
        <w:t>Fee-for-service and activity-based funding arrangements are the basis for health service payments in Australia</w:t>
      </w:r>
      <w:r w:rsidR="00DB4E72">
        <w:t>. While the Australian Government is currently looking at a number of reform options in both primary</w:t>
      </w:r>
      <w:r w:rsidR="00DB4E72">
        <w:rPr>
          <w:rStyle w:val="FootnoteReference"/>
        </w:rPr>
        <w:footnoteReference w:id="4"/>
      </w:r>
      <w:r w:rsidR="00DB4E72" w:rsidRPr="001A09F2">
        <w:rPr>
          <w:vertAlign w:val="superscript"/>
        </w:rPr>
        <w:t>,</w:t>
      </w:r>
      <w:r w:rsidR="00DB4E72">
        <w:rPr>
          <w:rStyle w:val="FootnoteReference"/>
        </w:rPr>
        <w:footnoteReference w:id="5"/>
      </w:r>
      <w:r w:rsidR="00DB4E72">
        <w:t xml:space="preserve"> and acute care</w:t>
      </w:r>
      <w:r w:rsidR="001A09F2">
        <w:rPr>
          <w:rStyle w:val="FootnoteReference"/>
        </w:rPr>
        <w:footnoteReference w:id="6"/>
      </w:r>
      <w:r w:rsidR="00DB4E72">
        <w:t xml:space="preserve">, federal stewardship is needed to </w:t>
      </w:r>
      <w:r w:rsidR="00DB4E72" w:rsidRPr="00BA155B">
        <w:rPr>
          <w:rFonts w:ascii="Calibri" w:hAnsi="Calibri" w:cs="Calibri"/>
          <w:bCs/>
          <w:color w:val="000000"/>
        </w:rPr>
        <w:t>enable a new system of health</w:t>
      </w:r>
      <w:r w:rsidR="00DB4E72">
        <w:rPr>
          <w:rFonts w:ascii="Calibri" w:hAnsi="Calibri" w:cs="Calibri"/>
          <w:bCs/>
          <w:color w:val="000000"/>
        </w:rPr>
        <w:t xml:space="preserve"> financing to emerge.</w:t>
      </w:r>
      <w:r w:rsidR="000C3CE7">
        <w:rPr>
          <w:rFonts w:ascii="Calibri" w:hAnsi="Calibri" w:cs="Calibri"/>
          <w:bCs/>
          <w:color w:val="000000"/>
        </w:rPr>
        <w:t xml:space="preserve"> </w:t>
      </w:r>
      <w:r w:rsidR="000C3CE7" w:rsidRPr="003466C9">
        <w:rPr>
          <w:rFonts w:ascii="Calibri" w:hAnsi="Calibri" w:cs="Calibri"/>
          <w:bCs/>
          <w:color w:val="000000"/>
        </w:rPr>
        <w:t>A funded emphasis on better health outcomes rather than simply focusing on payments based on activity is consistent with the commissioning role envisaged for the PHNs</w:t>
      </w:r>
      <w:r w:rsidR="000C3CE7">
        <w:rPr>
          <w:rFonts w:ascii="Calibri" w:hAnsi="Calibri" w:cs="Calibri"/>
          <w:bCs/>
          <w:color w:val="000000"/>
        </w:rPr>
        <w:t>.</w:t>
      </w:r>
    </w:p>
    <w:p w14:paraId="2648FD85" w14:textId="77777777" w:rsidR="003E3C93" w:rsidRPr="00BA155B" w:rsidRDefault="003E3C93" w:rsidP="003E3C93">
      <w:pPr>
        <w:pStyle w:val="Heading2"/>
      </w:pPr>
      <w:bookmarkStart w:id="6" w:name="_Toc475977484"/>
      <w:r>
        <w:t>R</w:t>
      </w:r>
      <w:r w:rsidR="00C978AF">
        <w:t>ealised benefit and r</w:t>
      </w:r>
      <w:r>
        <w:t>eturn on investment</w:t>
      </w:r>
      <w:bookmarkEnd w:id="6"/>
    </w:p>
    <w:p w14:paraId="5932974E" w14:textId="5500E1B1" w:rsidR="003E3C93" w:rsidRDefault="003E3C93" w:rsidP="003E3C93">
      <w:r>
        <w:rPr>
          <w:rFonts w:ascii="Calibri" w:hAnsi="Calibri" w:cs="Calibri"/>
          <w:bCs/>
          <w:color w:val="000000"/>
        </w:rPr>
        <w:t xml:space="preserve">Because </w:t>
      </w:r>
      <w:r w:rsidR="00EA05F5">
        <w:rPr>
          <w:rFonts w:ascii="Calibri" w:hAnsi="Calibri" w:cs="Calibri"/>
          <w:bCs/>
          <w:color w:val="000000"/>
        </w:rPr>
        <w:t xml:space="preserve">design and </w:t>
      </w:r>
      <w:r>
        <w:rPr>
          <w:rFonts w:ascii="Calibri" w:hAnsi="Calibri" w:cs="Calibri"/>
          <w:bCs/>
          <w:color w:val="000000"/>
        </w:rPr>
        <w:t xml:space="preserve">delivering health services across Australia is a shared responsibility between the Australian Government, </w:t>
      </w:r>
      <w:r w:rsidR="00E73E7F">
        <w:rPr>
          <w:rFonts w:ascii="Calibri" w:hAnsi="Calibri" w:cs="Calibri"/>
          <w:bCs/>
          <w:color w:val="000000"/>
        </w:rPr>
        <w:t>s</w:t>
      </w:r>
      <w:r>
        <w:rPr>
          <w:rFonts w:ascii="Calibri" w:hAnsi="Calibri" w:cs="Calibri"/>
          <w:bCs/>
          <w:color w:val="000000"/>
        </w:rPr>
        <w:t xml:space="preserve">tate and </w:t>
      </w:r>
      <w:r w:rsidR="00E73E7F">
        <w:rPr>
          <w:rFonts w:ascii="Calibri" w:hAnsi="Calibri" w:cs="Calibri"/>
          <w:bCs/>
          <w:color w:val="000000"/>
        </w:rPr>
        <w:t>t</w:t>
      </w:r>
      <w:r>
        <w:rPr>
          <w:rFonts w:ascii="Calibri" w:hAnsi="Calibri" w:cs="Calibri"/>
          <w:bCs/>
          <w:color w:val="000000"/>
        </w:rPr>
        <w:t xml:space="preserve">erritory </w:t>
      </w:r>
      <w:r w:rsidR="00E73E7F">
        <w:rPr>
          <w:rFonts w:ascii="Calibri" w:hAnsi="Calibri" w:cs="Calibri"/>
          <w:bCs/>
          <w:color w:val="000000"/>
        </w:rPr>
        <w:t>g</w:t>
      </w:r>
      <w:r>
        <w:rPr>
          <w:rFonts w:ascii="Calibri" w:hAnsi="Calibri" w:cs="Calibri"/>
          <w:bCs/>
          <w:color w:val="000000"/>
        </w:rPr>
        <w:t>overnments and private providers</w:t>
      </w:r>
      <w:r w:rsidR="00EA05F5">
        <w:rPr>
          <w:rFonts w:ascii="Calibri" w:hAnsi="Calibri" w:cs="Calibri"/>
          <w:bCs/>
          <w:color w:val="000000"/>
        </w:rPr>
        <w:t xml:space="preserve">, and because the funding mix for service provision comes from the Australian Government, state and territory governments, local governments, private health insurers and consumer out-of-pocket costs, any realised benefit and return on investment from social impact investment in health will need to be spread </w:t>
      </w:r>
      <w:r w:rsidR="00C978AF">
        <w:rPr>
          <w:rFonts w:ascii="Calibri" w:hAnsi="Calibri" w:cs="Calibri"/>
          <w:bCs/>
          <w:color w:val="000000"/>
        </w:rPr>
        <w:t xml:space="preserve">across this complex mix of </w:t>
      </w:r>
      <w:r w:rsidR="00E73E7F">
        <w:rPr>
          <w:rFonts w:ascii="Calibri" w:hAnsi="Calibri" w:cs="Calibri"/>
          <w:bCs/>
          <w:color w:val="000000"/>
        </w:rPr>
        <w:t>contributors</w:t>
      </w:r>
      <w:r w:rsidR="00C978AF">
        <w:rPr>
          <w:rFonts w:ascii="Calibri" w:hAnsi="Calibri" w:cs="Calibri"/>
          <w:bCs/>
          <w:color w:val="000000"/>
        </w:rPr>
        <w:t xml:space="preserve">. Any impact investment will require </w:t>
      </w:r>
      <w:r w:rsidR="00C978AF" w:rsidRPr="003466C9">
        <w:rPr>
          <w:rFonts w:ascii="Calibri" w:hAnsi="Calibri" w:cs="Calibri"/>
          <w:bCs/>
          <w:color w:val="000000"/>
        </w:rPr>
        <w:t>consensus among the parties throughout the journey</w:t>
      </w:r>
      <w:r w:rsidR="00C978AF">
        <w:rPr>
          <w:rFonts w:ascii="Calibri" w:hAnsi="Calibri" w:cs="Calibri"/>
          <w:bCs/>
          <w:color w:val="000000"/>
        </w:rPr>
        <w:t xml:space="preserve"> and transparency</w:t>
      </w:r>
      <w:r w:rsidR="00E73E7F">
        <w:rPr>
          <w:rFonts w:ascii="Calibri" w:hAnsi="Calibri" w:cs="Calibri"/>
          <w:bCs/>
          <w:color w:val="000000"/>
        </w:rPr>
        <w:t xml:space="preserve"> of outcomes monitoring to financing</w:t>
      </w:r>
      <w:r w:rsidR="00C978AF">
        <w:rPr>
          <w:rFonts w:ascii="Calibri" w:hAnsi="Calibri" w:cs="Calibri"/>
          <w:bCs/>
          <w:color w:val="000000"/>
        </w:rPr>
        <w:t>.</w:t>
      </w:r>
    </w:p>
    <w:p w14:paraId="04E369D3" w14:textId="77777777" w:rsidR="00BA155B" w:rsidRPr="00BA155B" w:rsidRDefault="00BA155B" w:rsidP="00067402">
      <w:pPr>
        <w:pStyle w:val="Heading2"/>
      </w:pPr>
      <w:bookmarkStart w:id="7" w:name="_Toc475977485"/>
      <w:r w:rsidRPr="00BA155B">
        <w:t>Investors</w:t>
      </w:r>
      <w:bookmarkEnd w:id="7"/>
    </w:p>
    <w:p w14:paraId="235F7901" w14:textId="77777777" w:rsidR="00BA155B" w:rsidRDefault="00AA11DF" w:rsidP="00AA11DF">
      <w:pPr>
        <w:rPr>
          <w:rFonts w:ascii="Calibri" w:hAnsi="Calibri" w:cs="Calibri"/>
          <w:bCs/>
          <w:color w:val="000000"/>
        </w:rPr>
      </w:pPr>
      <w:r>
        <w:rPr>
          <w:rFonts w:ascii="Calibri" w:hAnsi="Calibri" w:cs="Calibri"/>
          <w:bCs/>
          <w:color w:val="000000"/>
        </w:rPr>
        <w:t>An e</w:t>
      </w:r>
      <w:r w:rsidRPr="00AA11DF">
        <w:rPr>
          <w:rFonts w:ascii="Calibri" w:hAnsi="Calibri" w:cs="Calibri"/>
          <w:bCs/>
          <w:color w:val="000000"/>
        </w:rPr>
        <w:t>ssential ingredient for success in pursuing impact investing in the health sector include</w:t>
      </w:r>
      <w:r>
        <w:rPr>
          <w:rFonts w:ascii="Calibri" w:hAnsi="Calibri" w:cs="Calibri"/>
          <w:bCs/>
          <w:color w:val="000000"/>
        </w:rPr>
        <w:t>s</w:t>
      </w:r>
      <w:r w:rsidRPr="00AA11DF">
        <w:rPr>
          <w:rFonts w:ascii="Calibri" w:hAnsi="Calibri" w:cs="Calibri"/>
          <w:bCs/>
          <w:color w:val="000000"/>
        </w:rPr>
        <w:t xml:space="preserve"> niche investors seeking a return on a public good</w:t>
      </w:r>
      <w:r>
        <w:rPr>
          <w:rFonts w:ascii="Calibri" w:hAnsi="Calibri" w:cs="Calibri"/>
          <w:bCs/>
          <w:color w:val="000000"/>
        </w:rPr>
        <w:t xml:space="preserve">. </w:t>
      </w:r>
      <w:r w:rsidRPr="00BA155B">
        <w:rPr>
          <w:rFonts w:ascii="Calibri" w:hAnsi="Calibri" w:cs="Calibri"/>
          <w:bCs/>
          <w:color w:val="000000"/>
        </w:rPr>
        <w:t>Impact Investing Australia</w:t>
      </w:r>
      <w:r>
        <w:rPr>
          <w:rFonts w:ascii="Calibri" w:hAnsi="Calibri" w:cs="Calibri"/>
          <w:bCs/>
          <w:color w:val="000000"/>
        </w:rPr>
        <w:t>’s 2016 I</w:t>
      </w:r>
      <w:r w:rsidR="00BA155B" w:rsidRPr="00BA155B">
        <w:rPr>
          <w:rFonts w:ascii="Calibri" w:hAnsi="Calibri" w:cs="Calibri"/>
          <w:bCs/>
          <w:color w:val="000000"/>
        </w:rPr>
        <w:t>nvestor Report</w:t>
      </w:r>
      <w:r w:rsidR="008630CE">
        <w:rPr>
          <w:rStyle w:val="FootnoteReference"/>
          <w:rFonts w:ascii="Calibri" w:hAnsi="Calibri" w:cs="Calibri"/>
          <w:bCs/>
          <w:color w:val="000000"/>
        </w:rPr>
        <w:footnoteReference w:id="7"/>
      </w:r>
      <w:r w:rsidR="008630CE">
        <w:rPr>
          <w:rFonts w:ascii="Calibri" w:hAnsi="Calibri" w:cs="Calibri"/>
          <w:bCs/>
          <w:color w:val="000000"/>
        </w:rPr>
        <w:t>, which</w:t>
      </w:r>
      <w:r w:rsidR="00BA155B" w:rsidRPr="00BA155B">
        <w:rPr>
          <w:rFonts w:ascii="Calibri" w:hAnsi="Calibri" w:cs="Calibri"/>
          <w:bCs/>
          <w:color w:val="000000"/>
        </w:rPr>
        <w:t xml:space="preserve"> surveyed 1</w:t>
      </w:r>
      <w:r>
        <w:rPr>
          <w:rFonts w:ascii="Calibri" w:hAnsi="Calibri" w:cs="Calibri"/>
          <w:bCs/>
          <w:color w:val="000000"/>
        </w:rPr>
        <w:t>23</w:t>
      </w:r>
      <w:r w:rsidR="00BA155B" w:rsidRPr="00BA155B">
        <w:rPr>
          <w:rFonts w:ascii="Calibri" w:hAnsi="Calibri" w:cs="Calibri"/>
          <w:bCs/>
          <w:color w:val="000000"/>
        </w:rPr>
        <w:t xml:space="preserve"> </w:t>
      </w:r>
      <w:r>
        <w:rPr>
          <w:rFonts w:ascii="Calibri" w:hAnsi="Calibri" w:cs="Calibri"/>
          <w:bCs/>
          <w:color w:val="000000"/>
        </w:rPr>
        <w:t xml:space="preserve">Australian </w:t>
      </w:r>
      <w:r w:rsidR="00BA155B" w:rsidRPr="00BA155B">
        <w:rPr>
          <w:rFonts w:ascii="Calibri" w:hAnsi="Calibri" w:cs="Calibri"/>
          <w:bCs/>
          <w:color w:val="000000"/>
        </w:rPr>
        <w:t>investors account</w:t>
      </w:r>
      <w:r>
        <w:rPr>
          <w:rFonts w:ascii="Calibri" w:hAnsi="Calibri" w:cs="Calibri"/>
          <w:bCs/>
          <w:color w:val="000000"/>
        </w:rPr>
        <w:t>ing</w:t>
      </w:r>
      <w:r w:rsidR="00BA155B" w:rsidRPr="00BA155B">
        <w:rPr>
          <w:rFonts w:ascii="Calibri" w:hAnsi="Calibri" w:cs="Calibri"/>
          <w:bCs/>
          <w:color w:val="000000"/>
        </w:rPr>
        <w:t xml:space="preserve"> for more than $333 billion of Australia’s $2 trillion funds under management, revealed that active impact investors would like to triple their allocation to impact investments over the coming five years. </w:t>
      </w:r>
      <w:r>
        <w:rPr>
          <w:rFonts w:ascii="Calibri" w:hAnsi="Calibri" w:cs="Calibri"/>
          <w:bCs/>
          <w:color w:val="000000"/>
        </w:rPr>
        <w:t xml:space="preserve">The report found that </w:t>
      </w:r>
      <w:r w:rsidR="008630CE">
        <w:rPr>
          <w:rFonts w:ascii="Calibri" w:hAnsi="Calibri" w:cs="Calibri"/>
          <w:bCs/>
          <w:color w:val="000000"/>
        </w:rPr>
        <w:t>there is investor interest in health, including med</w:t>
      </w:r>
      <w:r w:rsidR="00EF4461">
        <w:rPr>
          <w:rFonts w:ascii="Calibri" w:hAnsi="Calibri" w:cs="Calibri"/>
          <w:bCs/>
          <w:color w:val="000000"/>
        </w:rPr>
        <w:t>ical research and mental health</w:t>
      </w:r>
      <w:r>
        <w:rPr>
          <w:rFonts w:ascii="Calibri" w:hAnsi="Calibri" w:cs="Calibri"/>
          <w:bCs/>
          <w:color w:val="000000"/>
        </w:rPr>
        <w:t>.</w:t>
      </w:r>
    </w:p>
    <w:p w14:paraId="20B1DB6E" w14:textId="77777777" w:rsidR="00EF4461" w:rsidRPr="00BA155B" w:rsidRDefault="00EF4461" w:rsidP="00EF4461">
      <w:pPr>
        <w:pStyle w:val="Heading2"/>
      </w:pPr>
      <w:bookmarkStart w:id="8" w:name="_Toc475977486"/>
      <w:r>
        <w:t>Lack of evidence</w:t>
      </w:r>
      <w:bookmarkEnd w:id="8"/>
    </w:p>
    <w:p w14:paraId="623BCA0C" w14:textId="77777777" w:rsidR="00EF4461" w:rsidRDefault="00CD6C00" w:rsidP="00EF4461">
      <w:pPr>
        <w:rPr>
          <w:rFonts w:ascii="Calibri" w:hAnsi="Calibri" w:cs="Calibri"/>
          <w:bCs/>
          <w:color w:val="000000"/>
        </w:rPr>
      </w:pPr>
      <w:r>
        <w:rPr>
          <w:rFonts w:ascii="Calibri" w:hAnsi="Calibri" w:cs="Calibri"/>
          <w:bCs/>
          <w:color w:val="000000"/>
        </w:rPr>
        <w:t>While a 2016 report prepared for the Prime Minister’s Community Business Partnership</w:t>
      </w:r>
      <w:r>
        <w:rPr>
          <w:rStyle w:val="FootnoteReference"/>
          <w:rFonts w:ascii="Calibri" w:hAnsi="Calibri" w:cs="Calibri"/>
          <w:bCs/>
          <w:color w:val="000000"/>
        </w:rPr>
        <w:footnoteReference w:id="8"/>
      </w:r>
      <w:r w:rsidR="00E852E7">
        <w:rPr>
          <w:rFonts w:ascii="Calibri" w:hAnsi="Calibri" w:cs="Calibri"/>
          <w:bCs/>
          <w:color w:val="000000"/>
        </w:rPr>
        <w:t xml:space="preserve"> found that </w:t>
      </w:r>
      <w:r>
        <w:rPr>
          <w:rFonts w:ascii="Calibri" w:hAnsi="Calibri" w:cs="Calibri"/>
          <w:bCs/>
          <w:color w:val="000000"/>
        </w:rPr>
        <w:t>there are no</w:t>
      </w:r>
      <w:r w:rsidR="00E852E7">
        <w:rPr>
          <w:rFonts w:ascii="Calibri" w:hAnsi="Calibri" w:cs="Calibri"/>
          <w:bCs/>
          <w:color w:val="000000"/>
        </w:rPr>
        <w:t xml:space="preserve"> Australian</w:t>
      </w:r>
      <w:r>
        <w:rPr>
          <w:rFonts w:ascii="Calibri" w:hAnsi="Calibri" w:cs="Calibri"/>
          <w:bCs/>
          <w:color w:val="000000"/>
        </w:rPr>
        <w:t xml:space="preserve"> examples of social impact investing with documented results in health, health service schemes in the United Kingdom and the United States funded on a payment by results basis</w:t>
      </w:r>
      <w:r w:rsidR="00E852E7">
        <w:rPr>
          <w:rFonts w:ascii="Calibri" w:hAnsi="Calibri" w:cs="Calibri"/>
          <w:bCs/>
          <w:color w:val="000000"/>
        </w:rPr>
        <w:t xml:space="preserve"> suggest that the application of social impact investing to Australian health services could be investigated in more detail</w:t>
      </w:r>
      <w:r>
        <w:rPr>
          <w:rFonts w:ascii="Calibri" w:hAnsi="Calibri" w:cs="Calibri"/>
          <w:bCs/>
          <w:color w:val="000000"/>
        </w:rPr>
        <w:t>.</w:t>
      </w:r>
    </w:p>
    <w:p w14:paraId="2AC32C51" w14:textId="77777777" w:rsidR="00A82E7D" w:rsidRDefault="00E162BE" w:rsidP="00A82E7D">
      <w:pPr>
        <w:pStyle w:val="Heading1"/>
      </w:pPr>
      <w:bookmarkStart w:id="9" w:name="_Toc475977487"/>
      <w:r>
        <w:t>Role of Australian Government and other jurisdictions</w:t>
      </w:r>
      <w:bookmarkEnd w:id="9"/>
    </w:p>
    <w:p w14:paraId="1C87DFDE" w14:textId="1DDF2F0D" w:rsidR="00EF4461" w:rsidRDefault="00F324CE" w:rsidP="00934A73">
      <w:pPr>
        <w:rPr>
          <w:rFonts w:ascii="Arial" w:hAnsi="Arial" w:cs="Arial"/>
          <w:sz w:val="20"/>
          <w:szCs w:val="20"/>
        </w:rPr>
      </w:pPr>
      <w:r w:rsidRPr="00F324CE">
        <w:t xml:space="preserve">Strong and strategic leadership is needed from the </w:t>
      </w:r>
      <w:r>
        <w:t>Australian Government</w:t>
      </w:r>
      <w:r w:rsidRPr="00F324CE">
        <w:t xml:space="preserve"> as the steward of Australia’s health system</w:t>
      </w:r>
      <w:r>
        <w:t>,</w:t>
      </w:r>
      <w:r w:rsidRPr="00F324CE">
        <w:t xml:space="preserve"> </w:t>
      </w:r>
      <w:r w:rsidR="00E852E7">
        <w:t>which</w:t>
      </w:r>
      <w:r w:rsidRPr="00F324CE">
        <w:t xml:space="preserve"> requires effective partnership with state and territory governments. It also requires listening and working collaboratively with all health sta</w:t>
      </w:r>
      <w:r>
        <w:t>keholders</w:t>
      </w:r>
      <w:r w:rsidR="00E852E7">
        <w:t>,</w:t>
      </w:r>
      <w:r w:rsidR="00EF4461">
        <w:t xml:space="preserve"> including </w:t>
      </w:r>
      <w:r w:rsidR="00E852E7">
        <w:t xml:space="preserve">public and </w:t>
      </w:r>
      <w:r w:rsidR="00EF4461">
        <w:t>private health service providers and consumers</w:t>
      </w:r>
      <w:r>
        <w:t>. This will ensure Australia’s</w:t>
      </w:r>
      <w:r w:rsidRPr="005E23F2">
        <w:rPr>
          <w:rFonts w:ascii="Arial" w:hAnsi="Arial" w:cs="Arial"/>
          <w:sz w:val="20"/>
          <w:szCs w:val="20"/>
        </w:rPr>
        <w:t xml:space="preserve"> </w:t>
      </w:r>
      <w:r w:rsidRPr="00907D32">
        <w:t xml:space="preserve">world-class health system is able to provide care for all Australians, regardless of where they live or </w:t>
      </w:r>
      <w:r w:rsidR="004C0A59" w:rsidRPr="00907D32">
        <w:t>their capacity to pay</w:t>
      </w:r>
      <w:r w:rsidRPr="00907D32">
        <w:t>.</w:t>
      </w:r>
    </w:p>
    <w:p w14:paraId="23A40338" w14:textId="77777777" w:rsidR="00717A0A" w:rsidRDefault="00CD6C00" w:rsidP="00934A73">
      <w:r>
        <w:t xml:space="preserve">The </w:t>
      </w:r>
      <w:r w:rsidR="00F324CE">
        <w:t>AHHA agrees with the Treasury</w:t>
      </w:r>
      <w:r w:rsidR="00717A0A">
        <w:t>’s</w:t>
      </w:r>
      <w:r w:rsidR="00F324CE">
        <w:t xml:space="preserve"> discussion paper in that the Australian Government</w:t>
      </w:r>
      <w:r>
        <w:t xml:space="preserve"> should</w:t>
      </w:r>
      <w:r w:rsidR="00717A0A">
        <w:t>:</w:t>
      </w:r>
    </w:p>
    <w:p w14:paraId="661C3E54" w14:textId="161CD7D9" w:rsidR="00717A0A" w:rsidRDefault="004C0A59" w:rsidP="00717A0A">
      <w:pPr>
        <w:pStyle w:val="ListParagraph"/>
        <w:numPr>
          <w:ilvl w:val="0"/>
          <w:numId w:val="10"/>
        </w:numPr>
      </w:pPr>
      <w:r>
        <w:t>P</w:t>
      </w:r>
      <w:r w:rsidR="00F324CE">
        <w:t xml:space="preserve">lay a stewardship role by ensuring an appropriate regulatory environment for the growth of the </w:t>
      </w:r>
      <w:r w:rsidR="00717A0A">
        <w:t xml:space="preserve">impact investment market; and </w:t>
      </w:r>
    </w:p>
    <w:p w14:paraId="64900530" w14:textId="5B28DBFE" w:rsidR="00F324CE" w:rsidRDefault="004C0A59" w:rsidP="00717A0A">
      <w:pPr>
        <w:pStyle w:val="ListParagraph"/>
        <w:numPr>
          <w:ilvl w:val="0"/>
          <w:numId w:val="10"/>
        </w:numPr>
      </w:pPr>
      <w:r>
        <w:t>F</w:t>
      </w:r>
      <w:r w:rsidR="00CD6C00">
        <w:t>und or co-fund</w:t>
      </w:r>
      <w:r w:rsidR="00717A0A">
        <w:t xml:space="preserve"> with </w:t>
      </w:r>
      <w:r>
        <w:t>s</w:t>
      </w:r>
      <w:r w:rsidR="00CD6C00">
        <w:t xml:space="preserve">tate and </w:t>
      </w:r>
      <w:r>
        <w:t>t</w:t>
      </w:r>
      <w:r w:rsidR="00CD6C00">
        <w:t xml:space="preserve">erritory </w:t>
      </w:r>
      <w:r>
        <w:t>g</w:t>
      </w:r>
      <w:r w:rsidR="00CD6C00">
        <w:t>overnments social impact i</w:t>
      </w:r>
      <w:r w:rsidR="00717A0A">
        <w:t xml:space="preserve">nvestments </w:t>
      </w:r>
      <w:r w:rsidR="00CD6C00">
        <w:t>that</w:t>
      </w:r>
      <w:r w:rsidR="00717A0A">
        <w:t xml:space="preserve"> would likely achieve savings to fund the intervention.</w:t>
      </w:r>
    </w:p>
    <w:p w14:paraId="0423F921" w14:textId="77777777" w:rsidR="009B28FE" w:rsidRPr="009B28FE" w:rsidRDefault="009B28FE" w:rsidP="009B28FE">
      <w:pPr>
        <w:rPr>
          <w:rFonts w:ascii="Calibri" w:hAnsi="Calibri" w:cs="Calibri"/>
          <w:bCs/>
          <w:color w:val="000000"/>
        </w:rPr>
      </w:pPr>
      <w:r w:rsidRPr="009B28FE">
        <w:rPr>
          <w:rFonts w:ascii="Calibri" w:hAnsi="Calibri" w:cs="Calibri"/>
          <w:bCs/>
          <w:color w:val="000000"/>
        </w:rPr>
        <w:t xml:space="preserve">Working together, </w:t>
      </w:r>
      <w:r>
        <w:rPr>
          <w:rFonts w:ascii="Calibri" w:hAnsi="Calibri" w:cs="Calibri"/>
          <w:bCs/>
          <w:color w:val="000000"/>
        </w:rPr>
        <w:t>Primary Health Networks (</w:t>
      </w:r>
      <w:r w:rsidRPr="009B28FE">
        <w:rPr>
          <w:rFonts w:ascii="Calibri" w:hAnsi="Calibri" w:cs="Calibri"/>
          <w:bCs/>
          <w:color w:val="000000"/>
        </w:rPr>
        <w:t>PHNs</w:t>
      </w:r>
      <w:r>
        <w:rPr>
          <w:rFonts w:ascii="Calibri" w:hAnsi="Calibri" w:cs="Calibri"/>
          <w:bCs/>
          <w:color w:val="000000"/>
        </w:rPr>
        <w:t>)</w:t>
      </w:r>
      <w:r w:rsidRPr="009B28FE">
        <w:rPr>
          <w:rFonts w:ascii="Calibri" w:hAnsi="Calibri" w:cs="Calibri"/>
          <w:bCs/>
          <w:color w:val="000000"/>
        </w:rPr>
        <w:t xml:space="preserve"> and </w:t>
      </w:r>
      <w:r>
        <w:t>Local Hospital Networks (</w:t>
      </w:r>
      <w:r w:rsidRPr="009B28FE">
        <w:rPr>
          <w:rFonts w:ascii="Calibri" w:hAnsi="Calibri" w:cs="Calibri"/>
          <w:bCs/>
          <w:color w:val="000000"/>
        </w:rPr>
        <w:t>LHNs</w:t>
      </w:r>
      <w:r>
        <w:rPr>
          <w:rFonts w:ascii="Calibri" w:hAnsi="Calibri" w:cs="Calibri"/>
          <w:bCs/>
          <w:color w:val="000000"/>
        </w:rPr>
        <w:t>)</w:t>
      </w:r>
      <w:r w:rsidR="00E852E7">
        <w:rPr>
          <w:rFonts w:ascii="Calibri" w:hAnsi="Calibri" w:cs="Calibri"/>
          <w:bCs/>
          <w:color w:val="000000"/>
        </w:rPr>
        <w:t>,</w:t>
      </w:r>
      <w:r w:rsidRPr="009B28FE">
        <w:rPr>
          <w:rFonts w:ascii="Calibri" w:hAnsi="Calibri" w:cs="Calibri"/>
          <w:bCs/>
          <w:color w:val="000000"/>
        </w:rPr>
        <w:t xml:space="preserve"> or their equivalent</w:t>
      </w:r>
      <w:r w:rsidR="00E852E7">
        <w:rPr>
          <w:rFonts w:ascii="Calibri" w:hAnsi="Calibri" w:cs="Calibri"/>
          <w:bCs/>
          <w:color w:val="000000"/>
        </w:rPr>
        <w:t>,</w:t>
      </w:r>
      <w:r w:rsidRPr="009B28FE">
        <w:rPr>
          <w:rFonts w:ascii="Calibri" w:hAnsi="Calibri" w:cs="Calibri"/>
          <w:bCs/>
          <w:color w:val="000000"/>
        </w:rPr>
        <w:t xml:space="preserve"> are well placed to be agents of positive change in realising better population health outcomes while being prudent fiscal stewards of public funds.</w:t>
      </w:r>
    </w:p>
    <w:p w14:paraId="73190FAC" w14:textId="498C95BC" w:rsidR="00E852E7" w:rsidRPr="009B28FE" w:rsidRDefault="009B28FE" w:rsidP="009B28FE">
      <w:pPr>
        <w:rPr>
          <w:rFonts w:ascii="Calibri" w:hAnsi="Calibri" w:cs="Calibri"/>
          <w:bCs/>
          <w:color w:val="000000"/>
        </w:rPr>
      </w:pPr>
      <w:r w:rsidRPr="009B28FE">
        <w:rPr>
          <w:rFonts w:ascii="Calibri" w:hAnsi="Calibri" w:cs="Calibri"/>
          <w:bCs/>
          <w:color w:val="000000"/>
        </w:rPr>
        <w:t xml:space="preserve">PHNs and LHNs have an opportunity to engage in impact investments in order to respond more directly to local needs. A funded emphasis on better health outcomes rather than simply focusing on payments based on activity is consistent with the commissioning role </w:t>
      </w:r>
      <w:r w:rsidR="004C0A59">
        <w:rPr>
          <w:rFonts w:ascii="Calibri" w:hAnsi="Calibri" w:cs="Calibri"/>
          <w:bCs/>
          <w:color w:val="000000"/>
        </w:rPr>
        <w:t xml:space="preserve">of </w:t>
      </w:r>
      <w:r w:rsidRPr="009B28FE">
        <w:rPr>
          <w:rFonts w:ascii="Calibri" w:hAnsi="Calibri" w:cs="Calibri"/>
          <w:bCs/>
          <w:color w:val="000000"/>
        </w:rPr>
        <w:t>the PHNs.</w:t>
      </w:r>
    </w:p>
    <w:p w14:paraId="237B2B87" w14:textId="77777777" w:rsidR="00E162BE" w:rsidRDefault="00C15C59" w:rsidP="00E162BE">
      <w:pPr>
        <w:pStyle w:val="Heading1"/>
      </w:pPr>
      <w:bookmarkStart w:id="10" w:name="_Toc475977488"/>
      <w:r>
        <w:t>The Treasury’s fo</w:t>
      </w:r>
      <w:r w:rsidR="00E162BE">
        <w:t xml:space="preserve">ur proposed principles </w:t>
      </w:r>
      <w:r>
        <w:t>for social impact investing</w:t>
      </w:r>
      <w:bookmarkEnd w:id="10"/>
    </w:p>
    <w:p w14:paraId="47419F34" w14:textId="77777777" w:rsidR="00717A0A" w:rsidRDefault="003E3C93" w:rsidP="00717A0A">
      <w:r>
        <w:t>The AHHA agrees with the Treasury’s discussion paper in that any involvement by the Australian Government in social impact investment will continue to recognise</w:t>
      </w:r>
      <w:r w:rsidR="00717A0A">
        <w:t xml:space="preserve"> that:</w:t>
      </w:r>
    </w:p>
    <w:p w14:paraId="3B855A78" w14:textId="31592DCE" w:rsidR="00717A0A" w:rsidRDefault="004C0A59" w:rsidP="00907D32">
      <w:pPr>
        <w:pStyle w:val="ListParagraph"/>
        <w:numPr>
          <w:ilvl w:val="0"/>
          <w:numId w:val="12"/>
        </w:numPr>
      </w:pPr>
      <w:r>
        <w:t>S</w:t>
      </w:r>
      <w:r w:rsidR="00717A0A">
        <w:t>ocial impact investing will not replace the core role of the Australian Government in service delivery and the commissioning and funding of services;</w:t>
      </w:r>
    </w:p>
    <w:p w14:paraId="05EC7980" w14:textId="453F0FE0" w:rsidR="00717A0A" w:rsidRDefault="004C0A59" w:rsidP="00907D32">
      <w:pPr>
        <w:pStyle w:val="ListParagraph"/>
        <w:numPr>
          <w:ilvl w:val="0"/>
          <w:numId w:val="12"/>
        </w:numPr>
      </w:pPr>
      <w:r>
        <w:t>S</w:t>
      </w:r>
      <w:r w:rsidR="00717A0A">
        <w:t>ocial impact investing is not an appropriate or effective vehicle for all interventions; and</w:t>
      </w:r>
    </w:p>
    <w:p w14:paraId="5BFDD70D" w14:textId="2E474E6F" w:rsidR="00717A0A" w:rsidRDefault="004C0A59" w:rsidP="00907D32">
      <w:pPr>
        <w:pStyle w:val="ListParagraph"/>
        <w:numPr>
          <w:ilvl w:val="0"/>
          <w:numId w:val="12"/>
        </w:numPr>
      </w:pPr>
      <w:r>
        <w:t>M</w:t>
      </w:r>
      <w:r w:rsidR="00717A0A">
        <w:t>any social impact investments do not involve the government as a participant</w:t>
      </w:r>
      <w:r>
        <w:t>.</w:t>
      </w:r>
      <w:r w:rsidR="00717A0A">
        <w:t xml:space="preserve"> </w:t>
      </w:r>
      <w:r>
        <w:t>I</w:t>
      </w:r>
      <w:r w:rsidR="00717A0A">
        <w:t xml:space="preserve">nstead, investors solely fund the service provider to deliver </w:t>
      </w:r>
      <w:r>
        <w:t xml:space="preserve">a </w:t>
      </w:r>
      <w:r w:rsidR="00717A0A">
        <w:t xml:space="preserve">social </w:t>
      </w:r>
      <w:r>
        <w:t>service</w:t>
      </w:r>
      <w:r w:rsidR="00717A0A">
        <w:t xml:space="preserve"> and the investor receives an</w:t>
      </w:r>
      <w:r>
        <w:t xml:space="preserve"> agreed</w:t>
      </w:r>
      <w:r w:rsidR="00717A0A">
        <w:t xml:space="preserve"> financial return </w:t>
      </w:r>
      <w:r>
        <w:t xml:space="preserve">for the outcomes </w:t>
      </w:r>
      <w:r w:rsidR="00717A0A">
        <w:t>achieved. Investors and service providers should not consider government involvement a prerequisite for a succe</w:t>
      </w:r>
      <w:r w:rsidR="003E3C93">
        <w:t>ssful social impact investment.</w:t>
      </w:r>
    </w:p>
    <w:p w14:paraId="342FE65D" w14:textId="47E6B0B7" w:rsidR="00E445EB" w:rsidRDefault="003E3C93" w:rsidP="00E445EB">
      <w:r>
        <w:t>With regards to the four principles for social impact investing</w:t>
      </w:r>
      <w:r w:rsidR="004C0A59" w:rsidRPr="004C0A59">
        <w:t xml:space="preserve"> </w:t>
      </w:r>
      <w:r w:rsidR="004C0A59">
        <w:t>proposed in the Treasury discussion paper</w:t>
      </w:r>
      <w:r>
        <w:t xml:space="preserve">, </w:t>
      </w:r>
      <w:r w:rsidR="00C978AF">
        <w:t xml:space="preserve">AHHA agrees that </w:t>
      </w:r>
      <w:r w:rsidR="004C0A59">
        <w:t xml:space="preserve">the </w:t>
      </w:r>
      <w:r w:rsidR="00E445EB">
        <w:t xml:space="preserve">Australian Government </w:t>
      </w:r>
      <w:r w:rsidR="00C978AF">
        <w:t xml:space="preserve">should be involved </w:t>
      </w:r>
      <w:r w:rsidR="004C0A59">
        <w:t xml:space="preserve">only </w:t>
      </w:r>
      <w:r w:rsidR="00C978AF">
        <w:t xml:space="preserve">if there is: value for money; a robust approach to outcomes-based measurement to monitor progress, risk and returns of the investment and a robust and transparent evaluation method to determine the investment’s impact and efficacy; </w:t>
      </w:r>
      <w:r w:rsidR="004C0A59">
        <w:t xml:space="preserve">a </w:t>
      </w:r>
      <w:r w:rsidR="00C978AF">
        <w:t xml:space="preserve">fair sharing of risk and return between the Australian Government, investors and service providers; and </w:t>
      </w:r>
      <w:r w:rsidR="004C0A59">
        <w:t xml:space="preserve">a </w:t>
      </w:r>
      <w:r w:rsidR="00C978AF">
        <w:t xml:space="preserve">focus on a deliverable and relevant social outcome that </w:t>
      </w:r>
      <w:r w:rsidR="004C0A59">
        <w:t xml:space="preserve">align with the policy priorities of the </w:t>
      </w:r>
      <w:r w:rsidR="00C978AF">
        <w:t>Australian Government.</w:t>
      </w:r>
    </w:p>
    <w:p w14:paraId="2CA5530E" w14:textId="39896F54" w:rsidR="003F79F0" w:rsidRDefault="00C978AF" w:rsidP="003F79F0">
      <w:pPr>
        <w:rPr>
          <w:rFonts w:ascii="Calibri" w:hAnsi="Calibri" w:cs="Calibri"/>
          <w:bCs/>
          <w:color w:val="000000"/>
        </w:rPr>
      </w:pPr>
      <w:r>
        <w:t>AHHA call</w:t>
      </w:r>
      <w:r w:rsidR="004C0A59">
        <w:t>s</w:t>
      </w:r>
      <w:r>
        <w:t xml:space="preserve"> for the </w:t>
      </w:r>
      <w:r w:rsidR="003F79F0">
        <w:t xml:space="preserve">inclusion of </w:t>
      </w:r>
      <w:r>
        <w:t>principles of equity</w:t>
      </w:r>
      <w:r w:rsidR="003F79F0">
        <w:t>, based on a universal healthcare principle,</w:t>
      </w:r>
      <w:r>
        <w:t xml:space="preserve"> </w:t>
      </w:r>
      <w:r w:rsidRPr="004D0440">
        <w:rPr>
          <w:rFonts w:ascii="Calibri" w:hAnsi="Calibri" w:cs="Calibri"/>
          <w:bCs/>
          <w:color w:val="000000"/>
        </w:rPr>
        <w:t>and subsidiarity</w:t>
      </w:r>
      <w:r w:rsidR="003F79F0">
        <w:rPr>
          <w:rFonts w:ascii="Calibri" w:hAnsi="Calibri" w:cs="Calibri"/>
          <w:bCs/>
          <w:color w:val="000000"/>
        </w:rPr>
        <w:t xml:space="preserve">, utilising meso-level structures such as Primary Health Networks and </w:t>
      </w:r>
      <w:r w:rsidR="003F79F0" w:rsidRPr="003466C9">
        <w:rPr>
          <w:rFonts w:ascii="Calibri" w:hAnsi="Calibri" w:cs="Calibri"/>
          <w:bCs/>
          <w:color w:val="000000"/>
        </w:rPr>
        <w:t>L</w:t>
      </w:r>
      <w:r w:rsidR="003F79F0">
        <w:rPr>
          <w:rFonts w:ascii="Calibri" w:hAnsi="Calibri" w:cs="Calibri"/>
          <w:bCs/>
          <w:color w:val="000000"/>
        </w:rPr>
        <w:t xml:space="preserve">ocal </w:t>
      </w:r>
      <w:r w:rsidR="003F79F0" w:rsidRPr="003466C9">
        <w:rPr>
          <w:rFonts w:ascii="Calibri" w:hAnsi="Calibri" w:cs="Calibri"/>
          <w:bCs/>
          <w:color w:val="000000"/>
        </w:rPr>
        <w:t>H</w:t>
      </w:r>
      <w:r w:rsidR="003F79F0">
        <w:rPr>
          <w:rFonts w:ascii="Calibri" w:hAnsi="Calibri" w:cs="Calibri"/>
          <w:bCs/>
          <w:color w:val="000000"/>
        </w:rPr>
        <w:t>ospital Network</w:t>
      </w:r>
      <w:r w:rsidR="003F79F0" w:rsidRPr="003466C9">
        <w:rPr>
          <w:rFonts w:ascii="Calibri" w:hAnsi="Calibri" w:cs="Calibri"/>
          <w:bCs/>
          <w:color w:val="000000"/>
        </w:rPr>
        <w:t>s to be</w:t>
      </w:r>
      <w:r w:rsidR="003E475D">
        <w:rPr>
          <w:rFonts w:ascii="Calibri" w:hAnsi="Calibri" w:cs="Calibri"/>
          <w:bCs/>
          <w:color w:val="000000"/>
        </w:rPr>
        <w:t xml:space="preserve"> commissioners in and responsible for </w:t>
      </w:r>
      <w:r w:rsidR="003F79F0" w:rsidRPr="003466C9">
        <w:rPr>
          <w:rFonts w:ascii="Calibri" w:hAnsi="Calibri" w:cs="Calibri"/>
          <w:bCs/>
          <w:color w:val="000000"/>
        </w:rPr>
        <w:t>realising better population health outcomes while being prudent fiscal stewards of public funds.</w:t>
      </w:r>
    </w:p>
    <w:p w14:paraId="160D6955" w14:textId="5E61C843" w:rsidR="00EF0780" w:rsidRDefault="00907D32" w:rsidP="00EF0780">
      <w:pPr>
        <w:pStyle w:val="Heading1"/>
      </w:pPr>
      <w:bookmarkStart w:id="11" w:name="_Toc475977489"/>
      <w:r>
        <w:t>Area</w:t>
      </w:r>
      <w:r w:rsidR="00EF0780">
        <w:t xml:space="preserve">s which </w:t>
      </w:r>
      <w:r w:rsidR="005E051C">
        <w:t>lend themselves to</w:t>
      </w:r>
      <w:r w:rsidR="00EF0780">
        <w:t xml:space="preserve"> social impact investing</w:t>
      </w:r>
      <w:bookmarkEnd w:id="11"/>
    </w:p>
    <w:p w14:paraId="0C5FEAA7" w14:textId="1C43CE7E" w:rsidR="007768E9" w:rsidRDefault="007768E9" w:rsidP="007768E9">
      <w:r>
        <w:t>Impact financing has a focus on outcomes. Measuring outcomes is often not a simple activity in health care, as some outcomes have long temporal lags and some outcomes are logistically distal to the intervention or initiating activity.</w:t>
      </w:r>
      <w:r w:rsidR="00BD0912">
        <w:rPr>
          <w:rStyle w:val="FootnoteReference"/>
        </w:rPr>
        <w:footnoteReference w:id="9"/>
      </w:r>
      <w:r>
        <w:t xml:space="preserve"> This </w:t>
      </w:r>
      <w:r w:rsidR="005E051C">
        <w:t>is</w:t>
      </w:r>
      <w:r>
        <w:t xml:space="preserve"> not the case with certain primary healthcare interventions focused on targeted population groups </w:t>
      </w:r>
      <w:r w:rsidR="005E051C">
        <w:t xml:space="preserve">localised </w:t>
      </w:r>
      <w:r>
        <w:t>a</w:t>
      </w:r>
      <w:r w:rsidR="005E051C">
        <w:t>t</w:t>
      </w:r>
      <w:r>
        <w:t xml:space="preserve"> regional</w:t>
      </w:r>
      <w:r w:rsidR="005E051C">
        <w:t xml:space="preserve"> and </w:t>
      </w:r>
      <w:r>
        <w:t>catchment</w:t>
      </w:r>
      <w:r w:rsidR="005E051C">
        <w:t xml:space="preserve"> level where an intervention may be provided by specified </w:t>
      </w:r>
      <w:r w:rsidR="005E051C" w:rsidRPr="00BA155B">
        <w:rPr>
          <w:rFonts w:ascii="Calibri" w:hAnsi="Calibri" w:cs="Calibri"/>
          <w:bCs/>
          <w:color w:val="000000"/>
        </w:rPr>
        <w:t>service providers</w:t>
      </w:r>
      <w:r w:rsidR="005E051C">
        <w:rPr>
          <w:rFonts w:ascii="Calibri" w:hAnsi="Calibri" w:cs="Calibri"/>
          <w:bCs/>
          <w:color w:val="000000"/>
        </w:rPr>
        <w:t>,</w:t>
      </w:r>
      <w:r w:rsidR="005E051C" w:rsidRPr="00BA155B">
        <w:rPr>
          <w:rFonts w:ascii="Calibri" w:hAnsi="Calibri" w:cs="Calibri"/>
          <w:bCs/>
          <w:color w:val="000000"/>
        </w:rPr>
        <w:t xml:space="preserve"> </w:t>
      </w:r>
      <w:r w:rsidR="005E051C">
        <w:rPr>
          <w:rFonts w:ascii="Calibri" w:hAnsi="Calibri" w:cs="Calibri"/>
          <w:bCs/>
          <w:color w:val="000000"/>
        </w:rPr>
        <w:t>which</w:t>
      </w:r>
      <w:r w:rsidR="005E051C" w:rsidRPr="00BA155B">
        <w:rPr>
          <w:rFonts w:ascii="Calibri" w:hAnsi="Calibri" w:cs="Calibri"/>
          <w:bCs/>
          <w:color w:val="000000"/>
        </w:rPr>
        <w:t xml:space="preserve"> share</w:t>
      </w:r>
      <w:r w:rsidR="005E051C">
        <w:rPr>
          <w:rFonts w:ascii="Calibri" w:hAnsi="Calibri" w:cs="Calibri"/>
          <w:bCs/>
          <w:color w:val="000000"/>
        </w:rPr>
        <w:t xml:space="preserve"> </w:t>
      </w:r>
      <w:r w:rsidR="005E051C" w:rsidRPr="00BA155B">
        <w:rPr>
          <w:rFonts w:ascii="Calibri" w:hAnsi="Calibri" w:cs="Calibri"/>
          <w:bCs/>
          <w:color w:val="000000"/>
        </w:rPr>
        <w:t>service</w:t>
      </w:r>
      <w:r w:rsidR="005E051C">
        <w:rPr>
          <w:rFonts w:ascii="Calibri" w:hAnsi="Calibri" w:cs="Calibri"/>
          <w:bCs/>
          <w:color w:val="000000"/>
        </w:rPr>
        <w:t xml:space="preserve"> provision</w:t>
      </w:r>
      <w:r w:rsidR="005E051C" w:rsidRPr="00BA155B">
        <w:rPr>
          <w:rFonts w:ascii="Calibri" w:hAnsi="Calibri" w:cs="Calibri"/>
          <w:bCs/>
          <w:color w:val="000000"/>
        </w:rPr>
        <w:t xml:space="preserve"> and facilitate outcome‐based funding strategies</w:t>
      </w:r>
      <w:r w:rsidR="005E051C">
        <w:rPr>
          <w:rFonts w:ascii="Calibri" w:hAnsi="Calibri" w:cs="Calibri"/>
          <w:bCs/>
          <w:color w:val="000000"/>
        </w:rPr>
        <w:t xml:space="preserve">. </w:t>
      </w:r>
      <w:r w:rsidR="005E051C">
        <w:t>Possible</w:t>
      </w:r>
      <w:r>
        <w:t xml:space="preserve"> example</w:t>
      </w:r>
      <w:r w:rsidR="005E051C">
        <w:t>s include</w:t>
      </w:r>
      <w:r>
        <w:t>:</w:t>
      </w:r>
    </w:p>
    <w:p w14:paraId="134604B9" w14:textId="68B8B5F0" w:rsidR="007768E9" w:rsidRDefault="007768E9" w:rsidP="007768E9">
      <w:pPr>
        <w:pStyle w:val="ListParagraph"/>
        <w:numPr>
          <w:ilvl w:val="0"/>
          <w:numId w:val="11"/>
        </w:numPr>
      </w:pPr>
      <w:r>
        <w:t>In oral health care</w:t>
      </w:r>
      <w:r w:rsidR="000F11A5">
        <w:t>,</w:t>
      </w:r>
      <w:r>
        <w:t xml:space="preserve"> impact financing could provide the appropriate incentive to improve awareness and outreach among at risk children and youth and their caregivers as well as encourage the use of pre-existing and free dental services. The near-term impacts would be </w:t>
      </w:r>
      <w:r w:rsidRPr="00640F89">
        <w:t xml:space="preserve">good overall </w:t>
      </w:r>
      <w:r>
        <w:t xml:space="preserve">oral </w:t>
      </w:r>
      <w:r w:rsidRPr="00640F89">
        <w:t>health and self-esteem</w:t>
      </w:r>
      <w:r>
        <w:t xml:space="preserve"> that can </w:t>
      </w:r>
      <w:r w:rsidRPr="00640F89">
        <w:t xml:space="preserve">lead to </w:t>
      </w:r>
      <w:r w:rsidR="000359A6">
        <w:t xml:space="preserve">avoiding </w:t>
      </w:r>
      <w:r w:rsidRPr="00640F89">
        <w:t xml:space="preserve">lifelong </w:t>
      </w:r>
      <w:r w:rsidR="000359A6">
        <w:t>dis</w:t>
      </w:r>
      <w:r>
        <w:t>advantage.</w:t>
      </w:r>
    </w:p>
    <w:p w14:paraId="6F76BAE6" w14:textId="2FA3629C" w:rsidR="007768E9" w:rsidRPr="00A275AF" w:rsidRDefault="007768E9" w:rsidP="007768E9">
      <w:pPr>
        <w:pStyle w:val="ListParagraph"/>
        <w:numPr>
          <w:ilvl w:val="0"/>
          <w:numId w:val="11"/>
        </w:numPr>
      </w:pPr>
      <w:r>
        <w:t xml:space="preserve">In sexually transmitted infections screening, taking the case of chlamydia screening in pharmacies, impact financing could provide the appropriate incentive to improve rates of chlamydia testing and coverage in priority populations and age groups. </w:t>
      </w:r>
      <w:r w:rsidR="001159EE">
        <w:t>A recent study showed that while 86% of women and 64% of men in the 16</w:t>
      </w:r>
      <w:r w:rsidR="00161581">
        <w:t>–</w:t>
      </w:r>
      <w:r w:rsidR="001159EE">
        <w:t>29 year old age group had at least one consultation with their GP in the 12-month period, only 8.9% of them were tested for chlamydia.</w:t>
      </w:r>
      <w:r w:rsidR="001159EE">
        <w:rPr>
          <w:rStyle w:val="FootnoteReference"/>
        </w:rPr>
        <w:footnoteReference w:id="10"/>
      </w:r>
      <w:r w:rsidR="001159EE">
        <w:rPr>
          <w:vertAlign w:val="superscript"/>
        </w:rPr>
        <w:t xml:space="preserve"> </w:t>
      </w:r>
      <w:r w:rsidR="001159EE">
        <w:t>These screening rates can be increased</w:t>
      </w:r>
      <w:r>
        <w:t xml:space="preserve">, with population-based </w:t>
      </w:r>
      <w:r w:rsidR="001159EE">
        <w:t xml:space="preserve">interventions shown to achieve </w:t>
      </w:r>
      <w:r>
        <w:t xml:space="preserve">rates of 38% and 63.9%, while opportunistic screening </w:t>
      </w:r>
      <w:r w:rsidR="001159EE">
        <w:t xml:space="preserve">interventions </w:t>
      </w:r>
      <w:r w:rsidR="000F11A5">
        <w:t xml:space="preserve">can </w:t>
      </w:r>
      <w:r>
        <w:t>achieve rates between 12% and 28%.</w:t>
      </w:r>
      <w:r w:rsidR="001159EE">
        <w:rPr>
          <w:rStyle w:val="FootnoteReference"/>
        </w:rPr>
        <w:footnoteReference w:id="11"/>
      </w:r>
    </w:p>
    <w:p w14:paraId="23CF30E7" w14:textId="7A2F326C" w:rsidR="007768E9" w:rsidRPr="007768E9" w:rsidRDefault="007768E9" w:rsidP="007768E9">
      <w:pPr>
        <w:pStyle w:val="ListParagraph"/>
        <w:numPr>
          <w:ilvl w:val="0"/>
          <w:numId w:val="11"/>
        </w:numPr>
      </w:pPr>
      <w:r>
        <w:t xml:space="preserve">In </w:t>
      </w:r>
      <w:r w:rsidR="000F11A5">
        <w:t xml:space="preserve">type 2 </w:t>
      </w:r>
      <w:r>
        <w:t xml:space="preserve">diabetes </w:t>
      </w:r>
      <w:r w:rsidR="000F11A5">
        <w:t>screening</w:t>
      </w:r>
      <w:r>
        <w:t xml:space="preserve">, impact financing could provide the appropriate incentive to improve rates of diabetes </w:t>
      </w:r>
      <w:r w:rsidR="000F11A5">
        <w:t xml:space="preserve">screening </w:t>
      </w:r>
      <w:r w:rsidR="000359A6">
        <w:t xml:space="preserve">leading to </w:t>
      </w:r>
      <w:r w:rsidR="000F11A5">
        <w:t xml:space="preserve">the detection of undiagnosed diabetes </w:t>
      </w:r>
      <w:r w:rsidR="000359A6">
        <w:t xml:space="preserve">and </w:t>
      </w:r>
      <w:r w:rsidR="001B2D61">
        <w:t>the successful</w:t>
      </w:r>
      <w:r w:rsidR="003F5940">
        <w:t xml:space="preserve"> </w:t>
      </w:r>
      <w:r w:rsidR="000359A6">
        <w:t xml:space="preserve">ongoing management of the disease </w:t>
      </w:r>
      <w:r w:rsidR="001B2D61">
        <w:t xml:space="preserve">that would </w:t>
      </w:r>
      <w:r w:rsidR="003F5940">
        <w:t xml:space="preserve">delay the onset </w:t>
      </w:r>
      <w:r>
        <w:t>of associated and costly complications.</w:t>
      </w:r>
      <w:r w:rsidR="000359A6">
        <w:t xml:space="preserve"> </w:t>
      </w:r>
    </w:p>
    <w:p w14:paraId="1D070BE4" w14:textId="0667CE0F" w:rsidR="00EF0780" w:rsidRPr="00EF0780" w:rsidRDefault="00EF0780" w:rsidP="00EF0780">
      <w:pPr>
        <w:rPr>
          <w:rFonts w:ascii="Calibri" w:hAnsi="Calibri" w:cs="Calibri"/>
          <w:bCs/>
          <w:color w:val="000000"/>
        </w:rPr>
      </w:pPr>
      <w:r w:rsidRPr="00EF0780">
        <w:rPr>
          <w:rFonts w:ascii="Calibri" w:hAnsi="Calibri" w:cs="Calibri"/>
          <w:bCs/>
          <w:color w:val="000000"/>
        </w:rPr>
        <w:t>An</w:t>
      </w:r>
      <w:r w:rsidR="005E051C">
        <w:rPr>
          <w:rFonts w:ascii="Calibri" w:hAnsi="Calibri" w:cs="Calibri"/>
          <w:bCs/>
          <w:color w:val="000000"/>
        </w:rPr>
        <w:t>other</w:t>
      </w:r>
      <w:r w:rsidRPr="00EF0780">
        <w:rPr>
          <w:rFonts w:ascii="Calibri" w:hAnsi="Calibri" w:cs="Calibri"/>
          <w:bCs/>
          <w:color w:val="000000"/>
        </w:rPr>
        <w:t xml:space="preserve"> area that may hold potential for social impact investing is in medicines financing to provide equitable access to innovative, high cost medicines, a challenge that is facing Australia’s health system and highlighted in the Senate report </w:t>
      </w:r>
      <w:r w:rsidRPr="00EF0780">
        <w:rPr>
          <w:rFonts w:ascii="Calibri" w:hAnsi="Calibri" w:cs="Calibri"/>
          <w:bCs/>
          <w:i/>
          <w:color w:val="000000"/>
        </w:rPr>
        <w:t>Availability of new, innovative and specialist cancer drugs in Australia</w:t>
      </w:r>
      <w:r w:rsidRPr="00EF0780">
        <w:rPr>
          <w:rFonts w:ascii="Calibri" w:hAnsi="Calibri" w:cs="Calibri"/>
          <w:bCs/>
          <w:color w:val="000000"/>
        </w:rPr>
        <w:t>.</w:t>
      </w:r>
      <w:r>
        <w:rPr>
          <w:rStyle w:val="FootnoteReference"/>
          <w:rFonts w:ascii="Calibri" w:hAnsi="Calibri" w:cs="Calibri"/>
          <w:bCs/>
          <w:color w:val="000000"/>
        </w:rPr>
        <w:footnoteReference w:id="12"/>
      </w:r>
    </w:p>
    <w:p w14:paraId="325FF6DB" w14:textId="77777777" w:rsidR="00EF0780" w:rsidRPr="00EF0780" w:rsidRDefault="00EF0780" w:rsidP="00EF0780">
      <w:pPr>
        <w:rPr>
          <w:rFonts w:ascii="Calibri" w:hAnsi="Calibri" w:cs="Calibri"/>
          <w:bCs/>
          <w:color w:val="000000"/>
        </w:rPr>
      </w:pPr>
      <w:r w:rsidRPr="00EF0780">
        <w:rPr>
          <w:rFonts w:ascii="Calibri" w:hAnsi="Calibri" w:cs="Calibri"/>
          <w:bCs/>
          <w:color w:val="000000"/>
        </w:rPr>
        <w:t xml:space="preserve">The Pharmaceutical Benefits Advisory Committee (PBAC) is an independent expert body appointed by Government that reviews new medicines for clinical effectiveness, safety and cost-effectiveness, and makes recommendations for their listing on the Pharmaceutical Benefits Scheme (PBS). The PBAC are seeing a shift in applications from traditional medicines for large patient populations to targeted biologic therapies for smaller patient sub-groups. Due to the nature of these therapies, data on effectiveness from trials remain immature, costs are high and benefits need to be extrapolated in applications to the PBAC. This makes decision making on cost-effectiveness challenging, while consumer expectations for access to the therapies is high. </w:t>
      </w:r>
    </w:p>
    <w:p w14:paraId="268DFEE9" w14:textId="77777777" w:rsidR="00EF0780" w:rsidRPr="00EF0780" w:rsidRDefault="00EF0780" w:rsidP="00EF0780">
      <w:pPr>
        <w:rPr>
          <w:rFonts w:ascii="Calibri" w:hAnsi="Calibri" w:cs="Calibri"/>
          <w:bCs/>
          <w:color w:val="000000"/>
        </w:rPr>
      </w:pPr>
      <w:r w:rsidRPr="00EF0780">
        <w:rPr>
          <w:rFonts w:ascii="Calibri" w:hAnsi="Calibri" w:cs="Calibri"/>
          <w:bCs/>
          <w:color w:val="000000"/>
        </w:rPr>
        <w:t>In exploring the potential for social impact investing for the funding of innovative medicines, experience in establishing ‘pay for performance’ contracts for medicines should be drawn upon. One example involves models of procurement and pricing agreements being negotiated with pharmaceutical companies, with strict criteria for use of the medicine and which may also involve a risk-sharing arrangement. The pharmaceutical company reimburses the full cost of expenses if patients do not respond to the treatment within an agreed trial period.</w:t>
      </w:r>
    </w:p>
    <w:p w14:paraId="6F213223" w14:textId="0DE25530" w:rsidR="00EF0780" w:rsidRDefault="00EF0780" w:rsidP="00EF0780">
      <w:pPr>
        <w:rPr>
          <w:rFonts w:ascii="Calibri" w:hAnsi="Calibri" w:cs="Calibri"/>
          <w:bCs/>
          <w:color w:val="000000"/>
        </w:rPr>
      </w:pPr>
      <w:r w:rsidRPr="00EF0780">
        <w:rPr>
          <w:rFonts w:ascii="Calibri" w:hAnsi="Calibri" w:cs="Calibri"/>
          <w:bCs/>
          <w:color w:val="000000"/>
        </w:rPr>
        <w:t>The complexities surrounding the issue of sustainable medicines funding were discussed at a special policy roundtable convened by the George Institute for Global Health, and participated in by AHHA, on 10 February 2017. A report is forthcoming, and while social impact investing was not specifically discussed, the challenges faced in this area demonstrate there is a potential role for social impact investing to be explored in funding innovative medicines from</w:t>
      </w:r>
      <w:r w:rsidR="003F5940">
        <w:rPr>
          <w:rFonts w:ascii="Calibri" w:hAnsi="Calibri" w:cs="Calibri"/>
          <w:bCs/>
          <w:color w:val="000000"/>
        </w:rPr>
        <w:t xml:space="preserve"> the time at which they are </w:t>
      </w:r>
      <w:r w:rsidR="008C7C42">
        <w:rPr>
          <w:rFonts w:ascii="Calibri" w:hAnsi="Calibri" w:cs="Calibri"/>
          <w:bCs/>
          <w:color w:val="000000"/>
        </w:rPr>
        <w:t xml:space="preserve">Therapeutic </w:t>
      </w:r>
      <w:r w:rsidR="003F5940">
        <w:rPr>
          <w:rFonts w:ascii="Calibri" w:hAnsi="Calibri" w:cs="Calibri"/>
          <w:bCs/>
          <w:color w:val="000000"/>
        </w:rPr>
        <w:t>G</w:t>
      </w:r>
      <w:r w:rsidR="008C7C42">
        <w:rPr>
          <w:rFonts w:ascii="Calibri" w:hAnsi="Calibri" w:cs="Calibri"/>
          <w:bCs/>
          <w:color w:val="000000"/>
        </w:rPr>
        <w:t xml:space="preserve">oods </w:t>
      </w:r>
      <w:r w:rsidR="003F5940">
        <w:rPr>
          <w:rFonts w:ascii="Calibri" w:hAnsi="Calibri" w:cs="Calibri"/>
          <w:bCs/>
          <w:color w:val="000000"/>
        </w:rPr>
        <w:t>A</w:t>
      </w:r>
      <w:r w:rsidR="008C7C42">
        <w:rPr>
          <w:rFonts w:ascii="Calibri" w:hAnsi="Calibri" w:cs="Calibri"/>
          <w:bCs/>
          <w:color w:val="000000"/>
        </w:rPr>
        <w:t>dministration</w:t>
      </w:r>
      <w:r w:rsidR="003F5940">
        <w:rPr>
          <w:rFonts w:ascii="Calibri" w:hAnsi="Calibri" w:cs="Calibri"/>
          <w:bCs/>
          <w:color w:val="000000"/>
        </w:rPr>
        <w:noBreakHyphen/>
      </w:r>
      <w:r w:rsidRPr="00EF0780">
        <w:rPr>
          <w:rFonts w:ascii="Calibri" w:hAnsi="Calibri" w:cs="Calibri"/>
          <w:bCs/>
          <w:color w:val="000000"/>
        </w:rPr>
        <w:t>registered until a time at which there is sufficient evidence to consider their suitability for listing on the PBS.</w:t>
      </w:r>
    </w:p>
    <w:p w14:paraId="5D700EAF" w14:textId="48D89BE1" w:rsidR="00A82E7D" w:rsidRDefault="00956D4F" w:rsidP="00A82E7D">
      <w:pPr>
        <w:pStyle w:val="Heading1"/>
      </w:pPr>
      <w:bookmarkStart w:id="12" w:name="_Toc466284557"/>
      <w:bookmarkStart w:id="13" w:name="_Toc475977490"/>
      <w:r>
        <w:t>Conclusion</w:t>
      </w:r>
      <w:bookmarkEnd w:id="12"/>
      <w:bookmarkEnd w:id="13"/>
    </w:p>
    <w:p w14:paraId="2EF03E2B" w14:textId="77777777" w:rsidR="003F79F0" w:rsidRDefault="003F79F0" w:rsidP="003F79F0">
      <w:pPr>
        <w:rPr>
          <w:rFonts w:ascii="Calibri" w:hAnsi="Calibri" w:cs="Calibri"/>
          <w:bCs/>
          <w:color w:val="000000"/>
        </w:rPr>
      </w:pPr>
      <w:r w:rsidRPr="003466C9">
        <w:rPr>
          <w:rFonts w:ascii="Calibri" w:hAnsi="Calibri" w:cs="Calibri"/>
          <w:bCs/>
          <w:color w:val="000000"/>
        </w:rPr>
        <w:t>More work is needed to determine the applicability of social impact investing to the Australian primary and ac</w:t>
      </w:r>
      <w:r>
        <w:rPr>
          <w:rFonts w:ascii="Calibri" w:hAnsi="Calibri" w:cs="Calibri"/>
          <w:bCs/>
          <w:color w:val="000000"/>
        </w:rPr>
        <w:t>ute healthcare environment. As steward of the Australian health system, the Australian</w:t>
      </w:r>
      <w:r w:rsidRPr="003466C9">
        <w:rPr>
          <w:rFonts w:ascii="Calibri" w:hAnsi="Calibri" w:cs="Calibri"/>
          <w:bCs/>
          <w:color w:val="000000"/>
        </w:rPr>
        <w:t xml:space="preserve"> Government </w:t>
      </w:r>
      <w:r>
        <w:rPr>
          <w:rFonts w:ascii="Calibri" w:hAnsi="Calibri" w:cs="Calibri"/>
          <w:bCs/>
          <w:color w:val="000000"/>
        </w:rPr>
        <w:t xml:space="preserve">should </w:t>
      </w:r>
      <w:r w:rsidRPr="003466C9">
        <w:rPr>
          <w:rFonts w:ascii="Calibri" w:hAnsi="Calibri" w:cs="Calibri"/>
          <w:bCs/>
          <w:color w:val="000000"/>
        </w:rPr>
        <w:t>work with state and territory health departments to pilot small scale social impact investing initiatives tied with research components to establish an Australian evidence base on the effectiveness of this novel financing model.</w:t>
      </w:r>
    </w:p>
    <w:p w14:paraId="518DD55B" w14:textId="0E8C478B" w:rsidR="00315435" w:rsidRDefault="00315435" w:rsidP="003F79F0">
      <w:pPr>
        <w:rPr>
          <w:rFonts w:ascii="Calibri" w:hAnsi="Calibri" w:cs="Calibri"/>
          <w:bCs/>
          <w:color w:val="000000"/>
        </w:rPr>
      </w:pPr>
      <w:r>
        <w:rPr>
          <w:rFonts w:ascii="Calibri" w:hAnsi="Calibri" w:cs="Calibri"/>
          <w:bCs/>
          <w:color w:val="000000"/>
        </w:rPr>
        <w:t>In order for social impact investing in health to succeed attention and effort must</w:t>
      </w:r>
      <w:r w:rsidR="00A41173">
        <w:rPr>
          <w:rFonts w:ascii="Calibri" w:hAnsi="Calibri" w:cs="Calibri"/>
          <w:bCs/>
          <w:color w:val="000000"/>
        </w:rPr>
        <w:t>:</w:t>
      </w:r>
      <w:r>
        <w:rPr>
          <w:rFonts w:ascii="Calibri" w:hAnsi="Calibri" w:cs="Calibri"/>
          <w:bCs/>
          <w:color w:val="000000"/>
        </w:rPr>
        <w:t xml:space="preserve"> focus on the development of robust and quality </w:t>
      </w:r>
      <w:r>
        <w:t>data in order to inform outcomes measurements (for example the establishment of a national minimum data set in primary care)</w:t>
      </w:r>
      <w:r w:rsidR="00A41173">
        <w:t>;</w:t>
      </w:r>
      <w:r>
        <w:t xml:space="preserve"> </w:t>
      </w:r>
      <w:r w:rsidR="00A41173">
        <w:t xml:space="preserve">overcome a </w:t>
      </w:r>
      <w:r>
        <w:t>fee-for service and activity-based mentality</w:t>
      </w:r>
      <w:r w:rsidR="00A41173">
        <w:t>;</w:t>
      </w:r>
      <w:r>
        <w:t xml:space="preserve"> </w:t>
      </w:r>
      <w:r w:rsidR="00A41173">
        <w:t xml:space="preserve">have a </w:t>
      </w:r>
      <w:r>
        <w:t>consensus among parties on who realises benefits and return on investment</w:t>
      </w:r>
      <w:r w:rsidR="00A41173">
        <w:t>;</w:t>
      </w:r>
      <w:r>
        <w:t xml:space="preserve"> identif</w:t>
      </w:r>
      <w:r w:rsidR="00A41173">
        <w:t>y</w:t>
      </w:r>
      <w:r>
        <w:t xml:space="preserve"> willing investors</w:t>
      </w:r>
      <w:r w:rsidR="00A41173">
        <w:t>;</w:t>
      </w:r>
      <w:r>
        <w:t xml:space="preserve"> and surmount the dearth of evidence </w:t>
      </w:r>
      <w:r w:rsidR="00A41173">
        <w:t xml:space="preserve">on social impact investing </w:t>
      </w:r>
      <w:r>
        <w:t>by establishing an Australian evidence base.</w:t>
      </w:r>
    </w:p>
    <w:p w14:paraId="493EE6D0" w14:textId="36A14D5A" w:rsidR="003C745E" w:rsidRDefault="003F79F0" w:rsidP="003F79F0">
      <w:pPr>
        <w:spacing w:line="320" w:lineRule="atLeast"/>
        <w:jc w:val="both"/>
      </w:pPr>
      <w:r>
        <w:rPr>
          <w:rFonts w:ascii="Calibri" w:hAnsi="Calibri" w:cs="Calibri"/>
          <w:bCs/>
          <w:color w:val="000000"/>
        </w:rPr>
        <w:t>Over the longer term, the Australian</w:t>
      </w:r>
      <w:r w:rsidRPr="004D0440">
        <w:rPr>
          <w:rFonts w:ascii="Calibri" w:hAnsi="Calibri" w:cs="Calibri"/>
          <w:bCs/>
          <w:color w:val="000000"/>
        </w:rPr>
        <w:t xml:space="preserve"> Government</w:t>
      </w:r>
      <w:r>
        <w:rPr>
          <w:rFonts w:ascii="Calibri" w:hAnsi="Calibri" w:cs="Calibri"/>
          <w:bCs/>
          <w:color w:val="000000"/>
        </w:rPr>
        <w:t xml:space="preserve"> should work with the states and territories</w:t>
      </w:r>
      <w:r w:rsidRPr="004D0440">
        <w:rPr>
          <w:rFonts w:ascii="Calibri" w:hAnsi="Calibri" w:cs="Calibri"/>
          <w:bCs/>
          <w:color w:val="000000"/>
        </w:rPr>
        <w:t xml:space="preserve"> to design a system of fina</w:t>
      </w:r>
      <w:r>
        <w:rPr>
          <w:rFonts w:ascii="Calibri" w:hAnsi="Calibri" w:cs="Calibri"/>
          <w:bCs/>
          <w:color w:val="000000"/>
        </w:rPr>
        <w:t>ncing that is not one‐size-fits-</w:t>
      </w:r>
      <w:r w:rsidRPr="004D0440">
        <w:rPr>
          <w:rFonts w:ascii="Calibri" w:hAnsi="Calibri" w:cs="Calibri"/>
          <w:bCs/>
          <w:color w:val="000000"/>
        </w:rPr>
        <w:t>all but a system</w:t>
      </w:r>
      <w:r>
        <w:rPr>
          <w:rFonts w:ascii="Calibri" w:hAnsi="Calibri" w:cs="Calibri"/>
          <w:bCs/>
          <w:color w:val="000000"/>
        </w:rPr>
        <w:t xml:space="preserve"> </w:t>
      </w:r>
      <w:r w:rsidRPr="004D0440">
        <w:rPr>
          <w:rFonts w:ascii="Calibri" w:hAnsi="Calibri" w:cs="Calibri"/>
          <w:bCs/>
          <w:color w:val="000000"/>
        </w:rPr>
        <w:t>founded on principles of equity, a focus on quality outcomes, transparency and subsidiarity.</w:t>
      </w:r>
      <w:r>
        <w:rPr>
          <w:rFonts w:ascii="Calibri" w:hAnsi="Calibri" w:cs="Calibri"/>
          <w:bCs/>
          <w:color w:val="000000"/>
        </w:rPr>
        <w:t xml:space="preserve"> </w:t>
      </w:r>
      <w:r w:rsidRPr="00BA155B">
        <w:rPr>
          <w:rFonts w:ascii="Calibri" w:hAnsi="Calibri" w:cs="Calibri"/>
          <w:bCs/>
          <w:color w:val="000000"/>
        </w:rPr>
        <w:t>These principles would enable a new system of health</w:t>
      </w:r>
      <w:r>
        <w:rPr>
          <w:rFonts w:ascii="Calibri" w:hAnsi="Calibri" w:cs="Calibri"/>
          <w:bCs/>
          <w:color w:val="000000"/>
        </w:rPr>
        <w:t xml:space="preserve"> financing to emerge and </w:t>
      </w:r>
      <w:r w:rsidRPr="00BA155B">
        <w:rPr>
          <w:rFonts w:ascii="Calibri" w:hAnsi="Calibri" w:cs="Calibri"/>
          <w:bCs/>
          <w:color w:val="000000"/>
        </w:rPr>
        <w:t>would empower service providers at regional and catchment levels to share</w:t>
      </w:r>
      <w:r>
        <w:rPr>
          <w:rFonts w:ascii="Calibri" w:hAnsi="Calibri" w:cs="Calibri"/>
          <w:bCs/>
          <w:color w:val="000000"/>
        </w:rPr>
        <w:t xml:space="preserve"> </w:t>
      </w:r>
      <w:r w:rsidRPr="00BA155B">
        <w:rPr>
          <w:rFonts w:ascii="Calibri" w:hAnsi="Calibri" w:cs="Calibri"/>
          <w:bCs/>
          <w:color w:val="000000"/>
        </w:rPr>
        <w:t>services and facilitate outcom</w:t>
      </w:r>
      <w:r w:rsidR="00315435">
        <w:rPr>
          <w:rFonts w:ascii="Calibri" w:hAnsi="Calibri" w:cs="Calibri"/>
          <w:bCs/>
          <w:color w:val="000000"/>
        </w:rPr>
        <w:t>e‐based funding strategies, which could include s</w:t>
      </w:r>
      <w:r>
        <w:rPr>
          <w:rFonts w:ascii="Calibri" w:hAnsi="Calibri" w:cs="Calibri"/>
          <w:bCs/>
          <w:color w:val="000000"/>
        </w:rPr>
        <w:t xml:space="preserve">ocial impact investing </w:t>
      </w:r>
      <w:r w:rsidR="00315435">
        <w:rPr>
          <w:rFonts w:ascii="Calibri" w:hAnsi="Calibri" w:cs="Calibri"/>
          <w:bCs/>
          <w:color w:val="000000"/>
        </w:rPr>
        <w:t>as</w:t>
      </w:r>
      <w:r>
        <w:rPr>
          <w:rFonts w:ascii="Calibri" w:hAnsi="Calibri" w:cs="Calibri"/>
          <w:bCs/>
          <w:color w:val="000000"/>
        </w:rPr>
        <w:t xml:space="preserve"> part of th</w:t>
      </w:r>
      <w:r w:rsidR="00A41173">
        <w:rPr>
          <w:rFonts w:ascii="Calibri" w:hAnsi="Calibri" w:cs="Calibri"/>
          <w:bCs/>
          <w:color w:val="000000"/>
        </w:rPr>
        <w:t>e</w:t>
      </w:r>
      <w:r>
        <w:rPr>
          <w:rFonts w:ascii="Calibri" w:hAnsi="Calibri" w:cs="Calibri"/>
          <w:bCs/>
          <w:color w:val="000000"/>
        </w:rPr>
        <w:t xml:space="preserve"> health sector financing mix.</w:t>
      </w:r>
    </w:p>
    <w:p w14:paraId="0D29A2D7" w14:textId="77777777" w:rsidR="00EE57A2" w:rsidRDefault="00EE57A2" w:rsidP="00EF04F6">
      <w:pPr>
        <w:spacing w:line="320" w:lineRule="atLeast"/>
        <w:jc w:val="both"/>
        <w:sectPr w:rsidR="00EE57A2" w:rsidSect="00B911A9">
          <w:headerReference w:type="default" r:id="rId23"/>
          <w:footerReference w:type="even" r:id="rId24"/>
          <w:footerReference w:type="default" r:id="rId25"/>
          <w:pgSz w:w="11906" w:h="16838" w:code="9"/>
          <w:pgMar w:top="1418" w:right="1418" w:bottom="1418" w:left="1418" w:header="709" w:footer="709" w:gutter="0"/>
          <w:pgNumType w:start="1"/>
          <w:cols w:space="708"/>
          <w:docGrid w:linePitch="360"/>
        </w:sectPr>
      </w:pPr>
    </w:p>
    <w:p w14:paraId="1158CD74" w14:textId="77777777" w:rsidR="00605F10" w:rsidRDefault="00605F10" w:rsidP="00202EF4">
      <w:pPr>
        <w:spacing w:after="240" w:line="320" w:lineRule="atLeast"/>
        <w:jc w:val="both"/>
      </w:pPr>
    </w:p>
    <w:p w14:paraId="16CE8939" w14:textId="77777777" w:rsidR="00605F10" w:rsidRDefault="00605F10" w:rsidP="00202EF4">
      <w:pPr>
        <w:spacing w:before="1560" w:after="240" w:line="320" w:lineRule="atLeast"/>
        <w:jc w:val="center"/>
      </w:pPr>
      <w:r>
        <w:rPr>
          <w:noProof/>
          <w:lang w:eastAsia="en-AU"/>
        </w:rPr>
        <w:drawing>
          <wp:inline distT="0" distB="0" distL="0" distR="0" wp14:anchorId="00AF13FA" wp14:editId="579E0A2D">
            <wp:extent cx="2619632" cy="1993703"/>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A_CMYK.png"/>
                    <pic:cNvPicPr/>
                  </pic:nvPicPr>
                  <pic:blipFill>
                    <a:blip r:embed="rId14">
                      <a:extLst>
                        <a:ext uri="{28A0092B-C50C-407E-A947-70E740481C1C}">
                          <a14:useLocalDpi xmlns:a14="http://schemas.microsoft.com/office/drawing/2010/main" val="0"/>
                        </a:ext>
                      </a:extLst>
                    </a:blip>
                    <a:stretch>
                      <a:fillRect/>
                    </a:stretch>
                  </pic:blipFill>
                  <pic:spPr>
                    <a:xfrm>
                      <a:off x="0" y="0"/>
                      <a:ext cx="2626140" cy="1998656"/>
                    </a:xfrm>
                    <a:prstGeom prst="rect">
                      <a:avLst/>
                    </a:prstGeom>
                  </pic:spPr>
                </pic:pic>
              </a:graphicData>
            </a:graphic>
          </wp:inline>
        </w:drawing>
      </w:r>
    </w:p>
    <w:p w14:paraId="0C731E63" w14:textId="77777777" w:rsidR="00605F10" w:rsidRDefault="00605F10" w:rsidP="00202EF4">
      <w:pPr>
        <w:spacing w:after="240" w:line="320" w:lineRule="atLeast"/>
        <w:jc w:val="both"/>
      </w:pPr>
    </w:p>
    <w:tbl>
      <w:tblPr>
        <w:tblStyle w:val="TableGrid"/>
        <w:tblpPr w:leftFromText="181" w:rightFromText="181" w:vertAnchor="page" w:horzAnchor="margin" w:tblpY="9868"/>
        <w:tblOverlap w:val="never"/>
        <w:tblW w:w="0" w:type="auto"/>
        <w:tblLook w:val="0600" w:firstRow="0" w:lastRow="0" w:firstColumn="0" w:lastColumn="0" w:noHBand="1" w:noVBand="1"/>
      </w:tblPr>
      <w:tblGrid>
        <w:gridCol w:w="7200"/>
      </w:tblGrid>
      <w:tr w:rsidR="007B4D3D" w14:paraId="66DC5CC8" w14:textId="77777777" w:rsidTr="007B4D3D">
        <w:trPr>
          <w:trHeight w:val="5102"/>
        </w:trPr>
        <w:tc>
          <w:tcPr>
            <w:tcW w:w="7200" w:type="dxa"/>
          </w:tcPr>
          <w:p w14:paraId="376164CD" w14:textId="77777777" w:rsidR="007B4D3D" w:rsidRPr="00742799" w:rsidRDefault="007B4D3D" w:rsidP="007B4D3D">
            <w:pPr>
              <w:spacing w:before="120" w:line="276" w:lineRule="auto"/>
              <w:rPr>
                <w:b/>
              </w:rPr>
            </w:pPr>
            <w:r w:rsidRPr="00742799">
              <w:rPr>
                <w:b/>
              </w:rPr>
              <w:t>Australian Healthcare and Hospitals Association</w:t>
            </w:r>
          </w:p>
          <w:p w14:paraId="2E64E617" w14:textId="77777777" w:rsidR="007B4D3D" w:rsidRDefault="007B4D3D" w:rsidP="007B4D3D">
            <w:pPr>
              <w:spacing w:line="276" w:lineRule="auto"/>
            </w:pPr>
            <w:r>
              <w:t>Unit 8, 2 Phipps Close</w:t>
            </w:r>
          </w:p>
          <w:p w14:paraId="6FDBBD1F" w14:textId="77777777" w:rsidR="007B4D3D" w:rsidRDefault="007B4D3D" w:rsidP="007B4D3D">
            <w:pPr>
              <w:pStyle w:val="NoSpacing"/>
              <w:spacing w:before="120" w:line="276" w:lineRule="auto"/>
            </w:pPr>
            <w:r>
              <w:t>Deakin  ACT  2600</w:t>
            </w:r>
          </w:p>
          <w:p w14:paraId="5BF33403" w14:textId="77777777" w:rsidR="007B4D3D" w:rsidRDefault="007B4D3D" w:rsidP="007B4D3D">
            <w:pPr>
              <w:spacing w:line="276" w:lineRule="auto"/>
            </w:pPr>
            <w:r>
              <w:t>PO Box 78</w:t>
            </w:r>
          </w:p>
          <w:p w14:paraId="1C1F4AB5" w14:textId="77777777" w:rsidR="007B4D3D" w:rsidRDefault="007B4D3D" w:rsidP="007B4D3D">
            <w:pPr>
              <w:pStyle w:val="NoSpacing"/>
              <w:spacing w:before="120" w:line="276" w:lineRule="auto"/>
            </w:pPr>
            <w:r>
              <w:t>Deakin West  ACT  2600</w:t>
            </w:r>
          </w:p>
          <w:p w14:paraId="7781BFA4" w14:textId="77777777" w:rsidR="007B4D3D" w:rsidRDefault="007B4D3D" w:rsidP="007B4D3D">
            <w:pPr>
              <w:spacing w:line="276" w:lineRule="auto"/>
            </w:pPr>
            <w:r>
              <w:t>P:</w:t>
            </w:r>
            <w:r>
              <w:tab/>
              <w:t>02 6162 0780</w:t>
            </w:r>
          </w:p>
          <w:p w14:paraId="47A1F821" w14:textId="77777777" w:rsidR="007B4D3D" w:rsidRDefault="007B4D3D" w:rsidP="007B4D3D">
            <w:pPr>
              <w:spacing w:line="276" w:lineRule="auto"/>
            </w:pPr>
            <w:r>
              <w:t>F:</w:t>
            </w:r>
            <w:r>
              <w:tab/>
              <w:t>02 6162 0779</w:t>
            </w:r>
          </w:p>
          <w:p w14:paraId="2BB8E614" w14:textId="77777777" w:rsidR="007B4D3D" w:rsidRDefault="007B4D3D" w:rsidP="007B4D3D">
            <w:pPr>
              <w:spacing w:line="276" w:lineRule="auto"/>
            </w:pPr>
            <w:r>
              <w:t>E:</w:t>
            </w:r>
            <w:r>
              <w:tab/>
            </w:r>
            <w:hyperlink r:id="rId26" w:history="1">
              <w:r w:rsidRPr="00C51C84">
                <w:rPr>
                  <w:rStyle w:val="Hyperlink"/>
                </w:rPr>
                <w:t>admin@ahha.asn.au</w:t>
              </w:r>
            </w:hyperlink>
          </w:p>
          <w:p w14:paraId="6F5F49CE" w14:textId="77777777" w:rsidR="007B4D3D" w:rsidRDefault="007B4D3D" w:rsidP="007B4D3D">
            <w:pPr>
              <w:spacing w:line="276" w:lineRule="auto"/>
            </w:pPr>
            <w:r w:rsidRPr="008E7083">
              <w:rPr>
                <w:rFonts w:ascii="Calibri" w:hAnsi="Calibri"/>
                <w:noProof/>
                <w:lang w:eastAsia="en-AU"/>
              </w:rPr>
              <w:drawing>
                <wp:anchor distT="0" distB="0" distL="114300" distR="114300" simplePos="0" relativeHeight="251659264" behindDoc="0" locked="0" layoutInCell="1" allowOverlap="1" wp14:anchorId="64F94E91" wp14:editId="4B47FD65">
                  <wp:simplePos x="0" y="0"/>
                  <wp:positionH relativeFrom="column">
                    <wp:posOffset>-16814</wp:posOffset>
                  </wp:positionH>
                  <wp:positionV relativeFrom="paragraph">
                    <wp:posOffset>200660</wp:posOffset>
                  </wp:positionV>
                  <wp:extent cx="251460" cy="2590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14:sizeRelH relativeFrom="page">
                    <wp14:pctWidth>0</wp14:pctWidth>
                  </wp14:sizeRelH>
                  <wp14:sizeRelV relativeFrom="page">
                    <wp14:pctHeight>0</wp14:pctHeight>
                  </wp14:sizeRelV>
                </wp:anchor>
              </w:drawing>
            </w:r>
            <w:r>
              <w:t>W:</w:t>
            </w:r>
            <w:r>
              <w:tab/>
            </w:r>
            <w:hyperlink r:id="rId28" w:history="1">
              <w:r w:rsidRPr="00742799">
                <w:rPr>
                  <w:rStyle w:val="Hyperlink"/>
                </w:rPr>
                <w:t>ahha.asn.au</w:t>
              </w:r>
            </w:hyperlink>
          </w:p>
          <w:p w14:paraId="359F5B0C" w14:textId="77777777" w:rsidR="007B4D3D" w:rsidRDefault="007B4D3D" w:rsidP="007B4D3D">
            <w:pPr>
              <w:spacing w:before="120" w:line="276" w:lineRule="auto"/>
            </w:pPr>
            <w:r>
              <w:tab/>
              <w:t>@AusHealthcare</w:t>
            </w:r>
          </w:p>
          <w:p w14:paraId="3D74B4E6" w14:textId="77777777" w:rsidR="007B4D3D" w:rsidRDefault="007B4D3D" w:rsidP="007B4D3D">
            <w:pPr>
              <w:spacing w:before="120" w:line="276" w:lineRule="auto"/>
            </w:pPr>
            <w:r w:rsidRPr="008E7083">
              <w:rPr>
                <w:rFonts w:ascii="Calibri" w:hAnsi="Calibri"/>
                <w:noProof/>
                <w:lang w:eastAsia="en-AU"/>
              </w:rPr>
              <w:drawing>
                <wp:anchor distT="0" distB="0" distL="114300" distR="114300" simplePos="0" relativeHeight="251660288" behindDoc="0" locked="0" layoutInCell="1" allowOverlap="1" wp14:anchorId="23D0FB09" wp14:editId="233B5EF7">
                  <wp:simplePos x="0" y="0"/>
                  <wp:positionH relativeFrom="column">
                    <wp:posOffset>-18415</wp:posOffset>
                  </wp:positionH>
                  <wp:positionV relativeFrom="paragraph">
                    <wp:posOffset>35560</wp:posOffset>
                  </wp:positionV>
                  <wp:extent cx="230400" cy="23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400" cy="230400"/>
                          </a:xfrm>
                          <a:prstGeom prst="rect">
                            <a:avLst/>
                          </a:prstGeom>
                          <a:noFill/>
                          <a:ln>
                            <a:noFill/>
                          </a:ln>
                        </pic:spPr>
                      </pic:pic>
                    </a:graphicData>
                  </a:graphic>
                  <wp14:sizeRelH relativeFrom="page">
                    <wp14:pctWidth>0</wp14:pctWidth>
                  </wp14:sizeRelH>
                  <wp14:sizeRelV relativeFrom="page">
                    <wp14:pctHeight>0</wp14:pctHeight>
                  </wp14:sizeRelV>
                </wp:anchor>
              </w:drawing>
            </w:r>
            <w:r>
              <w:tab/>
              <w:t>facebook.com/AusHealthcare</w:t>
            </w:r>
          </w:p>
          <w:p w14:paraId="414CB7B7" w14:textId="77777777" w:rsidR="007B4D3D" w:rsidRDefault="007B4D3D" w:rsidP="007B4D3D">
            <w:pPr>
              <w:spacing w:before="120" w:line="276" w:lineRule="auto"/>
            </w:pPr>
            <w:r>
              <w:rPr>
                <w:noProof/>
                <w:lang w:eastAsia="en-AU"/>
              </w:rPr>
              <w:drawing>
                <wp:anchor distT="0" distB="0" distL="114300" distR="114300" simplePos="0" relativeHeight="251661312" behindDoc="0" locked="0" layoutInCell="1" allowOverlap="1" wp14:anchorId="37B6E347" wp14:editId="7E39E172">
                  <wp:simplePos x="0" y="0"/>
                  <wp:positionH relativeFrom="column">
                    <wp:posOffset>1601</wp:posOffset>
                  </wp:positionH>
                  <wp:positionV relativeFrom="paragraph">
                    <wp:posOffset>53340</wp:posOffset>
                  </wp:positionV>
                  <wp:extent cx="213360" cy="2133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14:sizeRelH relativeFrom="page">
                    <wp14:pctWidth>0</wp14:pctWidth>
                  </wp14:sizeRelH>
                  <wp14:sizeRelV relativeFrom="page">
                    <wp14:pctHeight>0</wp14:pctHeight>
                  </wp14:sizeRelV>
                </wp:anchor>
              </w:drawing>
            </w:r>
            <w:r>
              <w:tab/>
              <w:t>linkedin.com/company/australian-</w:t>
            </w:r>
            <w:r w:rsidRPr="00BD6474">
              <w:t>healthcare-&amp;-hospitals-association</w:t>
            </w:r>
          </w:p>
          <w:p w14:paraId="3730D15B" w14:textId="77777777" w:rsidR="007B4D3D" w:rsidRDefault="007B4D3D" w:rsidP="007B4D3D">
            <w:pPr>
              <w:spacing w:before="120" w:line="276" w:lineRule="auto"/>
            </w:pPr>
            <w:r>
              <w:t>ABN:</w:t>
            </w:r>
            <w:r>
              <w:tab/>
              <w:t>49 008 528 470</w:t>
            </w:r>
          </w:p>
        </w:tc>
      </w:tr>
    </w:tbl>
    <w:p w14:paraId="2EE064DC" w14:textId="77777777" w:rsidR="00202EF4" w:rsidRDefault="00202EF4" w:rsidP="007B4D3D"/>
    <w:sectPr w:rsidR="00202EF4" w:rsidSect="00A96182">
      <w:headerReference w:type="even" r:id="rId31"/>
      <w:headerReference w:type="default" r:id="rId32"/>
      <w:footerReference w:type="even" r:id="rId33"/>
      <w:footerReference w:type="default" r:id="rId34"/>
      <w:type w:val="evenPage"/>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FACF1" w14:textId="77777777" w:rsidR="003F79F0" w:rsidRDefault="003F79F0">
      <w:pPr>
        <w:spacing w:after="0" w:line="240" w:lineRule="auto"/>
      </w:pPr>
      <w:r>
        <w:separator/>
      </w:r>
    </w:p>
    <w:p w14:paraId="76BA855F" w14:textId="77777777" w:rsidR="003F79F0" w:rsidRDefault="003F79F0"/>
    <w:p w14:paraId="6C9B75F6" w14:textId="77777777" w:rsidR="003F79F0" w:rsidRDefault="003F79F0" w:rsidP="00DC3CEF"/>
    <w:p w14:paraId="2309404D" w14:textId="77777777" w:rsidR="003F79F0" w:rsidRDefault="003F79F0" w:rsidP="00DC3CEF"/>
  </w:endnote>
  <w:endnote w:type="continuationSeparator" w:id="0">
    <w:p w14:paraId="24D35B8D" w14:textId="77777777" w:rsidR="003F79F0" w:rsidRDefault="003F79F0">
      <w:pPr>
        <w:spacing w:after="0" w:line="240" w:lineRule="auto"/>
      </w:pPr>
      <w:r>
        <w:continuationSeparator/>
      </w:r>
    </w:p>
    <w:p w14:paraId="5B6BFC6C" w14:textId="77777777" w:rsidR="003F79F0" w:rsidRDefault="003F79F0"/>
    <w:p w14:paraId="58BFB105" w14:textId="77777777" w:rsidR="003F79F0" w:rsidRDefault="003F79F0" w:rsidP="00DC3CEF"/>
    <w:p w14:paraId="4CF6FB56" w14:textId="77777777" w:rsidR="003F79F0" w:rsidRDefault="003F79F0" w:rsidP="00DC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881255"/>
      <w:docPartObj>
        <w:docPartGallery w:val="Page Numbers (Bottom of Page)"/>
        <w:docPartUnique/>
      </w:docPartObj>
    </w:sdtPr>
    <w:sdtEndPr>
      <w:rPr>
        <w:color w:val="7F7F7F" w:themeColor="background1" w:themeShade="7F"/>
        <w:spacing w:val="60"/>
        <w:sz w:val="18"/>
      </w:rPr>
    </w:sdtEndPr>
    <w:sdtContent>
      <w:p w14:paraId="0445600B" w14:textId="77777777" w:rsidR="003F79F0" w:rsidRPr="001F5306" w:rsidRDefault="00831E16" w:rsidP="00202EF4">
        <w:pPr>
          <w:pStyle w:val="Footer"/>
          <w:pBdr>
            <w:top w:val="single" w:sz="12" w:space="2" w:color="F39900"/>
          </w:pBdr>
          <w:rPr>
            <w:b/>
            <w:bCs/>
            <w:sz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791D0" w14:textId="77777777" w:rsidR="003F79F0" w:rsidRPr="00C82FF4" w:rsidRDefault="003F79F0" w:rsidP="008D3240">
    <w:pPr>
      <w:pStyle w:val="Footer"/>
      <w:pBdr>
        <w:top w:val="single" w:sz="12" w:space="2" w:color="F39900"/>
      </w:pBdr>
      <w:jc w:val="right"/>
      <w:rPr>
        <w:sz w:val="18"/>
        <w:szCs w:val="20"/>
      </w:rPr>
    </w:pPr>
  </w:p>
  <w:p w14:paraId="1D41A3B8" w14:textId="77777777" w:rsidR="003F79F0" w:rsidRDefault="003F79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616A" w14:textId="77777777" w:rsidR="003F79F0" w:rsidRPr="00C82FF4" w:rsidRDefault="003F79F0" w:rsidP="00EF04F6">
    <w:pPr>
      <w:pStyle w:val="Footer"/>
      <w:pBdr>
        <w:top w:val="single" w:sz="12" w:space="2" w:color="F39900"/>
      </w:pBdr>
      <w:jc w:val="right"/>
      <w:rPr>
        <w:sz w:val="18"/>
        <w:szCs w:val="20"/>
      </w:rPr>
    </w:pPr>
  </w:p>
  <w:p w14:paraId="1B31D276" w14:textId="77777777" w:rsidR="003F79F0" w:rsidRPr="00EF04F6" w:rsidRDefault="003F79F0" w:rsidP="00EF04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F0EDA" w14:textId="77777777" w:rsidR="003F79F0" w:rsidRPr="00C82FF4" w:rsidRDefault="003F79F0" w:rsidP="00EF04F6">
    <w:pPr>
      <w:pStyle w:val="Footer"/>
      <w:pBdr>
        <w:top w:val="single" w:sz="12" w:space="2" w:color="F39900"/>
      </w:pBdr>
      <w:jc w:val="right"/>
      <w:rPr>
        <w:sz w:val="18"/>
        <w:szCs w:val="20"/>
      </w:rPr>
    </w:pPr>
  </w:p>
  <w:p w14:paraId="09E983F6" w14:textId="77777777" w:rsidR="003F79F0" w:rsidRPr="00EF04F6" w:rsidRDefault="003F79F0" w:rsidP="00EF04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18099"/>
      <w:docPartObj>
        <w:docPartGallery w:val="Page Numbers (Bottom of Page)"/>
        <w:docPartUnique/>
      </w:docPartObj>
    </w:sdtPr>
    <w:sdtEndPr>
      <w:rPr>
        <w:color w:val="7F7F7F" w:themeColor="background1" w:themeShade="7F"/>
        <w:spacing w:val="60"/>
        <w:sz w:val="18"/>
      </w:rPr>
    </w:sdtEndPr>
    <w:sdtContent>
      <w:p w14:paraId="26909928" w14:textId="77777777" w:rsidR="003F79F0" w:rsidRPr="001F5306" w:rsidRDefault="003F79F0" w:rsidP="00202EF4">
        <w:pPr>
          <w:pStyle w:val="Footer"/>
          <w:pBdr>
            <w:top w:val="single" w:sz="12" w:space="2" w:color="F39900"/>
          </w:pBdr>
          <w:rPr>
            <w:b/>
            <w:bCs/>
            <w:sz w:val="18"/>
          </w:rPr>
        </w:pPr>
        <w:r w:rsidRPr="001F5306">
          <w:rPr>
            <w:sz w:val="18"/>
          </w:rPr>
          <w:fldChar w:fldCharType="begin"/>
        </w:r>
        <w:r w:rsidRPr="001F5306">
          <w:rPr>
            <w:sz w:val="18"/>
          </w:rPr>
          <w:instrText xml:space="preserve"> PAGE   \* MERGEFORMAT </w:instrText>
        </w:r>
        <w:r w:rsidRPr="001F5306">
          <w:rPr>
            <w:sz w:val="18"/>
          </w:rPr>
          <w:fldChar w:fldCharType="separate"/>
        </w:r>
        <w:r w:rsidR="00B0641F" w:rsidRPr="00B0641F">
          <w:rPr>
            <w:b/>
            <w:bCs/>
            <w:noProof/>
            <w:sz w:val="18"/>
          </w:rPr>
          <w:t>6</w:t>
        </w:r>
        <w:r w:rsidRPr="001F5306">
          <w:rPr>
            <w:b/>
            <w:bCs/>
            <w:noProof/>
            <w:sz w:val="18"/>
          </w:rPr>
          <w:fldChar w:fldCharType="end"/>
        </w:r>
        <w:r w:rsidRPr="001F5306">
          <w:rPr>
            <w:b/>
            <w:bCs/>
            <w:sz w:val="18"/>
          </w:rPr>
          <w:t xml:space="preserve"> </w:t>
        </w:r>
        <w:r w:rsidRPr="001F5306">
          <w:rPr>
            <w:b/>
            <w:bCs/>
            <w:color w:val="9CD5E2"/>
            <w:sz w:val="18"/>
          </w:rPr>
          <w:t>|</w:t>
        </w:r>
        <w:r w:rsidRPr="001F5306">
          <w:rPr>
            <w:b/>
            <w:bCs/>
            <w:sz w:val="18"/>
          </w:rPr>
          <w:t xml:space="preserve"> </w:t>
        </w:r>
        <w:r w:rsidRPr="001F5306">
          <w:rPr>
            <w:color w:val="7F7F7F" w:themeColor="background1" w:themeShade="7F"/>
            <w:spacing w:val="60"/>
            <w:sz w:val="18"/>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5F91" w14:textId="77777777" w:rsidR="003F79F0" w:rsidRPr="00F70E12" w:rsidRDefault="003F79F0" w:rsidP="00202EF4">
    <w:pPr>
      <w:pStyle w:val="Footer"/>
      <w:pBdr>
        <w:top w:val="single" w:sz="12" w:space="2" w:color="F39900"/>
      </w:pBdr>
      <w:jc w:val="right"/>
      <w:rPr>
        <w:sz w:val="18"/>
        <w:szCs w:val="20"/>
      </w:rPr>
    </w:pPr>
    <w:r w:rsidRPr="00F70E12">
      <w:rPr>
        <w:color w:val="7F7F7F" w:themeColor="background1" w:themeShade="7F"/>
        <w:sz w:val="18"/>
        <w:szCs w:val="20"/>
      </w:rPr>
      <w:fldChar w:fldCharType="begin"/>
    </w:r>
    <w:r w:rsidRPr="00F70E12">
      <w:rPr>
        <w:color w:val="7F7F7F" w:themeColor="background1" w:themeShade="7F"/>
        <w:sz w:val="18"/>
        <w:szCs w:val="20"/>
      </w:rPr>
      <w:instrText xml:space="preserve"> PAGE   \* MERGEFORMAT </w:instrText>
    </w:r>
    <w:r w:rsidRPr="00F70E12">
      <w:rPr>
        <w:color w:val="7F7F7F" w:themeColor="background1" w:themeShade="7F"/>
        <w:sz w:val="18"/>
        <w:szCs w:val="20"/>
      </w:rPr>
      <w:fldChar w:fldCharType="separate"/>
    </w:r>
    <w:r w:rsidR="00A65AD1" w:rsidRPr="00A65AD1">
      <w:rPr>
        <w:b/>
        <w:bCs/>
        <w:noProof/>
        <w:color w:val="7F7F7F" w:themeColor="background1" w:themeShade="7F"/>
        <w:sz w:val="18"/>
        <w:szCs w:val="20"/>
      </w:rPr>
      <w:t>1</w:t>
    </w:r>
    <w:r w:rsidRPr="00F70E12">
      <w:rPr>
        <w:b/>
        <w:bCs/>
        <w:noProof/>
        <w:color w:val="7F7F7F" w:themeColor="background1" w:themeShade="7F"/>
        <w:sz w:val="18"/>
        <w:szCs w:val="20"/>
      </w:rPr>
      <w:fldChar w:fldCharType="end"/>
    </w:r>
    <w:r w:rsidRPr="00F70E12">
      <w:rPr>
        <w:b/>
        <w:bCs/>
        <w:color w:val="7F7F7F" w:themeColor="background1" w:themeShade="7F"/>
        <w:sz w:val="18"/>
        <w:szCs w:val="20"/>
      </w:rPr>
      <w:t xml:space="preserve"> </w:t>
    </w:r>
    <w:r w:rsidRPr="00F70E12">
      <w:rPr>
        <w:color w:val="9CD5E2"/>
        <w:sz w:val="18"/>
        <w:szCs w:val="20"/>
      </w:rPr>
      <w:t>|</w:t>
    </w:r>
    <w:r w:rsidRPr="00F70E12">
      <w:rPr>
        <w:b/>
        <w:bCs/>
        <w:color w:val="7F7F7F" w:themeColor="background1" w:themeShade="7F"/>
        <w:sz w:val="18"/>
        <w:szCs w:val="20"/>
      </w:rPr>
      <w:t xml:space="preserve"> </w:t>
    </w:r>
    <w:r w:rsidRPr="00F70E12">
      <w:rPr>
        <w:color w:val="7F7F7F" w:themeColor="background1" w:themeShade="7F"/>
        <w:spacing w:val="60"/>
        <w:sz w:val="18"/>
        <w:szCs w:val="20"/>
      </w:rPr>
      <w:t>Page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75552" w14:textId="77777777" w:rsidR="003F79F0" w:rsidRPr="001F5306" w:rsidRDefault="003F79F0" w:rsidP="00202EF4">
    <w:pPr>
      <w:pStyle w:val="Footer"/>
      <w:pBdr>
        <w:top w:val="single" w:sz="12" w:space="2" w:color="F39900"/>
      </w:pBdr>
      <w:rPr>
        <w:b/>
        <w:bCs/>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BD20" w14:textId="77777777" w:rsidR="003F79F0" w:rsidRPr="00C82FF4" w:rsidRDefault="003F79F0" w:rsidP="00202EF4">
    <w:pPr>
      <w:pStyle w:val="Footer"/>
      <w:pBdr>
        <w:top w:val="single" w:sz="12" w:space="2" w:color="F39900"/>
      </w:pBdr>
      <w:jc w:val="right"/>
      <w:rPr>
        <w:sz w:val="18"/>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6A268" w14:textId="77777777" w:rsidR="003F79F0" w:rsidRDefault="003F79F0" w:rsidP="00D90855">
      <w:pPr>
        <w:spacing w:after="0" w:line="240" w:lineRule="auto"/>
      </w:pPr>
      <w:r>
        <w:separator/>
      </w:r>
    </w:p>
  </w:footnote>
  <w:footnote w:type="continuationSeparator" w:id="0">
    <w:p w14:paraId="7B0FC6F0" w14:textId="77777777" w:rsidR="003F79F0" w:rsidRDefault="003F79F0">
      <w:pPr>
        <w:spacing w:after="0" w:line="240" w:lineRule="auto"/>
      </w:pPr>
      <w:r>
        <w:continuationSeparator/>
      </w:r>
    </w:p>
    <w:p w14:paraId="274FE8C3" w14:textId="77777777" w:rsidR="003F79F0" w:rsidRDefault="003F79F0"/>
    <w:p w14:paraId="3FA1592E" w14:textId="77777777" w:rsidR="003F79F0" w:rsidRDefault="003F79F0" w:rsidP="00DC3CEF"/>
    <w:p w14:paraId="2BE71979" w14:textId="77777777" w:rsidR="003F79F0" w:rsidRDefault="003F79F0" w:rsidP="00DC3CEF"/>
  </w:footnote>
  <w:footnote w:id="1">
    <w:p w14:paraId="0013238B" w14:textId="5D1A473C" w:rsidR="003E475D" w:rsidRPr="003E475D" w:rsidRDefault="003E475D" w:rsidP="003E475D">
      <w:pPr>
        <w:pStyle w:val="FootnoteText"/>
        <w:jc w:val="left"/>
      </w:pPr>
      <w:r>
        <w:rPr>
          <w:rStyle w:val="FootnoteReference"/>
        </w:rPr>
        <w:footnoteRef/>
      </w:r>
      <w:r>
        <w:t xml:space="preserve"> </w:t>
      </w:r>
      <w:r>
        <w:tab/>
        <w:t xml:space="preserve">Australian Government Treasury 2017 </w:t>
      </w:r>
      <w:r>
        <w:rPr>
          <w:i/>
        </w:rPr>
        <w:t>Social Impact Investing Discussion Paper</w:t>
      </w:r>
      <w:r>
        <w:t xml:space="preserve">: </w:t>
      </w:r>
      <w:r w:rsidRPr="003E475D">
        <w:t>http://www.treasury.gov.au/~/media/Treasury/Consultations%20and%20Reviews/Consultations/2017/Social%20Impact%20Investing/Key%20Documents/PDF/Social_Impact_Investing_DP.ashx</w:t>
      </w:r>
    </w:p>
  </w:footnote>
  <w:footnote w:id="2">
    <w:p w14:paraId="6FF05150" w14:textId="3EE1D6BD" w:rsidR="009B74B0" w:rsidRDefault="009B74B0" w:rsidP="003E475D">
      <w:pPr>
        <w:pStyle w:val="FootnoteText"/>
        <w:jc w:val="left"/>
      </w:pPr>
      <w:r>
        <w:rPr>
          <w:rStyle w:val="FootnoteReference"/>
        </w:rPr>
        <w:footnoteRef/>
      </w:r>
      <w:r>
        <w:tab/>
      </w:r>
      <w:r w:rsidR="00017E28">
        <w:t xml:space="preserve">Gordon J, Miller G and Britt H. 2016. </w:t>
      </w:r>
      <w:r w:rsidR="00017E28" w:rsidRPr="00017E28">
        <w:t>Reality check - reliable national data from general practice electronic health records</w:t>
      </w:r>
      <w:r w:rsidR="00017E28">
        <w:t xml:space="preserve">. </w:t>
      </w:r>
      <w:r w:rsidR="00017E28" w:rsidRPr="00017E28">
        <w:t>Deeble Institute Issues Brief No. 18</w:t>
      </w:r>
      <w:r w:rsidR="00640D98">
        <w:t xml:space="preserve">: </w:t>
      </w:r>
      <w:r w:rsidR="00640D98" w:rsidRPr="00640D98">
        <w:t>https://ahha.asn.au/publication/issue-briefs/deeble-institute-issues-brief-no-11-options-finance-primary-care-australia</w:t>
      </w:r>
      <w:r w:rsidR="00640D98">
        <w:t>.</w:t>
      </w:r>
    </w:p>
  </w:footnote>
  <w:footnote w:id="3">
    <w:p w14:paraId="716C66D1" w14:textId="77777777" w:rsidR="003F79F0" w:rsidRDefault="003F79F0" w:rsidP="00DB4E72">
      <w:pPr>
        <w:pStyle w:val="FootnoteText"/>
        <w:jc w:val="left"/>
      </w:pPr>
      <w:r>
        <w:rPr>
          <w:rStyle w:val="FootnoteReference"/>
        </w:rPr>
        <w:footnoteRef/>
      </w:r>
      <w:r>
        <w:t xml:space="preserve"> </w:t>
      </w:r>
      <w:r>
        <w:tab/>
        <w:t xml:space="preserve">Fitzgerald J 2015 ‘Options for finance in primary care in Australia’ Deeble Institute Issues Brief no. 11: </w:t>
      </w:r>
      <w:r w:rsidRPr="00745DE6">
        <w:t>http://ahha.asn.au/system/files/docs/publications/deeble_institute_issues_brief_no._11_fitzgerald.pdf</w:t>
      </w:r>
    </w:p>
  </w:footnote>
  <w:footnote w:id="4">
    <w:p w14:paraId="66B14A66" w14:textId="77777777" w:rsidR="003F79F0" w:rsidRDefault="003F79F0" w:rsidP="00DB4E72">
      <w:pPr>
        <w:pStyle w:val="FootnoteText"/>
        <w:jc w:val="left"/>
      </w:pPr>
      <w:r>
        <w:rPr>
          <w:rStyle w:val="FootnoteReference"/>
        </w:rPr>
        <w:footnoteRef/>
      </w:r>
      <w:r>
        <w:t xml:space="preserve"> </w:t>
      </w:r>
      <w:r>
        <w:tab/>
        <w:t xml:space="preserve">Health Care Homes: reform of the primary health care system: </w:t>
      </w:r>
      <w:r w:rsidRPr="00DB4E72">
        <w:t>http://www.health.gov.au/internet/main/publishing.nsf/Content/health-care-homes</w:t>
      </w:r>
    </w:p>
  </w:footnote>
  <w:footnote w:id="5">
    <w:p w14:paraId="3A80093D" w14:textId="77777777" w:rsidR="003F79F0" w:rsidRPr="00DB4E72" w:rsidRDefault="003F79F0" w:rsidP="00DB4E72">
      <w:pPr>
        <w:pStyle w:val="FootnoteText"/>
        <w:jc w:val="left"/>
      </w:pPr>
      <w:r>
        <w:rPr>
          <w:rStyle w:val="FootnoteReference"/>
        </w:rPr>
        <w:footnoteRef/>
      </w:r>
      <w:r>
        <w:t xml:space="preserve"> </w:t>
      </w:r>
      <w:r>
        <w:tab/>
        <w:t xml:space="preserve">AHHA submission to the Department of Health consultation paper on </w:t>
      </w:r>
      <w:r>
        <w:rPr>
          <w:i/>
        </w:rPr>
        <w:t>Redesigning the Practice Incentives Program</w:t>
      </w:r>
      <w:r>
        <w:t xml:space="preserve">: </w:t>
      </w:r>
      <w:r w:rsidRPr="00DB4E72">
        <w:t>http://ahha.asn.au/system/files/docs/publications/practice_incentive_program_-_ahha_submission.pdf</w:t>
      </w:r>
    </w:p>
  </w:footnote>
  <w:footnote w:id="6">
    <w:p w14:paraId="5CEF4F5C" w14:textId="77777777" w:rsidR="003F79F0" w:rsidRPr="001A09F2" w:rsidRDefault="003F79F0" w:rsidP="001A09F2">
      <w:pPr>
        <w:pStyle w:val="FootnoteText"/>
        <w:jc w:val="left"/>
      </w:pPr>
      <w:r>
        <w:rPr>
          <w:rStyle w:val="FootnoteReference"/>
        </w:rPr>
        <w:footnoteRef/>
      </w:r>
      <w:r>
        <w:t xml:space="preserve"> </w:t>
      </w:r>
      <w:r>
        <w:tab/>
        <w:t xml:space="preserve">AHHA submission to the Independent Hospital Pricing Authority consultation paper on the </w:t>
      </w:r>
      <w:r>
        <w:rPr>
          <w:i/>
        </w:rPr>
        <w:t>Pricing Framework for Australian Public Hospital Services 2017–18</w:t>
      </w:r>
      <w:r>
        <w:t xml:space="preserve">: </w:t>
      </w:r>
      <w:r w:rsidRPr="001A09F2">
        <w:t>http://ahha.asn.au/system/files/docs/publications/ihpa_pricing_framework_for_public_hospital_services_-_ahha_submission.pdf</w:t>
      </w:r>
    </w:p>
  </w:footnote>
  <w:footnote w:id="7">
    <w:p w14:paraId="63C47355" w14:textId="77777777" w:rsidR="003F79F0" w:rsidRPr="008630CE" w:rsidRDefault="003F79F0" w:rsidP="008630CE">
      <w:pPr>
        <w:pStyle w:val="FootnoteText"/>
        <w:jc w:val="left"/>
      </w:pPr>
      <w:r>
        <w:rPr>
          <w:rStyle w:val="FootnoteReference"/>
        </w:rPr>
        <w:footnoteRef/>
      </w:r>
      <w:r>
        <w:t xml:space="preserve"> </w:t>
      </w:r>
      <w:r>
        <w:tab/>
        <w:t xml:space="preserve">Dembek K, Madhavan D, Michaux F &amp; Potter B, </w:t>
      </w:r>
      <w:r w:rsidRPr="008630CE">
        <w:rPr>
          <w:i/>
        </w:rPr>
        <w:t>Impact Investing Australia 2016 Investor Report</w:t>
      </w:r>
      <w:r>
        <w:t xml:space="preserve">: </w:t>
      </w:r>
      <w:r w:rsidRPr="008630CE">
        <w:t>http://impactinvestingaustralia.com/wp-content/uploads/Impact-Investing-Australia-2016-Investor-Report.pdf</w:t>
      </w:r>
    </w:p>
  </w:footnote>
  <w:footnote w:id="8">
    <w:p w14:paraId="028967D6" w14:textId="77777777" w:rsidR="003F79F0" w:rsidRPr="00E852E7" w:rsidRDefault="003F79F0" w:rsidP="00E852E7">
      <w:pPr>
        <w:pStyle w:val="FootnoteText"/>
        <w:jc w:val="left"/>
        <w:rPr>
          <w:lang w:val="en-US"/>
        </w:rPr>
      </w:pPr>
      <w:r>
        <w:rPr>
          <w:rStyle w:val="FootnoteReference"/>
        </w:rPr>
        <w:footnoteRef/>
      </w:r>
      <w:r>
        <w:t xml:space="preserve"> </w:t>
      </w:r>
      <w:r>
        <w:rPr>
          <w:lang w:val="en-US"/>
        </w:rPr>
        <w:tab/>
      </w:r>
      <w:r>
        <w:rPr>
          <w:i/>
          <w:lang w:val="en-US"/>
        </w:rPr>
        <w:t>Social impact investing research</w:t>
      </w:r>
      <w:r>
        <w:rPr>
          <w:lang w:val="en-US"/>
        </w:rPr>
        <w:t xml:space="preserve">, final report 23 March 2016, Department of Social Services for the Prime Minister’s Community Business Partnership: </w:t>
      </w:r>
      <w:r w:rsidRPr="00E852E7">
        <w:rPr>
          <w:lang w:val="en-US"/>
        </w:rPr>
        <w:t>http://www.communitybusinesspartnership.gov.au/wp-content/uploads/2016/11/social_impact_investing_research_report.pdf</w:t>
      </w:r>
    </w:p>
  </w:footnote>
  <w:footnote w:id="9">
    <w:p w14:paraId="563E4D8A" w14:textId="541F5E52" w:rsidR="00BD0912" w:rsidRDefault="00BD0912" w:rsidP="00BD0912">
      <w:pPr>
        <w:pStyle w:val="FootnoteText"/>
        <w:jc w:val="left"/>
      </w:pPr>
      <w:r>
        <w:rPr>
          <w:rStyle w:val="FootnoteReference"/>
        </w:rPr>
        <w:footnoteRef/>
      </w:r>
      <w:r>
        <w:tab/>
      </w:r>
      <w:r w:rsidRPr="00BD0912">
        <w:t xml:space="preserve">Fitzgerald, J 2015, </w:t>
      </w:r>
      <w:r w:rsidRPr="00BD0912">
        <w:rPr>
          <w:i/>
        </w:rPr>
        <w:t>Deeble Institute Issues Brief: Options for finance in primary care in Australia</w:t>
      </w:r>
      <w:r w:rsidRPr="00BD0912">
        <w:t xml:space="preserve">, Australian Healthcare and Hospitals Association: </w:t>
      </w:r>
      <w:r w:rsidRPr="008C7C42">
        <w:t>https://ahha.asn.au/system/files/docs/publications/deeble_institute_issues_brief_no._11_fitzgerald.pdf</w:t>
      </w:r>
      <w:r>
        <w:rPr>
          <w:rStyle w:val="Hyperlink"/>
        </w:rPr>
        <w:t>.</w:t>
      </w:r>
    </w:p>
  </w:footnote>
  <w:footnote w:id="10">
    <w:p w14:paraId="7E51EC73" w14:textId="2185A28D" w:rsidR="001159EE" w:rsidRDefault="001159EE">
      <w:pPr>
        <w:pStyle w:val="FootnoteText"/>
      </w:pPr>
      <w:r>
        <w:rPr>
          <w:rStyle w:val="FootnoteReference"/>
        </w:rPr>
        <w:footnoteRef/>
      </w:r>
      <w:r w:rsidR="000359A6">
        <w:tab/>
      </w:r>
      <w:r>
        <w:t>Kong F, Guy R, Hocking J, Merritt T, Pirotta M, Heal C, et al. Australian general practitioner chlamydia testing rates among young people. Med J Aust 2011; 194: 249–52.</w:t>
      </w:r>
    </w:p>
  </w:footnote>
  <w:footnote w:id="11">
    <w:p w14:paraId="15E3B73B" w14:textId="65C8F519" w:rsidR="001159EE" w:rsidRDefault="001159EE">
      <w:pPr>
        <w:pStyle w:val="FootnoteText"/>
      </w:pPr>
      <w:r>
        <w:rPr>
          <w:rStyle w:val="FootnoteReference"/>
        </w:rPr>
        <w:footnoteRef/>
      </w:r>
      <w:r>
        <w:t xml:space="preserve"> Gudka S, et al. Chlamydia screening interventions from community pharmacies: a systematic review. Sex Health 2013;10(3)</w:t>
      </w:r>
      <w:r w:rsidR="000F11A5">
        <w:t>:229-39.</w:t>
      </w:r>
    </w:p>
  </w:footnote>
  <w:footnote w:id="12">
    <w:p w14:paraId="31F9BD95" w14:textId="40F6D1A2" w:rsidR="00EF0780" w:rsidRDefault="00EF0780" w:rsidP="00EF0780">
      <w:pPr>
        <w:pStyle w:val="FootnoteText"/>
        <w:jc w:val="left"/>
      </w:pPr>
      <w:r>
        <w:rPr>
          <w:rStyle w:val="FootnoteReference"/>
        </w:rPr>
        <w:footnoteRef/>
      </w:r>
      <w:r>
        <w:t xml:space="preserve"> </w:t>
      </w:r>
      <w:r>
        <w:tab/>
        <w:t xml:space="preserve">Senate of Australia 2015 report </w:t>
      </w:r>
      <w:r w:rsidRPr="00EF0780">
        <w:t>Availability of new, innovative and specialist cancer drugs in Australia</w:t>
      </w:r>
      <w:r>
        <w:t xml:space="preserve">: </w:t>
      </w:r>
      <w:r w:rsidRPr="00EF0780">
        <w:t>http://www.aph.gov.au/Parliamentary_Business/Committees/Senate/Community_Affairs/Cancer_Drugs/Report</w:t>
      </w:r>
      <w:r w:rsidR="00BD091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BD89A" w14:textId="77777777" w:rsidR="003F79F0" w:rsidRPr="001F5306" w:rsidRDefault="003F79F0" w:rsidP="00202EF4">
    <w:pPr>
      <w:pStyle w:val="Header"/>
      <w:pBdr>
        <w:bottom w:val="single" w:sz="12" w:space="2" w:color="F39900"/>
      </w:pBdr>
      <w:rPr>
        <w:i/>
        <w:sz w:val="18"/>
      </w:rPr>
    </w:pPr>
    <w:r w:rsidRPr="00F324CE">
      <w:rPr>
        <w:i/>
        <w:sz w:val="18"/>
      </w:rPr>
      <w:t>Social Impact Investing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C67B2" w14:textId="77777777" w:rsidR="003F79F0" w:rsidRPr="001F5306" w:rsidRDefault="003F79F0" w:rsidP="000520B4">
    <w:pPr>
      <w:pStyle w:val="Header"/>
      <w:pBdr>
        <w:bottom w:val="single" w:sz="12" w:space="2" w:color="F39900"/>
      </w:pBdr>
      <w:jc w:val="right"/>
      <w:rPr>
        <w:i/>
        <w:sz w:val="18"/>
      </w:rPr>
    </w:pPr>
  </w:p>
  <w:p w14:paraId="6BC300B6" w14:textId="77777777" w:rsidR="003F79F0" w:rsidRPr="00117542" w:rsidRDefault="003F79F0" w:rsidP="001175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F982C" w14:textId="77777777" w:rsidR="003F79F0" w:rsidRPr="001F5306" w:rsidRDefault="003F79F0" w:rsidP="00EF04F6">
    <w:pPr>
      <w:pStyle w:val="Header"/>
      <w:pBdr>
        <w:bottom w:val="single" w:sz="12" w:space="2" w:color="F39900"/>
      </w:pBdr>
      <w:jc w:val="right"/>
      <w:rPr>
        <w:i/>
        <w:sz w:val="18"/>
      </w:rPr>
    </w:pPr>
    <w:r>
      <w:rPr>
        <w:i/>
        <w:sz w:val="18"/>
      </w:rPr>
      <w:t>Redesigning the Practice Incentives Program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5B80" w14:textId="77777777" w:rsidR="003F79F0" w:rsidRPr="001F5306" w:rsidRDefault="003F79F0" w:rsidP="00EF04F6">
    <w:pPr>
      <w:pStyle w:val="Header"/>
      <w:pBdr>
        <w:bottom w:val="single" w:sz="12" w:space="2" w:color="F39900"/>
      </w:pBdr>
      <w:jc w:val="right"/>
      <w:rPr>
        <w:i/>
        <w:sz w:val="18"/>
      </w:rPr>
    </w:pPr>
    <w:r w:rsidRPr="00F324CE">
      <w:rPr>
        <w:i/>
        <w:sz w:val="18"/>
      </w:rPr>
      <w:t>Social Impact Investing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859E" w14:textId="77777777" w:rsidR="003F79F0" w:rsidRPr="001F5306" w:rsidRDefault="003F79F0" w:rsidP="00F324CE">
    <w:pPr>
      <w:pStyle w:val="Header"/>
      <w:pBdr>
        <w:bottom w:val="single" w:sz="12" w:space="2" w:color="F39900"/>
      </w:pBdr>
      <w:jc w:val="right"/>
      <w:rPr>
        <w:i/>
        <w:sz w:val="18"/>
      </w:rPr>
    </w:pPr>
    <w:r w:rsidRPr="00F324CE">
      <w:rPr>
        <w:i/>
        <w:sz w:val="18"/>
      </w:rPr>
      <w:t>Social Impact Investing</w:t>
    </w:r>
  </w:p>
  <w:p w14:paraId="4576CC53" w14:textId="77777777" w:rsidR="003F79F0" w:rsidRPr="00117542" w:rsidRDefault="003F79F0" w:rsidP="001175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5FE0E" w14:textId="77777777" w:rsidR="003F79F0" w:rsidRPr="001F5306" w:rsidRDefault="003F79F0" w:rsidP="00202EF4">
    <w:pPr>
      <w:pStyle w:val="Header"/>
      <w:pBdr>
        <w:bottom w:val="single" w:sz="12" w:space="2" w:color="F39900"/>
      </w:pBdr>
      <w:rPr>
        <w:i/>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B06BE" w14:textId="77777777" w:rsidR="003F79F0" w:rsidRPr="001F5306" w:rsidRDefault="003F79F0" w:rsidP="000520B4">
    <w:pPr>
      <w:pStyle w:val="Header"/>
      <w:pBdr>
        <w:bottom w:val="single" w:sz="12" w:space="2" w:color="F39900"/>
      </w:pBdr>
      <w:jc w:val="right"/>
      <w:rPr>
        <w:i/>
        <w:sz w:val="18"/>
      </w:rPr>
    </w:pPr>
  </w:p>
  <w:p w14:paraId="678EA32D" w14:textId="77777777" w:rsidR="003F79F0" w:rsidRPr="00117542" w:rsidRDefault="003F79F0" w:rsidP="00117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14A3162"/>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A6A81096"/>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EE06E9A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8112352"/>
    <w:multiLevelType w:val="hybridMultilevel"/>
    <w:tmpl w:val="BD26D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1A2A78"/>
    <w:multiLevelType w:val="hybridMultilevel"/>
    <w:tmpl w:val="EC96F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2B7BA7"/>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0F04B62"/>
    <w:multiLevelType w:val="hybridMultilevel"/>
    <w:tmpl w:val="DA50E6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99202A8"/>
    <w:multiLevelType w:val="hybridMultilevel"/>
    <w:tmpl w:val="C096F4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B9957EC"/>
    <w:multiLevelType w:val="hybridMultilevel"/>
    <w:tmpl w:val="7FA44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434086"/>
    <w:multiLevelType w:val="hybridMultilevel"/>
    <w:tmpl w:val="0A18BE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7202E0B"/>
    <w:multiLevelType w:val="hybridMultilevel"/>
    <w:tmpl w:val="8AC2C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BBB39B7"/>
    <w:multiLevelType w:val="hybridMultilevel"/>
    <w:tmpl w:val="EE1075B0"/>
    <w:lvl w:ilvl="0" w:tplc="ADBCB39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10"/>
  </w:num>
  <w:num w:numId="8">
    <w:abstractNumId w:val="8"/>
  </w:num>
  <w:num w:numId="9">
    <w:abstractNumId w:val="7"/>
  </w:num>
  <w:num w:numId="10">
    <w:abstractNumId w:val="11"/>
  </w:num>
  <w:num w:numId="11">
    <w:abstractNumId w:val="3"/>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05F10"/>
    <w:rsid w:val="000037C2"/>
    <w:rsid w:val="00007531"/>
    <w:rsid w:val="00010250"/>
    <w:rsid w:val="000117D1"/>
    <w:rsid w:val="00017E28"/>
    <w:rsid w:val="0002060B"/>
    <w:rsid w:val="00022B1E"/>
    <w:rsid w:val="0002460C"/>
    <w:rsid w:val="0003452B"/>
    <w:rsid w:val="000359A6"/>
    <w:rsid w:val="000413B3"/>
    <w:rsid w:val="00042040"/>
    <w:rsid w:val="000424DA"/>
    <w:rsid w:val="00043737"/>
    <w:rsid w:val="000437B4"/>
    <w:rsid w:val="00044658"/>
    <w:rsid w:val="000520B4"/>
    <w:rsid w:val="000569E8"/>
    <w:rsid w:val="000570CF"/>
    <w:rsid w:val="00062BF6"/>
    <w:rsid w:val="00065265"/>
    <w:rsid w:val="00065542"/>
    <w:rsid w:val="00065552"/>
    <w:rsid w:val="000664BF"/>
    <w:rsid w:val="00067402"/>
    <w:rsid w:val="00070AD0"/>
    <w:rsid w:val="00072815"/>
    <w:rsid w:val="00073BB1"/>
    <w:rsid w:val="00075147"/>
    <w:rsid w:val="00076E4F"/>
    <w:rsid w:val="00077BD4"/>
    <w:rsid w:val="00082D57"/>
    <w:rsid w:val="000850C3"/>
    <w:rsid w:val="00092530"/>
    <w:rsid w:val="00092E11"/>
    <w:rsid w:val="0009564C"/>
    <w:rsid w:val="000959D7"/>
    <w:rsid w:val="000B7981"/>
    <w:rsid w:val="000C27D7"/>
    <w:rsid w:val="000C3CE7"/>
    <w:rsid w:val="000D0C31"/>
    <w:rsid w:val="000D24ED"/>
    <w:rsid w:val="000D4301"/>
    <w:rsid w:val="000D44A8"/>
    <w:rsid w:val="000D5B32"/>
    <w:rsid w:val="000E2665"/>
    <w:rsid w:val="000E2969"/>
    <w:rsid w:val="000E5878"/>
    <w:rsid w:val="000F11A5"/>
    <w:rsid w:val="000F2F10"/>
    <w:rsid w:val="000F30A0"/>
    <w:rsid w:val="000F39EB"/>
    <w:rsid w:val="000F5A52"/>
    <w:rsid w:val="00104514"/>
    <w:rsid w:val="00104BE6"/>
    <w:rsid w:val="00106967"/>
    <w:rsid w:val="00107392"/>
    <w:rsid w:val="00107439"/>
    <w:rsid w:val="00110BC3"/>
    <w:rsid w:val="00113A05"/>
    <w:rsid w:val="00114759"/>
    <w:rsid w:val="001159EE"/>
    <w:rsid w:val="001167A5"/>
    <w:rsid w:val="00117542"/>
    <w:rsid w:val="00117584"/>
    <w:rsid w:val="00123A7F"/>
    <w:rsid w:val="001248CE"/>
    <w:rsid w:val="00125A48"/>
    <w:rsid w:val="00130934"/>
    <w:rsid w:val="00134282"/>
    <w:rsid w:val="00140F35"/>
    <w:rsid w:val="001411C0"/>
    <w:rsid w:val="001436C4"/>
    <w:rsid w:val="00144985"/>
    <w:rsid w:val="00156B84"/>
    <w:rsid w:val="00156EA4"/>
    <w:rsid w:val="00161581"/>
    <w:rsid w:val="001661B5"/>
    <w:rsid w:val="00170DB9"/>
    <w:rsid w:val="001712D4"/>
    <w:rsid w:val="001722A2"/>
    <w:rsid w:val="00181476"/>
    <w:rsid w:val="00181632"/>
    <w:rsid w:val="0018413F"/>
    <w:rsid w:val="001862C9"/>
    <w:rsid w:val="00187DB9"/>
    <w:rsid w:val="00190062"/>
    <w:rsid w:val="0019297D"/>
    <w:rsid w:val="001974A5"/>
    <w:rsid w:val="00197969"/>
    <w:rsid w:val="001A09F2"/>
    <w:rsid w:val="001A0F3E"/>
    <w:rsid w:val="001A39D4"/>
    <w:rsid w:val="001A5929"/>
    <w:rsid w:val="001A702E"/>
    <w:rsid w:val="001B2A34"/>
    <w:rsid w:val="001B2D61"/>
    <w:rsid w:val="001B5B02"/>
    <w:rsid w:val="001C1F47"/>
    <w:rsid w:val="001C6C2F"/>
    <w:rsid w:val="001D0B12"/>
    <w:rsid w:val="001D2A5A"/>
    <w:rsid w:val="001D577B"/>
    <w:rsid w:val="001E343F"/>
    <w:rsid w:val="001E391A"/>
    <w:rsid w:val="001F20D5"/>
    <w:rsid w:val="001F3B24"/>
    <w:rsid w:val="001F6059"/>
    <w:rsid w:val="00200C8A"/>
    <w:rsid w:val="00202EF4"/>
    <w:rsid w:val="00205928"/>
    <w:rsid w:val="00206799"/>
    <w:rsid w:val="00207280"/>
    <w:rsid w:val="00210297"/>
    <w:rsid w:val="00212A8A"/>
    <w:rsid w:val="00215E05"/>
    <w:rsid w:val="00216039"/>
    <w:rsid w:val="002168E7"/>
    <w:rsid w:val="00217F6F"/>
    <w:rsid w:val="00222CE2"/>
    <w:rsid w:val="002243AE"/>
    <w:rsid w:val="002331FC"/>
    <w:rsid w:val="0023768F"/>
    <w:rsid w:val="00247CE2"/>
    <w:rsid w:val="002528D8"/>
    <w:rsid w:val="00253321"/>
    <w:rsid w:val="00254070"/>
    <w:rsid w:val="002560E7"/>
    <w:rsid w:val="00271FD5"/>
    <w:rsid w:val="002763CB"/>
    <w:rsid w:val="00281ACE"/>
    <w:rsid w:val="002975A6"/>
    <w:rsid w:val="00297E67"/>
    <w:rsid w:val="002A3573"/>
    <w:rsid w:val="002B025B"/>
    <w:rsid w:val="002C570B"/>
    <w:rsid w:val="002D1CE6"/>
    <w:rsid w:val="002D5F37"/>
    <w:rsid w:val="002D6A00"/>
    <w:rsid w:val="002E1FB7"/>
    <w:rsid w:val="002F2B55"/>
    <w:rsid w:val="00313552"/>
    <w:rsid w:val="003139BC"/>
    <w:rsid w:val="00315435"/>
    <w:rsid w:val="0032250F"/>
    <w:rsid w:val="00325C24"/>
    <w:rsid w:val="0032689B"/>
    <w:rsid w:val="003310E3"/>
    <w:rsid w:val="00332A7A"/>
    <w:rsid w:val="00333720"/>
    <w:rsid w:val="003360B9"/>
    <w:rsid w:val="003372BE"/>
    <w:rsid w:val="003409BC"/>
    <w:rsid w:val="00341AEF"/>
    <w:rsid w:val="0034394F"/>
    <w:rsid w:val="003466C9"/>
    <w:rsid w:val="0034701D"/>
    <w:rsid w:val="00352E25"/>
    <w:rsid w:val="003541DD"/>
    <w:rsid w:val="00361E0C"/>
    <w:rsid w:val="00362C6C"/>
    <w:rsid w:val="00373CFF"/>
    <w:rsid w:val="003751B2"/>
    <w:rsid w:val="00375286"/>
    <w:rsid w:val="0038262C"/>
    <w:rsid w:val="00383D4B"/>
    <w:rsid w:val="0038768F"/>
    <w:rsid w:val="00390C2A"/>
    <w:rsid w:val="003B4E24"/>
    <w:rsid w:val="003C012C"/>
    <w:rsid w:val="003C5355"/>
    <w:rsid w:val="003C745E"/>
    <w:rsid w:val="003D4115"/>
    <w:rsid w:val="003D554D"/>
    <w:rsid w:val="003D646E"/>
    <w:rsid w:val="003D6B5A"/>
    <w:rsid w:val="003D6D9E"/>
    <w:rsid w:val="003E2E98"/>
    <w:rsid w:val="003E3857"/>
    <w:rsid w:val="003E3C93"/>
    <w:rsid w:val="003E475D"/>
    <w:rsid w:val="003E4FA5"/>
    <w:rsid w:val="003E5085"/>
    <w:rsid w:val="003E70F1"/>
    <w:rsid w:val="003F05C1"/>
    <w:rsid w:val="003F358B"/>
    <w:rsid w:val="003F5940"/>
    <w:rsid w:val="003F694B"/>
    <w:rsid w:val="003F79F0"/>
    <w:rsid w:val="00400E63"/>
    <w:rsid w:val="00403D3E"/>
    <w:rsid w:val="00405FF3"/>
    <w:rsid w:val="00406477"/>
    <w:rsid w:val="00407B23"/>
    <w:rsid w:val="00410A3C"/>
    <w:rsid w:val="004137EC"/>
    <w:rsid w:val="00416576"/>
    <w:rsid w:val="00416A8A"/>
    <w:rsid w:val="00421484"/>
    <w:rsid w:val="004300B9"/>
    <w:rsid w:val="00442EC7"/>
    <w:rsid w:val="00452E3F"/>
    <w:rsid w:val="00453930"/>
    <w:rsid w:val="00453CBF"/>
    <w:rsid w:val="00454344"/>
    <w:rsid w:val="004568FA"/>
    <w:rsid w:val="00456CF3"/>
    <w:rsid w:val="00456F98"/>
    <w:rsid w:val="00457784"/>
    <w:rsid w:val="0046159A"/>
    <w:rsid w:val="00461695"/>
    <w:rsid w:val="00461BD3"/>
    <w:rsid w:val="004649BE"/>
    <w:rsid w:val="00474BFF"/>
    <w:rsid w:val="00475C30"/>
    <w:rsid w:val="00476FDA"/>
    <w:rsid w:val="00480223"/>
    <w:rsid w:val="00485334"/>
    <w:rsid w:val="00485F4A"/>
    <w:rsid w:val="004946A4"/>
    <w:rsid w:val="004A037E"/>
    <w:rsid w:val="004B13F5"/>
    <w:rsid w:val="004B2F37"/>
    <w:rsid w:val="004C0A59"/>
    <w:rsid w:val="004C2EFF"/>
    <w:rsid w:val="004D0440"/>
    <w:rsid w:val="004D3B91"/>
    <w:rsid w:val="004D3CFF"/>
    <w:rsid w:val="004D41DB"/>
    <w:rsid w:val="004E3519"/>
    <w:rsid w:val="004E483B"/>
    <w:rsid w:val="004F0308"/>
    <w:rsid w:val="004F7104"/>
    <w:rsid w:val="00500FE1"/>
    <w:rsid w:val="0050268C"/>
    <w:rsid w:val="00505692"/>
    <w:rsid w:val="005076A4"/>
    <w:rsid w:val="005202BE"/>
    <w:rsid w:val="0053234E"/>
    <w:rsid w:val="00532A5B"/>
    <w:rsid w:val="00532C19"/>
    <w:rsid w:val="00533E68"/>
    <w:rsid w:val="00534EF4"/>
    <w:rsid w:val="00536496"/>
    <w:rsid w:val="00537E8F"/>
    <w:rsid w:val="00540B31"/>
    <w:rsid w:val="00541480"/>
    <w:rsid w:val="00542B30"/>
    <w:rsid w:val="0054383E"/>
    <w:rsid w:val="005474DA"/>
    <w:rsid w:val="00547DD8"/>
    <w:rsid w:val="005544C8"/>
    <w:rsid w:val="00554C7D"/>
    <w:rsid w:val="00554F23"/>
    <w:rsid w:val="005650ED"/>
    <w:rsid w:val="00565295"/>
    <w:rsid w:val="00566FF2"/>
    <w:rsid w:val="005673D2"/>
    <w:rsid w:val="00594439"/>
    <w:rsid w:val="00596C03"/>
    <w:rsid w:val="005A03DA"/>
    <w:rsid w:val="005A1F45"/>
    <w:rsid w:val="005A2989"/>
    <w:rsid w:val="005B104D"/>
    <w:rsid w:val="005B5707"/>
    <w:rsid w:val="005C72E7"/>
    <w:rsid w:val="005D03C6"/>
    <w:rsid w:val="005D0806"/>
    <w:rsid w:val="005D1167"/>
    <w:rsid w:val="005D276E"/>
    <w:rsid w:val="005D41D9"/>
    <w:rsid w:val="005D6ABC"/>
    <w:rsid w:val="005E051C"/>
    <w:rsid w:val="005E06CE"/>
    <w:rsid w:val="005E1EA9"/>
    <w:rsid w:val="005E360E"/>
    <w:rsid w:val="005E7A3E"/>
    <w:rsid w:val="005F1DE0"/>
    <w:rsid w:val="005F2F9C"/>
    <w:rsid w:val="0060135E"/>
    <w:rsid w:val="00605F10"/>
    <w:rsid w:val="0061066A"/>
    <w:rsid w:val="0061363E"/>
    <w:rsid w:val="00613FD3"/>
    <w:rsid w:val="00617589"/>
    <w:rsid w:val="00617748"/>
    <w:rsid w:val="00617FC1"/>
    <w:rsid w:val="0062487E"/>
    <w:rsid w:val="00632BF1"/>
    <w:rsid w:val="00640212"/>
    <w:rsid w:val="00640D98"/>
    <w:rsid w:val="006422AE"/>
    <w:rsid w:val="00643660"/>
    <w:rsid w:val="00644CA3"/>
    <w:rsid w:val="006460C1"/>
    <w:rsid w:val="006465DB"/>
    <w:rsid w:val="0064789A"/>
    <w:rsid w:val="00652E8E"/>
    <w:rsid w:val="00676EAD"/>
    <w:rsid w:val="006948CB"/>
    <w:rsid w:val="0069548D"/>
    <w:rsid w:val="0069552A"/>
    <w:rsid w:val="006A0D1B"/>
    <w:rsid w:val="006A1264"/>
    <w:rsid w:val="006A6D6F"/>
    <w:rsid w:val="006C3950"/>
    <w:rsid w:val="006C400E"/>
    <w:rsid w:val="006C7DD3"/>
    <w:rsid w:val="006D24CA"/>
    <w:rsid w:val="006E3450"/>
    <w:rsid w:val="006E72BE"/>
    <w:rsid w:val="006F4653"/>
    <w:rsid w:val="006F7478"/>
    <w:rsid w:val="006F7BDC"/>
    <w:rsid w:val="00701496"/>
    <w:rsid w:val="00702F3F"/>
    <w:rsid w:val="00704520"/>
    <w:rsid w:val="00706E7E"/>
    <w:rsid w:val="00710BBB"/>
    <w:rsid w:val="00712F40"/>
    <w:rsid w:val="00717A0A"/>
    <w:rsid w:val="00721C55"/>
    <w:rsid w:val="00722736"/>
    <w:rsid w:val="00731C68"/>
    <w:rsid w:val="00733F2D"/>
    <w:rsid w:val="0073670A"/>
    <w:rsid w:val="0074141D"/>
    <w:rsid w:val="00742729"/>
    <w:rsid w:val="007449AE"/>
    <w:rsid w:val="00745DE6"/>
    <w:rsid w:val="00752470"/>
    <w:rsid w:val="00755A79"/>
    <w:rsid w:val="007613F9"/>
    <w:rsid w:val="00762B57"/>
    <w:rsid w:val="00766EFA"/>
    <w:rsid w:val="00767F9F"/>
    <w:rsid w:val="00772DF8"/>
    <w:rsid w:val="007731B4"/>
    <w:rsid w:val="00773432"/>
    <w:rsid w:val="00774555"/>
    <w:rsid w:val="007766E4"/>
    <w:rsid w:val="00776863"/>
    <w:rsid w:val="007768E9"/>
    <w:rsid w:val="00783080"/>
    <w:rsid w:val="00791324"/>
    <w:rsid w:val="00792780"/>
    <w:rsid w:val="00794FBE"/>
    <w:rsid w:val="00796E9B"/>
    <w:rsid w:val="007A0CF6"/>
    <w:rsid w:val="007A302E"/>
    <w:rsid w:val="007A3272"/>
    <w:rsid w:val="007A5ADD"/>
    <w:rsid w:val="007B1B98"/>
    <w:rsid w:val="007B3438"/>
    <w:rsid w:val="007B4D3D"/>
    <w:rsid w:val="007B6C9F"/>
    <w:rsid w:val="007C16E9"/>
    <w:rsid w:val="007C3A64"/>
    <w:rsid w:val="007C59CC"/>
    <w:rsid w:val="007C737B"/>
    <w:rsid w:val="007D3C78"/>
    <w:rsid w:val="007D7AC2"/>
    <w:rsid w:val="007E1235"/>
    <w:rsid w:val="007E3EE5"/>
    <w:rsid w:val="007E4FD9"/>
    <w:rsid w:val="007E6516"/>
    <w:rsid w:val="007F186E"/>
    <w:rsid w:val="007F4199"/>
    <w:rsid w:val="007F5404"/>
    <w:rsid w:val="00802790"/>
    <w:rsid w:val="008038EE"/>
    <w:rsid w:val="008057D3"/>
    <w:rsid w:val="008066AD"/>
    <w:rsid w:val="008131C9"/>
    <w:rsid w:val="00814586"/>
    <w:rsid w:val="008145BA"/>
    <w:rsid w:val="00821749"/>
    <w:rsid w:val="00824A07"/>
    <w:rsid w:val="00831E16"/>
    <w:rsid w:val="00834B78"/>
    <w:rsid w:val="00843937"/>
    <w:rsid w:val="008630CE"/>
    <w:rsid w:val="00884761"/>
    <w:rsid w:val="00884F14"/>
    <w:rsid w:val="00885F71"/>
    <w:rsid w:val="008874E9"/>
    <w:rsid w:val="008877EE"/>
    <w:rsid w:val="00887C03"/>
    <w:rsid w:val="00887EFE"/>
    <w:rsid w:val="00890352"/>
    <w:rsid w:val="00896B93"/>
    <w:rsid w:val="00897005"/>
    <w:rsid w:val="0089740D"/>
    <w:rsid w:val="008A0AA1"/>
    <w:rsid w:val="008A151C"/>
    <w:rsid w:val="008B1D0E"/>
    <w:rsid w:val="008B28DA"/>
    <w:rsid w:val="008B6E94"/>
    <w:rsid w:val="008C33F3"/>
    <w:rsid w:val="008C7C3C"/>
    <w:rsid w:val="008C7C42"/>
    <w:rsid w:val="008D2570"/>
    <w:rsid w:val="008D3240"/>
    <w:rsid w:val="008D41B8"/>
    <w:rsid w:val="008D6F7E"/>
    <w:rsid w:val="008E036E"/>
    <w:rsid w:val="008E1746"/>
    <w:rsid w:val="008F39D8"/>
    <w:rsid w:val="008F52CF"/>
    <w:rsid w:val="0090045A"/>
    <w:rsid w:val="009037EA"/>
    <w:rsid w:val="009043BE"/>
    <w:rsid w:val="00907D32"/>
    <w:rsid w:val="00922E1A"/>
    <w:rsid w:val="0092373F"/>
    <w:rsid w:val="00924A82"/>
    <w:rsid w:val="00926DE3"/>
    <w:rsid w:val="00926E5F"/>
    <w:rsid w:val="00932CAD"/>
    <w:rsid w:val="009340B7"/>
    <w:rsid w:val="00934A73"/>
    <w:rsid w:val="00935C79"/>
    <w:rsid w:val="009375CC"/>
    <w:rsid w:val="00937F98"/>
    <w:rsid w:val="00943D36"/>
    <w:rsid w:val="00946291"/>
    <w:rsid w:val="00955A74"/>
    <w:rsid w:val="00956D4F"/>
    <w:rsid w:val="00962C7F"/>
    <w:rsid w:val="00963FA5"/>
    <w:rsid w:val="009649AA"/>
    <w:rsid w:val="00965FF3"/>
    <w:rsid w:val="00970ADF"/>
    <w:rsid w:val="009711BC"/>
    <w:rsid w:val="0097497A"/>
    <w:rsid w:val="00977CD1"/>
    <w:rsid w:val="00981407"/>
    <w:rsid w:val="00981408"/>
    <w:rsid w:val="00985206"/>
    <w:rsid w:val="00986D0A"/>
    <w:rsid w:val="00996E24"/>
    <w:rsid w:val="00997468"/>
    <w:rsid w:val="009A02E1"/>
    <w:rsid w:val="009A3C3F"/>
    <w:rsid w:val="009B0B50"/>
    <w:rsid w:val="009B28FE"/>
    <w:rsid w:val="009B45DF"/>
    <w:rsid w:val="009B74B0"/>
    <w:rsid w:val="009C0817"/>
    <w:rsid w:val="009C2484"/>
    <w:rsid w:val="009C31D1"/>
    <w:rsid w:val="009D0F8B"/>
    <w:rsid w:val="009D2C0B"/>
    <w:rsid w:val="009D3920"/>
    <w:rsid w:val="009D7487"/>
    <w:rsid w:val="009E5196"/>
    <w:rsid w:val="009F26C9"/>
    <w:rsid w:val="009F4637"/>
    <w:rsid w:val="009F7D15"/>
    <w:rsid w:val="00A01C7C"/>
    <w:rsid w:val="00A02037"/>
    <w:rsid w:val="00A0441A"/>
    <w:rsid w:val="00A1039D"/>
    <w:rsid w:val="00A130EA"/>
    <w:rsid w:val="00A23667"/>
    <w:rsid w:val="00A41173"/>
    <w:rsid w:val="00A45137"/>
    <w:rsid w:val="00A53828"/>
    <w:rsid w:val="00A54CE4"/>
    <w:rsid w:val="00A65AD1"/>
    <w:rsid w:val="00A65D21"/>
    <w:rsid w:val="00A70263"/>
    <w:rsid w:val="00A70A2B"/>
    <w:rsid w:val="00A739AA"/>
    <w:rsid w:val="00A76D27"/>
    <w:rsid w:val="00A774A2"/>
    <w:rsid w:val="00A813EC"/>
    <w:rsid w:val="00A82DAE"/>
    <w:rsid w:val="00A82E7D"/>
    <w:rsid w:val="00A83292"/>
    <w:rsid w:val="00A96182"/>
    <w:rsid w:val="00AA11DF"/>
    <w:rsid w:val="00AA1DF2"/>
    <w:rsid w:val="00AA218F"/>
    <w:rsid w:val="00AA5B14"/>
    <w:rsid w:val="00AB2B1F"/>
    <w:rsid w:val="00AB3158"/>
    <w:rsid w:val="00AB4DE3"/>
    <w:rsid w:val="00AC30DD"/>
    <w:rsid w:val="00AC396C"/>
    <w:rsid w:val="00AC5FE5"/>
    <w:rsid w:val="00AD0588"/>
    <w:rsid w:val="00AD67A1"/>
    <w:rsid w:val="00AD7912"/>
    <w:rsid w:val="00AE0CB7"/>
    <w:rsid w:val="00B031FA"/>
    <w:rsid w:val="00B05EE7"/>
    <w:rsid w:val="00B0641F"/>
    <w:rsid w:val="00B10F20"/>
    <w:rsid w:val="00B11916"/>
    <w:rsid w:val="00B11CFA"/>
    <w:rsid w:val="00B20DDA"/>
    <w:rsid w:val="00B31DCC"/>
    <w:rsid w:val="00B3406A"/>
    <w:rsid w:val="00B34380"/>
    <w:rsid w:val="00B36749"/>
    <w:rsid w:val="00B37D41"/>
    <w:rsid w:val="00B42424"/>
    <w:rsid w:val="00B447F5"/>
    <w:rsid w:val="00B558AD"/>
    <w:rsid w:val="00B6370A"/>
    <w:rsid w:val="00B66575"/>
    <w:rsid w:val="00B668B3"/>
    <w:rsid w:val="00B67DE4"/>
    <w:rsid w:val="00B733BE"/>
    <w:rsid w:val="00B74980"/>
    <w:rsid w:val="00B75350"/>
    <w:rsid w:val="00B83FF1"/>
    <w:rsid w:val="00B8460C"/>
    <w:rsid w:val="00B911A9"/>
    <w:rsid w:val="00B9455A"/>
    <w:rsid w:val="00B952E0"/>
    <w:rsid w:val="00BA155B"/>
    <w:rsid w:val="00BB29F7"/>
    <w:rsid w:val="00BB3D25"/>
    <w:rsid w:val="00BB7797"/>
    <w:rsid w:val="00BC2900"/>
    <w:rsid w:val="00BC7568"/>
    <w:rsid w:val="00BC7E49"/>
    <w:rsid w:val="00BD0912"/>
    <w:rsid w:val="00BD4BD1"/>
    <w:rsid w:val="00BE0D0A"/>
    <w:rsid w:val="00BE4235"/>
    <w:rsid w:val="00BE6ED6"/>
    <w:rsid w:val="00BE785A"/>
    <w:rsid w:val="00BF05D7"/>
    <w:rsid w:val="00BF1823"/>
    <w:rsid w:val="00BF3E3B"/>
    <w:rsid w:val="00BF7CB6"/>
    <w:rsid w:val="00C00833"/>
    <w:rsid w:val="00C00CF2"/>
    <w:rsid w:val="00C00FA7"/>
    <w:rsid w:val="00C10199"/>
    <w:rsid w:val="00C132CF"/>
    <w:rsid w:val="00C1533F"/>
    <w:rsid w:val="00C15C59"/>
    <w:rsid w:val="00C208B5"/>
    <w:rsid w:val="00C228F8"/>
    <w:rsid w:val="00C232DC"/>
    <w:rsid w:val="00C23340"/>
    <w:rsid w:val="00C26EC0"/>
    <w:rsid w:val="00C26F4F"/>
    <w:rsid w:val="00C31EF8"/>
    <w:rsid w:val="00C40182"/>
    <w:rsid w:val="00C402D4"/>
    <w:rsid w:val="00C42E32"/>
    <w:rsid w:val="00C44814"/>
    <w:rsid w:val="00C4762A"/>
    <w:rsid w:val="00C663B4"/>
    <w:rsid w:val="00C700EB"/>
    <w:rsid w:val="00C7177A"/>
    <w:rsid w:val="00C74060"/>
    <w:rsid w:val="00C8167A"/>
    <w:rsid w:val="00C91C06"/>
    <w:rsid w:val="00C933C5"/>
    <w:rsid w:val="00C95FB7"/>
    <w:rsid w:val="00C978AF"/>
    <w:rsid w:val="00CA083B"/>
    <w:rsid w:val="00CA2D8D"/>
    <w:rsid w:val="00CA3247"/>
    <w:rsid w:val="00CA620D"/>
    <w:rsid w:val="00CA6D82"/>
    <w:rsid w:val="00CB27C3"/>
    <w:rsid w:val="00CB4A5C"/>
    <w:rsid w:val="00CB5AE8"/>
    <w:rsid w:val="00CB75A7"/>
    <w:rsid w:val="00CC065E"/>
    <w:rsid w:val="00CC263D"/>
    <w:rsid w:val="00CC390A"/>
    <w:rsid w:val="00CC5C4D"/>
    <w:rsid w:val="00CD39BB"/>
    <w:rsid w:val="00CD42B0"/>
    <w:rsid w:val="00CD6C00"/>
    <w:rsid w:val="00CD779D"/>
    <w:rsid w:val="00CE0B11"/>
    <w:rsid w:val="00CE43A1"/>
    <w:rsid w:val="00CE45DA"/>
    <w:rsid w:val="00CE4EAF"/>
    <w:rsid w:val="00CE73E6"/>
    <w:rsid w:val="00CF7B16"/>
    <w:rsid w:val="00D00508"/>
    <w:rsid w:val="00D051CF"/>
    <w:rsid w:val="00D140D5"/>
    <w:rsid w:val="00D149E9"/>
    <w:rsid w:val="00D244F2"/>
    <w:rsid w:val="00D26B14"/>
    <w:rsid w:val="00D321D2"/>
    <w:rsid w:val="00D32FDB"/>
    <w:rsid w:val="00D3634B"/>
    <w:rsid w:val="00D36DB3"/>
    <w:rsid w:val="00D40D58"/>
    <w:rsid w:val="00D42E6D"/>
    <w:rsid w:val="00D45949"/>
    <w:rsid w:val="00D6015F"/>
    <w:rsid w:val="00D64BDC"/>
    <w:rsid w:val="00D72454"/>
    <w:rsid w:val="00D72A21"/>
    <w:rsid w:val="00D85CA2"/>
    <w:rsid w:val="00D87D51"/>
    <w:rsid w:val="00D900C6"/>
    <w:rsid w:val="00D90855"/>
    <w:rsid w:val="00D9139F"/>
    <w:rsid w:val="00D96604"/>
    <w:rsid w:val="00DA0EEA"/>
    <w:rsid w:val="00DA0FF3"/>
    <w:rsid w:val="00DA1357"/>
    <w:rsid w:val="00DA5CDD"/>
    <w:rsid w:val="00DB256B"/>
    <w:rsid w:val="00DB3D7C"/>
    <w:rsid w:val="00DB4E72"/>
    <w:rsid w:val="00DC3CEF"/>
    <w:rsid w:val="00DC55C7"/>
    <w:rsid w:val="00DC7165"/>
    <w:rsid w:val="00DD1B0F"/>
    <w:rsid w:val="00DD2A62"/>
    <w:rsid w:val="00DD35B6"/>
    <w:rsid w:val="00DE5B08"/>
    <w:rsid w:val="00DF03D2"/>
    <w:rsid w:val="00DF099D"/>
    <w:rsid w:val="00DF3070"/>
    <w:rsid w:val="00DF365B"/>
    <w:rsid w:val="00E02418"/>
    <w:rsid w:val="00E030FC"/>
    <w:rsid w:val="00E046A4"/>
    <w:rsid w:val="00E05546"/>
    <w:rsid w:val="00E06DC0"/>
    <w:rsid w:val="00E07D35"/>
    <w:rsid w:val="00E10731"/>
    <w:rsid w:val="00E10ACE"/>
    <w:rsid w:val="00E114DB"/>
    <w:rsid w:val="00E162BE"/>
    <w:rsid w:val="00E2021F"/>
    <w:rsid w:val="00E22CA8"/>
    <w:rsid w:val="00E25F3F"/>
    <w:rsid w:val="00E34395"/>
    <w:rsid w:val="00E354BB"/>
    <w:rsid w:val="00E40124"/>
    <w:rsid w:val="00E41371"/>
    <w:rsid w:val="00E445EB"/>
    <w:rsid w:val="00E474A4"/>
    <w:rsid w:val="00E56991"/>
    <w:rsid w:val="00E615E7"/>
    <w:rsid w:val="00E73E7F"/>
    <w:rsid w:val="00E75C16"/>
    <w:rsid w:val="00E817FB"/>
    <w:rsid w:val="00E852E7"/>
    <w:rsid w:val="00E8760B"/>
    <w:rsid w:val="00E92DB0"/>
    <w:rsid w:val="00E9788A"/>
    <w:rsid w:val="00E97A27"/>
    <w:rsid w:val="00EA05F5"/>
    <w:rsid w:val="00EA308A"/>
    <w:rsid w:val="00EA76FE"/>
    <w:rsid w:val="00EB2256"/>
    <w:rsid w:val="00EB2F4D"/>
    <w:rsid w:val="00EC00AF"/>
    <w:rsid w:val="00EC7C56"/>
    <w:rsid w:val="00ED0326"/>
    <w:rsid w:val="00ED5C1C"/>
    <w:rsid w:val="00EE2306"/>
    <w:rsid w:val="00EE247F"/>
    <w:rsid w:val="00EE57A2"/>
    <w:rsid w:val="00EF04F6"/>
    <w:rsid w:val="00EF0780"/>
    <w:rsid w:val="00EF0A84"/>
    <w:rsid w:val="00EF1A4F"/>
    <w:rsid w:val="00EF4461"/>
    <w:rsid w:val="00EF5484"/>
    <w:rsid w:val="00F002F7"/>
    <w:rsid w:val="00F0361B"/>
    <w:rsid w:val="00F05C85"/>
    <w:rsid w:val="00F06E4E"/>
    <w:rsid w:val="00F143A4"/>
    <w:rsid w:val="00F26F72"/>
    <w:rsid w:val="00F324CE"/>
    <w:rsid w:val="00F3538B"/>
    <w:rsid w:val="00F41692"/>
    <w:rsid w:val="00F44A3B"/>
    <w:rsid w:val="00F4587C"/>
    <w:rsid w:val="00F51BF3"/>
    <w:rsid w:val="00F52440"/>
    <w:rsid w:val="00F61062"/>
    <w:rsid w:val="00F611E9"/>
    <w:rsid w:val="00F6229F"/>
    <w:rsid w:val="00F67225"/>
    <w:rsid w:val="00F70E12"/>
    <w:rsid w:val="00F717B6"/>
    <w:rsid w:val="00F73B8C"/>
    <w:rsid w:val="00F742CA"/>
    <w:rsid w:val="00F76D9C"/>
    <w:rsid w:val="00F82762"/>
    <w:rsid w:val="00F85096"/>
    <w:rsid w:val="00F94287"/>
    <w:rsid w:val="00FA0517"/>
    <w:rsid w:val="00FA7DC1"/>
    <w:rsid w:val="00FB0596"/>
    <w:rsid w:val="00FB09D2"/>
    <w:rsid w:val="00FB222F"/>
    <w:rsid w:val="00FB36A2"/>
    <w:rsid w:val="00FB608A"/>
    <w:rsid w:val="00FC1D33"/>
    <w:rsid w:val="00FC1E44"/>
    <w:rsid w:val="00FD0E6F"/>
    <w:rsid w:val="00FD60FA"/>
    <w:rsid w:val="00FE0548"/>
    <w:rsid w:val="00FE52B6"/>
    <w:rsid w:val="00FE75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FFA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B4"/>
  </w:style>
  <w:style w:type="paragraph" w:styleId="Heading1">
    <w:name w:val="heading 1"/>
    <w:basedOn w:val="Normal"/>
    <w:next w:val="Normal"/>
    <w:link w:val="Heading1Char"/>
    <w:uiPriority w:val="9"/>
    <w:qFormat/>
    <w:rsid w:val="0023768F"/>
    <w:pPr>
      <w:keepNext/>
      <w:keepLines/>
      <w:numPr>
        <w:numId w:val="4"/>
      </w:numPr>
      <w:spacing w:before="360" w:after="120" w:line="240" w:lineRule="auto"/>
      <w:ind w:left="431" w:hanging="431"/>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167A5"/>
    <w:pPr>
      <w:numPr>
        <w:ilvl w:val="1"/>
        <w:numId w:val="4"/>
      </w:numPr>
      <w:jc w:val="both"/>
      <w:outlineLvl w:val="1"/>
    </w:pPr>
    <w:rPr>
      <w:b/>
    </w:rPr>
  </w:style>
  <w:style w:type="paragraph" w:styleId="Heading3">
    <w:name w:val="heading 3"/>
    <w:basedOn w:val="Normal"/>
    <w:next w:val="Normal"/>
    <w:link w:val="Heading3Char"/>
    <w:uiPriority w:val="9"/>
    <w:unhideWhenUsed/>
    <w:qFormat/>
    <w:rsid w:val="00D36DB3"/>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97969"/>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167A5"/>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167A5"/>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67A5"/>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167A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7A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68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167A5"/>
    <w:rPr>
      <w:b/>
    </w:rPr>
  </w:style>
  <w:style w:type="paragraph" w:styleId="ListParagraph">
    <w:name w:val="List Paragraph"/>
    <w:basedOn w:val="Normal"/>
    <w:link w:val="ListParagraphChar"/>
    <w:uiPriority w:val="34"/>
    <w:qFormat/>
    <w:rsid w:val="00605F10"/>
    <w:pPr>
      <w:spacing w:line="240" w:lineRule="auto"/>
      <w:ind w:left="284" w:hanging="284"/>
      <w:contextualSpacing/>
    </w:pPr>
  </w:style>
  <w:style w:type="character" w:customStyle="1" w:styleId="ListParagraphChar">
    <w:name w:val="List Paragraph Char"/>
    <w:link w:val="ListParagraph"/>
    <w:uiPriority w:val="34"/>
    <w:locked/>
    <w:rsid w:val="00605F10"/>
  </w:style>
  <w:style w:type="paragraph" w:customStyle="1" w:styleId="EndNoteBibliographyTitle">
    <w:name w:val="EndNote Bibliography Title"/>
    <w:basedOn w:val="Normal"/>
    <w:link w:val="EndNoteBibliographyTitleChar"/>
    <w:rsid w:val="00605F1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05F10"/>
    <w:rPr>
      <w:rFonts w:ascii="Calibri" w:hAnsi="Calibri"/>
      <w:noProof/>
      <w:lang w:val="en-US"/>
    </w:rPr>
  </w:style>
  <w:style w:type="paragraph" w:customStyle="1" w:styleId="EndNoteBibliography">
    <w:name w:val="EndNote Bibliography"/>
    <w:basedOn w:val="Normal"/>
    <w:link w:val="EndNoteBibliographyChar"/>
    <w:rsid w:val="00605F1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05F10"/>
    <w:rPr>
      <w:rFonts w:ascii="Calibri" w:hAnsi="Calibri"/>
      <w:noProof/>
      <w:lang w:val="en-US"/>
    </w:rPr>
  </w:style>
  <w:style w:type="character" w:styleId="Hyperlink">
    <w:name w:val="Hyperlink"/>
    <w:basedOn w:val="DefaultParagraphFont"/>
    <w:uiPriority w:val="99"/>
    <w:unhideWhenUsed/>
    <w:rsid w:val="00605F10"/>
    <w:rPr>
      <w:color w:val="0563C1" w:themeColor="hyperlink"/>
      <w:u w:val="single"/>
    </w:rPr>
  </w:style>
  <w:style w:type="paragraph" w:styleId="BalloonText">
    <w:name w:val="Balloon Text"/>
    <w:basedOn w:val="Normal"/>
    <w:link w:val="BalloonTextChar"/>
    <w:uiPriority w:val="99"/>
    <w:semiHidden/>
    <w:unhideWhenUsed/>
    <w:rsid w:val="00605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10"/>
    <w:rPr>
      <w:rFonts w:ascii="Segoe UI" w:hAnsi="Segoe UI" w:cs="Segoe UI"/>
      <w:sz w:val="18"/>
      <w:szCs w:val="18"/>
    </w:rPr>
  </w:style>
  <w:style w:type="paragraph" w:styleId="Caption">
    <w:name w:val="caption"/>
    <w:basedOn w:val="Normal"/>
    <w:next w:val="Normal"/>
    <w:uiPriority w:val="35"/>
    <w:unhideWhenUsed/>
    <w:qFormat/>
    <w:rsid w:val="00605F10"/>
    <w:pPr>
      <w:keepNext/>
      <w:spacing w:before="360" w:after="0" w:line="240" w:lineRule="auto"/>
      <w:ind w:left="851" w:hanging="851"/>
    </w:pPr>
    <w:rPr>
      <w:iCs/>
      <w:szCs w:val="18"/>
    </w:rPr>
  </w:style>
  <w:style w:type="paragraph" w:styleId="NoSpacing">
    <w:name w:val="No Spacing"/>
    <w:link w:val="NoSpacingChar"/>
    <w:uiPriority w:val="1"/>
    <w:qFormat/>
    <w:rsid w:val="00605F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05F10"/>
    <w:rPr>
      <w:rFonts w:eastAsiaTheme="minorEastAsia"/>
      <w:lang w:val="en-US"/>
    </w:rPr>
  </w:style>
  <w:style w:type="paragraph" w:styleId="TOCHeading">
    <w:name w:val="TOC Heading"/>
    <w:basedOn w:val="Heading1"/>
    <w:next w:val="Normal"/>
    <w:uiPriority w:val="39"/>
    <w:unhideWhenUsed/>
    <w:qFormat/>
    <w:rsid w:val="00605F10"/>
    <w:pPr>
      <w:numPr>
        <w:numId w:val="0"/>
      </w:numPr>
      <w:spacing w:before="240" w:after="0" w:line="259" w:lineRule="auto"/>
      <w:outlineLvl w:val="9"/>
    </w:pPr>
    <w:rPr>
      <w:b w:val="0"/>
      <w:bCs w:val="0"/>
      <w:sz w:val="32"/>
      <w:szCs w:val="32"/>
      <w:lang w:val="en-US"/>
    </w:rPr>
  </w:style>
  <w:style w:type="paragraph" w:styleId="TOC2">
    <w:name w:val="toc 2"/>
    <w:basedOn w:val="Normal"/>
    <w:next w:val="Normal"/>
    <w:autoRedefine/>
    <w:uiPriority w:val="39"/>
    <w:unhideWhenUsed/>
    <w:rsid w:val="00814586"/>
    <w:pPr>
      <w:tabs>
        <w:tab w:val="right" w:pos="567"/>
        <w:tab w:val="right" w:leader="dot" w:pos="9016"/>
      </w:tabs>
      <w:spacing w:after="100"/>
      <w:ind w:left="397" w:hanging="397"/>
    </w:pPr>
    <w:rPr>
      <w:rFonts w:eastAsiaTheme="minorEastAsia" w:cs="Times New Roman"/>
      <w:lang w:val="en-US"/>
    </w:rPr>
  </w:style>
  <w:style w:type="paragraph" w:styleId="TOC1">
    <w:name w:val="toc 1"/>
    <w:basedOn w:val="Normal"/>
    <w:next w:val="Normal"/>
    <w:autoRedefine/>
    <w:uiPriority w:val="39"/>
    <w:unhideWhenUsed/>
    <w:rsid w:val="000520B4"/>
    <w:pPr>
      <w:tabs>
        <w:tab w:val="left" w:pos="440"/>
        <w:tab w:val="right" w:leader="dot" w:pos="9016"/>
      </w:tabs>
      <w:spacing w:after="120" w:line="240" w:lineRule="auto"/>
      <w:ind w:left="397" w:right="397" w:hanging="397"/>
    </w:pPr>
    <w:rPr>
      <w:rFonts w:eastAsiaTheme="minorEastAsia" w:cs="Times New Roman"/>
      <w:noProof/>
      <w:lang w:val="en-US"/>
    </w:rPr>
  </w:style>
  <w:style w:type="paragraph" w:styleId="TOC3">
    <w:name w:val="toc 3"/>
    <w:basedOn w:val="Normal"/>
    <w:next w:val="Normal"/>
    <w:autoRedefine/>
    <w:uiPriority w:val="39"/>
    <w:unhideWhenUsed/>
    <w:rsid w:val="00605F10"/>
    <w:pPr>
      <w:spacing w:after="100"/>
      <w:ind w:left="440"/>
    </w:pPr>
    <w:rPr>
      <w:rFonts w:eastAsiaTheme="minorEastAsia" w:cs="Times New Roman"/>
      <w:lang w:val="en-US"/>
    </w:rPr>
  </w:style>
  <w:style w:type="paragraph" w:styleId="Header">
    <w:name w:val="header"/>
    <w:basedOn w:val="Normal"/>
    <w:link w:val="HeaderChar"/>
    <w:uiPriority w:val="99"/>
    <w:unhideWhenUsed/>
    <w:rsid w:val="00605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F10"/>
  </w:style>
  <w:style w:type="paragraph" w:styleId="Footer">
    <w:name w:val="footer"/>
    <w:basedOn w:val="Normal"/>
    <w:link w:val="FooterChar"/>
    <w:uiPriority w:val="99"/>
    <w:unhideWhenUsed/>
    <w:rsid w:val="00605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F10"/>
  </w:style>
  <w:style w:type="paragraph" w:styleId="TableofFigures">
    <w:name w:val="table of figures"/>
    <w:basedOn w:val="Normal"/>
    <w:next w:val="Normal"/>
    <w:uiPriority w:val="99"/>
    <w:unhideWhenUsed/>
    <w:rsid w:val="00605F10"/>
    <w:pPr>
      <w:spacing w:after="0"/>
    </w:pPr>
  </w:style>
  <w:style w:type="paragraph" w:customStyle="1" w:styleId="FigureTitle">
    <w:name w:val="FigureTitle"/>
    <w:basedOn w:val="Normal"/>
    <w:qFormat/>
    <w:rsid w:val="00605F10"/>
    <w:pPr>
      <w:spacing w:after="0" w:line="240" w:lineRule="auto"/>
      <w:ind w:left="851" w:hanging="851"/>
      <w:jc w:val="both"/>
    </w:pPr>
  </w:style>
  <w:style w:type="character" w:styleId="CommentReference">
    <w:name w:val="annotation reference"/>
    <w:basedOn w:val="DefaultParagraphFont"/>
    <w:uiPriority w:val="99"/>
    <w:semiHidden/>
    <w:unhideWhenUsed/>
    <w:rsid w:val="00605F10"/>
    <w:rPr>
      <w:sz w:val="16"/>
      <w:szCs w:val="16"/>
    </w:rPr>
  </w:style>
  <w:style w:type="paragraph" w:styleId="CommentText">
    <w:name w:val="annotation text"/>
    <w:basedOn w:val="Normal"/>
    <w:link w:val="CommentTextChar"/>
    <w:uiPriority w:val="99"/>
    <w:semiHidden/>
    <w:unhideWhenUsed/>
    <w:rsid w:val="00605F10"/>
    <w:pPr>
      <w:spacing w:line="240" w:lineRule="auto"/>
    </w:pPr>
    <w:rPr>
      <w:sz w:val="20"/>
      <w:szCs w:val="20"/>
    </w:rPr>
  </w:style>
  <w:style w:type="character" w:customStyle="1" w:styleId="CommentTextChar">
    <w:name w:val="Comment Text Char"/>
    <w:basedOn w:val="DefaultParagraphFont"/>
    <w:link w:val="CommentText"/>
    <w:uiPriority w:val="99"/>
    <w:semiHidden/>
    <w:rsid w:val="00605F10"/>
    <w:rPr>
      <w:sz w:val="20"/>
      <w:szCs w:val="20"/>
    </w:rPr>
  </w:style>
  <w:style w:type="paragraph" w:styleId="CommentSubject">
    <w:name w:val="annotation subject"/>
    <w:basedOn w:val="CommentText"/>
    <w:next w:val="CommentText"/>
    <w:link w:val="CommentSubjectChar"/>
    <w:uiPriority w:val="99"/>
    <w:semiHidden/>
    <w:unhideWhenUsed/>
    <w:rsid w:val="00605F10"/>
    <w:rPr>
      <w:b/>
      <w:bCs/>
    </w:rPr>
  </w:style>
  <w:style w:type="character" w:customStyle="1" w:styleId="CommentSubjectChar">
    <w:name w:val="Comment Subject Char"/>
    <w:basedOn w:val="CommentTextChar"/>
    <w:link w:val="CommentSubject"/>
    <w:uiPriority w:val="99"/>
    <w:semiHidden/>
    <w:rsid w:val="00605F10"/>
    <w:rPr>
      <w:b/>
      <w:bCs/>
      <w:sz w:val="20"/>
      <w:szCs w:val="20"/>
    </w:rPr>
  </w:style>
  <w:style w:type="paragraph" w:styleId="ListBullet">
    <w:name w:val="List Bullet"/>
    <w:basedOn w:val="Normal"/>
    <w:uiPriority w:val="99"/>
    <w:unhideWhenUsed/>
    <w:rsid w:val="003310E3"/>
    <w:pPr>
      <w:numPr>
        <w:numId w:val="1"/>
      </w:numPr>
      <w:tabs>
        <w:tab w:val="clear" w:pos="360"/>
      </w:tabs>
      <w:spacing w:after="240" w:line="240" w:lineRule="auto"/>
      <w:ind w:left="284" w:hanging="284"/>
      <w:contextualSpacing/>
      <w:jc w:val="both"/>
    </w:pPr>
  </w:style>
  <w:style w:type="character" w:customStyle="1" w:styleId="Heading3Char">
    <w:name w:val="Heading 3 Char"/>
    <w:basedOn w:val="DefaultParagraphFont"/>
    <w:link w:val="Heading3"/>
    <w:uiPriority w:val="9"/>
    <w:rsid w:val="00D36DB3"/>
    <w:rPr>
      <w:rFonts w:asciiTheme="majorHAnsi" w:eastAsiaTheme="majorEastAsia" w:hAnsiTheme="majorHAnsi" w:cstheme="majorBidi"/>
      <w:color w:val="1F4D78" w:themeColor="accent1" w:themeShade="7F"/>
      <w:sz w:val="24"/>
      <w:szCs w:val="24"/>
    </w:rPr>
  </w:style>
  <w:style w:type="table" w:styleId="TableGrid">
    <w:name w:val="Table Grid"/>
    <w:aliases w:val="none"/>
    <w:basedOn w:val="TableNormal"/>
    <w:rsid w:val="0006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97969"/>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unhideWhenUsed/>
    <w:rsid w:val="00D90855"/>
    <w:pPr>
      <w:spacing w:after="0" w:line="240" w:lineRule="auto"/>
      <w:ind w:left="227" w:hanging="227"/>
      <w:jc w:val="both"/>
    </w:pPr>
    <w:rPr>
      <w:sz w:val="20"/>
      <w:szCs w:val="20"/>
    </w:rPr>
  </w:style>
  <w:style w:type="character" w:customStyle="1" w:styleId="FootnoteTextChar">
    <w:name w:val="Footnote Text Char"/>
    <w:basedOn w:val="DefaultParagraphFont"/>
    <w:link w:val="FootnoteText"/>
    <w:uiPriority w:val="99"/>
    <w:rsid w:val="00D90855"/>
    <w:rPr>
      <w:sz w:val="20"/>
      <w:szCs w:val="20"/>
    </w:rPr>
  </w:style>
  <w:style w:type="character" w:styleId="FootnoteReference">
    <w:name w:val="footnote reference"/>
    <w:basedOn w:val="DefaultParagraphFont"/>
    <w:uiPriority w:val="99"/>
    <w:unhideWhenUsed/>
    <w:rsid w:val="00197969"/>
    <w:rPr>
      <w:vertAlign w:val="superscript"/>
    </w:rPr>
  </w:style>
  <w:style w:type="paragraph" w:styleId="ListBullet2">
    <w:name w:val="List Bullet 2"/>
    <w:basedOn w:val="Normal"/>
    <w:uiPriority w:val="99"/>
    <w:unhideWhenUsed/>
    <w:rsid w:val="003310E3"/>
    <w:pPr>
      <w:numPr>
        <w:numId w:val="2"/>
      </w:numPr>
      <w:contextualSpacing/>
      <w:jc w:val="both"/>
    </w:pPr>
  </w:style>
  <w:style w:type="paragraph" w:styleId="ListBullet3">
    <w:name w:val="List Bullet 3"/>
    <w:basedOn w:val="Normal"/>
    <w:uiPriority w:val="99"/>
    <w:unhideWhenUsed/>
    <w:rsid w:val="00D00508"/>
    <w:pPr>
      <w:numPr>
        <w:numId w:val="3"/>
      </w:numPr>
      <w:contextualSpacing/>
    </w:pPr>
  </w:style>
  <w:style w:type="character" w:customStyle="1" w:styleId="Heading5Char">
    <w:name w:val="Heading 5 Char"/>
    <w:basedOn w:val="DefaultParagraphFont"/>
    <w:link w:val="Heading5"/>
    <w:uiPriority w:val="9"/>
    <w:semiHidden/>
    <w:rsid w:val="001167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167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167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16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67A5"/>
    <w:rPr>
      <w:rFonts w:asciiTheme="majorHAnsi" w:eastAsiaTheme="majorEastAsia" w:hAnsiTheme="majorHAnsi" w:cstheme="majorBidi"/>
      <w:i/>
      <w:iCs/>
      <w:color w:val="272727" w:themeColor="text1" w:themeTint="D8"/>
      <w:sz w:val="21"/>
      <w:szCs w:val="21"/>
    </w:rPr>
  </w:style>
  <w:style w:type="paragraph" w:customStyle="1" w:styleId="Default">
    <w:name w:val="Default"/>
    <w:rsid w:val="00D26B14"/>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unhideWhenUsed/>
    <w:rsid w:val="00DA1357"/>
    <w:pPr>
      <w:spacing w:after="0" w:line="240" w:lineRule="auto"/>
    </w:pPr>
    <w:rPr>
      <w:sz w:val="20"/>
      <w:szCs w:val="20"/>
    </w:rPr>
  </w:style>
  <w:style w:type="character" w:customStyle="1" w:styleId="EndnoteTextChar">
    <w:name w:val="Endnote Text Char"/>
    <w:basedOn w:val="DefaultParagraphFont"/>
    <w:link w:val="EndnoteText"/>
    <w:uiPriority w:val="99"/>
    <w:rsid w:val="00DA1357"/>
    <w:rPr>
      <w:sz w:val="20"/>
      <w:szCs w:val="20"/>
    </w:rPr>
  </w:style>
  <w:style w:type="character" w:styleId="EndnoteReference">
    <w:name w:val="endnote reference"/>
    <w:basedOn w:val="DefaultParagraphFont"/>
    <w:uiPriority w:val="99"/>
    <w:semiHidden/>
    <w:unhideWhenUsed/>
    <w:rsid w:val="00DA1357"/>
    <w:rPr>
      <w:vertAlign w:val="superscript"/>
    </w:rPr>
  </w:style>
  <w:style w:type="character" w:styleId="FollowedHyperlink">
    <w:name w:val="FollowedHyperlink"/>
    <w:basedOn w:val="DefaultParagraphFont"/>
    <w:uiPriority w:val="99"/>
    <w:semiHidden/>
    <w:unhideWhenUsed/>
    <w:rsid w:val="00C402D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B4"/>
  </w:style>
  <w:style w:type="paragraph" w:styleId="Heading1">
    <w:name w:val="heading 1"/>
    <w:basedOn w:val="Normal"/>
    <w:next w:val="Normal"/>
    <w:link w:val="Heading1Char"/>
    <w:uiPriority w:val="9"/>
    <w:qFormat/>
    <w:rsid w:val="0023768F"/>
    <w:pPr>
      <w:keepNext/>
      <w:keepLines/>
      <w:numPr>
        <w:numId w:val="4"/>
      </w:numPr>
      <w:spacing w:before="360" w:after="120" w:line="240" w:lineRule="auto"/>
      <w:ind w:left="431" w:hanging="431"/>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167A5"/>
    <w:pPr>
      <w:numPr>
        <w:ilvl w:val="1"/>
        <w:numId w:val="4"/>
      </w:numPr>
      <w:jc w:val="both"/>
      <w:outlineLvl w:val="1"/>
    </w:pPr>
    <w:rPr>
      <w:b/>
    </w:rPr>
  </w:style>
  <w:style w:type="paragraph" w:styleId="Heading3">
    <w:name w:val="heading 3"/>
    <w:basedOn w:val="Normal"/>
    <w:next w:val="Normal"/>
    <w:link w:val="Heading3Char"/>
    <w:uiPriority w:val="9"/>
    <w:unhideWhenUsed/>
    <w:qFormat/>
    <w:rsid w:val="00D36DB3"/>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97969"/>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167A5"/>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167A5"/>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167A5"/>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167A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7A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68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167A5"/>
    <w:rPr>
      <w:b/>
    </w:rPr>
  </w:style>
  <w:style w:type="paragraph" w:styleId="ListParagraph">
    <w:name w:val="List Paragraph"/>
    <w:basedOn w:val="Normal"/>
    <w:link w:val="ListParagraphChar"/>
    <w:uiPriority w:val="34"/>
    <w:qFormat/>
    <w:rsid w:val="00605F10"/>
    <w:pPr>
      <w:spacing w:line="240" w:lineRule="auto"/>
      <w:ind w:left="284" w:hanging="284"/>
      <w:contextualSpacing/>
    </w:pPr>
  </w:style>
  <w:style w:type="character" w:customStyle="1" w:styleId="ListParagraphChar">
    <w:name w:val="List Paragraph Char"/>
    <w:link w:val="ListParagraph"/>
    <w:uiPriority w:val="34"/>
    <w:locked/>
    <w:rsid w:val="00605F10"/>
  </w:style>
  <w:style w:type="paragraph" w:customStyle="1" w:styleId="EndNoteBibliographyTitle">
    <w:name w:val="EndNote Bibliography Title"/>
    <w:basedOn w:val="Normal"/>
    <w:link w:val="EndNoteBibliographyTitleChar"/>
    <w:rsid w:val="00605F1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05F10"/>
    <w:rPr>
      <w:rFonts w:ascii="Calibri" w:hAnsi="Calibri"/>
      <w:noProof/>
      <w:lang w:val="en-US"/>
    </w:rPr>
  </w:style>
  <w:style w:type="paragraph" w:customStyle="1" w:styleId="EndNoteBibliography">
    <w:name w:val="EndNote Bibliography"/>
    <w:basedOn w:val="Normal"/>
    <w:link w:val="EndNoteBibliographyChar"/>
    <w:rsid w:val="00605F1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05F10"/>
    <w:rPr>
      <w:rFonts w:ascii="Calibri" w:hAnsi="Calibri"/>
      <w:noProof/>
      <w:lang w:val="en-US"/>
    </w:rPr>
  </w:style>
  <w:style w:type="character" w:styleId="Hyperlink">
    <w:name w:val="Hyperlink"/>
    <w:basedOn w:val="DefaultParagraphFont"/>
    <w:uiPriority w:val="99"/>
    <w:unhideWhenUsed/>
    <w:rsid w:val="00605F10"/>
    <w:rPr>
      <w:color w:val="0563C1" w:themeColor="hyperlink"/>
      <w:u w:val="single"/>
    </w:rPr>
  </w:style>
  <w:style w:type="paragraph" w:styleId="BalloonText">
    <w:name w:val="Balloon Text"/>
    <w:basedOn w:val="Normal"/>
    <w:link w:val="BalloonTextChar"/>
    <w:uiPriority w:val="99"/>
    <w:semiHidden/>
    <w:unhideWhenUsed/>
    <w:rsid w:val="00605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F10"/>
    <w:rPr>
      <w:rFonts w:ascii="Segoe UI" w:hAnsi="Segoe UI" w:cs="Segoe UI"/>
      <w:sz w:val="18"/>
      <w:szCs w:val="18"/>
    </w:rPr>
  </w:style>
  <w:style w:type="paragraph" w:styleId="Caption">
    <w:name w:val="caption"/>
    <w:basedOn w:val="Normal"/>
    <w:next w:val="Normal"/>
    <w:uiPriority w:val="35"/>
    <w:unhideWhenUsed/>
    <w:qFormat/>
    <w:rsid w:val="00605F10"/>
    <w:pPr>
      <w:keepNext/>
      <w:spacing w:before="360" w:after="0" w:line="240" w:lineRule="auto"/>
      <w:ind w:left="851" w:hanging="851"/>
    </w:pPr>
    <w:rPr>
      <w:iCs/>
      <w:szCs w:val="18"/>
    </w:rPr>
  </w:style>
  <w:style w:type="paragraph" w:styleId="NoSpacing">
    <w:name w:val="No Spacing"/>
    <w:link w:val="NoSpacingChar"/>
    <w:uiPriority w:val="1"/>
    <w:qFormat/>
    <w:rsid w:val="00605F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05F10"/>
    <w:rPr>
      <w:rFonts w:eastAsiaTheme="minorEastAsia"/>
      <w:lang w:val="en-US"/>
    </w:rPr>
  </w:style>
  <w:style w:type="paragraph" w:styleId="TOCHeading">
    <w:name w:val="TOC Heading"/>
    <w:basedOn w:val="Heading1"/>
    <w:next w:val="Normal"/>
    <w:uiPriority w:val="39"/>
    <w:unhideWhenUsed/>
    <w:qFormat/>
    <w:rsid w:val="00605F10"/>
    <w:pPr>
      <w:numPr>
        <w:numId w:val="0"/>
      </w:numPr>
      <w:spacing w:before="240" w:after="0" w:line="259" w:lineRule="auto"/>
      <w:outlineLvl w:val="9"/>
    </w:pPr>
    <w:rPr>
      <w:b w:val="0"/>
      <w:bCs w:val="0"/>
      <w:sz w:val="32"/>
      <w:szCs w:val="32"/>
      <w:lang w:val="en-US"/>
    </w:rPr>
  </w:style>
  <w:style w:type="paragraph" w:styleId="TOC2">
    <w:name w:val="toc 2"/>
    <w:basedOn w:val="Normal"/>
    <w:next w:val="Normal"/>
    <w:autoRedefine/>
    <w:uiPriority w:val="39"/>
    <w:unhideWhenUsed/>
    <w:rsid w:val="00814586"/>
    <w:pPr>
      <w:tabs>
        <w:tab w:val="right" w:pos="567"/>
        <w:tab w:val="right" w:leader="dot" w:pos="9016"/>
      </w:tabs>
      <w:spacing w:after="100"/>
      <w:ind w:left="397" w:hanging="397"/>
    </w:pPr>
    <w:rPr>
      <w:rFonts w:eastAsiaTheme="minorEastAsia" w:cs="Times New Roman"/>
      <w:lang w:val="en-US"/>
    </w:rPr>
  </w:style>
  <w:style w:type="paragraph" w:styleId="TOC1">
    <w:name w:val="toc 1"/>
    <w:basedOn w:val="Normal"/>
    <w:next w:val="Normal"/>
    <w:autoRedefine/>
    <w:uiPriority w:val="39"/>
    <w:unhideWhenUsed/>
    <w:rsid w:val="000520B4"/>
    <w:pPr>
      <w:tabs>
        <w:tab w:val="left" w:pos="440"/>
        <w:tab w:val="right" w:leader="dot" w:pos="9016"/>
      </w:tabs>
      <w:spacing w:after="120" w:line="240" w:lineRule="auto"/>
      <w:ind w:left="397" w:right="397" w:hanging="397"/>
    </w:pPr>
    <w:rPr>
      <w:rFonts w:eastAsiaTheme="minorEastAsia" w:cs="Times New Roman"/>
      <w:noProof/>
      <w:lang w:val="en-US"/>
    </w:rPr>
  </w:style>
  <w:style w:type="paragraph" w:styleId="TOC3">
    <w:name w:val="toc 3"/>
    <w:basedOn w:val="Normal"/>
    <w:next w:val="Normal"/>
    <w:autoRedefine/>
    <w:uiPriority w:val="39"/>
    <w:unhideWhenUsed/>
    <w:rsid w:val="00605F10"/>
    <w:pPr>
      <w:spacing w:after="100"/>
      <w:ind w:left="440"/>
    </w:pPr>
    <w:rPr>
      <w:rFonts w:eastAsiaTheme="minorEastAsia" w:cs="Times New Roman"/>
      <w:lang w:val="en-US"/>
    </w:rPr>
  </w:style>
  <w:style w:type="paragraph" w:styleId="Header">
    <w:name w:val="header"/>
    <w:basedOn w:val="Normal"/>
    <w:link w:val="HeaderChar"/>
    <w:uiPriority w:val="99"/>
    <w:unhideWhenUsed/>
    <w:rsid w:val="00605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F10"/>
  </w:style>
  <w:style w:type="paragraph" w:styleId="Footer">
    <w:name w:val="footer"/>
    <w:basedOn w:val="Normal"/>
    <w:link w:val="FooterChar"/>
    <w:uiPriority w:val="99"/>
    <w:unhideWhenUsed/>
    <w:rsid w:val="00605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F10"/>
  </w:style>
  <w:style w:type="paragraph" w:styleId="TableofFigures">
    <w:name w:val="table of figures"/>
    <w:basedOn w:val="Normal"/>
    <w:next w:val="Normal"/>
    <w:uiPriority w:val="99"/>
    <w:unhideWhenUsed/>
    <w:rsid w:val="00605F10"/>
    <w:pPr>
      <w:spacing w:after="0"/>
    </w:pPr>
  </w:style>
  <w:style w:type="paragraph" w:customStyle="1" w:styleId="FigureTitle">
    <w:name w:val="FigureTitle"/>
    <w:basedOn w:val="Normal"/>
    <w:qFormat/>
    <w:rsid w:val="00605F10"/>
    <w:pPr>
      <w:spacing w:after="0" w:line="240" w:lineRule="auto"/>
      <w:ind w:left="851" w:hanging="851"/>
      <w:jc w:val="both"/>
    </w:pPr>
  </w:style>
  <w:style w:type="character" w:styleId="CommentReference">
    <w:name w:val="annotation reference"/>
    <w:basedOn w:val="DefaultParagraphFont"/>
    <w:uiPriority w:val="99"/>
    <w:semiHidden/>
    <w:unhideWhenUsed/>
    <w:rsid w:val="00605F10"/>
    <w:rPr>
      <w:sz w:val="16"/>
      <w:szCs w:val="16"/>
    </w:rPr>
  </w:style>
  <w:style w:type="paragraph" w:styleId="CommentText">
    <w:name w:val="annotation text"/>
    <w:basedOn w:val="Normal"/>
    <w:link w:val="CommentTextChar"/>
    <w:uiPriority w:val="99"/>
    <w:semiHidden/>
    <w:unhideWhenUsed/>
    <w:rsid w:val="00605F10"/>
    <w:pPr>
      <w:spacing w:line="240" w:lineRule="auto"/>
    </w:pPr>
    <w:rPr>
      <w:sz w:val="20"/>
      <w:szCs w:val="20"/>
    </w:rPr>
  </w:style>
  <w:style w:type="character" w:customStyle="1" w:styleId="CommentTextChar">
    <w:name w:val="Comment Text Char"/>
    <w:basedOn w:val="DefaultParagraphFont"/>
    <w:link w:val="CommentText"/>
    <w:uiPriority w:val="99"/>
    <w:semiHidden/>
    <w:rsid w:val="00605F10"/>
    <w:rPr>
      <w:sz w:val="20"/>
      <w:szCs w:val="20"/>
    </w:rPr>
  </w:style>
  <w:style w:type="paragraph" w:styleId="CommentSubject">
    <w:name w:val="annotation subject"/>
    <w:basedOn w:val="CommentText"/>
    <w:next w:val="CommentText"/>
    <w:link w:val="CommentSubjectChar"/>
    <w:uiPriority w:val="99"/>
    <w:semiHidden/>
    <w:unhideWhenUsed/>
    <w:rsid w:val="00605F10"/>
    <w:rPr>
      <w:b/>
      <w:bCs/>
    </w:rPr>
  </w:style>
  <w:style w:type="character" w:customStyle="1" w:styleId="CommentSubjectChar">
    <w:name w:val="Comment Subject Char"/>
    <w:basedOn w:val="CommentTextChar"/>
    <w:link w:val="CommentSubject"/>
    <w:uiPriority w:val="99"/>
    <w:semiHidden/>
    <w:rsid w:val="00605F10"/>
    <w:rPr>
      <w:b/>
      <w:bCs/>
      <w:sz w:val="20"/>
      <w:szCs w:val="20"/>
    </w:rPr>
  </w:style>
  <w:style w:type="paragraph" w:styleId="ListBullet">
    <w:name w:val="List Bullet"/>
    <w:basedOn w:val="Normal"/>
    <w:uiPriority w:val="99"/>
    <w:unhideWhenUsed/>
    <w:rsid w:val="003310E3"/>
    <w:pPr>
      <w:numPr>
        <w:numId w:val="1"/>
      </w:numPr>
      <w:tabs>
        <w:tab w:val="clear" w:pos="360"/>
      </w:tabs>
      <w:spacing w:after="240" w:line="240" w:lineRule="auto"/>
      <w:ind w:left="284" w:hanging="284"/>
      <w:contextualSpacing/>
      <w:jc w:val="both"/>
    </w:pPr>
  </w:style>
  <w:style w:type="character" w:customStyle="1" w:styleId="Heading3Char">
    <w:name w:val="Heading 3 Char"/>
    <w:basedOn w:val="DefaultParagraphFont"/>
    <w:link w:val="Heading3"/>
    <w:uiPriority w:val="9"/>
    <w:rsid w:val="00D36DB3"/>
    <w:rPr>
      <w:rFonts w:asciiTheme="majorHAnsi" w:eastAsiaTheme="majorEastAsia" w:hAnsiTheme="majorHAnsi" w:cstheme="majorBidi"/>
      <w:color w:val="1F4D78" w:themeColor="accent1" w:themeShade="7F"/>
      <w:sz w:val="24"/>
      <w:szCs w:val="24"/>
    </w:rPr>
  </w:style>
  <w:style w:type="table" w:styleId="TableGrid">
    <w:name w:val="Table Grid"/>
    <w:aliases w:val="none"/>
    <w:basedOn w:val="TableNormal"/>
    <w:rsid w:val="0006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97969"/>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unhideWhenUsed/>
    <w:rsid w:val="00D90855"/>
    <w:pPr>
      <w:spacing w:after="0" w:line="240" w:lineRule="auto"/>
      <w:ind w:left="227" w:hanging="227"/>
      <w:jc w:val="both"/>
    </w:pPr>
    <w:rPr>
      <w:sz w:val="20"/>
      <w:szCs w:val="20"/>
    </w:rPr>
  </w:style>
  <w:style w:type="character" w:customStyle="1" w:styleId="FootnoteTextChar">
    <w:name w:val="Footnote Text Char"/>
    <w:basedOn w:val="DefaultParagraphFont"/>
    <w:link w:val="FootnoteText"/>
    <w:uiPriority w:val="99"/>
    <w:rsid w:val="00D90855"/>
    <w:rPr>
      <w:sz w:val="20"/>
      <w:szCs w:val="20"/>
    </w:rPr>
  </w:style>
  <w:style w:type="character" w:styleId="FootnoteReference">
    <w:name w:val="footnote reference"/>
    <w:basedOn w:val="DefaultParagraphFont"/>
    <w:uiPriority w:val="99"/>
    <w:unhideWhenUsed/>
    <w:rsid w:val="00197969"/>
    <w:rPr>
      <w:vertAlign w:val="superscript"/>
    </w:rPr>
  </w:style>
  <w:style w:type="paragraph" w:styleId="ListBullet2">
    <w:name w:val="List Bullet 2"/>
    <w:basedOn w:val="Normal"/>
    <w:uiPriority w:val="99"/>
    <w:unhideWhenUsed/>
    <w:rsid w:val="003310E3"/>
    <w:pPr>
      <w:numPr>
        <w:numId w:val="2"/>
      </w:numPr>
      <w:contextualSpacing/>
      <w:jc w:val="both"/>
    </w:pPr>
  </w:style>
  <w:style w:type="paragraph" w:styleId="ListBullet3">
    <w:name w:val="List Bullet 3"/>
    <w:basedOn w:val="Normal"/>
    <w:uiPriority w:val="99"/>
    <w:unhideWhenUsed/>
    <w:rsid w:val="00D00508"/>
    <w:pPr>
      <w:numPr>
        <w:numId w:val="3"/>
      </w:numPr>
      <w:contextualSpacing/>
    </w:pPr>
  </w:style>
  <w:style w:type="character" w:customStyle="1" w:styleId="Heading5Char">
    <w:name w:val="Heading 5 Char"/>
    <w:basedOn w:val="DefaultParagraphFont"/>
    <w:link w:val="Heading5"/>
    <w:uiPriority w:val="9"/>
    <w:semiHidden/>
    <w:rsid w:val="001167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167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167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167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67A5"/>
    <w:rPr>
      <w:rFonts w:asciiTheme="majorHAnsi" w:eastAsiaTheme="majorEastAsia" w:hAnsiTheme="majorHAnsi" w:cstheme="majorBidi"/>
      <w:i/>
      <w:iCs/>
      <w:color w:val="272727" w:themeColor="text1" w:themeTint="D8"/>
      <w:sz w:val="21"/>
      <w:szCs w:val="21"/>
    </w:rPr>
  </w:style>
  <w:style w:type="paragraph" w:customStyle="1" w:styleId="Default">
    <w:name w:val="Default"/>
    <w:rsid w:val="00D26B14"/>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unhideWhenUsed/>
    <w:rsid w:val="00DA1357"/>
    <w:pPr>
      <w:spacing w:after="0" w:line="240" w:lineRule="auto"/>
    </w:pPr>
    <w:rPr>
      <w:sz w:val="20"/>
      <w:szCs w:val="20"/>
    </w:rPr>
  </w:style>
  <w:style w:type="character" w:customStyle="1" w:styleId="EndnoteTextChar">
    <w:name w:val="Endnote Text Char"/>
    <w:basedOn w:val="DefaultParagraphFont"/>
    <w:link w:val="EndnoteText"/>
    <w:uiPriority w:val="99"/>
    <w:rsid w:val="00DA1357"/>
    <w:rPr>
      <w:sz w:val="20"/>
      <w:szCs w:val="20"/>
    </w:rPr>
  </w:style>
  <w:style w:type="character" w:styleId="EndnoteReference">
    <w:name w:val="endnote reference"/>
    <w:basedOn w:val="DefaultParagraphFont"/>
    <w:uiPriority w:val="99"/>
    <w:semiHidden/>
    <w:unhideWhenUsed/>
    <w:rsid w:val="00DA1357"/>
    <w:rPr>
      <w:vertAlign w:val="superscript"/>
    </w:rPr>
  </w:style>
  <w:style w:type="character" w:styleId="FollowedHyperlink">
    <w:name w:val="FollowedHyperlink"/>
    <w:basedOn w:val="DefaultParagraphFont"/>
    <w:uiPriority w:val="99"/>
    <w:semiHidden/>
    <w:unhideWhenUsed/>
    <w:rsid w:val="00C40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03584">
      <w:bodyDiv w:val="1"/>
      <w:marLeft w:val="0"/>
      <w:marRight w:val="0"/>
      <w:marTop w:val="0"/>
      <w:marBottom w:val="0"/>
      <w:divBdr>
        <w:top w:val="none" w:sz="0" w:space="0" w:color="auto"/>
        <w:left w:val="none" w:sz="0" w:space="0" w:color="auto"/>
        <w:bottom w:val="none" w:sz="0" w:space="0" w:color="auto"/>
        <w:right w:val="none" w:sz="0" w:space="0" w:color="auto"/>
      </w:divBdr>
      <w:divsChild>
        <w:div w:id="526912027">
          <w:marLeft w:val="0"/>
          <w:marRight w:val="0"/>
          <w:marTop w:val="0"/>
          <w:marBottom w:val="0"/>
          <w:divBdr>
            <w:top w:val="none" w:sz="0" w:space="0" w:color="auto"/>
            <w:left w:val="none" w:sz="0" w:space="0" w:color="auto"/>
            <w:bottom w:val="none" w:sz="0" w:space="0" w:color="auto"/>
            <w:right w:val="none" w:sz="0" w:space="0" w:color="auto"/>
          </w:divBdr>
        </w:div>
        <w:div w:id="1115631944">
          <w:marLeft w:val="0"/>
          <w:marRight w:val="0"/>
          <w:marTop w:val="0"/>
          <w:marBottom w:val="0"/>
          <w:divBdr>
            <w:top w:val="none" w:sz="0" w:space="0" w:color="auto"/>
            <w:left w:val="none" w:sz="0" w:space="0" w:color="auto"/>
            <w:bottom w:val="none" w:sz="0" w:space="0" w:color="auto"/>
            <w:right w:val="none" w:sz="0" w:space="0" w:color="auto"/>
          </w:divBdr>
        </w:div>
        <w:div w:id="990477826">
          <w:marLeft w:val="0"/>
          <w:marRight w:val="0"/>
          <w:marTop w:val="0"/>
          <w:marBottom w:val="0"/>
          <w:divBdr>
            <w:top w:val="none" w:sz="0" w:space="0" w:color="auto"/>
            <w:left w:val="none" w:sz="0" w:space="0" w:color="auto"/>
            <w:bottom w:val="none" w:sz="0" w:space="0" w:color="auto"/>
            <w:right w:val="none" w:sz="0" w:space="0" w:color="auto"/>
          </w:divBdr>
        </w:div>
        <w:div w:id="953171929">
          <w:marLeft w:val="0"/>
          <w:marRight w:val="0"/>
          <w:marTop w:val="0"/>
          <w:marBottom w:val="0"/>
          <w:divBdr>
            <w:top w:val="none" w:sz="0" w:space="0" w:color="auto"/>
            <w:left w:val="none" w:sz="0" w:space="0" w:color="auto"/>
            <w:bottom w:val="none" w:sz="0" w:space="0" w:color="auto"/>
            <w:right w:val="none" w:sz="0" w:space="0" w:color="auto"/>
          </w:divBdr>
        </w:div>
        <w:div w:id="1909993766">
          <w:marLeft w:val="0"/>
          <w:marRight w:val="0"/>
          <w:marTop w:val="0"/>
          <w:marBottom w:val="0"/>
          <w:divBdr>
            <w:top w:val="none" w:sz="0" w:space="0" w:color="auto"/>
            <w:left w:val="none" w:sz="0" w:space="0" w:color="auto"/>
            <w:bottom w:val="none" w:sz="0" w:space="0" w:color="auto"/>
            <w:right w:val="none" w:sz="0" w:space="0" w:color="auto"/>
          </w:divBdr>
        </w:div>
        <w:div w:id="183790165">
          <w:marLeft w:val="0"/>
          <w:marRight w:val="0"/>
          <w:marTop w:val="0"/>
          <w:marBottom w:val="0"/>
          <w:divBdr>
            <w:top w:val="none" w:sz="0" w:space="0" w:color="auto"/>
            <w:left w:val="none" w:sz="0" w:space="0" w:color="auto"/>
            <w:bottom w:val="none" w:sz="0" w:space="0" w:color="auto"/>
            <w:right w:val="none" w:sz="0" w:space="0" w:color="auto"/>
          </w:divBdr>
        </w:div>
        <w:div w:id="1989018096">
          <w:marLeft w:val="0"/>
          <w:marRight w:val="0"/>
          <w:marTop w:val="0"/>
          <w:marBottom w:val="0"/>
          <w:divBdr>
            <w:top w:val="none" w:sz="0" w:space="0" w:color="auto"/>
            <w:left w:val="none" w:sz="0" w:space="0" w:color="auto"/>
            <w:bottom w:val="none" w:sz="0" w:space="0" w:color="auto"/>
            <w:right w:val="none" w:sz="0" w:space="0" w:color="auto"/>
          </w:divBdr>
        </w:div>
        <w:div w:id="1275015600">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928419505">
          <w:marLeft w:val="0"/>
          <w:marRight w:val="0"/>
          <w:marTop w:val="0"/>
          <w:marBottom w:val="0"/>
          <w:divBdr>
            <w:top w:val="none" w:sz="0" w:space="0" w:color="auto"/>
            <w:left w:val="none" w:sz="0" w:space="0" w:color="auto"/>
            <w:bottom w:val="none" w:sz="0" w:space="0" w:color="auto"/>
            <w:right w:val="none" w:sz="0" w:space="0" w:color="auto"/>
          </w:divBdr>
        </w:div>
        <w:div w:id="276061383">
          <w:marLeft w:val="0"/>
          <w:marRight w:val="0"/>
          <w:marTop w:val="0"/>
          <w:marBottom w:val="0"/>
          <w:divBdr>
            <w:top w:val="none" w:sz="0" w:space="0" w:color="auto"/>
            <w:left w:val="none" w:sz="0" w:space="0" w:color="auto"/>
            <w:bottom w:val="none" w:sz="0" w:space="0" w:color="auto"/>
            <w:right w:val="none" w:sz="0" w:space="0" w:color="auto"/>
          </w:divBdr>
        </w:div>
        <w:div w:id="1807120233">
          <w:marLeft w:val="0"/>
          <w:marRight w:val="0"/>
          <w:marTop w:val="0"/>
          <w:marBottom w:val="0"/>
          <w:divBdr>
            <w:top w:val="none" w:sz="0" w:space="0" w:color="auto"/>
            <w:left w:val="none" w:sz="0" w:space="0" w:color="auto"/>
            <w:bottom w:val="none" w:sz="0" w:space="0" w:color="auto"/>
            <w:right w:val="none" w:sz="0" w:space="0" w:color="auto"/>
          </w:divBdr>
        </w:div>
        <w:div w:id="303660963">
          <w:marLeft w:val="0"/>
          <w:marRight w:val="0"/>
          <w:marTop w:val="0"/>
          <w:marBottom w:val="0"/>
          <w:divBdr>
            <w:top w:val="none" w:sz="0" w:space="0" w:color="auto"/>
            <w:left w:val="none" w:sz="0" w:space="0" w:color="auto"/>
            <w:bottom w:val="none" w:sz="0" w:space="0" w:color="auto"/>
            <w:right w:val="none" w:sz="0" w:space="0" w:color="auto"/>
          </w:divBdr>
        </w:div>
        <w:div w:id="1064068553">
          <w:marLeft w:val="0"/>
          <w:marRight w:val="0"/>
          <w:marTop w:val="0"/>
          <w:marBottom w:val="0"/>
          <w:divBdr>
            <w:top w:val="none" w:sz="0" w:space="0" w:color="auto"/>
            <w:left w:val="none" w:sz="0" w:space="0" w:color="auto"/>
            <w:bottom w:val="none" w:sz="0" w:space="0" w:color="auto"/>
            <w:right w:val="none" w:sz="0" w:space="0" w:color="auto"/>
          </w:divBdr>
        </w:div>
        <w:div w:id="1835299342">
          <w:marLeft w:val="0"/>
          <w:marRight w:val="0"/>
          <w:marTop w:val="0"/>
          <w:marBottom w:val="0"/>
          <w:divBdr>
            <w:top w:val="none" w:sz="0" w:space="0" w:color="auto"/>
            <w:left w:val="none" w:sz="0" w:space="0" w:color="auto"/>
            <w:bottom w:val="none" w:sz="0" w:space="0" w:color="auto"/>
            <w:right w:val="none" w:sz="0" w:space="0" w:color="auto"/>
          </w:divBdr>
        </w:div>
      </w:divsChild>
    </w:div>
    <w:div w:id="690299395">
      <w:bodyDiv w:val="1"/>
      <w:marLeft w:val="0"/>
      <w:marRight w:val="0"/>
      <w:marTop w:val="0"/>
      <w:marBottom w:val="0"/>
      <w:divBdr>
        <w:top w:val="none" w:sz="0" w:space="0" w:color="auto"/>
        <w:left w:val="none" w:sz="0" w:space="0" w:color="auto"/>
        <w:bottom w:val="none" w:sz="0" w:space="0" w:color="auto"/>
        <w:right w:val="none" w:sz="0" w:space="0" w:color="auto"/>
      </w:divBdr>
      <w:divsChild>
        <w:div w:id="1965694772">
          <w:marLeft w:val="0"/>
          <w:marRight w:val="0"/>
          <w:marTop w:val="0"/>
          <w:marBottom w:val="0"/>
          <w:divBdr>
            <w:top w:val="none" w:sz="0" w:space="0" w:color="auto"/>
            <w:left w:val="none" w:sz="0" w:space="0" w:color="auto"/>
            <w:bottom w:val="none" w:sz="0" w:space="0" w:color="auto"/>
            <w:right w:val="none" w:sz="0" w:space="0" w:color="auto"/>
          </w:divBdr>
          <w:divsChild>
            <w:div w:id="1699040388">
              <w:marLeft w:val="0"/>
              <w:marRight w:val="0"/>
              <w:marTop w:val="0"/>
              <w:marBottom w:val="0"/>
              <w:divBdr>
                <w:top w:val="none" w:sz="0" w:space="0" w:color="auto"/>
                <w:left w:val="none" w:sz="0" w:space="0" w:color="auto"/>
                <w:bottom w:val="none" w:sz="0" w:space="0" w:color="auto"/>
                <w:right w:val="none" w:sz="0" w:space="0" w:color="auto"/>
              </w:divBdr>
              <w:divsChild>
                <w:div w:id="1773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20928">
      <w:bodyDiv w:val="1"/>
      <w:marLeft w:val="0"/>
      <w:marRight w:val="0"/>
      <w:marTop w:val="0"/>
      <w:marBottom w:val="0"/>
      <w:divBdr>
        <w:top w:val="none" w:sz="0" w:space="0" w:color="auto"/>
        <w:left w:val="none" w:sz="0" w:space="0" w:color="auto"/>
        <w:bottom w:val="none" w:sz="0" w:space="0" w:color="auto"/>
        <w:right w:val="none" w:sz="0" w:space="0" w:color="auto"/>
      </w:divBdr>
      <w:divsChild>
        <w:div w:id="431360217">
          <w:marLeft w:val="0"/>
          <w:marRight w:val="0"/>
          <w:marTop w:val="0"/>
          <w:marBottom w:val="0"/>
          <w:divBdr>
            <w:top w:val="none" w:sz="0" w:space="0" w:color="auto"/>
            <w:left w:val="none" w:sz="0" w:space="0" w:color="auto"/>
            <w:bottom w:val="none" w:sz="0" w:space="0" w:color="auto"/>
            <w:right w:val="none" w:sz="0" w:space="0" w:color="auto"/>
          </w:divBdr>
        </w:div>
        <w:div w:id="2121340914">
          <w:marLeft w:val="0"/>
          <w:marRight w:val="0"/>
          <w:marTop w:val="0"/>
          <w:marBottom w:val="0"/>
          <w:divBdr>
            <w:top w:val="none" w:sz="0" w:space="0" w:color="auto"/>
            <w:left w:val="none" w:sz="0" w:space="0" w:color="auto"/>
            <w:bottom w:val="none" w:sz="0" w:space="0" w:color="auto"/>
            <w:right w:val="none" w:sz="0" w:space="0" w:color="auto"/>
          </w:divBdr>
        </w:div>
        <w:div w:id="682055604">
          <w:marLeft w:val="0"/>
          <w:marRight w:val="0"/>
          <w:marTop w:val="0"/>
          <w:marBottom w:val="0"/>
          <w:divBdr>
            <w:top w:val="none" w:sz="0" w:space="0" w:color="auto"/>
            <w:left w:val="none" w:sz="0" w:space="0" w:color="auto"/>
            <w:bottom w:val="none" w:sz="0" w:space="0" w:color="auto"/>
            <w:right w:val="none" w:sz="0" w:space="0" w:color="auto"/>
          </w:divBdr>
        </w:div>
        <w:div w:id="895816694">
          <w:marLeft w:val="0"/>
          <w:marRight w:val="0"/>
          <w:marTop w:val="0"/>
          <w:marBottom w:val="0"/>
          <w:divBdr>
            <w:top w:val="none" w:sz="0" w:space="0" w:color="auto"/>
            <w:left w:val="none" w:sz="0" w:space="0" w:color="auto"/>
            <w:bottom w:val="none" w:sz="0" w:space="0" w:color="auto"/>
            <w:right w:val="none" w:sz="0" w:space="0" w:color="auto"/>
          </w:divBdr>
        </w:div>
        <w:div w:id="1595242814">
          <w:marLeft w:val="0"/>
          <w:marRight w:val="0"/>
          <w:marTop w:val="0"/>
          <w:marBottom w:val="0"/>
          <w:divBdr>
            <w:top w:val="none" w:sz="0" w:space="0" w:color="auto"/>
            <w:left w:val="none" w:sz="0" w:space="0" w:color="auto"/>
            <w:bottom w:val="none" w:sz="0" w:space="0" w:color="auto"/>
            <w:right w:val="none" w:sz="0" w:space="0" w:color="auto"/>
          </w:divBdr>
        </w:div>
        <w:div w:id="1608737240">
          <w:marLeft w:val="0"/>
          <w:marRight w:val="0"/>
          <w:marTop w:val="0"/>
          <w:marBottom w:val="0"/>
          <w:divBdr>
            <w:top w:val="none" w:sz="0" w:space="0" w:color="auto"/>
            <w:left w:val="none" w:sz="0" w:space="0" w:color="auto"/>
            <w:bottom w:val="none" w:sz="0" w:space="0" w:color="auto"/>
            <w:right w:val="none" w:sz="0" w:space="0" w:color="auto"/>
          </w:divBdr>
        </w:div>
        <w:div w:id="1339580861">
          <w:marLeft w:val="0"/>
          <w:marRight w:val="0"/>
          <w:marTop w:val="0"/>
          <w:marBottom w:val="0"/>
          <w:divBdr>
            <w:top w:val="none" w:sz="0" w:space="0" w:color="auto"/>
            <w:left w:val="none" w:sz="0" w:space="0" w:color="auto"/>
            <w:bottom w:val="none" w:sz="0" w:space="0" w:color="auto"/>
            <w:right w:val="none" w:sz="0" w:space="0" w:color="auto"/>
          </w:divBdr>
        </w:div>
        <w:div w:id="694581141">
          <w:marLeft w:val="0"/>
          <w:marRight w:val="0"/>
          <w:marTop w:val="0"/>
          <w:marBottom w:val="0"/>
          <w:divBdr>
            <w:top w:val="none" w:sz="0" w:space="0" w:color="auto"/>
            <w:left w:val="none" w:sz="0" w:space="0" w:color="auto"/>
            <w:bottom w:val="none" w:sz="0" w:space="0" w:color="auto"/>
            <w:right w:val="none" w:sz="0" w:space="0" w:color="auto"/>
          </w:divBdr>
        </w:div>
        <w:div w:id="1081680416">
          <w:marLeft w:val="0"/>
          <w:marRight w:val="0"/>
          <w:marTop w:val="0"/>
          <w:marBottom w:val="0"/>
          <w:divBdr>
            <w:top w:val="none" w:sz="0" w:space="0" w:color="auto"/>
            <w:left w:val="none" w:sz="0" w:space="0" w:color="auto"/>
            <w:bottom w:val="none" w:sz="0" w:space="0" w:color="auto"/>
            <w:right w:val="none" w:sz="0" w:space="0" w:color="auto"/>
          </w:divBdr>
        </w:div>
        <w:div w:id="803621488">
          <w:marLeft w:val="0"/>
          <w:marRight w:val="0"/>
          <w:marTop w:val="0"/>
          <w:marBottom w:val="0"/>
          <w:divBdr>
            <w:top w:val="none" w:sz="0" w:space="0" w:color="auto"/>
            <w:left w:val="none" w:sz="0" w:space="0" w:color="auto"/>
            <w:bottom w:val="none" w:sz="0" w:space="0" w:color="auto"/>
            <w:right w:val="none" w:sz="0" w:space="0" w:color="auto"/>
          </w:divBdr>
        </w:div>
        <w:div w:id="996618205">
          <w:marLeft w:val="0"/>
          <w:marRight w:val="0"/>
          <w:marTop w:val="0"/>
          <w:marBottom w:val="0"/>
          <w:divBdr>
            <w:top w:val="none" w:sz="0" w:space="0" w:color="auto"/>
            <w:left w:val="none" w:sz="0" w:space="0" w:color="auto"/>
            <w:bottom w:val="none" w:sz="0" w:space="0" w:color="auto"/>
            <w:right w:val="none" w:sz="0" w:space="0" w:color="auto"/>
          </w:divBdr>
        </w:div>
        <w:div w:id="974457414">
          <w:marLeft w:val="0"/>
          <w:marRight w:val="0"/>
          <w:marTop w:val="0"/>
          <w:marBottom w:val="0"/>
          <w:divBdr>
            <w:top w:val="none" w:sz="0" w:space="0" w:color="auto"/>
            <w:left w:val="none" w:sz="0" w:space="0" w:color="auto"/>
            <w:bottom w:val="none" w:sz="0" w:space="0" w:color="auto"/>
            <w:right w:val="none" w:sz="0" w:space="0" w:color="auto"/>
          </w:divBdr>
        </w:div>
        <w:div w:id="860628260">
          <w:marLeft w:val="0"/>
          <w:marRight w:val="0"/>
          <w:marTop w:val="0"/>
          <w:marBottom w:val="0"/>
          <w:divBdr>
            <w:top w:val="none" w:sz="0" w:space="0" w:color="auto"/>
            <w:left w:val="none" w:sz="0" w:space="0" w:color="auto"/>
            <w:bottom w:val="none" w:sz="0" w:space="0" w:color="auto"/>
            <w:right w:val="none" w:sz="0" w:space="0" w:color="auto"/>
          </w:divBdr>
        </w:div>
        <w:div w:id="2011789996">
          <w:marLeft w:val="0"/>
          <w:marRight w:val="0"/>
          <w:marTop w:val="0"/>
          <w:marBottom w:val="0"/>
          <w:divBdr>
            <w:top w:val="none" w:sz="0" w:space="0" w:color="auto"/>
            <w:left w:val="none" w:sz="0" w:space="0" w:color="auto"/>
            <w:bottom w:val="none" w:sz="0" w:space="0" w:color="auto"/>
            <w:right w:val="none" w:sz="0" w:space="0" w:color="auto"/>
          </w:divBdr>
        </w:div>
        <w:div w:id="105870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mailto:admin@ahha.asn.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www.ahha.asn.au"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image" Target="media/image2.emf"/><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2017FG-116-771</_dlc_DocId>
    <TaxCatchAll xmlns="e544e5cc-ab70-42e1-849e-1a0f8bb1f4ef">
      <Value>2</Value>
    </TaxCatchAll>
    <_dlc_DocIdUrl xmlns="e544e5cc-ab70-42e1-849e-1a0f8bb1f4ef">
      <Url>http://tweb/sites/fg/spd/_layouts/15/DocIdRedir.aspx?ID=2017FG-116-771</Url>
      <Description>2017FG-116-771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DEBDC-196D-4F20-8542-E89D47BAD345}">
  <ds:schemaRefs>
    <ds:schemaRef ds:uri="http://schemas.microsoft.com/sharepoint/v3/contenttype/forms"/>
  </ds:schemaRefs>
</ds:datastoreItem>
</file>

<file path=customXml/itemProps2.xml><?xml version="1.0" encoding="utf-8"?>
<ds:datastoreItem xmlns:ds="http://schemas.openxmlformats.org/officeDocument/2006/customXml" ds:itemID="{ED5433F5-BC42-4BF5-8B59-017799C65B1E}">
  <ds:schemaRefs>
    <ds:schemaRef ds:uri="office.server.policy"/>
  </ds:schemaRefs>
</ds:datastoreItem>
</file>

<file path=customXml/itemProps3.xml><?xml version="1.0" encoding="utf-8"?>
<ds:datastoreItem xmlns:ds="http://schemas.openxmlformats.org/officeDocument/2006/customXml" ds:itemID="{615BAB1B-2C7B-449B-BA48-91C7686CC340}">
  <ds:schemaRefs>
    <ds:schemaRef ds:uri="http://schemas.microsoft.com/sharepoint/events"/>
  </ds:schemaRefs>
</ds:datastoreItem>
</file>

<file path=customXml/itemProps4.xml><?xml version="1.0" encoding="utf-8"?>
<ds:datastoreItem xmlns:ds="http://schemas.openxmlformats.org/officeDocument/2006/customXml" ds:itemID="{B211FB1D-A9CF-4D4B-918F-C09013B63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59D0E-1D7D-4CD9-B9FC-145C6BE49DF1}">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6.xml><?xml version="1.0" encoding="utf-8"?>
<ds:datastoreItem xmlns:ds="http://schemas.openxmlformats.org/officeDocument/2006/customXml" ds:itemID="{F614AA0F-355C-470A-B407-5D14047F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2657</Words>
  <Characters>15327</Characters>
  <Application>Microsoft Office Word</Application>
  <DocSecurity>0</DocSecurity>
  <Lines>248</Lines>
  <Paragraphs>85</Paragraphs>
  <ScaleCrop>false</ScaleCrop>
  <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AHHA - Submission to Social Impact Investing</dc:title>
  <dc:creator/>
  <cp:lastModifiedBy/>
  <cp:revision>1</cp:revision>
  <dcterms:created xsi:type="dcterms:W3CDTF">2017-05-02T02:43:00Z</dcterms:created>
  <dcterms:modified xsi:type="dcterms:W3CDTF">2017-05-02T02:43:00Z</dcterms:modified>
  <dc:language>English</dc:language>
</cp:coreProperties>
</file>