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65632" w14:textId="77777777" w:rsidR="00B01952" w:rsidRDefault="00B01952" w:rsidP="00B01952">
      <w:pPr>
        <w:rPr>
          <w:color w:val="000000"/>
        </w:rPr>
      </w:pPr>
      <w:bookmarkStart w:id="0" w:name="_GoBack"/>
      <w:bookmarkEnd w:id="0"/>
      <w:r>
        <w:rPr>
          <w:color w:val="000000"/>
        </w:rPr>
        <w:t>My submission is split into two parts. The first relates to negative gearing and the second related to the 50% CGT discount (upon disposal) -whether they relate to real property or other asset classes such as shares. However, for the purposes for this submission, I will focus on how they apply to real property.</w:t>
      </w:r>
    </w:p>
    <w:p w14:paraId="61059840" w14:textId="77777777" w:rsidR="00B01952" w:rsidRDefault="00B01952" w:rsidP="00B01952">
      <w:pPr>
        <w:rPr>
          <w:color w:val="000000"/>
        </w:rPr>
      </w:pPr>
      <w:r>
        <w:rPr>
          <w:color w:val="000000"/>
        </w:rPr>
        <w:t> </w:t>
      </w:r>
    </w:p>
    <w:p w14:paraId="2EAEB228" w14:textId="77777777" w:rsidR="00B01952" w:rsidRDefault="00B01952" w:rsidP="00B01952">
      <w:pPr>
        <w:rPr>
          <w:rFonts w:ascii="Times New Roman" w:hAnsi="Times New Roman"/>
          <w:color w:val="000000"/>
        </w:rPr>
      </w:pPr>
      <w:r>
        <w:rPr>
          <w:rStyle w:val="Strong"/>
          <w:color w:val="000000"/>
          <w:sz w:val="27"/>
          <w:szCs w:val="27"/>
        </w:rPr>
        <w:t>PART 1</w:t>
      </w:r>
    </w:p>
    <w:p w14:paraId="7EF57960" w14:textId="77777777" w:rsidR="00B01952" w:rsidRDefault="00B01952" w:rsidP="00B01952">
      <w:pPr>
        <w:rPr>
          <w:color w:val="000000"/>
        </w:rPr>
      </w:pPr>
      <w:r>
        <w:rPr>
          <w:color w:val="000000"/>
        </w:rPr>
        <w:t> </w:t>
      </w:r>
    </w:p>
    <w:p w14:paraId="2A3E57B4" w14:textId="77777777" w:rsidR="00B01952" w:rsidRDefault="00B01952" w:rsidP="00B01952">
      <w:pPr>
        <w:rPr>
          <w:color w:val="000000"/>
        </w:rPr>
      </w:pPr>
      <w:r>
        <w:rPr>
          <w:color w:val="000000"/>
        </w:rPr>
        <w:t>Negative gearing has received a lot of media coverage recently, especially as we are in the middle of an investor led property price boom, particularly in Sydney and Melbourne. Most of the debate is centred around whether this tax incentive (for investors) is a contributing factor to significant price rises at the expense of home buyers (HB), including first HB who do not have these tax incentives at their disposal, yet are still required to compete with investors to purchase the same property (but for different reasons).</w:t>
      </w:r>
    </w:p>
    <w:p w14:paraId="34B76996" w14:textId="77777777" w:rsidR="00B01952" w:rsidRDefault="00B01952" w:rsidP="00B01952">
      <w:pPr>
        <w:rPr>
          <w:color w:val="000000"/>
        </w:rPr>
      </w:pPr>
      <w:r>
        <w:rPr>
          <w:color w:val="000000"/>
        </w:rPr>
        <w:t> </w:t>
      </w:r>
    </w:p>
    <w:p w14:paraId="7B5A671F" w14:textId="77777777" w:rsidR="00B01952" w:rsidRDefault="00B01952" w:rsidP="00B01952">
      <w:pPr>
        <w:rPr>
          <w:color w:val="000000"/>
        </w:rPr>
      </w:pPr>
      <w:r>
        <w:rPr>
          <w:color w:val="000000"/>
        </w:rPr>
        <w:t xml:space="preserve">Currently, net rental losses in any given year can be offset against other income (such as salary and wages) recorded in that year to reduce total tax payable. For most investors, the tax break equates to approximately 34.5% (of the net loss) but could be as high as 47%. Essentially this means that loan repayments on a negative geared investment property is generally financed from three different sources: </w:t>
      </w:r>
    </w:p>
    <w:p w14:paraId="563302FA" w14:textId="77777777" w:rsidR="00B01952" w:rsidRDefault="00B01952" w:rsidP="00B01952">
      <w:pPr>
        <w:numPr>
          <w:ilvl w:val="0"/>
          <w:numId w:val="4"/>
        </w:numPr>
        <w:spacing w:before="100" w:beforeAutospacing="1" w:after="100" w:afterAutospacing="1"/>
        <w:rPr>
          <w:rFonts w:ascii="Times New Roman" w:eastAsia="Times New Roman" w:hAnsi="Times New Roman"/>
          <w:color w:val="000000"/>
        </w:rPr>
      </w:pPr>
      <w:r>
        <w:rPr>
          <w:rFonts w:eastAsia="Times New Roman"/>
          <w:color w:val="000000"/>
        </w:rPr>
        <w:t xml:space="preserve">the tenant (rent) </w:t>
      </w:r>
    </w:p>
    <w:p w14:paraId="7E060E41" w14:textId="77777777" w:rsidR="00B01952" w:rsidRDefault="00B01952" w:rsidP="00B01952">
      <w:pPr>
        <w:numPr>
          <w:ilvl w:val="0"/>
          <w:numId w:val="4"/>
        </w:numPr>
        <w:spacing w:before="100" w:beforeAutospacing="1" w:after="100" w:afterAutospacing="1"/>
        <w:rPr>
          <w:rFonts w:eastAsia="Times New Roman"/>
          <w:color w:val="000000"/>
        </w:rPr>
      </w:pPr>
      <w:r>
        <w:rPr>
          <w:rFonts w:eastAsia="Times New Roman"/>
          <w:color w:val="000000"/>
        </w:rPr>
        <w:t xml:space="preserve">the owner (capital contributions); and </w:t>
      </w:r>
    </w:p>
    <w:p w14:paraId="495DC0DC" w14:textId="77777777" w:rsidR="00B01952" w:rsidRDefault="00B01952" w:rsidP="00B01952">
      <w:pPr>
        <w:numPr>
          <w:ilvl w:val="0"/>
          <w:numId w:val="4"/>
        </w:numPr>
        <w:spacing w:before="100" w:beforeAutospacing="1" w:after="100" w:afterAutospacing="1"/>
        <w:rPr>
          <w:rFonts w:eastAsia="Times New Roman"/>
          <w:color w:val="000000"/>
        </w:rPr>
      </w:pPr>
      <w:proofErr w:type="gramStart"/>
      <w:r>
        <w:rPr>
          <w:rFonts w:eastAsia="Times New Roman"/>
          <w:color w:val="000000"/>
        </w:rPr>
        <w:t>taxpayers</w:t>
      </w:r>
      <w:proofErr w:type="gramEnd"/>
      <w:r>
        <w:rPr>
          <w:rFonts w:eastAsia="Times New Roman"/>
          <w:color w:val="000000"/>
        </w:rPr>
        <w:t xml:space="preserve"> (tax refund).</w:t>
      </w:r>
    </w:p>
    <w:p w14:paraId="2CBC8B52" w14:textId="77777777" w:rsidR="00B01952" w:rsidRDefault="00B01952" w:rsidP="00B01952">
      <w:pPr>
        <w:rPr>
          <w:rFonts w:ascii="Times New Roman" w:hAnsi="Times New Roman"/>
          <w:color w:val="000000"/>
        </w:rPr>
      </w:pPr>
      <w:r>
        <w:rPr>
          <w:color w:val="000000"/>
        </w:rPr>
        <w:t> </w:t>
      </w:r>
    </w:p>
    <w:p w14:paraId="583982A2" w14:textId="77777777" w:rsidR="00B01952" w:rsidRDefault="00B01952" w:rsidP="00B01952">
      <w:pPr>
        <w:rPr>
          <w:color w:val="000000"/>
        </w:rPr>
      </w:pPr>
      <w:r>
        <w:rPr>
          <w:color w:val="000000"/>
        </w:rPr>
        <w:t>Rather than removing negative gearing altogether, I suggest two alternative solutions worth exploring as they provide:</w:t>
      </w:r>
    </w:p>
    <w:p w14:paraId="31556362" w14:textId="77777777" w:rsidR="00B01952" w:rsidRDefault="00B01952" w:rsidP="00B01952">
      <w:pPr>
        <w:numPr>
          <w:ilvl w:val="0"/>
          <w:numId w:val="5"/>
        </w:numPr>
        <w:spacing w:before="100" w:beforeAutospacing="1" w:after="100" w:afterAutospacing="1"/>
        <w:rPr>
          <w:rFonts w:eastAsia="Times New Roman"/>
          <w:color w:val="000000"/>
        </w:rPr>
      </w:pPr>
      <w:r>
        <w:rPr>
          <w:rFonts w:eastAsia="Times New Roman"/>
          <w:color w:val="000000"/>
        </w:rPr>
        <w:t xml:space="preserve">a better outcome for government in terms of increased tax revenue (over the short to medium term); and </w:t>
      </w:r>
    </w:p>
    <w:p w14:paraId="33D27AF9" w14:textId="77777777" w:rsidR="00B01952" w:rsidRDefault="00B01952" w:rsidP="00B01952">
      <w:pPr>
        <w:numPr>
          <w:ilvl w:val="0"/>
          <w:numId w:val="5"/>
        </w:numPr>
        <w:spacing w:before="100" w:beforeAutospacing="1" w:after="100" w:afterAutospacing="1"/>
        <w:rPr>
          <w:rFonts w:eastAsia="Times New Roman"/>
          <w:color w:val="000000"/>
        </w:rPr>
      </w:pPr>
      <w:proofErr w:type="gramStart"/>
      <w:r>
        <w:rPr>
          <w:rFonts w:eastAsia="Times New Roman"/>
          <w:color w:val="000000"/>
        </w:rPr>
        <w:t>a</w:t>
      </w:r>
      <w:proofErr w:type="gramEnd"/>
      <w:r>
        <w:rPr>
          <w:rFonts w:eastAsia="Times New Roman"/>
          <w:color w:val="000000"/>
        </w:rPr>
        <w:t xml:space="preserve"> relatively neutral outcome for investors over the life of property ownership.</w:t>
      </w:r>
    </w:p>
    <w:p w14:paraId="2CC46A2A" w14:textId="77777777" w:rsidR="00B01952" w:rsidRDefault="00B01952" w:rsidP="00B01952">
      <w:pPr>
        <w:rPr>
          <w:rFonts w:ascii="Times New Roman" w:hAnsi="Times New Roman"/>
          <w:color w:val="000000"/>
        </w:rPr>
      </w:pPr>
      <w:r>
        <w:rPr>
          <w:color w:val="000000"/>
        </w:rPr>
        <w:t> </w:t>
      </w:r>
    </w:p>
    <w:p w14:paraId="0629A095" w14:textId="77777777" w:rsidR="00B01952" w:rsidRDefault="00B01952" w:rsidP="00B01952">
      <w:pPr>
        <w:rPr>
          <w:color w:val="000000"/>
        </w:rPr>
      </w:pPr>
      <w:r>
        <w:rPr>
          <w:rStyle w:val="Emphasis"/>
          <w:b/>
          <w:bCs/>
          <w:color w:val="000000"/>
        </w:rPr>
        <w:t>Alternative 1:</w:t>
      </w:r>
    </w:p>
    <w:p w14:paraId="06022702" w14:textId="77777777" w:rsidR="00B01952" w:rsidRDefault="00B01952" w:rsidP="00B01952">
      <w:pPr>
        <w:rPr>
          <w:color w:val="000000"/>
        </w:rPr>
      </w:pPr>
      <w:r>
        <w:rPr>
          <w:color w:val="000000"/>
        </w:rPr>
        <w:t> </w:t>
      </w:r>
    </w:p>
    <w:p w14:paraId="1B9F3805" w14:textId="77777777" w:rsidR="00B01952" w:rsidRDefault="00B01952" w:rsidP="00B01952">
      <w:pPr>
        <w:rPr>
          <w:color w:val="000000"/>
        </w:rPr>
      </w:pPr>
      <w:r>
        <w:rPr>
          <w:color w:val="000000"/>
        </w:rPr>
        <w:t>Net rental losses (</w:t>
      </w:r>
      <w:proofErr w:type="spellStart"/>
      <w:r>
        <w:rPr>
          <w:color w:val="000000"/>
        </w:rPr>
        <w:t>ie</w:t>
      </w:r>
      <w:proofErr w:type="spellEnd"/>
      <w:r>
        <w:rPr>
          <w:color w:val="000000"/>
        </w:rPr>
        <w:t xml:space="preserve"> total allowable deductions which exceed total rental income) returned in any given tax year should not be allowed to be offset against other income. Rather, the losses should be allowed to be carried forward indefinitely to be offset against net rental gains returned in future years (similar to business tax losses).  </w:t>
      </w:r>
    </w:p>
    <w:p w14:paraId="4634C573" w14:textId="77777777" w:rsidR="00B01952" w:rsidRDefault="00B01952" w:rsidP="00B01952">
      <w:pPr>
        <w:rPr>
          <w:color w:val="000000"/>
        </w:rPr>
      </w:pPr>
      <w:r>
        <w:rPr>
          <w:color w:val="000000"/>
        </w:rPr>
        <w:t> </w:t>
      </w:r>
    </w:p>
    <w:p w14:paraId="71879801" w14:textId="77777777" w:rsidR="00B01952" w:rsidRDefault="00B01952" w:rsidP="00B01952">
      <w:pPr>
        <w:rPr>
          <w:color w:val="000000"/>
        </w:rPr>
      </w:pPr>
      <w:r>
        <w:rPr>
          <w:rStyle w:val="Emphasis"/>
          <w:b/>
          <w:bCs/>
          <w:color w:val="000000"/>
        </w:rPr>
        <w:t>Alternative 2:</w:t>
      </w:r>
    </w:p>
    <w:p w14:paraId="79DF4649" w14:textId="77777777" w:rsidR="00B01952" w:rsidRDefault="00B01952" w:rsidP="00B01952">
      <w:pPr>
        <w:rPr>
          <w:color w:val="000000"/>
        </w:rPr>
      </w:pPr>
      <w:r>
        <w:rPr>
          <w:color w:val="000000"/>
        </w:rPr>
        <w:t> </w:t>
      </w:r>
    </w:p>
    <w:p w14:paraId="05985C54" w14:textId="77777777" w:rsidR="00B01952" w:rsidRDefault="00B01952" w:rsidP="00B01952">
      <w:pPr>
        <w:rPr>
          <w:color w:val="000000"/>
        </w:rPr>
      </w:pPr>
      <w:r>
        <w:rPr>
          <w:color w:val="000000"/>
        </w:rPr>
        <w:t xml:space="preserve">Net rental losses returned in any given tax year should not be allowed to be offset against other income. Rather the losses should be allowed to increase the cost base for CGT purposes at the time of disposal (of the property). </w:t>
      </w:r>
    </w:p>
    <w:p w14:paraId="411AB518" w14:textId="77777777" w:rsidR="00B01952" w:rsidRDefault="00B01952" w:rsidP="00B01952">
      <w:pPr>
        <w:rPr>
          <w:color w:val="000000"/>
        </w:rPr>
      </w:pPr>
      <w:r>
        <w:rPr>
          <w:color w:val="000000"/>
        </w:rPr>
        <w:t> </w:t>
      </w:r>
    </w:p>
    <w:p w14:paraId="38A2247F" w14:textId="77777777" w:rsidR="00B01952" w:rsidRDefault="00B01952" w:rsidP="00B01952">
      <w:pPr>
        <w:rPr>
          <w:color w:val="000000"/>
        </w:rPr>
      </w:pPr>
      <w:r>
        <w:rPr>
          <w:color w:val="000000"/>
        </w:rPr>
        <w:t>Furthermore, investors should be allowed to choose from the two alternatives, depending on individual circumstances.</w:t>
      </w:r>
    </w:p>
    <w:p w14:paraId="3F5F009E" w14:textId="77777777" w:rsidR="00B01952" w:rsidRDefault="00B01952" w:rsidP="00B01952">
      <w:pPr>
        <w:rPr>
          <w:color w:val="000000"/>
        </w:rPr>
      </w:pPr>
      <w:r>
        <w:rPr>
          <w:color w:val="000000"/>
        </w:rPr>
        <w:t> </w:t>
      </w:r>
    </w:p>
    <w:p w14:paraId="3AA77721" w14:textId="77777777" w:rsidR="00B01952" w:rsidRDefault="00B01952" w:rsidP="00B01952">
      <w:pPr>
        <w:rPr>
          <w:rFonts w:ascii="Times New Roman" w:hAnsi="Times New Roman"/>
          <w:color w:val="000000"/>
        </w:rPr>
      </w:pPr>
      <w:r>
        <w:rPr>
          <w:rStyle w:val="Strong"/>
          <w:color w:val="000000"/>
        </w:rPr>
        <w:t>PART 2</w:t>
      </w:r>
    </w:p>
    <w:p w14:paraId="4591FCA3" w14:textId="77777777" w:rsidR="00B01952" w:rsidRDefault="00B01952" w:rsidP="00B01952">
      <w:pPr>
        <w:rPr>
          <w:color w:val="000000"/>
        </w:rPr>
      </w:pPr>
      <w:r>
        <w:rPr>
          <w:color w:val="000000"/>
        </w:rPr>
        <w:t> </w:t>
      </w:r>
    </w:p>
    <w:p w14:paraId="0C95D647" w14:textId="77777777" w:rsidR="00B01952" w:rsidRDefault="00B01952" w:rsidP="00B01952">
      <w:pPr>
        <w:rPr>
          <w:color w:val="000000"/>
        </w:rPr>
      </w:pPr>
      <w:r>
        <w:rPr>
          <w:color w:val="000000"/>
        </w:rPr>
        <w:lastRenderedPageBreak/>
        <w:t xml:space="preserve">Another hot topic at the moment is the 50% CGT discount applicable to the disposal of properties held for 12 months or more. To reduce the risks associated with property speculation and provide a better incentive for investors to retain their investments in the rental pool for longer periods, I recommend the removal of the discount altogether for properties held for less than 5 years. For properties held for 5 years or more but less than 10 years, a 50% CGT discount should be retained (but only for the percentage of time held over 5 years). This recognises that capital gains were derived over a number of years and had gains been equally apportioned on an annual basis the effective marginal tax rate would most likely have been lower than otherwise. For properties held for 10 years or longer, there should be no CGT (but only for the percentage of time held over 10 years). </w:t>
      </w:r>
    </w:p>
    <w:p w14:paraId="6B4A2C32" w14:textId="77777777" w:rsidR="00B01952" w:rsidRDefault="00B01952" w:rsidP="00B01952">
      <w:pPr>
        <w:rPr>
          <w:color w:val="000000"/>
        </w:rPr>
      </w:pPr>
      <w:r>
        <w:rPr>
          <w:color w:val="000000"/>
        </w:rPr>
        <w:t> </w:t>
      </w:r>
    </w:p>
    <w:p w14:paraId="178E622B" w14:textId="77777777" w:rsidR="00B01952" w:rsidRDefault="00B01952" w:rsidP="00B01952">
      <w:pPr>
        <w:rPr>
          <w:color w:val="000000"/>
        </w:rPr>
      </w:pPr>
      <w:r>
        <w:rPr>
          <w:color w:val="000000"/>
        </w:rPr>
        <w:t>To illustrate how I propose this to work,</w:t>
      </w:r>
      <w:proofErr w:type="gramStart"/>
      <w:r>
        <w:rPr>
          <w:color w:val="000000"/>
        </w:rPr>
        <w:t>  assume</w:t>
      </w:r>
      <w:proofErr w:type="gramEnd"/>
      <w:r>
        <w:rPr>
          <w:color w:val="000000"/>
        </w:rPr>
        <w:t xml:space="preserve"> an investor made a net capital gain (NCG)</w:t>
      </w:r>
    </w:p>
    <w:p w14:paraId="4C58C398" w14:textId="77777777" w:rsidR="00B01952" w:rsidRDefault="00B01952" w:rsidP="00B01952">
      <w:pPr>
        <w:rPr>
          <w:color w:val="000000"/>
        </w:rPr>
      </w:pPr>
      <w:proofErr w:type="gramStart"/>
      <w:r>
        <w:rPr>
          <w:color w:val="000000"/>
        </w:rPr>
        <w:t>of</w:t>
      </w:r>
      <w:proofErr w:type="gramEnd"/>
      <w:r>
        <w:rPr>
          <w:color w:val="000000"/>
        </w:rPr>
        <w:t xml:space="preserve"> $100,000 on the sale of a property over 4 different periods (</w:t>
      </w:r>
      <w:proofErr w:type="spellStart"/>
      <w:r>
        <w:rPr>
          <w:color w:val="000000"/>
        </w:rPr>
        <w:t>eg</w:t>
      </w:r>
      <w:proofErr w:type="spellEnd"/>
      <w:r>
        <w:rPr>
          <w:color w:val="000000"/>
        </w:rPr>
        <w:t xml:space="preserve"> 4, 8, 12 and 15 years). The results are as follows:</w:t>
      </w:r>
    </w:p>
    <w:p w14:paraId="04546C00" w14:textId="77777777" w:rsidR="00B01952" w:rsidRDefault="00B01952" w:rsidP="00B01952">
      <w:pPr>
        <w:rPr>
          <w:color w:val="000000"/>
        </w:rPr>
      </w:pPr>
      <w:r>
        <w:rPr>
          <w:color w:val="000000"/>
        </w:rPr>
        <w:t> </w:t>
      </w:r>
    </w:p>
    <w:tbl>
      <w:tblPr>
        <w:tblW w:w="9056" w:type="dxa"/>
        <w:tblCellMar>
          <w:left w:w="0" w:type="dxa"/>
          <w:right w:w="0" w:type="dxa"/>
        </w:tblCellMar>
        <w:tblLook w:val="04A0" w:firstRow="1" w:lastRow="0" w:firstColumn="1" w:lastColumn="0" w:noHBand="0" w:noVBand="1"/>
      </w:tblPr>
      <w:tblGrid>
        <w:gridCol w:w="8984"/>
        <w:gridCol w:w="36"/>
        <w:gridCol w:w="36"/>
      </w:tblGrid>
      <w:tr w:rsidR="00DB74F6" w14:paraId="6BD0E989" w14:textId="77777777" w:rsidTr="00DB74F6">
        <w:trPr>
          <w:trHeight w:val="375"/>
        </w:trPr>
        <w:tc>
          <w:tcPr>
            <w:tcW w:w="8986" w:type="dxa"/>
            <w:tcMar>
              <w:top w:w="15" w:type="dxa"/>
              <w:left w:w="15" w:type="dxa"/>
              <w:bottom w:w="0" w:type="dxa"/>
              <w:right w:w="15" w:type="dxa"/>
            </w:tcMar>
            <w:vAlign w:val="bottom"/>
          </w:tcPr>
          <w:p w14:paraId="35BFDDF2" w14:textId="77777777" w:rsidR="00DB74F6" w:rsidRDefault="00DB74F6">
            <w:pPr>
              <w:jc w:val="right"/>
              <w:rPr>
                <w:rFonts w:eastAsia="Times New Roman"/>
                <w:sz w:val="20"/>
                <w:szCs w:val="20"/>
              </w:rPr>
            </w:pPr>
          </w:p>
        </w:tc>
        <w:tc>
          <w:tcPr>
            <w:tcW w:w="35" w:type="dxa"/>
            <w:tcMar>
              <w:top w:w="15" w:type="dxa"/>
              <w:left w:w="15" w:type="dxa"/>
              <w:bottom w:w="0" w:type="dxa"/>
              <w:right w:w="15" w:type="dxa"/>
            </w:tcMar>
            <w:vAlign w:val="bottom"/>
          </w:tcPr>
          <w:p w14:paraId="1CB24B42" w14:textId="77777777" w:rsidR="00DB74F6" w:rsidRDefault="00DB74F6">
            <w:pPr>
              <w:rPr>
                <w:rFonts w:eastAsia="Times New Roman"/>
                <w:sz w:val="20"/>
                <w:szCs w:val="20"/>
              </w:rPr>
            </w:pPr>
          </w:p>
        </w:tc>
        <w:tc>
          <w:tcPr>
            <w:tcW w:w="35" w:type="dxa"/>
            <w:tcMar>
              <w:top w:w="15" w:type="dxa"/>
              <w:left w:w="15" w:type="dxa"/>
              <w:bottom w:w="0" w:type="dxa"/>
              <w:right w:w="15" w:type="dxa"/>
            </w:tcMar>
            <w:vAlign w:val="bottom"/>
          </w:tcPr>
          <w:p w14:paraId="7EFDDB3F" w14:textId="77777777" w:rsidR="00DB74F6" w:rsidRDefault="00DB74F6">
            <w:pPr>
              <w:rPr>
                <w:rFonts w:eastAsia="Times New Roman"/>
                <w:sz w:val="20"/>
                <w:szCs w:val="20"/>
              </w:rPr>
            </w:pPr>
          </w:p>
        </w:tc>
      </w:tr>
      <w:tr w:rsidR="00B01952" w14:paraId="05EA5DC9" w14:textId="77777777" w:rsidTr="00DB74F6">
        <w:trPr>
          <w:trHeight w:val="375"/>
        </w:trPr>
        <w:tc>
          <w:tcPr>
            <w:tcW w:w="8986" w:type="dxa"/>
            <w:tcMar>
              <w:top w:w="15" w:type="dxa"/>
              <w:left w:w="15" w:type="dxa"/>
              <w:bottom w:w="0" w:type="dxa"/>
              <w:right w:w="15" w:type="dxa"/>
            </w:tcMar>
            <w:vAlign w:val="bottom"/>
            <w:hideMark/>
          </w:tcPr>
          <w:tbl>
            <w:tblPr>
              <w:tblW w:w="8351" w:type="dxa"/>
              <w:jc w:val="right"/>
              <w:tblCellMar>
                <w:left w:w="0" w:type="dxa"/>
                <w:right w:w="0" w:type="dxa"/>
              </w:tblCellMar>
              <w:tblLook w:val="04A0" w:firstRow="1" w:lastRow="0" w:firstColumn="1" w:lastColumn="0" w:noHBand="0" w:noVBand="1"/>
            </w:tblPr>
            <w:tblGrid>
              <w:gridCol w:w="3345"/>
              <w:gridCol w:w="1327"/>
              <w:gridCol w:w="1327"/>
              <w:gridCol w:w="1214"/>
              <w:gridCol w:w="1138"/>
            </w:tblGrid>
            <w:tr w:rsidR="00B01952" w14:paraId="7F91C6E2" w14:textId="77777777" w:rsidTr="00DB74F6">
              <w:trPr>
                <w:trHeight w:val="312"/>
                <w:jc w:val="right"/>
              </w:trPr>
              <w:tc>
                <w:tcPr>
                  <w:tcW w:w="3345" w:type="dxa"/>
                  <w:tcBorders>
                    <w:top w:val="single" w:sz="8" w:space="0" w:color="auto"/>
                    <w:left w:val="single" w:sz="8" w:space="0" w:color="auto"/>
                    <w:bottom w:val="nil"/>
                    <w:right w:val="nil"/>
                  </w:tcBorders>
                  <w:tcMar>
                    <w:top w:w="15" w:type="dxa"/>
                    <w:left w:w="15" w:type="dxa"/>
                    <w:bottom w:w="0" w:type="dxa"/>
                    <w:right w:w="15" w:type="dxa"/>
                  </w:tcMar>
                  <w:vAlign w:val="bottom"/>
                  <w:hideMark/>
                </w:tcPr>
                <w:p w14:paraId="489C0AF4" w14:textId="77777777" w:rsidR="00B01952" w:rsidRDefault="00B01952">
                  <w:pPr>
                    <w:rPr>
                      <w:color w:val="000000"/>
                      <w:sz w:val="24"/>
                      <w:szCs w:val="24"/>
                    </w:rPr>
                  </w:pPr>
                  <w:r>
                    <w:rPr>
                      <w:color w:val="000000"/>
                    </w:rPr>
                    <w:t> </w:t>
                  </w:r>
                </w:p>
              </w:tc>
              <w:tc>
                <w:tcPr>
                  <w:tcW w:w="5006" w:type="dxa"/>
                  <w:gridSpan w:val="4"/>
                  <w:tcBorders>
                    <w:top w:val="single" w:sz="8" w:space="0" w:color="auto"/>
                    <w:left w:val="single" w:sz="8" w:space="0" w:color="auto"/>
                    <w:bottom w:val="single" w:sz="8" w:space="0" w:color="auto"/>
                    <w:right w:val="single" w:sz="8" w:space="0" w:color="000000"/>
                  </w:tcBorders>
                  <w:tcMar>
                    <w:top w:w="15" w:type="dxa"/>
                    <w:left w:w="15" w:type="dxa"/>
                    <w:bottom w:w="0" w:type="dxa"/>
                    <w:right w:w="15" w:type="dxa"/>
                  </w:tcMar>
                  <w:vAlign w:val="bottom"/>
                  <w:hideMark/>
                </w:tcPr>
                <w:p w14:paraId="255D18EB" w14:textId="77777777" w:rsidR="00B01952" w:rsidRDefault="00B01952">
                  <w:pPr>
                    <w:jc w:val="center"/>
                    <w:rPr>
                      <w:color w:val="000000"/>
                      <w:sz w:val="24"/>
                      <w:szCs w:val="24"/>
                    </w:rPr>
                  </w:pPr>
                  <w:r>
                    <w:rPr>
                      <w:color w:val="000000"/>
                    </w:rPr>
                    <w:t>Years of ownership</w:t>
                  </w:r>
                </w:p>
              </w:tc>
            </w:tr>
            <w:tr w:rsidR="00B01952" w14:paraId="44B7211A" w14:textId="77777777" w:rsidTr="00DB74F6">
              <w:trPr>
                <w:trHeight w:val="312"/>
                <w:jc w:val="right"/>
              </w:trPr>
              <w:tc>
                <w:tcPr>
                  <w:tcW w:w="0" w:type="auto"/>
                  <w:tcBorders>
                    <w:top w:val="nil"/>
                    <w:left w:val="single" w:sz="8" w:space="0" w:color="auto"/>
                    <w:bottom w:val="nil"/>
                    <w:right w:val="nil"/>
                  </w:tcBorders>
                  <w:tcMar>
                    <w:top w:w="15" w:type="dxa"/>
                    <w:left w:w="15" w:type="dxa"/>
                    <w:bottom w:w="0" w:type="dxa"/>
                    <w:right w:w="15" w:type="dxa"/>
                  </w:tcMar>
                  <w:vAlign w:val="bottom"/>
                  <w:hideMark/>
                </w:tcPr>
                <w:p w14:paraId="1687D24D" w14:textId="77777777" w:rsidR="00B01952" w:rsidRDefault="00B01952">
                  <w:pPr>
                    <w:rPr>
                      <w:color w:val="000000"/>
                      <w:sz w:val="24"/>
                      <w:szCs w:val="24"/>
                    </w:rPr>
                  </w:pPr>
                  <w:r>
                    <w:rPr>
                      <w:color w:val="000000"/>
                    </w:rPr>
                    <w:t> </w:t>
                  </w:r>
                </w:p>
              </w:tc>
              <w:tc>
                <w:tcPr>
                  <w:tcW w:w="0" w:type="auto"/>
                  <w:tcBorders>
                    <w:top w:val="nil"/>
                    <w:left w:val="single" w:sz="8" w:space="0" w:color="auto"/>
                    <w:bottom w:val="single" w:sz="8" w:space="0" w:color="auto"/>
                    <w:right w:val="nil"/>
                  </w:tcBorders>
                  <w:tcMar>
                    <w:top w:w="15" w:type="dxa"/>
                    <w:left w:w="15" w:type="dxa"/>
                    <w:bottom w:w="0" w:type="dxa"/>
                    <w:right w:w="15" w:type="dxa"/>
                  </w:tcMar>
                  <w:vAlign w:val="bottom"/>
                  <w:hideMark/>
                </w:tcPr>
                <w:p w14:paraId="739B93BC" w14:textId="77777777" w:rsidR="00B01952" w:rsidRDefault="00B01952">
                  <w:pPr>
                    <w:jc w:val="center"/>
                    <w:rPr>
                      <w:color w:val="000000"/>
                      <w:sz w:val="24"/>
                      <w:szCs w:val="24"/>
                    </w:rPr>
                  </w:pPr>
                  <w:r>
                    <w:rPr>
                      <w:color w:val="000000"/>
                    </w:rPr>
                    <w:t xml:space="preserve">4 </w:t>
                  </w:r>
                  <w:proofErr w:type="spellStart"/>
                  <w:r>
                    <w:rPr>
                      <w:color w:val="000000"/>
                    </w:rPr>
                    <w:t>yrs</w:t>
                  </w:r>
                  <w:proofErr w:type="spellEnd"/>
                </w:p>
              </w:tc>
              <w:tc>
                <w:tcPr>
                  <w:tcW w:w="0" w:type="auto"/>
                  <w:tcBorders>
                    <w:top w:val="nil"/>
                    <w:left w:val="single" w:sz="8" w:space="0" w:color="auto"/>
                    <w:bottom w:val="single" w:sz="8" w:space="0" w:color="auto"/>
                    <w:right w:val="single" w:sz="8" w:space="0" w:color="auto"/>
                  </w:tcBorders>
                  <w:tcMar>
                    <w:top w:w="15" w:type="dxa"/>
                    <w:left w:w="15" w:type="dxa"/>
                    <w:bottom w:w="0" w:type="dxa"/>
                    <w:right w:w="15" w:type="dxa"/>
                  </w:tcMar>
                  <w:vAlign w:val="bottom"/>
                  <w:hideMark/>
                </w:tcPr>
                <w:p w14:paraId="327F833E" w14:textId="77777777" w:rsidR="00B01952" w:rsidRDefault="00B01952">
                  <w:pPr>
                    <w:jc w:val="center"/>
                    <w:rPr>
                      <w:color w:val="000000"/>
                      <w:sz w:val="24"/>
                      <w:szCs w:val="24"/>
                    </w:rPr>
                  </w:pPr>
                  <w:r>
                    <w:rPr>
                      <w:color w:val="000000"/>
                    </w:rPr>
                    <w:t xml:space="preserve">8 </w:t>
                  </w:r>
                  <w:proofErr w:type="spellStart"/>
                  <w:r>
                    <w:rPr>
                      <w:color w:val="000000"/>
                    </w:rPr>
                    <w:t>yrs</w:t>
                  </w:r>
                  <w:proofErr w:type="spellEnd"/>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60DAA33C" w14:textId="77777777" w:rsidR="00B01952" w:rsidRDefault="00B01952">
                  <w:pPr>
                    <w:jc w:val="center"/>
                    <w:rPr>
                      <w:color w:val="000000"/>
                      <w:sz w:val="24"/>
                      <w:szCs w:val="24"/>
                    </w:rPr>
                  </w:pPr>
                  <w:r>
                    <w:rPr>
                      <w:color w:val="000000"/>
                    </w:rPr>
                    <w:t xml:space="preserve">12 </w:t>
                  </w:r>
                  <w:proofErr w:type="spellStart"/>
                  <w:r>
                    <w:rPr>
                      <w:color w:val="000000"/>
                    </w:rPr>
                    <w:t>yrs</w:t>
                  </w:r>
                  <w:proofErr w:type="spellEnd"/>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3EB51A1A" w14:textId="77777777" w:rsidR="00B01952" w:rsidRDefault="00B01952">
                  <w:pPr>
                    <w:jc w:val="center"/>
                    <w:rPr>
                      <w:color w:val="000000"/>
                      <w:sz w:val="24"/>
                      <w:szCs w:val="24"/>
                    </w:rPr>
                  </w:pPr>
                  <w:r>
                    <w:rPr>
                      <w:color w:val="000000"/>
                    </w:rPr>
                    <w:t xml:space="preserve">15 </w:t>
                  </w:r>
                  <w:proofErr w:type="spellStart"/>
                  <w:r>
                    <w:rPr>
                      <w:color w:val="000000"/>
                    </w:rPr>
                    <w:t>yrs</w:t>
                  </w:r>
                  <w:proofErr w:type="spellEnd"/>
                </w:p>
              </w:tc>
            </w:tr>
            <w:tr w:rsidR="00B01952" w14:paraId="272D0703" w14:textId="77777777" w:rsidTr="00DB74F6">
              <w:trPr>
                <w:trHeight w:val="300"/>
                <w:jc w:val="right"/>
              </w:trPr>
              <w:tc>
                <w:tcPr>
                  <w:tcW w:w="0" w:type="auto"/>
                  <w:tcBorders>
                    <w:top w:val="nil"/>
                    <w:left w:val="single" w:sz="8" w:space="0" w:color="auto"/>
                    <w:bottom w:val="nil"/>
                    <w:right w:val="nil"/>
                  </w:tcBorders>
                  <w:tcMar>
                    <w:top w:w="15" w:type="dxa"/>
                    <w:left w:w="15" w:type="dxa"/>
                    <w:bottom w:w="0" w:type="dxa"/>
                    <w:right w:w="15" w:type="dxa"/>
                  </w:tcMar>
                  <w:vAlign w:val="bottom"/>
                  <w:hideMark/>
                </w:tcPr>
                <w:p w14:paraId="407DAB20" w14:textId="77777777" w:rsidR="00B01952" w:rsidRDefault="00B01952">
                  <w:pPr>
                    <w:rPr>
                      <w:color w:val="000000"/>
                      <w:sz w:val="24"/>
                      <w:szCs w:val="24"/>
                    </w:rPr>
                  </w:pPr>
                  <w:r>
                    <w:rPr>
                      <w:color w:val="000000"/>
                    </w:rPr>
                    <w:t xml:space="preserve">Current NCG reported </w:t>
                  </w:r>
                  <w:r>
                    <w:rPr>
                      <w:color w:val="000000"/>
                      <w:sz w:val="16"/>
                      <w:szCs w:val="16"/>
                    </w:rPr>
                    <w:t>(</w:t>
                  </w:r>
                  <w:proofErr w:type="spellStart"/>
                  <w:r>
                    <w:rPr>
                      <w:color w:val="000000"/>
                      <w:sz w:val="16"/>
                      <w:szCs w:val="16"/>
                    </w:rPr>
                    <w:t>incl</w:t>
                  </w:r>
                  <w:proofErr w:type="spellEnd"/>
                  <w:r>
                    <w:rPr>
                      <w:color w:val="000000"/>
                      <w:sz w:val="16"/>
                      <w:szCs w:val="16"/>
                    </w:rPr>
                    <w:t xml:space="preserve"> 50% discount)</w:t>
                  </w:r>
                </w:p>
              </w:tc>
              <w:tc>
                <w:tcPr>
                  <w:tcW w:w="0" w:type="auto"/>
                  <w:tcBorders>
                    <w:top w:val="nil"/>
                    <w:left w:val="single" w:sz="8" w:space="0" w:color="auto"/>
                    <w:bottom w:val="nil"/>
                    <w:right w:val="nil"/>
                  </w:tcBorders>
                  <w:tcMar>
                    <w:top w:w="15" w:type="dxa"/>
                    <w:left w:w="15" w:type="dxa"/>
                    <w:bottom w:w="0" w:type="dxa"/>
                    <w:right w:w="15" w:type="dxa"/>
                  </w:tcMar>
                  <w:vAlign w:val="bottom"/>
                  <w:hideMark/>
                </w:tcPr>
                <w:p w14:paraId="301ACBCF" w14:textId="77777777" w:rsidR="00B01952" w:rsidRDefault="00B01952">
                  <w:pPr>
                    <w:rPr>
                      <w:color w:val="000000"/>
                      <w:sz w:val="24"/>
                      <w:szCs w:val="24"/>
                    </w:rPr>
                  </w:pPr>
                  <w:r>
                    <w:rPr>
                      <w:color w:val="000000"/>
                    </w:rPr>
                    <w:t xml:space="preserve">$       50,000 </w:t>
                  </w:r>
                </w:p>
              </w:tc>
              <w:tc>
                <w:tcPr>
                  <w:tcW w:w="0" w:type="auto"/>
                  <w:tcBorders>
                    <w:top w:val="nil"/>
                    <w:left w:val="single" w:sz="8" w:space="0" w:color="auto"/>
                    <w:bottom w:val="nil"/>
                    <w:right w:val="single" w:sz="8" w:space="0" w:color="auto"/>
                  </w:tcBorders>
                  <w:tcMar>
                    <w:top w:w="15" w:type="dxa"/>
                    <w:left w:w="15" w:type="dxa"/>
                    <w:bottom w:w="0" w:type="dxa"/>
                    <w:right w:w="15" w:type="dxa"/>
                  </w:tcMar>
                  <w:vAlign w:val="bottom"/>
                  <w:hideMark/>
                </w:tcPr>
                <w:p w14:paraId="0F098E3B" w14:textId="77777777" w:rsidR="00B01952" w:rsidRDefault="00B01952">
                  <w:pPr>
                    <w:rPr>
                      <w:color w:val="000000"/>
                      <w:sz w:val="24"/>
                      <w:szCs w:val="24"/>
                    </w:rPr>
                  </w:pPr>
                  <w:r>
                    <w:rPr>
                      <w:color w:val="000000"/>
                    </w:rPr>
                    <w:t xml:space="preserve">$        50,000 </w:t>
                  </w:r>
                </w:p>
              </w:tc>
              <w:tc>
                <w:tcPr>
                  <w:tcW w:w="0" w:type="auto"/>
                  <w:tcBorders>
                    <w:top w:val="nil"/>
                    <w:left w:val="nil"/>
                    <w:bottom w:val="nil"/>
                    <w:right w:val="single" w:sz="8" w:space="0" w:color="auto"/>
                  </w:tcBorders>
                  <w:tcMar>
                    <w:top w:w="15" w:type="dxa"/>
                    <w:left w:w="15" w:type="dxa"/>
                    <w:bottom w:w="0" w:type="dxa"/>
                    <w:right w:w="15" w:type="dxa"/>
                  </w:tcMar>
                  <w:vAlign w:val="bottom"/>
                  <w:hideMark/>
                </w:tcPr>
                <w:p w14:paraId="7CA23297" w14:textId="77777777" w:rsidR="00B01952" w:rsidRDefault="00B01952">
                  <w:pPr>
                    <w:rPr>
                      <w:color w:val="000000"/>
                      <w:sz w:val="24"/>
                      <w:szCs w:val="24"/>
                    </w:rPr>
                  </w:pPr>
                  <w:r>
                    <w:rPr>
                      <w:color w:val="000000"/>
                    </w:rPr>
                    <w:t xml:space="preserve">$     50,000 </w:t>
                  </w:r>
                </w:p>
              </w:tc>
              <w:tc>
                <w:tcPr>
                  <w:tcW w:w="0" w:type="auto"/>
                  <w:tcBorders>
                    <w:top w:val="nil"/>
                    <w:left w:val="nil"/>
                    <w:bottom w:val="nil"/>
                    <w:right w:val="single" w:sz="8" w:space="0" w:color="auto"/>
                  </w:tcBorders>
                  <w:tcMar>
                    <w:top w:w="15" w:type="dxa"/>
                    <w:left w:w="15" w:type="dxa"/>
                    <w:bottom w:w="0" w:type="dxa"/>
                    <w:right w:w="15" w:type="dxa"/>
                  </w:tcMar>
                  <w:vAlign w:val="bottom"/>
                  <w:hideMark/>
                </w:tcPr>
                <w:p w14:paraId="757BBDCB" w14:textId="77777777" w:rsidR="00B01952" w:rsidRDefault="00B01952">
                  <w:pPr>
                    <w:rPr>
                      <w:color w:val="000000"/>
                      <w:sz w:val="24"/>
                      <w:szCs w:val="24"/>
                    </w:rPr>
                  </w:pPr>
                  <w:r>
                    <w:rPr>
                      <w:color w:val="000000"/>
                    </w:rPr>
                    <w:t xml:space="preserve">$     50,000 </w:t>
                  </w:r>
                </w:p>
              </w:tc>
            </w:tr>
            <w:tr w:rsidR="00B01952" w14:paraId="01D12A28" w14:textId="77777777" w:rsidTr="00DB74F6">
              <w:trPr>
                <w:trHeight w:val="312"/>
                <w:jc w:val="right"/>
              </w:trPr>
              <w:tc>
                <w:tcPr>
                  <w:tcW w:w="0" w:type="auto"/>
                  <w:tcBorders>
                    <w:top w:val="nil"/>
                    <w:left w:val="single" w:sz="8" w:space="0" w:color="auto"/>
                    <w:bottom w:val="single" w:sz="8" w:space="0" w:color="auto"/>
                    <w:right w:val="nil"/>
                  </w:tcBorders>
                  <w:tcMar>
                    <w:top w:w="15" w:type="dxa"/>
                    <w:left w:w="15" w:type="dxa"/>
                    <w:bottom w:w="0" w:type="dxa"/>
                    <w:right w:w="15" w:type="dxa"/>
                  </w:tcMar>
                  <w:vAlign w:val="bottom"/>
                  <w:hideMark/>
                </w:tcPr>
                <w:p w14:paraId="0572D815" w14:textId="77777777" w:rsidR="00B01952" w:rsidRDefault="00B01952">
                  <w:pPr>
                    <w:rPr>
                      <w:color w:val="000000"/>
                      <w:sz w:val="24"/>
                      <w:szCs w:val="24"/>
                    </w:rPr>
                  </w:pPr>
                  <w:r>
                    <w:rPr>
                      <w:color w:val="000000"/>
                    </w:rPr>
                    <w:t>Proposed NCG reported</w:t>
                  </w:r>
                </w:p>
              </w:tc>
              <w:tc>
                <w:tcPr>
                  <w:tcW w:w="0" w:type="auto"/>
                  <w:tcBorders>
                    <w:top w:val="nil"/>
                    <w:left w:val="single" w:sz="8" w:space="0" w:color="auto"/>
                    <w:bottom w:val="single" w:sz="8" w:space="0" w:color="auto"/>
                    <w:right w:val="nil"/>
                  </w:tcBorders>
                  <w:tcMar>
                    <w:top w:w="15" w:type="dxa"/>
                    <w:left w:w="15" w:type="dxa"/>
                    <w:bottom w:w="0" w:type="dxa"/>
                    <w:right w:w="15" w:type="dxa"/>
                  </w:tcMar>
                  <w:vAlign w:val="bottom"/>
                  <w:hideMark/>
                </w:tcPr>
                <w:p w14:paraId="21D856E0" w14:textId="77777777" w:rsidR="00B01952" w:rsidRDefault="00B01952">
                  <w:pPr>
                    <w:rPr>
                      <w:color w:val="000000"/>
                      <w:sz w:val="24"/>
                      <w:szCs w:val="24"/>
                    </w:rPr>
                  </w:pPr>
                  <w:r>
                    <w:rPr>
                      <w:color w:val="000000"/>
                    </w:rPr>
                    <w:t xml:space="preserve">$     100,000 </w:t>
                  </w:r>
                </w:p>
              </w:tc>
              <w:tc>
                <w:tcPr>
                  <w:tcW w:w="0" w:type="auto"/>
                  <w:tcBorders>
                    <w:top w:val="nil"/>
                    <w:left w:val="single" w:sz="8" w:space="0" w:color="auto"/>
                    <w:bottom w:val="single" w:sz="8" w:space="0" w:color="auto"/>
                    <w:right w:val="single" w:sz="8" w:space="0" w:color="auto"/>
                  </w:tcBorders>
                  <w:tcMar>
                    <w:top w:w="15" w:type="dxa"/>
                    <w:left w:w="15" w:type="dxa"/>
                    <w:bottom w:w="0" w:type="dxa"/>
                    <w:right w:w="15" w:type="dxa"/>
                  </w:tcMar>
                  <w:vAlign w:val="bottom"/>
                  <w:hideMark/>
                </w:tcPr>
                <w:p w14:paraId="0389A087" w14:textId="77777777" w:rsidR="00B01952" w:rsidRDefault="00B01952">
                  <w:pPr>
                    <w:rPr>
                      <w:color w:val="000000"/>
                      <w:sz w:val="24"/>
                      <w:szCs w:val="24"/>
                    </w:rPr>
                  </w:pPr>
                  <w:r>
                    <w:rPr>
                      <w:color w:val="000000"/>
                    </w:rPr>
                    <w:t xml:space="preserve">$        81,250 </w:t>
                  </w:r>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51E003A7" w14:textId="77777777" w:rsidR="00B01952" w:rsidRDefault="00B01952">
                  <w:pPr>
                    <w:rPr>
                      <w:color w:val="000000"/>
                      <w:sz w:val="24"/>
                      <w:szCs w:val="24"/>
                    </w:rPr>
                  </w:pPr>
                  <w:r>
                    <w:rPr>
                      <w:color w:val="000000"/>
                    </w:rPr>
                    <w:t xml:space="preserve">$     62,500 </w:t>
                  </w:r>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19F908BE" w14:textId="77777777" w:rsidR="00B01952" w:rsidRDefault="00B01952">
                  <w:pPr>
                    <w:rPr>
                      <w:color w:val="000000"/>
                      <w:sz w:val="24"/>
                      <w:szCs w:val="24"/>
                    </w:rPr>
                  </w:pPr>
                  <w:r>
                    <w:rPr>
                      <w:color w:val="000000"/>
                    </w:rPr>
                    <w:t xml:space="preserve">$     50,000 </w:t>
                  </w:r>
                </w:p>
              </w:tc>
            </w:tr>
            <w:tr w:rsidR="00B01952" w14:paraId="475723A2" w14:textId="77777777" w:rsidTr="00DB74F6">
              <w:trPr>
                <w:trHeight w:val="312"/>
                <w:jc w:val="right"/>
              </w:trPr>
              <w:tc>
                <w:tcPr>
                  <w:tcW w:w="0" w:type="auto"/>
                  <w:tcBorders>
                    <w:top w:val="nil"/>
                    <w:left w:val="single" w:sz="8" w:space="0" w:color="auto"/>
                    <w:bottom w:val="single" w:sz="8" w:space="0" w:color="auto"/>
                    <w:right w:val="nil"/>
                  </w:tcBorders>
                  <w:tcMar>
                    <w:top w:w="15" w:type="dxa"/>
                    <w:left w:w="15" w:type="dxa"/>
                    <w:bottom w:w="0" w:type="dxa"/>
                    <w:right w:w="15" w:type="dxa"/>
                  </w:tcMar>
                  <w:vAlign w:val="bottom"/>
                  <w:hideMark/>
                </w:tcPr>
                <w:p w14:paraId="504AFECC" w14:textId="77777777" w:rsidR="00B01952" w:rsidRDefault="00B01952">
                  <w:pPr>
                    <w:rPr>
                      <w:color w:val="000000"/>
                      <w:sz w:val="24"/>
                      <w:szCs w:val="24"/>
                    </w:rPr>
                  </w:pPr>
                  <w:r>
                    <w:rPr>
                      <w:color w:val="000000"/>
                    </w:rPr>
                    <w:t>Difference</w:t>
                  </w:r>
                </w:p>
              </w:tc>
              <w:tc>
                <w:tcPr>
                  <w:tcW w:w="0" w:type="auto"/>
                  <w:tcBorders>
                    <w:top w:val="nil"/>
                    <w:left w:val="single" w:sz="8" w:space="0" w:color="auto"/>
                    <w:bottom w:val="single" w:sz="8" w:space="0" w:color="auto"/>
                    <w:right w:val="single" w:sz="8" w:space="0" w:color="auto"/>
                  </w:tcBorders>
                  <w:tcMar>
                    <w:top w:w="15" w:type="dxa"/>
                    <w:left w:w="15" w:type="dxa"/>
                    <w:bottom w:w="0" w:type="dxa"/>
                    <w:right w:w="15" w:type="dxa"/>
                  </w:tcMar>
                  <w:vAlign w:val="bottom"/>
                  <w:hideMark/>
                </w:tcPr>
                <w:p w14:paraId="681DAFC7" w14:textId="77777777" w:rsidR="00B01952" w:rsidRDefault="00B01952">
                  <w:pPr>
                    <w:rPr>
                      <w:color w:val="000000"/>
                      <w:sz w:val="24"/>
                      <w:szCs w:val="24"/>
                    </w:rPr>
                  </w:pPr>
                  <w:r>
                    <w:rPr>
                      <w:color w:val="000000"/>
                    </w:rPr>
                    <w:t xml:space="preserve">-$       50,000 </w:t>
                  </w:r>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55ED43B4" w14:textId="77777777" w:rsidR="00B01952" w:rsidRDefault="00B01952">
                  <w:pPr>
                    <w:rPr>
                      <w:color w:val="000000"/>
                      <w:sz w:val="24"/>
                      <w:szCs w:val="24"/>
                    </w:rPr>
                  </w:pPr>
                  <w:r>
                    <w:rPr>
                      <w:color w:val="000000"/>
                    </w:rPr>
                    <w:t xml:space="preserve">-$       31,250 </w:t>
                  </w:r>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0A4B2523" w14:textId="77777777" w:rsidR="00B01952" w:rsidRDefault="00B01952">
                  <w:pPr>
                    <w:rPr>
                      <w:color w:val="000000"/>
                      <w:sz w:val="24"/>
                      <w:szCs w:val="24"/>
                    </w:rPr>
                  </w:pPr>
                  <w:r>
                    <w:rPr>
                      <w:color w:val="000000"/>
                    </w:rPr>
                    <w:t xml:space="preserve">-$     12,500 </w:t>
                  </w:r>
                </w:p>
              </w:tc>
              <w:tc>
                <w:tcPr>
                  <w:tcW w:w="0" w:type="auto"/>
                  <w:tcBorders>
                    <w:top w:val="nil"/>
                    <w:left w:val="nil"/>
                    <w:bottom w:val="single" w:sz="8" w:space="0" w:color="auto"/>
                    <w:right w:val="single" w:sz="8" w:space="0" w:color="auto"/>
                  </w:tcBorders>
                  <w:tcMar>
                    <w:top w:w="15" w:type="dxa"/>
                    <w:left w:w="15" w:type="dxa"/>
                    <w:bottom w:w="0" w:type="dxa"/>
                    <w:right w:w="15" w:type="dxa"/>
                  </w:tcMar>
                  <w:vAlign w:val="bottom"/>
                  <w:hideMark/>
                </w:tcPr>
                <w:p w14:paraId="7FDC73E5" w14:textId="77777777" w:rsidR="00B01952" w:rsidRDefault="00B01952">
                  <w:pPr>
                    <w:rPr>
                      <w:color w:val="000000"/>
                      <w:sz w:val="24"/>
                      <w:szCs w:val="24"/>
                    </w:rPr>
                  </w:pPr>
                  <w:r>
                    <w:rPr>
                      <w:color w:val="000000"/>
                    </w:rPr>
                    <w:t xml:space="preserve">$             -   </w:t>
                  </w:r>
                </w:p>
              </w:tc>
            </w:tr>
          </w:tbl>
          <w:p w14:paraId="74FED909" w14:textId="77777777" w:rsidR="00B01952" w:rsidRDefault="00B01952">
            <w:pPr>
              <w:jc w:val="right"/>
              <w:rPr>
                <w:rFonts w:eastAsia="Times New Roman"/>
                <w:sz w:val="20"/>
                <w:szCs w:val="20"/>
              </w:rPr>
            </w:pPr>
          </w:p>
        </w:tc>
        <w:tc>
          <w:tcPr>
            <w:tcW w:w="35" w:type="dxa"/>
            <w:tcMar>
              <w:top w:w="15" w:type="dxa"/>
              <w:left w:w="15" w:type="dxa"/>
              <w:bottom w:w="0" w:type="dxa"/>
              <w:right w:w="15" w:type="dxa"/>
            </w:tcMar>
            <w:vAlign w:val="bottom"/>
            <w:hideMark/>
          </w:tcPr>
          <w:p w14:paraId="6FD930A4" w14:textId="77777777" w:rsidR="00B01952" w:rsidRDefault="00B01952">
            <w:pPr>
              <w:rPr>
                <w:rFonts w:eastAsia="Times New Roman"/>
                <w:sz w:val="20"/>
                <w:szCs w:val="20"/>
              </w:rPr>
            </w:pPr>
          </w:p>
        </w:tc>
        <w:tc>
          <w:tcPr>
            <w:tcW w:w="35" w:type="dxa"/>
            <w:tcMar>
              <w:top w:w="15" w:type="dxa"/>
              <w:left w:w="15" w:type="dxa"/>
              <w:bottom w:w="0" w:type="dxa"/>
              <w:right w:w="15" w:type="dxa"/>
            </w:tcMar>
            <w:vAlign w:val="bottom"/>
            <w:hideMark/>
          </w:tcPr>
          <w:p w14:paraId="7A2C05E0" w14:textId="77777777" w:rsidR="00B01952" w:rsidRDefault="00B01952">
            <w:pPr>
              <w:rPr>
                <w:rFonts w:eastAsia="Times New Roman"/>
                <w:sz w:val="20"/>
                <w:szCs w:val="20"/>
              </w:rPr>
            </w:pPr>
          </w:p>
        </w:tc>
      </w:tr>
      <w:tr w:rsidR="00B01952" w14:paraId="19EECE1E" w14:textId="77777777" w:rsidTr="00DB74F6">
        <w:trPr>
          <w:trHeight w:val="375"/>
        </w:trPr>
        <w:tc>
          <w:tcPr>
            <w:tcW w:w="0" w:type="auto"/>
            <w:tcMar>
              <w:top w:w="15" w:type="dxa"/>
              <w:left w:w="15" w:type="dxa"/>
              <w:bottom w:w="0" w:type="dxa"/>
              <w:right w:w="15" w:type="dxa"/>
            </w:tcMar>
            <w:vAlign w:val="bottom"/>
            <w:hideMark/>
          </w:tcPr>
          <w:p w14:paraId="0B1CA1CB" w14:textId="77777777" w:rsidR="00B01952" w:rsidRDefault="00B01952">
            <w:pPr>
              <w:spacing w:after="160" w:line="240" w:lineRule="atLeast"/>
              <w:rPr>
                <w:color w:val="000000"/>
                <w:sz w:val="24"/>
                <w:szCs w:val="24"/>
              </w:rPr>
            </w:pPr>
            <w:r>
              <w:rPr>
                <w:color w:val="000000"/>
              </w:rPr>
              <w:t> </w:t>
            </w:r>
          </w:p>
        </w:tc>
        <w:tc>
          <w:tcPr>
            <w:tcW w:w="0" w:type="auto"/>
            <w:tcMar>
              <w:top w:w="15" w:type="dxa"/>
              <w:left w:w="15" w:type="dxa"/>
              <w:bottom w:w="0" w:type="dxa"/>
              <w:right w:w="15" w:type="dxa"/>
            </w:tcMar>
            <w:vAlign w:val="bottom"/>
            <w:hideMark/>
          </w:tcPr>
          <w:p w14:paraId="64779DF1" w14:textId="77777777" w:rsidR="00B01952" w:rsidRDefault="00B01952">
            <w:pPr>
              <w:rPr>
                <w:rFonts w:eastAsia="Times New Roman"/>
                <w:sz w:val="20"/>
                <w:szCs w:val="20"/>
              </w:rPr>
            </w:pPr>
          </w:p>
        </w:tc>
        <w:tc>
          <w:tcPr>
            <w:tcW w:w="0" w:type="auto"/>
            <w:tcMar>
              <w:top w:w="15" w:type="dxa"/>
              <w:left w:w="15" w:type="dxa"/>
              <w:bottom w:w="0" w:type="dxa"/>
              <w:right w:w="15" w:type="dxa"/>
            </w:tcMar>
            <w:vAlign w:val="bottom"/>
            <w:hideMark/>
          </w:tcPr>
          <w:p w14:paraId="5BF32567" w14:textId="77777777" w:rsidR="00B01952" w:rsidRDefault="00B01952">
            <w:pPr>
              <w:rPr>
                <w:rFonts w:eastAsia="Times New Roman"/>
                <w:sz w:val="20"/>
                <w:szCs w:val="20"/>
              </w:rPr>
            </w:pPr>
          </w:p>
        </w:tc>
      </w:tr>
      <w:tr w:rsidR="00B01952" w14:paraId="4EE9DD5D" w14:textId="77777777" w:rsidTr="00DB74F6">
        <w:trPr>
          <w:trHeight w:val="375"/>
        </w:trPr>
        <w:tc>
          <w:tcPr>
            <w:tcW w:w="0" w:type="auto"/>
            <w:tcMar>
              <w:top w:w="15" w:type="dxa"/>
              <w:left w:w="15" w:type="dxa"/>
              <w:bottom w:w="0" w:type="dxa"/>
              <w:right w:w="15" w:type="dxa"/>
            </w:tcMar>
            <w:vAlign w:val="bottom"/>
            <w:hideMark/>
          </w:tcPr>
          <w:p w14:paraId="79660560" w14:textId="77777777" w:rsidR="00B01952" w:rsidRDefault="00B01952">
            <w:pPr>
              <w:rPr>
                <w:color w:val="000000"/>
                <w:sz w:val="24"/>
                <w:szCs w:val="24"/>
              </w:rPr>
            </w:pPr>
            <w:r>
              <w:rPr>
                <w:color w:val="000000"/>
              </w:rPr>
              <w:t xml:space="preserve">The results clearly show a reduction in NCG reported the longer the property is held. The </w:t>
            </w:r>
            <w:proofErr w:type="spellStart"/>
            <w:r>
              <w:rPr>
                <w:color w:val="000000"/>
              </w:rPr>
              <w:t>break even</w:t>
            </w:r>
            <w:proofErr w:type="spellEnd"/>
            <w:r>
              <w:rPr>
                <w:color w:val="000000"/>
              </w:rPr>
              <w:t xml:space="preserve"> point whereby the NCG reported (under the proposed rules) would be no different to that reported under the current rules, is a hold period of 15 years. </w:t>
            </w:r>
          </w:p>
        </w:tc>
        <w:tc>
          <w:tcPr>
            <w:tcW w:w="0" w:type="auto"/>
            <w:tcMar>
              <w:top w:w="15" w:type="dxa"/>
              <w:left w:w="15" w:type="dxa"/>
              <w:bottom w:w="0" w:type="dxa"/>
              <w:right w:w="15" w:type="dxa"/>
            </w:tcMar>
            <w:vAlign w:val="bottom"/>
            <w:hideMark/>
          </w:tcPr>
          <w:p w14:paraId="59E921B8" w14:textId="77777777" w:rsidR="00B01952" w:rsidRDefault="00B01952">
            <w:pPr>
              <w:rPr>
                <w:rFonts w:eastAsia="Times New Roman"/>
                <w:sz w:val="20"/>
                <w:szCs w:val="20"/>
              </w:rPr>
            </w:pPr>
          </w:p>
        </w:tc>
        <w:tc>
          <w:tcPr>
            <w:tcW w:w="0" w:type="auto"/>
            <w:tcMar>
              <w:top w:w="15" w:type="dxa"/>
              <w:left w:w="15" w:type="dxa"/>
              <w:bottom w:w="0" w:type="dxa"/>
              <w:right w:w="15" w:type="dxa"/>
            </w:tcMar>
            <w:vAlign w:val="bottom"/>
            <w:hideMark/>
          </w:tcPr>
          <w:p w14:paraId="5FBF749F" w14:textId="77777777" w:rsidR="00B01952" w:rsidRDefault="00B01952">
            <w:pPr>
              <w:rPr>
                <w:rFonts w:eastAsia="Times New Roman"/>
                <w:sz w:val="20"/>
                <w:szCs w:val="20"/>
              </w:rPr>
            </w:pPr>
          </w:p>
        </w:tc>
      </w:tr>
      <w:tr w:rsidR="00B01952" w14:paraId="61F7E26C" w14:textId="77777777" w:rsidTr="00DB74F6">
        <w:trPr>
          <w:trHeight w:val="375"/>
        </w:trPr>
        <w:tc>
          <w:tcPr>
            <w:tcW w:w="0" w:type="auto"/>
            <w:tcMar>
              <w:top w:w="15" w:type="dxa"/>
              <w:left w:w="15" w:type="dxa"/>
              <w:bottom w:w="0" w:type="dxa"/>
              <w:right w:w="15" w:type="dxa"/>
            </w:tcMar>
            <w:vAlign w:val="bottom"/>
            <w:hideMark/>
          </w:tcPr>
          <w:p w14:paraId="7CDE1E4F" w14:textId="77777777" w:rsidR="00B01952" w:rsidRDefault="00B01952">
            <w:pPr>
              <w:rPr>
                <w:rFonts w:eastAsia="Times New Roman"/>
                <w:color w:val="000000"/>
                <w:sz w:val="24"/>
                <w:szCs w:val="24"/>
              </w:rPr>
            </w:pPr>
            <w:r>
              <w:rPr>
                <w:rFonts w:eastAsia="Times New Roman"/>
                <w:color w:val="000000"/>
              </w:rPr>
              <w:t> </w:t>
            </w:r>
          </w:p>
          <w:p w14:paraId="703DC19F" w14:textId="77777777" w:rsidR="00B01952" w:rsidRDefault="00B01952">
            <w:pPr>
              <w:rPr>
                <w:rFonts w:eastAsia="Times New Roman"/>
                <w:color w:val="000000"/>
              </w:rPr>
            </w:pPr>
            <w:r>
              <w:rPr>
                <w:rFonts w:eastAsia="Times New Roman"/>
                <w:color w:val="000000"/>
              </w:rPr>
              <w:t xml:space="preserve">Naturally, these changes would also be applicable to other asset classes, such as shares. </w:t>
            </w:r>
          </w:p>
          <w:p w14:paraId="0C39D372" w14:textId="77777777" w:rsidR="00B01952" w:rsidRDefault="00B01952">
            <w:pPr>
              <w:rPr>
                <w:rFonts w:eastAsia="Times New Roman"/>
                <w:color w:val="000000"/>
                <w:sz w:val="24"/>
                <w:szCs w:val="24"/>
              </w:rPr>
            </w:pPr>
            <w:r>
              <w:rPr>
                <w:rFonts w:eastAsia="Times New Roman"/>
                <w:color w:val="000000"/>
              </w:rPr>
              <w:t> </w:t>
            </w:r>
          </w:p>
        </w:tc>
        <w:tc>
          <w:tcPr>
            <w:tcW w:w="0" w:type="auto"/>
            <w:tcMar>
              <w:top w:w="15" w:type="dxa"/>
              <w:left w:w="15" w:type="dxa"/>
              <w:bottom w:w="0" w:type="dxa"/>
              <w:right w:w="15" w:type="dxa"/>
            </w:tcMar>
            <w:vAlign w:val="bottom"/>
            <w:hideMark/>
          </w:tcPr>
          <w:p w14:paraId="2171786F" w14:textId="77777777" w:rsidR="00B01952" w:rsidRDefault="00B01952">
            <w:pPr>
              <w:rPr>
                <w:rFonts w:eastAsia="Times New Roman"/>
                <w:sz w:val="20"/>
                <w:szCs w:val="20"/>
              </w:rPr>
            </w:pPr>
          </w:p>
        </w:tc>
        <w:tc>
          <w:tcPr>
            <w:tcW w:w="0" w:type="auto"/>
            <w:tcMar>
              <w:top w:w="15" w:type="dxa"/>
              <w:left w:w="15" w:type="dxa"/>
              <w:bottom w:w="0" w:type="dxa"/>
              <w:right w:w="15" w:type="dxa"/>
            </w:tcMar>
            <w:vAlign w:val="bottom"/>
            <w:hideMark/>
          </w:tcPr>
          <w:p w14:paraId="192600C2" w14:textId="77777777" w:rsidR="00B01952" w:rsidRDefault="00B01952">
            <w:pPr>
              <w:rPr>
                <w:rFonts w:eastAsia="Times New Roman"/>
                <w:sz w:val="20"/>
                <w:szCs w:val="20"/>
              </w:rPr>
            </w:pPr>
          </w:p>
        </w:tc>
      </w:tr>
    </w:tbl>
    <w:p w14:paraId="7DB6422A" w14:textId="77777777" w:rsidR="000C09F5" w:rsidRPr="004F2D5D" w:rsidRDefault="000C09F5" w:rsidP="004F2D5D"/>
    <w:sectPr w:rsidR="000C09F5" w:rsidRPr="004F2D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B60F7"/>
    <w:multiLevelType w:val="multilevel"/>
    <w:tmpl w:val="622CA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AFA452E"/>
    <w:multiLevelType w:val="multilevel"/>
    <w:tmpl w:val="6EA62E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86B1474"/>
    <w:multiLevelType w:val="multilevel"/>
    <w:tmpl w:val="D89EC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AFD0A46"/>
    <w:multiLevelType w:val="hybridMultilevel"/>
    <w:tmpl w:val="D662206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nsid w:val="7C411817"/>
    <w:multiLevelType w:val="multilevel"/>
    <w:tmpl w:val="A6127B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CD"/>
    <w:rsid w:val="000814CD"/>
    <w:rsid w:val="000C09F5"/>
    <w:rsid w:val="004F2D5D"/>
    <w:rsid w:val="00B01952"/>
    <w:rsid w:val="00D8724B"/>
    <w:rsid w:val="00DB74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4C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14CD"/>
    <w:rPr>
      <w:color w:val="0000FF"/>
      <w:u w:val="single"/>
    </w:rPr>
  </w:style>
  <w:style w:type="paragraph" w:styleId="ListParagraph">
    <w:name w:val="List Paragraph"/>
    <w:basedOn w:val="Normal"/>
    <w:uiPriority w:val="34"/>
    <w:qFormat/>
    <w:rsid w:val="000814CD"/>
    <w:pPr>
      <w:ind w:left="720"/>
    </w:pPr>
  </w:style>
  <w:style w:type="character" w:styleId="Emphasis">
    <w:name w:val="Emphasis"/>
    <w:basedOn w:val="DefaultParagraphFont"/>
    <w:uiPriority w:val="20"/>
    <w:qFormat/>
    <w:rsid w:val="004F2D5D"/>
    <w:rPr>
      <w:i/>
      <w:iCs/>
    </w:rPr>
  </w:style>
  <w:style w:type="character" w:styleId="Strong">
    <w:name w:val="Strong"/>
    <w:basedOn w:val="DefaultParagraphFont"/>
    <w:uiPriority w:val="22"/>
    <w:qFormat/>
    <w:rsid w:val="00B019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4C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14CD"/>
    <w:rPr>
      <w:color w:val="0000FF"/>
      <w:u w:val="single"/>
    </w:rPr>
  </w:style>
  <w:style w:type="paragraph" w:styleId="ListParagraph">
    <w:name w:val="List Paragraph"/>
    <w:basedOn w:val="Normal"/>
    <w:uiPriority w:val="34"/>
    <w:qFormat/>
    <w:rsid w:val="000814CD"/>
    <w:pPr>
      <w:ind w:left="720"/>
    </w:pPr>
  </w:style>
  <w:style w:type="character" w:styleId="Emphasis">
    <w:name w:val="Emphasis"/>
    <w:basedOn w:val="DefaultParagraphFont"/>
    <w:uiPriority w:val="20"/>
    <w:qFormat/>
    <w:rsid w:val="004F2D5D"/>
    <w:rPr>
      <w:i/>
      <w:iCs/>
    </w:rPr>
  </w:style>
  <w:style w:type="character" w:styleId="Strong">
    <w:name w:val="Strong"/>
    <w:basedOn w:val="DefaultParagraphFont"/>
    <w:uiPriority w:val="22"/>
    <w:qFormat/>
    <w:rsid w:val="00B019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05290">
      <w:bodyDiv w:val="1"/>
      <w:marLeft w:val="0"/>
      <w:marRight w:val="0"/>
      <w:marTop w:val="0"/>
      <w:marBottom w:val="0"/>
      <w:divBdr>
        <w:top w:val="none" w:sz="0" w:space="0" w:color="auto"/>
        <w:left w:val="none" w:sz="0" w:space="0" w:color="auto"/>
        <w:bottom w:val="none" w:sz="0" w:space="0" w:color="auto"/>
        <w:right w:val="none" w:sz="0" w:space="0" w:color="auto"/>
      </w:divBdr>
    </w:div>
    <w:div w:id="874855491">
      <w:bodyDiv w:val="1"/>
      <w:marLeft w:val="0"/>
      <w:marRight w:val="0"/>
      <w:marTop w:val="0"/>
      <w:marBottom w:val="0"/>
      <w:divBdr>
        <w:top w:val="none" w:sz="0" w:space="0" w:color="auto"/>
        <w:left w:val="none" w:sz="0" w:space="0" w:color="auto"/>
        <w:bottom w:val="none" w:sz="0" w:space="0" w:color="auto"/>
        <w:right w:val="none" w:sz="0" w:space="0" w:color="auto"/>
      </w:divBdr>
    </w:div>
    <w:div w:id="1204439913">
      <w:bodyDiv w:val="1"/>
      <w:marLeft w:val="0"/>
      <w:marRight w:val="0"/>
      <w:marTop w:val="0"/>
      <w:marBottom w:val="0"/>
      <w:divBdr>
        <w:top w:val="none" w:sz="0" w:space="0" w:color="auto"/>
        <w:left w:val="none" w:sz="0" w:space="0" w:color="auto"/>
        <w:bottom w:val="none" w:sz="0" w:space="0" w:color="auto"/>
        <w:right w:val="none" w:sz="0" w:space="0" w:color="auto"/>
      </w:divBdr>
    </w:div>
    <w:div w:id="127883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2014RG-82-7984</_dlc_DocId>
    <_dlc_DocIdUrl xmlns="9f7bc583-7cbe-45b9-a2bd-8bbb6543b37e">
      <Url>http://tweb/sites/rg/project/twptf/_layouts/15/DocIdRedir.aspx?ID=2014RG-82-7984</Url>
      <Description>2014RG-82-7984</Description>
    </_dlc_DocIdUrl>
  </documentManagement>
</p:properties>
</file>

<file path=customXml/itemProps1.xml><?xml version="1.0" encoding="utf-8"?>
<ds:datastoreItem xmlns:ds="http://schemas.openxmlformats.org/officeDocument/2006/customXml" ds:itemID="{CC4AC126-2A1D-4027-98D4-C8FB6F4355DB}"/>
</file>

<file path=customXml/itemProps2.xml><?xml version="1.0" encoding="utf-8"?>
<ds:datastoreItem xmlns:ds="http://schemas.openxmlformats.org/officeDocument/2006/customXml" ds:itemID="{C567E538-CCFB-457F-ACA4-A3EBCFA0D496}"/>
</file>

<file path=customXml/itemProps3.xml><?xml version="1.0" encoding="utf-8"?>
<ds:datastoreItem xmlns:ds="http://schemas.openxmlformats.org/officeDocument/2006/customXml" ds:itemID="{610C1D69-8DB1-4C6F-9FE4-F3B1E6F454BE}"/>
</file>

<file path=customXml/itemProps4.xml><?xml version="1.0" encoding="utf-8"?>
<ds:datastoreItem xmlns:ds="http://schemas.openxmlformats.org/officeDocument/2006/customXml" ds:itemID="{D3526491-609C-42CB-B1FC-99E54AD94CD7}"/>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Mullavey, Michele</dc:creator>
  <cp:lastModifiedBy>McLeod, Caitlin</cp:lastModifiedBy>
  <cp:revision>2</cp:revision>
  <dcterms:created xsi:type="dcterms:W3CDTF">2015-05-28T06:24:00Z</dcterms:created>
  <dcterms:modified xsi:type="dcterms:W3CDTF">2015-05-28T06:24:00Z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6b810bd8-47e2-4421-a61c-3ed9ea89056c</vt:lpwstr>
  </property>
</Properties>
</file>