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libri" w:hAnsi="Calibri" w:cs="Calibri"/>
        </w:rPr>
        <w:id w:val="-436207552"/>
        <w:docPartObj>
          <w:docPartGallery w:val="Cover Pages"/>
          <w:docPartUnique/>
        </w:docPartObj>
      </w:sdtPr>
      <w:sdtEndPr>
        <w:rPr>
          <w:b/>
          <w:sz w:val="28"/>
          <w:szCs w:val="28"/>
          <w:u w:val="single"/>
        </w:rPr>
      </w:sdtEndPr>
      <w:sdtContent>
        <w:p w14:paraId="13ACBF6A" w14:textId="77777777" w:rsidR="002A2C95" w:rsidRPr="00814581" w:rsidRDefault="002A2C95" w:rsidP="00F07E6B">
          <w:pPr>
            <w:pBdr>
              <w:top w:val="double" w:sz="4" w:space="1" w:color="FF0000"/>
              <w:left w:val="double" w:sz="4" w:space="4" w:color="FF0000"/>
              <w:bottom w:val="double" w:sz="4" w:space="1" w:color="FF0000"/>
              <w:right w:val="double" w:sz="4" w:space="4" w:color="FF0000"/>
            </w:pBdr>
            <w:autoSpaceDE w:val="0"/>
            <w:autoSpaceDN w:val="0"/>
            <w:adjustRightInd w:val="0"/>
            <w:spacing w:after="0" w:line="240" w:lineRule="auto"/>
            <w:rPr>
              <w:rFonts w:ascii="Calibri" w:hAnsi="Calibri" w:cs="Calibri"/>
            </w:rPr>
          </w:pPr>
        </w:p>
        <w:p w14:paraId="6537F011" w14:textId="77777777" w:rsidR="002A2C95" w:rsidRPr="00814581" w:rsidRDefault="002A2C95" w:rsidP="00F07E6B">
          <w:pPr>
            <w:pBdr>
              <w:top w:val="double" w:sz="4" w:space="1" w:color="FF0000"/>
              <w:left w:val="double" w:sz="4" w:space="4" w:color="FF0000"/>
              <w:bottom w:val="double" w:sz="4" w:space="1" w:color="FF0000"/>
              <w:right w:val="double" w:sz="4" w:space="4" w:color="FF0000"/>
            </w:pBdr>
            <w:autoSpaceDE w:val="0"/>
            <w:autoSpaceDN w:val="0"/>
            <w:adjustRightInd w:val="0"/>
            <w:spacing w:after="0" w:line="240" w:lineRule="auto"/>
            <w:rPr>
              <w:rFonts w:ascii="Calibri" w:hAnsi="Calibri" w:cs="Calibri"/>
            </w:rPr>
          </w:pPr>
        </w:p>
        <w:p w14:paraId="2E019C9C" w14:textId="77777777" w:rsidR="002A2C95" w:rsidRPr="00814581" w:rsidRDefault="002A2C95" w:rsidP="00F07E6B">
          <w:pPr>
            <w:pBdr>
              <w:top w:val="double" w:sz="4" w:space="1" w:color="FF0000"/>
              <w:left w:val="double" w:sz="4" w:space="4" w:color="FF0000"/>
              <w:bottom w:val="double" w:sz="4" w:space="1" w:color="FF0000"/>
              <w:right w:val="double" w:sz="4" w:space="4" w:color="FF0000"/>
            </w:pBdr>
            <w:autoSpaceDE w:val="0"/>
            <w:autoSpaceDN w:val="0"/>
            <w:adjustRightInd w:val="0"/>
            <w:spacing w:after="0" w:line="240" w:lineRule="auto"/>
            <w:rPr>
              <w:rFonts w:ascii="Calibri" w:hAnsi="Calibri" w:cs="Calibri"/>
            </w:rPr>
          </w:pPr>
        </w:p>
        <w:p w14:paraId="0EE1DDBF" w14:textId="77777777" w:rsidR="002A2C95" w:rsidRPr="00814581" w:rsidRDefault="002A2C95" w:rsidP="00F07E6B">
          <w:pPr>
            <w:pBdr>
              <w:top w:val="double" w:sz="4" w:space="1" w:color="FF0000"/>
              <w:left w:val="double" w:sz="4" w:space="4" w:color="FF0000"/>
              <w:bottom w:val="double" w:sz="4" w:space="1" w:color="FF0000"/>
              <w:right w:val="double" w:sz="4" w:space="4" w:color="FF0000"/>
            </w:pBdr>
            <w:autoSpaceDE w:val="0"/>
            <w:autoSpaceDN w:val="0"/>
            <w:adjustRightInd w:val="0"/>
            <w:spacing w:after="0" w:line="240" w:lineRule="auto"/>
            <w:rPr>
              <w:rFonts w:ascii="Calibri" w:hAnsi="Calibri" w:cs="Calibri"/>
            </w:rPr>
          </w:pPr>
        </w:p>
        <w:p w14:paraId="0A04B065" w14:textId="77777777" w:rsidR="002A2C95" w:rsidRPr="00814581" w:rsidRDefault="002A2C95" w:rsidP="00F07E6B">
          <w:pPr>
            <w:pBdr>
              <w:top w:val="double" w:sz="4" w:space="1" w:color="FF0000"/>
              <w:left w:val="double" w:sz="4" w:space="4" w:color="FF0000"/>
              <w:bottom w:val="double" w:sz="4" w:space="1" w:color="FF0000"/>
              <w:right w:val="double" w:sz="4" w:space="4" w:color="FF0000"/>
            </w:pBdr>
            <w:autoSpaceDE w:val="0"/>
            <w:autoSpaceDN w:val="0"/>
            <w:adjustRightInd w:val="0"/>
            <w:spacing w:after="0" w:line="240" w:lineRule="auto"/>
            <w:jc w:val="center"/>
            <w:rPr>
              <w:rFonts w:ascii="Calibri" w:hAnsi="Calibri" w:cs="Calibri"/>
              <w:b/>
              <w:bCs/>
              <w:sz w:val="72"/>
              <w:szCs w:val="72"/>
            </w:rPr>
          </w:pPr>
          <w:r w:rsidRPr="00814581">
            <w:rPr>
              <w:rFonts w:ascii="Calibri" w:hAnsi="Calibri" w:cs="Calibri"/>
              <w:b/>
              <w:bCs/>
              <w:sz w:val="72"/>
              <w:szCs w:val="72"/>
            </w:rPr>
            <w:t>SDA Submission</w:t>
          </w:r>
        </w:p>
        <w:p w14:paraId="70EFDB85" w14:textId="77777777" w:rsidR="002A2C95" w:rsidRPr="00814581" w:rsidRDefault="002A2C95" w:rsidP="00F07E6B">
          <w:pPr>
            <w:pBdr>
              <w:top w:val="double" w:sz="4" w:space="1" w:color="FF0000"/>
              <w:left w:val="double" w:sz="4" w:space="4" w:color="FF0000"/>
              <w:bottom w:val="double" w:sz="4" w:space="1" w:color="FF0000"/>
              <w:right w:val="double" w:sz="4" w:space="4" w:color="FF0000"/>
            </w:pBdr>
            <w:autoSpaceDE w:val="0"/>
            <w:autoSpaceDN w:val="0"/>
            <w:adjustRightInd w:val="0"/>
            <w:spacing w:after="0" w:line="240" w:lineRule="auto"/>
            <w:rPr>
              <w:rFonts w:ascii="Calibri" w:hAnsi="Calibri" w:cs="Calibri"/>
              <w:i/>
              <w:iCs/>
              <w:sz w:val="52"/>
              <w:szCs w:val="52"/>
            </w:rPr>
          </w:pPr>
        </w:p>
        <w:p w14:paraId="3CC56C70" w14:textId="77777777" w:rsidR="002A2C95" w:rsidRPr="00814581" w:rsidRDefault="00B21101" w:rsidP="00F07E6B">
          <w:pPr>
            <w:pBdr>
              <w:top w:val="double" w:sz="4" w:space="1" w:color="FF0000"/>
              <w:left w:val="double" w:sz="4" w:space="4" w:color="FF0000"/>
              <w:bottom w:val="double" w:sz="4" w:space="1" w:color="FF0000"/>
              <w:right w:val="double" w:sz="4" w:space="4" w:color="FF0000"/>
            </w:pBdr>
            <w:autoSpaceDE w:val="0"/>
            <w:autoSpaceDN w:val="0"/>
            <w:adjustRightInd w:val="0"/>
            <w:spacing w:after="0" w:line="240" w:lineRule="auto"/>
            <w:rPr>
              <w:rFonts w:ascii="Calibri" w:hAnsi="Calibri" w:cs="Calibri"/>
              <w:i/>
              <w:iCs/>
              <w:sz w:val="52"/>
              <w:szCs w:val="52"/>
            </w:rPr>
          </w:pPr>
          <w:r>
            <w:rPr>
              <w:rFonts w:ascii="Calibri" w:hAnsi="Calibri" w:cs="Calibri"/>
              <w:i/>
              <w:iCs/>
              <w:sz w:val="52"/>
              <w:szCs w:val="52"/>
            </w:rPr>
            <w:t xml:space="preserve">                                   </w:t>
          </w:r>
          <w:proofErr w:type="gramStart"/>
          <w:r>
            <w:rPr>
              <w:rFonts w:ascii="Calibri" w:hAnsi="Calibri" w:cs="Calibri"/>
              <w:i/>
              <w:iCs/>
              <w:sz w:val="52"/>
              <w:szCs w:val="52"/>
            </w:rPr>
            <w:t>on</w:t>
          </w:r>
          <w:proofErr w:type="gramEnd"/>
        </w:p>
        <w:p w14:paraId="7CDDC68C" w14:textId="77777777" w:rsidR="002A2C95" w:rsidRPr="00814581" w:rsidRDefault="002A2C95" w:rsidP="00F07E6B">
          <w:pPr>
            <w:pBdr>
              <w:top w:val="double" w:sz="4" w:space="1" w:color="FF0000"/>
              <w:left w:val="double" w:sz="4" w:space="4" w:color="FF0000"/>
              <w:bottom w:val="double" w:sz="4" w:space="1" w:color="FF0000"/>
              <w:right w:val="double" w:sz="4" w:space="4" w:color="FF0000"/>
            </w:pBdr>
            <w:autoSpaceDE w:val="0"/>
            <w:autoSpaceDN w:val="0"/>
            <w:adjustRightInd w:val="0"/>
            <w:spacing w:after="0" w:line="240" w:lineRule="auto"/>
            <w:rPr>
              <w:rFonts w:ascii="Calibri" w:hAnsi="Calibri" w:cs="Calibri"/>
              <w:i/>
              <w:iCs/>
              <w:sz w:val="52"/>
              <w:szCs w:val="52"/>
            </w:rPr>
          </w:pPr>
        </w:p>
        <w:p w14:paraId="6316DC19" w14:textId="77777777" w:rsidR="00B21101" w:rsidRDefault="00B21101" w:rsidP="00F07E6B">
          <w:pPr>
            <w:pBdr>
              <w:top w:val="double" w:sz="4" w:space="1" w:color="FF0000"/>
              <w:left w:val="double" w:sz="4" w:space="4" w:color="FF0000"/>
              <w:bottom w:val="double" w:sz="4" w:space="1" w:color="FF0000"/>
              <w:right w:val="double" w:sz="4" w:space="4" w:color="FF0000"/>
            </w:pBdr>
            <w:jc w:val="center"/>
            <w:rPr>
              <w:rFonts w:ascii="Calibri" w:hAnsi="Calibri" w:cs="Calibri"/>
              <w:i/>
              <w:sz w:val="56"/>
              <w:szCs w:val="28"/>
            </w:rPr>
          </w:pPr>
          <w:r>
            <w:rPr>
              <w:rFonts w:ascii="Calibri" w:hAnsi="Calibri" w:cs="Calibri"/>
              <w:i/>
              <w:sz w:val="56"/>
              <w:szCs w:val="28"/>
            </w:rPr>
            <w:t>“</w:t>
          </w:r>
          <w:proofErr w:type="spellStart"/>
          <w:r>
            <w:rPr>
              <w:rFonts w:ascii="Calibri" w:hAnsi="Calibri" w:cs="Calibri"/>
              <w:i/>
              <w:sz w:val="56"/>
              <w:szCs w:val="28"/>
            </w:rPr>
            <w:t>Re</w:t>
          </w:r>
          <w:proofErr w:type="gramStart"/>
          <w:r>
            <w:rPr>
              <w:rFonts w:ascii="Calibri" w:hAnsi="Calibri" w:cs="Calibri"/>
              <w:i/>
              <w:sz w:val="56"/>
              <w:szCs w:val="28"/>
            </w:rPr>
            <w:t>:think</w:t>
          </w:r>
          <w:proofErr w:type="spellEnd"/>
          <w:proofErr w:type="gramEnd"/>
          <w:r>
            <w:rPr>
              <w:rFonts w:ascii="Calibri" w:hAnsi="Calibri" w:cs="Calibri"/>
              <w:i/>
              <w:sz w:val="56"/>
              <w:szCs w:val="28"/>
            </w:rPr>
            <w:t xml:space="preserve">” </w:t>
          </w:r>
        </w:p>
        <w:p w14:paraId="7F0692DB" w14:textId="77777777" w:rsidR="002A2C95" w:rsidRPr="00814581" w:rsidRDefault="002A2C95" w:rsidP="00F07E6B">
          <w:pPr>
            <w:pBdr>
              <w:top w:val="double" w:sz="4" w:space="1" w:color="FF0000"/>
              <w:left w:val="double" w:sz="4" w:space="4" w:color="FF0000"/>
              <w:bottom w:val="double" w:sz="4" w:space="1" w:color="FF0000"/>
              <w:right w:val="double" w:sz="4" w:space="4" w:color="FF0000"/>
            </w:pBdr>
            <w:jc w:val="center"/>
            <w:rPr>
              <w:rFonts w:ascii="Calibri" w:hAnsi="Calibri" w:cs="Calibri"/>
              <w:i/>
              <w:sz w:val="56"/>
              <w:szCs w:val="28"/>
            </w:rPr>
          </w:pPr>
          <w:r w:rsidRPr="00814581">
            <w:rPr>
              <w:rFonts w:ascii="Calibri" w:hAnsi="Calibri" w:cs="Calibri"/>
              <w:i/>
              <w:sz w:val="56"/>
              <w:szCs w:val="28"/>
            </w:rPr>
            <w:t>Tax Discussion Paper</w:t>
          </w:r>
        </w:p>
        <w:p w14:paraId="3A3CCB5A" w14:textId="77777777" w:rsidR="00F07E6B" w:rsidRPr="00814581" w:rsidRDefault="00F07E6B" w:rsidP="00F07E6B">
          <w:pPr>
            <w:pBdr>
              <w:top w:val="double" w:sz="4" w:space="1" w:color="FF0000"/>
              <w:left w:val="double" w:sz="4" w:space="4" w:color="FF0000"/>
              <w:bottom w:val="double" w:sz="4" w:space="1" w:color="FF0000"/>
              <w:right w:val="double" w:sz="4" w:space="4" w:color="FF0000"/>
            </w:pBdr>
            <w:jc w:val="center"/>
            <w:rPr>
              <w:rFonts w:ascii="Calibri" w:hAnsi="Calibri" w:cs="Calibri"/>
              <w:i/>
              <w:sz w:val="56"/>
              <w:szCs w:val="28"/>
            </w:rPr>
          </w:pPr>
        </w:p>
        <w:p w14:paraId="495215D5" w14:textId="77777777" w:rsidR="002A2C95" w:rsidRPr="00814581" w:rsidRDefault="002A2C95" w:rsidP="00F07E6B">
          <w:pPr>
            <w:pStyle w:val="Title"/>
            <w:pBdr>
              <w:top w:val="double" w:sz="4" w:space="1" w:color="FF0000"/>
              <w:left w:val="double" w:sz="4" w:space="4" w:color="FF0000"/>
              <w:bottom w:val="double" w:sz="4" w:space="1" w:color="FF0000"/>
              <w:right w:val="double" w:sz="4" w:space="4" w:color="FF0000"/>
            </w:pBdr>
            <w:jc w:val="center"/>
            <w:rPr>
              <w:rFonts w:ascii="Calibri" w:hAnsi="Calibri" w:cs="Calibri"/>
              <w:sz w:val="56"/>
              <w:u w:val="single"/>
            </w:rPr>
          </w:pPr>
          <w:r w:rsidRPr="00814581">
            <w:rPr>
              <w:rFonts w:ascii="Calibri" w:hAnsi="Calibri" w:cs="Calibri"/>
              <w:sz w:val="56"/>
              <w:u w:val="single"/>
            </w:rPr>
            <w:t>Better tax system, better Australia</w:t>
          </w:r>
        </w:p>
        <w:p w14:paraId="6D1C79EC" w14:textId="77777777" w:rsidR="002A2C95" w:rsidRPr="00814581" w:rsidRDefault="002A2C95" w:rsidP="00F07E6B">
          <w:pPr>
            <w:pBdr>
              <w:top w:val="double" w:sz="4" w:space="1" w:color="FF0000"/>
              <w:left w:val="double" w:sz="4" w:space="4" w:color="FF0000"/>
              <w:bottom w:val="double" w:sz="4" w:space="1" w:color="FF0000"/>
              <w:right w:val="double" w:sz="4" w:space="4" w:color="FF0000"/>
            </w:pBdr>
            <w:autoSpaceDE w:val="0"/>
            <w:autoSpaceDN w:val="0"/>
            <w:adjustRightInd w:val="0"/>
            <w:spacing w:after="0" w:line="240" w:lineRule="auto"/>
            <w:rPr>
              <w:rFonts w:ascii="Calibri" w:hAnsi="Calibri" w:cs="Calibri"/>
              <w:b/>
              <w:bCs/>
              <w:sz w:val="54"/>
              <w:szCs w:val="54"/>
            </w:rPr>
          </w:pPr>
        </w:p>
        <w:p w14:paraId="787E4200" w14:textId="77777777" w:rsidR="002A2C95" w:rsidRPr="00814581" w:rsidRDefault="002A2C95" w:rsidP="00F07E6B">
          <w:pPr>
            <w:pBdr>
              <w:top w:val="double" w:sz="4" w:space="1" w:color="FF0000"/>
              <w:left w:val="double" w:sz="4" w:space="4" w:color="FF0000"/>
              <w:bottom w:val="double" w:sz="4" w:space="1" w:color="FF0000"/>
              <w:right w:val="double" w:sz="4" w:space="4" w:color="FF0000"/>
            </w:pBdr>
            <w:autoSpaceDE w:val="0"/>
            <w:autoSpaceDN w:val="0"/>
            <w:adjustRightInd w:val="0"/>
            <w:spacing w:after="0" w:line="240" w:lineRule="auto"/>
            <w:rPr>
              <w:rFonts w:ascii="Calibri" w:hAnsi="Calibri" w:cs="Calibri"/>
              <w:sz w:val="18"/>
              <w:szCs w:val="18"/>
            </w:rPr>
          </w:pPr>
        </w:p>
        <w:p w14:paraId="1EB6F02A" w14:textId="77777777" w:rsidR="002A2C95" w:rsidRPr="00814581" w:rsidRDefault="002A2C95" w:rsidP="00F07E6B">
          <w:pPr>
            <w:pBdr>
              <w:top w:val="double" w:sz="4" w:space="1" w:color="FF0000"/>
              <w:left w:val="double" w:sz="4" w:space="4" w:color="FF0000"/>
              <w:bottom w:val="double" w:sz="4" w:space="1" w:color="FF0000"/>
              <w:right w:val="double" w:sz="4" w:space="4" w:color="FF0000"/>
            </w:pBdr>
            <w:autoSpaceDE w:val="0"/>
            <w:autoSpaceDN w:val="0"/>
            <w:adjustRightInd w:val="0"/>
            <w:spacing w:after="0" w:line="240" w:lineRule="auto"/>
            <w:rPr>
              <w:rFonts w:ascii="Calibri" w:hAnsi="Calibri" w:cs="Calibri"/>
              <w:sz w:val="18"/>
              <w:szCs w:val="18"/>
            </w:rPr>
          </w:pPr>
        </w:p>
        <w:p w14:paraId="6B283FF7" w14:textId="77777777" w:rsidR="002A2C95" w:rsidRPr="00814581" w:rsidRDefault="002A2C95" w:rsidP="00F07E6B">
          <w:pPr>
            <w:pBdr>
              <w:top w:val="double" w:sz="4" w:space="1" w:color="FF0000"/>
              <w:left w:val="double" w:sz="4" w:space="4" w:color="FF0000"/>
              <w:bottom w:val="double" w:sz="4" w:space="1" w:color="FF0000"/>
              <w:right w:val="double" w:sz="4" w:space="4" w:color="FF0000"/>
            </w:pBdr>
            <w:autoSpaceDE w:val="0"/>
            <w:autoSpaceDN w:val="0"/>
            <w:adjustRightInd w:val="0"/>
            <w:spacing w:after="0" w:line="240" w:lineRule="auto"/>
            <w:rPr>
              <w:rFonts w:ascii="Calibri" w:hAnsi="Calibri" w:cs="Calibri"/>
              <w:sz w:val="18"/>
              <w:szCs w:val="18"/>
            </w:rPr>
          </w:pPr>
        </w:p>
        <w:p w14:paraId="022AD63A" w14:textId="77777777" w:rsidR="002A2C95" w:rsidRPr="00814581" w:rsidRDefault="002A2C95" w:rsidP="00F07E6B">
          <w:pPr>
            <w:pBdr>
              <w:top w:val="double" w:sz="4" w:space="1" w:color="FF0000"/>
              <w:left w:val="double" w:sz="4" w:space="4" w:color="FF0000"/>
              <w:bottom w:val="double" w:sz="4" w:space="1" w:color="FF0000"/>
              <w:right w:val="double" w:sz="4" w:space="4" w:color="FF0000"/>
            </w:pBdr>
            <w:autoSpaceDE w:val="0"/>
            <w:autoSpaceDN w:val="0"/>
            <w:adjustRightInd w:val="0"/>
            <w:spacing w:after="0" w:line="240" w:lineRule="auto"/>
            <w:rPr>
              <w:rFonts w:ascii="Calibri" w:hAnsi="Calibri" w:cs="Calibri"/>
              <w:sz w:val="18"/>
              <w:szCs w:val="18"/>
            </w:rPr>
          </w:pPr>
        </w:p>
        <w:p w14:paraId="40692D56" w14:textId="77777777" w:rsidR="002A2C95" w:rsidRPr="00814581" w:rsidRDefault="002A2C95" w:rsidP="00F07E6B">
          <w:pPr>
            <w:pBdr>
              <w:top w:val="double" w:sz="4" w:space="1" w:color="FF0000"/>
              <w:left w:val="double" w:sz="4" w:space="4" w:color="FF0000"/>
              <w:bottom w:val="double" w:sz="4" w:space="1" w:color="FF0000"/>
              <w:right w:val="double" w:sz="4" w:space="4" w:color="FF0000"/>
            </w:pBdr>
            <w:autoSpaceDE w:val="0"/>
            <w:autoSpaceDN w:val="0"/>
            <w:adjustRightInd w:val="0"/>
            <w:spacing w:after="0" w:line="240" w:lineRule="auto"/>
            <w:rPr>
              <w:rFonts w:ascii="Calibri" w:hAnsi="Calibri" w:cs="Calibri"/>
              <w:sz w:val="18"/>
              <w:szCs w:val="18"/>
            </w:rPr>
          </w:pPr>
        </w:p>
        <w:p w14:paraId="1DFD13EA" w14:textId="77777777" w:rsidR="002A2C95" w:rsidRPr="00814581" w:rsidRDefault="002A2C95" w:rsidP="00F07E6B">
          <w:pPr>
            <w:pBdr>
              <w:top w:val="double" w:sz="4" w:space="1" w:color="FF0000"/>
              <w:left w:val="double" w:sz="4" w:space="4" w:color="FF0000"/>
              <w:bottom w:val="double" w:sz="4" w:space="1" w:color="FF0000"/>
              <w:right w:val="double" w:sz="4" w:space="4" w:color="FF0000"/>
            </w:pBdr>
            <w:autoSpaceDE w:val="0"/>
            <w:autoSpaceDN w:val="0"/>
            <w:adjustRightInd w:val="0"/>
            <w:spacing w:after="0" w:line="240" w:lineRule="auto"/>
            <w:rPr>
              <w:rFonts w:ascii="Calibri" w:hAnsi="Calibri" w:cs="Calibri"/>
              <w:sz w:val="18"/>
              <w:szCs w:val="18"/>
            </w:rPr>
          </w:pPr>
        </w:p>
        <w:p w14:paraId="10F1B00F" w14:textId="77777777" w:rsidR="002A2C95" w:rsidRPr="00814581" w:rsidRDefault="002A2C95" w:rsidP="00F07E6B">
          <w:pPr>
            <w:pBdr>
              <w:top w:val="double" w:sz="4" w:space="1" w:color="FF0000"/>
              <w:left w:val="double" w:sz="4" w:space="4" w:color="FF0000"/>
              <w:bottom w:val="double" w:sz="4" w:space="1" w:color="FF0000"/>
              <w:right w:val="double" w:sz="4" w:space="4" w:color="FF0000"/>
            </w:pBdr>
            <w:autoSpaceDE w:val="0"/>
            <w:autoSpaceDN w:val="0"/>
            <w:adjustRightInd w:val="0"/>
            <w:spacing w:after="0" w:line="240" w:lineRule="auto"/>
            <w:rPr>
              <w:rFonts w:ascii="Calibri" w:hAnsi="Calibri" w:cs="Calibri"/>
              <w:sz w:val="18"/>
              <w:szCs w:val="18"/>
            </w:rPr>
          </w:pPr>
        </w:p>
        <w:p w14:paraId="22FBDDD5" w14:textId="77777777" w:rsidR="002A2C95" w:rsidRPr="00814581" w:rsidRDefault="002A2C95" w:rsidP="00F07E6B">
          <w:pPr>
            <w:pBdr>
              <w:top w:val="double" w:sz="4" w:space="1" w:color="FF0000"/>
              <w:left w:val="double" w:sz="4" w:space="4" w:color="FF0000"/>
              <w:bottom w:val="double" w:sz="4" w:space="1" w:color="FF0000"/>
              <w:right w:val="double" w:sz="4" w:space="4" w:color="FF0000"/>
            </w:pBdr>
            <w:autoSpaceDE w:val="0"/>
            <w:autoSpaceDN w:val="0"/>
            <w:adjustRightInd w:val="0"/>
            <w:spacing w:after="0" w:line="240" w:lineRule="auto"/>
            <w:rPr>
              <w:rFonts w:ascii="Calibri" w:hAnsi="Calibri" w:cs="Calibri"/>
              <w:sz w:val="18"/>
              <w:szCs w:val="18"/>
            </w:rPr>
          </w:pPr>
          <w:r w:rsidRPr="00814581">
            <w:rPr>
              <w:rFonts w:ascii="Calibri" w:hAnsi="Calibri" w:cs="Calibri"/>
              <w:noProof/>
              <w:sz w:val="18"/>
              <w:szCs w:val="18"/>
              <w:lang w:eastAsia="en-AU"/>
            </w:rPr>
            <w:drawing>
              <wp:anchor distT="0" distB="0" distL="114300" distR="114300" simplePos="0" relativeHeight="251658240" behindDoc="1" locked="0" layoutInCell="1" allowOverlap="1" wp14:anchorId="21D7F5E9" wp14:editId="7501A962">
                <wp:simplePos x="0" y="0"/>
                <wp:positionH relativeFrom="margin">
                  <wp:posOffset>2362835</wp:posOffset>
                </wp:positionH>
                <wp:positionV relativeFrom="margin">
                  <wp:posOffset>6732905</wp:posOffset>
                </wp:positionV>
                <wp:extent cx="2959200" cy="154080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DA.png"/>
                        <pic:cNvPicPr/>
                      </pic:nvPicPr>
                      <pic:blipFill>
                        <a:blip r:embed="rId13">
                          <a:extLst>
                            <a:ext uri="{28A0092B-C50C-407E-A947-70E740481C1C}">
                              <a14:useLocalDpi xmlns:a14="http://schemas.microsoft.com/office/drawing/2010/main" val="0"/>
                            </a:ext>
                          </a:extLst>
                        </a:blip>
                        <a:stretch>
                          <a:fillRect/>
                        </a:stretch>
                      </pic:blipFill>
                      <pic:spPr>
                        <a:xfrm>
                          <a:off x="0" y="0"/>
                          <a:ext cx="2959200" cy="1540800"/>
                        </a:xfrm>
                        <a:prstGeom prst="rect">
                          <a:avLst/>
                        </a:prstGeom>
                      </pic:spPr>
                    </pic:pic>
                  </a:graphicData>
                </a:graphic>
                <wp14:sizeRelH relativeFrom="margin">
                  <wp14:pctWidth>0</wp14:pctWidth>
                </wp14:sizeRelH>
                <wp14:sizeRelV relativeFrom="margin">
                  <wp14:pctHeight>0</wp14:pctHeight>
                </wp14:sizeRelV>
              </wp:anchor>
            </w:drawing>
          </w:r>
        </w:p>
        <w:p w14:paraId="3379F891" w14:textId="77777777" w:rsidR="002A2C95" w:rsidRPr="00814581" w:rsidRDefault="002A2C95" w:rsidP="00F07E6B">
          <w:pPr>
            <w:pBdr>
              <w:top w:val="double" w:sz="4" w:space="1" w:color="FF0000"/>
              <w:left w:val="double" w:sz="4" w:space="4" w:color="FF0000"/>
              <w:bottom w:val="double" w:sz="4" w:space="1" w:color="FF0000"/>
              <w:right w:val="double" w:sz="4" w:space="4" w:color="FF0000"/>
            </w:pBdr>
            <w:autoSpaceDE w:val="0"/>
            <w:autoSpaceDN w:val="0"/>
            <w:adjustRightInd w:val="0"/>
            <w:spacing w:after="0" w:line="240" w:lineRule="auto"/>
            <w:rPr>
              <w:rFonts w:ascii="Calibri" w:hAnsi="Calibri" w:cs="Calibri"/>
              <w:sz w:val="18"/>
              <w:szCs w:val="18"/>
            </w:rPr>
          </w:pPr>
        </w:p>
        <w:p w14:paraId="69419163" w14:textId="77777777" w:rsidR="002A2C95" w:rsidRPr="00814581" w:rsidRDefault="002A2C95" w:rsidP="00F07E6B">
          <w:pPr>
            <w:pBdr>
              <w:top w:val="double" w:sz="4" w:space="1" w:color="FF0000"/>
              <w:left w:val="double" w:sz="4" w:space="4" w:color="FF0000"/>
              <w:bottom w:val="double" w:sz="4" w:space="1" w:color="FF0000"/>
              <w:right w:val="double" w:sz="4" w:space="4" w:color="FF0000"/>
            </w:pBdr>
            <w:autoSpaceDE w:val="0"/>
            <w:autoSpaceDN w:val="0"/>
            <w:adjustRightInd w:val="0"/>
            <w:spacing w:after="0" w:line="240" w:lineRule="auto"/>
            <w:rPr>
              <w:rFonts w:ascii="Calibri" w:hAnsi="Calibri" w:cs="Calibri"/>
              <w:sz w:val="18"/>
              <w:szCs w:val="18"/>
            </w:rPr>
          </w:pPr>
        </w:p>
        <w:p w14:paraId="13738472" w14:textId="77777777" w:rsidR="002A2C95" w:rsidRPr="00814581" w:rsidRDefault="002A2C95" w:rsidP="00F07E6B">
          <w:pPr>
            <w:pBdr>
              <w:top w:val="double" w:sz="4" w:space="1" w:color="FF0000"/>
              <w:left w:val="double" w:sz="4" w:space="4" w:color="FF0000"/>
              <w:bottom w:val="double" w:sz="4" w:space="1" w:color="FF0000"/>
              <w:right w:val="double" w:sz="4" w:space="4" w:color="FF0000"/>
            </w:pBdr>
            <w:autoSpaceDE w:val="0"/>
            <w:autoSpaceDN w:val="0"/>
            <w:adjustRightInd w:val="0"/>
            <w:spacing w:after="0" w:line="240" w:lineRule="auto"/>
            <w:rPr>
              <w:rFonts w:ascii="Calibri" w:hAnsi="Calibri" w:cs="Calibri"/>
              <w:sz w:val="18"/>
              <w:szCs w:val="18"/>
            </w:rPr>
          </w:pPr>
        </w:p>
        <w:p w14:paraId="51ACB818" w14:textId="77777777" w:rsidR="002A2C95" w:rsidRPr="00814581" w:rsidRDefault="002A2C95" w:rsidP="00F07E6B">
          <w:pPr>
            <w:pBdr>
              <w:top w:val="double" w:sz="4" w:space="1" w:color="FF0000"/>
              <w:left w:val="double" w:sz="4" w:space="4" w:color="FF0000"/>
              <w:bottom w:val="double" w:sz="4" w:space="1" w:color="FF0000"/>
              <w:right w:val="double" w:sz="4" w:space="4" w:color="FF0000"/>
            </w:pBdr>
            <w:autoSpaceDE w:val="0"/>
            <w:autoSpaceDN w:val="0"/>
            <w:adjustRightInd w:val="0"/>
            <w:spacing w:after="0" w:line="240" w:lineRule="auto"/>
            <w:rPr>
              <w:rFonts w:ascii="Calibri" w:hAnsi="Calibri" w:cs="Calibri"/>
              <w:sz w:val="18"/>
              <w:szCs w:val="18"/>
            </w:rPr>
          </w:pPr>
          <w:r w:rsidRPr="00814581">
            <w:rPr>
              <w:rFonts w:ascii="Calibri" w:hAnsi="Calibri" w:cs="Calibri"/>
              <w:sz w:val="18"/>
              <w:szCs w:val="18"/>
            </w:rPr>
            <w:t>Ian Blandthorn</w:t>
          </w:r>
        </w:p>
        <w:p w14:paraId="6A1F50C6" w14:textId="77777777" w:rsidR="002A2C95" w:rsidRPr="00814581" w:rsidRDefault="002A2C95" w:rsidP="00F07E6B">
          <w:pPr>
            <w:pBdr>
              <w:top w:val="double" w:sz="4" w:space="1" w:color="FF0000"/>
              <w:left w:val="double" w:sz="4" w:space="4" w:color="FF0000"/>
              <w:bottom w:val="double" w:sz="4" w:space="1" w:color="FF0000"/>
              <w:right w:val="double" w:sz="4" w:space="4" w:color="FF0000"/>
            </w:pBdr>
            <w:autoSpaceDE w:val="0"/>
            <w:autoSpaceDN w:val="0"/>
            <w:adjustRightInd w:val="0"/>
            <w:spacing w:after="0" w:line="240" w:lineRule="auto"/>
            <w:rPr>
              <w:rFonts w:ascii="Calibri" w:hAnsi="Calibri" w:cs="Calibri"/>
              <w:sz w:val="18"/>
              <w:szCs w:val="18"/>
            </w:rPr>
          </w:pPr>
          <w:r w:rsidRPr="00814581">
            <w:rPr>
              <w:rFonts w:ascii="Calibri" w:hAnsi="Calibri" w:cs="Calibri"/>
              <w:sz w:val="18"/>
              <w:szCs w:val="18"/>
            </w:rPr>
            <w:t>National Assistant Secretary</w:t>
          </w:r>
        </w:p>
        <w:p w14:paraId="4E6AB6E3" w14:textId="77777777" w:rsidR="002A2C95" w:rsidRPr="00814581" w:rsidRDefault="002A2C95" w:rsidP="00F07E6B">
          <w:pPr>
            <w:pBdr>
              <w:top w:val="double" w:sz="4" w:space="1" w:color="FF0000"/>
              <w:left w:val="double" w:sz="4" w:space="4" w:color="FF0000"/>
              <w:bottom w:val="double" w:sz="4" w:space="1" w:color="FF0000"/>
              <w:right w:val="double" w:sz="4" w:space="4" w:color="FF0000"/>
            </w:pBdr>
            <w:autoSpaceDE w:val="0"/>
            <w:autoSpaceDN w:val="0"/>
            <w:adjustRightInd w:val="0"/>
            <w:spacing w:after="0" w:line="240" w:lineRule="auto"/>
            <w:rPr>
              <w:rFonts w:ascii="Calibri" w:hAnsi="Calibri" w:cs="Calibri"/>
              <w:sz w:val="18"/>
              <w:szCs w:val="18"/>
            </w:rPr>
          </w:pPr>
          <w:r w:rsidRPr="00814581">
            <w:rPr>
              <w:rFonts w:ascii="Calibri" w:hAnsi="Calibri" w:cs="Calibri"/>
              <w:sz w:val="18"/>
              <w:szCs w:val="18"/>
            </w:rPr>
            <w:t>National Office</w:t>
          </w:r>
        </w:p>
        <w:p w14:paraId="6EF6FF13" w14:textId="77777777" w:rsidR="002A2C95" w:rsidRPr="00814581" w:rsidRDefault="002A2C95" w:rsidP="00F07E6B">
          <w:pPr>
            <w:pBdr>
              <w:top w:val="double" w:sz="4" w:space="1" w:color="FF0000"/>
              <w:left w:val="double" w:sz="4" w:space="4" w:color="FF0000"/>
              <w:bottom w:val="double" w:sz="4" w:space="1" w:color="FF0000"/>
              <w:right w:val="double" w:sz="4" w:space="4" w:color="FF0000"/>
            </w:pBdr>
            <w:autoSpaceDE w:val="0"/>
            <w:autoSpaceDN w:val="0"/>
            <w:adjustRightInd w:val="0"/>
            <w:spacing w:after="0" w:line="240" w:lineRule="auto"/>
            <w:rPr>
              <w:rFonts w:ascii="Calibri" w:hAnsi="Calibri" w:cs="Calibri"/>
              <w:sz w:val="18"/>
              <w:szCs w:val="18"/>
            </w:rPr>
          </w:pPr>
          <w:r w:rsidRPr="00814581">
            <w:rPr>
              <w:rFonts w:ascii="Calibri" w:hAnsi="Calibri" w:cs="Calibri"/>
              <w:sz w:val="18"/>
              <w:szCs w:val="18"/>
            </w:rPr>
            <w:t>6</w:t>
          </w:r>
          <w:r w:rsidRPr="00814581">
            <w:rPr>
              <w:rFonts w:ascii="Calibri" w:hAnsi="Calibri" w:cs="Calibri"/>
              <w:sz w:val="12"/>
              <w:szCs w:val="12"/>
            </w:rPr>
            <w:t xml:space="preserve">th </w:t>
          </w:r>
          <w:r w:rsidRPr="00814581">
            <w:rPr>
              <w:rFonts w:ascii="Calibri" w:hAnsi="Calibri" w:cs="Calibri"/>
              <w:sz w:val="18"/>
              <w:szCs w:val="18"/>
            </w:rPr>
            <w:t>Floor</w:t>
          </w:r>
        </w:p>
        <w:p w14:paraId="14A4693A" w14:textId="77777777" w:rsidR="002A2C95" w:rsidRPr="00814581" w:rsidRDefault="002A2C95" w:rsidP="00F07E6B">
          <w:pPr>
            <w:pBdr>
              <w:top w:val="double" w:sz="4" w:space="1" w:color="FF0000"/>
              <w:left w:val="double" w:sz="4" w:space="4" w:color="FF0000"/>
              <w:bottom w:val="double" w:sz="4" w:space="1" w:color="FF0000"/>
              <w:right w:val="double" w:sz="4" w:space="4" w:color="FF0000"/>
            </w:pBdr>
            <w:autoSpaceDE w:val="0"/>
            <w:autoSpaceDN w:val="0"/>
            <w:adjustRightInd w:val="0"/>
            <w:spacing w:after="0" w:line="240" w:lineRule="auto"/>
            <w:rPr>
              <w:rFonts w:ascii="Calibri" w:hAnsi="Calibri" w:cs="Calibri"/>
              <w:sz w:val="18"/>
              <w:szCs w:val="18"/>
            </w:rPr>
          </w:pPr>
          <w:r w:rsidRPr="00814581">
            <w:rPr>
              <w:rFonts w:ascii="Calibri" w:hAnsi="Calibri" w:cs="Calibri"/>
              <w:sz w:val="18"/>
              <w:szCs w:val="18"/>
            </w:rPr>
            <w:t>53 Queen Street</w:t>
          </w:r>
        </w:p>
        <w:p w14:paraId="02658A26" w14:textId="77777777" w:rsidR="002A2C95" w:rsidRPr="00814581" w:rsidRDefault="002A2C95" w:rsidP="00F07E6B">
          <w:pPr>
            <w:pBdr>
              <w:top w:val="double" w:sz="4" w:space="1" w:color="FF0000"/>
              <w:left w:val="double" w:sz="4" w:space="4" w:color="FF0000"/>
              <w:bottom w:val="double" w:sz="4" w:space="1" w:color="FF0000"/>
              <w:right w:val="double" w:sz="4" w:space="4" w:color="FF0000"/>
            </w:pBdr>
            <w:autoSpaceDE w:val="0"/>
            <w:autoSpaceDN w:val="0"/>
            <w:adjustRightInd w:val="0"/>
            <w:spacing w:after="0" w:line="240" w:lineRule="auto"/>
            <w:rPr>
              <w:rFonts w:ascii="Calibri" w:hAnsi="Calibri" w:cs="Calibri"/>
              <w:sz w:val="18"/>
              <w:szCs w:val="18"/>
            </w:rPr>
          </w:pPr>
          <w:r w:rsidRPr="00814581">
            <w:rPr>
              <w:rFonts w:ascii="Calibri" w:hAnsi="Calibri" w:cs="Calibri"/>
              <w:sz w:val="18"/>
              <w:szCs w:val="18"/>
            </w:rPr>
            <w:t>Melbourne 3000</w:t>
          </w:r>
          <w:r w:rsidRPr="00814581">
            <w:rPr>
              <w:rFonts w:ascii="Calibri" w:hAnsi="Calibri" w:cs="Calibri"/>
              <w:sz w:val="18"/>
              <w:szCs w:val="18"/>
            </w:rPr>
            <w:tab/>
          </w:r>
          <w:r w:rsidRPr="00814581">
            <w:rPr>
              <w:rFonts w:ascii="Calibri" w:hAnsi="Calibri" w:cs="Calibri"/>
              <w:sz w:val="18"/>
              <w:szCs w:val="18"/>
            </w:rPr>
            <w:tab/>
          </w:r>
          <w:r w:rsidRPr="00814581">
            <w:rPr>
              <w:rFonts w:ascii="Calibri" w:hAnsi="Calibri" w:cs="Calibri"/>
              <w:sz w:val="18"/>
              <w:szCs w:val="18"/>
            </w:rPr>
            <w:tab/>
          </w:r>
          <w:r w:rsidRPr="00814581">
            <w:rPr>
              <w:rFonts w:ascii="Calibri" w:hAnsi="Calibri" w:cs="Calibri"/>
              <w:sz w:val="18"/>
              <w:szCs w:val="18"/>
            </w:rPr>
            <w:tab/>
          </w:r>
          <w:r w:rsidRPr="00814581">
            <w:rPr>
              <w:rFonts w:ascii="Calibri" w:hAnsi="Calibri" w:cs="Calibri"/>
              <w:sz w:val="18"/>
              <w:szCs w:val="18"/>
            </w:rPr>
            <w:tab/>
          </w:r>
        </w:p>
        <w:p w14:paraId="0C719080" w14:textId="77777777" w:rsidR="002A2C95" w:rsidRPr="00814581" w:rsidRDefault="002A2C95" w:rsidP="00F07E6B">
          <w:pPr>
            <w:pBdr>
              <w:top w:val="double" w:sz="4" w:space="1" w:color="FF0000"/>
              <w:left w:val="double" w:sz="4" w:space="4" w:color="FF0000"/>
              <w:bottom w:val="double" w:sz="4" w:space="1" w:color="FF0000"/>
              <w:right w:val="double" w:sz="4" w:space="4" w:color="FF0000"/>
            </w:pBdr>
            <w:autoSpaceDE w:val="0"/>
            <w:autoSpaceDN w:val="0"/>
            <w:adjustRightInd w:val="0"/>
            <w:spacing w:after="0" w:line="240" w:lineRule="auto"/>
            <w:rPr>
              <w:rFonts w:ascii="Calibri" w:hAnsi="Calibri" w:cs="Calibri"/>
              <w:sz w:val="18"/>
              <w:szCs w:val="18"/>
            </w:rPr>
          </w:pPr>
          <w:r w:rsidRPr="00814581">
            <w:rPr>
              <w:rFonts w:ascii="Calibri" w:hAnsi="Calibri" w:cs="Calibri"/>
              <w:sz w:val="18"/>
              <w:szCs w:val="18"/>
            </w:rPr>
            <w:t>PH: (03) 8611 7000</w:t>
          </w:r>
        </w:p>
        <w:p w14:paraId="7BC136EC" w14:textId="77777777" w:rsidR="002A2C95" w:rsidRPr="00814581" w:rsidRDefault="002A2C95" w:rsidP="00F07E6B">
          <w:pPr>
            <w:pBdr>
              <w:top w:val="double" w:sz="4" w:space="1" w:color="FF0000"/>
              <w:left w:val="double" w:sz="4" w:space="4" w:color="FF0000"/>
              <w:bottom w:val="double" w:sz="4" w:space="1" w:color="FF0000"/>
              <w:right w:val="double" w:sz="4" w:space="4" w:color="FF0000"/>
            </w:pBdr>
            <w:rPr>
              <w:rFonts w:ascii="Calibri" w:hAnsi="Calibri" w:cs="Calibri"/>
              <w:sz w:val="18"/>
              <w:szCs w:val="18"/>
            </w:rPr>
          </w:pPr>
          <w:r w:rsidRPr="00814581">
            <w:rPr>
              <w:rFonts w:ascii="Calibri" w:hAnsi="Calibri" w:cs="Calibri"/>
              <w:sz w:val="18"/>
              <w:szCs w:val="18"/>
            </w:rPr>
            <w:t xml:space="preserve">Email: </w:t>
          </w:r>
          <w:hyperlink r:id="rId14" w:history="1">
            <w:r w:rsidRPr="00814581">
              <w:rPr>
                <w:rStyle w:val="Hyperlink"/>
                <w:rFonts w:ascii="Calibri" w:hAnsi="Calibri" w:cs="Calibri"/>
                <w:sz w:val="18"/>
                <w:szCs w:val="18"/>
              </w:rPr>
              <w:t>ian@sda.org.au</w:t>
            </w:r>
          </w:hyperlink>
        </w:p>
        <w:p w14:paraId="3E64E3F3" w14:textId="77777777" w:rsidR="002A2C95" w:rsidRPr="00814581" w:rsidRDefault="002A2C95" w:rsidP="00F07E6B">
          <w:pPr>
            <w:pBdr>
              <w:top w:val="double" w:sz="4" w:space="1" w:color="FF0000"/>
              <w:left w:val="double" w:sz="4" w:space="4" w:color="FF0000"/>
              <w:bottom w:val="double" w:sz="4" w:space="1" w:color="FF0000"/>
              <w:right w:val="double" w:sz="4" w:space="4" w:color="FF0000"/>
            </w:pBdr>
            <w:rPr>
              <w:rFonts w:ascii="Calibri" w:hAnsi="Calibri" w:cs="Calibri"/>
            </w:rPr>
          </w:pPr>
        </w:p>
        <w:p w14:paraId="3F89C54F" w14:textId="77777777" w:rsidR="002A2C95" w:rsidRPr="00814581" w:rsidRDefault="00D34F99">
          <w:pPr>
            <w:rPr>
              <w:rFonts w:ascii="Calibri" w:hAnsi="Calibri" w:cs="Calibri"/>
              <w:b/>
              <w:sz w:val="28"/>
              <w:szCs w:val="28"/>
              <w:u w:val="single"/>
            </w:rPr>
          </w:pPr>
        </w:p>
      </w:sdtContent>
    </w:sdt>
    <w:p w14:paraId="23632DFC" w14:textId="77777777" w:rsidR="004D4DC9" w:rsidRPr="00814581" w:rsidRDefault="00A871E0" w:rsidP="004D4DC9">
      <w:pPr>
        <w:ind w:left="1440" w:firstLine="720"/>
        <w:rPr>
          <w:rFonts w:ascii="Calibri" w:hAnsi="Calibri" w:cs="Calibri"/>
          <w:sz w:val="28"/>
          <w:szCs w:val="28"/>
        </w:rPr>
      </w:pPr>
      <w:r w:rsidRPr="00814581">
        <w:rPr>
          <w:rFonts w:ascii="Calibri" w:hAnsi="Calibri" w:cs="Calibri"/>
          <w:b/>
          <w:sz w:val="28"/>
          <w:szCs w:val="28"/>
          <w:u w:val="single"/>
        </w:rPr>
        <w:lastRenderedPageBreak/>
        <w:t>Better tax system, better Australia</w:t>
      </w:r>
    </w:p>
    <w:p w14:paraId="2EE7DE8F" w14:textId="77777777" w:rsidR="00A871E0" w:rsidRPr="00B613F9" w:rsidRDefault="00A871E0" w:rsidP="00A326A0">
      <w:pPr>
        <w:rPr>
          <w:rFonts w:cstheme="minorHAnsi"/>
        </w:rPr>
      </w:pPr>
    </w:p>
    <w:p w14:paraId="1051EEC4" w14:textId="77777777" w:rsidR="00A871E0" w:rsidRPr="00B613F9" w:rsidRDefault="00A871E0" w:rsidP="003B50F7">
      <w:pPr>
        <w:spacing w:before="240"/>
        <w:jc w:val="both"/>
        <w:rPr>
          <w:rFonts w:cstheme="minorHAnsi"/>
        </w:rPr>
      </w:pPr>
      <w:r w:rsidRPr="00B613F9">
        <w:rPr>
          <w:rFonts w:cstheme="minorHAnsi"/>
        </w:rPr>
        <w:t>The Shop, Distributive and Allied Employees’ Association (SDA) is Australia’s largest trade union with over 213,000 members</w:t>
      </w:r>
      <w:r w:rsidR="00994626" w:rsidRPr="00B613F9">
        <w:rPr>
          <w:rFonts w:cstheme="minorHAnsi"/>
        </w:rPr>
        <w:t xml:space="preserve">.  </w:t>
      </w:r>
      <w:r w:rsidRPr="00B613F9">
        <w:rPr>
          <w:rFonts w:cstheme="minorHAnsi"/>
        </w:rPr>
        <w:t>These members are, with few exceptions, low income earners and most live in low income families</w:t>
      </w:r>
      <w:r w:rsidR="00994626" w:rsidRPr="00B613F9">
        <w:rPr>
          <w:rFonts w:cstheme="minorHAnsi"/>
        </w:rPr>
        <w:t xml:space="preserve">.  </w:t>
      </w:r>
      <w:r w:rsidRPr="00B613F9">
        <w:rPr>
          <w:rFonts w:cstheme="minorHAnsi"/>
        </w:rPr>
        <w:t>The majority of SDA members are women.</w:t>
      </w:r>
    </w:p>
    <w:p w14:paraId="32418E60" w14:textId="77777777" w:rsidR="00CE2B91" w:rsidRPr="00B613F9" w:rsidRDefault="00CE2B91">
      <w:pPr>
        <w:rPr>
          <w:rFonts w:cstheme="minorHAnsi"/>
        </w:rPr>
      </w:pPr>
      <w:r w:rsidRPr="00B613F9">
        <w:rPr>
          <w:rFonts w:cstheme="minorHAnsi"/>
        </w:rPr>
        <w:br w:type="page"/>
      </w:r>
      <w:bookmarkStart w:id="0" w:name="_GoBack"/>
      <w:bookmarkEnd w:id="0"/>
    </w:p>
    <w:p w14:paraId="17FFC30F" w14:textId="77777777" w:rsidR="00CE2B91" w:rsidRDefault="00CE2B91" w:rsidP="00247F24">
      <w:pPr>
        <w:rPr>
          <w:rFonts w:cstheme="minorHAnsi"/>
          <w:b/>
          <w:sz w:val="28"/>
          <w:szCs w:val="28"/>
          <w:u w:val="single"/>
        </w:rPr>
      </w:pPr>
      <w:r w:rsidRPr="00B613F9">
        <w:rPr>
          <w:rFonts w:cstheme="minorHAnsi"/>
          <w:b/>
          <w:sz w:val="28"/>
          <w:szCs w:val="28"/>
          <w:u w:val="single"/>
        </w:rPr>
        <w:lastRenderedPageBreak/>
        <w:t>The key principles to apply to taxation reform</w:t>
      </w:r>
    </w:p>
    <w:p w14:paraId="49EAC32E" w14:textId="77777777" w:rsidR="00B613F9" w:rsidRPr="00B613F9" w:rsidRDefault="00B613F9" w:rsidP="00247F24">
      <w:pPr>
        <w:rPr>
          <w:rFonts w:cstheme="minorHAnsi"/>
          <w:b/>
          <w:sz w:val="28"/>
          <w:szCs w:val="28"/>
          <w:u w:val="single"/>
        </w:rPr>
      </w:pPr>
    </w:p>
    <w:p w14:paraId="4E4EA669" w14:textId="77777777" w:rsidR="00A871E0" w:rsidRPr="00B613F9" w:rsidRDefault="00A871E0" w:rsidP="00247F24">
      <w:pPr>
        <w:pStyle w:val="Style1"/>
        <w:numPr>
          <w:ilvl w:val="0"/>
          <w:numId w:val="7"/>
        </w:numPr>
        <w:tabs>
          <w:tab w:val="center" w:pos="4395"/>
        </w:tabs>
        <w:spacing w:before="0" w:after="200" w:line="276" w:lineRule="auto"/>
        <w:ind w:left="1134" w:hanging="708"/>
        <w:outlineLvl w:val="9"/>
        <w:rPr>
          <w:rFonts w:asciiTheme="minorHAnsi" w:hAnsiTheme="minorHAnsi" w:cstheme="minorHAnsi"/>
          <w:b/>
          <w:szCs w:val="22"/>
          <w:lang w:val="en-AU"/>
        </w:rPr>
      </w:pPr>
      <w:r w:rsidRPr="00B613F9">
        <w:rPr>
          <w:rFonts w:asciiTheme="minorHAnsi" w:hAnsiTheme="minorHAnsi" w:cstheme="minorHAnsi"/>
          <w:b/>
          <w:szCs w:val="22"/>
          <w:lang w:val="en-AU"/>
        </w:rPr>
        <w:t>In our view government policy and action in all areas should be underpinned by a commitment to the following core principles:</w:t>
      </w:r>
    </w:p>
    <w:p w14:paraId="3A52D6CC" w14:textId="77777777" w:rsidR="00A871E0" w:rsidRPr="00B613F9" w:rsidRDefault="00A871E0" w:rsidP="00247F24">
      <w:pPr>
        <w:numPr>
          <w:ilvl w:val="0"/>
          <w:numId w:val="6"/>
        </w:numPr>
        <w:jc w:val="both"/>
        <w:rPr>
          <w:rFonts w:cstheme="minorHAnsi"/>
          <w:b/>
        </w:rPr>
      </w:pPr>
      <w:r w:rsidRPr="00B613F9">
        <w:rPr>
          <w:rFonts w:cstheme="minorHAnsi"/>
          <w:b/>
        </w:rPr>
        <w:t>recognition that the family is the fundamental group unit of society;</w:t>
      </w:r>
    </w:p>
    <w:p w14:paraId="170722FC" w14:textId="77777777" w:rsidR="00A871E0" w:rsidRPr="00B613F9" w:rsidRDefault="00A871E0" w:rsidP="00247F24">
      <w:pPr>
        <w:numPr>
          <w:ilvl w:val="0"/>
          <w:numId w:val="6"/>
        </w:numPr>
        <w:jc w:val="both"/>
        <w:rPr>
          <w:rFonts w:cstheme="minorHAnsi"/>
          <w:b/>
        </w:rPr>
      </w:pPr>
      <w:r w:rsidRPr="00B613F9">
        <w:rPr>
          <w:rFonts w:cstheme="minorHAnsi"/>
          <w:b/>
        </w:rPr>
        <w:t>a standard of living consistent with human dignity is a fundamental right of all Australians;</w:t>
      </w:r>
    </w:p>
    <w:p w14:paraId="07D5CCFB" w14:textId="77777777" w:rsidR="00A871E0" w:rsidRPr="00B613F9" w:rsidRDefault="00A871E0" w:rsidP="00247F24">
      <w:pPr>
        <w:numPr>
          <w:ilvl w:val="0"/>
          <w:numId w:val="6"/>
        </w:numPr>
        <w:jc w:val="both"/>
        <w:rPr>
          <w:rFonts w:cstheme="minorHAnsi"/>
          <w:b/>
        </w:rPr>
      </w:pPr>
      <w:proofErr w:type="gramStart"/>
      <w:r w:rsidRPr="00B613F9">
        <w:rPr>
          <w:rFonts w:cstheme="minorHAnsi"/>
          <w:b/>
        </w:rPr>
        <w:t>support</w:t>
      </w:r>
      <w:proofErr w:type="gramEnd"/>
      <w:r w:rsidRPr="00B613F9">
        <w:rPr>
          <w:rFonts w:cstheme="minorHAnsi"/>
          <w:b/>
        </w:rPr>
        <w:t xml:space="preserve"> should be provided by government to families on an equitable basis with priority given to low income families.</w:t>
      </w:r>
    </w:p>
    <w:p w14:paraId="30256BD6" w14:textId="77777777" w:rsidR="00A871E0" w:rsidRPr="00B613F9" w:rsidRDefault="00A871E0" w:rsidP="00B379A8">
      <w:pPr>
        <w:numPr>
          <w:ilvl w:val="0"/>
          <w:numId w:val="6"/>
        </w:numPr>
        <w:ind w:left="1434" w:hanging="357"/>
        <w:jc w:val="both"/>
        <w:rPr>
          <w:rFonts w:cstheme="minorHAnsi"/>
          <w:b/>
        </w:rPr>
      </w:pPr>
      <w:r w:rsidRPr="00B613F9">
        <w:rPr>
          <w:rFonts w:cstheme="minorHAnsi"/>
          <w:b/>
        </w:rPr>
        <w:t>poverty is abhorrent and completely unacceptable;</w:t>
      </w:r>
    </w:p>
    <w:p w14:paraId="26A6C27E" w14:textId="77777777" w:rsidR="00A871E0" w:rsidRPr="00B613F9" w:rsidRDefault="00A871E0" w:rsidP="00247F24">
      <w:pPr>
        <w:numPr>
          <w:ilvl w:val="0"/>
          <w:numId w:val="6"/>
        </w:numPr>
        <w:jc w:val="both"/>
        <w:rPr>
          <w:rFonts w:cstheme="minorHAnsi"/>
          <w:b/>
        </w:rPr>
      </w:pPr>
      <w:r w:rsidRPr="00B613F9">
        <w:rPr>
          <w:rFonts w:cstheme="minorHAnsi"/>
          <w:b/>
        </w:rPr>
        <w:t>respect for the various choices families make in respect of work and caring for family members;</w:t>
      </w:r>
    </w:p>
    <w:p w14:paraId="668015C4" w14:textId="77777777" w:rsidR="00A871E0" w:rsidRPr="00B613F9" w:rsidRDefault="00A871E0" w:rsidP="00247F24">
      <w:pPr>
        <w:numPr>
          <w:ilvl w:val="0"/>
          <w:numId w:val="6"/>
        </w:numPr>
        <w:jc w:val="both"/>
        <w:rPr>
          <w:rFonts w:cstheme="minorHAnsi"/>
          <w:b/>
        </w:rPr>
      </w:pPr>
      <w:r w:rsidRPr="00B613F9">
        <w:rPr>
          <w:rFonts w:cstheme="minorHAnsi"/>
          <w:b/>
        </w:rPr>
        <w:t>easy access for all families to the various types of support open to them;</w:t>
      </w:r>
    </w:p>
    <w:p w14:paraId="5ACFF0AB" w14:textId="77777777" w:rsidR="009D18BC" w:rsidRPr="00B613F9" w:rsidRDefault="00A871E0" w:rsidP="00247F24">
      <w:pPr>
        <w:numPr>
          <w:ilvl w:val="0"/>
          <w:numId w:val="6"/>
        </w:numPr>
        <w:jc w:val="both"/>
        <w:rPr>
          <w:rFonts w:cstheme="minorHAnsi"/>
          <w:b/>
        </w:rPr>
      </w:pPr>
      <w:proofErr w:type="gramStart"/>
      <w:r w:rsidRPr="00B613F9">
        <w:rPr>
          <w:rFonts w:cstheme="minorHAnsi"/>
          <w:b/>
        </w:rPr>
        <w:t>given</w:t>
      </w:r>
      <w:proofErr w:type="gramEnd"/>
      <w:r w:rsidRPr="00B613F9">
        <w:rPr>
          <w:rFonts w:cstheme="minorHAnsi"/>
          <w:b/>
        </w:rPr>
        <w:t xml:space="preserve"> the scarcity of government resources, there is no argument for any family support payment to be made on a universal basis.</w:t>
      </w:r>
    </w:p>
    <w:p w14:paraId="7650C29C" w14:textId="77777777" w:rsidR="00A871E0" w:rsidRPr="00B613F9" w:rsidRDefault="00A871E0" w:rsidP="00247F24">
      <w:pPr>
        <w:pStyle w:val="Style1"/>
        <w:numPr>
          <w:ilvl w:val="0"/>
          <w:numId w:val="7"/>
        </w:numPr>
        <w:tabs>
          <w:tab w:val="center" w:pos="4395"/>
        </w:tabs>
        <w:spacing w:before="0" w:after="200" w:line="276" w:lineRule="auto"/>
        <w:ind w:left="1134" w:hanging="708"/>
        <w:outlineLvl w:val="9"/>
        <w:rPr>
          <w:rFonts w:asciiTheme="minorHAnsi" w:hAnsiTheme="minorHAnsi" w:cstheme="minorHAnsi"/>
          <w:b/>
          <w:szCs w:val="22"/>
        </w:rPr>
      </w:pPr>
      <w:r w:rsidRPr="00B613F9">
        <w:rPr>
          <w:rFonts w:asciiTheme="minorHAnsi" w:hAnsiTheme="minorHAnsi" w:cstheme="minorHAnsi"/>
          <w:b/>
          <w:szCs w:val="22"/>
          <w:lang w:val="en-AU"/>
        </w:rPr>
        <w:t>Any review or reform of the Australian taxation system should start from this position.</w:t>
      </w:r>
    </w:p>
    <w:p w14:paraId="1346C97E" w14:textId="77777777" w:rsidR="00301F7C" w:rsidRPr="00B613F9" w:rsidRDefault="00301F7C">
      <w:pPr>
        <w:rPr>
          <w:rFonts w:eastAsia="Times New Roman" w:cstheme="minorHAnsi"/>
          <w:u w:val="single"/>
          <w:lang w:eastAsia="en-AU"/>
        </w:rPr>
      </w:pPr>
      <w:r w:rsidRPr="00B613F9">
        <w:rPr>
          <w:rFonts w:cstheme="minorHAnsi"/>
          <w:u w:val="single"/>
        </w:rPr>
        <w:br w:type="page"/>
      </w:r>
    </w:p>
    <w:p w14:paraId="1DACB321" w14:textId="77777777" w:rsidR="00B5589E" w:rsidRDefault="00B5589E" w:rsidP="00301F7C">
      <w:pPr>
        <w:pStyle w:val="Style1"/>
        <w:spacing w:after="200" w:line="276" w:lineRule="auto"/>
        <w:outlineLvl w:val="9"/>
        <w:rPr>
          <w:rFonts w:asciiTheme="minorHAnsi" w:hAnsiTheme="minorHAnsi" w:cstheme="minorHAnsi"/>
          <w:b/>
          <w:sz w:val="28"/>
          <w:szCs w:val="28"/>
          <w:u w:val="single"/>
          <w:lang w:val="en-AU"/>
        </w:rPr>
      </w:pPr>
      <w:r w:rsidRPr="00B613F9">
        <w:rPr>
          <w:rFonts w:asciiTheme="minorHAnsi" w:hAnsiTheme="minorHAnsi" w:cstheme="minorHAnsi"/>
          <w:b/>
          <w:sz w:val="28"/>
          <w:szCs w:val="28"/>
          <w:u w:val="single"/>
          <w:lang w:val="en-AU"/>
        </w:rPr>
        <w:lastRenderedPageBreak/>
        <w:t xml:space="preserve">The purpose of taxation reform </w:t>
      </w:r>
    </w:p>
    <w:p w14:paraId="0560AFFD" w14:textId="77777777" w:rsidR="00B613F9" w:rsidRPr="00B613F9" w:rsidRDefault="00B613F9" w:rsidP="00301F7C">
      <w:pPr>
        <w:pStyle w:val="Style1"/>
        <w:spacing w:after="200" w:line="276" w:lineRule="auto"/>
        <w:outlineLvl w:val="9"/>
        <w:rPr>
          <w:rFonts w:asciiTheme="minorHAnsi" w:hAnsiTheme="minorHAnsi" w:cstheme="minorHAnsi"/>
          <w:b/>
          <w:sz w:val="28"/>
          <w:szCs w:val="28"/>
          <w:u w:val="single"/>
          <w:lang w:val="en-AU"/>
        </w:rPr>
      </w:pPr>
    </w:p>
    <w:p w14:paraId="694C3CD2" w14:textId="77777777" w:rsidR="00CE2B91" w:rsidRPr="00B613F9" w:rsidRDefault="00CE2B91" w:rsidP="00301F7C">
      <w:pPr>
        <w:pStyle w:val="Style1"/>
        <w:numPr>
          <w:ilvl w:val="0"/>
          <w:numId w:val="7"/>
        </w:numPr>
        <w:tabs>
          <w:tab w:val="center" w:pos="4395"/>
        </w:tabs>
        <w:spacing w:before="0" w:after="160" w:line="276" w:lineRule="auto"/>
        <w:ind w:left="1134" w:hanging="709"/>
        <w:outlineLvl w:val="9"/>
        <w:rPr>
          <w:rFonts w:asciiTheme="minorHAnsi" w:hAnsiTheme="minorHAnsi" w:cstheme="minorHAnsi"/>
          <w:szCs w:val="22"/>
        </w:rPr>
      </w:pPr>
      <w:r w:rsidRPr="00B613F9">
        <w:rPr>
          <w:rFonts w:asciiTheme="minorHAnsi" w:hAnsiTheme="minorHAnsi" w:cstheme="minorHAnsi"/>
          <w:szCs w:val="22"/>
        </w:rPr>
        <w:t xml:space="preserve">Every Australian must have the right to live decently with dignity.  A fair taxation system plays a crucial role in the </w:t>
      </w:r>
      <w:r w:rsidR="003C4F4B" w:rsidRPr="00B613F9">
        <w:rPr>
          <w:rFonts w:asciiTheme="minorHAnsi" w:hAnsiTheme="minorHAnsi" w:cstheme="minorHAnsi"/>
          <w:szCs w:val="22"/>
        </w:rPr>
        <w:t>achievement</w:t>
      </w:r>
      <w:r w:rsidRPr="00B613F9">
        <w:rPr>
          <w:rFonts w:asciiTheme="minorHAnsi" w:hAnsiTheme="minorHAnsi" w:cstheme="minorHAnsi"/>
          <w:szCs w:val="22"/>
        </w:rPr>
        <w:t xml:space="preserve"> of this outcome.</w:t>
      </w:r>
    </w:p>
    <w:p w14:paraId="2CC6422C" w14:textId="77777777" w:rsidR="00A871E0" w:rsidRPr="00B613F9" w:rsidRDefault="00A871E0" w:rsidP="00301F7C">
      <w:pPr>
        <w:pStyle w:val="Style1"/>
        <w:numPr>
          <w:ilvl w:val="0"/>
          <w:numId w:val="7"/>
        </w:numPr>
        <w:tabs>
          <w:tab w:val="center" w:pos="4395"/>
        </w:tabs>
        <w:spacing w:before="0" w:after="160" w:line="276" w:lineRule="auto"/>
        <w:ind w:left="1134" w:hanging="709"/>
        <w:outlineLvl w:val="9"/>
        <w:rPr>
          <w:rFonts w:asciiTheme="minorHAnsi" w:hAnsiTheme="minorHAnsi" w:cstheme="minorHAnsi"/>
          <w:szCs w:val="22"/>
        </w:rPr>
      </w:pPr>
      <w:r w:rsidRPr="00B613F9">
        <w:rPr>
          <w:rFonts w:asciiTheme="minorHAnsi" w:hAnsiTheme="minorHAnsi" w:cstheme="minorHAnsi"/>
          <w:szCs w:val="22"/>
        </w:rPr>
        <w:t>Taxation reform cannot be implemented without due recognition being given to the current economic situation of many Australian families.</w:t>
      </w:r>
    </w:p>
    <w:p w14:paraId="4CE54B74" w14:textId="77777777" w:rsidR="00A871E0" w:rsidRPr="00B613F9" w:rsidRDefault="00A871E0" w:rsidP="00301F7C">
      <w:pPr>
        <w:pStyle w:val="Style1"/>
        <w:numPr>
          <w:ilvl w:val="0"/>
          <w:numId w:val="7"/>
        </w:numPr>
        <w:tabs>
          <w:tab w:val="center" w:pos="4395"/>
        </w:tabs>
        <w:spacing w:before="0" w:after="160" w:line="276" w:lineRule="auto"/>
        <w:ind w:left="1134" w:hanging="709"/>
        <w:outlineLvl w:val="9"/>
        <w:rPr>
          <w:rFonts w:asciiTheme="minorHAnsi" w:hAnsiTheme="minorHAnsi" w:cstheme="minorHAnsi"/>
          <w:szCs w:val="22"/>
        </w:rPr>
      </w:pPr>
      <w:r w:rsidRPr="00B613F9">
        <w:rPr>
          <w:rFonts w:asciiTheme="minorHAnsi" w:hAnsiTheme="minorHAnsi" w:cstheme="minorHAnsi"/>
          <w:szCs w:val="22"/>
        </w:rPr>
        <w:t xml:space="preserve">A considerable number of families are today facing substantial economic difficulties.  A large number of Australian families are living below, or close to, the poverty line.  </w:t>
      </w:r>
    </w:p>
    <w:p w14:paraId="138C8732" w14:textId="77777777" w:rsidR="0017006C" w:rsidRPr="00B613F9" w:rsidRDefault="0017006C" w:rsidP="00301F7C">
      <w:pPr>
        <w:pStyle w:val="Style1"/>
        <w:numPr>
          <w:ilvl w:val="0"/>
          <w:numId w:val="7"/>
        </w:numPr>
        <w:tabs>
          <w:tab w:val="center" w:pos="4395"/>
        </w:tabs>
        <w:spacing w:before="0" w:after="160" w:line="276" w:lineRule="auto"/>
        <w:ind w:left="1134" w:hanging="709"/>
        <w:outlineLvl w:val="9"/>
        <w:rPr>
          <w:rFonts w:asciiTheme="minorHAnsi" w:hAnsiTheme="minorHAnsi" w:cstheme="minorHAnsi"/>
          <w:szCs w:val="22"/>
        </w:rPr>
      </w:pPr>
      <w:r w:rsidRPr="00B613F9">
        <w:rPr>
          <w:rFonts w:asciiTheme="minorHAnsi" w:hAnsiTheme="minorHAnsi" w:cstheme="minorHAnsi"/>
          <w:szCs w:val="22"/>
        </w:rPr>
        <w:t>In the report “Poverty in Australia” released in 2013 by ACOSS (Australian Council of Social Service) and the Social Policy Research Centre it was calculated that 12.8% of the total Australian population or 2,265,000 people were living below the poverty line.  This includes 575,000 children or 17.3% of all Australian children.</w:t>
      </w:r>
      <w:r w:rsidRPr="00B613F9">
        <w:rPr>
          <w:rStyle w:val="FootnoteReference"/>
          <w:rFonts w:asciiTheme="minorHAnsi" w:hAnsiTheme="minorHAnsi" w:cstheme="minorHAnsi"/>
          <w:szCs w:val="22"/>
        </w:rPr>
        <w:footnoteReference w:id="1"/>
      </w:r>
    </w:p>
    <w:p w14:paraId="112B4BC7" w14:textId="77777777" w:rsidR="0017006C" w:rsidRPr="00B613F9" w:rsidRDefault="0017006C" w:rsidP="00301F7C">
      <w:pPr>
        <w:pStyle w:val="Style1"/>
        <w:numPr>
          <w:ilvl w:val="0"/>
          <w:numId w:val="7"/>
        </w:numPr>
        <w:tabs>
          <w:tab w:val="center" w:pos="4395"/>
        </w:tabs>
        <w:spacing w:before="0" w:after="160" w:line="276" w:lineRule="auto"/>
        <w:ind w:left="1134" w:hanging="709"/>
        <w:outlineLvl w:val="9"/>
        <w:rPr>
          <w:rFonts w:asciiTheme="minorHAnsi" w:hAnsiTheme="minorHAnsi" w:cstheme="minorHAnsi"/>
          <w:szCs w:val="22"/>
        </w:rPr>
      </w:pPr>
      <w:r w:rsidRPr="00B613F9">
        <w:rPr>
          <w:rFonts w:asciiTheme="minorHAnsi" w:hAnsiTheme="minorHAnsi" w:cstheme="minorHAnsi"/>
          <w:szCs w:val="22"/>
        </w:rPr>
        <w:t>An OECD report released in March,</w:t>
      </w:r>
      <w:r w:rsidR="00792C1D" w:rsidRPr="00B613F9">
        <w:rPr>
          <w:rFonts w:asciiTheme="minorHAnsi" w:hAnsiTheme="minorHAnsi" w:cstheme="minorHAnsi"/>
          <w:szCs w:val="22"/>
        </w:rPr>
        <w:t xml:space="preserve"> </w:t>
      </w:r>
      <w:r w:rsidRPr="00B613F9">
        <w:rPr>
          <w:rFonts w:asciiTheme="minorHAnsi" w:hAnsiTheme="minorHAnsi" w:cstheme="minorHAnsi"/>
          <w:szCs w:val="22"/>
        </w:rPr>
        <w:t>2014 estimated that 14% of Australians get by on less than half of the nation’s median income, significantly above the OECD average of 11%.</w:t>
      </w:r>
      <w:r w:rsidRPr="00B613F9">
        <w:rPr>
          <w:rStyle w:val="FootnoteReference"/>
          <w:rFonts w:asciiTheme="minorHAnsi" w:hAnsiTheme="minorHAnsi" w:cstheme="minorHAnsi"/>
          <w:szCs w:val="22"/>
        </w:rPr>
        <w:footnoteReference w:id="2"/>
      </w:r>
    </w:p>
    <w:p w14:paraId="4506D720" w14:textId="77777777" w:rsidR="009D18BC" w:rsidRPr="00B613F9" w:rsidRDefault="009D18BC" w:rsidP="00301F7C">
      <w:pPr>
        <w:pStyle w:val="Style1"/>
        <w:numPr>
          <w:ilvl w:val="0"/>
          <w:numId w:val="7"/>
        </w:numPr>
        <w:tabs>
          <w:tab w:val="center" w:pos="4395"/>
        </w:tabs>
        <w:spacing w:before="0" w:after="160" w:line="276" w:lineRule="auto"/>
        <w:ind w:left="1134" w:hanging="709"/>
        <w:outlineLvl w:val="9"/>
        <w:rPr>
          <w:rFonts w:asciiTheme="minorHAnsi" w:hAnsiTheme="minorHAnsi" w:cstheme="minorHAnsi"/>
          <w:szCs w:val="22"/>
        </w:rPr>
      </w:pPr>
      <w:r w:rsidRPr="00B613F9">
        <w:rPr>
          <w:rFonts w:asciiTheme="minorHAnsi" w:hAnsiTheme="minorHAnsi" w:cstheme="minorHAnsi"/>
          <w:szCs w:val="22"/>
        </w:rPr>
        <w:t>A</w:t>
      </w:r>
      <w:r w:rsidR="00A871E0" w:rsidRPr="00B613F9">
        <w:rPr>
          <w:rFonts w:asciiTheme="minorHAnsi" w:hAnsiTheme="minorHAnsi" w:cstheme="minorHAnsi"/>
          <w:szCs w:val="22"/>
        </w:rPr>
        <w:t>n inequitable taxation system and inadequate levels of financial support for families are the major causes of this.  There is a need for immediate and substantial reform of both.</w:t>
      </w:r>
      <w:r w:rsidR="004D4DC9" w:rsidRPr="00B613F9">
        <w:rPr>
          <w:rFonts w:asciiTheme="minorHAnsi" w:hAnsiTheme="minorHAnsi" w:cstheme="minorHAnsi"/>
          <w:szCs w:val="22"/>
        </w:rPr>
        <w:t xml:space="preserve"> </w:t>
      </w:r>
    </w:p>
    <w:p w14:paraId="3277CB8E" w14:textId="77777777" w:rsidR="000E2074" w:rsidRPr="00B613F9" w:rsidRDefault="00A871E0" w:rsidP="00301F7C">
      <w:pPr>
        <w:pStyle w:val="Style1"/>
        <w:numPr>
          <w:ilvl w:val="0"/>
          <w:numId w:val="7"/>
        </w:numPr>
        <w:tabs>
          <w:tab w:val="center" w:pos="4395"/>
        </w:tabs>
        <w:spacing w:before="0" w:after="160" w:line="276" w:lineRule="auto"/>
        <w:ind w:left="1134" w:hanging="709"/>
        <w:outlineLvl w:val="9"/>
        <w:rPr>
          <w:rFonts w:asciiTheme="minorHAnsi" w:hAnsiTheme="minorHAnsi" w:cstheme="minorHAnsi"/>
          <w:szCs w:val="22"/>
        </w:rPr>
      </w:pPr>
      <w:r w:rsidRPr="00B613F9">
        <w:rPr>
          <w:rFonts w:asciiTheme="minorHAnsi" w:hAnsiTheme="minorHAnsi" w:cstheme="minorHAnsi"/>
          <w:szCs w:val="22"/>
        </w:rPr>
        <w:t>Families with children are more likely to be living in poverty than those without children.  The larger the family the more likely it is to be facing financial hardship.  Those with three or more children are twice as likely as those with one child to be living in poverty.</w:t>
      </w:r>
      <w:r w:rsidR="000E2074" w:rsidRPr="00B613F9">
        <w:rPr>
          <w:rFonts w:asciiTheme="minorHAnsi" w:hAnsiTheme="minorHAnsi" w:cstheme="minorHAnsi"/>
          <w:szCs w:val="22"/>
        </w:rPr>
        <w:t xml:space="preserve">  </w:t>
      </w:r>
    </w:p>
    <w:p w14:paraId="38C8D3C3" w14:textId="77777777" w:rsidR="000E2074" w:rsidRPr="00B613F9" w:rsidRDefault="009D18BC" w:rsidP="00301F7C">
      <w:pPr>
        <w:pStyle w:val="Style1"/>
        <w:numPr>
          <w:ilvl w:val="0"/>
          <w:numId w:val="7"/>
        </w:numPr>
        <w:tabs>
          <w:tab w:val="center" w:pos="4395"/>
        </w:tabs>
        <w:spacing w:before="0" w:after="160" w:line="276" w:lineRule="auto"/>
        <w:ind w:left="1134" w:hanging="709"/>
        <w:outlineLvl w:val="9"/>
        <w:rPr>
          <w:rFonts w:asciiTheme="minorHAnsi" w:hAnsiTheme="minorHAnsi" w:cstheme="minorHAnsi"/>
          <w:szCs w:val="22"/>
        </w:rPr>
      </w:pPr>
      <w:r w:rsidRPr="00B613F9">
        <w:rPr>
          <w:rFonts w:asciiTheme="minorHAnsi" w:hAnsiTheme="minorHAnsi" w:cstheme="minorHAnsi"/>
          <w:szCs w:val="22"/>
        </w:rPr>
        <w:t xml:space="preserve">Families with only one income are more likely to be living in poverty than those with two incomes.  The risk of poverty declines as the number of income earners in a family increases.  </w:t>
      </w:r>
    </w:p>
    <w:p w14:paraId="0B70BD21" w14:textId="77777777" w:rsidR="000E2074" w:rsidRPr="00B613F9" w:rsidRDefault="00A871E0" w:rsidP="00301F7C">
      <w:pPr>
        <w:pStyle w:val="Style1"/>
        <w:numPr>
          <w:ilvl w:val="0"/>
          <w:numId w:val="7"/>
        </w:numPr>
        <w:tabs>
          <w:tab w:val="center" w:pos="4395"/>
        </w:tabs>
        <w:spacing w:before="0" w:after="160" w:line="276" w:lineRule="auto"/>
        <w:ind w:left="1134" w:hanging="709"/>
        <w:outlineLvl w:val="9"/>
        <w:rPr>
          <w:rFonts w:asciiTheme="minorHAnsi" w:hAnsiTheme="minorHAnsi" w:cstheme="minorHAnsi"/>
          <w:szCs w:val="22"/>
        </w:rPr>
      </w:pPr>
      <w:r w:rsidRPr="00B613F9">
        <w:rPr>
          <w:rFonts w:asciiTheme="minorHAnsi" w:hAnsiTheme="minorHAnsi" w:cstheme="minorHAnsi"/>
          <w:szCs w:val="22"/>
        </w:rPr>
        <w:t>There is a clear link between poverty and employment.  Those most likely to be in poverty are the unemployed.</w:t>
      </w:r>
      <w:r w:rsidR="000E2074" w:rsidRPr="00B613F9">
        <w:rPr>
          <w:rFonts w:asciiTheme="minorHAnsi" w:hAnsiTheme="minorHAnsi" w:cstheme="minorHAnsi"/>
          <w:szCs w:val="22"/>
        </w:rPr>
        <w:t xml:space="preserve">  </w:t>
      </w:r>
      <w:r w:rsidRPr="00B613F9">
        <w:rPr>
          <w:rFonts w:asciiTheme="minorHAnsi" w:hAnsiTheme="minorHAnsi" w:cstheme="minorHAnsi"/>
          <w:szCs w:val="22"/>
        </w:rPr>
        <w:t xml:space="preserve">Two thirds of all children living in poverty come from families whose principal source of income is government payments.  Overall, the least affluent of Australia’s children live in families where the head is not in the </w:t>
      </w:r>
      <w:proofErr w:type="spellStart"/>
      <w:r w:rsidRPr="00B613F9">
        <w:rPr>
          <w:rFonts w:asciiTheme="minorHAnsi" w:hAnsiTheme="minorHAnsi" w:cstheme="minorHAnsi"/>
          <w:szCs w:val="22"/>
        </w:rPr>
        <w:t>labour</w:t>
      </w:r>
      <w:proofErr w:type="spellEnd"/>
      <w:r w:rsidRPr="00B613F9">
        <w:rPr>
          <w:rFonts w:asciiTheme="minorHAnsi" w:hAnsiTheme="minorHAnsi" w:cstheme="minorHAnsi"/>
          <w:szCs w:val="22"/>
        </w:rPr>
        <w:t xml:space="preserve"> force, or is unemployed.  Over one quarter of families with children rely principally on government transfer payments as their major or only source of income. The second most likely group to be in poverty </w:t>
      </w:r>
      <w:proofErr w:type="gramStart"/>
      <w:r w:rsidRPr="00B613F9">
        <w:rPr>
          <w:rFonts w:asciiTheme="minorHAnsi" w:hAnsiTheme="minorHAnsi" w:cstheme="minorHAnsi"/>
          <w:szCs w:val="22"/>
        </w:rPr>
        <w:t>are</w:t>
      </w:r>
      <w:proofErr w:type="gramEnd"/>
      <w:r w:rsidRPr="00B613F9">
        <w:rPr>
          <w:rFonts w:asciiTheme="minorHAnsi" w:hAnsiTheme="minorHAnsi" w:cstheme="minorHAnsi"/>
          <w:szCs w:val="22"/>
        </w:rPr>
        <w:t xml:space="preserve"> people not in the </w:t>
      </w:r>
      <w:proofErr w:type="spellStart"/>
      <w:r w:rsidRPr="00B613F9">
        <w:rPr>
          <w:rFonts w:asciiTheme="minorHAnsi" w:hAnsiTheme="minorHAnsi" w:cstheme="minorHAnsi"/>
          <w:szCs w:val="22"/>
        </w:rPr>
        <w:t>labour</w:t>
      </w:r>
      <w:proofErr w:type="spellEnd"/>
      <w:r w:rsidRPr="00B613F9">
        <w:rPr>
          <w:rFonts w:asciiTheme="minorHAnsi" w:hAnsiTheme="minorHAnsi" w:cstheme="minorHAnsi"/>
          <w:szCs w:val="22"/>
        </w:rPr>
        <w:t xml:space="preserve"> force. </w:t>
      </w:r>
    </w:p>
    <w:p w14:paraId="7F1453EE" w14:textId="77777777" w:rsidR="000E2074" w:rsidRPr="00B613F9" w:rsidRDefault="000E2074" w:rsidP="00301F7C">
      <w:pPr>
        <w:pStyle w:val="Style1"/>
        <w:numPr>
          <w:ilvl w:val="0"/>
          <w:numId w:val="7"/>
        </w:numPr>
        <w:tabs>
          <w:tab w:val="center" w:pos="4395"/>
        </w:tabs>
        <w:spacing w:before="0" w:after="160" w:line="276" w:lineRule="auto"/>
        <w:ind w:left="1134" w:hanging="709"/>
        <w:outlineLvl w:val="9"/>
        <w:rPr>
          <w:rFonts w:asciiTheme="minorHAnsi" w:hAnsiTheme="minorHAnsi" w:cstheme="minorHAnsi"/>
          <w:szCs w:val="22"/>
        </w:rPr>
      </w:pPr>
      <w:r w:rsidRPr="00B613F9">
        <w:rPr>
          <w:rFonts w:asciiTheme="minorHAnsi" w:hAnsiTheme="minorHAnsi" w:cstheme="minorHAnsi"/>
          <w:szCs w:val="22"/>
        </w:rPr>
        <w:t>G</w:t>
      </w:r>
      <w:r w:rsidR="00A871E0" w:rsidRPr="00B613F9">
        <w:rPr>
          <w:rFonts w:asciiTheme="minorHAnsi" w:hAnsiTheme="minorHAnsi" w:cstheme="minorHAnsi"/>
          <w:szCs w:val="22"/>
        </w:rPr>
        <w:t xml:space="preserve">ender, ethnicity, location and age are </w:t>
      </w:r>
      <w:r w:rsidR="004D4DC9" w:rsidRPr="00B613F9">
        <w:rPr>
          <w:rFonts w:asciiTheme="minorHAnsi" w:hAnsiTheme="minorHAnsi" w:cstheme="minorHAnsi"/>
          <w:szCs w:val="22"/>
        </w:rPr>
        <w:t xml:space="preserve">also </w:t>
      </w:r>
      <w:r w:rsidR="00A871E0" w:rsidRPr="00B613F9">
        <w:rPr>
          <w:rFonts w:asciiTheme="minorHAnsi" w:hAnsiTheme="minorHAnsi" w:cstheme="minorHAnsi"/>
          <w:szCs w:val="22"/>
        </w:rPr>
        <w:t xml:space="preserve">relevant factors in any consideration of the incidence of poverty.  </w:t>
      </w:r>
    </w:p>
    <w:p w14:paraId="49E4D376" w14:textId="77777777" w:rsidR="000E2074" w:rsidRPr="00B613F9" w:rsidRDefault="009D18BC" w:rsidP="00301F7C">
      <w:pPr>
        <w:pStyle w:val="Style1"/>
        <w:numPr>
          <w:ilvl w:val="0"/>
          <w:numId w:val="7"/>
        </w:numPr>
        <w:tabs>
          <w:tab w:val="center" w:pos="4395"/>
        </w:tabs>
        <w:spacing w:before="0" w:after="160" w:line="276" w:lineRule="auto"/>
        <w:ind w:left="1134" w:hanging="709"/>
        <w:outlineLvl w:val="9"/>
        <w:rPr>
          <w:rFonts w:asciiTheme="minorHAnsi" w:hAnsiTheme="minorHAnsi" w:cstheme="minorHAnsi"/>
          <w:szCs w:val="22"/>
        </w:rPr>
      </w:pPr>
      <w:r w:rsidRPr="00B613F9">
        <w:rPr>
          <w:rFonts w:asciiTheme="minorHAnsi" w:hAnsiTheme="minorHAnsi" w:cstheme="minorHAnsi"/>
          <w:szCs w:val="22"/>
        </w:rPr>
        <w:t xml:space="preserve">A much larger proportion of families with children are living on incomes that are just above (less than 10% higher than) the relevant Henderson Poverty Line (HPL), </w:t>
      </w:r>
      <w:r w:rsidRPr="00B613F9">
        <w:rPr>
          <w:rFonts w:asciiTheme="minorHAnsi" w:hAnsiTheme="minorHAnsi" w:cstheme="minorHAnsi"/>
          <w:szCs w:val="22"/>
        </w:rPr>
        <w:lastRenderedPageBreak/>
        <w:t>suggesting that a more substantial proportion of families are at risk of poverty.  Henderson regarded those with incomes of less than 20% above the HPL as 'poor'.</w:t>
      </w:r>
    </w:p>
    <w:p w14:paraId="6A913566" w14:textId="77777777" w:rsidR="000E2074" w:rsidRPr="00B613F9" w:rsidRDefault="00A871E0" w:rsidP="00301F7C">
      <w:pPr>
        <w:pStyle w:val="Style1"/>
        <w:numPr>
          <w:ilvl w:val="0"/>
          <w:numId w:val="7"/>
        </w:numPr>
        <w:tabs>
          <w:tab w:val="center" w:pos="4395"/>
        </w:tabs>
        <w:spacing w:before="0" w:after="160" w:line="276" w:lineRule="auto"/>
        <w:ind w:left="1134" w:hanging="709"/>
        <w:outlineLvl w:val="9"/>
        <w:rPr>
          <w:rFonts w:asciiTheme="minorHAnsi" w:hAnsiTheme="minorHAnsi" w:cstheme="minorHAnsi"/>
          <w:szCs w:val="22"/>
          <w:lang w:val="en-AU"/>
        </w:rPr>
      </w:pPr>
      <w:r w:rsidRPr="00B613F9">
        <w:rPr>
          <w:rFonts w:asciiTheme="minorHAnsi" w:hAnsiTheme="minorHAnsi" w:cstheme="minorHAnsi"/>
          <w:szCs w:val="22"/>
        </w:rPr>
        <w:t>The percentage of disposable income expended upon necessities by the first quintile of households is significantly greater than that expended by higher quintile groups.  Conversely, the proportion of disposable income expended upon food and non-alcoholic drinks, housing, household services and domestic fuel and power declines as household income rises while the proportion spent on transport, recreation, clothing and footwear and alcohol increases.  This is clearly due largely to the presence of more discretionary income in higher income households.</w:t>
      </w:r>
      <w:r w:rsidR="000E2074" w:rsidRPr="00B613F9">
        <w:rPr>
          <w:rFonts w:asciiTheme="minorHAnsi" w:hAnsiTheme="minorHAnsi" w:cstheme="minorHAnsi"/>
          <w:szCs w:val="22"/>
        </w:rPr>
        <w:t xml:space="preserve">  </w:t>
      </w:r>
    </w:p>
    <w:p w14:paraId="5FBA7A98" w14:textId="77777777" w:rsidR="0017006C" w:rsidRPr="00B613F9" w:rsidRDefault="0017006C" w:rsidP="00301F7C">
      <w:pPr>
        <w:pStyle w:val="Style1"/>
        <w:numPr>
          <w:ilvl w:val="0"/>
          <w:numId w:val="7"/>
        </w:numPr>
        <w:tabs>
          <w:tab w:val="center" w:pos="4395"/>
        </w:tabs>
        <w:spacing w:before="0" w:after="160" w:line="276" w:lineRule="auto"/>
        <w:ind w:left="1134" w:hanging="709"/>
        <w:outlineLvl w:val="9"/>
        <w:rPr>
          <w:rFonts w:asciiTheme="minorHAnsi" w:hAnsiTheme="minorHAnsi" w:cstheme="minorHAnsi"/>
          <w:szCs w:val="22"/>
        </w:rPr>
      </w:pPr>
      <w:r w:rsidRPr="00B613F9">
        <w:rPr>
          <w:rFonts w:asciiTheme="minorHAnsi" w:hAnsiTheme="minorHAnsi" w:cstheme="minorHAnsi"/>
          <w:szCs w:val="22"/>
        </w:rPr>
        <w:t xml:space="preserve">Disposable income plays a major role in influencing whether a family is able to function effectively.  Financial insecurity is often a key factor in the development of dysfunctional families.  </w:t>
      </w:r>
    </w:p>
    <w:p w14:paraId="0FFE12AE" w14:textId="77777777" w:rsidR="000E2074" w:rsidRPr="00B613F9" w:rsidRDefault="00A871E0" w:rsidP="00301F7C">
      <w:pPr>
        <w:pStyle w:val="Style1"/>
        <w:numPr>
          <w:ilvl w:val="0"/>
          <w:numId w:val="7"/>
        </w:numPr>
        <w:tabs>
          <w:tab w:val="center" w:pos="4395"/>
        </w:tabs>
        <w:spacing w:before="0" w:after="160" w:line="276" w:lineRule="auto"/>
        <w:ind w:left="1134" w:hanging="709"/>
        <w:outlineLvl w:val="9"/>
        <w:rPr>
          <w:rFonts w:asciiTheme="minorHAnsi" w:hAnsiTheme="minorHAnsi" w:cstheme="minorHAnsi"/>
          <w:szCs w:val="22"/>
        </w:rPr>
      </w:pPr>
      <w:r w:rsidRPr="00B613F9">
        <w:rPr>
          <w:rFonts w:asciiTheme="minorHAnsi" w:hAnsiTheme="minorHAnsi" w:cstheme="minorHAnsi"/>
          <w:szCs w:val="22"/>
          <w:lang w:val="en-AU"/>
        </w:rPr>
        <w:t>The absence of adequate disposable income means that families may not be able to meet the basic needs of their members.  In turn this may well lead to social isolation, feelings of lack of control, low status and low self esteem.</w:t>
      </w:r>
      <w:r w:rsidR="000E2074" w:rsidRPr="00B613F9">
        <w:rPr>
          <w:rFonts w:asciiTheme="minorHAnsi" w:hAnsiTheme="minorHAnsi" w:cstheme="minorHAnsi"/>
          <w:szCs w:val="22"/>
          <w:lang w:val="en-AU"/>
        </w:rPr>
        <w:t xml:space="preserve">  </w:t>
      </w:r>
    </w:p>
    <w:p w14:paraId="211F618C" w14:textId="77777777" w:rsidR="009D18BC" w:rsidRPr="00B613F9" w:rsidRDefault="0017006C" w:rsidP="00301F7C">
      <w:pPr>
        <w:pStyle w:val="Style1"/>
        <w:numPr>
          <w:ilvl w:val="0"/>
          <w:numId w:val="7"/>
        </w:numPr>
        <w:tabs>
          <w:tab w:val="center" w:pos="4395"/>
        </w:tabs>
        <w:spacing w:before="0" w:after="160" w:line="276" w:lineRule="auto"/>
        <w:ind w:left="1134" w:hanging="709"/>
        <w:outlineLvl w:val="9"/>
        <w:rPr>
          <w:rFonts w:asciiTheme="minorHAnsi" w:hAnsiTheme="minorHAnsi" w:cstheme="minorHAnsi"/>
          <w:szCs w:val="22"/>
        </w:rPr>
      </w:pPr>
      <w:r w:rsidRPr="00B613F9">
        <w:rPr>
          <w:rFonts w:asciiTheme="minorHAnsi" w:hAnsiTheme="minorHAnsi" w:cstheme="minorHAnsi"/>
          <w:szCs w:val="22"/>
        </w:rPr>
        <w:t>A</w:t>
      </w:r>
      <w:r w:rsidR="009D18BC" w:rsidRPr="00B613F9">
        <w:rPr>
          <w:rFonts w:asciiTheme="minorHAnsi" w:hAnsiTheme="minorHAnsi" w:cstheme="minorHAnsi"/>
          <w:szCs w:val="22"/>
        </w:rPr>
        <w:t xml:space="preserve">ustralians want a society which is fair, a society in which all people can live decently with dignity and a society which values families and places them </w:t>
      </w:r>
      <w:proofErr w:type="spellStart"/>
      <w:r w:rsidR="009D18BC" w:rsidRPr="00B613F9">
        <w:rPr>
          <w:rFonts w:asciiTheme="minorHAnsi" w:hAnsiTheme="minorHAnsi" w:cstheme="minorHAnsi"/>
          <w:szCs w:val="22"/>
        </w:rPr>
        <w:t>centre</w:t>
      </w:r>
      <w:proofErr w:type="spellEnd"/>
      <w:r w:rsidR="009D18BC" w:rsidRPr="00B613F9">
        <w:rPr>
          <w:rFonts w:asciiTheme="minorHAnsi" w:hAnsiTheme="minorHAnsi" w:cstheme="minorHAnsi"/>
          <w:szCs w:val="22"/>
        </w:rPr>
        <w:t xml:space="preserve"> stage.</w:t>
      </w:r>
    </w:p>
    <w:p w14:paraId="4BEE0483" w14:textId="77777777" w:rsidR="000E2074" w:rsidRPr="00B613F9" w:rsidRDefault="00A871E0" w:rsidP="00301F7C">
      <w:pPr>
        <w:pStyle w:val="Style1"/>
        <w:numPr>
          <w:ilvl w:val="0"/>
          <w:numId w:val="7"/>
        </w:numPr>
        <w:tabs>
          <w:tab w:val="center" w:pos="4395"/>
        </w:tabs>
        <w:spacing w:before="0" w:after="160" w:line="276" w:lineRule="auto"/>
        <w:ind w:left="1134" w:hanging="709"/>
        <w:outlineLvl w:val="9"/>
        <w:rPr>
          <w:rFonts w:asciiTheme="minorHAnsi" w:hAnsiTheme="minorHAnsi" w:cstheme="minorHAnsi"/>
          <w:szCs w:val="22"/>
          <w:lang w:val="en-AU"/>
        </w:rPr>
      </w:pPr>
      <w:r w:rsidRPr="00B613F9">
        <w:rPr>
          <w:rFonts w:asciiTheme="minorHAnsi" w:hAnsiTheme="minorHAnsi" w:cstheme="minorHAnsi"/>
          <w:szCs w:val="22"/>
        </w:rPr>
        <w:t xml:space="preserve">Growth in poverty has a deleterious impact upon families and the individuals therein.  It leads to problems in areas such as community safety, educational achievements and health.  Apart from the direct impact on the people affected, crime impacts upon the rest of the community in greater risks of </w:t>
      </w:r>
      <w:proofErr w:type="gramStart"/>
      <w:r w:rsidRPr="00B613F9">
        <w:rPr>
          <w:rFonts w:asciiTheme="minorHAnsi" w:hAnsiTheme="minorHAnsi" w:cstheme="minorHAnsi"/>
          <w:szCs w:val="22"/>
        </w:rPr>
        <w:t>danger,</w:t>
      </w:r>
      <w:proofErr w:type="gramEnd"/>
      <w:r w:rsidRPr="00B613F9">
        <w:rPr>
          <w:rFonts w:asciiTheme="minorHAnsi" w:hAnsiTheme="minorHAnsi" w:cstheme="minorHAnsi"/>
          <w:szCs w:val="22"/>
        </w:rPr>
        <w:t xml:space="preserve"> increased insurance premiums and greater costs in maintaining community and personal security. </w:t>
      </w:r>
    </w:p>
    <w:p w14:paraId="052FE877" w14:textId="77777777" w:rsidR="00B5589E" w:rsidRPr="00B613F9" w:rsidRDefault="004D4DC9" w:rsidP="00301F7C">
      <w:pPr>
        <w:pStyle w:val="Style1"/>
        <w:numPr>
          <w:ilvl w:val="0"/>
          <w:numId w:val="7"/>
        </w:numPr>
        <w:tabs>
          <w:tab w:val="center" w:pos="4395"/>
        </w:tabs>
        <w:spacing w:before="0" w:after="160" w:line="276" w:lineRule="auto"/>
        <w:ind w:left="1134" w:hanging="709"/>
        <w:outlineLvl w:val="9"/>
        <w:rPr>
          <w:rFonts w:asciiTheme="minorHAnsi" w:hAnsiTheme="minorHAnsi" w:cstheme="minorHAnsi"/>
          <w:szCs w:val="22"/>
          <w:lang w:val="en-AU"/>
        </w:rPr>
      </w:pPr>
      <w:r w:rsidRPr="00B613F9">
        <w:rPr>
          <w:rFonts w:asciiTheme="minorHAnsi" w:hAnsiTheme="minorHAnsi" w:cstheme="minorHAnsi"/>
          <w:szCs w:val="22"/>
          <w:lang w:val="en-AU"/>
        </w:rPr>
        <w:t xml:space="preserve">Government policy, especially in the area of taxation </w:t>
      </w:r>
      <w:proofErr w:type="gramStart"/>
      <w:r w:rsidRPr="00B613F9">
        <w:rPr>
          <w:rFonts w:asciiTheme="minorHAnsi" w:hAnsiTheme="minorHAnsi" w:cstheme="minorHAnsi"/>
          <w:szCs w:val="22"/>
          <w:lang w:val="en-AU"/>
        </w:rPr>
        <w:t>reform  must</w:t>
      </w:r>
      <w:proofErr w:type="gramEnd"/>
      <w:r w:rsidRPr="00B613F9">
        <w:rPr>
          <w:rFonts w:asciiTheme="minorHAnsi" w:hAnsiTheme="minorHAnsi" w:cstheme="minorHAnsi"/>
          <w:szCs w:val="22"/>
          <w:lang w:val="en-AU"/>
        </w:rPr>
        <w:t xml:space="preserve"> address the issue of poverty</w:t>
      </w:r>
      <w:r w:rsidR="00994626" w:rsidRPr="00B613F9">
        <w:rPr>
          <w:rFonts w:asciiTheme="minorHAnsi" w:hAnsiTheme="minorHAnsi" w:cstheme="minorHAnsi"/>
          <w:szCs w:val="22"/>
          <w:lang w:val="en-AU"/>
        </w:rPr>
        <w:t xml:space="preserve">.  </w:t>
      </w:r>
      <w:r w:rsidRPr="00B613F9">
        <w:rPr>
          <w:rFonts w:asciiTheme="minorHAnsi" w:hAnsiTheme="minorHAnsi" w:cstheme="minorHAnsi"/>
          <w:szCs w:val="22"/>
          <w:lang w:val="en-AU"/>
        </w:rPr>
        <w:t xml:space="preserve"> </w:t>
      </w:r>
      <w:r w:rsidR="00A871E0" w:rsidRPr="00B613F9">
        <w:rPr>
          <w:rFonts w:asciiTheme="minorHAnsi" w:hAnsiTheme="minorHAnsi" w:cstheme="minorHAnsi"/>
          <w:szCs w:val="22"/>
          <w:lang w:val="en-AU"/>
        </w:rPr>
        <w:t xml:space="preserve">The central theme of any coherent approach to </w:t>
      </w:r>
      <w:r w:rsidR="000E2074" w:rsidRPr="00B613F9">
        <w:rPr>
          <w:rFonts w:asciiTheme="minorHAnsi" w:hAnsiTheme="minorHAnsi" w:cstheme="minorHAnsi"/>
          <w:szCs w:val="22"/>
          <w:lang w:val="en-AU"/>
        </w:rPr>
        <w:t>tax reform</w:t>
      </w:r>
      <w:r w:rsidR="00A871E0" w:rsidRPr="00B613F9">
        <w:rPr>
          <w:rFonts w:asciiTheme="minorHAnsi" w:hAnsiTheme="minorHAnsi" w:cstheme="minorHAnsi"/>
          <w:szCs w:val="22"/>
          <w:lang w:val="en-AU"/>
        </w:rPr>
        <w:t xml:space="preserve"> must be to ensure that all families have an income sufficient for them to be able to live decently in dignity. </w:t>
      </w:r>
    </w:p>
    <w:p w14:paraId="19F5CCAA" w14:textId="77777777" w:rsidR="004D4DC9" w:rsidRPr="00B613F9" w:rsidRDefault="004D4DC9" w:rsidP="00301F7C">
      <w:pPr>
        <w:pStyle w:val="Style1"/>
        <w:numPr>
          <w:ilvl w:val="0"/>
          <w:numId w:val="7"/>
        </w:numPr>
        <w:tabs>
          <w:tab w:val="center" w:pos="4395"/>
        </w:tabs>
        <w:spacing w:before="0" w:after="160" w:line="276" w:lineRule="auto"/>
        <w:ind w:left="1134" w:hanging="709"/>
        <w:outlineLvl w:val="9"/>
        <w:rPr>
          <w:rFonts w:asciiTheme="minorHAnsi" w:hAnsiTheme="minorHAnsi" w:cstheme="minorHAnsi"/>
          <w:b/>
          <w:szCs w:val="22"/>
          <w:lang w:val="en-AU"/>
        </w:rPr>
      </w:pPr>
      <w:r w:rsidRPr="00B613F9">
        <w:rPr>
          <w:rFonts w:asciiTheme="minorHAnsi" w:hAnsiTheme="minorHAnsi" w:cstheme="minorHAnsi"/>
          <w:b/>
          <w:szCs w:val="22"/>
          <w:lang w:val="en-AU"/>
        </w:rPr>
        <w:t>Australians are looking for a taxation system which is characterised by the concepts of equity, fairness, transparency and adequacy.</w:t>
      </w:r>
    </w:p>
    <w:p w14:paraId="05B9486A" w14:textId="77777777" w:rsidR="00A871E0" w:rsidRPr="00B613F9" w:rsidRDefault="0050565F" w:rsidP="00301F7C">
      <w:pPr>
        <w:pStyle w:val="Style1"/>
        <w:numPr>
          <w:ilvl w:val="0"/>
          <w:numId w:val="7"/>
        </w:numPr>
        <w:tabs>
          <w:tab w:val="center" w:pos="4395"/>
        </w:tabs>
        <w:spacing w:before="0" w:after="160" w:line="276" w:lineRule="auto"/>
        <w:ind w:left="1134" w:hanging="709"/>
        <w:outlineLvl w:val="9"/>
        <w:rPr>
          <w:rFonts w:asciiTheme="minorHAnsi" w:hAnsiTheme="minorHAnsi" w:cstheme="minorHAnsi"/>
          <w:szCs w:val="22"/>
          <w:lang w:val="en-AU"/>
        </w:rPr>
      </w:pPr>
      <w:r w:rsidRPr="00B613F9">
        <w:rPr>
          <w:rFonts w:asciiTheme="minorHAnsi" w:hAnsiTheme="minorHAnsi" w:cstheme="minorHAnsi"/>
          <w:szCs w:val="22"/>
          <w:lang w:val="en-AU"/>
        </w:rPr>
        <w:t>As illustrated in “</w:t>
      </w:r>
      <w:proofErr w:type="spellStart"/>
      <w:r w:rsidRPr="00B613F9">
        <w:rPr>
          <w:rFonts w:asciiTheme="minorHAnsi" w:hAnsiTheme="minorHAnsi" w:cstheme="minorHAnsi"/>
          <w:szCs w:val="22"/>
          <w:lang w:val="en-AU"/>
        </w:rPr>
        <w:t>Re</w:t>
      </w:r>
      <w:proofErr w:type="gramStart"/>
      <w:r w:rsidR="0017006C" w:rsidRPr="00B613F9">
        <w:rPr>
          <w:rFonts w:asciiTheme="minorHAnsi" w:hAnsiTheme="minorHAnsi" w:cstheme="minorHAnsi"/>
          <w:szCs w:val="22"/>
          <w:lang w:val="en-AU"/>
        </w:rPr>
        <w:t>:</w:t>
      </w:r>
      <w:r w:rsidRPr="00B613F9">
        <w:rPr>
          <w:rFonts w:asciiTheme="minorHAnsi" w:hAnsiTheme="minorHAnsi" w:cstheme="minorHAnsi"/>
          <w:szCs w:val="22"/>
          <w:lang w:val="en-AU"/>
        </w:rPr>
        <w:t>think</w:t>
      </w:r>
      <w:proofErr w:type="spellEnd"/>
      <w:proofErr w:type="gramEnd"/>
      <w:r w:rsidRPr="00B613F9">
        <w:rPr>
          <w:rFonts w:asciiTheme="minorHAnsi" w:hAnsiTheme="minorHAnsi" w:cstheme="minorHAnsi"/>
          <w:szCs w:val="22"/>
          <w:lang w:val="en-AU"/>
        </w:rPr>
        <w:t xml:space="preserve">” </w:t>
      </w:r>
      <w:r w:rsidR="004D4DC9" w:rsidRPr="00B613F9">
        <w:rPr>
          <w:rFonts w:asciiTheme="minorHAnsi" w:hAnsiTheme="minorHAnsi" w:cstheme="minorHAnsi"/>
          <w:szCs w:val="22"/>
          <w:lang w:val="en-AU"/>
        </w:rPr>
        <w:t xml:space="preserve"> </w:t>
      </w:r>
      <w:r w:rsidR="00A871E0" w:rsidRPr="00B613F9">
        <w:rPr>
          <w:rFonts w:asciiTheme="minorHAnsi" w:hAnsiTheme="minorHAnsi" w:cstheme="minorHAnsi"/>
          <w:szCs w:val="22"/>
          <w:lang w:val="en-AU"/>
        </w:rPr>
        <w:t>Australia is a low tax country.</w:t>
      </w:r>
    </w:p>
    <w:p w14:paraId="301BB5E5" w14:textId="77777777" w:rsidR="004D4DC9" w:rsidRPr="00B613F9" w:rsidRDefault="004D4DC9" w:rsidP="00301F7C">
      <w:pPr>
        <w:pStyle w:val="Style1"/>
        <w:numPr>
          <w:ilvl w:val="0"/>
          <w:numId w:val="7"/>
        </w:numPr>
        <w:tabs>
          <w:tab w:val="center" w:pos="4395"/>
        </w:tabs>
        <w:spacing w:before="0" w:after="160" w:line="276" w:lineRule="auto"/>
        <w:ind w:left="1134" w:hanging="709"/>
        <w:outlineLvl w:val="9"/>
        <w:rPr>
          <w:rFonts w:asciiTheme="minorHAnsi" w:hAnsiTheme="minorHAnsi" w:cstheme="minorHAnsi"/>
          <w:b/>
          <w:szCs w:val="22"/>
          <w:lang w:val="en-AU"/>
        </w:rPr>
      </w:pPr>
      <w:r w:rsidRPr="00B613F9">
        <w:rPr>
          <w:rFonts w:asciiTheme="minorHAnsi" w:hAnsiTheme="minorHAnsi" w:cstheme="minorHAnsi"/>
          <w:b/>
          <w:szCs w:val="22"/>
          <w:lang w:val="en-AU"/>
        </w:rPr>
        <w:t xml:space="preserve">Australia needs to generate sufficient revenue to allow government to fulfil its basic obligations to the people </w:t>
      </w:r>
      <w:r w:rsidR="0050565F" w:rsidRPr="00B613F9">
        <w:rPr>
          <w:rFonts w:asciiTheme="minorHAnsi" w:hAnsiTheme="minorHAnsi" w:cstheme="minorHAnsi"/>
          <w:b/>
          <w:szCs w:val="22"/>
          <w:lang w:val="en-AU"/>
        </w:rPr>
        <w:t xml:space="preserve">and families </w:t>
      </w:r>
      <w:r w:rsidRPr="00B613F9">
        <w:rPr>
          <w:rFonts w:asciiTheme="minorHAnsi" w:hAnsiTheme="minorHAnsi" w:cstheme="minorHAnsi"/>
          <w:b/>
          <w:szCs w:val="22"/>
          <w:lang w:val="en-AU"/>
        </w:rPr>
        <w:t>of Australia.</w:t>
      </w:r>
    </w:p>
    <w:p w14:paraId="321DCC30" w14:textId="77777777" w:rsidR="00A871E0" w:rsidRPr="00B613F9" w:rsidRDefault="00A871E0" w:rsidP="00301F7C">
      <w:pPr>
        <w:pStyle w:val="Style1"/>
        <w:numPr>
          <w:ilvl w:val="0"/>
          <w:numId w:val="7"/>
        </w:numPr>
        <w:tabs>
          <w:tab w:val="center" w:pos="4395"/>
        </w:tabs>
        <w:spacing w:before="0" w:after="160" w:line="276" w:lineRule="auto"/>
        <w:ind w:left="1134" w:hanging="709"/>
        <w:outlineLvl w:val="9"/>
        <w:rPr>
          <w:rFonts w:asciiTheme="minorHAnsi" w:hAnsiTheme="minorHAnsi" w:cstheme="minorHAnsi"/>
          <w:szCs w:val="22"/>
          <w:lang w:val="en-AU"/>
        </w:rPr>
      </w:pPr>
      <w:r w:rsidRPr="00B613F9">
        <w:rPr>
          <w:rFonts w:asciiTheme="minorHAnsi" w:hAnsiTheme="minorHAnsi" w:cstheme="minorHAnsi"/>
          <w:szCs w:val="22"/>
          <w:lang w:val="en-AU"/>
        </w:rPr>
        <w:t xml:space="preserve">It would be counter-productive to the long term needs of Australian families for the government to pursue an approach designed to reduce or even retain at the current levels the </w:t>
      </w:r>
      <w:r w:rsidR="004D4DC9" w:rsidRPr="00B613F9">
        <w:rPr>
          <w:rFonts w:asciiTheme="minorHAnsi" w:hAnsiTheme="minorHAnsi" w:cstheme="minorHAnsi"/>
          <w:szCs w:val="22"/>
          <w:lang w:val="en-AU"/>
        </w:rPr>
        <w:t xml:space="preserve">current </w:t>
      </w:r>
      <w:r w:rsidRPr="00B613F9">
        <w:rPr>
          <w:rFonts w:asciiTheme="minorHAnsi" w:hAnsiTheme="minorHAnsi" w:cstheme="minorHAnsi"/>
          <w:szCs w:val="22"/>
          <w:lang w:val="en-AU"/>
        </w:rPr>
        <w:t>taxation revenue.</w:t>
      </w:r>
    </w:p>
    <w:p w14:paraId="3C2F178B" w14:textId="77777777" w:rsidR="00A871E0" w:rsidRPr="00B613F9" w:rsidRDefault="00A871E0" w:rsidP="00301F7C">
      <w:pPr>
        <w:pStyle w:val="Style1"/>
        <w:numPr>
          <w:ilvl w:val="0"/>
          <w:numId w:val="7"/>
        </w:numPr>
        <w:tabs>
          <w:tab w:val="center" w:pos="4395"/>
        </w:tabs>
        <w:spacing w:before="0" w:after="160" w:line="276" w:lineRule="auto"/>
        <w:ind w:left="1134" w:hanging="709"/>
        <w:outlineLvl w:val="9"/>
        <w:rPr>
          <w:rFonts w:asciiTheme="minorHAnsi" w:hAnsiTheme="minorHAnsi" w:cstheme="minorHAnsi"/>
          <w:szCs w:val="22"/>
          <w:lang w:val="en-AU"/>
        </w:rPr>
      </w:pPr>
      <w:r w:rsidRPr="00B613F9">
        <w:rPr>
          <w:rFonts w:asciiTheme="minorHAnsi" w:hAnsiTheme="minorHAnsi" w:cstheme="minorHAnsi"/>
          <w:szCs w:val="22"/>
          <w:lang w:val="en-AU"/>
        </w:rPr>
        <w:t>As the population ages Australia will need greater revenue if all Australians are t</w:t>
      </w:r>
      <w:r w:rsidR="004D4DC9" w:rsidRPr="00B613F9">
        <w:rPr>
          <w:rFonts w:asciiTheme="minorHAnsi" w:hAnsiTheme="minorHAnsi" w:cstheme="minorHAnsi"/>
          <w:szCs w:val="22"/>
          <w:lang w:val="en-AU"/>
        </w:rPr>
        <w:t>o</w:t>
      </w:r>
      <w:r w:rsidRPr="00B613F9">
        <w:rPr>
          <w:rFonts w:asciiTheme="minorHAnsi" w:hAnsiTheme="minorHAnsi" w:cstheme="minorHAnsi"/>
          <w:szCs w:val="22"/>
          <w:lang w:val="en-AU"/>
        </w:rPr>
        <w:t xml:space="preserve"> receive adequate </w:t>
      </w:r>
      <w:r w:rsidR="0050565F" w:rsidRPr="00B613F9">
        <w:rPr>
          <w:rFonts w:asciiTheme="minorHAnsi" w:hAnsiTheme="minorHAnsi" w:cstheme="minorHAnsi"/>
          <w:szCs w:val="22"/>
          <w:lang w:val="en-AU"/>
        </w:rPr>
        <w:t xml:space="preserve">levels of </w:t>
      </w:r>
      <w:r w:rsidRPr="00B613F9">
        <w:rPr>
          <w:rFonts w:asciiTheme="minorHAnsi" w:hAnsiTheme="minorHAnsi" w:cstheme="minorHAnsi"/>
          <w:szCs w:val="22"/>
          <w:lang w:val="en-AU"/>
        </w:rPr>
        <w:t>support.</w:t>
      </w:r>
    </w:p>
    <w:p w14:paraId="75A6FB9F" w14:textId="77777777" w:rsidR="0050565F" w:rsidRPr="00B613F9" w:rsidRDefault="0050565F" w:rsidP="00301F7C">
      <w:pPr>
        <w:pStyle w:val="Style1"/>
        <w:numPr>
          <w:ilvl w:val="0"/>
          <w:numId w:val="7"/>
        </w:numPr>
        <w:tabs>
          <w:tab w:val="center" w:pos="4395"/>
        </w:tabs>
        <w:spacing w:before="0" w:after="160" w:line="276" w:lineRule="auto"/>
        <w:ind w:left="1134" w:hanging="709"/>
        <w:outlineLvl w:val="9"/>
        <w:rPr>
          <w:rFonts w:asciiTheme="minorHAnsi" w:hAnsiTheme="minorHAnsi" w:cstheme="minorHAnsi"/>
          <w:szCs w:val="22"/>
          <w:lang w:val="en-AU"/>
        </w:rPr>
      </w:pPr>
      <w:r w:rsidRPr="00B613F9">
        <w:rPr>
          <w:rFonts w:asciiTheme="minorHAnsi" w:hAnsiTheme="minorHAnsi" w:cstheme="minorHAnsi"/>
          <w:szCs w:val="22"/>
          <w:lang w:val="en-AU"/>
        </w:rPr>
        <w:t>This then must be the starting point for any review of the current taxation system.</w:t>
      </w:r>
    </w:p>
    <w:p w14:paraId="220FF195" w14:textId="77777777" w:rsidR="00571DDF" w:rsidRPr="00B613F9" w:rsidRDefault="00097E2D" w:rsidP="00301F7C">
      <w:pPr>
        <w:pStyle w:val="Style1"/>
        <w:numPr>
          <w:ilvl w:val="0"/>
          <w:numId w:val="7"/>
        </w:numPr>
        <w:tabs>
          <w:tab w:val="center" w:pos="4395"/>
        </w:tabs>
        <w:spacing w:before="0" w:after="160" w:line="276" w:lineRule="auto"/>
        <w:ind w:left="1134" w:hanging="709"/>
        <w:outlineLvl w:val="9"/>
        <w:rPr>
          <w:rFonts w:asciiTheme="minorHAnsi" w:hAnsiTheme="minorHAnsi" w:cstheme="minorHAnsi"/>
          <w:szCs w:val="22"/>
        </w:rPr>
      </w:pPr>
      <w:r w:rsidRPr="00B613F9">
        <w:rPr>
          <w:rFonts w:asciiTheme="minorHAnsi" w:hAnsiTheme="minorHAnsi" w:cstheme="minorHAnsi"/>
          <w:szCs w:val="22"/>
          <w:lang w:val="en-AU"/>
        </w:rPr>
        <w:t xml:space="preserve">This is not to say that future economic growth is not important.  Any reform of the taxation system should seek to maximise opportunity for future economic growth.  </w:t>
      </w:r>
      <w:r w:rsidR="00571DDF" w:rsidRPr="00B613F9">
        <w:rPr>
          <w:rFonts w:asciiTheme="minorHAnsi" w:hAnsiTheme="minorHAnsi" w:cstheme="minorHAnsi"/>
          <w:szCs w:val="22"/>
        </w:rPr>
        <w:br w:type="page"/>
      </w:r>
    </w:p>
    <w:p w14:paraId="58B3AD7B" w14:textId="77777777" w:rsidR="00571DDF" w:rsidRDefault="008142E8" w:rsidP="00247F24">
      <w:pPr>
        <w:pStyle w:val="Style1"/>
        <w:spacing w:before="0" w:after="200" w:line="276" w:lineRule="auto"/>
        <w:outlineLvl w:val="9"/>
        <w:rPr>
          <w:rFonts w:asciiTheme="minorHAnsi" w:hAnsiTheme="minorHAnsi" w:cstheme="minorHAnsi"/>
          <w:b/>
          <w:sz w:val="28"/>
          <w:szCs w:val="28"/>
          <w:u w:val="single"/>
          <w:lang w:val="en-AU"/>
        </w:rPr>
      </w:pPr>
      <w:r w:rsidRPr="00B613F9">
        <w:rPr>
          <w:rFonts w:asciiTheme="minorHAnsi" w:hAnsiTheme="minorHAnsi" w:cstheme="minorHAnsi"/>
          <w:b/>
          <w:sz w:val="28"/>
          <w:szCs w:val="28"/>
          <w:u w:val="single"/>
          <w:lang w:val="en-AU"/>
        </w:rPr>
        <w:lastRenderedPageBreak/>
        <w:t>I</w:t>
      </w:r>
      <w:r w:rsidR="00B5589E" w:rsidRPr="00B613F9">
        <w:rPr>
          <w:rFonts w:asciiTheme="minorHAnsi" w:hAnsiTheme="minorHAnsi" w:cstheme="minorHAnsi"/>
          <w:b/>
          <w:sz w:val="28"/>
          <w:szCs w:val="28"/>
          <w:u w:val="single"/>
          <w:lang w:val="en-AU"/>
        </w:rPr>
        <w:t>ndividuals and personal income tax</w:t>
      </w:r>
    </w:p>
    <w:p w14:paraId="0013250C" w14:textId="77777777" w:rsidR="00B613F9" w:rsidRPr="00B613F9" w:rsidRDefault="00B613F9" w:rsidP="00247F24">
      <w:pPr>
        <w:pStyle w:val="Style1"/>
        <w:spacing w:before="0" w:after="200" w:line="276" w:lineRule="auto"/>
        <w:outlineLvl w:val="9"/>
        <w:rPr>
          <w:rFonts w:asciiTheme="minorHAnsi" w:hAnsiTheme="minorHAnsi" w:cstheme="minorHAnsi"/>
          <w:b/>
          <w:sz w:val="28"/>
          <w:szCs w:val="28"/>
          <w:u w:val="single"/>
          <w:lang w:val="en-AU"/>
        </w:rPr>
      </w:pPr>
    </w:p>
    <w:p w14:paraId="7980FD45" w14:textId="77777777" w:rsidR="00CE2B91" w:rsidRPr="00B613F9" w:rsidRDefault="00CE2B91"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szCs w:val="22"/>
        </w:rPr>
      </w:pPr>
      <w:r w:rsidRPr="00B613F9">
        <w:rPr>
          <w:rFonts w:asciiTheme="minorHAnsi" w:hAnsiTheme="minorHAnsi" w:cstheme="minorHAnsi"/>
          <w:szCs w:val="22"/>
        </w:rPr>
        <w:t>In regard to individuals the principal goal must be the ensuring that individuals are taxed according to their capacity to pay.</w:t>
      </w:r>
    </w:p>
    <w:p w14:paraId="64813DF2" w14:textId="77777777" w:rsidR="0017006C" w:rsidRPr="00B613F9" w:rsidRDefault="00CE2B91"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szCs w:val="22"/>
        </w:rPr>
      </w:pPr>
      <w:r w:rsidRPr="00B613F9">
        <w:rPr>
          <w:rFonts w:asciiTheme="minorHAnsi" w:hAnsiTheme="minorHAnsi" w:cstheme="minorHAnsi"/>
          <w:szCs w:val="22"/>
        </w:rPr>
        <w:t xml:space="preserve">The </w:t>
      </w:r>
      <w:r w:rsidR="00571DDF" w:rsidRPr="00B613F9">
        <w:rPr>
          <w:rFonts w:asciiTheme="minorHAnsi" w:hAnsiTheme="minorHAnsi" w:cstheme="minorHAnsi"/>
          <w:szCs w:val="22"/>
        </w:rPr>
        <w:t xml:space="preserve">Australian taxation system lacks </w:t>
      </w:r>
      <w:r w:rsidRPr="00B613F9">
        <w:rPr>
          <w:rFonts w:asciiTheme="minorHAnsi" w:hAnsiTheme="minorHAnsi" w:cstheme="minorHAnsi"/>
          <w:szCs w:val="22"/>
        </w:rPr>
        <w:t xml:space="preserve">this basic principle of </w:t>
      </w:r>
      <w:r w:rsidR="00571DDF" w:rsidRPr="00B613F9">
        <w:rPr>
          <w:rFonts w:asciiTheme="minorHAnsi" w:hAnsiTheme="minorHAnsi" w:cstheme="minorHAnsi"/>
          <w:szCs w:val="22"/>
        </w:rPr>
        <w:t xml:space="preserve">equity. </w:t>
      </w:r>
    </w:p>
    <w:p w14:paraId="4D325A62" w14:textId="77777777" w:rsidR="0019103E" w:rsidRPr="00B613F9" w:rsidRDefault="00571DDF"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szCs w:val="22"/>
        </w:rPr>
      </w:pPr>
      <w:r w:rsidRPr="00B613F9">
        <w:rPr>
          <w:rFonts w:asciiTheme="minorHAnsi" w:hAnsiTheme="minorHAnsi" w:cstheme="minorHAnsi"/>
          <w:szCs w:val="22"/>
        </w:rPr>
        <w:t xml:space="preserve">The history of tax changes over recent years highlights this fact. </w:t>
      </w:r>
    </w:p>
    <w:p w14:paraId="1FC249E7" w14:textId="77777777" w:rsidR="0019103E" w:rsidRPr="00B613F9" w:rsidRDefault="00571DDF"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szCs w:val="22"/>
        </w:rPr>
      </w:pPr>
      <w:r w:rsidRPr="00B613F9">
        <w:rPr>
          <w:rFonts w:asciiTheme="minorHAnsi" w:hAnsiTheme="minorHAnsi" w:cstheme="minorHAnsi"/>
          <w:szCs w:val="22"/>
        </w:rPr>
        <w:t xml:space="preserve"> In a series of “tax cut” announcements, the Howard government delivered very substantial tax cuts to high income earners and relatively modest cuts to low and middle income earners.</w:t>
      </w:r>
      <w:r w:rsidR="00503743" w:rsidRPr="00B613F9">
        <w:rPr>
          <w:rFonts w:asciiTheme="minorHAnsi" w:hAnsiTheme="minorHAnsi" w:cstheme="minorHAnsi"/>
          <w:szCs w:val="22"/>
        </w:rPr>
        <w:t xml:space="preserve">  </w:t>
      </w:r>
    </w:p>
    <w:p w14:paraId="7B99F6C2" w14:textId="77777777" w:rsidR="00571DDF" w:rsidRPr="00B613F9" w:rsidRDefault="00571DDF"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szCs w:val="22"/>
        </w:rPr>
      </w:pPr>
      <w:r w:rsidRPr="00B613F9">
        <w:rPr>
          <w:rFonts w:asciiTheme="minorHAnsi" w:hAnsiTheme="minorHAnsi" w:cstheme="minorHAnsi"/>
          <w:szCs w:val="22"/>
        </w:rPr>
        <w:t>The impact of the tax cuts between 2003 and 2007 is set out for a range of income levels in the table below.  It is clear from this table that while low income workers benefited by only $13 per week over the period, higher income earning people received much larger benefits, with the highest income earners receiving over $142 per week tax cuts over the period.</w:t>
      </w:r>
    </w:p>
    <w:p w14:paraId="5C9C7A7E" w14:textId="77777777" w:rsidR="0017006C" w:rsidRPr="00B613F9" w:rsidRDefault="0017006C" w:rsidP="0017006C">
      <w:pPr>
        <w:pStyle w:val="Header"/>
        <w:spacing w:line="360" w:lineRule="auto"/>
        <w:jc w:val="both"/>
        <w:rPr>
          <w:rFonts w:asciiTheme="minorHAnsi" w:hAnsiTheme="minorHAnsi" w:cstheme="minorHAnsi"/>
          <w:szCs w:val="22"/>
        </w:rPr>
      </w:pPr>
    </w:p>
    <w:p w14:paraId="7A1423F0" w14:textId="77777777" w:rsidR="00571DDF" w:rsidRPr="00B613F9" w:rsidRDefault="00571DDF" w:rsidP="00B379A8">
      <w:pPr>
        <w:keepNext/>
        <w:rPr>
          <w:rFonts w:cstheme="minorHAnsi"/>
        </w:rPr>
      </w:pPr>
      <w:r w:rsidRPr="00B613F9">
        <w:rPr>
          <w:rFonts w:cstheme="minorHAnsi"/>
          <w:u w:val="single"/>
        </w:rPr>
        <w:t>Tax Cuts</w:t>
      </w:r>
      <w:r w:rsidR="008142E8" w:rsidRPr="00B613F9">
        <w:rPr>
          <w:rFonts w:cstheme="minorHAnsi"/>
          <w:u w:val="single"/>
        </w:rPr>
        <w:t xml:space="preserve"> </w:t>
      </w:r>
      <w:r w:rsidR="003C4F4B" w:rsidRPr="00B613F9">
        <w:rPr>
          <w:rFonts w:cstheme="minorHAnsi"/>
          <w:u w:val="single"/>
        </w:rPr>
        <w:t>between</w:t>
      </w:r>
      <w:r w:rsidR="008142E8" w:rsidRPr="00B613F9">
        <w:rPr>
          <w:rFonts w:cstheme="minorHAnsi"/>
          <w:u w:val="single"/>
        </w:rPr>
        <w:t xml:space="preserve"> 2004 -2007</w:t>
      </w:r>
    </w:p>
    <w:tbl>
      <w:tblPr>
        <w:tblStyle w:val="TableGrid"/>
        <w:tblpPr w:leftFromText="180" w:rightFromText="180" w:vertAnchor="text" w:tblpX="384" w:tblpY="1"/>
        <w:tblOverlap w:val="never"/>
        <w:tblW w:w="8208" w:type="dxa"/>
        <w:tblLook w:val="01E0" w:firstRow="1" w:lastRow="1" w:firstColumn="1" w:lastColumn="1" w:noHBand="0" w:noVBand="0"/>
      </w:tblPr>
      <w:tblGrid>
        <w:gridCol w:w="1292"/>
        <w:gridCol w:w="1152"/>
        <w:gridCol w:w="1153"/>
        <w:gridCol w:w="1153"/>
        <w:gridCol w:w="1152"/>
        <w:gridCol w:w="1153"/>
        <w:gridCol w:w="1153"/>
      </w:tblGrid>
      <w:tr w:rsidR="00571DDF" w:rsidRPr="00B613F9" w14:paraId="4E70842A" w14:textId="77777777" w:rsidTr="00E3412D">
        <w:tc>
          <w:tcPr>
            <w:tcW w:w="1292" w:type="dxa"/>
          </w:tcPr>
          <w:p w14:paraId="71B3AB2A" w14:textId="77777777" w:rsidR="00571DDF" w:rsidRPr="00B613F9" w:rsidRDefault="00571DDF" w:rsidP="00E3412D">
            <w:pPr>
              <w:jc w:val="center"/>
              <w:rPr>
                <w:rFonts w:asciiTheme="minorHAnsi" w:hAnsiTheme="minorHAnsi" w:cstheme="minorHAnsi"/>
                <w:sz w:val="22"/>
                <w:szCs w:val="22"/>
              </w:rPr>
            </w:pPr>
            <w:r w:rsidRPr="00B613F9">
              <w:rPr>
                <w:rFonts w:asciiTheme="minorHAnsi" w:hAnsiTheme="minorHAnsi" w:cstheme="minorHAnsi"/>
                <w:sz w:val="22"/>
                <w:szCs w:val="22"/>
              </w:rPr>
              <w:t>Annual Income</w:t>
            </w:r>
          </w:p>
        </w:tc>
        <w:tc>
          <w:tcPr>
            <w:tcW w:w="6916" w:type="dxa"/>
            <w:gridSpan w:val="6"/>
          </w:tcPr>
          <w:p w14:paraId="14BA6990" w14:textId="77777777" w:rsidR="00571DDF" w:rsidRPr="00B613F9" w:rsidRDefault="00571DDF" w:rsidP="00E3412D">
            <w:pPr>
              <w:spacing w:before="120"/>
              <w:ind w:left="-539" w:firstLine="539"/>
              <w:jc w:val="center"/>
              <w:rPr>
                <w:rFonts w:asciiTheme="minorHAnsi" w:hAnsiTheme="minorHAnsi" w:cstheme="minorHAnsi"/>
                <w:sz w:val="22"/>
                <w:szCs w:val="22"/>
              </w:rPr>
            </w:pPr>
            <w:r w:rsidRPr="00B613F9">
              <w:rPr>
                <w:rFonts w:asciiTheme="minorHAnsi" w:hAnsiTheme="minorHAnsi" w:cstheme="minorHAnsi"/>
                <w:sz w:val="22"/>
                <w:szCs w:val="22"/>
              </w:rPr>
              <w:t>Tax Cuts per Week  -  From 1 July</w:t>
            </w:r>
          </w:p>
        </w:tc>
      </w:tr>
      <w:tr w:rsidR="00571DDF" w:rsidRPr="00B613F9" w14:paraId="17FBC764" w14:textId="77777777" w:rsidTr="00E3412D">
        <w:tc>
          <w:tcPr>
            <w:tcW w:w="1292" w:type="dxa"/>
          </w:tcPr>
          <w:p w14:paraId="4D8B2AB4" w14:textId="77777777" w:rsidR="00571DDF" w:rsidRPr="00B613F9" w:rsidRDefault="00571DDF" w:rsidP="00E3412D">
            <w:pPr>
              <w:spacing w:before="120" w:after="120"/>
              <w:jc w:val="both"/>
              <w:rPr>
                <w:rFonts w:asciiTheme="minorHAnsi" w:hAnsiTheme="minorHAnsi" w:cstheme="minorHAnsi"/>
                <w:sz w:val="22"/>
                <w:szCs w:val="22"/>
              </w:rPr>
            </w:pPr>
          </w:p>
        </w:tc>
        <w:tc>
          <w:tcPr>
            <w:tcW w:w="1152" w:type="dxa"/>
          </w:tcPr>
          <w:p w14:paraId="6EF2275C" w14:textId="77777777" w:rsidR="00571DDF" w:rsidRPr="00B613F9" w:rsidRDefault="00571DDF" w:rsidP="00E3412D">
            <w:pPr>
              <w:spacing w:before="120" w:after="120"/>
              <w:ind w:left="-539" w:firstLine="539"/>
              <w:jc w:val="right"/>
              <w:rPr>
                <w:rFonts w:asciiTheme="minorHAnsi" w:hAnsiTheme="minorHAnsi" w:cstheme="minorHAnsi"/>
                <w:sz w:val="22"/>
                <w:szCs w:val="22"/>
              </w:rPr>
            </w:pPr>
            <w:r w:rsidRPr="00B613F9">
              <w:rPr>
                <w:rFonts w:asciiTheme="minorHAnsi" w:hAnsiTheme="minorHAnsi" w:cstheme="minorHAnsi"/>
                <w:sz w:val="22"/>
                <w:szCs w:val="22"/>
              </w:rPr>
              <w:t>2003</w:t>
            </w:r>
          </w:p>
        </w:tc>
        <w:tc>
          <w:tcPr>
            <w:tcW w:w="1153" w:type="dxa"/>
          </w:tcPr>
          <w:p w14:paraId="5ADCEACF" w14:textId="77777777" w:rsidR="00571DDF" w:rsidRPr="00B613F9" w:rsidRDefault="00571DDF" w:rsidP="00E3412D">
            <w:pPr>
              <w:spacing w:before="120" w:after="120"/>
              <w:ind w:left="-539" w:firstLine="539"/>
              <w:jc w:val="right"/>
              <w:rPr>
                <w:rFonts w:asciiTheme="minorHAnsi" w:hAnsiTheme="minorHAnsi" w:cstheme="minorHAnsi"/>
                <w:sz w:val="22"/>
                <w:szCs w:val="22"/>
              </w:rPr>
            </w:pPr>
            <w:r w:rsidRPr="00B613F9">
              <w:rPr>
                <w:rFonts w:asciiTheme="minorHAnsi" w:hAnsiTheme="minorHAnsi" w:cstheme="minorHAnsi"/>
                <w:sz w:val="22"/>
                <w:szCs w:val="22"/>
              </w:rPr>
              <w:t>2004</w:t>
            </w:r>
          </w:p>
        </w:tc>
        <w:tc>
          <w:tcPr>
            <w:tcW w:w="1153" w:type="dxa"/>
          </w:tcPr>
          <w:p w14:paraId="6828E0BD" w14:textId="77777777" w:rsidR="00571DDF" w:rsidRPr="00B613F9" w:rsidRDefault="00571DDF" w:rsidP="00E3412D">
            <w:pPr>
              <w:spacing w:before="120" w:after="120"/>
              <w:ind w:left="-539" w:firstLine="539"/>
              <w:jc w:val="right"/>
              <w:rPr>
                <w:rFonts w:asciiTheme="minorHAnsi" w:hAnsiTheme="minorHAnsi" w:cstheme="minorHAnsi"/>
                <w:sz w:val="22"/>
                <w:szCs w:val="22"/>
              </w:rPr>
            </w:pPr>
            <w:r w:rsidRPr="00B613F9">
              <w:rPr>
                <w:rFonts w:asciiTheme="minorHAnsi" w:hAnsiTheme="minorHAnsi" w:cstheme="minorHAnsi"/>
                <w:sz w:val="22"/>
                <w:szCs w:val="22"/>
              </w:rPr>
              <w:t>2005</w:t>
            </w:r>
          </w:p>
        </w:tc>
        <w:tc>
          <w:tcPr>
            <w:tcW w:w="1152" w:type="dxa"/>
          </w:tcPr>
          <w:p w14:paraId="03428ED3" w14:textId="77777777" w:rsidR="00571DDF" w:rsidRPr="00B613F9" w:rsidRDefault="00571DDF" w:rsidP="00E3412D">
            <w:pPr>
              <w:spacing w:before="120" w:after="120"/>
              <w:ind w:left="-539" w:firstLine="539"/>
              <w:jc w:val="right"/>
              <w:rPr>
                <w:rFonts w:asciiTheme="minorHAnsi" w:hAnsiTheme="minorHAnsi" w:cstheme="minorHAnsi"/>
                <w:sz w:val="22"/>
                <w:szCs w:val="22"/>
              </w:rPr>
            </w:pPr>
            <w:r w:rsidRPr="00B613F9">
              <w:rPr>
                <w:rFonts w:asciiTheme="minorHAnsi" w:hAnsiTheme="minorHAnsi" w:cstheme="minorHAnsi"/>
                <w:sz w:val="22"/>
                <w:szCs w:val="22"/>
              </w:rPr>
              <w:t>2006</w:t>
            </w:r>
          </w:p>
        </w:tc>
        <w:tc>
          <w:tcPr>
            <w:tcW w:w="1153" w:type="dxa"/>
          </w:tcPr>
          <w:p w14:paraId="2B6DF82A" w14:textId="77777777" w:rsidR="00571DDF" w:rsidRPr="00B613F9" w:rsidRDefault="00571DDF" w:rsidP="00E3412D">
            <w:pPr>
              <w:spacing w:before="120" w:after="120"/>
              <w:ind w:left="-539" w:firstLine="539"/>
              <w:jc w:val="right"/>
              <w:rPr>
                <w:rFonts w:asciiTheme="minorHAnsi" w:hAnsiTheme="minorHAnsi" w:cstheme="minorHAnsi"/>
                <w:sz w:val="22"/>
                <w:szCs w:val="22"/>
              </w:rPr>
            </w:pPr>
            <w:r w:rsidRPr="00B613F9">
              <w:rPr>
                <w:rFonts w:asciiTheme="minorHAnsi" w:hAnsiTheme="minorHAnsi" w:cstheme="minorHAnsi"/>
                <w:sz w:val="22"/>
                <w:szCs w:val="22"/>
              </w:rPr>
              <w:t>2007</w:t>
            </w:r>
          </w:p>
        </w:tc>
        <w:tc>
          <w:tcPr>
            <w:tcW w:w="1153" w:type="dxa"/>
          </w:tcPr>
          <w:p w14:paraId="34D62FFD" w14:textId="77777777" w:rsidR="00571DDF" w:rsidRPr="00B613F9" w:rsidRDefault="00571DDF" w:rsidP="00E3412D">
            <w:pPr>
              <w:spacing w:before="120" w:after="12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Total</w:t>
            </w:r>
          </w:p>
        </w:tc>
      </w:tr>
      <w:tr w:rsidR="00571DDF" w:rsidRPr="00B613F9" w14:paraId="55413882" w14:textId="77777777" w:rsidTr="00E3412D">
        <w:tc>
          <w:tcPr>
            <w:tcW w:w="1292" w:type="dxa"/>
          </w:tcPr>
          <w:p w14:paraId="311D0FEF" w14:textId="77777777" w:rsidR="00571DDF" w:rsidRPr="00B613F9" w:rsidRDefault="00571DDF" w:rsidP="00E3412D">
            <w:pPr>
              <w:spacing w:before="40" w:after="40"/>
              <w:jc w:val="right"/>
              <w:rPr>
                <w:rFonts w:asciiTheme="minorHAnsi" w:hAnsiTheme="minorHAnsi" w:cstheme="minorHAnsi"/>
                <w:sz w:val="22"/>
                <w:szCs w:val="22"/>
              </w:rPr>
            </w:pPr>
            <w:r w:rsidRPr="00B613F9">
              <w:rPr>
                <w:rFonts w:asciiTheme="minorHAnsi" w:hAnsiTheme="minorHAnsi" w:cstheme="minorHAnsi"/>
                <w:sz w:val="22"/>
                <w:szCs w:val="22"/>
              </w:rPr>
              <w:t>$25,000</w:t>
            </w:r>
          </w:p>
        </w:tc>
        <w:tc>
          <w:tcPr>
            <w:tcW w:w="1152" w:type="dxa"/>
          </w:tcPr>
          <w:p w14:paraId="42F91E0A"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$4.00</w:t>
            </w:r>
          </w:p>
        </w:tc>
        <w:tc>
          <w:tcPr>
            <w:tcW w:w="1153" w:type="dxa"/>
          </w:tcPr>
          <w:p w14:paraId="6A0233C8"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w:t>
            </w:r>
          </w:p>
        </w:tc>
        <w:tc>
          <w:tcPr>
            <w:tcW w:w="1153" w:type="dxa"/>
          </w:tcPr>
          <w:p w14:paraId="71896ACD"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$6.00</w:t>
            </w:r>
          </w:p>
        </w:tc>
        <w:tc>
          <w:tcPr>
            <w:tcW w:w="1152" w:type="dxa"/>
          </w:tcPr>
          <w:p w14:paraId="3FD330EF"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w:t>
            </w:r>
          </w:p>
        </w:tc>
        <w:tc>
          <w:tcPr>
            <w:tcW w:w="1153" w:type="dxa"/>
          </w:tcPr>
          <w:p w14:paraId="24092169"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2.88</w:t>
            </w:r>
          </w:p>
        </w:tc>
        <w:tc>
          <w:tcPr>
            <w:tcW w:w="1153" w:type="dxa"/>
          </w:tcPr>
          <w:p w14:paraId="0D5371CB"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$12.88</w:t>
            </w:r>
          </w:p>
        </w:tc>
      </w:tr>
      <w:tr w:rsidR="00571DDF" w:rsidRPr="00B613F9" w14:paraId="6BABE31D" w14:textId="77777777" w:rsidTr="00E3412D">
        <w:tc>
          <w:tcPr>
            <w:tcW w:w="1292" w:type="dxa"/>
          </w:tcPr>
          <w:p w14:paraId="4221C32B" w14:textId="77777777" w:rsidR="00571DDF" w:rsidRPr="00B613F9" w:rsidRDefault="00571DDF" w:rsidP="00E3412D">
            <w:pPr>
              <w:spacing w:before="40" w:after="40"/>
              <w:jc w:val="right"/>
              <w:rPr>
                <w:rFonts w:asciiTheme="minorHAnsi" w:hAnsiTheme="minorHAnsi" w:cstheme="minorHAnsi"/>
                <w:sz w:val="22"/>
                <w:szCs w:val="22"/>
              </w:rPr>
            </w:pPr>
            <w:r w:rsidRPr="00B613F9">
              <w:rPr>
                <w:rFonts w:asciiTheme="minorHAnsi" w:hAnsiTheme="minorHAnsi" w:cstheme="minorHAnsi"/>
                <w:sz w:val="22"/>
                <w:szCs w:val="22"/>
              </w:rPr>
              <w:t>$50,000</w:t>
            </w:r>
          </w:p>
        </w:tc>
        <w:tc>
          <w:tcPr>
            <w:tcW w:w="1152" w:type="dxa"/>
          </w:tcPr>
          <w:p w14:paraId="244930B3"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$4.00</w:t>
            </w:r>
          </w:p>
        </w:tc>
        <w:tc>
          <w:tcPr>
            <w:tcW w:w="1153" w:type="dxa"/>
          </w:tcPr>
          <w:p w14:paraId="26DE01F8"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w:t>
            </w:r>
          </w:p>
        </w:tc>
        <w:tc>
          <w:tcPr>
            <w:tcW w:w="1153" w:type="dxa"/>
          </w:tcPr>
          <w:p w14:paraId="2DFE50C0"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$6.00</w:t>
            </w:r>
          </w:p>
        </w:tc>
        <w:tc>
          <w:tcPr>
            <w:tcW w:w="1152" w:type="dxa"/>
          </w:tcPr>
          <w:p w14:paraId="106C9E6F"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w:t>
            </w:r>
          </w:p>
        </w:tc>
        <w:tc>
          <w:tcPr>
            <w:tcW w:w="1153" w:type="dxa"/>
          </w:tcPr>
          <w:p w14:paraId="3206C325"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14.42</w:t>
            </w:r>
          </w:p>
        </w:tc>
        <w:tc>
          <w:tcPr>
            <w:tcW w:w="1153" w:type="dxa"/>
          </w:tcPr>
          <w:p w14:paraId="48792C78"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$24.42</w:t>
            </w:r>
          </w:p>
        </w:tc>
      </w:tr>
      <w:tr w:rsidR="00571DDF" w:rsidRPr="00B613F9" w14:paraId="540CDB64" w14:textId="77777777" w:rsidTr="00E3412D">
        <w:tc>
          <w:tcPr>
            <w:tcW w:w="1292" w:type="dxa"/>
          </w:tcPr>
          <w:p w14:paraId="3C34C27A" w14:textId="77777777" w:rsidR="00571DDF" w:rsidRPr="00B613F9" w:rsidRDefault="00571DDF" w:rsidP="00E3412D">
            <w:pPr>
              <w:spacing w:before="40" w:after="40"/>
              <w:jc w:val="right"/>
              <w:rPr>
                <w:rFonts w:asciiTheme="minorHAnsi" w:hAnsiTheme="minorHAnsi" w:cstheme="minorHAnsi"/>
                <w:sz w:val="22"/>
                <w:szCs w:val="22"/>
              </w:rPr>
            </w:pPr>
            <w:r w:rsidRPr="00B613F9">
              <w:rPr>
                <w:rFonts w:asciiTheme="minorHAnsi" w:hAnsiTheme="minorHAnsi" w:cstheme="minorHAnsi"/>
                <w:sz w:val="22"/>
                <w:szCs w:val="22"/>
              </w:rPr>
              <w:t>$60,000</w:t>
            </w:r>
          </w:p>
        </w:tc>
        <w:tc>
          <w:tcPr>
            <w:tcW w:w="1152" w:type="dxa"/>
          </w:tcPr>
          <w:p w14:paraId="4F158E39"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$8.62</w:t>
            </w:r>
          </w:p>
        </w:tc>
        <w:tc>
          <w:tcPr>
            <w:tcW w:w="1153" w:type="dxa"/>
          </w:tcPr>
          <w:p w14:paraId="08FDFAA0"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$13.85</w:t>
            </w:r>
          </w:p>
        </w:tc>
        <w:tc>
          <w:tcPr>
            <w:tcW w:w="1153" w:type="dxa"/>
          </w:tcPr>
          <w:p w14:paraId="12847E68"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$10.60</w:t>
            </w:r>
          </w:p>
        </w:tc>
        <w:tc>
          <w:tcPr>
            <w:tcW w:w="1152" w:type="dxa"/>
          </w:tcPr>
          <w:p w14:paraId="7FF20AAF"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w:t>
            </w:r>
          </w:p>
        </w:tc>
        <w:tc>
          <w:tcPr>
            <w:tcW w:w="1153" w:type="dxa"/>
          </w:tcPr>
          <w:p w14:paraId="0390D08B"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14.42</w:t>
            </w:r>
          </w:p>
        </w:tc>
        <w:tc>
          <w:tcPr>
            <w:tcW w:w="1153" w:type="dxa"/>
          </w:tcPr>
          <w:p w14:paraId="659D0670"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$47.49</w:t>
            </w:r>
          </w:p>
        </w:tc>
      </w:tr>
      <w:tr w:rsidR="00571DDF" w:rsidRPr="00B613F9" w14:paraId="4539D161" w14:textId="77777777" w:rsidTr="00E3412D">
        <w:tc>
          <w:tcPr>
            <w:tcW w:w="1292" w:type="dxa"/>
          </w:tcPr>
          <w:p w14:paraId="0C4969F7" w14:textId="77777777" w:rsidR="00571DDF" w:rsidRPr="00B613F9" w:rsidRDefault="00571DDF" w:rsidP="00E3412D">
            <w:pPr>
              <w:spacing w:before="40" w:after="40"/>
              <w:jc w:val="right"/>
              <w:rPr>
                <w:rFonts w:asciiTheme="minorHAnsi" w:hAnsiTheme="minorHAnsi" w:cstheme="minorHAnsi"/>
                <w:sz w:val="22"/>
                <w:szCs w:val="22"/>
              </w:rPr>
            </w:pPr>
            <w:r w:rsidRPr="00B613F9">
              <w:rPr>
                <w:rFonts w:asciiTheme="minorHAnsi" w:hAnsiTheme="minorHAnsi" w:cstheme="minorHAnsi"/>
                <w:sz w:val="22"/>
                <w:szCs w:val="22"/>
              </w:rPr>
              <w:t>$70,000</w:t>
            </w:r>
          </w:p>
        </w:tc>
        <w:tc>
          <w:tcPr>
            <w:tcW w:w="1152" w:type="dxa"/>
          </w:tcPr>
          <w:p w14:paraId="7772EC03"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$11.02</w:t>
            </w:r>
          </w:p>
        </w:tc>
        <w:tc>
          <w:tcPr>
            <w:tcW w:w="1153" w:type="dxa"/>
          </w:tcPr>
          <w:p w14:paraId="0ED533A4"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$21.06</w:t>
            </w:r>
          </w:p>
        </w:tc>
        <w:tc>
          <w:tcPr>
            <w:tcW w:w="1153" w:type="dxa"/>
          </w:tcPr>
          <w:p w14:paraId="242ADA7E"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$17.50</w:t>
            </w:r>
          </w:p>
        </w:tc>
        <w:tc>
          <w:tcPr>
            <w:tcW w:w="1152" w:type="dxa"/>
          </w:tcPr>
          <w:p w14:paraId="1B0CEB4B"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$16.15</w:t>
            </w:r>
          </w:p>
        </w:tc>
        <w:tc>
          <w:tcPr>
            <w:tcW w:w="1153" w:type="dxa"/>
          </w:tcPr>
          <w:p w14:paraId="59AB55B7"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14.42</w:t>
            </w:r>
          </w:p>
        </w:tc>
        <w:tc>
          <w:tcPr>
            <w:tcW w:w="1153" w:type="dxa"/>
          </w:tcPr>
          <w:p w14:paraId="1D043389"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$80.15</w:t>
            </w:r>
          </w:p>
        </w:tc>
      </w:tr>
      <w:tr w:rsidR="00571DDF" w:rsidRPr="00B613F9" w14:paraId="79ADA9D3" w14:textId="77777777" w:rsidTr="00E3412D">
        <w:tc>
          <w:tcPr>
            <w:tcW w:w="1292" w:type="dxa"/>
          </w:tcPr>
          <w:p w14:paraId="5622626F" w14:textId="77777777" w:rsidR="00571DDF" w:rsidRPr="00B613F9" w:rsidRDefault="00571DDF" w:rsidP="00E3412D">
            <w:pPr>
              <w:spacing w:before="40" w:after="40"/>
              <w:jc w:val="right"/>
              <w:rPr>
                <w:rFonts w:asciiTheme="minorHAnsi" w:hAnsiTheme="minorHAnsi" w:cstheme="minorHAnsi"/>
                <w:sz w:val="22"/>
                <w:szCs w:val="22"/>
              </w:rPr>
            </w:pPr>
            <w:r w:rsidRPr="00B613F9">
              <w:rPr>
                <w:rFonts w:asciiTheme="minorHAnsi" w:hAnsiTheme="minorHAnsi" w:cstheme="minorHAnsi"/>
                <w:sz w:val="22"/>
                <w:szCs w:val="22"/>
              </w:rPr>
              <w:t>$80,000</w:t>
            </w:r>
          </w:p>
        </w:tc>
        <w:tc>
          <w:tcPr>
            <w:tcW w:w="1152" w:type="dxa"/>
          </w:tcPr>
          <w:p w14:paraId="00272142"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$11.02</w:t>
            </w:r>
          </w:p>
        </w:tc>
        <w:tc>
          <w:tcPr>
            <w:tcW w:w="1153" w:type="dxa"/>
          </w:tcPr>
          <w:p w14:paraId="783387C9"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$21.06</w:t>
            </w:r>
          </w:p>
        </w:tc>
        <w:tc>
          <w:tcPr>
            <w:tcW w:w="1153" w:type="dxa"/>
          </w:tcPr>
          <w:p w14:paraId="6BED2DAB"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$27.15</w:t>
            </w:r>
          </w:p>
        </w:tc>
        <w:tc>
          <w:tcPr>
            <w:tcW w:w="1152" w:type="dxa"/>
          </w:tcPr>
          <w:p w14:paraId="04FDE6BF"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$16.15</w:t>
            </w:r>
          </w:p>
        </w:tc>
        <w:tc>
          <w:tcPr>
            <w:tcW w:w="1153" w:type="dxa"/>
          </w:tcPr>
          <w:p w14:paraId="1B89D6F9"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24.04</w:t>
            </w:r>
          </w:p>
        </w:tc>
        <w:tc>
          <w:tcPr>
            <w:tcW w:w="1153" w:type="dxa"/>
          </w:tcPr>
          <w:p w14:paraId="1208E108"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$99.42</w:t>
            </w:r>
          </w:p>
        </w:tc>
      </w:tr>
      <w:tr w:rsidR="00571DDF" w:rsidRPr="00B613F9" w14:paraId="506067AB" w14:textId="77777777" w:rsidTr="00E3412D">
        <w:tc>
          <w:tcPr>
            <w:tcW w:w="1292" w:type="dxa"/>
          </w:tcPr>
          <w:p w14:paraId="1658ED27" w14:textId="77777777" w:rsidR="00571DDF" w:rsidRPr="00B613F9" w:rsidRDefault="00571DDF" w:rsidP="00E3412D">
            <w:pPr>
              <w:spacing w:before="40" w:after="40"/>
              <w:jc w:val="right"/>
              <w:rPr>
                <w:rFonts w:asciiTheme="minorHAnsi" w:hAnsiTheme="minorHAnsi" w:cstheme="minorHAnsi"/>
                <w:sz w:val="22"/>
                <w:szCs w:val="22"/>
              </w:rPr>
            </w:pPr>
            <w:r w:rsidRPr="00B613F9">
              <w:rPr>
                <w:rFonts w:asciiTheme="minorHAnsi" w:hAnsiTheme="minorHAnsi" w:cstheme="minorHAnsi"/>
                <w:sz w:val="22"/>
                <w:szCs w:val="22"/>
              </w:rPr>
              <w:t>$90,000</w:t>
            </w:r>
          </w:p>
        </w:tc>
        <w:tc>
          <w:tcPr>
            <w:tcW w:w="1152" w:type="dxa"/>
          </w:tcPr>
          <w:p w14:paraId="6C8EC16A"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$11.02</w:t>
            </w:r>
          </w:p>
        </w:tc>
        <w:tc>
          <w:tcPr>
            <w:tcW w:w="1153" w:type="dxa"/>
          </w:tcPr>
          <w:p w14:paraId="3B9EEDF4"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$21.06</w:t>
            </w:r>
          </w:p>
        </w:tc>
        <w:tc>
          <w:tcPr>
            <w:tcW w:w="1153" w:type="dxa"/>
          </w:tcPr>
          <w:p w14:paraId="5B1B7970"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$36.76</w:t>
            </w:r>
          </w:p>
        </w:tc>
        <w:tc>
          <w:tcPr>
            <w:tcW w:w="1152" w:type="dxa"/>
          </w:tcPr>
          <w:p w14:paraId="480EA8AF"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$16.15</w:t>
            </w:r>
          </w:p>
        </w:tc>
        <w:tc>
          <w:tcPr>
            <w:tcW w:w="1153" w:type="dxa"/>
          </w:tcPr>
          <w:p w14:paraId="756A2A19"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24.04</w:t>
            </w:r>
          </w:p>
        </w:tc>
        <w:tc>
          <w:tcPr>
            <w:tcW w:w="1153" w:type="dxa"/>
          </w:tcPr>
          <w:p w14:paraId="04DDE9D6"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$109.03</w:t>
            </w:r>
          </w:p>
        </w:tc>
      </w:tr>
      <w:tr w:rsidR="00571DDF" w:rsidRPr="00B613F9" w14:paraId="50BA9CB8" w14:textId="77777777" w:rsidTr="00E3412D">
        <w:tc>
          <w:tcPr>
            <w:tcW w:w="1292" w:type="dxa"/>
          </w:tcPr>
          <w:p w14:paraId="1D75FC6A" w14:textId="77777777" w:rsidR="00571DDF" w:rsidRPr="00B613F9" w:rsidRDefault="00571DDF" w:rsidP="00E3412D">
            <w:pPr>
              <w:spacing w:before="40" w:after="40"/>
              <w:jc w:val="right"/>
              <w:rPr>
                <w:rFonts w:asciiTheme="minorHAnsi" w:hAnsiTheme="minorHAnsi" w:cstheme="minorHAnsi"/>
                <w:sz w:val="22"/>
                <w:szCs w:val="22"/>
              </w:rPr>
            </w:pPr>
            <w:r w:rsidRPr="00B613F9">
              <w:rPr>
                <w:rFonts w:asciiTheme="minorHAnsi" w:hAnsiTheme="minorHAnsi" w:cstheme="minorHAnsi"/>
                <w:sz w:val="22"/>
                <w:szCs w:val="22"/>
              </w:rPr>
              <w:t>$100,000</w:t>
            </w:r>
          </w:p>
        </w:tc>
        <w:tc>
          <w:tcPr>
            <w:tcW w:w="1152" w:type="dxa"/>
          </w:tcPr>
          <w:p w14:paraId="52613A8F"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$11.02</w:t>
            </w:r>
          </w:p>
        </w:tc>
        <w:tc>
          <w:tcPr>
            <w:tcW w:w="1153" w:type="dxa"/>
          </w:tcPr>
          <w:p w14:paraId="771067CC"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$21.06</w:t>
            </w:r>
          </w:p>
        </w:tc>
        <w:tc>
          <w:tcPr>
            <w:tcW w:w="1153" w:type="dxa"/>
          </w:tcPr>
          <w:p w14:paraId="4B6AF3DF"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$41.57</w:t>
            </w:r>
          </w:p>
        </w:tc>
        <w:tc>
          <w:tcPr>
            <w:tcW w:w="1152" w:type="dxa"/>
          </w:tcPr>
          <w:p w14:paraId="611A881A"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$20.96</w:t>
            </w:r>
          </w:p>
        </w:tc>
        <w:tc>
          <w:tcPr>
            <w:tcW w:w="1153" w:type="dxa"/>
          </w:tcPr>
          <w:p w14:paraId="51E44255"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24.04</w:t>
            </w:r>
          </w:p>
        </w:tc>
        <w:tc>
          <w:tcPr>
            <w:tcW w:w="1153" w:type="dxa"/>
          </w:tcPr>
          <w:p w14:paraId="3CD19E81"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$118.65</w:t>
            </w:r>
          </w:p>
        </w:tc>
      </w:tr>
      <w:tr w:rsidR="00571DDF" w:rsidRPr="00B613F9" w14:paraId="4E4235FF" w14:textId="77777777" w:rsidTr="00E3412D">
        <w:tc>
          <w:tcPr>
            <w:tcW w:w="1292" w:type="dxa"/>
          </w:tcPr>
          <w:p w14:paraId="221B213A" w14:textId="77777777" w:rsidR="00571DDF" w:rsidRPr="00B613F9" w:rsidRDefault="00571DDF" w:rsidP="00E3412D">
            <w:pPr>
              <w:spacing w:before="40" w:after="40"/>
              <w:jc w:val="right"/>
              <w:rPr>
                <w:rFonts w:asciiTheme="minorHAnsi" w:hAnsiTheme="minorHAnsi" w:cstheme="minorHAnsi"/>
                <w:sz w:val="22"/>
                <w:szCs w:val="22"/>
              </w:rPr>
            </w:pPr>
            <w:r w:rsidRPr="00B613F9">
              <w:rPr>
                <w:rFonts w:asciiTheme="minorHAnsi" w:hAnsiTheme="minorHAnsi" w:cstheme="minorHAnsi"/>
                <w:sz w:val="22"/>
                <w:szCs w:val="22"/>
              </w:rPr>
              <w:t>$125,000</w:t>
            </w:r>
          </w:p>
        </w:tc>
        <w:tc>
          <w:tcPr>
            <w:tcW w:w="1152" w:type="dxa"/>
          </w:tcPr>
          <w:p w14:paraId="05D67482"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$11.02</w:t>
            </w:r>
          </w:p>
        </w:tc>
        <w:tc>
          <w:tcPr>
            <w:tcW w:w="1153" w:type="dxa"/>
          </w:tcPr>
          <w:p w14:paraId="0F4048D1"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$21.06</w:t>
            </w:r>
          </w:p>
        </w:tc>
        <w:tc>
          <w:tcPr>
            <w:tcW w:w="1153" w:type="dxa"/>
          </w:tcPr>
          <w:p w14:paraId="30362623"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$41.57</w:t>
            </w:r>
          </w:p>
        </w:tc>
        <w:tc>
          <w:tcPr>
            <w:tcW w:w="1152" w:type="dxa"/>
          </w:tcPr>
          <w:p w14:paraId="2861C6A3"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$45.00</w:t>
            </w:r>
          </w:p>
        </w:tc>
        <w:tc>
          <w:tcPr>
            <w:tcW w:w="1153" w:type="dxa"/>
          </w:tcPr>
          <w:p w14:paraId="4A0E1E5A"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24.04</w:t>
            </w:r>
          </w:p>
        </w:tc>
        <w:tc>
          <w:tcPr>
            <w:tcW w:w="1153" w:type="dxa"/>
          </w:tcPr>
          <w:p w14:paraId="1AAF32F2" w14:textId="77777777" w:rsidR="00571DDF" w:rsidRPr="00B613F9" w:rsidRDefault="00571DDF" w:rsidP="00E3412D">
            <w:pPr>
              <w:spacing w:before="40" w:after="40"/>
              <w:ind w:left="-540" w:firstLine="540"/>
              <w:jc w:val="right"/>
              <w:rPr>
                <w:rFonts w:asciiTheme="minorHAnsi" w:hAnsiTheme="minorHAnsi" w:cstheme="minorHAnsi"/>
                <w:sz w:val="22"/>
                <w:szCs w:val="22"/>
              </w:rPr>
            </w:pPr>
            <w:r w:rsidRPr="00B613F9">
              <w:rPr>
                <w:rFonts w:asciiTheme="minorHAnsi" w:hAnsiTheme="minorHAnsi" w:cstheme="minorHAnsi"/>
                <w:sz w:val="22"/>
                <w:szCs w:val="22"/>
              </w:rPr>
              <w:t>$142.69</w:t>
            </w:r>
          </w:p>
        </w:tc>
      </w:tr>
    </w:tbl>
    <w:p w14:paraId="5D1E476F" w14:textId="77777777" w:rsidR="003B50F7" w:rsidRPr="00B613F9" w:rsidRDefault="003B50F7" w:rsidP="00247F24">
      <w:pPr>
        <w:jc w:val="both"/>
        <w:rPr>
          <w:rFonts w:cstheme="minorHAnsi"/>
        </w:rPr>
      </w:pPr>
    </w:p>
    <w:p w14:paraId="6DA75852" w14:textId="77777777" w:rsidR="00571DDF" w:rsidRPr="00B613F9" w:rsidRDefault="00571DDF" w:rsidP="00247F24">
      <w:pPr>
        <w:pStyle w:val="ListParagraph"/>
        <w:numPr>
          <w:ilvl w:val="0"/>
          <w:numId w:val="7"/>
        </w:numPr>
        <w:tabs>
          <w:tab w:val="center" w:pos="4395"/>
        </w:tabs>
        <w:spacing w:after="200" w:afterAutospacing="0" w:line="276" w:lineRule="auto"/>
        <w:ind w:left="1134" w:hanging="708"/>
        <w:contextualSpacing w:val="0"/>
        <w:rPr>
          <w:rFonts w:asciiTheme="minorHAnsi" w:hAnsiTheme="minorHAnsi" w:cstheme="minorHAnsi"/>
          <w:sz w:val="22"/>
        </w:rPr>
      </w:pPr>
      <w:r w:rsidRPr="00B613F9">
        <w:rPr>
          <w:rFonts w:asciiTheme="minorHAnsi" w:hAnsiTheme="minorHAnsi" w:cstheme="minorHAnsi"/>
          <w:sz w:val="22"/>
        </w:rPr>
        <w:t xml:space="preserve">Ross </w:t>
      </w:r>
      <w:proofErr w:type="spellStart"/>
      <w:r w:rsidRPr="00B613F9">
        <w:rPr>
          <w:rFonts w:asciiTheme="minorHAnsi" w:hAnsiTheme="minorHAnsi" w:cstheme="minorHAnsi"/>
          <w:sz w:val="22"/>
        </w:rPr>
        <w:t>Gittins</w:t>
      </w:r>
      <w:proofErr w:type="spellEnd"/>
      <w:r w:rsidRPr="00B613F9">
        <w:rPr>
          <w:rFonts w:asciiTheme="minorHAnsi" w:hAnsiTheme="minorHAnsi" w:cstheme="minorHAnsi"/>
          <w:sz w:val="22"/>
        </w:rPr>
        <w:t>, writing in the Sydney Morning Herald, observed after the 2007 Budget was delivered that “</w:t>
      </w:r>
      <w:r w:rsidRPr="00B613F9">
        <w:rPr>
          <w:rFonts w:asciiTheme="minorHAnsi" w:hAnsiTheme="minorHAnsi" w:cstheme="minorHAnsi"/>
          <w:i/>
          <w:sz w:val="22"/>
        </w:rPr>
        <w:t>the big winners are people….earning more than $85,000 a year….the relative losers are the great bulk of taxpayers who are on middle incomes between about $40,000 and $70,000 a year</w:t>
      </w:r>
      <w:r w:rsidRPr="00B613F9">
        <w:rPr>
          <w:rFonts w:asciiTheme="minorHAnsi" w:hAnsiTheme="minorHAnsi" w:cstheme="minorHAnsi"/>
          <w:sz w:val="22"/>
        </w:rPr>
        <w:t>”.</w:t>
      </w:r>
    </w:p>
    <w:p w14:paraId="47F42A50" w14:textId="77777777" w:rsidR="00B613F9" w:rsidRDefault="00571DDF" w:rsidP="00247F24">
      <w:pPr>
        <w:pStyle w:val="ListParagraph"/>
        <w:numPr>
          <w:ilvl w:val="0"/>
          <w:numId w:val="7"/>
        </w:numPr>
        <w:tabs>
          <w:tab w:val="center" w:pos="4395"/>
        </w:tabs>
        <w:spacing w:after="200" w:afterAutospacing="0" w:line="276" w:lineRule="auto"/>
        <w:ind w:left="1134" w:hanging="708"/>
        <w:contextualSpacing w:val="0"/>
        <w:rPr>
          <w:rFonts w:asciiTheme="minorHAnsi" w:hAnsiTheme="minorHAnsi" w:cstheme="minorHAnsi"/>
          <w:sz w:val="22"/>
        </w:rPr>
      </w:pPr>
      <w:r w:rsidRPr="00B613F9">
        <w:rPr>
          <w:rFonts w:asciiTheme="minorHAnsi" w:hAnsiTheme="minorHAnsi" w:cstheme="minorHAnsi"/>
          <w:sz w:val="22"/>
        </w:rPr>
        <w:t xml:space="preserve">During that period high income earners benefited from the lifting of the second top tax rate from $50,000 p.a. to $80,000 p.a. and the lifting of the top tax rate from $60,000 p.a. to $180,000 p.a.  They also benefited from the cutting of the second top rate from 42% to 40% and the cutting of the top rate from 47% to 45 %. </w:t>
      </w:r>
    </w:p>
    <w:p w14:paraId="7D0827E2" w14:textId="77777777" w:rsidR="0019103E" w:rsidRPr="00B613F9" w:rsidRDefault="00571DDF" w:rsidP="00247F24">
      <w:pPr>
        <w:pStyle w:val="ListParagraph"/>
        <w:numPr>
          <w:ilvl w:val="0"/>
          <w:numId w:val="7"/>
        </w:numPr>
        <w:tabs>
          <w:tab w:val="center" w:pos="4395"/>
        </w:tabs>
        <w:spacing w:after="200" w:afterAutospacing="0" w:line="276" w:lineRule="auto"/>
        <w:ind w:left="1134" w:hanging="708"/>
        <w:contextualSpacing w:val="0"/>
        <w:rPr>
          <w:rFonts w:asciiTheme="minorHAnsi" w:hAnsiTheme="minorHAnsi" w:cstheme="minorHAnsi"/>
          <w:sz w:val="22"/>
        </w:rPr>
      </w:pPr>
      <w:r w:rsidRPr="00B613F9">
        <w:rPr>
          <w:rFonts w:asciiTheme="minorHAnsi" w:hAnsiTheme="minorHAnsi" w:cstheme="minorHAnsi"/>
          <w:sz w:val="22"/>
        </w:rPr>
        <w:lastRenderedPageBreak/>
        <w:t xml:space="preserve"> </w:t>
      </w:r>
      <w:proofErr w:type="spellStart"/>
      <w:r w:rsidRPr="00B613F9">
        <w:rPr>
          <w:rFonts w:asciiTheme="minorHAnsi" w:hAnsiTheme="minorHAnsi" w:cstheme="minorHAnsi"/>
          <w:sz w:val="22"/>
        </w:rPr>
        <w:t>Gittins</w:t>
      </w:r>
      <w:proofErr w:type="spellEnd"/>
      <w:r w:rsidRPr="00B613F9">
        <w:rPr>
          <w:rFonts w:asciiTheme="minorHAnsi" w:hAnsiTheme="minorHAnsi" w:cstheme="minorHAnsi"/>
          <w:sz w:val="22"/>
        </w:rPr>
        <w:t xml:space="preserve"> pointed out that as a result those high income earners then paid between 2 cents and 4.5 cents less tax on every dollar than they paid in the year 2000.  The greatest savings went to those on an annual income of $180,000.</w:t>
      </w:r>
      <w:r w:rsidR="0019103E" w:rsidRPr="00B613F9">
        <w:rPr>
          <w:rFonts w:asciiTheme="minorHAnsi" w:hAnsiTheme="minorHAnsi" w:cstheme="minorHAnsi"/>
          <w:sz w:val="22"/>
        </w:rPr>
        <w:t xml:space="preserve">  </w:t>
      </w:r>
    </w:p>
    <w:p w14:paraId="3CEF0DBA" w14:textId="77777777" w:rsidR="00571DDF" w:rsidRPr="00B613F9" w:rsidRDefault="0019103E" w:rsidP="00247F24">
      <w:pPr>
        <w:pStyle w:val="ListParagraph"/>
        <w:numPr>
          <w:ilvl w:val="0"/>
          <w:numId w:val="7"/>
        </w:numPr>
        <w:tabs>
          <w:tab w:val="center" w:pos="4395"/>
        </w:tabs>
        <w:spacing w:after="200" w:afterAutospacing="0" w:line="276" w:lineRule="auto"/>
        <w:ind w:left="1134" w:hanging="708"/>
        <w:contextualSpacing w:val="0"/>
        <w:rPr>
          <w:rFonts w:asciiTheme="minorHAnsi" w:hAnsiTheme="minorHAnsi" w:cstheme="minorHAnsi"/>
          <w:sz w:val="22"/>
        </w:rPr>
      </w:pPr>
      <w:r w:rsidRPr="00B613F9">
        <w:rPr>
          <w:rFonts w:asciiTheme="minorHAnsi" w:hAnsiTheme="minorHAnsi" w:cstheme="minorHAnsi"/>
          <w:sz w:val="22"/>
        </w:rPr>
        <w:t>Over time the top marginal tax rate has dropped from 65 cents in the dollar to 45 cents.</w:t>
      </w:r>
    </w:p>
    <w:p w14:paraId="39EE5F61" w14:textId="77777777" w:rsidR="00814581" w:rsidRPr="00B613F9" w:rsidRDefault="00814581" w:rsidP="00247F24">
      <w:pPr>
        <w:pStyle w:val="ListParagraph"/>
        <w:numPr>
          <w:ilvl w:val="0"/>
          <w:numId w:val="7"/>
        </w:numPr>
        <w:tabs>
          <w:tab w:val="center" w:pos="4395"/>
        </w:tabs>
        <w:spacing w:after="200" w:afterAutospacing="0" w:line="276" w:lineRule="auto"/>
        <w:ind w:left="1134" w:hanging="708"/>
        <w:contextualSpacing w:val="0"/>
        <w:rPr>
          <w:rFonts w:asciiTheme="minorHAnsi" w:hAnsiTheme="minorHAnsi" w:cstheme="minorHAnsi"/>
          <w:sz w:val="22"/>
        </w:rPr>
      </w:pPr>
      <w:r w:rsidRPr="00B613F9">
        <w:rPr>
          <w:rFonts w:asciiTheme="minorHAnsi" w:hAnsiTheme="minorHAnsi" w:cstheme="minorHAnsi"/>
          <w:sz w:val="22"/>
        </w:rPr>
        <w:t>On the other hand the bottom tax rate has risen from 15 to 19 per cent.</w:t>
      </w:r>
    </w:p>
    <w:p w14:paraId="08CDD8AB" w14:textId="77777777" w:rsidR="00571DDF" w:rsidRPr="00B613F9" w:rsidRDefault="00571DDF" w:rsidP="00247F24">
      <w:pPr>
        <w:pStyle w:val="ListParagraph"/>
        <w:numPr>
          <w:ilvl w:val="0"/>
          <w:numId w:val="7"/>
        </w:numPr>
        <w:tabs>
          <w:tab w:val="center" w:pos="4395"/>
        </w:tabs>
        <w:spacing w:after="200" w:afterAutospacing="0" w:line="276" w:lineRule="auto"/>
        <w:ind w:left="1134" w:hanging="708"/>
        <w:contextualSpacing w:val="0"/>
        <w:rPr>
          <w:rFonts w:asciiTheme="minorHAnsi" w:hAnsiTheme="minorHAnsi" w:cstheme="minorHAnsi"/>
          <w:sz w:val="22"/>
        </w:rPr>
      </w:pPr>
      <w:r w:rsidRPr="00B613F9">
        <w:rPr>
          <w:rFonts w:asciiTheme="minorHAnsi" w:hAnsiTheme="minorHAnsi" w:cstheme="minorHAnsi"/>
          <w:sz w:val="22"/>
        </w:rPr>
        <w:t>By comparison, in the same period middle income earners had overall tax savings of about 0.5 per dollar and no change on the 30% rate they paid on any increase in their earnings.</w:t>
      </w:r>
      <w:r w:rsidRPr="00B613F9">
        <w:rPr>
          <w:rStyle w:val="FootnoteReference"/>
          <w:rFonts w:asciiTheme="minorHAnsi" w:hAnsiTheme="minorHAnsi" w:cstheme="minorHAnsi"/>
          <w:sz w:val="22"/>
        </w:rPr>
        <w:footnoteReference w:id="3"/>
      </w:r>
    </w:p>
    <w:p w14:paraId="5BFDD616" w14:textId="77777777" w:rsidR="00571DDF" w:rsidRPr="00B613F9" w:rsidRDefault="00571DDF" w:rsidP="00247F24">
      <w:pPr>
        <w:pStyle w:val="ListParagraph"/>
        <w:numPr>
          <w:ilvl w:val="0"/>
          <w:numId w:val="7"/>
        </w:numPr>
        <w:tabs>
          <w:tab w:val="center" w:pos="4395"/>
        </w:tabs>
        <w:spacing w:after="200" w:afterAutospacing="0" w:line="276" w:lineRule="auto"/>
        <w:ind w:left="1134" w:hanging="708"/>
        <w:contextualSpacing w:val="0"/>
        <w:rPr>
          <w:rFonts w:asciiTheme="minorHAnsi" w:hAnsiTheme="minorHAnsi" w:cstheme="minorHAnsi"/>
          <w:sz w:val="22"/>
        </w:rPr>
      </w:pPr>
      <w:r w:rsidRPr="00B613F9">
        <w:rPr>
          <w:rFonts w:asciiTheme="minorHAnsi" w:hAnsiTheme="minorHAnsi" w:cstheme="minorHAnsi"/>
          <w:sz w:val="22"/>
        </w:rPr>
        <w:t>The tax cuts introduced by the Rudd Gillard government went some way towards restoring equity to the taxation system.</w:t>
      </w:r>
    </w:p>
    <w:p w14:paraId="340AEC26" w14:textId="77777777" w:rsidR="00571DDF" w:rsidRPr="00B613F9" w:rsidRDefault="00571DDF" w:rsidP="00247F24">
      <w:pPr>
        <w:pStyle w:val="ListParagraph"/>
        <w:numPr>
          <w:ilvl w:val="0"/>
          <w:numId w:val="7"/>
        </w:numPr>
        <w:tabs>
          <w:tab w:val="center" w:pos="4395"/>
        </w:tabs>
        <w:spacing w:after="200" w:afterAutospacing="0" w:line="276" w:lineRule="auto"/>
        <w:ind w:left="1134" w:hanging="708"/>
        <w:contextualSpacing w:val="0"/>
        <w:rPr>
          <w:rFonts w:asciiTheme="minorHAnsi" w:hAnsiTheme="minorHAnsi" w:cstheme="minorHAnsi"/>
          <w:sz w:val="22"/>
        </w:rPr>
      </w:pPr>
      <w:r w:rsidRPr="00B613F9">
        <w:rPr>
          <w:rFonts w:asciiTheme="minorHAnsi" w:hAnsiTheme="minorHAnsi" w:cstheme="minorHAnsi"/>
          <w:sz w:val="22"/>
        </w:rPr>
        <w:t>However the fundamental imbalances and inequities in the system remain.</w:t>
      </w:r>
    </w:p>
    <w:p w14:paraId="221245B3" w14:textId="77777777" w:rsidR="00571DDF" w:rsidRPr="00B613F9" w:rsidRDefault="00CE2B91" w:rsidP="00247F24">
      <w:pPr>
        <w:pStyle w:val="ListParagraph"/>
        <w:numPr>
          <w:ilvl w:val="0"/>
          <w:numId w:val="7"/>
        </w:numPr>
        <w:tabs>
          <w:tab w:val="center" w:pos="4395"/>
        </w:tabs>
        <w:spacing w:after="200" w:afterAutospacing="0" w:line="276" w:lineRule="auto"/>
        <w:ind w:left="1134" w:hanging="708"/>
        <w:contextualSpacing w:val="0"/>
        <w:rPr>
          <w:rFonts w:asciiTheme="minorHAnsi" w:hAnsiTheme="minorHAnsi" w:cstheme="minorHAnsi"/>
          <w:b/>
          <w:sz w:val="22"/>
        </w:rPr>
      </w:pPr>
      <w:r w:rsidRPr="00B613F9">
        <w:rPr>
          <w:rFonts w:asciiTheme="minorHAnsi" w:hAnsiTheme="minorHAnsi" w:cstheme="minorHAnsi"/>
          <w:b/>
          <w:sz w:val="22"/>
        </w:rPr>
        <w:t xml:space="preserve">Australia needs amore progressive taxation structure.  </w:t>
      </w:r>
      <w:r w:rsidR="00571DDF" w:rsidRPr="00B613F9">
        <w:rPr>
          <w:rFonts w:asciiTheme="minorHAnsi" w:hAnsiTheme="minorHAnsi" w:cstheme="minorHAnsi"/>
          <w:b/>
          <w:sz w:val="22"/>
        </w:rPr>
        <w:t xml:space="preserve">Tax rates for low and middle income earners should be </w:t>
      </w:r>
      <w:r w:rsidR="008142E8" w:rsidRPr="00B613F9">
        <w:rPr>
          <w:rFonts w:asciiTheme="minorHAnsi" w:hAnsiTheme="minorHAnsi" w:cstheme="minorHAnsi"/>
          <w:b/>
          <w:sz w:val="22"/>
        </w:rPr>
        <w:t>reduced</w:t>
      </w:r>
      <w:r w:rsidR="00994626" w:rsidRPr="00B613F9">
        <w:rPr>
          <w:rFonts w:asciiTheme="minorHAnsi" w:hAnsiTheme="minorHAnsi" w:cstheme="minorHAnsi"/>
          <w:b/>
          <w:sz w:val="22"/>
        </w:rPr>
        <w:t xml:space="preserve">.  </w:t>
      </w:r>
    </w:p>
    <w:p w14:paraId="320899FA" w14:textId="77777777" w:rsidR="008142E8" w:rsidRPr="00B613F9" w:rsidRDefault="00571DDF" w:rsidP="00247F24">
      <w:pPr>
        <w:pStyle w:val="ListParagraph"/>
        <w:numPr>
          <w:ilvl w:val="0"/>
          <w:numId w:val="7"/>
        </w:numPr>
        <w:tabs>
          <w:tab w:val="center" w:pos="4395"/>
        </w:tabs>
        <w:spacing w:after="200" w:afterAutospacing="0" w:line="276" w:lineRule="auto"/>
        <w:ind w:left="1134" w:hanging="708"/>
        <w:contextualSpacing w:val="0"/>
        <w:rPr>
          <w:rFonts w:asciiTheme="minorHAnsi" w:hAnsiTheme="minorHAnsi" w:cstheme="minorHAnsi"/>
          <w:sz w:val="22"/>
        </w:rPr>
      </w:pPr>
      <w:r w:rsidRPr="00B613F9">
        <w:rPr>
          <w:rFonts w:asciiTheme="minorHAnsi" w:hAnsiTheme="minorHAnsi" w:cstheme="minorHAnsi"/>
          <w:sz w:val="22"/>
        </w:rPr>
        <w:t xml:space="preserve">The absence of tax indexation has led, over the years, to low income earners moving into brackets where they are paying a greater share of their income in tax than previously.  </w:t>
      </w:r>
    </w:p>
    <w:p w14:paraId="0F07DD45" w14:textId="77777777" w:rsidR="00101C04" w:rsidRPr="00B613F9" w:rsidRDefault="00101C04" w:rsidP="00247F24">
      <w:pPr>
        <w:pStyle w:val="ListParagraph"/>
        <w:numPr>
          <w:ilvl w:val="0"/>
          <w:numId w:val="7"/>
        </w:numPr>
        <w:tabs>
          <w:tab w:val="center" w:pos="4395"/>
        </w:tabs>
        <w:spacing w:after="200" w:afterAutospacing="0" w:line="276" w:lineRule="auto"/>
        <w:ind w:left="1134" w:hanging="708"/>
        <w:contextualSpacing w:val="0"/>
        <w:rPr>
          <w:rFonts w:asciiTheme="minorHAnsi" w:hAnsiTheme="minorHAnsi" w:cstheme="minorHAnsi"/>
          <w:sz w:val="22"/>
        </w:rPr>
      </w:pPr>
      <w:r w:rsidRPr="00B613F9">
        <w:rPr>
          <w:rFonts w:asciiTheme="minorHAnsi" w:hAnsiTheme="minorHAnsi" w:cstheme="minorHAnsi"/>
          <w:sz w:val="22"/>
        </w:rPr>
        <w:t>“</w:t>
      </w:r>
      <w:proofErr w:type="spellStart"/>
      <w:r w:rsidRPr="00B613F9">
        <w:rPr>
          <w:rFonts w:asciiTheme="minorHAnsi" w:hAnsiTheme="minorHAnsi" w:cstheme="minorHAnsi"/>
          <w:sz w:val="22"/>
        </w:rPr>
        <w:t>Re</w:t>
      </w:r>
      <w:proofErr w:type="gramStart"/>
      <w:r w:rsidRPr="00B613F9">
        <w:rPr>
          <w:rFonts w:asciiTheme="minorHAnsi" w:hAnsiTheme="minorHAnsi" w:cstheme="minorHAnsi"/>
          <w:sz w:val="22"/>
        </w:rPr>
        <w:t>:think</w:t>
      </w:r>
      <w:proofErr w:type="spellEnd"/>
      <w:proofErr w:type="gramEnd"/>
      <w:r w:rsidRPr="00B613F9">
        <w:rPr>
          <w:rFonts w:asciiTheme="minorHAnsi" w:hAnsiTheme="minorHAnsi" w:cstheme="minorHAnsi"/>
          <w:sz w:val="22"/>
        </w:rPr>
        <w:t>” has highlighted the impact of “Bracket creep” and acknowledged that this impacts most harshly on low and middle income earners.</w:t>
      </w:r>
      <w:r w:rsidR="00DF3380" w:rsidRPr="00B613F9">
        <w:rPr>
          <w:rStyle w:val="FootnoteReference"/>
          <w:rFonts w:asciiTheme="minorHAnsi" w:hAnsiTheme="minorHAnsi" w:cstheme="minorHAnsi"/>
          <w:sz w:val="22"/>
        </w:rPr>
        <w:footnoteReference w:id="4"/>
      </w:r>
    </w:p>
    <w:p w14:paraId="3BC0648D" w14:textId="77777777" w:rsidR="00792C1D" w:rsidRPr="00B613F9" w:rsidRDefault="00101C04"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szCs w:val="22"/>
        </w:rPr>
      </w:pPr>
      <w:r w:rsidRPr="00B613F9">
        <w:rPr>
          <w:rFonts w:asciiTheme="minorHAnsi" w:hAnsiTheme="minorHAnsi" w:cstheme="minorHAnsi"/>
          <w:szCs w:val="22"/>
        </w:rPr>
        <w:t xml:space="preserve">The structure of the tax system should be re-visited to provide greater equity to low income families. </w:t>
      </w:r>
    </w:p>
    <w:p w14:paraId="5EDE4FCF" w14:textId="77777777" w:rsidR="00792C1D" w:rsidRPr="00B613F9" w:rsidRDefault="008511BA"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b/>
          <w:szCs w:val="22"/>
        </w:rPr>
      </w:pPr>
      <w:r w:rsidRPr="00B613F9">
        <w:rPr>
          <w:rFonts w:asciiTheme="minorHAnsi" w:hAnsiTheme="minorHAnsi" w:cstheme="minorHAnsi"/>
          <w:b/>
          <w:szCs w:val="22"/>
        </w:rPr>
        <w:t>There is a need to ensure i</w:t>
      </w:r>
      <w:r w:rsidR="00792C1D" w:rsidRPr="00B613F9">
        <w:rPr>
          <w:rFonts w:asciiTheme="minorHAnsi" w:hAnsiTheme="minorHAnsi" w:cstheme="minorHAnsi"/>
          <w:b/>
          <w:szCs w:val="22"/>
        </w:rPr>
        <w:t>ndexation of thresholds</w:t>
      </w:r>
      <w:r w:rsidR="00B613F9">
        <w:rPr>
          <w:rFonts w:asciiTheme="minorHAnsi" w:hAnsiTheme="minorHAnsi" w:cstheme="minorHAnsi"/>
          <w:b/>
          <w:szCs w:val="22"/>
        </w:rPr>
        <w:t>, at least at the lower threshold levels</w:t>
      </w:r>
      <w:r w:rsidR="00792C1D" w:rsidRPr="00B613F9">
        <w:rPr>
          <w:rFonts w:asciiTheme="minorHAnsi" w:hAnsiTheme="minorHAnsi" w:cstheme="minorHAnsi"/>
          <w:b/>
          <w:szCs w:val="22"/>
        </w:rPr>
        <w:t>.</w:t>
      </w:r>
    </w:p>
    <w:p w14:paraId="11A8A932" w14:textId="77777777" w:rsidR="00792C1D" w:rsidRPr="00B613F9" w:rsidRDefault="00792C1D"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szCs w:val="22"/>
        </w:rPr>
      </w:pPr>
      <w:r w:rsidRPr="00B613F9">
        <w:rPr>
          <w:rFonts w:asciiTheme="minorHAnsi" w:hAnsiTheme="minorHAnsi" w:cstheme="minorHAnsi"/>
          <w:szCs w:val="22"/>
        </w:rPr>
        <w:t xml:space="preserve">The problem of bracket creep is compounded by the impact it has upon the effective marginal tax rates.  The interplay of the tax system and then social welfare system often acts as a double whammy to working parents who not only find themselves moving into higher tax brackets over time but also find that while their relative income remains static or even declines they are also losing social welfare entitlements because of the impact of the threshold and taper rates which apply to such payments.  Where more than one welfare payment is impacted this stacking of income tests leaves families significantly disadvantaged. </w:t>
      </w:r>
    </w:p>
    <w:p w14:paraId="0E6F9359" w14:textId="77777777" w:rsidR="00792C1D" w:rsidRPr="00B613F9" w:rsidRDefault="00792C1D"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szCs w:val="22"/>
        </w:rPr>
      </w:pPr>
      <w:r w:rsidRPr="00B613F9">
        <w:rPr>
          <w:rFonts w:asciiTheme="minorHAnsi" w:hAnsiTheme="minorHAnsi" w:cstheme="minorHAnsi"/>
          <w:szCs w:val="22"/>
        </w:rPr>
        <w:t xml:space="preserve">The impact of effective marginal tax rates acts as a strong disincentive for people, especially mothers as the second income earners, to participate in the paid workforce. </w:t>
      </w:r>
    </w:p>
    <w:p w14:paraId="697468F0" w14:textId="77777777" w:rsidR="008142E8" w:rsidRPr="00B613F9" w:rsidRDefault="008142E8" w:rsidP="00247F24">
      <w:pPr>
        <w:pStyle w:val="ListParagraph"/>
        <w:numPr>
          <w:ilvl w:val="0"/>
          <w:numId w:val="7"/>
        </w:numPr>
        <w:tabs>
          <w:tab w:val="center" w:pos="4395"/>
        </w:tabs>
        <w:spacing w:after="200" w:afterAutospacing="0" w:line="276" w:lineRule="auto"/>
        <w:ind w:left="1134" w:hanging="708"/>
        <w:contextualSpacing w:val="0"/>
        <w:rPr>
          <w:rFonts w:asciiTheme="minorHAnsi" w:hAnsiTheme="minorHAnsi" w:cstheme="minorHAnsi"/>
          <w:sz w:val="22"/>
        </w:rPr>
      </w:pPr>
      <w:r w:rsidRPr="00B613F9">
        <w:rPr>
          <w:rFonts w:asciiTheme="minorHAnsi" w:hAnsiTheme="minorHAnsi" w:cstheme="minorHAnsi"/>
          <w:sz w:val="22"/>
        </w:rPr>
        <w:t>Low income families are very reliant upon adequate government payments to make ends meet.</w:t>
      </w:r>
      <w:r w:rsidRPr="00B613F9">
        <w:rPr>
          <w:rStyle w:val="FootnoteReference"/>
          <w:rFonts w:asciiTheme="minorHAnsi" w:hAnsiTheme="minorHAnsi" w:cstheme="minorHAnsi"/>
          <w:sz w:val="22"/>
        </w:rPr>
        <w:footnoteReference w:id="5"/>
      </w:r>
      <w:r w:rsidRPr="00B613F9">
        <w:rPr>
          <w:rFonts w:asciiTheme="minorHAnsi" w:hAnsiTheme="minorHAnsi" w:cstheme="minorHAnsi"/>
          <w:sz w:val="22"/>
        </w:rPr>
        <w:t xml:space="preserve"> </w:t>
      </w:r>
    </w:p>
    <w:p w14:paraId="31EAB474" w14:textId="77777777" w:rsidR="008142E8" w:rsidRPr="00B613F9" w:rsidRDefault="008142E8" w:rsidP="00247F24">
      <w:pPr>
        <w:pStyle w:val="Style1"/>
        <w:numPr>
          <w:ilvl w:val="0"/>
          <w:numId w:val="7"/>
        </w:numPr>
        <w:tabs>
          <w:tab w:val="center" w:pos="4395"/>
        </w:tabs>
        <w:spacing w:before="0" w:after="200" w:line="276" w:lineRule="auto"/>
        <w:ind w:left="1134" w:hanging="708"/>
        <w:outlineLvl w:val="9"/>
        <w:rPr>
          <w:rFonts w:asciiTheme="minorHAnsi" w:hAnsiTheme="minorHAnsi" w:cstheme="minorHAnsi"/>
          <w:szCs w:val="22"/>
          <w:lang w:val="en-AU"/>
        </w:rPr>
      </w:pPr>
      <w:r w:rsidRPr="00B613F9">
        <w:rPr>
          <w:rFonts w:asciiTheme="minorHAnsi" w:hAnsiTheme="minorHAnsi" w:cstheme="minorHAnsi"/>
          <w:i/>
          <w:szCs w:val="22"/>
          <w:lang w:val="en-AU"/>
        </w:rPr>
        <w:lastRenderedPageBreak/>
        <w:t>"Social security is very important for the well-being of workers, their families and the entire community.  It is a basic right and a fundamental means for creating social cohesion, thereby helping to ensure social peace and social inclusion.  It is an indispensable part of government social policy and an important tool to prevent and alleviate poverty.  It can, through national solidarity and fair burden sharing, contribute to human dignity, equity and social justice.</w:t>
      </w:r>
      <w:r w:rsidRPr="00B613F9">
        <w:rPr>
          <w:rFonts w:asciiTheme="minorHAnsi" w:hAnsiTheme="minorHAnsi" w:cstheme="minorHAnsi"/>
          <w:szCs w:val="22"/>
          <w:lang w:val="en-AU"/>
        </w:rPr>
        <w:t xml:space="preserve">" </w:t>
      </w:r>
      <w:r w:rsidRPr="00B613F9">
        <w:rPr>
          <w:rStyle w:val="FootnoteReference"/>
          <w:rFonts w:asciiTheme="minorHAnsi" w:hAnsiTheme="minorHAnsi" w:cstheme="minorHAnsi"/>
          <w:szCs w:val="22"/>
          <w:lang w:val="en-AU"/>
        </w:rPr>
        <w:footnoteReference w:id="6"/>
      </w:r>
      <w:r w:rsidRPr="00B613F9">
        <w:rPr>
          <w:rFonts w:asciiTheme="minorHAnsi" w:hAnsiTheme="minorHAnsi" w:cstheme="minorHAnsi"/>
          <w:szCs w:val="22"/>
          <w:lang w:val="en-AU"/>
        </w:rPr>
        <w:t xml:space="preserve"> </w:t>
      </w:r>
    </w:p>
    <w:p w14:paraId="141983E2" w14:textId="77777777" w:rsidR="008142E8" w:rsidRPr="00B613F9" w:rsidRDefault="008142E8" w:rsidP="00247F24">
      <w:pPr>
        <w:pStyle w:val="ListParagraph"/>
        <w:numPr>
          <w:ilvl w:val="0"/>
          <w:numId w:val="7"/>
        </w:numPr>
        <w:tabs>
          <w:tab w:val="center" w:pos="4395"/>
        </w:tabs>
        <w:spacing w:after="200" w:afterAutospacing="0" w:line="276" w:lineRule="auto"/>
        <w:ind w:left="1134" w:hanging="708"/>
        <w:contextualSpacing w:val="0"/>
        <w:rPr>
          <w:rFonts w:asciiTheme="minorHAnsi" w:hAnsiTheme="minorHAnsi" w:cstheme="minorHAnsi"/>
          <w:sz w:val="22"/>
        </w:rPr>
      </w:pPr>
      <w:r w:rsidRPr="00B613F9">
        <w:rPr>
          <w:rFonts w:asciiTheme="minorHAnsi" w:hAnsiTheme="minorHAnsi" w:cstheme="minorHAnsi"/>
          <w:sz w:val="22"/>
        </w:rPr>
        <w:t xml:space="preserve">Without these payments many more families would be in poverty and many low income working families would be better off relying totally on social security.  Public education and health services also play a hugely important role in income redistribution. </w:t>
      </w:r>
    </w:p>
    <w:p w14:paraId="31E5425B" w14:textId="77777777" w:rsidR="008142E8" w:rsidRPr="00B613F9" w:rsidRDefault="008142E8" w:rsidP="00247F24">
      <w:pPr>
        <w:pStyle w:val="BodyText2"/>
        <w:numPr>
          <w:ilvl w:val="0"/>
          <w:numId w:val="7"/>
        </w:numPr>
        <w:tabs>
          <w:tab w:val="center" w:pos="4395"/>
        </w:tabs>
        <w:spacing w:after="200" w:line="276" w:lineRule="auto"/>
        <w:ind w:left="1134" w:hanging="708"/>
        <w:rPr>
          <w:rFonts w:asciiTheme="minorHAnsi" w:hAnsiTheme="minorHAnsi" w:cstheme="minorHAnsi"/>
          <w:b w:val="0"/>
          <w:szCs w:val="22"/>
          <w:lang w:val="en-AU"/>
        </w:rPr>
      </w:pPr>
      <w:r w:rsidRPr="00B613F9">
        <w:rPr>
          <w:rFonts w:asciiTheme="minorHAnsi" w:hAnsiTheme="minorHAnsi" w:cstheme="minorHAnsi"/>
          <w:b w:val="0"/>
          <w:szCs w:val="22"/>
          <w:lang w:val="en-AU"/>
        </w:rPr>
        <w:t>For SDA members and their families, an effective social welfare or social security system is critical.  Income support payments from government often make the difference between whether low income families can enjoy a basic but reasonable standard of living or otherwise.</w:t>
      </w:r>
    </w:p>
    <w:p w14:paraId="432F5AF3" w14:textId="77777777" w:rsidR="008142E8" w:rsidRPr="00B613F9" w:rsidRDefault="008142E8" w:rsidP="00247F24">
      <w:pPr>
        <w:pStyle w:val="Style1"/>
        <w:numPr>
          <w:ilvl w:val="0"/>
          <w:numId w:val="7"/>
        </w:numPr>
        <w:tabs>
          <w:tab w:val="center" w:pos="4395"/>
        </w:tabs>
        <w:spacing w:before="0" w:after="200" w:line="276" w:lineRule="auto"/>
        <w:ind w:left="1134" w:hanging="708"/>
        <w:outlineLvl w:val="9"/>
        <w:rPr>
          <w:rFonts w:asciiTheme="minorHAnsi" w:hAnsiTheme="minorHAnsi" w:cstheme="minorHAnsi"/>
          <w:szCs w:val="22"/>
          <w:lang w:val="en-AU"/>
        </w:rPr>
      </w:pPr>
      <w:r w:rsidRPr="00B613F9">
        <w:rPr>
          <w:rFonts w:asciiTheme="minorHAnsi" w:hAnsiTheme="minorHAnsi" w:cstheme="minorHAnsi"/>
          <w:szCs w:val="22"/>
          <w:lang w:val="en-AU"/>
        </w:rPr>
        <w:t>The social security system should not prevent or discourage an individual from entering, re-entering or remaining in the workforce or from taking additional part-time work.  The current system, in some circumstances, does exactly this.</w:t>
      </w:r>
    </w:p>
    <w:p w14:paraId="0AC0F778" w14:textId="77777777" w:rsidR="00921D21" w:rsidRPr="00B613F9" w:rsidRDefault="00921D21"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b/>
          <w:szCs w:val="22"/>
        </w:rPr>
      </w:pPr>
      <w:r w:rsidRPr="00B613F9">
        <w:rPr>
          <w:rFonts w:asciiTheme="minorHAnsi" w:hAnsiTheme="minorHAnsi" w:cstheme="minorHAnsi"/>
          <w:b/>
          <w:szCs w:val="22"/>
        </w:rPr>
        <w:t>There is a strong case to argue that poverty traps caused by the "stacking" of income tests should be removed</w:t>
      </w:r>
      <w:r w:rsidR="008511BA" w:rsidRPr="00B613F9">
        <w:rPr>
          <w:rFonts w:asciiTheme="minorHAnsi" w:hAnsiTheme="minorHAnsi" w:cstheme="minorHAnsi"/>
          <w:b/>
          <w:szCs w:val="22"/>
        </w:rPr>
        <w:t xml:space="preserve"> or at least seriously reduced</w:t>
      </w:r>
      <w:r w:rsidRPr="00B613F9">
        <w:rPr>
          <w:rFonts w:asciiTheme="minorHAnsi" w:hAnsiTheme="minorHAnsi" w:cstheme="minorHAnsi"/>
          <w:b/>
          <w:szCs w:val="22"/>
        </w:rPr>
        <w:t xml:space="preserve">.  </w:t>
      </w:r>
    </w:p>
    <w:p w14:paraId="27E26C3F" w14:textId="77777777" w:rsidR="009E2C84" w:rsidRPr="00B613F9" w:rsidRDefault="009E2C84" w:rsidP="00247F24">
      <w:pPr>
        <w:pStyle w:val="Style1"/>
        <w:numPr>
          <w:ilvl w:val="0"/>
          <w:numId w:val="7"/>
        </w:numPr>
        <w:tabs>
          <w:tab w:val="center" w:pos="4395"/>
        </w:tabs>
        <w:spacing w:before="0" w:after="200" w:line="276" w:lineRule="auto"/>
        <w:ind w:left="1134" w:hanging="708"/>
        <w:outlineLvl w:val="9"/>
        <w:rPr>
          <w:rFonts w:asciiTheme="minorHAnsi" w:hAnsiTheme="minorHAnsi" w:cstheme="minorHAnsi"/>
          <w:szCs w:val="22"/>
          <w:lang w:val="en-AU"/>
        </w:rPr>
      </w:pPr>
      <w:r w:rsidRPr="00B613F9">
        <w:rPr>
          <w:rFonts w:asciiTheme="minorHAnsi" w:hAnsiTheme="minorHAnsi" w:cstheme="minorHAnsi"/>
          <w:szCs w:val="22"/>
          <w:lang w:val="en-AU"/>
        </w:rPr>
        <w:t xml:space="preserve">Inequality in wealth within the Australian community is substantial and increasing.  Australia’s richest households are acquiring an ever greater share of the nation’s wealth and the gap between the haves and the have-nots continues to grow. </w:t>
      </w:r>
    </w:p>
    <w:p w14:paraId="345F6276" w14:textId="77777777" w:rsidR="00DF3865" w:rsidRPr="00B613F9" w:rsidRDefault="00DF3865" w:rsidP="00247F24">
      <w:pPr>
        <w:pStyle w:val="Style1"/>
        <w:numPr>
          <w:ilvl w:val="0"/>
          <w:numId w:val="7"/>
        </w:numPr>
        <w:tabs>
          <w:tab w:val="center" w:pos="4395"/>
        </w:tabs>
        <w:spacing w:before="0" w:after="200" w:line="276" w:lineRule="auto"/>
        <w:ind w:left="1134" w:hanging="708"/>
        <w:outlineLvl w:val="9"/>
        <w:rPr>
          <w:rFonts w:asciiTheme="minorHAnsi" w:hAnsiTheme="minorHAnsi" w:cstheme="minorHAnsi"/>
          <w:szCs w:val="22"/>
          <w:lang w:val="en-AU"/>
        </w:rPr>
      </w:pPr>
      <w:r w:rsidRPr="00B613F9">
        <w:rPr>
          <w:rFonts w:asciiTheme="minorHAnsi" w:hAnsiTheme="minorHAnsi" w:cstheme="minorHAnsi"/>
          <w:szCs w:val="22"/>
          <w:lang w:val="en-AU"/>
        </w:rPr>
        <w:t>Research shows that the top 20% of people have five times more income    than the bottom 20% of the population and seven times the wealth.  The richest seven people in Australia hold more wealth than the 1.73 million households in the bottom 20%.</w:t>
      </w:r>
      <w:r w:rsidRPr="00B613F9">
        <w:rPr>
          <w:rStyle w:val="FootnoteReference"/>
          <w:rFonts w:asciiTheme="minorHAnsi" w:hAnsiTheme="minorHAnsi" w:cstheme="minorHAnsi"/>
          <w:szCs w:val="22"/>
          <w:lang w:val="en-AU"/>
        </w:rPr>
        <w:footnoteReference w:id="7"/>
      </w:r>
    </w:p>
    <w:p w14:paraId="4A511DD6" w14:textId="77777777" w:rsidR="009E2C84" w:rsidRPr="00B613F9" w:rsidRDefault="009E2C84"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szCs w:val="22"/>
        </w:rPr>
      </w:pPr>
      <w:r w:rsidRPr="00B613F9">
        <w:rPr>
          <w:rFonts w:asciiTheme="minorHAnsi" w:hAnsiTheme="minorHAnsi" w:cstheme="minorHAnsi"/>
          <w:szCs w:val="22"/>
        </w:rPr>
        <w:t>A wealth tax would reduce the wealth gap and help fund the establishment of greater vertical and horizontal equity in the system.</w:t>
      </w:r>
    </w:p>
    <w:p w14:paraId="24F273D5" w14:textId="77777777" w:rsidR="00571DDF" w:rsidRPr="00B613F9" w:rsidRDefault="00571DDF"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b/>
          <w:szCs w:val="22"/>
        </w:rPr>
      </w:pPr>
      <w:r w:rsidRPr="00B613F9">
        <w:rPr>
          <w:rFonts w:asciiTheme="minorHAnsi" w:hAnsiTheme="minorHAnsi" w:cstheme="minorHAnsi"/>
          <w:b/>
          <w:szCs w:val="22"/>
        </w:rPr>
        <w:t xml:space="preserve">The imposition of a wealth tax on those with substantial wealth is justified on equity grounds.  </w:t>
      </w:r>
    </w:p>
    <w:p w14:paraId="04528B19" w14:textId="77777777" w:rsidR="008142E8" w:rsidRPr="00B613F9" w:rsidRDefault="008142E8" w:rsidP="00247F24">
      <w:pPr>
        <w:pStyle w:val="ListParagraph"/>
        <w:numPr>
          <w:ilvl w:val="0"/>
          <w:numId w:val="7"/>
        </w:numPr>
        <w:tabs>
          <w:tab w:val="center" w:pos="4395"/>
        </w:tabs>
        <w:spacing w:after="200" w:afterAutospacing="0" w:line="276" w:lineRule="auto"/>
        <w:ind w:left="1134" w:hanging="708"/>
        <w:contextualSpacing w:val="0"/>
        <w:rPr>
          <w:rFonts w:asciiTheme="minorHAnsi" w:eastAsia="Times New Roman" w:hAnsiTheme="minorHAnsi" w:cstheme="minorHAnsi"/>
          <w:sz w:val="22"/>
          <w:lang w:val="en-US"/>
        </w:rPr>
      </w:pPr>
      <w:r w:rsidRPr="00B613F9">
        <w:rPr>
          <w:rFonts w:asciiTheme="minorHAnsi" w:hAnsiTheme="minorHAnsi" w:cstheme="minorHAnsi"/>
          <w:sz w:val="22"/>
        </w:rPr>
        <w:br w:type="page"/>
      </w:r>
    </w:p>
    <w:p w14:paraId="6DAEF3F4" w14:textId="77777777" w:rsidR="00DA7CC6" w:rsidRDefault="008142E8" w:rsidP="00247F24">
      <w:pPr>
        <w:pStyle w:val="Header"/>
        <w:spacing w:after="200" w:line="276" w:lineRule="auto"/>
        <w:jc w:val="both"/>
        <w:rPr>
          <w:rFonts w:asciiTheme="minorHAnsi" w:hAnsiTheme="minorHAnsi" w:cstheme="minorHAnsi"/>
          <w:sz w:val="28"/>
          <w:szCs w:val="28"/>
          <w:u w:val="single"/>
        </w:rPr>
      </w:pPr>
      <w:r w:rsidRPr="0081072C">
        <w:rPr>
          <w:rFonts w:asciiTheme="minorHAnsi" w:hAnsiTheme="minorHAnsi" w:cstheme="minorHAnsi"/>
          <w:sz w:val="28"/>
          <w:szCs w:val="28"/>
          <w:u w:val="single"/>
        </w:rPr>
        <w:lastRenderedPageBreak/>
        <w:t xml:space="preserve">Savings and Revenue </w:t>
      </w:r>
    </w:p>
    <w:p w14:paraId="6BD1C87B" w14:textId="77777777" w:rsidR="0081072C" w:rsidRPr="0081072C" w:rsidRDefault="0081072C" w:rsidP="00247F24">
      <w:pPr>
        <w:pStyle w:val="Header"/>
        <w:spacing w:after="200" w:line="276" w:lineRule="auto"/>
        <w:jc w:val="both"/>
        <w:rPr>
          <w:rFonts w:asciiTheme="minorHAnsi" w:hAnsiTheme="minorHAnsi" w:cstheme="minorHAnsi"/>
          <w:sz w:val="28"/>
          <w:szCs w:val="28"/>
          <w:u w:val="single"/>
        </w:rPr>
      </w:pPr>
    </w:p>
    <w:p w14:paraId="6A0505A6" w14:textId="77777777" w:rsidR="00BC1ABE" w:rsidRPr="00B613F9" w:rsidRDefault="00CE2B91" w:rsidP="00247F24">
      <w:pPr>
        <w:pStyle w:val="ListParagraph"/>
        <w:numPr>
          <w:ilvl w:val="0"/>
          <w:numId w:val="7"/>
        </w:numPr>
        <w:tabs>
          <w:tab w:val="center" w:pos="4395"/>
        </w:tabs>
        <w:spacing w:after="200" w:afterAutospacing="0" w:line="276" w:lineRule="auto"/>
        <w:ind w:left="1134" w:hanging="708"/>
        <w:contextualSpacing w:val="0"/>
        <w:rPr>
          <w:rFonts w:asciiTheme="minorHAnsi" w:hAnsiTheme="minorHAnsi" w:cstheme="minorHAnsi"/>
          <w:b/>
          <w:sz w:val="22"/>
        </w:rPr>
      </w:pPr>
      <w:r w:rsidRPr="00B613F9">
        <w:rPr>
          <w:rFonts w:asciiTheme="minorHAnsi" w:hAnsiTheme="minorHAnsi" w:cstheme="minorHAnsi"/>
          <w:b/>
          <w:sz w:val="22"/>
        </w:rPr>
        <w:t xml:space="preserve">All </w:t>
      </w:r>
      <w:r w:rsidR="00DA7CC6" w:rsidRPr="00B613F9">
        <w:rPr>
          <w:rFonts w:asciiTheme="minorHAnsi" w:hAnsiTheme="minorHAnsi" w:cstheme="minorHAnsi"/>
          <w:b/>
          <w:sz w:val="22"/>
        </w:rPr>
        <w:t>Australia</w:t>
      </w:r>
      <w:r w:rsidRPr="00B613F9">
        <w:rPr>
          <w:rFonts w:asciiTheme="minorHAnsi" w:hAnsiTheme="minorHAnsi" w:cstheme="minorHAnsi"/>
          <w:b/>
          <w:sz w:val="22"/>
        </w:rPr>
        <w:t xml:space="preserve">ns and all companies should pay their fair share of tax.  </w:t>
      </w:r>
    </w:p>
    <w:p w14:paraId="5DB6B1F4" w14:textId="77777777" w:rsidR="00DA7CC6" w:rsidRPr="00B613F9" w:rsidRDefault="00CE2B91" w:rsidP="00247F24">
      <w:pPr>
        <w:pStyle w:val="ListParagraph"/>
        <w:numPr>
          <w:ilvl w:val="0"/>
          <w:numId w:val="7"/>
        </w:numPr>
        <w:tabs>
          <w:tab w:val="center" w:pos="4395"/>
        </w:tabs>
        <w:spacing w:after="200" w:afterAutospacing="0" w:line="276" w:lineRule="auto"/>
        <w:ind w:left="1134" w:hanging="708"/>
        <w:contextualSpacing w:val="0"/>
        <w:rPr>
          <w:rFonts w:asciiTheme="minorHAnsi" w:hAnsiTheme="minorHAnsi" w:cstheme="minorHAnsi"/>
          <w:b/>
          <w:sz w:val="22"/>
        </w:rPr>
      </w:pPr>
      <w:r w:rsidRPr="00B613F9">
        <w:rPr>
          <w:rFonts w:asciiTheme="minorHAnsi" w:hAnsiTheme="minorHAnsi" w:cstheme="minorHAnsi"/>
          <w:b/>
          <w:sz w:val="22"/>
        </w:rPr>
        <w:t>Artificial contrivances which enable individuals and or corporations to avoid this fundamental obligation should be removed immediately</w:t>
      </w:r>
      <w:r w:rsidR="00DA7CC6" w:rsidRPr="00B613F9">
        <w:rPr>
          <w:rFonts w:asciiTheme="minorHAnsi" w:hAnsiTheme="minorHAnsi" w:cstheme="minorHAnsi"/>
          <w:b/>
          <w:sz w:val="22"/>
        </w:rPr>
        <w:t xml:space="preserve">.  </w:t>
      </w:r>
    </w:p>
    <w:p w14:paraId="44D5D91F" w14:textId="77777777" w:rsidR="00FE2EEE" w:rsidRPr="00B613F9" w:rsidRDefault="00FE2EEE" w:rsidP="00247F24">
      <w:pPr>
        <w:pStyle w:val="Style1"/>
        <w:numPr>
          <w:ilvl w:val="0"/>
          <w:numId w:val="7"/>
        </w:numPr>
        <w:tabs>
          <w:tab w:val="center" w:pos="4395"/>
        </w:tabs>
        <w:spacing w:before="0" w:after="200" w:line="276" w:lineRule="auto"/>
        <w:ind w:left="1134" w:hanging="708"/>
        <w:outlineLvl w:val="9"/>
        <w:rPr>
          <w:rFonts w:asciiTheme="minorHAnsi" w:hAnsiTheme="minorHAnsi" w:cstheme="minorHAnsi"/>
          <w:b/>
          <w:szCs w:val="22"/>
          <w:lang w:val="en-AU"/>
        </w:rPr>
      </w:pPr>
      <w:r w:rsidRPr="00B613F9">
        <w:rPr>
          <w:rFonts w:asciiTheme="minorHAnsi" w:hAnsiTheme="minorHAnsi" w:cstheme="minorHAnsi"/>
          <w:b/>
          <w:szCs w:val="22"/>
          <w:lang w:val="en-AU"/>
        </w:rPr>
        <w:t>It is imperative that the taxation system guarantee the government sufficient revenue to achieve its fundamental responsibilities and goals</w:t>
      </w:r>
      <w:r w:rsidR="001F0177" w:rsidRPr="00B613F9">
        <w:rPr>
          <w:rFonts w:asciiTheme="minorHAnsi" w:hAnsiTheme="minorHAnsi" w:cstheme="minorHAnsi"/>
          <w:b/>
          <w:szCs w:val="22"/>
          <w:lang w:val="en-AU"/>
        </w:rPr>
        <w:t>.</w:t>
      </w:r>
    </w:p>
    <w:p w14:paraId="5AF76149" w14:textId="77777777" w:rsidR="008142E8" w:rsidRPr="00B613F9" w:rsidRDefault="00DF3380" w:rsidP="00247F24">
      <w:pPr>
        <w:pStyle w:val="Style1"/>
        <w:numPr>
          <w:ilvl w:val="0"/>
          <w:numId w:val="7"/>
        </w:numPr>
        <w:tabs>
          <w:tab w:val="center" w:pos="4395"/>
        </w:tabs>
        <w:spacing w:before="0" w:after="200" w:line="276" w:lineRule="auto"/>
        <w:ind w:left="1134" w:hanging="708"/>
        <w:outlineLvl w:val="9"/>
        <w:rPr>
          <w:rFonts w:asciiTheme="minorHAnsi" w:hAnsiTheme="minorHAnsi" w:cstheme="minorHAnsi"/>
          <w:szCs w:val="22"/>
          <w:lang w:val="en-AU"/>
        </w:rPr>
      </w:pPr>
      <w:r w:rsidRPr="00B613F9">
        <w:rPr>
          <w:rFonts w:asciiTheme="minorHAnsi" w:hAnsiTheme="minorHAnsi" w:cstheme="minorHAnsi"/>
          <w:szCs w:val="22"/>
          <w:lang w:val="en-AU"/>
        </w:rPr>
        <w:t>In bringing this about i</w:t>
      </w:r>
      <w:r w:rsidR="008142E8" w:rsidRPr="00B613F9">
        <w:rPr>
          <w:rFonts w:asciiTheme="minorHAnsi" w:hAnsiTheme="minorHAnsi" w:cstheme="minorHAnsi"/>
          <w:szCs w:val="22"/>
          <w:lang w:val="en-AU"/>
        </w:rPr>
        <w:t xml:space="preserve">t should be noted, that by international standards, Australia </w:t>
      </w:r>
      <w:r w:rsidRPr="00B613F9">
        <w:rPr>
          <w:rFonts w:asciiTheme="minorHAnsi" w:hAnsiTheme="minorHAnsi" w:cstheme="minorHAnsi"/>
          <w:szCs w:val="22"/>
          <w:lang w:val="en-AU"/>
        </w:rPr>
        <w:t>“has</w:t>
      </w:r>
      <w:r w:rsidR="008142E8" w:rsidRPr="00B613F9">
        <w:rPr>
          <w:rFonts w:asciiTheme="minorHAnsi" w:hAnsiTheme="minorHAnsi" w:cstheme="minorHAnsi"/>
          <w:szCs w:val="22"/>
          <w:lang w:val="en-AU"/>
        </w:rPr>
        <w:t xml:space="preserve"> a </w:t>
      </w:r>
      <w:r w:rsidRPr="00B613F9">
        <w:rPr>
          <w:rFonts w:asciiTheme="minorHAnsi" w:hAnsiTheme="minorHAnsi" w:cstheme="minorHAnsi"/>
          <w:szCs w:val="22"/>
          <w:lang w:val="en-AU"/>
        </w:rPr>
        <w:t xml:space="preserve">relatively </w:t>
      </w:r>
      <w:r w:rsidR="008142E8" w:rsidRPr="00B613F9">
        <w:rPr>
          <w:rFonts w:asciiTheme="minorHAnsi" w:hAnsiTheme="minorHAnsi" w:cstheme="minorHAnsi"/>
          <w:szCs w:val="22"/>
          <w:lang w:val="en-AU"/>
        </w:rPr>
        <w:t xml:space="preserve">low tax </w:t>
      </w:r>
      <w:r w:rsidRPr="00B613F9">
        <w:rPr>
          <w:rFonts w:asciiTheme="minorHAnsi" w:hAnsiTheme="minorHAnsi" w:cstheme="minorHAnsi"/>
          <w:szCs w:val="22"/>
          <w:lang w:val="en-AU"/>
        </w:rPr>
        <w:t>burden compared to other developed countries</w:t>
      </w:r>
      <w:r w:rsidR="008142E8" w:rsidRPr="00B613F9">
        <w:rPr>
          <w:rFonts w:asciiTheme="minorHAnsi" w:hAnsiTheme="minorHAnsi" w:cstheme="minorHAnsi"/>
          <w:szCs w:val="22"/>
          <w:lang w:val="en-AU"/>
        </w:rPr>
        <w:t>.</w:t>
      </w:r>
      <w:r w:rsidRPr="00B613F9">
        <w:rPr>
          <w:rFonts w:asciiTheme="minorHAnsi" w:hAnsiTheme="minorHAnsi" w:cstheme="minorHAnsi"/>
          <w:szCs w:val="22"/>
          <w:lang w:val="en-AU"/>
        </w:rPr>
        <w:t>”</w:t>
      </w:r>
      <w:r w:rsidR="008142E8" w:rsidRPr="00B613F9">
        <w:rPr>
          <w:rFonts w:asciiTheme="minorHAnsi" w:hAnsiTheme="minorHAnsi" w:cstheme="minorHAnsi"/>
          <w:szCs w:val="22"/>
          <w:lang w:val="en-AU"/>
        </w:rPr>
        <w:t xml:space="preserve"> </w:t>
      </w:r>
      <w:r w:rsidRPr="00B613F9">
        <w:rPr>
          <w:rStyle w:val="FootnoteReference"/>
          <w:rFonts w:asciiTheme="minorHAnsi" w:hAnsiTheme="minorHAnsi" w:cstheme="minorHAnsi"/>
          <w:szCs w:val="22"/>
          <w:lang w:val="en-AU"/>
        </w:rPr>
        <w:footnoteReference w:id="8"/>
      </w:r>
    </w:p>
    <w:p w14:paraId="5F5C245B" w14:textId="77777777" w:rsidR="00DF3380" w:rsidRPr="00B613F9" w:rsidRDefault="00247F24" w:rsidP="00247F24">
      <w:pPr>
        <w:pStyle w:val="Style1"/>
        <w:numPr>
          <w:ilvl w:val="0"/>
          <w:numId w:val="7"/>
        </w:numPr>
        <w:tabs>
          <w:tab w:val="center" w:pos="4395"/>
        </w:tabs>
        <w:spacing w:before="0" w:after="200" w:line="276" w:lineRule="auto"/>
        <w:ind w:left="1134" w:hanging="708"/>
        <w:outlineLvl w:val="9"/>
        <w:rPr>
          <w:rFonts w:asciiTheme="minorHAnsi" w:hAnsiTheme="minorHAnsi" w:cstheme="minorHAnsi"/>
          <w:szCs w:val="22"/>
        </w:rPr>
      </w:pPr>
      <w:r w:rsidRPr="00B613F9">
        <w:rPr>
          <w:rFonts w:asciiTheme="minorHAnsi" w:hAnsiTheme="minorHAnsi" w:cstheme="minorHAnsi"/>
          <w:szCs w:val="22"/>
        </w:rPr>
        <w:t xml:space="preserve"> </w:t>
      </w:r>
      <w:r w:rsidR="00DF3380" w:rsidRPr="00B613F9">
        <w:rPr>
          <w:rFonts w:asciiTheme="minorHAnsi" w:hAnsiTheme="minorHAnsi" w:cstheme="minorHAnsi"/>
          <w:szCs w:val="22"/>
        </w:rPr>
        <w:t>“The tax system imposes economic costs by distorting the decisions of individuals and entities”</w:t>
      </w:r>
      <w:r w:rsidR="00DF3380" w:rsidRPr="00B613F9">
        <w:rPr>
          <w:rStyle w:val="FootnoteReference"/>
          <w:rFonts w:asciiTheme="minorHAnsi" w:hAnsiTheme="minorHAnsi" w:cstheme="minorHAnsi"/>
          <w:szCs w:val="22"/>
        </w:rPr>
        <w:footnoteReference w:id="9"/>
      </w:r>
    </w:p>
    <w:p w14:paraId="6CEB940B" w14:textId="77777777" w:rsidR="000D5D83" w:rsidRPr="00B613F9" w:rsidRDefault="000D5D83"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szCs w:val="22"/>
        </w:rPr>
      </w:pPr>
      <w:r w:rsidRPr="00B613F9">
        <w:rPr>
          <w:rFonts w:asciiTheme="minorHAnsi" w:hAnsiTheme="minorHAnsi" w:cstheme="minorHAnsi"/>
          <w:szCs w:val="22"/>
        </w:rPr>
        <w:t>The current system is structured to give every opportunity to maximize deductions and thus reduce assessable income.  Overwhelmingly this benefits higher income earners.</w:t>
      </w:r>
    </w:p>
    <w:p w14:paraId="249B53CC" w14:textId="77777777" w:rsidR="001F0177" w:rsidRPr="00B613F9" w:rsidRDefault="00DF3380" w:rsidP="00247F24">
      <w:pPr>
        <w:pStyle w:val="Style1"/>
        <w:numPr>
          <w:ilvl w:val="0"/>
          <w:numId w:val="7"/>
        </w:numPr>
        <w:tabs>
          <w:tab w:val="center" w:pos="4395"/>
        </w:tabs>
        <w:spacing w:before="0" w:after="200" w:line="276" w:lineRule="auto"/>
        <w:ind w:left="1134" w:hanging="708"/>
        <w:outlineLvl w:val="9"/>
        <w:rPr>
          <w:rFonts w:asciiTheme="minorHAnsi" w:hAnsiTheme="minorHAnsi" w:cstheme="minorHAnsi"/>
          <w:szCs w:val="22"/>
        </w:rPr>
      </w:pPr>
      <w:r w:rsidRPr="00B613F9">
        <w:rPr>
          <w:rFonts w:asciiTheme="minorHAnsi" w:hAnsiTheme="minorHAnsi" w:cstheme="minorHAnsi"/>
          <w:szCs w:val="22"/>
        </w:rPr>
        <w:t xml:space="preserve">Bringing </w:t>
      </w:r>
      <w:r w:rsidR="000D5D83" w:rsidRPr="00B613F9">
        <w:rPr>
          <w:rFonts w:asciiTheme="minorHAnsi" w:hAnsiTheme="minorHAnsi" w:cstheme="minorHAnsi"/>
          <w:szCs w:val="22"/>
        </w:rPr>
        <w:t xml:space="preserve">provisions which lead to </w:t>
      </w:r>
      <w:r w:rsidRPr="00B613F9">
        <w:rPr>
          <w:rFonts w:asciiTheme="minorHAnsi" w:hAnsiTheme="minorHAnsi" w:cstheme="minorHAnsi"/>
          <w:szCs w:val="22"/>
        </w:rPr>
        <w:t xml:space="preserve">distortions </w:t>
      </w:r>
      <w:r w:rsidR="000D5D83" w:rsidRPr="00B613F9">
        <w:rPr>
          <w:rFonts w:asciiTheme="minorHAnsi" w:hAnsiTheme="minorHAnsi" w:cstheme="minorHAnsi"/>
          <w:szCs w:val="22"/>
        </w:rPr>
        <w:t xml:space="preserve">and hence some people to paying less than their fair share of tax </w:t>
      </w:r>
      <w:r w:rsidRPr="00B613F9">
        <w:rPr>
          <w:rFonts w:asciiTheme="minorHAnsi" w:hAnsiTheme="minorHAnsi" w:cstheme="minorHAnsi"/>
          <w:szCs w:val="22"/>
        </w:rPr>
        <w:t xml:space="preserve">to an end must be a priority of tax reform. </w:t>
      </w:r>
    </w:p>
    <w:p w14:paraId="75EA7EDD" w14:textId="77777777" w:rsidR="00DF3380" w:rsidRPr="00B613F9" w:rsidRDefault="00DF3380" w:rsidP="00247F24">
      <w:pPr>
        <w:pStyle w:val="Style1"/>
        <w:numPr>
          <w:ilvl w:val="0"/>
          <w:numId w:val="7"/>
        </w:numPr>
        <w:tabs>
          <w:tab w:val="center" w:pos="4395"/>
        </w:tabs>
        <w:spacing w:before="0" w:after="200" w:line="276" w:lineRule="auto"/>
        <w:ind w:left="1134" w:hanging="708"/>
        <w:outlineLvl w:val="9"/>
        <w:rPr>
          <w:rFonts w:asciiTheme="minorHAnsi" w:hAnsiTheme="minorHAnsi" w:cstheme="minorHAnsi"/>
          <w:szCs w:val="22"/>
        </w:rPr>
      </w:pPr>
      <w:r w:rsidRPr="00B613F9">
        <w:rPr>
          <w:rFonts w:asciiTheme="minorHAnsi" w:hAnsiTheme="minorHAnsi" w:cstheme="minorHAnsi"/>
          <w:szCs w:val="22"/>
        </w:rPr>
        <w:t>A range of initiatives are required to achieve this outcome.</w:t>
      </w:r>
    </w:p>
    <w:p w14:paraId="4011E89C" w14:textId="77777777" w:rsidR="00BC1ABE" w:rsidRPr="00B613F9" w:rsidRDefault="00BC1ABE"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szCs w:val="22"/>
        </w:rPr>
      </w:pPr>
      <w:r w:rsidRPr="00B613F9">
        <w:rPr>
          <w:rFonts w:asciiTheme="minorHAnsi" w:hAnsiTheme="minorHAnsi" w:cstheme="minorHAnsi"/>
          <w:szCs w:val="22"/>
        </w:rPr>
        <w:t>Fringe Benefits Tax is payable on the Fringe benefits provided to an employee by their employer.  Due to the structure of the FBT many employees are able to minimize or remove their tax obligations.  For example, the current FBT arrangements allow for the exemption for employer provided childcare and the concessional treatment of company cars</w:t>
      </w:r>
      <w:r w:rsidR="00994626" w:rsidRPr="00B613F9">
        <w:rPr>
          <w:rFonts w:asciiTheme="minorHAnsi" w:hAnsiTheme="minorHAnsi" w:cstheme="minorHAnsi"/>
          <w:szCs w:val="22"/>
        </w:rPr>
        <w:t xml:space="preserve">.  </w:t>
      </w:r>
      <w:r w:rsidRPr="00B613F9">
        <w:rPr>
          <w:rFonts w:asciiTheme="minorHAnsi" w:hAnsiTheme="minorHAnsi" w:cstheme="minorHAnsi"/>
          <w:szCs w:val="22"/>
        </w:rPr>
        <w:t xml:space="preserve">In practice it is normally better paid and more senior employees who reap the benefits of FBT.  </w:t>
      </w:r>
    </w:p>
    <w:p w14:paraId="0A1579F9" w14:textId="77777777" w:rsidR="00BC1ABE" w:rsidRPr="00B613F9" w:rsidRDefault="00DA7CC6"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b/>
          <w:szCs w:val="22"/>
        </w:rPr>
      </w:pPr>
      <w:r w:rsidRPr="00B613F9">
        <w:rPr>
          <w:rFonts w:asciiTheme="minorHAnsi" w:hAnsiTheme="minorHAnsi" w:cstheme="minorHAnsi"/>
          <w:b/>
          <w:szCs w:val="22"/>
        </w:rPr>
        <w:t>Fringe Benefits Tax should be remodeled to prevent the extensive salary packaging currently allowed.</w:t>
      </w:r>
      <w:r w:rsidR="000D5D83" w:rsidRPr="00B613F9">
        <w:rPr>
          <w:rFonts w:asciiTheme="minorHAnsi" w:hAnsiTheme="minorHAnsi" w:cstheme="minorHAnsi"/>
          <w:b/>
          <w:szCs w:val="22"/>
        </w:rPr>
        <w:t xml:space="preserve">  </w:t>
      </w:r>
    </w:p>
    <w:p w14:paraId="74F4FC00" w14:textId="77777777" w:rsidR="000D5D83" w:rsidRPr="00B613F9" w:rsidRDefault="000D5D83"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szCs w:val="22"/>
        </w:rPr>
      </w:pPr>
      <w:r w:rsidRPr="00B613F9">
        <w:rPr>
          <w:rFonts w:asciiTheme="minorHAnsi" w:hAnsiTheme="minorHAnsi" w:cstheme="minorHAnsi"/>
          <w:szCs w:val="22"/>
        </w:rPr>
        <w:t>While we acknowledge that it is generally wage and salary earners who claim deductions, it is higher income earners who benefit most from such claims.</w:t>
      </w:r>
    </w:p>
    <w:p w14:paraId="75749531" w14:textId="77777777" w:rsidR="000D5D83" w:rsidRPr="00B613F9" w:rsidRDefault="000D5D83"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szCs w:val="22"/>
        </w:rPr>
      </w:pPr>
      <w:r w:rsidRPr="00B613F9">
        <w:rPr>
          <w:rFonts w:asciiTheme="minorHAnsi" w:hAnsiTheme="minorHAnsi" w:cstheme="minorHAnsi"/>
          <w:szCs w:val="22"/>
        </w:rPr>
        <w:t>This is particularly the case in respect of those who claim financial and rental property losses</w:t>
      </w:r>
      <w:r w:rsidR="00154C38" w:rsidRPr="00B613F9">
        <w:rPr>
          <w:rFonts w:asciiTheme="minorHAnsi" w:hAnsiTheme="minorHAnsi" w:cstheme="minorHAnsi"/>
          <w:szCs w:val="22"/>
        </w:rPr>
        <w:t xml:space="preserve"> and or business deductions</w:t>
      </w:r>
      <w:r w:rsidRPr="00B613F9">
        <w:rPr>
          <w:rFonts w:asciiTheme="minorHAnsi" w:hAnsiTheme="minorHAnsi" w:cstheme="minorHAnsi"/>
          <w:szCs w:val="22"/>
        </w:rPr>
        <w:t>.</w:t>
      </w:r>
      <w:r w:rsidRPr="00B613F9">
        <w:rPr>
          <w:rStyle w:val="FootnoteReference"/>
          <w:rFonts w:asciiTheme="minorHAnsi" w:hAnsiTheme="minorHAnsi" w:cstheme="minorHAnsi"/>
          <w:szCs w:val="22"/>
        </w:rPr>
        <w:footnoteReference w:id="10"/>
      </w:r>
      <w:r w:rsidRPr="00B613F9">
        <w:rPr>
          <w:rFonts w:asciiTheme="minorHAnsi" w:hAnsiTheme="minorHAnsi" w:cstheme="minorHAnsi"/>
          <w:szCs w:val="22"/>
        </w:rPr>
        <w:t xml:space="preserve"> </w:t>
      </w:r>
    </w:p>
    <w:p w14:paraId="148C691F" w14:textId="77777777" w:rsidR="00154C38" w:rsidRPr="00B613F9" w:rsidRDefault="00154C38"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szCs w:val="22"/>
        </w:rPr>
      </w:pPr>
      <w:r w:rsidRPr="00B613F9">
        <w:rPr>
          <w:rFonts w:asciiTheme="minorHAnsi" w:hAnsiTheme="minorHAnsi" w:cstheme="minorHAnsi"/>
          <w:szCs w:val="22"/>
        </w:rPr>
        <w:t>Most low income workers have a relatively low total value of legitimate work related expenses.  On the other hand we believe many higher income earners benefit disproportionately from being able to make claims which are legitimate under the current arrangements.</w:t>
      </w:r>
    </w:p>
    <w:p w14:paraId="69A98886" w14:textId="77777777" w:rsidR="00154C38" w:rsidRPr="00B613F9" w:rsidRDefault="00154C38"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b/>
          <w:szCs w:val="22"/>
        </w:rPr>
      </w:pPr>
      <w:proofErr w:type="spellStart"/>
      <w:r w:rsidRPr="00B613F9">
        <w:rPr>
          <w:rFonts w:asciiTheme="minorHAnsi" w:hAnsiTheme="minorHAnsi" w:cstheme="minorHAnsi"/>
          <w:b/>
          <w:szCs w:val="22"/>
        </w:rPr>
        <w:lastRenderedPageBreak/>
        <w:t>Re</w:t>
      </w:r>
      <w:proofErr w:type="gramStart"/>
      <w:r w:rsidR="008511BA" w:rsidRPr="00B613F9">
        <w:rPr>
          <w:rFonts w:asciiTheme="minorHAnsi" w:hAnsiTheme="minorHAnsi" w:cstheme="minorHAnsi"/>
          <w:b/>
          <w:szCs w:val="22"/>
        </w:rPr>
        <w:t>:</w:t>
      </w:r>
      <w:r w:rsidRPr="00B613F9">
        <w:rPr>
          <w:rFonts w:asciiTheme="minorHAnsi" w:hAnsiTheme="minorHAnsi" w:cstheme="minorHAnsi"/>
          <w:b/>
          <w:szCs w:val="22"/>
        </w:rPr>
        <w:t>think</w:t>
      </w:r>
      <w:proofErr w:type="spellEnd"/>
      <w:proofErr w:type="gramEnd"/>
      <w:r w:rsidRPr="00B613F9">
        <w:rPr>
          <w:rFonts w:asciiTheme="minorHAnsi" w:hAnsiTheme="minorHAnsi" w:cstheme="minorHAnsi"/>
          <w:b/>
          <w:szCs w:val="22"/>
        </w:rPr>
        <w:t xml:space="preserve"> has raised the issue of a standard deduction for work related expenses.  We believe this is worth further consideration.  </w:t>
      </w:r>
    </w:p>
    <w:p w14:paraId="27E77AB6" w14:textId="77777777" w:rsidR="002436AB" w:rsidRPr="00B613F9" w:rsidRDefault="00154C38"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szCs w:val="22"/>
        </w:rPr>
      </w:pPr>
      <w:r w:rsidRPr="00B613F9">
        <w:rPr>
          <w:rFonts w:asciiTheme="minorHAnsi" w:hAnsiTheme="minorHAnsi" w:cstheme="minorHAnsi"/>
          <w:szCs w:val="22"/>
        </w:rPr>
        <w:t xml:space="preserve">The current system allows for earnings within private companies to be delayed.  Discretionary trusts can also be used for a similar purpose.  They can delay payments or direct payments in ways that minimize tax obligations.  </w:t>
      </w:r>
    </w:p>
    <w:p w14:paraId="765B5F85" w14:textId="77777777" w:rsidR="002436AB" w:rsidRPr="00B613F9" w:rsidRDefault="002436AB"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szCs w:val="22"/>
        </w:rPr>
      </w:pPr>
      <w:r w:rsidRPr="00B613F9">
        <w:rPr>
          <w:rFonts w:asciiTheme="minorHAnsi" w:hAnsiTheme="minorHAnsi" w:cstheme="minorHAnsi"/>
          <w:szCs w:val="22"/>
        </w:rPr>
        <w:t>Capital gains tax is payable on a “realization basis”.  However, in certain circumstances exemptions and concessions apply.</w:t>
      </w:r>
    </w:p>
    <w:p w14:paraId="2A6C757E" w14:textId="77777777" w:rsidR="00FE2EEE" w:rsidRPr="00B613F9" w:rsidRDefault="00FE2EEE"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b/>
          <w:szCs w:val="22"/>
        </w:rPr>
      </w:pPr>
      <w:r w:rsidRPr="00B613F9">
        <w:rPr>
          <w:rFonts w:asciiTheme="minorHAnsi" w:hAnsiTheme="minorHAnsi" w:cstheme="minorHAnsi"/>
          <w:b/>
          <w:szCs w:val="22"/>
        </w:rPr>
        <w:t>Capital gains tax should not allow exemptions or concessions.</w:t>
      </w:r>
    </w:p>
    <w:p w14:paraId="1DE42623" w14:textId="77777777" w:rsidR="002436AB" w:rsidRPr="00B613F9" w:rsidRDefault="002436AB"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szCs w:val="22"/>
        </w:rPr>
      </w:pPr>
      <w:r w:rsidRPr="00B613F9">
        <w:rPr>
          <w:rFonts w:asciiTheme="minorHAnsi" w:hAnsiTheme="minorHAnsi" w:cstheme="minorHAnsi"/>
          <w:szCs w:val="22"/>
        </w:rPr>
        <w:t xml:space="preserve">Investment properties are the third most popular savings vehicle after the family home and superannuation. In our view the capacity to negatively gear such properties has been a major driver of their popularity.  The </w:t>
      </w:r>
      <w:r w:rsidR="003C4F4B" w:rsidRPr="00B613F9">
        <w:rPr>
          <w:rFonts w:asciiTheme="minorHAnsi" w:hAnsiTheme="minorHAnsi" w:cstheme="minorHAnsi"/>
          <w:szCs w:val="22"/>
        </w:rPr>
        <w:t>proportion of</w:t>
      </w:r>
      <w:r w:rsidRPr="00B613F9">
        <w:rPr>
          <w:rFonts w:asciiTheme="minorHAnsi" w:hAnsiTheme="minorHAnsi" w:cstheme="minorHAnsi"/>
          <w:szCs w:val="22"/>
        </w:rPr>
        <w:t xml:space="preserve"> tax filers with negatively geared properties increases as taxable income increases.</w:t>
      </w:r>
      <w:r w:rsidRPr="00B613F9">
        <w:rPr>
          <w:rStyle w:val="FootnoteReference"/>
          <w:rFonts w:asciiTheme="minorHAnsi" w:hAnsiTheme="minorHAnsi" w:cstheme="minorHAnsi"/>
          <w:szCs w:val="22"/>
        </w:rPr>
        <w:footnoteReference w:id="11"/>
      </w:r>
    </w:p>
    <w:p w14:paraId="5497CB81" w14:textId="77777777" w:rsidR="0090257F" w:rsidRPr="00B613F9" w:rsidRDefault="0090257F"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szCs w:val="22"/>
        </w:rPr>
      </w:pPr>
      <w:r w:rsidRPr="00B613F9">
        <w:rPr>
          <w:rFonts w:asciiTheme="minorHAnsi" w:hAnsiTheme="minorHAnsi" w:cstheme="minorHAnsi"/>
          <w:szCs w:val="22"/>
        </w:rPr>
        <w:t>Almost 300,000 people have five or more homes negatively geared for tax offsets, costing the nation up to $5 billion a year in lost revenue.  ATO figures show 15,264 landlords own at least six investment properties, which they claim run at a loss. Another 14,555 own five.</w:t>
      </w:r>
      <w:r w:rsidRPr="00B613F9">
        <w:rPr>
          <w:rStyle w:val="FootnoteReference"/>
          <w:rFonts w:asciiTheme="minorHAnsi" w:hAnsiTheme="minorHAnsi" w:cstheme="minorHAnsi"/>
          <w:szCs w:val="22"/>
        </w:rPr>
        <w:footnoteReference w:id="12"/>
      </w:r>
    </w:p>
    <w:p w14:paraId="5E66F5F1" w14:textId="77777777" w:rsidR="00FE2EEE" w:rsidRDefault="00FE2EEE"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szCs w:val="22"/>
        </w:rPr>
      </w:pPr>
      <w:r w:rsidRPr="00B613F9">
        <w:rPr>
          <w:rFonts w:asciiTheme="minorHAnsi" w:hAnsiTheme="minorHAnsi" w:cstheme="minorHAnsi"/>
          <w:szCs w:val="22"/>
        </w:rPr>
        <w:t xml:space="preserve">Negative gearing </w:t>
      </w:r>
      <w:r w:rsidR="0090257F" w:rsidRPr="00B613F9">
        <w:rPr>
          <w:rFonts w:asciiTheme="minorHAnsi" w:hAnsiTheme="minorHAnsi" w:cstheme="minorHAnsi"/>
          <w:szCs w:val="22"/>
        </w:rPr>
        <w:t xml:space="preserve">is used to avoid paying tax.  It </w:t>
      </w:r>
      <w:r w:rsidRPr="00B613F9">
        <w:rPr>
          <w:rFonts w:asciiTheme="minorHAnsi" w:hAnsiTheme="minorHAnsi" w:cstheme="minorHAnsi"/>
          <w:szCs w:val="22"/>
        </w:rPr>
        <w:t xml:space="preserve">overwhelmingly benefits middle and higher income earners. </w:t>
      </w:r>
      <w:r w:rsidR="00154C38" w:rsidRPr="00B613F9">
        <w:rPr>
          <w:rFonts w:asciiTheme="minorHAnsi" w:hAnsiTheme="minorHAnsi" w:cstheme="minorHAnsi"/>
          <w:szCs w:val="22"/>
        </w:rPr>
        <w:t>Such arrangements are unfair.</w:t>
      </w:r>
      <w:r w:rsidR="002436AB" w:rsidRPr="00B613F9">
        <w:rPr>
          <w:rFonts w:asciiTheme="minorHAnsi" w:hAnsiTheme="minorHAnsi" w:cstheme="minorHAnsi"/>
          <w:szCs w:val="22"/>
        </w:rPr>
        <w:t xml:space="preserve"> They enable some people to avoid paying their fair share.</w:t>
      </w:r>
      <w:r w:rsidR="00154C38" w:rsidRPr="00B613F9">
        <w:rPr>
          <w:rFonts w:asciiTheme="minorHAnsi" w:hAnsiTheme="minorHAnsi" w:cstheme="minorHAnsi"/>
          <w:szCs w:val="22"/>
        </w:rPr>
        <w:t xml:space="preserve"> </w:t>
      </w:r>
    </w:p>
    <w:p w14:paraId="2EF615D7" w14:textId="77777777" w:rsidR="002920C1" w:rsidRPr="00B613F9" w:rsidRDefault="002920C1"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szCs w:val="22"/>
        </w:rPr>
      </w:pPr>
      <w:r>
        <w:rPr>
          <w:rFonts w:asciiTheme="minorHAnsi" w:hAnsiTheme="minorHAnsi" w:cstheme="minorHAnsi"/>
          <w:szCs w:val="22"/>
        </w:rPr>
        <w:t>Negative gearing pushes up the cost of housing.  In the decade to 2012 the average house price rose 92% and the average cost of flats rose 40%.  Home ownership, especially for working families is declining due to the increased costs of such dwellings.</w:t>
      </w:r>
    </w:p>
    <w:p w14:paraId="31B0932D" w14:textId="77777777" w:rsidR="00FE2EEE" w:rsidRPr="00B613F9" w:rsidRDefault="00FE2EEE"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b/>
          <w:szCs w:val="22"/>
        </w:rPr>
      </w:pPr>
      <w:r w:rsidRPr="00B613F9">
        <w:rPr>
          <w:rFonts w:asciiTheme="minorHAnsi" w:hAnsiTheme="minorHAnsi" w:cstheme="minorHAnsi"/>
          <w:b/>
          <w:szCs w:val="22"/>
        </w:rPr>
        <w:t>Negative gearing should be abolished.</w:t>
      </w:r>
    </w:p>
    <w:p w14:paraId="5E0AF66B" w14:textId="77777777" w:rsidR="00AA1AC3" w:rsidRPr="00B613F9" w:rsidRDefault="00AA1AC3"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szCs w:val="22"/>
        </w:rPr>
      </w:pPr>
      <w:r w:rsidRPr="00B613F9">
        <w:rPr>
          <w:rFonts w:asciiTheme="minorHAnsi" w:hAnsiTheme="minorHAnsi" w:cstheme="minorHAnsi"/>
          <w:szCs w:val="22"/>
        </w:rPr>
        <w:t xml:space="preserve">Employee share schemes allow employers to provide shares or options to employees at a discount rate. The provided shares are taxed at the discount rate.  In due course the employee may dispose of the shares at their full rate.  </w:t>
      </w:r>
    </w:p>
    <w:p w14:paraId="659C553D" w14:textId="77777777" w:rsidR="00DA7CC6" w:rsidRPr="00B613F9" w:rsidRDefault="00DA7CC6"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b/>
          <w:szCs w:val="22"/>
        </w:rPr>
      </w:pPr>
      <w:r w:rsidRPr="00B613F9">
        <w:rPr>
          <w:rFonts w:asciiTheme="minorHAnsi" w:hAnsiTheme="minorHAnsi" w:cstheme="minorHAnsi"/>
          <w:b/>
          <w:szCs w:val="22"/>
        </w:rPr>
        <w:t xml:space="preserve">Concessions associated with employee shares and share options should be abolished.  </w:t>
      </w:r>
    </w:p>
    <w:p w14:paraId="397EF45B" w14:textId="77777777" w:rsidR="00FB7202" w:rsidRPr="00B613F9" w:rsidRDefault="00FB7202"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szCs w:val="22"/>
        </w:rPr>
      </w:pPr>
      <w:r w:rsidRPr="00B613F9">
        <w:rPr>
          <w:rFonts w:asciiTheme="minorHAnsi" w:hAnsiTheme="minorHAnsi" w:cstheme="minorHAnsi"/>
          <w:szCs w:val="22"/>
        </w:rPr>
        <w:t>A range of concessions apply in regard to superannuation.</w:t>
      </w:r>
    </w:p>
    <w:p w14:paraId="56710FD0" w14:textId="77777777" w:rsidR="00503743" w:rsidRPr="00B613F9" w:rsidRDefault="00503743"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szCs w:val="22"/>
        </w:rPr>
      </w:pPr>
      <w:r w:rsidRPr="00B613F9">
        <w:rPr>
          <w:rFonts w:asciiTheme="minorHAnsi" w:hAnsiTheme="minorHAnsi" w:cstheme="minorHAnsi"/>
          <w:szCs w:val="22"/>
        </w:rPr>
        <w:t>T</w:t>
      </w:r>
      <w:r w:rsidR="00FE2EEE" w:rsidRPr="00B613F9">
        <w:rPr>
          <w:rFonts w:asciiTheme="minorHAnsi" w:hAnsiTheme="minorHAnsi" w:cstheme="minorHAnsi"/>
          <w:szCs w:val="22"/>
        </w:rPr>
        <w:t>hose on the highest incomes receive the greatest benefit from th</w:t>
      </w:r>
      <w:r w:rsidRPr="00B613F9">
        <w:rPr>
          <w:rFonts w:asciiTheme="minorHAnsi" w:hAnsiTheme="minorHAnsi" w:cstheme="minorHAnsi"/>
          <w:szCs w:val="22"/>
        </w:rPr>
        <w:t>ese</w:t>
      </w:r>
      <w:r w:rsidR="00FE2EEE" w:rsidRPr="00B613F9">
        <w:rPr>
          <w:rFonts w:asciiTheme="minorHAnsi" w:hAnsiTheme="minorHAnsi" w:cstheme="minorHAnsi"/>
          <w:szCs w:val="22"/>
        </w:rPr>
        <w:t xml:space="preserve">s </w:t>
      </w:r>
      <w:r w:rsidRPr="00B613F9">
        <w:rPr>
          <w:rFonts w:asciiTheme="minorHAnsi" w:hAnsiTheme="minorHAnsi" w:cstheme="minorHAnsi"/>
          <w:szCs w:val="22"/>
        </w:rPr>
        <w:t>a</w:t>
      </w:r>
      <w:r w:rsidR="00FE2EEE" w:rsidRPr="00B613F9">
        <w:rPr>
          <w:rFonts w:asciiTheme="minorHAnsi" w:hAnsiTheme="minorHAnsi" w:cstheme="minorHAnsi"/>
          <w:szCs w:val="22"/>
        </w:rPr>
        <w:t>rrangement</w:t>
      </w:r>
      <w:r w:rsidRPr="00B613F9">
        <w:rPr>
          <w:rFonts w:asciiTheme="minorHAnsi" w:hAnsiTheme="minorHAnsi" w:cstheme="minorHAnsi"/>
          <w:szCs w:val="22"/>
        </w:rPr>
        <w:t>s</w:t>
      </w:r>
      <w:r w:rsidR="00AA1AC3" w:rsidRPr="00B613F9">
        <w:rPr>
          <w:rFonts w:asciiTheme="minorHAnsi" w:hAnsiTheme="minorHAnsi" w:cstheme="minorHAnsi"/>
          <w:szCs w:val="22"/>
        </w:rPr>
        <w:t>.</w:t>
      </w:r>
    </w:p>
    <w:p w14:paraId="4A7886B6" w14:textId="77777777" w:rsidR="00FB7202" w:rsidRPr="00B613F9" w:rsidRDefault="00FB7202"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szCs w:val="22"/>
        </w:rPr>
      </w:pPr>
      <w:r w:rsidRPr="00B613F9">
        <w:rPr>
          <w:rFonts w:asciiTheme="minorHAnsi" w:hAnsiTheme="minorHAnsi" w:cstheme="minorHAnsi"/>
          <w:szCs w:val="22"/>
        </w:rPr>
        <w:t>It has been estimated that the nation’s wealthiest retirees are collecting $10 billion a year as a result of these concessions</w:t>
      </w:r>
      <w:r w:rsidR="00503743" w:rsidRPr="00B613F9">
        <w:rPr>
          <w:rFonts w:asciiTheme="minorHAnsi" w:hAnsiTheme="minorHAnsi" w:cstheme="minorHAnsi"/>
          <w:szCs w:val="22"/>
        </w:rPr>
        <w:t xml:space="preserve">.  </w:t>
      </w:r>
      <w:r w:rsidRPr="00B613F9">
        <w:rPr>
          <w:rFonts w:asciiTheme="minorHAnsi" w:hAnsiTheme="minorHAnsi" w:cstheme="minorHAnsi"/>
          <w:szCs w:val="22"/>
        </w:rPr>
        <w:t>About 24,000 of the richest superannuation holders – each with more than $2 million in their accounts – are receiving about $5.2 billion a year in tax free income.  A further 51,700 retirees with balances between $1 million and $2 million receive $4.9 billion a year tax free.</w:t>
      </w:r>
      <w:r w:rsidR="00503743" w:rsidRPr="00B613F9">
        <w:rPr>
          <w:rFonts w:asciiTheme="minorHAnsi" w:hAnsiTheme="minorHAnsi" w:cstheme="minorHAnsi"/>
          <w:szCs w:val="22"/>
        </w:rPr>
        <w:t xml:space="preserve"> </w:t>
      </w:r>
    </w:p>
    <w:p w14:paraId="0CD4E064" w14:textId="77777777" w:rsidR="00FB7202" w:rsidRPr="00B613F9" w:rsidRDefault="00503743"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szCs w:val="22"/>
        </w:rPr>
      </w:pPr>
      <w:r w:rsidRPr="00B613F9">
        <w:rPr>
          <w:rFonts w:asciiTheme="minorHAnsi" w:hAnsiTheme="minorHAnsi" w:cstheme="minorHAnsi"/>
          <w:szCs w:val="22"/>
        </w:rPr>
        <w:lastRenderedPageBreak/>
        <w:t>The 24,000 people with the largest balances receive average annual payments of $216,000 and those in the second group receive average annual payments of $95,000. ASFA has argued that people will need about $58,000 per annum for a comfortable retirement.</w:t>
      </w:r>
      <w:r w:rsidR="00AA1AC3" w:rsidRPr="00B613F9">
        <w:rPr>
          <w:rStyle w:val="FootnoteReference"/>
          <w:rFonts w:asciiTheme="minorHAnsi" w:hAnsiTheme="minorHAnsi" w:cstheme="minorHAnsi"/>
          <w:szCs w:val="22"/>
        </w:rPr>
        <w:footnoteReference w:id="13"/>
      </w:r>
    </w:p>
    <w:p w14:paraId="5DB121DC" w14:textId="77777777" w:rsidR="00FB7202" w:rsidRDefault="00FB7202"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szCs w:val="22"/>
        </w:rPr>
      </w:pPr>
      <w:r w:rsidRPr="00B613F9">
        <w:rPr>
          <w:rFonts w:asciiTheme="minorHAnsi" w:hAnsiTheme="minorHAnsi" w:cstheme="minorHAnsi"/>
          <w:szCs w:val="22"/>
        </w:rPr>
        <w:t xml:space="preserve">This all follows from a government decision </w:t>
      </w:r>
      <w:r w:rsidR="00503743" w:rsidRPr="00B613F9">
        <w:rPr>
          <w:rFonts w:asciiTheme="minorHAnsi" w:hAnsiTheme="minorHAnsi" w:cstheme="minorHAnsi"/>
          <w:szCs w:val="22"/>
        </w:rPr>
        <w:t>i</w:t>
      </w:r>
      <w:r w:rsidRPr="00B613F9">
        <w:rPr>
          <w:rFonts w:asciiTheme="minorHAnsi" w:hAnsiTheme="minorHAnsi" w:cstheme="minorHAnsi"/>
          <w:szCs w:val="22"/>
        </w:rPr>
        <w:t>n 2006 to scrap taxes on the retirement income from superannuation.</w:t>
      </w:r>
    </w:p>
    <w:p w14:paraId="6F6CE456" w14:textId="77777777" w:rsidR="00131E31" w:rsidRDefault="00131E31" w:rsidP="00131E31">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szCs w:val="22"/>
        </w:rPr>
      </w:pPr>
      <w:r>
        <w:rPr>
          <w:rFonts w:asciiTheme="minorHAnsi" w:hAnsiTheme="minorHAnsi" w:cstheme="minorHAnsi"/>
          <w:szCs w:val="22"/>
        </w:rPr>
        <w:t xml:space="preserve">The SDA recognizes that industry superannuation was established to ensure adequate retirement incomes for all working Australians.  In the introduction of industry superannuation workers “traded “wage increases for the introduction of superannuation. </w:t>
      </w:r>
    </w:p>
    <w:p w14:paraId="3F80BB44" w14:textId="77777777" w:rsidR="00131E31" w:rsidRDefault="00131E31" w:rsidP="00131E31">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b/>
          <w:szCs w:val="22"/>
        </w:rPr>
      </w:pPr>
      <w:r w:rsidRPr="00873175">
        <w:rPr>
          <w:rFonts w:asciiTheme="minorHAnsi" w:hAnsiTheme="minorHAnsi" w:cstheme="minorHAnsi"/>
          <w:b/>
          <w:szCs w:val="22"/>
        </w:rPr>
        <w:t>The SDA supports the concessional treatment of superannuation, on the basis that it is aimed at maximizing retirement incomes and ensuring a greater number of Australians have more adequate retirement incomes.</w:t>
      </w:r>
    </w:p>
    <w:p w14:paraId="489CFB7D" w14:textId="77777777" w:rsidR="00131E31" w:rsidRPr="00873175" w:rsidRDefault="00131E31" w:rsidP="00131E31">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b/>
          <w:szCs w:val="22"/>
        </w:rPr>
      </w:pPr>
      <w:r>
        <w:rPr>
          <w:rFonts w:asciiTheme="minorHAnsi" w:hAnsiTheme="minorHAnsi" w:cstheme="minorHAnsi"/>
          <w:b/>
          <w:szCs w:val="22"/>
        </w:rPr>
        <w:t>However, the current system is economically unsustainable as many wealthy individuals are using the superannuation system to avoid paying their fair share of tax.</w:t>
      </w:r>
    </w:p>
    <w:p w14:paraId="4968D7CE" w14:textId="77777777" w:rsidR="00A76B1F" w:rsidRPr="00B613F9" w:rsidRDefault="00A76B1F"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szCs w:val="22"/>
        </w:rPr>
      </w:pPr>
      <w:r w:rsidRPr="00B613F9">
        <w:rPr>
          <w:rFonts w:asciiTheme="minorHAnsi" w:hAnsiTheme="minorHAnsi" w:cstheme="minorHAnsi"/>
          <w:szCs w:val="22"/>
        </w:rPr>
        <w:t>AIST (Australian Institute of Superannuation Trustees) has pointed out that the cost of the superannuation tax concessions is expected to rise to more than $50 billion by 2018-2019.</w:t>
      </w:r>
      <w:r w:rsidRPr="00B613F9">
        <w:rPr>
          <w:rStyle w:val="FootnoteReference"/>
          <w:rFonts w:asciiTheme="minorHAnsi" w:hAnsiTheme="minorHAnsi" w:cstheme="minorHAnsi"/>
          <w:szCs w:val="22"/>
        </w:rPr>
        <w:footnoteReference w:id="14"/>
      </w:r>
      <w:r w:rsidRPr="00B613F9">
        <w:rPr>
          <w:rFonts w:asciiTheme="minorHAnsi" w:hAnsiTheme="minorHAnsi" w:cstheme="minorHAnsi"/>
          <w:szCs w:val="22"/>
        </w:rPr>
        <w:t xml:space="preserve"> </w:t>
      </w:r>
    </w:p>
    <w:p w14:paraId="562BDB2B" w14:textId="77777777" w:rsidR="00AA1AC3" w:rsidRDefault="00503743"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b/>
          <w:szCs w:val="22"/>
        </w:rPr>
      </w:pPr>
      <w:r w:rsidRPr="00B613F9">
        <w:rPr>
          <w:rFonts w:asciiTheme="minorHAnsi" w:hAnsiTheme="minorHAnsi" w:cstheme="minorHAnsi"/>
          <w:b/>
          <w:szCs w:val="22"/>
        </w:rPr>
        <w:t>Excessive superannuation earnings should be subject to taxation a</w:t>
      </w:r>
      <w:r w:rsidR="00AA1AC3" w:rsidRPr="00B613F9">
        <w:rPr>
          <w:rFonts w:asciiTheme="minorHAnsi" w:hAnsiTheme="minorHAnsi" w:cstheme="minorHAnsi"/>
          <w:b/>
          <w:szCs w:val="22"/>
        </w:rPr>
        <w:t xml:space="preserve">t </w:t>
      </w:r>
      <w:r w:rsidRPr="00B613F9">
        <w:rPr>
          <w:rFonts w:asciiTheme="minorHAnsi" w:hAnsiTheme="minorHAnsi" w:cstheme="minorHAnsi"/>
          <w:b/>
          <w:szCs w:val="22"/>
        </w:rPr>
        <w:t>the relevant individual</w:t>
      </w:r>
      <w:r w:rsidR="00AA1AC3" w:rsidRPr="00B613F9">
        <w:rPr>
          <w:rFonts w:asciiTheme="minorHAnsi" w:hAnsiTheme="minorHAnsi" w:cstheme="minorHAnsi"/>
          <w:b/>
          <w:szCs w:val="22"/>
        </w:rPr>
        <w:t>’</w:t>
      </w:r>
      <w:r w:rsidRPr="00B613F9">
        <w:rPr>
          <w:rFonts w:asciiTheme="minorHAnsi" w:hAnsiTheme="minorHAnsi" w:cstheme="minorHAnsi"/>
          <w:b/>
          <w:szCs w:val="22"/>
        </w:rPr>
        <w:t>s marginal rate.</w:t>
      </w:r>
      <w:r w:rsidR="00873175">
        <w:rPr>
          <w:rFonts w:asciiTheme="minorHAnsi" w:hAnsiTheme="minorHAnsi" w:cstheme="minorHAnsi"/>
          <w:b/>
          <w:szCs w:val="22"/>
        </w:rPr>
        <w:t xml:space="preserve">  </w:t>
      </w:r>
    </w:p>
    <w:p w14:paraId="6B83D896" w14:textId="77777777" w:rsidR="002B7C87" w:rsidRPr="002B7C87" w:rsidRDefault="002B7C87"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szCs w:val="22"/>
        </w:rPr>
      </w:pPr>
      <w:r w:rsidRPr="002B7C87">
        <w:rPr>
          <w:rFonts w:asciiTheme="minorHAnsi" w:hAnsiTheme="minorHAnsi" w:cstheme="minorHAnsi"/>
          <w:szCs w:val="22"/>
        </w:rPr>
        <w:t>Australian Tax Office data shows 300,000 self managed super funds legally eliminated or reduced their tax bill in 2012-2013, the most recent year for which data is available.</w:t>
      </w:r>
      <w:r>
        <w:rPr>
          <w:rFonts w:asciiTheme="minorHAnsi" w:hAnsiTheme="minorHAnsi" w:cstheme="minorHAnsi"/>
          <w:szCs w:val="22"/>
        </w:rPr>
        <w:t xml:space="preserve">  In addition there were 450,000 funds which generated gross taxable income of$25.8 billion of which $16.8 billion was totally exempt from income tax because the funds were in the pension phase, which does not incur tax.</w:t>
      </w:r>
      <w:r>
        <w:rPr>
          <w:rStyle w:val="FootnoteReference"/>
          <w:rFonts w:asciiTheme="minorHAnsi" w:hAnsiTheme="minorHAnsi" w:cstheme="minorHAnsi"/>
          <w:szCs w:val="22"/>
        </w:rPr>
        <w:footnoteReference w:id="15"/>
      </w:r>
    </w:p>
    <w:p w14:paraId="3C18D5C6" w14:textId="77777777" w:rsidR="00873175" w:rsidRPr="00873175" w:rsidRDefault="00873175"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b/>
          <w:szCs w:val="22"/>
        </w:rPr>
      </w:pPr>
      <w:r w:rsidRPr="00873175">
        <w:rPr>
          <w:rFonts w:asciiTheme="minorHAnsi" w:hAnsiTheme="minorHAnsi" w:cstheme="minorHAnsi"/>
          <w:b/>
          <w:szCs w:val="22"/>
        </w:rPr>
        <w:t>The current tax breaks available to SMSF’s should be removed.</w:t>
      </w:r>
    </w:p>
    <w:p w14:paraId="1FCDDA55" w14:textId="77777777" w:rsidR="00873175" w:rsidRDefault="001F0177"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szCs w:val="22"/>
        </w:rPr>
      </w:pPr>
      <w:r w:rsidRPr="00873175">
        <w:rPr>
          <w:rFonts w:asciiTheme="minorHAnsi" w:hAnsiTheme="minorHAnsi" w:cstheme="minorHAnsi"/>
          <w:szCs w:val="22"/>
        </w:rPr>
        <w:t>It is of great concern to the SDA and we believe the Australian community that not all corporations pay their fair share of tax.</w:t>
      </w:r>
      <w:r w:rsidR="00873175" w:rsidRPr="00873175">
        <w:rPr>
          <w:rFonts w:asciiTheme="minorHAnsi" w:hAnsiTheme="minorHAnsi" w:cstheme="minorHAnsi"/>
          <w:szCs w:val="22"/>
        </w:rPr>
        <w:t xml:space="preserve">  </w:t>
      </w:r>
    </w:p>
    <w:p w14:paraId="373DBAB5" w14:textId="77777777" w:rsidR="001F0177" w:rsidRPr="00873175" w:rsidRDefault="001F0177"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szCs w:val="22"/>
        </w:rPr>
      </w:pPr>
      <w:r w:rsidRPr="00873175">
        <w:rPr>
          <w:rFonts w:asciiTheme="minorHAnsi" w:hAnsiTheme="minorHAnsi" w:cstheme="minorHAnsi"/>
          <w:szCs w:val="22"/>
        </w:rPr>
        <w:t>In our view it is pie in the sky to suggest that lower tax rates for corporations would bring about any change in the behavior of those who seek to avoid paying their fair share.</w:t>
      </w:r>
    </w:p>
    <w:p w14:paraId="563084B3" w14:textId="77777777" w:rsidR="001F0177" w:rsidRPr="00B613F9" w:rsidRDefault="001F0177"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b/>
          <w:szCs w:val="22"/>
        </w:rPr>
      </w:pPr>
      <w:r w:rsidRPr="00B613F9">
        <w:rPr>
          <w:rFonts w:asciiTheme="minorHAnsi" w:hAnsiTheme="minorHAnsi" w:cstheme="minorHAnsi"/>
          <w:b/>
          <w:szCs w:val="22"/>
        </w:rPr>
        <w:t xml:space="preserve">Stronger compliance measures which had the effect of effectively policing the corporate tax payment regime are necessary.  </w:t>
      </w:r>
    </w:p>
    <w:p w14:paraId="1E5FA3CA" w14:textId="77777777" w:rsidR="001F0177" w:rsidRPr="00B613F9" w:rsidRDefault="001F0177"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szCs w:val="22"/>
        </w:rPr>
      </w:pPr>
      <w:r w:rsidRPr="00B613F9">
        <w:rPr>
          <w:rFonts w:asciiTheme="minorHAnsi" w:hAnsiTheme="minorHAnsi" w:cstheme="minorHAnsi"/>
          <w:szCs w:val="22"/>
        </w:rPr>
        <w:lastRenderedPageBreak/>
        <w:t xml:space="preserve">In recent times the issues of multinationals avoiding tax has received broad media coverage.  </w:t>
      </w:r>
    </w:p>
    <w:p w14:paraId="561B5147" w14:textId="77777777" w:rsidR="00AA1AC3" w:rsidRPr="00B613F9" w:rsidRDefault="00AA1AC3"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szCs w:val="22"/>
        </w:rPr>
      </w:pPr>
      <w:r w:rsidRPr="00B613F9">
        <w:rPr>
          <w:rFonts w:asciiTheme="minorHAnsi" w:hAnsiTheme="minorHAnsi" w:cstheme="minorHAnsi"/>
          <w:szCs w:val="22"/>
        </w:rPr>
        <w:t>There is an extraordinary amount of money being moved out of Australia on a regular basis by multinational corporations so that they can avoid paying the proper amount of tax.</w:t>
      </w:r>
    </w:p>
    <w:p w14:paraId="7109E2E9" w14:textId="77777777" w:rsidR="00AA1AC3" w:rsidRPr="00B613F9" w:rsidRDefault="00AA1AC3"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szCs w:val="22"/>
        </w:rPr>
      </w:pPr>
      <w:r w:rsidRPr="00B613F9">
        <w:rPr>
          <w:rFonts w:asciiTheme="minorHAnsi" w:hAnsiTheme="minorHAnsi" w:cstheme="minorHAnsi"/>
          <w:szCs w:val="22"/>
        </w:rPr>
        <w:t xml:space="preserve">The Australian Tax office has listed 10 companies alone which, in the 2011-2012 financial year moved $31.4 billion from Australia to </w:t>
      </w:r>
      <w:r w:rsidR="00C57F0D" w:rsidRPr="00B613F9">
        <w:rPr>
          <w:rFonts w:asciiTheme="minorHAnsi" w:hAnsiTheme="minorHAnsi" w:cstheme="minorHAnsi"/>
          <w:szCs w:val="22"/>
        </w:rPr>
        <w:t>S</w:t>
      </w:r>
      <w:r w:rsidRPr="00B613F9">
        <w:rPr>
          <w:rFonts w:asciiTheme="minorHAnsi" w:hAnsiTheme="minorHAnsi" w:cstheme="minorHAnsi"/>
          <w:szCs w:val="22"/>
        </w:rPr>
        <w:t>ingapore</w:t>
      </w:r>
      <w:r w:rsidR="00C57F0D" w:rsidRPr="00B613F9">
        <w:rPr>
          <w:rFonts w:asciiTheme="minorHAnsi" w:hAnsiTheme="minorHAnsi" w:cstheme="minorHAnsi"/>
          <w:szCs w:val="22"/>
        </w:rPr>
        <w:t>.</w:t>
      </w:r>
      <w:r w:rsidR="00C57F0D" w:rsidRPr="00B613F9">
        <w:rPr>
          <w:rStyle w:val="FootnoteReference"/>
          <w:rFonts w:asciiTheme="minorHAnsi" w:hAnsiTheme="minorHAnsi" w:cstheme="minorHAnsi"/>
          <w:szCs w:val="22"/>
        </w:rPr>
        <w:footnoteReference w:id="16"/>
      </w:r>
    </w:p>
    <w:p w14:paraId="235307D9" w14:textId="77777777" w:rsidR="00AA1AC3" w:rsidRPr="00B613F9" w:rsidRDefault="001F0177"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szCs w:val="22"/>
        </w:rPr>
      </w:pPr>
      <w:r w:rsidRPr="00B613F9">
        <w:rPr>
          <w:rFonts w:asciiTheme="minorHAnsi" w:hAnsiTheme="minorHAnsi" w:cstheme="minorHAnsi"/>
          <w:b/>
          <w:szCs w:val="22"/>
        </w:rPr>
        <w:t>The SDA supports any moves which bring about multinationals paying their fair share of corporate tax.</w:t>
      </w:r>
    </w:p>
    <w:p w14:paraId="4360C568" w14:textId="77777777" w:rsidR="00AA1AC3" w:rsidRPr="00B613F9" w:rsidRDefault="00AA1AC3"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szCs w:val="22"/>
        </w:rPr>
      </w:pPr>
      <w:r w:rsidRPr="00B613F9">
        <w:rPr>
          <w:rFonts w:asciiTheme="minorHAnsi" w:hAnsiTheme="minorHAnsi" w:cstheme="minorHAnsi"/>
          <w:szCs w:val="22"/>
        </w:rPr>
        <w:t xml:space="preserve">All of these concessions listed above provide substantial benefits to high income earners. Few low or genuine middle income earners benefit from such schemes.  </w:t>
      </w:r>
    </w:p>
    <w:p w14:paraId="7281FBBF" w14:textId="77777777" w:rsidR="00AA1AC3" w:rsidRPr="00B613F9" w:rsidRDefault="00AA1AC3"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szCs w:val="22"/>
        </w:rPr>
      </w:pPr>
      <w:r w:rsidRPr="00B613F9">
        <w:rPr>
          <w:rFonts w:asciiTheme="minorHAnsi" w:hAnsiTheme="minorHAnsi" w:cstheme="minorHAnsi"/>
          <w:szCs w:val="22"/>
        </w:rPr>
        <w:t>The removal of these provisions would substantially improve the equity, simplicity and fairness of the overall system.</w:t>
      </w:r>
    </w:p>
    <w:p w14:paraId="7FA3CDD6" w14:textId="77777777" w:rsidR="001F0177" w:rsidRPr="00B613F9" w:rsidRDefault="001F0177"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b/>
          <w:szCs w:val="22"/>
        </w:rPr>
      </w:pPr>
      <w:r w:rsidRPr="00B613F9">
        <w:rPr>
          <w:rFonts w:asciiTheme="minorHAnsi" w:hAnsiTheme="minorHAnsi" w:cstheme="minorHAnsi"/>
          <w:b/>
          <w:szCs w:val="22"/>
        </w:rPr>
        <w:t xml:space="preserve">In his 2015-2016 Budget speech the Treasurer announced plans to levy tax on digital </w:t>
      </w:r>
      <w:r w:rsidR="006357B4" w:rsidRPr="00B613F9">
        <w:rPr>
          <w:rFonts w:asciiTheme="minorHAnsi" w:hAnsiTheme="minorHAnsi" w:cstheme="minorHAnsi"/>
          <w:b/>
          <w:szCs w:val="22"/>
        </w:rPr>
        <w:t>products and services</w:t>
      </w:r>
      <w:r w:rsidRPr="00B613F9">
        <w:rPr>
          <w:rFonts w:asciiTheme="minorHAnsi" w:hAnsiTheme="minorHAnsi" w:cstheme="minorHAnsi"/>
          <w:b/>
          <w:szCs w:val="22"/>
        </w:rPr>
        <w:t xml:space="preserve">.  We support this decision. </w:t>
      </w:r>
    </w:p>
    <w:p w14:paraId="4A1C89E5" w14:textId="77777777" w:rsidR="001F0177" w:rsidRPr="00B613F9" w:rsidRDefault="001F0177" w:rsidP="00247F24">
      <w:pPr>
        <w:pStyle w:val="Header"/>
        <w:numPr>
          <w:ilvl w:val="0"/>
          <w:numId w:val="7"/>
        </w:numPr>
        <w:tabs>
          <w:tab w:val="clear" w:pos="4320"/>
          <w:tab w:val="center" w:pos="4395"/>
        </w:tabs>
        <w:spacing w:after="200" w:line="276" w:lineRule="auto"/>
        <w:ind w:left="1134" w:hanging="708"/>
        <w:jc w:val="both"/>
        <w:rPr>
          <w:rFonts w:asciiTheme="minorHAnsi" w:hAnsiTheme="minorHAnsi" w:cstheme="minorHAnsi"/>
          <w:szCs w:val="22"/>
        </w:rPr>
      </w:pPr>
      <w:r w:rsidRPr="00B613F9">
        <w:rPr>
          <w:rFonts w:asciiTheme="minorHAnsi" w:hAnsiTheme="minorHAnsi" w:cstheme="minorHAnsi"/>
          <w:szCs w:val="22"/>
        </w:rPr>
        <w:t>However, that announcement leaves the job half done.</w:t>
      </w:r>
    </w:p>
    <w:p w14:paraId="43E2F979" w14:textId="77777777" w:rsidR="00D03FFC" w:rsidRPr="00B613F9" w:rsidRDefault="00D03FFC" w:rsidP="00247F24">
      <w:pPr>
        <w:pStyle w:val="ListParagraph"/>
        <w:numPr>
          <w:ilvl w:val="0"/>
          <w:numId w:val="7"/>
        </w:numPr>
        <w:tabs>
          <w:tab w:val="center" w:pos="4395"/>
        </w:tabs>
        <w:spacing w:after="200" w:afterAutospacing="0" w:line="276" w:lineRule="auto"/>
        <w:ind w:left="1134" w:hanging="708"/>
        <w:contextualSpacing w:val="0"/>
        <w:rPr>
          <w:rFonts w:asciiTheme="minorHAnsi" w:hAnsiTheme="minorHAnsi" w:cstheme="minorHAnsi"/>
          <w:sz w:val="22"/>
        </w:rPr>
      </w:pPr>
      <w:r w:rsidRPr="00B613F9">
        <w:rPr>
          <w:rFonts w:asciiTheme="minorHAnsi" w:hAnsiTheme="minorHAnsi" w:cstheme="minorHAnsi"/>
          <w:sz w:val="22"/>
        </w:rPr>
        <w:t>The retail industry in Australia is facing a significant disadvantage against overseas   on-line retailers.</w:t>
      </w:r>
    </w:p>
    <w:p w14:paraId="75896448" w14:textId="77777777" w:rsidR="00D03FFC" w:rsidRPr="00B613F9" w:rsidRDefault="00D03FFC" w:rsidP="00247F24">
      <w:pPr>
        <w:pStyle w:val="ListParagraph"/>
        <w:numPr>
          <w:ilvl w:val="0"/>
          <w:numId w:val="7"/>
        </w:numPr>
        <w:tabs>
          <w:tab w:val="center" w:pos="4395"/>
        </w:tabs>
        <w:spacing w:after="200" w:afterAutospacing="0" w:line="276" w:lineRule="auto"/>
        <w:ind w:left="1134" w:hanging="708"/>
        <w:contextualSpacing w:val="0"/>
        <w:rPr>
          <w:rFonts w:asciiTheme="minorHAnsi" w:hAnsiTheme="minorHAnsi" w:cstheme="minorHAnsi"/>
          <w:sz w:val="22"/>
        </w:rPr>
      </w:pPr>
      <w:r w:rsidRPr="00B613F9">
        <w:rPr>
          <w:rFonts w:asciiTheme="minorHAnsi" w:hAnsiTheme="minorHAnsi" w:cstheme="minorHAnsi"/>
          <w:sz w:val="22"/>
        </w:rPr>
        <w:t>Australian retailers are required to pay G.S.T. on all merchandise they handle, plus pay any import duty on this merchandise.</w:t>
      </w:r>
    </w:p>
    <w:p w14:paraId="32D90961" w14:textId="77777777" w:rsidR="00D03FFC" w:rsidRPr="00B613F9" w:rsidRDefault="00D03FFC" w:rsidP="00247F24">
      <w:pPr>
        <w:pStyle w:val="ListParagraph"/>
        <w:numPr>
          <w:ilvl w:val="0"/>
          <w:numId w:val="7"/>
        </w:numPr>
        <w:tabs>
          <w:tab w:val="center" w:pos="4395"/>
        </w:tabs>
        <w:spacing w:after="200" w:afterAutospacing="0" w:line="276" w:lineRule="auto"/>
        <w:ind w:left="1134" w:hanging="708"/>
        <w:contextualSpacing w:val="0"/>
        <w:rPr>
          <w:rFonts w:asciiTheme="minorHAnsi" w:hAnsiTheme="minorHAnsi" w:cstheme="minorHAnsi"/>
          <w:sz w:val="22"/>
        </w:rPr>
      </w:pPr>
      <w:r w:rsidRPr="00B613F9">
        <w:rPr>
          <w:rFonts w:asciiTheme="minorHAnsi" w:hAnsiTheme="minorHAnsi" w:cstheme="minorHAnsi"/>
          <w:sz w:val="22"/>
        </w:rPr>
        <w:t>Overseas-based on-line retailers do not pay the G.S.T. on merchandise priced under $1,000. They do not pay import duty. This gives them a price advantage of up to 20% over Australian-based retailers who must pay both the G.S.T. and any import duty.</w:t>
      </w:r>
    </w:p>
    <w:p w14:paraId="4B49A561" w14:textId="77777777" w:rsidR="00D03FFC" w:rsidRPr="00B613F9" w:rsidRDefault="00D03FFC" w:rsidP="00247F24">
      <w:pPr>
        <w:pStyle w:val="ListParagraph"/>
        <w:numPr>
          <w:ilvl w:val="0"/>
          <w:numId w:val="7"/>
        </w:numPr>
        <w:tabs>
          <w:tab w:val="center" w:pos="4395"/>
        </w:tabs>
        <w:spacing w:after="200" w:afterAutospacing="0" w:line="276" w:lineRule="auto"/>
        <w:ind w:left="1134" w:hanging="708"/>
        <w:contextualSpacing w:val="0"/>
        <w:rPr>
          <w:rFonts w:asciiTheme="minorHAnsi" w:hAnsiTheme="minorHAnsi" w:cstheme="minorHAnsi"/>
          <w:sz w:val="22"/>
        </w:rPr>
      </w:pPr>
      <w:r w:rsidRPr="00B613F9">
        <w:rPr>
          <w:rFonts w:asciiTheme="minorHAnsi" w:hAnsiTheme="minorHAnsi" w:cstheme="minorHAnsi"/>
          <w:sz w:val="22"/>
        </w:rPr>
        <w:t xml:space="preserve">Therefore, we have an uneven playing field.  This is unfair competition. </w:t>
      </w:r>
    </w:p>
    <w:p w14:paraId="635A5D97" w14:textId="77777777" w:rsidR="00D03FFC" w:rsidRPr="00B613F9" w:rsidRDefault="00C57F0D" w:rsidP="00247F24">
      <w:pPr>
        <w:pStyle w:val="ListParagraph"/>
        <w:numPr>
          <w:ilvl w:val="0"/>
          <w:numId w:val="7"/>
        </w:numPr>
        <w:tabs>
          <w:tab w:val="center" w:pos="4395"/>
        </w:tabs>
        <w:spacing w:after="200" w:afterAutospacing="0" w:line="276" w:lineRule="auto"/>
        <w:ind w:left="1134" w:hanging="708"/>
        <w:contextualSpacing w:val="0"/>
        <w:rPr>
          <w:rFonts w:asciiTheme="minorHAnsi" w:hAnsiTheme="minorHAnsi" w:cstheme="minorHAnsi"/>
          <w:sz w:val="22"/>
        </w:rPr>
      </w:pPr>
      <w:r w:rsidRPr="00B613F9">
        <w:rPr>
          <w:rFonts w:asciiTheme="minorHAnsi" w:hAnsiTheme="minorHAnsi" w:cstheme="minorHAnsi"/>
          <w:sz w:val="22"/>
        </w:rPr>
        <w:t>T</w:t>
      </w:r>
      <w:r w:rsidR="00D03FFC" w:rsidRPr="00B613F9">
        <w:rPr>
          <w:rFonts w:asciiTheme="minorHAnsi" w:hAnsiTheme="minorHAnsi" w:cstheme="minorHAnsi"/>
          <w:sz w:val="22"/>
        </w:rPr>
        <w:t>he magnitude of the disadvantage suffered by Australian retailers is substantial for an industry where profit margins are generally quite small. It is not a sustainable situation.</w:t>
      </w:r>
    </w:p>
    <w:p w14:paraId="1CC56484" w14:textId="77777777" w:rsidR="00D03FFC" w:rsidRPr="00B613F9" w:rsidRDefault="00D03FFC" w:rsidP="00247F24">
      <w:pPr>
        <w:pStyle w:val="ListParagraph"/>
        <w:numPr>
          <w:ilvl w:val="0"/>
          <w:numId w:val="7"/>
        </w:numPr>
        <w:tabs>
          <w:tab w:val="center" w:pos="4395"/>
        </w:tabs>
        <w:spacing w:after="200" w:afterAutospacing="0" w:line="276" w:lineRule="auto"/>
        <w:ind w:left="1134" w:hanging="708"/>
        <w:contextualSpacing w:val="0"/>
        <w:rPr>
          <w:rFonts w:asciiTheme="minorHAnsi" w:hAnsiTheme="minorHAnsi" w:cstheme="minorHAnsi"/>
          <w:sz w:val="22"/>
        </w:rPr>
      </w:pPr>
      <w:r w:rsidRPr="00B613F9">
        <w:rPr>
          <w:rFonts w:asciiTheme="minorHAnsi" w:hAnsiTheme="minorHAnsi" w:cstheme="minorHAnsi"/>
          <w:sz w:val="22"/>
        </w:rPr>
        <w:t xml:space="preserve">International on line in retail should not be given preferential treatment at the expense of Australian workers and businesses. </w:t>
      </w:r>
    </w:p>
    <w:p w14:paraId="5BADDCB1" w14:textId="77777777" w:rsidR="00D03FFC" w:rsidRPr="00B613F9" w:rsidRDefault="00D03FFC" w:rsidP="00247F24">
      <w:pPr>
        <w:pStyle w:val="ListParagraph"/>
        <w:numPr>
          <w:ilvl w:val="0"/>
          <w:numId w:val="7"/>
        </w:numPr>
        <w:tabs>
          <w:tab w:val="center" w:pos="4395"/>
        </w:tabs>
        <w:spacing w:after="200" w:afterAutospacing="0" w:line="276" w:lineRule="auto"/>
        <w:ind w:left="1134" w:hanging="708"/>
        <w:contextualSpacing w:val="0"/>
        <w:rPr>
          <w:rFonts w:asciiTheme="minorHAnsi" w:hAnsiTheme="minorHAnsi" w:cstheme="minorHAnsi"/>
          <w:sz w:val="22"/>
        </w:rPr>
      </w:pPr>
      <w:r w:rsidRPr="00B613F9">
        <w:rPr>
          <w:rFonts w:asciiTheme="minorHAnsi" w:hAnsiTheme="minorHAnsi" w:cstheme="minorHAnsi"/>
          <w:sz w:val="22"/>
        </w:rPr>
        <w:t xml:space="preserve">Overseas operators are taking advantage of the unfair competitive environment to grow their business.  It is not uncommon </w:t>
      </w:r>
      <w:r w:rsidR="003C4F4B" w:rsidRPr="00B613F9">
        <w:rPr>
          <w:rFonts w:asciiTheme="minorHAnsi" w:hAnsiTheme="minorHAnsi" w:cstheme="minorHAnsi"/>
          <w:sz w:val="22"/>
        </w:rPr>
        <w:t>for overseas</w:t>
      </w:r>
      <w:r w:rsidRPr="00B613F9">
        <w:rPr>
          <w:rFonts w:asciiTheme="minorHAnsi" w:hAnsiTheme="minorHAnsi" w:cstheme="minorHAnsi"/>
          <w:sz w:val="22"/>
        </w:rPr>
        <w:t xml:space="preserve"> operators to ensure GST and import duties are avoided. For example, if an order is over $1000, it is automatically split into two orders to fall below the $1000 threshold.  A system that actively and willingly condones such approaches is wrong.</w:t>
      </w:r>
    </w:p>
    <w:p w14:paraId="37F849BE" w14:textId="77777777" w:rsidR="00D03FFC" w:rsidRPr="00B613F9" w:rsidRDefault="00D03FFC" w:rsidP="00247F24">
      <w:pPr>
        <w:pStyle w:val="ListParagraph"/>
        <w:numPr>
          <w:ilvl w:val="0"/>
          <w:numId w:val="7"/>
        </w:numPr>
        <w:tabs>
          <w:tab w:val="center" w:pos="4395"/>
        </w:tabs>
        <w:spacing w:after="200" w:afterAutospacing="0" w:line="276" w:lineRule="auto"/>
        <w:ind w:left="1134" w:hanging="708"/>
        <w:contextualSpacing w:val="0"/>
        <w:rPr>
          <w:rFonts w:asciiTheme="minorHAnsi" w:hAnsiTheme="minorHAnsi" w:cstheme="minorHAnsi"/>
          <w:sz w:val="22"/>
        </w:rPr>
      </w:pPr>
      <w:r w:rsidRPr="00B613F9">
        <w:rPr>
          <w:rFonts w:asciiTheme="minorHAnsi" w:hAnsiTheme="minorHAnsi" w:cstheme="minorHAnsi"/>
          <w:sz w:val="22"/>
        </w:rPr>
        <w:lastRenderedPageBreak/>
        <w:t xml:space="preserve">Having inefficiencies that give overseas competitors an advantage in that they can avoid GST and import duties is something that the Australian retail industry should not have to contend with. </w:t>
      </w:r>
    </w:p>
    <w:p w14:paraId="4B31D6E3" w14:textId="77777777" w:rsidR="00D03FFC" w:rsidRPr="00B613F9" w:rsidRDefault="00D03FFC" w:rsidP="00247F24">
      <w:pPr>
        <w:pStyle w:val="ListParagraph"/>
        <w:numPr>
          <w:ilvl w:val="0"/>
          <w:numId w:val="7"/>
        </w:numPr>
        <w:tabs>
          <w:tab w:val="center" w:pos="4395"/>
        </w:tabs>
        <w:spacing w:after="200" w:afterAutospacing="0" w:line="276" w:lineRule="auto"/>
        <w:ind w:left="1134" w:hanging="708"/>
        <w:contextualSpacing w:val="0"/>
        <w:rPr>
          <w:rFonts w:asciiTheme="minorHAnsi" w:hAnsiTheme="minorHAnsi" w:cstheme="minorHAnsi"/>
          <w:sz w:val="22"/>
        </w:rPr>
      </w:pPr>
      <w:r w:rsidRPr="00B613F9">
        <w:rPr>
          <w:rFonts w:asciiTheme="minorHAnsi" w:hAnsiTheme="minorHAnsi" w:cstheme="minorHAnsi"/>
          <w:sz w:val="22"/>
        </w:rPr>
        <w:t>Many countries deliberately protect domestic companies from overseas competition. Here, we are doing the opposite. Government policy actually penalises Australian retailers against their overseas on-line competitors.</w:t>
      </w:r>
    </w:p>
    <w:p w14:paraId="520DACA3" w14:textId="77777777" w:rsidR="00D03FFC" w:rsidRPr="00B613F9" w:rsidRDefault="00D03FFC" w:rsidP="00247F24">
      <w:pPr>
        <w:pStyle w:val="ListParagraph"/>
        <w:numPr>
          <w:ilvl w:val="0"/>
          <w:numId w:val="7"/>
        </w:numPr>
        <w:tabs>
          <w:tab w:val="center" w:pos="4395"/>
        </w:tabs>
        <w:spacing w:after="200" w:afterAutospacing="0" w:line="276" w:lineRule="auto"/>
        <w:ind w:left="1134" w:hanging="708"/>
        <w:contextualSpacing w:val="0"/>
        <w:rPr>
          <w:rFonts w:asciiTheme="minorHAnsi" w:hAnsiTheme="minorHAnsi" w:cstheme="minorHAnsi"/>
          <w:sz w:val="22"/>
        </w:rPr>
      </w:pPr>
      <w:r w:rsidRPr="00B613F9">
        <w:rPr>
          <w:rFonts w:asciiTheme="minorHAnsi" w:hAnsiTheme="minorHAnsi" w:cstheme="minorHAnsi"/>
          <w:sz w:val="22"/>
        </w:rPr>
        <w:t>The Australian Retail Industry is already a modern and competitive industry with an extremely flexible workforce and an efficient mode of operation. It is as advanced as any retail industry in North American or Western Europe.</w:t>
      </w:r>
    </w:p>
    <w:p w14:paraId="71A4D1D0" w14:textId="77777777" w:rsidR="00D03FFC" w:rsidRPr="00B613F9" w:rsidRDefault="00D03FFC" w:rsidP="00247F24">
      <w:pPr>
        <w:pStyle w:val="ListParagraph"/>
        <w:numPr>
          <w:ilvl w:val="0"/>
          <w:numId w:val="7"/>
        </w:numPr>
        <w:tabs>
          <w:tab w:val="center" w:pos="4395"/>
        </w:tabs>
        <w:spacing w:after="200" w:afterAutospacing="0" w:line="276" w:lineRule="auto"/>
        <w:ind w:left="1134" w:hanging="708"/>
        <w:contextualSpacing w:val="0"/>
        <w:rPr>
          <w:rFonts w:asciiTheme="minorHAnsi" w:hAnsiTheme="minorHAnsi" w:cstheme="minorHAnsi"/>
          <w:sz w:val="22"/>
        </w:rPr>
      </w:pPr>
      <w:r w:rsidRPr="00B613F9">
        <w:rPr>
          <w:rFonts w:asciiTheme="minorHAnsi" w:hAnsiTheme="minorHAnsi" w:cstheme="minorHAnsi"/>
          <w:sz w:val="22"/>
        </w:rPr>
        <w:t>The Government legislates to impose various taxes and duties. In doing so, it has an obligation to the retail industry and its employees to ensure that this taxation regime does not disadvantage any companies, whether domestic or foreign. It has a duty to ensure there is a level playing field.</w:t>
      </w:r>
    </w:p>
    <w:p w14:paraId="5B120847" w14:textId="77777777" w:rsidR="00D03FFC" w:rsidRPr="00B613F9" w:rsidRDefault="00D03FFC" w:rsidP="00247F24">
      <w:pPr>
        <w:pStyle w:val="ListParagraph"/>
        <w:numPr>
          <w:ilvl w:val="0"/>
          <w:numId w:val="7"/>
        </w:numPr>
        <w:tabs>
          <w:tab w:val="center" w:pos="4395"/>
        </w:tabs>
        <w:spacing w:after="200" w:afterAutospacing="0" w:line="276" w:lineRule="auto"/>
        <w:ind w:left="1134" w:hanging="708"/>
        <w:contextualSpacing w:val="0"/>
        <w:rPr>
          <w:rFonts w:asciiTheme="minorHAnsi" w:hAnsiTheme="minorHAnsi" w:cstheme="minorHAnsi"/>
          <w:sz w:val="22"/>
        </w:rPr>
      </w:pPr>
      <w:r w:rsidRPr="00B613F9">
        <w:rPr>
          <w:rFonts w:asciiTheme="minorHAnsi" w:hAnsiTheme="minorHAnsi" w:cstheme="minorHAnsi"/>
          <w:sz w:val="22"/>
        </w:rPr>
        <w:t>Overseas on-line retailers should pay the same taxes and duties as their Australian-based competitors.</w:t>
      </w:r>
    </w:p>
    <w:p w14:paraId="5DD48566" w14:textId="77777777" w:rsidR="00D03FFC" w:rsidRPr="00B613F9" w:rsidRDefault="00D03FFC" w:rsidP="00247F24">
      <w:pPr>
        <w:pStyle w:val="ListParagraph"/>
        <w:numPr>
          <w:ilvl w:val="0"/>
          <w:numId w:val="7"/>
        </w:numPr>
        <w:tabs>
          <w:tab w:val="center" w:pos="4395"/>
        </w:tabs>
        <w:spacing w:after="200" w:afterAutospacing="0" w:line="276" w:lineRule="auto"/>
        <w:ind w:left="1134" w:hanging="708"/>
        <w:contextualSpacing w:val="0"/>
        <w:rPr>
          <w:rFonts w:asciiTheme="minorHAnsi" w:hAnsiTheme="minorHAnsi" w:cstheme="minorHAnsi"/>
          <w:b/>
          <w:sz w:val="22"/>
        </w:rPr>
      </w:pPr>
      <w:r w:rsidRPr="00B613F9">
        <w:rPr>
          <w:rFonts w:asciiTheme="minorHAnsi" w:hAnsiTheme="minorHAnsi" w:cstheme="minorHAnsi"/>
          <w:b/>
          <w:sz w:val="22"/>
        </w:rPr>
        <w:t>There is a need to introduce a requirement for G.S.T. to be paid on all goods and services purchased on-line from overseas.</w:t>
      </w:r>
    </w:p>
    <w:p w14:paraId="3D0E92B1" w14:textId="77777777" w:rsidR="00301F7C" w:rsidRPr="00B613F9" w:rsidRDefault="00301F7C">
      <w:pPr>
        <w:rPr>
          <w:rFonts w:eastAsia="Times New Roman" w:cstheme="minorHAnsi"/>
          <w:u w:val="single"/>
          <w:lang w:val="en-US"/>
        </w:rPr>
      </w:pPr>
      <w:r w:rsidRPr="00B613F9">
        <w:rPr>
          <w:rFonts w:cstheme="minorHAnsi"/>
          <w:u w:val="single"/>
        </w:rPr>
        <w:br w:type="page"/>
      </w:r>
    </w:p>
    <w:p w14:paraId="731E54B5" w14:textId="77777777" w:rsidR="00753D5F" w:rsidRDefault="00753D5F" w:rsidP="00247F24">
      <w:pPr>
        <w:pStyle w:val="Header"/>
        <w:spacing w:after="200" w:line="276" w:lineRule="auto"/>
        <w:jc w:val="both"/>
        <w:rPr>
          <w:rFonts w:asciiTheme="minorHAnsi" w:hAnsiTheme="minorHAnsi" w:cstheme="minorHAnsi"/>
          <w:sz w:val="28"/>
          <w:szCs w:val="28"/>
          <w:u w:val="single"/>
        </w:rPr>
      </w:pPr>
      <w:r w:rsidRPr="00B613F9">
        <w:rPr>
          <w:rFonts w:asciiTheme="minorHAnsi" w:hAnsiTheme="minorHAnsi" w:cstheme="minorHAnsi"/>
          <w:sz w:val="28"/>
          <w:szCs w:val="28"/>
          <w:u w:val="single"/>
        </w:rPr>
        <w:lastRenderedPageBreak/>
        <w:t>The Goods and Services Tax and state taxes</w:t>
      </w:r>
    </w:p>
    <w:p w14:paraId="6DA49DBC" w14:textId="77777777" w:rsidR="00B613F9" w:rsidRPr="00B613F9" w:rsidRDefault="00B613F9" w:rsidP="00247F24">
      <w:pPr>
        <w:pStyle w:val="Header"/>
        <w:spacing w:after="200" w:line="276" w:lineRule="auto"/>
        <w:jc w:val="both"/>
        <w:rPr>
          <w:rFonts w:asciiTheme="minorHAnsi" w:hAnsiTheme="minorHAnsi" w:cstheme="minorHAnsi"/>
          <w:sz w:val="28"/>
          <w:szCs w:val="28"/>
          <w:u w:val="single"/>
        </w:rPr>
      </w:pPr>
    </w:p>
    <w:p w14:paraId="5F442A69" w14:textId="77777777" w:rsidR="00003EE2" w:rsidRPr="00B613F9" w:rsidRDefault="00E4485D" w:rsidP="00301F7C">
      <w:pPr>
        <w:pStyle w:val="Header"/>
        <w:numPr>
          <w:ilvl w:val="0"/>
          <w:numId w:val="7"/>
        </w:numPr>
        <w:tabs>
          <w:tab w:val="clear" w:pos="4320"/>
          <w:tab w:val="center" w:pos="4395"/>
        </w:tabs>
        <w:spacing w:after="160" w:line="276" w:lineRule="auto"/>
        <w:ind w:left="1134" w:hanging="709"/>
        <w:jc w:val="both"/>
        <w:rPr>
          <w:rFonts w:asciiTheme="minorHAnsi" w:hAnsiTheme="minorHAnsi" w:cstheme="minorHAnsi"/>
          <w:szCs w:val="22"/>
        </w:rPr>
      </w:pPr>
      <w:r w:rsidRPr="00B613F9">
        <w:rPr>
          <w:rFonts w:asciiTheme="minorHAnsi" w:hAnsiTheme="minorHAnsi" w:cstheme="minorHAnsi"/>
          <w:szCs w:val="22"/>
        </w:rPr>
        <w:t xml:space="preserve">The GST is Australia’s primary tax on consumption.  </w:t>
      </w:r>
    </w:p>
    <w:p w14:paraId="551BD463" w14:textId="77777777" w:rsidR="00E4485D" w:rsidRPr="00B613F9" w:rsidRDefault="00E4485D" w:rsidP="00301F7C">
      <w:pPr>
        <w:pStyle w:val="Header"/>
        <w:numPr>
          <w:ilvl w:val="0"/>
          <w:numId w:val="7"/>
        </w:numPr>
        <w:tabs>
          <w:tab w:val="clear" w:pos="4320"/>
          <w:tab w:val="center" w:pos="4395"/>
        </w:tabs>
        <w:spacing w:after="160" w:line="276" w:lineRule="auto"/>
        <w:ind w:left="1134" w:hanging="709"/>
        <w:jc w:val="both"/>
        <w:rPr>
          <w:rFonts w:asciiTheme="minorHAnsi" w:hAnsiTheme="minorHAnsi" w:cstheme="minorHAnsi"/>
          <w:szCs w:val="22"/>
        </w:rPr>
      </w:pPr>
      <w:r w:rsidRPr="00B613F9">
        <w:rPr>
          <w:rFonts w:asciiTheme="minorHAnsi" w:hAnsiTheme="minorHAnsi" w:cstheme="minorHAnsi"/>
          <w:szCs w:val="22"/>
        </w:rPr>
        <w:t>The SDA opposed the introduction of the GST in 2000.  We continue to maintain our opposition to the concept of a GST.</w:t>
      </w:r>
    </w:p>
    <w:p w14:paraId="27AFB66E" w14:textId="77777777" w:rsidR="00E4485D" w:rsidRPr="00B613F9" w:rsidRDefault="00E4485D" w:rsidP="00301F7C">
      <w:pPr>
        <w:pStyle w:val="Header"/>
        <w:numPr>
          <w:ilvl w:val="0"/>
          <w:numId w:val="7"/>
        </w:numPr>
        <w:tabs>
          <w:tab w:val="clear" w:pos="4320"/>
          <w:tab w:val="center" w:pos="4395"/>
        </w:tabs>
        <w:spacing w:after="160" w:line="276" w:lineRule="auto"/>
        <w:ind w:left="1134" w:hanging="709"/>
        <w:jc w:val="both"/>
        <w:rPr>
          <w:rFonts w:asciiTheme="minorHAnsi" w:hAnsiTheme="minorHAnsi" w:cstheme="minorHAnsi"/>
          <w:b/>
          <w:szCs w:val="22"/>
        </w:rPr>
      </w:pPr>
      <w:r w:rsidRPr="00B613F9">
        <w:rPr>
          <w:rFonts w:asciiTheme="minorHAnsi" w:hAnsiTheme="minorHAnsi" w:cstheme="minorHAnsi"/>
          <w:b/>
          <w:szCs w:val="22"/>
        </w:rPr>
        <w:t>We do not support any expansion of the GST, either by raising the current figure of 10% or by expanding its coverage.</w:t>
      </w:r>
    </w:p>
    <w:p w14:paraId="1AF652FC" w14:textId="77777777" w:rsidR="00003EE2" w:rsidRPr="00B613F9" w:rsidRDefault="00E4485D" w:rsidP="00301F7C">
      <w:pPr>
        <w:pStyle w:val="Header"/>
        <w:numPr>
          <w:ilvl w:val="0"/>
          <w:numId w:val="7"/>
        </w:numPr>
        <w:tabs>
          <w:tab w:val="clear" w:pos="4320"/>
          <w:tab w:val="center" w:pos="4395"/>
        </w:tabs>
        <w:spacing w:after="160" w:line="276" w:lineRule="auto"/>
        <w:ind w:left="1134" w:hanging="709"/>
        <w:jc w:val="both"/>
        <w:rPr>
          <w:rFonts w:asciiTheme="minorHAnsi" w:hAnsiTheme="minorHAnsi" w:cstheme="minorHAnsi"/>
          <w:szCs w:val="22"/>
        </w:rPr>
      </w:pPr>
      <w:r w:rsidRPr="00B613F9">
        <w:rPr>
          <w:rFonts w:asciiTheme="minorHAnsi" w:hAnsiTheme="minorHAnsi" w:cstheme="minorHAnsi"/>
          <w:szCs w:val="22"/>
        </w:rPr>
        <w:t xml:space="preserve">As a consumption tax the GST impacts most heavily upon those on lower incomes who have less financial capacity to absorb its impact. </w:t>
      </w:r>
    </w:p>
    <w:p w14:paraId="76DA49C9" w14:textId="77777777" w:rsidR="00E4485D" w:rsidRPr="00B613F9" w:rsidRDefault="00E4485D" w:rsidP="00301F7C">
      <w:pPr>
        <w:pStyle w:val="Header"/>
        <w:numPr>
          <w:ilvl w:val="0"/>
          <w:numId w:val="7"/>
        </w:numPr>
        <w:tabs>
          <w:tab w:val="clear" w:pos="4320"/>
          <w:tab w:val="center" w:pos="4395"/>
        </w:tabs>
        <w:spacing w:after="160" w:line="276" w:lineRule="auto"/>
        <w:ind w:left="1134" w:hanging="709"/>
        <w:jc w:val="both"/>
        <w:rPr>
          <w:rFonts w:asciiTheme="minorHAnsi" w:hAnsiTheme="minorHAnsi" w:cstheme="minorHAnsi"/>
          <w:szCs w:val="22"/>
        </w:rPr>
      </w:pPr>
      <w:r w:rsidRPr="00B613F9">
        <w:rPr>
          <w:rFonts w:asciiTheme="minorHAnsi" w:hAnsiTheme="minorHAnsi" w:cstheme="minorHAnsi"/>
          <w:szCs w:val="22"/>
        </w:rPr>
        <w:t>In particular the GS</w:t>
      </w:r>
      <w:r w:rsidR="00003EE2" w:rsidRPr="00B613F9">
        <w:rPr>
          <w:rFonts w:asciiTheme="minorHAnsi" w:hAnsiTheme="minorHAnsi" w:cstheme="minorHAnsi"/>
          <w:szCs w:val="22"/>
        </w:rPr>
        <w:t>T</w:t>
      </w:r>
      <w:r w:rsidRPr="00B613F9">
        <w:rPr>
          <w:rFonts w:asciiTheme="minorHAnsi" w:hAnsiTheme="minorHAnsi" w:cstheme="minorHAnsi"/>
          <w:szCs w:val="22"/>
        </w:rPr>
        <w:t xml:space="preserve"> impacts most heavily upon young families, where the family income tends to be lower than in the latter years of the parents who over time generally progress in their employment with consequent increases in wages or salaries.</w:t>
      </w:r>
    </w:p>
    <w:p w14:paraId="2F4DA5B9" w14:textId="77777777" w:rsidR="00E4485D" w:rsidRPr="00B613F9" w:rsidRDefault="00E4485D" w:rsidP="00301F7C">
      <w:pPr>
        <w:pStyle w:val="Header"/>
        <w:numPr>
          <w:ilvl w:val="0"/>
          <w:numId w:val="7"/>
        </w:numPr>
        <w:tabs>
          <w:tab w:val="clear" w:pos="4320"/>
          <w:tab w:val="center" w:pos="4395"/>
        </w:tabs>
        <w:spacing w:after="160" w:line="276" w:lineRule="auto"/>
        <w:ind w:left="1134" w:hanging="709"/>
        <w:jc w:val="both"/>
        <w:rPr>
          <w:rFonts w:asciiTheme="minorHAnsi" w:hAnsiTheme="minorHAnsi" w:cstheme="minorHAnsi"/>
          <w:szCs w:val="22"/>
        </w:rPr>
      </w:pPr>
      <w:r w:rsidRPr="00B613F9">
        <w:rPr>
          <w:rFonts w:asciiTheme="minorHAnsi" w:hAnsiTheme="minorHAnsi" w:cstheme="minorHAnsi"/>
          <w:szCs w:val="22"/>
        </w:rPr>
        <w:t xml:space="preserve">As </w:t>
      </w:r>
      <w:proofErr w:type="spellStart"/>
      <w:r w:rsidRPr="00B613F9">
        <w:rPr>
          <w:rFonts w:asciiTheme="minorHAnsi" w:hAnsiTheme="minorHAnsi" w:cstheme="minorHAnsi"/>
          <w:szCs w:val="22"/>
        </w:rPr>
        <w:t>Re:think</w:t>
      </w:r>
      <w:proofErr w:type="spellEnd"/>
      <w:r w:rsidRPr="00B613F9">
        <w:rPr>
          <w:rFonts w:asciiTheme="minorHAnsi" w:hAnsiTheme="minorHAnsi" w:cstheme="minorHAnsi"/>
          <w:szCs w:val="22"/>
        </w:rPr>
        <w:t xml:space="preserve"> points out at page 135 broad based consumption taxes increase prices and </w:t>
      </w:r>
      <w:r w:rsidR="00003EE2" w:rsidRPr="00B613F9">
        <w:rPr>
          <w:rFonts w:asciiTheme="minorHAnsi" w:hAnsiTheme="minorHAnsi" w:cstheme="minorHAnsi"/>
          <w:szCs w:val="22"/>
        </w:rPr>
        <w:t xml:space="preserve">by consequence </w:t>
      </w:r>
      <w:r w:rsidRPr="00B613F9">
        <w:rPr>
          <w:rFonts w:asciiTheme="minorHAnsi" w:hAnsiTheme="minorHAnsi" w:cstheme="minorHAnsi"/>
          <w:szCs w:val="22"/>
        </w:rPr>
        <w:t>this has the effect of reducing the real value of the stock of existing household savings.</w:t>
      </w:r>
      <w:r w:rsidR="00003EE2" w:rsidRPr="00B613F9">
        <w:rPr>
          <w:rStyle w:val="FootnoteReference"/>
          <w:rFonts w:asciiTheme="minorHAnsi" w:hAnsiTheme="minorHAnsi" w:cstheme="minorHAnsi"/>
          <w:szCs w:val="22"/>
        </w:rPr>
        <w:footnoteReference w:id="17"/>
      </w:r>
    </w:p>
    <w:p w14:paraId="50DB6DDE" w14:textId="77777777" w:rsidR="00E4485D" w:rsidRPr="00B613F9" w:rsidRDefault="00E4485D" w:rsidP="00301F7C">
      <w:pPr>
        <w:pStyle w:val="Header"/>
        <w:numPr>
          <w:ilvl w:val="0"/>
          <w:numId w:val="7"/>
        </w:numPr>
        <w:tabs>
          <w:tab w:val="clear" w:pos="4320"/>
          <w:tab w:val="center" w:pos="4395"/>
        </w:tabs>
        <w:spacing w:after="160" w:line="276" w:lineRule="auto"/>
        <w:ind w:left="1134" w:hanging="709"/>
        <w:jc w:val="both"/>
        <w:rPr>
          <w:rFonts w:asciiTheme="minorHAnsi" w:hAnsiTheme="minorHAnsi" w:cstheme="minorHAnsi"/>
          <w:szCs w:val="22"/>
        </w:rPr>
      </w:pPr>
      <w:r w:rsidRPr="00B613F9">
        <w:rPr>
          <w:rFonts w:asciiTheme="minorHAnsi" w:hAnsiTheme="minorHAnsi" w:cstheme="minorHAnsi"/>
          <w:szCs w:val="22"/>
        </w:rPr>
        <w:t>Given Australia has a major problem with the overall low level of household savings</w:t>
      </w:r>
      <w:r w:rsidR="00003EE2" w:rsidRPr="00B613F9">
        <w:rPr>
          <w:rFonts w:asciiTheme="minorHAnsi" w:hAnsiTheme="minorHAnsi" w:cstheme="minorHAnsi"/>
          <w:szCs w:val="22"/>
        </w:rPr>
        <w:t>,</w:t>
      </w:r>
      <w:r w:rsidRPr="00B613F9">
        <w:rPr>
          <w:rFonts w:asciiTheme="minorHAnsi" w:hAnsiTheme="minorHAnsi" w:cstheme="minorHAnsi"/>
          <w:szCs w:val="22"/>
        </w:rPr>
        <w:t xml:space="preserve"> moves which would have the effect of further reducing such savings stock would have a detrimental impact upon the economy</w:t>
      </w:r>
    </w:p>
    <w:p w14:paraId="0D12B851" w14:textId="77777777" w:rsidR="00B23738" w:rsidRPr="00B613F9" w:rsidRDefault="00B23738" w:rsidP="00301F7C">
      <w:pPr>
        <w:pStyle w:val="Header"/>
        <w:numPr>
          <w:ilvl w:val="0"/>
          <w:numId w:val="7"/>
        </w:numPr>
        <w:tabs>
          <w:tab w:val="clear" w:pos="4320"/>
          <w:tab w:val="center" w:pos="4395"/>
        </w:tabs>
        <w:spacing w:after="160" w:line="276" w:lineRule="auto"/>
        <w:ind w:left="1134" w:hanging="709"/>
        <w:jc w:val="both"/>
        <w:rPr>
          <w:rFonts w:asciiTheme="minorHAnsi" w:hAnsiTheme="minorHAnsi" w:cstheme="minorHAnsi"/>
          <w:szCs w:val="22"/>
        </w:rPr>
      </w:pPr>
      <w:r w:rsidRPr="00B613F9">
        <w:rPr>
          <w:rFonts w:asciiTheme="minorHAnsi" w:hAnsiTheme="minorHAnsi" w:cstheme="minorHAnsi"/>
          <w:szCs w:val="22"/>
        </w:rPr>
        <w:t xml:space="preserve">Home ownership is becoming increasingly difficult for many families.  Low income families in particular are finding it extremely difficult to enter the housing market.  Home ownership is generally regarded as a major bulwark against poverty and a major factor in bringing about family stability.  </w:t>
      </w:r>
    </w:p>
    <w:p w14:paraId="2235A6A9" w14:textId="77777777" w:rsidR="00C57F0D" w:rsidRPr="00B613F9" w:rsidRDefault="00B23738" w:rsidP="00301F7C">
      <w:pPr>
        <w:pStyle w:val="Header"/>
        <w:numPr>
          <w:ilvl w:val="0"/>
          <w:numId w:val="7"/>
        </w:numPr>
        <w:tabs>
          <w:tab w:val="clear" w:pos="4320"/>
          <w:tab w:val="center" w:pos="4395"/>
        </w:tabs>
        <w:spacing w:after="160" w:line="276" w:lineRule="auto"/>
        <w:ind w:left="1134" w:hanging="709"/>
        <w:jc w:val="both"/>
        <w:rPr>
          <w:rFonts w:asciiTheme="minorHAnsi" w:hAnsiTheme="minorHAnsi" w:cstheme="minorHAnsi"/>
          <w:szCs w:val="22"/>
        </w:rPr>
      </w:pPr>
      <w:r w:rsidRPr="00B613F9">
        <w:rPr>
          <w:rFonts w:asciiTheme="minorHAnsi" w:hAnsiTheme="minorHAnsi" w:cstheme="minorHAnsi"/>
          <w:szCs w:val="22"/>
        </w:rPr>
        <w:t>Government has a responsibility to help and support families into home ownership.  In particular</w:t>
      </w:r>
      <w:r w:rsidR="00C57F0D" w:rsidRPr="00B613F9">
        <w:rPr>
          <w:rFonts w:asciiTheme="minorHAnsi" w:hAnsiTheme="minorHAnsi" w:cstheme="minorHAnsi"/>
          <w:szCs w:val="22"/>
        </w:rPr>
        <w:t>,</w:t>
      </w:r>
      <w:r w:rsidRPr="00B613F9">
        <w:rPr>
          <w:rFonts w:asciiTheme="minorHAnsi" w:hAnsiTheme="minorHAnsi" w:cstheme="minorHAnsi"/>
          <w:szCs w:val="22"/>
        </w:rPr>
        <w:t xml:space="preserve"> mechanisms should not be put in </w:t>
      </w:r>
      <w:proofErr w:type="gramStart"/>
      <w:r w:rsidRPr="00B613F9">
        <w:rPr>
          <w:rFonts w:asciiTheme="minorHAnsi" w:hAnsiTheme="minorHAnsi" w:cstheme="minorHAnsi"/>
          <w:szCs w:val="22"/>
        </w:rPr>
        <w:t>place which make</w:t>
      </w:r>
      <w:proofErr w:type="gramEnd"/>
      <w:r w:rsidRPr="00B613F9">
        <w:rPr>
          <w:rFonts w:asciiTheme="minorHAnsi" w:hAnsiTheme="minorHAnsi" w:cstheme="minorHAnsi"/>
          <w:szCs w:val="22"/>
        </w:rPr>
        <w:t xml:space="preserve"> it unreasonably difficult for young families to achieve home ownership. </w:t>
      </w:r>
    </w:p>
    <w:p w14:paraId="7F4773D0" w14:textId="77777777" w:rsidR="00B23738" w:rsidRPr="00B613F9" w:rsidRDefault="00B23738" w:rsidP="00301F7C">
      <w:pPr>
        <w:pStyle w:val="Header"/>
        <w:numPr>
          <w:ilvl w:val="0"/>
          <w:numId w:val="7"/>
        </w:numPr>
        <w:tabs>
          <w:tab w:val="clear" w:pos="4320"/>
          <w:tab w:val="center" w:pos="4395"/>
        </w:tabs>
        <w:spacing w:after="160" w:line="276" w:lineRule="auto"/>
        <w:ind w:left="1134" w:hanging="709"/>
        <w:jc w:val="both"/>
        <w:rPr>
          <w:rFonts w:asciiTheme="minorHAnsi" w:hAnsiTheme="minorHAnsi" w:cstheme="minorHAnsi"/>
          <w:szCs w:val="22"/>
        </w:rPr>
      </w:pPr>
      <w:r w:rsidRPr="00B613F9">
        <w:rPr>
          <w:rFonts w:asciiTheme="minorHAnsi" w:hAnsiTheme="minorHAnsi" w:cstheme="minorHAnsi"/>
          <w:szCs w:val="22"/>
        </w:rPr>
        <w:t>The existence of negative gearing which encourages investors into the housing market to compete against families works against families achieving home ownership.  Likewise the requirement upon purchasers to pay stamp duty on house acquisitions leads to the same outcome.</w:t>
      </w:r>
    </w:p>
    <w:p w14:paraId="7332EB45" w14:textId="77777777" w:rsidR="00B23738" w:rsidRPr="0085536B" w:rsidRDefault="00B23738" w:rsidP="00301F7C">
      <w:pPr>
        <w:pStyle w:val="Header"/>
        <w:numPr>
          <w:ilvl w:val="0"/>
          <w:numId w:val="7"/>
        </w:numPr>
        <w:tabs>
          <w:tab w:val="clear" w:pos="4320"/>
          <w:tab w:val="center" w:pos="4395"/>
        </w:tabs>
        <w:spacing w:after="160" w:line="276" w:lineRule="auto"/>
        <w:ind w:left="1134" w:hanging="709"/>
        <w:jc w:val="both"/>
        <w:rPr>
          <w:rFonts w:asciiTheme="minorHAnsi" w:hAnsiTheme="minorHAnsi" w:cstheme="minorHAnsi"/>
          <w:b/>
          <w:szCs w:val="22"/>
        </w:rPr>
      </w:pPr>
      <w:r w:rsidRPr="0085536B">
        <w:rPr>
          <w:rFonts w:asciiTheme="minorHAnsi" w:hAnsiTheme="minorHAnsi" w:cstheme="minorHAnsi"/>
          <w:b/>
          <w:szCs w:val="22"/>
        </w:rPr>
        <w:t>Taxation reform should aim to bring about an end to stamp duties being paid on the acquisition of the family home.</w:t>
      </w:r>
    </w:p>
    <w:p w14:paraId="0378A7E3" w14:textId="77777777" w:rsidR="00753D5F" w:rsidRPr="00B613F9" w:rsidRDefault="00753D5F" w:rsidP="00301F7C">
      <w:pPr>
        <w:pStyle w:val="Header"/>
        <w:numPr>
          <w:ilvl w:val="0"/>
          <w:numId w:val="7"/>
        </w:numPr>
        <w:tabs>
          <w:tab w:val="clear" w:pos="4320"/>
          <w:tab w:val="center" w:pos="4395"/>
        </w:tabs>
        <w:spacing w:after="160" w:line="276" w:lineRule="auto"/>
        <w:ind w:left="1134" w:hanging="709"/>
        <w:jc w:val="both"/>
        <w:rPr>
          <w:rFonts w:asciiTheme="minorHAnsi" w:hAnsiTheme="minorHAnsi" w:cstheme="minorHAnsi"/>
          <w:szCs w:val="22"/>
        </w:rPr>
      </w:pPr>
      <w:proofErr w:type="spellStart"/>
      <w:r w:rsidRPr="00B613F9">
        <w:rPr>
          <w:rFonts w:asciiTheme="minorHAnsi" w:hAnsiTheme="minorHAnsi" w:cstheme="minorHAnsi"/>
          <w:szCs w:val="22"/>
        </w:rPr>
        <w:t>Re</w:t>
      </w:r>
      <w:proofErr w:type="gramStart"/>
      <w:r w:rsidRPr="00B613F9">
        <w:rPr>
          <w:rFonts w:asciiTheme="minorHAnsi" w:hAnsiTheme="minorHAnsi" w:cstheme="minorHAnsi"/>
          <w:szCs w:val="22"/>
        </w:rPr>
        <w:t>:think</w:t>
      </w:r>
      <w:proofErr w:type="spellEnd"/>
      <w:proofErr w:type="gramEnd"/>
      <w:r w:rsidRPr="00B613F9">
        <w:rPr>
          <w:rFonts w:asciiTheme="minorHAnsi" w:hAnsiTheme="minorHAnsi" w:cstheme="minorHAnsi"/>
          <w:szCs w:val="22"/>
        </w:rPr>
        <w:t xml:space="preserve"> has raised the issue of user charges being more widely used to meet the costs of services.  </w:t>
      </w:r>
    </w:p>
    <w:p w14:paraId="46CD5FA5" w14:textId="77777777" w:rsidR="00753D5F" w:rsidRPr="00B613F9" w:rsidRDefault="00753D5F" w:rsidP="00301F7C">
      <w:pPr>
        <w:pStyle w:val="Header"/>
        <w:numPr>
          <w:ilvl w:val="0"/>
          <w:numId w:val="7"/>
        </w:numPr>
        <w:tabs>
          <w:tab w:val="clear" w:pos="4320"/>
          <w:tab w:val="center" w:pos="4395"/>
        </w:tabs>
        <w:spacing w:after="160" w:line="276" w:lineRule="auto"/>
        <w:ind w:left="1134" w:hanging="709"/>
        <w:jc w:val="both"/>
        <w:rPr>
          <w:rFonts w:asciiTheme="minorHAnsi" w:hAnsiTheme="minorHAnsi" w:cstheme="minorHAnsi"/>
          <w:szCs w:val="22"/>
        </w:rPr>
      </w:pPr>
      <w:r w:rsidRPr="00B613F9">
        <w:rPr>
          <w:rFonts w:asciiTheme="minorHAnsi" w:hAnsiTheme="minorHAnsi" w:cstheme="minorHAnsi"/>
          <w:szCs w:val="22"/>
        </w:rPr>
        <w:lastRenderedPageBreak/>
        <w:t>User charges fall disproportionately on low income earners.  In most cases the costs of services do not vary according to the income of the individual involved.  The higher the income the more able an individual is able to comfortably meet the costs of services.</w:t>
      </w:r>
    </w:p>
    <w:p w14:paraId="4FDB0EEA" w14:textId="77777777" w:rsidR="00571DDF" w:rsidRPr="0085536B" w:rsidRDefault="00753D5F" w:rsidP="00301F7C">
      <w:pPr>
        <w:pStyle w:val="Header"/>
        <w:numPr>
          <w:ilvl w:val="0"/>
          <w:numId w:val="7"/>
        </w:numPr>
        <w:tabs>
          <w:tab w:val="clear" w:pos="4320"/>
          <w:tab w:val="center" w:pos="4395"/>
        </w:tabs>
        <w:spacing w:after="160" w:line="276" w:lineRule="auto"/>
        <w:ind w:left="1134" w:hanging="709"/>
        <w:jc w:val="both"/>
        <w:rPr>
          <w:rFonts w:asciiTheme="minorHAnsi" w:hAnsiTheme="minorHAnsi" w:cstheme="minorHAnsi"/>
          <w:b/>
          <w:szCs w:val="22"/>
        </w:rPr>
      </w:pPr>
      <w:r w:rsidRPr="0085536B">
        <w:rPr>
          <w:rFonts w:asciiTheme="minorHAnsi" w:hAnsiTheme="minorHAnsi" w:cstheme="minorHAnsi"/>
          <w:b/>
          <w:szCs w:val="22"/>
        </w:rPr>
        <w:t>The SDA does not support the increasing or extension of user charges.</w:t>
      </w:r>
    </w:p>
    <w:sectPr w:rsidR="00571DDF" w:rsidRPr="0085536B" w:rsidSect="002A2C95">
      <w:footerReference w:type="default" r:id="rId15"/>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CF2717" w14:textId="77777777" w:rsidR="00A871E0" w:rsidRDefault="00A871E0" w:rsidP="00A871E0">
      <w:pPr>
        <w:spacing w:after="0" w:line="240" w:lineRule="auto"/>
      </w:pPr>
      <w:r>
        <w:separator/>
      </w:r>
    </w:p>
  </w:endnote>
  <w:endnote w:type="continuationSeparator" w:id="0">
    <w:p w14:paraId="6D769951" w14:textId="77777777" w:rsidR="00A871E0" w:rsidRDefault="00A871E0" w:rsidP="00A87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404040" w:themeColor="text1" w:themeTint="BF"/>
        <w:sz w:val="18"/>
      </w:rPr>
      <w:id w:val="2012488679"/>
      <w:docPartObj>
        <w:docPartGallery w:val="Page Numbers (Bottom of Page)"/>
        <w:docPartUnique/>
      </w:docPartObj>
    </w:sdtPr>
    <w:sdtEndPr>
      <w:rPr>
        <w:noProof/>
      </w:rPr>
    </w:sdtEndPr>
    <w:sdtContent>
      <w:p w14:paraId="56A888F1" w14:textId="77777777" w:rsidR="00B70B19" w:rsidRPr="00301F7C" w:rsidRDefault="00B70B19">
        <w:pPr>
          <w:pStyle w:val="Footer"/>
          <w:jc w:val="center"/>
          <w:rPr>
            <w:color w:val="404040" w:themeColor="text1" w:themeTint="BF"/>
            <w:sz w:val="18"/>
          </w:rPr>
        </w:pPr>
        <w:r w:rsidRPr="00301F7C">
          <w:rPr>
            <w:color w:val="404040" w:themeColor="text1" w:themeTint="BF"/>
            <w:sz w:val="18"/>
          </w:rPr>
          <w:fldChar w:fldCharType="begin"/>
        </w:r>
        <w:r w:rsidRPr="00301F7C">
          <w:rPr>
            <w:color w:val="404040" w:themeColor="text1" w:themeTint="BF"/>
            <w:sz w:val="18"/>
          </w:rPr>
          <w:instrText xml:space="preserve"> PAGE   \* MERGEFORMAT </w:instrText>
        </w:r>
        <w:r w:rsidRPr="00301F7C">
          <w:rPr>
            <w:color w:val="404040" w:themeColor="text1" w:themeTint="BF"/>
            <w:sz w:val="18"/>
          </w:rPr>
          <w:fldChar w:fldCharType="separate"/>
        </w:r>
        <w:r w:rsidR="00D34F99">
          <w:rPr>
            <w:noProof/>
            <w:color w:val="404040" w:themeColor="text1" w:themeTint="BF"/>
            <w:sz w:val="18"/>
          </w:rPr>
          <w:t>5</w:t>
        </w:r>
        <w:r w:rsidRPr="00301F7C">
          <w:rPr>
            <w:noProof/>
            <w:color w:val="404040" w:themeColor="text1" w:themeTint="BF"/>
            <w:sz w:val="18"/>
          </w:rPr>
          <w:fldChar w:fldCharType="end"/>
        </w:r>
      </w:p>
    </w:sdtContent>
  </w:sdt>
  <w:p w14:paraId="1A9A6324" w14:textId="77777777" w:rsidR="00B70B19" w:rsidRDefault="00B70B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CC0837" w14:textId="77777777" w:rsidR="00A871E0" w:rsidRDefault="00A871E0" w:rsidP="00A871E0">
      <w:pPr>
        <w:spacing w:after="0" w:line="240" w:lineRule="auto"/>
      </w:pPr>
      <w:r>
        <w:separator/>
      </w:r>
    </w:p>
  </w:footnote>
  <w:footnote w:type="continuationSeparator" w:id="0">
    <w:p w14:paraId="41EC5ADB" w14:textId="77777777" w:rsidR="00A871E0" w:rsidRDefault="00A871E0" w:rsidP="00A871E0">
      <w:pPr>
        <w:spacing w:after="0" w:line="240" w:lineRule="auto"/>
      </w:pPr>
      <w:r>
        <w:continuationSeparator/>
      </w:r>
    </w:p>
  </w:footnote>
  <w:footnote w:id="1">
    <w:p w14:paraId="6A0AE2B0" w14:textId="77777777" w:rsidR="0017006C" w:rsidRPr="003B50F7" w:rsidRDefault="0017006C">
      <w:pPr>
        <w:pStyle w:val="FootnoteText"/>
        <w:rPr>
          <w:sz w:val="16"/>
          <w:lang w:val="en-AU"/>
        </w:rPr>
      </w:pPr>
      <w:r w:rsidRPr="003B50F7">
        <w:rPr>
          <w:rStyle w:val="FootnoteReference"/>
          <w:sz w:val="16"/>
        </w:rPr>
        <w:footnoteRef/>
      </w:r>
      <w:r w:rsidRPr="003B50F7">
        <w:rPr>
          <w:sz w:val="16"/>
        </w:rPr>
        <w:t xml:space="preserve"> </w:t>
      </w:r>
      <w:r w:rsidRPr="003B50F7">
        <w:rPr>
          <w:sz w:val="16"/>
          <w:lang w:val="en-AU"/>
        </w:rPr>
        <w:t>The Australian 24,1,2014</w:t>
      </w:r>
    </w:p>
  </w:footnote>
  <w:footnote w:id="2">
    <w:p w14:paraId="3EA77BCA" w14:textId="77777777" w:rsidR="0017006C" w:rsidRPr="003B50F7" w:rsidRDefault="0017006C">
      <w:pPr>
        <w:pStyle w:val="FootnoteText"/>
        <w:rPr>
          <w:sz w:val="16"/>
          <w:lang w:val="en-AU"/>
        </w:rPr>
      </w:pPr>
      <w:r w:rsidRPr="003B50F7">
        <w:rPr>
          <w:rStyle w:val="FootnoteReference"/>
          <w:sz w:val="16"/>
        </w:rPr>
        <w:footnoteRef/>
      </w:r>
      <w:r w:rsidRPr="003B50F7">
        <w:rPr>
          <w:sz w:val="16"/>
        </w:rPr>
        <w:t xml:space="preserve"> </w:t>
      </w:r>
      <w:r w:rsidRPr="003B50F7">
        <w:rPr>
          <w:sz w:val="16"/>
          <w:lang w:val="en-AU"/>
        </w:rPr>
        <w:t>Sydney Morning Herald</w:t>
      </w:r>
      <w:r w:rsidR="00792C1D" w:rsidRPr="003B50F7">
        <w:rPr>
          <w:sz w:val="16"/>
          <w:lang w:val="en-AU"/>
        </w:rPr>
        <w:t>,19,3,2014</w:t>
      </w:r>
    </w:p>
  </w:footnote>
  <w:footnote w:id="3">
    <w:p w14:paraId="3A44C5E8" w14:textId="77777777" w:rsidR="00571DDF" w:rsidRPr="003B50F7" w:rsidRDefault="00571DDF" w:rsidP="00571DDF">
      <w:pPr>
        <w:pStyle w:val="FootnoteText"/>
        <w:rPr>
          <w:sz w:val="16"/>
          <w:szCs w:val="16"/>
          <w:lang w:val="en-AU"/>
        </w:rPr>
      </w:pPr>
      <w:r w:rsidRPr="003B50F7">
        <w:rPr>
          <w:rStyle w:val="FootnoteReference"/>
          <w:sz w:val="16"/>
          <w:szCs w:val="16"/>
        </w:rPr>
        <w:footnoteRef/>
      </w:r>
      <w:r w:rsidRPr="003B50F7">
        <w:rPr>
          <w:sz w:val="16"/>
          <w:szCs w:val="16"/>
        </w:rPr>
        <w:t xml:space="preserve"> </w:t>
      </w:r>
      <w:r w:rsidRPr="003B50F7">
        <w:rPr>
          <w:sz w:val="16"/>
          <w:szCs w:val="16"/>
          <w:lang w:val="en-AU"/>
        </w:rPr>
        <w:t>The Sydney Morning Herald, Wednesday, May 15,2007</w:t>
      </w:r>
    </w:p>
  </w:footnote>
  <w:footnote w:id="4">
    <w:p w14:paraId="7B6920BB" w14:textId="77777777" w:rsidR="00DF3380" w:rsidRPr="003B50F7" w:rsidRDefault="00DF3380">
      <w:pPr>
        <w:pStyle w:val="FootnoteText"/>
        <w:rPr>
          <w:sz w:val="16"/>
          <w:szCs w:val="16"/>
          <w:lang w:val="en-AU"/>
        </w:rPr>
      </w:pPr>
      <w:r w:rsidRPr="003B50F7">
        <w:rPr>
          <w:rStyle w:val="FootnoteReference"/>
          <w:sz w:val="16"/>
          <w:szCs w:val="16"/>
        </w:rPr>
        <w:footnoteRef/>
      </w:r>
      <w:r w:rsidRPr="003B50F7">
        <w:rPr>
          <w:sz w:val="16"/>
          <w:szCs w:val="16"/>
        </w:rPr>
        <w:t xml:space="preserve"> </w:t>
      </w:r>
      <w:proofErr w:type="spellStart"/>
      <w:r w:rsidRPr="003B50F7">
        <w:rPr>
          <w:sz w:val="16"/>
          <w:szCs w:val="16"/>
          <w:lang w:val="en-AU"/>
        </w:rPr>
        <w:t>Re:think</w:t>
      </w:r>
      <w:proofErr w:type="spellEnd"/>
      <w:r w:rsidRPr="003B50F7">
        <w:rPr>
          <w:sz w:val="16"/>
          <w:szCs w:val="16"/>
          <w:lang w:val="en-AU"/>
        </w:rPr>
        <w:t>, p22</w:t>
      </w:r>
    </w:p>
  </w:footnote>
  <w:footnote w:id="5">
    <w:p w14:paraId="0B19A2C5" w14:textId="77777777" w:rsidR="008142E8" w:rsidRPr="003B50F7" w:rsidRDefault="008142E8" w:rsidP="008142E8">
      <w:pPr>
        <w:pStyle w:val="FootnoteText"/>
        <w:rPr>
          <w:sz w:val="16"/>
          <w:szCs w:val="18"/>
          <w:lang w:val="en-AU"/>
        </w:rPr>
      </w:pPr>
      <w:r w:rsidRPr="003B50F7">
        <w:rPr>
          <w:rStyle w:val="FootnoteReference"/>
          <w:sz w:val="16"/>
          <w:szCs w:val="18"/>
        </w:rPr>
        <w:footnoteRef/>
      </w:r>
      <w:r w:rsidRPr="003B50F7">
        <w:rPr>
          <w:sz w:val="16"/>
          <w:szCs w:val="18"/>
        </w:rPr>
        <w:t xml:space="preserve"> </w:t>
      </w:r>
      <w:r w:rsidRPr="003B50F7">
        <w:rPr>
          <w:rFonts w:cs="Arial"/>
          <w:sz w:val="16"/>
          <w:szCs w:val="18"/>
        </w:rPr>
        <w:t>ABS Income Distribution - 6523 - 1999-2000</w:t>
      </w:r>
      <w:r w:rsidRPr="003B50F7">
        <w:rPr>
          <w:rFonts w:cs="Arial"/>
          <w:b/>
          <w:sz w:val="16"/>
          <w:szCs w:val="18"/>
        </w:rPr>
        <w:t>.</w:t>
      </w:r>
    </w:p>
  </w:footnote>
  <w:footnote w:id="6">
    <w:p w14:paraId="71860434" w14:textId="77777777" w:rsidR="008142E8" w:rsidRPr="003B50F7" w:rsidRDefault="008142E8" w:rsidP="008142E8">
      <w:pPr>
        <w:pStyle w:val="Style1"/>
        <w:spacing w:before="0" w:after="0"/>
        <w:ind w:left="180" w:hanging="180"/>
        <w:outlineLvl w:val="9"/>
        <w:rPr>
          <w:rFonts w:cs="Arial"/>
          <w:sz w:val="16"/>
          <w:szCs w:val="18"/>
          <w:lang w:val="en-AU"/>
        </w:rPr>
      </w:pPr>
      <w:r w:rsidRPr="003B50F7">
        <w:rPr>
          <w:rStyle w:val="FootnoteReference"/>
          <w:sz w:val="16"/>
          <w:szCs w:val="18"/>
        </w:rPr>
        <w:footnoteRef/>
      </w:r>
      <w:r w:rsidRPr="003B50F7">
        <w:rPr>
          <w:sz w:val="16"/>
          <w:szCs w:val="18"/>
        </w:rPr>
        <w:t xml:space="preserve"> </w:t>
      </w:r>
      <w:r w:rsidRPr="003B50F7">
        <w:rPr>
          <w:sz w:val="16"/>
          <w:szCs w:val="18"/>
          <w:lang w:val="en-AU"/>
        </w:rPr>
        <w:t>International Labor Organisation, Report of the Committee on Social Security, Conclusions Concerning Social Security, 6 June 2001.</w:t>
      </w:r>
    </w:p>
  </w:footnote>
  <w:footnote w:id="7">
    <w:p w14:paraId="3D5C3846" w14:textId="77777777" w:rsidR="00DF3865" w:rsidRPr="003B50F7" w:rsidRDefault="00DF3865">
      <w:pPr>
        <w:pStyle w:val="FootnoteText"/>
        <w:rPr>
          <w:sz w:val="16"/>
          <w:szCs w:val="18"/>
          <w:lang w:val="en-AU"/>
        </w:rPr>
      </w:pPr>
      <w:r w:rsidRPr="003B50F7">
        <w:rPr>
          <w:rStyle w:val="FootnoteReference"/>
          <w:sz w:val="16"/>
          <w:szCs w:val="18"/>
        </w:rPr>
        <w:footnoteRef/>
      </w:r>
      <w:r w:rsidRPr="003B50F7">
        <w:rPr>
          <w:sz w:val="16"/>
          <w:szCs w:val="18"/>
        </w:rPr>
        <w:t xml:space="preserve"> Income and Wealth Inequality in Australia, D. Richardson and R. </w:t>
      </w:r>
      <w:proofErr w:type="spellStart"/>
      <w:r w:rsidRPr="003B50F7">
        <w:rPr>
          <w:sz w:val="16"/>
          <w:szCs w:val="18"/>
        </w:rPr>
        <w:t>Denniss</w:t>
      </w:r>
      <w:proofErr w:type="spellEnd"/>
      <w:r w:rsidRPr="003B50F7">
        <w:rPr>
          <w:sz w:val="16"/>
          <w:szCs w:val="18"/>
        </w:rPr>
        <w:t xml:space="preserve">, </w:t>
      </w:r>
      <w:r w:rsidRPr="003B50F7">
        <w:rPr>
          <w:sz w:val="16"/>
          <w:szCs w:val="18"/>
          <w:lang w:val="en-AU"/>
        </w:rPr>
        <w:t>The Australia Institute, Policy Brief  64, July 2014</w:t>
      </w:r>
    </w:p>
  </w:footnote>
  <w:footnote w:id="8">
    <w:p w14:paraId="15E7B92A" w14:textId="77777777" w:rsidR="00DF3380" w:rsidRPr="003B50F7" w:rsidRDefault="00DF3380">
      <w:pPr>
        <w:pStyle w:val="FootnoteText"/>
        <w:rPr>
          <w:sz w:val="16"/>
          <w:lang w:val="en-AU"/>
        </w:rPr>
      </w:pPr>
      <w:r w:rsidRPr="003B50F7">
        <w:rPr>
          <w:rStyle w:val="FootnoteReference"/>
          <w:sz w:val="16"/>
        </w:rPr>
        <w:footnoteRef/>
      </w:r>
      <w:r w:rsidRPr="003B50F7">
        <w:rPr>
          <w:sz w:val="16"/>
        </w:rPr>
        <w:t xml:space="preserve"> </w:t>
      </w:r>
      <w:proofErr w:type="spellStart"/>
      <w:r w:rsidRPr="003B50F7">
        <w:rPr>
          <w:sz w:val="16"/>
          <w:lang w:val="en-AU"/>
        </w:rPr>
        <w:t>Re:think</w:t>
      </w:r>
      <w:proofErr w:type="spellEnd"/>
      <w:r w:rsidRPr="003B50F7">
        <w:rPr>
          <w:sz w:val="16"/>
          <w:lang w:val="en-AU"/>
        </w:rPr>
        <w:t xml:space="preserve"> ,p16</w:t>
      </w:r>
    </w:p>
  </w:footnote>
  <w:footnote w:id="9">
    <w:p w14:paraId="75B72AAA" w14:textId="77777777" w:rsidR="00DF3380" w:rsidRPr="003B50F7" w:rsidRDefault="00DF3380">
      <w:pPr>
        <w:pStyle w:val="FootnoteText"/>
        <w:rPr>
          <w:sz w:val="16"/>
          <w:lang w:val="en-AU"/>
        </w:rPr>
      </w:pPr>
      <w:r w:rsidRPr="003B50F7">
        <w:rPr>
          <w:rStyle w:val="FootnoteReference"/>
          <w:sz w:val="16"/>
        </w:rPr>
        <w:footnoteRef/>
      </w:r>
      <w:r w:rsidRPr="003B50F7">
        <w:rPr>
          <w:sz w:val="16"/>
        </w:rPr>
        <w:t xml:space="preserve"> </w:t>
      </w:r>
      <w:proofErr w:type="spellStart"/>
      <w:r w:rsidRPr="003B50F7">
        <w:rPr>
          <w:sz w:val="16"/>
          <w:lang w:val="en-AU"/>
        </w:rPr>
        <w:t>Re:think</w:t>
      </w:r>
      <w:proofErr w:type="spellEnd"/>
      <w:r w:rsidRPr="003B50F7">
        <w:rPr>
          <w:sz w:val="16"/>
          <w:lang w:val="en-AU"/>
        </w:rPr>
        <w:t>, p24</w:t>
      </w:r>
    </w:p>
  </w:footnote>
  <w:footnote w:id="10">
    <w:p w14:paraId="0EECB49F" w14:textId="77777777" w:rsidR="000D5D83" w:rsidRPr="003B50F7" w:rsidRDefault="000D5D83">
      <w:pPr>
        <w:pStyle w:val="FootnoteText"/>
        <w:rPr>
          <w:sz w:val="16"/>
          <w:lang w:val="en-AU"/>
        </w:rPr>
      </w:pPr>
      <w:r w:rsidRPr="003B50F7">
        <w:rPr>
          <w:rStyle w:val="FootnoteReference"/>
          <w:sz w:val="16"/>
        </w:rPr>
        <w:footnoteRef/>
      </w:r>
      <w:r w:rsidRPr="003B50F7">
        <w:rPr>
          <w:sz w:val="16"/>
        </w:rPr>
        <w:t xml:space="preserve"> </w:t>
      </w:r>
      <w:proofErr w:type="spellStart"/>
      <w:r w:rsidRPr="003B50F7">
        <w:rPr>
          <w:sz w:val="16"/>
          <w:lang w:val="en-AU"/>
        </w:rPr>
        <w:t>Re:think</w:t>
      </w:r>
      <w:proofErr w:type="spellEnd"/>
      <w:r w:rsidRPr="003B50F7">
        <w:rPr>
          <w:sz w:val="16"/>
          <w:lang w:val="en-AU"/>
        </w:rPr>
        <w:t>, p50,Table</w:t>
      </w:r>
      <w:r w:rsidR="00154C38" w:rsidRPr="003B50F7">
        <w:rPr>
          <w:sz w:val="16"/>
          <w:lang w:val="en-AU"/>
        </w:rPr>
        <w:t>s</w:t>
      </w:r>
      <w:r w:rsidRPr="003B50F7">
        <w:rPr>
          <w:sz w:val="16"/>
          <w:lang w:val="en-AU"/>
        </w:rPr>
        <w:t xml:space="preserve"> 3.5</w:t>
      </w:r>
      <w:r w:rsidR="00154C38" w:rsidRPr="003B50F7">
        <w:rPr>
          <w:sz w:val="16"/>
          <w:lang w:val="en-AU"/>
        </w:rPr>
        <w:t xml:space="preserve"> and 3.6</w:t>
      </w:r>
    </w:p>
  </w:footnote>
  <w:footnote w:id="11">
    <w:p w14:paraId="29D9EACA" w14:textId="77777777" w:rsidR="002436AB" w:rsidRPr="003B50F7" w:rsidRDefault="002436AB">
      <w:pPr>
        <w:pStyle w:val="FootnoteText"/>
        <w:rPr>
          <w:sz w:val="16"/>
          <w:lang w:val="en-AU"/>
        </w:rPr>
      </w:pPr>
      <w:r w:rsidRPr="003B50F7">
        <w:rPr>
          <w:rStyle w:val="FootnoteReference"/>
          <w:sz w:val="16"/>
        </w:rPr>
        <w:footnoteRef/>
      </w:r>
      <w:r w:rsidRPr="003B50F7">
        <w:rPr>
          <w:sz w:val="16"/>
        </w:rPr>
        <w:t xml:space="preserve"> </w:t>
      </w:r>
      <w:proofErr w:type="spellStart"/>
      <w:r w:rsidR="00FE2EEE" w:rsidRPr="003B50F7">
        <w:rPr>
          <w:sz w:val="16"/>
          <w:lang w:val="en-AU"/>
        </w:rPr>
        <w:t>Re:think</w:t>
      </w:r>
      <w:proofErr w:type="spellEnd"/>
      <w:r w:rsidR="00FE2EEE" w:rsidRPr="003B50F7">
        <w:rPr>
          <w:sz w:val="16"/>
          <w:lang w:val="en-AU"/>
        </w:rPr>
        <w:t>, p64</w:t>
      </w:r>
    </w:p>
  </w:footnote>
  <w:footnote w:id="12">
    <w:p w14:paraId="2811159C" w14:textId="77777777" w:rsidR="0090257F" w:rsidRPr="003B50F7" w:rsidRDefault="0090257F">
      <w:pPr>
        <w:pStyle w:val="FootnoteText"/>
        <w:rPr>
          <w:sz w:val="16"/>
          <w:lang w:val="en-AU"/>
        </w:rPr>
      </w:pPr>
      <w:r w:rsidRPr="003B50F7">
        <w:rPr>
          <w:rStyle w:val="FootnoteReference"/>
          <w:sz w:val="16"/>
        </w:rPr>
        <w:footnoteRef/>
      </w:r>
      <w:r w:rsidRPr="003B50F7">
        <w:rPr>
          <w:sz w:val="16"/>
        </w:rPr>
        <w:t xml:space="preserve"> </w:t>
      </w:r>
      <w:r w:rsidRPr="003B50F7">
        <w:rPr>
          <w:sz w:val="16"/>
          <w:lang w:val="en-AU"/>
        </w:rPr>
        <w:t>Herald Sun, 15 April,2015</w:t>
      </w:r>
    </w:p>
  </w:footnote>
  <w:footnote w:id="13">
    <w:p w14:paraId="3276CD6D" w14:textId="77777777" w:rsidR="00AA1AC3" w:rsidRPr="003B50F7" w:rsidRDefault="00AA1AC3">
      <w:pPr>
        <w:pStyle w:val="FootnoteText"/>
        <w:rPr>
          <w:sz w:val="16"/>
          <w:lang w:val="en-AU"/>
        </w:rPr>
      </w:pPr>
      <w:r w:rsidRPr="003B50F7">
        <w:rPr>
          <w:rStyle w:val="FootnoteReference"/>
          <w:sz w:val="16"/>
        </w:rPr>
        <w:footnoteRef/>
      </w:r>
      <w:r w:rsidRPr="003B50F7">
        <w:rPr>
          <w:sz w:val="16"/>
        </w:rPr>
        <w:t xml:space="preserve"> </w:t>
      </w:r>
      <w:r w:rsidR="003C4F4B" w:rsidRPr="003B50F7">
        <w:rPr>
          <w:sz w:val="16"/>
          <w:lang w:val="en-AU"/>
        </w:rPr>
        <w:t>The</w:t>
      </w:r>
      <w:r w:rsidRPr="003B50F7">
        <w:rPr>
          <w:sz w:val="16"/>
          <w:lang w:val="en-AU"/>
        </w:rPr>
        <w:t xml:space="preserve"> Australian,1 April, 2015</w:t>
      </w:r>
    </w:p>
  </w:footnote>
  <w:footnote w:id="14">
    <w:p w14:paraId="12B39A94" w14:textId="77777777" w:rsidR="00A76B1F" w:rsidRPr="003B50F7" w:rsidRDefault="00A76B1F">
      <w:pPr>
        <w:pStyle w:val="FootnoteText"/>
        <w:rPr>
          <w:sz w:val="16"/>
          <w:lang w:val="en-AU"/>
        </w:rPr>
      </w:pPr>
      <w:r w:rsidRPr="003B50F7">
        <w:rPr>
          <w:rStyle w:val="FootnoteReference"/>
          <w:sz w:val="16"/>
        </w:rPr>
        <w:footnoteRef/>
      </w:r>
      <w:r w:rsidRPr="003B50F7">
        <w:rPr>
          <w:sz w:val="16"/>
        </w:rPr>
        <w:t xml:space="preserve"> </w:t>
      </w:r>
      <w:r w:rsidRPr="003B50F7">
        <w:rPr>
          <w:sz w:val="16"/>
          <w:lang w:val="en-AU"/>
        </w:rPr>
        <w:t xml:space="preserve">AIST Special Budget Bulletin, 13 May 2015 </w:t>
      </w:r>
    </w:p>
  </w:footnote>
  <w:footnote w:id="15">
    <w:p w14:paraId="0F3DDA4A" w14:textId="77777777" w:rsidR="002B7C87" w:rsidRPr="002B7C87" w:rsidRDefault="002B7C87">
      <w:pPr>
        <w:pStyle w:val="FootnoteText"/>
        <w:rPr>
          <w:lang w:val="en-AU"/>
        </w:rPr>
      </w:pPr>
      <w:r>
        <w:rPr>
          <w:rStyle w:val="FootnoteReference"/>
        </w:rPr>
        <w:footnoteRef/>
      </w:r>
      <w:r>
        <w:t xml:space="preserve"> </w:t>
      </w:r>
      <w:r>
        <w:rPr>
          <w:lang w:val="en-AU"/>
        </w:rPr>
        <w:t>The Age,25  May 2015</w:t>
      </w:r>
    </w:p>
  </w:footnote>
  <w:footnote w:id="16">
    <w:p w14:paraId="52EBF70A" w14:textId="77777777" w:rsidR="00C57F0D" w:rsidRPr="003B50F7" w:rsidRDefault="00C57F0D">
      <w:pPr>
        <w:pStyle w:val="FootnoteText"/>
        <w:rPr>
          <w:sz w:val="16"/>
          <w:lang w:val="en-AU"/>
        </w:rPr>
      </w:pPr>
      <w:r w:rsidRPr="003B50F7">
        <w:rPr>
          <w:rStyle w:val="FootnoteReference"/>
          <w:sz w:val="16"/>
        </w:rPr>
        <w:footnoteRef/>
      </w:r>
      <w:r w:rsidRPr="003B50F7">
        <w:rPr>
          <w:sz w:val="16"/>
        </w:rPr>
        <w:t xml:space="preserve"> </w:t>
      </w:r>
      <w:r w:rsidRPr="003B50F7">
        <w:rPr>
          <w:sz w:val="16"/>
          <w:lang w:val="en-AU"/>
        </w:rPr>
        <w:t>The Age,7 April,2015</w:t>
      </w:r>
    </w:p>
  </w:footnote>
  <w:footnote w:id="17">
    <w:p w14:paraId="41711047" w14:textId="77777777" w:rsidR="00003EE2" w:rsidRPr="003B50F7" w:rsidRDefault="00003EE2">
      <w:pPr>
        <w:pStyle w:val="FootnoteText"/>
        <w:rPr>
          <w:sz w:val="16"/>
          <w:lang w:val="en-AU"/>
        </w:rPr>
      </w:pPr>
      <w:r w:rsidRPr="003B50F7">
        <w:rPr>
          <w:rStyle w:val="FootnoteReference"/>
          <w:sz w:val="16"/>
        </w:rPr>
        <w:footnoteRef/>
      </w:r>
      <w:r w:rsidRPr="003B50F7">
        <w:rPr>
          <w:sz w:val="16"/>
        </w:rPr>
        <w:t xml:space="preserve"> </w:t>
      </w:r>
      <w:proofErr w:type="spellStart"/>
      <w:r w:rsidRPr="003B50F7">
        <w:rPr>
          <w:sz w:val="16"/>
          <w:lang w:val="en-AU"/>
        </w:rPr>
        <w:t>Re:think</w:t>
      </w:r>
      <w:proofErr w:type="spellEnd"/>
      <w:r w:rsidRPr="003B50F7">
        <w:rPr>
          <w:sz w:val="16"/>
          <w:lang w:val="en-AU"/>
        </w:rPr>
        <w:t xml:space="preserve"> 135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5C0618"/>
    <w:multiLevelType w:val="hybridMultilevel"/>
    <w:tmpl w:val="4568222A"/>
    <w:lvl w:ilvl="0" w:tplc="0136E502">
      <w:start w:val="1"/>
      <w:numFmt w:val="decimal"/>
      <w:lvlText w:val="%1."/>
      <w:lvlJc w:val="left"/>
      <w:pPr>
        <w:ind w:left="720" w:hanging="360"/>
      </w:pPr>
      <w:rPr>
        <w:rFonts w:asciiTheme="minorHAnsi" w:hAnsiTheme="minorHAnsi" w:cstheme="minorHAnsi" w:hint="default"/>
        <w:b w:val="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C405B75"/>
    <w:multiLevelType w:val="hybridMultilevel"/>
    <w:tmpl w:val="65223786"/>
    <w:lvl w:ilvl="0" w:tplc="8B5CBCD2">
      <w:start w:val="1"/>
      <w:numFmt w:val="decimal"/>
      <w:lvlText w:val="%1."/>
      <w:lvlJc w:val="left"/>
      <w:pPr>
        <w:ind w:left="720" w:hanging="360"/>
      </w:pPr>
      <w:rPr>
        <w:b w:val="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1C31EE3"/>
    <w:multiLevelType w:val="hybridMultilevel"/>
    <w:tmpl w:val="ED8A5E5C"/>
    <w:lvl w:ilvl="0" w:tplc="5D1A2114">
      <w:start w:val="1"/>
      <w:numFmt w:val="decimal"/>
      <w:lvlText w:val="%1."/>
      <w:lvlJc w:val="left"/>
      <w:pPr>
        <w:ind w:left="720" w:hanging="360"/>
      </w:pPr>
      <w:rPr>
        <w:b/>
        <w:sz w:val="1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494A50D5"/>
    <w:multiLevelType w:val="hybridMultilevel"/>
    <w:tmpl w:val="8FC29E78"/>
    <w:lvl w:ilvl="0" w:tplc="FA2E4C26">
      <w:start w:val="1"/>
      <w:numFmt w:val="bullet"/>
      <w:lvlText w:val=""/>
      <w:lvlJc w:val="left"/>
      <w:pPr>
        <w:tabs>
          <w:tab w:val="num" w:pos="454"/>
        </w:tabs>
        <w:ind w:left="567" w:hanging="567"/>
      </w:pPr>
      <w:rPr>
        <w:rFonts w:ascii="Wingdings 2" w:hAnsi="Wingdings 2" w:hint="default"/>
        <w:sz w:val="32"/>
        <w:szCs w:val="3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FC9108B"/>
    <w:multiLevelType w:val="singleLevel"/>
    <w:tmpl w:val="3F306220"/>
    <w:lvl w:ilvl="0">
      <w:start w:val="1"/>
      <w:numFmt w:val="bullet"/>
      <w:lvlText w:val=""/>
      <w:lvlJc w:val="left"/>
      <w:pPr>
        <w:tabs>
          <w:tab w:val="num" w:pos="720"/>
        </w:tabs>
        <w:ind w:left="720" w:hanging="720"/>
      </w:pPr>
      <w:rPr>
        <w:rFonts w:ascii="Wingdings" w:hAnsi="Wingdings" w:hint="default"/>
      </w:rPr>
    </w:lvl>
  </w:abstractNum>
  <w:abstractNum w:abstractNumId="5">
    <w:nsid w:val="58D7060D"/>
    <w:multiLevelType w:val="singleLevel"/>
    <w:tmpl w:val="3F306220"/>
    <w:lvl w:ilvl="0">
      <w:start w:val="1"/>
      <w:numFmt w:val="bullet"/>
      <w:lvlText w:val=""/>
      <w:lvlJc w:val="left"/>
      <w:pPr>
        <w:tabs>
          <w:tab w:val="num" w:pos="720"/>
        </w:tabs>
        <w:ind w:left="720" w:hanging="720"/>
      </w:pPr>
      <w:rPr>
        <w:rFonts w:ascii="Wingdings" w:hAnsi="Wingdings" w:hint="default"/>
      </w:rPr>
    </w:lvl>
  </w:abstractNum>
  <w:abstractNum w:abstractNumId="6">
    <w:nsid w:val="77250FBA"/>
    <w:multiLevelType w:val="hybridMultilevel"/>
    <w:tmpl w:val="0EE485E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0"/>
  </w:num>
  <w:num w:numId="2">
    <w:abstractNumId w:val="4"/>
  </w:num>
  <w:num w:numId="3">
    <w:abstractNumId w:val="5"/>
  </w:num>
  <w:num w:numId="4">
    <w:abstractNumId w:val="3"/>
  </w:num>
  <w:num w:numId="5">
    <w:abstractNumId w:val="1"/>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444"/>
    <w:rsid w:val="00003EE2"/>
    <w:rsid w:val="00097E2D"/>
    <w:rsid w:val="000D5D83"/>
    <w:rsid w:val="000E2074"/>
    <w:rsid w:val="00101C04"/>
    <w:rsid w:val="00131E31"/>
    <w:rsid w:val="00154C38"/>
    <w:rsid w:val="0017006C"/>
    <w:rsid w:val="0019103E"/>
    <w:rsid w:val="001D6CE8"/>
    <w:rsid w:val="001F0177"/>
    <w:rsid w:val="002436AB"/>
    <w:rsid w:val="00247F24"/>
    <w:rsid w:val="00284DA3"/>
    <w:rsid w:val="002920C1"/>
    <w:rsid w:val="002A2C95"/>
    <w:rsid w:val="002B7C87"/>
    <w:rsid w:val="002E40F6"/>
    <w:rsid w:val="00301F7C"/>
    <w:rsid w:val="003126D5"/>
    <w:rsid w:val="003B50F7"/>
    <w:rsid w:val="003C4F4B"/>
    <w:rsid w:val="004D4DC9"/>
    <w:rsid w:val="00503743"/>
    <w:rsid w:val="0050565F"/>
    <w:rsid w:val="00571DDF"/>
    <w:rsid w:val="005B4B1E"/>
    <w:rsid w:val="006014EB"/>
    <w:rsid w:val="006357B4"/>
    <w:rsid w:val="006E3149"/>
    <w:rsid w:val="006F3834"/>
    <w:rsid w:val="00753D5F"/>
    <w:rsid w:val="00774906"/>
    <w:rsid w:val="00792C1D"/>
    <w:rsid w:val="007A18D4"/>
    <w:rsid w:val="007C7C58"/>
    <w:rsid w:val="007F3EFC"/>
    <w:rsid w:val="0081072C"/>
    <w:rsid w:val="008142E8"/>
    <w:rsid w:val="00814581"/>
    <w:rsid w:val="008511BA"/>
    <w:rsid w:val="0085536B"/>
    <w:rsid w:val="00873175"/>
    <w:rsid w:val="00880444"/>
    <w:rsid w:val="00884661"/>
    <w:rsid w:val="0090257F"/>
    <w:rsid w:val="0091702C"/>
    <w:rsid w:val="00921D21"/>
    <w:rsid w:val="00994626"/>
    <w:rsid w:val="009D18BC"/>
    <w:rsid w:val="009E2C84"/>
    <w:rsid w:val="00A326A0"/>
    <w:rsid w:val="00A76B1F"/>
    <w:rsid w:val="00A871E0"/>
    <w:rsid w:val="00AA1AC3"/>
    <w:rsid w:val="00B21101"/>
    <w:rsid w:val="00B23738"/>
    <w:rsid w:val="00B379A8"/>
    <w:rsid w:val="00B5589E"/>
    <w:rsid w:val="00B613F9"/>
    <w:rsid w:val="00B70B19"/>
    <w:rsid w:val="00BC1ABE"/>
    <w:rsid w:val="00BD71B2"/>
    <w:rsid w:val="00C544A5"/>
    <w:rsid w:val="00C57F0D"/>
    <w:rsid w:val="00CE2B91"/>
    <w:rsid w:val="00D03FFC"/>
    <w:rsid w:val="00D34F99"/>
    <w:rsid w:val="00D506C1"/>
    <w:rsid w:val="00D901AE"/>
    <w:rsid w:val="00DA7CC6"/>
    <w:rsid w:val="00DF3380"/>
    <w:rsid w:val="00DF3865"/>
    <w:rsid w:val="00E1756E"/>
    <w:rsid w:val="00E4485D"/>
    <w:rsid w:val="00F07E6B"/>
    <w:rsid w:val="00FB7202"/>
    <w:rsid w:val="00FE2EE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A9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next w:val="Normal"/>
    <w:link w:val="Heading5Char"/>
    <w:uiPriority w:val="9"/>
    <w:semiHidden/>
    <w:unhideWhenUsed/>
    <w:qFormat/>
    <w:rsid w:val="00A871E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A871E0"/>
    <w:pPr>
      <w:keepNext/>
      <w:spacing w:after="0" w:line="360" w:lineRule="auto"/>
      <w:jc w:val="both"/>
      <w:outlineLvl w:val="6"/>
    </w:pPr>
    <w:rPr>
      <w:rFonts w:ascii="Bookman Old Style" w:eastAsia="Times New Roman" w:hAnsi="Bookman Old Style" w:cs="Times New Roman"/>
      <w:b/>
      <w:i/>
      <w:sz w:val="24"/>
      <w:szCs w:val="20"/>
      <w:u w:val="single"/>
      <w:lang w:val="en-US"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rsid w:val="00A871E0"/>
    <w:rPr>
      <w:rFonts w:ascii="Bookman Old Style" w:eastAsia="Times New Roman" w:hAnsi="Bookman Old Style" w:cs="Times New Roman"/>
      <w:b/>
      <w:i/>
      <w:sz w:val="24"/>
      <w:szCs w:val="20"/>
      <w:u w:val="single"/>
      <w:lang w:val="en-US" w:eastAsia="en-AU"/>
    </w:rPr>
  </w:style>
  <w:style w:type="paragraph" w:customStyle="1" w:styleId="Style1">
    <w:name w:val="Style1"/>
    <w:basedOn w:val="Heading5"/>
    <w:rsid w:val="00A871E0"/>
    <w:pPr>
      <w:keepNext w:val="0"/>
      <w:keepLines w:val="0"/>
      <w:spacing w:before="240" w:after="60" w:line="240" w:lineRule="auto"/>
      <w:jc w:val="both"/>
    </w:pPr>
    <w:rPr>
      <w:rFonts w:ascii="Bookman Old Style" w:eastAsia="Times New Roman" w:hAnsi="Bookman Old Style" w:cs="Times New Roman"/>
      <w:color w:val="auto"/>
      <w:szCs w:val="20"/>
      <w:lang w:val="en-US" w:eastAsia="en-AU"/>
    </w:rPr>
  </w:style>
  <w:style w:type="paragraph" w:styleId="ListParagraph">
    <w:name w:val="List Paragraph"/>
    <w:basedOn w:val="Normal"/>
    <w:uiPriority w:val="34"/>
    <w:qFormat/>
    <w:rsid w:val="00A871E0"/>
    <w:pPr>
      <w:spacing w:after="100" w:afterAutospacing="1" w:line="240" w:lineRule="auto"/>
      <w:ind w:left="720" w:hanging="357"/>
      <w:contextualSpacing/>
      <w:jc w:val="both"/>
    </w:pPr>
    <w:rPr>
      <w:rFonts w:ascii="Verdana" w:hAnsi="Verdana"/>
      <w:sz w:val="20"/>
    </w:rPr>
  </w:style>
  <w:style w:type="character" w:customStyle="1" w:styleId="Heading5Char">
    <w:name w:val="Heading 5 Char"/>
    <w:basedOn w:val="DefaultParagraphFont"/>
    <w:link w:val="Heading5"/>
    <w:uiPriority w:val="9"/>
    <w:semiHidden/>
    <w:rsid w:val="00A871E0"/>
    <w:rPr>
      <w:rFonts w:asciiTheme="majorHAnsi" w:eastAsiaTheme="majorEastAsia" w:hAnsiTheme="majorHAnsi" w:cstheme="majorBidi"/>
      <w:color w:val="243F60" w:themeColor="accent1" w:themeShade="7F"/>
    </w:rPr>
  </w:style>
  <w:style w:type="paragraph" w:styleId="Header">
    <w:name w:val="header"/>
    <w:basedOn w:val="Normal"/>
    <w:link w:val="HeaderChar"/>
    <w:rsid w:val="00A871E0"/>
    <w:pPr>
      <w:tabs>
        <w:tab w:val="center" w:pos="4320"/>
        <w:tab w:val="right" w:pos="8640"/>
      </w:tabs>
      <w:spacing w:after="0" w:line="240" w:lineRule="auto"/>
    </w:pPr>
    <w:rPr>
      <w:rFonts w:ascii="Bookman Old Style" w:eastAsia="Times New Roman" w:hAnsi="Bookman Old Style" w:cs="Times New Roman"/>
      <w:szCs w:val="20"/>
      <w:lang w:val="en-US"/>
    </w:rPr>
  </w:style>
  <w:style w:type="character" w:customStyle="1" w:styleId="HeaderChar">
    <w:name w:val="Header Char"/>
    <w:basedOn w:val="DefaultParagraphFont"/>
    <w:link w:val="Header"/>
    <w:rsid w:val="00A871E0"/>
    <w:rPr>
      <w:rFonts w:ascii="Bookman Old Style" w:eastAsia="Times New Roman" w:hAnsi="Bookman Old Style" w:cs="Times New Roman"/>
      <w:szCs w:val="20"/>
      <w:lang w:val="en-US"/>
    </w:rPr>
  </w:style>
  <w:style w:type="paragraph" w:styleId="BodyText">
    <w:name w:val="Body Text"/>
    <w:basedOn w:val="Normal"/>
    <w:link w:val="BodyTextChar"/>
    <w:rsid w:val="00A871E0"/>
    <w:pPr>
      <w:spacing w:after="0" w:line="360" w:lineRule="auto"/>
      <w:jc w:val="both"/>
    </w:pPr>
    <w:rPr>
      <w:rFonts w:ascii="Bookman Old Style" w:eastAsia="Times New Roman" w:hAnsi="Bookman Old Style" w:cs="Times New Roman"/>
      <w:szCs w:val="20"/>
      <w:lang w:val="en-US"/>
    </w:rPr>
  </w:style>
  <w:style w:type="character" w:customStyle="1" w:styleId="BodyTextChar">
    <w:name w:val="Body Text Char"/>
    <w:basedOn w:val="DefaultParagraphFont"/>
    <w:link w:val="BodyText"/>
    <w:rsid w:val="00A871E0"/>
    <w:rPr>
      <w:rFonts w:ascii="Bookman Old Style" w:eastAsia="Times New Roman" w:hAnsi="Bookman Old Style" w:cs="Times New Roman"/>
      <w:szCs w:val="20"/>
      <w:lang w:val="en-US"/>
    </w:rPr>
  </w:style>
  <w:style w:type="paragraph" w:styleId="BodyText2">
    <w:name w:val="Body Text 2"/>
    <w:basedOn w:val="Normal"/>
    <w:link w:val="BodyText2Char"/>
    <w:rsid w:val="00A871E0"/>
    <w:pPr>
      <w:spacing w:after="0" w:line="360" w:lineRule="auto"/>
      <w:jc w:val="both"/>
    </w:pPr>
    <w:rPr>
      <w:rFonts w:ascii="Bookman Old Style" w:eastAsia="Times New Roman" w:hAnsi="Bookman Old Style" w:cs="Times New Roman"/>
      <w:b/>
      <w:szCs w:val="20"/>
      <w:lang w:val="en-US"/>
    </w:rPr>
  </w:style>
  <w:style w:type="character" w:customStyle="1" w:styleId="BodyText2Char">
    <w:name w:val="Body Text 2 Char"/>
    <w:basedOn w:val="DefaultParagraphFont"/>
    <w:link w:val="BodyText2"/>
    <w:rsid w:val="00A871E0"/>
    <w:rPr>
      <w:rFonts w:ascii="Bookman Old Style" w:eastAsia="Times New Roman" w:hAnsi="Bookman Old Style" w:cs="Times New Roman"/>
      <w:b/>
      <w:szCs w:val="20"/>
      <w:lang w:val="en-US"/>
    </w:rPr>
  </w:style>
  <w:style w:type="paragraph" w:styleId="BodyText3">
    <w:name w:val="Body Text 3"/>
    <w:basedOn w:val="Normal"/>
    <w:link w:val="BodyText3Char"/>
    <w:rsid w:val="00A871E0"/>
    <w:pPr>
      <w:numPr>
        <w:ilvl w:val="12"/>
      </w:numPr>
      <w:spacing w:after="0" w:line="360" w:lineRule="auto"/>
    </w:pPr>
    <w:rPr>
      <w:rFonts w:ascii="Bookman Old Style" w:eastAsia="Times New Roman" w:hAnsi="Bookman Old Style" w:cs="Times New Roman"/>
      <w:b/>
      <w:szCs w:val="20"/>
    </w:rPr>
  </w:style>
  <w:style w:type="character" w:customStyle="1" w:styleId="BodyText3Char">
    <w:name w:val="Body Text 3 Char"/>
    <w:basedOn w:val="DefaultParagraphFont"/>
    <w:link w:val="BodyText3"/>
    <w:rsid w:val="00A871E0"/>
    <w:rPr>
      <w:rFonts w:ascii="Bookman Old Style" w:eastAsia="Times New Roman" w:hAnsi="Bookman Old Style" w:cs="Times New Roman"/>
      <w:b/>
      <w:szCs w:val="20"/>
    </w:rPr>
  </w:style>
  <w:style w:type="paragraph" w:styleId="FootnoteText">
    <w:name w:val="footnote text"/>
    <w:basedOn w:val="Normal"/>
    <w:link w:val="FootnoteTextChar"/>
    <w:semiHidden/>
    <w:rsid w:val="00A871E0"/>
    <w:pPr>
      <w:spacing w:after="0" w:line="240" w:lineRule="auto"/>
    </w:pPr>
    <w:rPr>
      <w:rFonts w:ascii="Bookman Old Style" w:eastAsia="Times New Roman" w:hAnsi="Bookman Old Style" w:cs="Times New Roman"/>
      <w:sz w:val="20"/>
      <w:szCs w:val="20"/>
      <w:lang w:val="en-US"/>
    </w:rPr>
  </w:style>
  <w:style w:type="character" w:customStyle="1" w:styleId="FootnoteTextChar">
    <w:name w:val="Footnote Text Char"/>
    <w:basedOn w:val="DefaultParagraphFont"/>
    <w:link w:val="FootnoteText"/>
    <w:semiHidden/>
    <w:rsid w:val="00A871E0"/>
    <w:rPr>
      <w:rFonts w:ascii="Bookman Old Style" w:eastAsia="Times New Roman" w:hAnsi="Bookman Old Style" w:cs="Times New Roman"/>
      <w:sz w:val="20"/>
      <w:szCs w:val="20"/>
      <w:lang w:val="en-US"/>
    </w:rPr>
  </w:style>
  <w:style w:type="character" w:styleId="FootnoteReference">
    <w:name w:val="footnote reference"/>
    <w:basedOn w:val="DefaultParagraphFont"/>
    <w:semiHidden/>
    <w:rsid w:val="00A871E0"/>
    <w:rPr>
      <w:vertAlign w:val="superscript"/>
    </w:rPr>
  </w:style>
  <w:style w:type="table" w:styleId="TableGrid">
    <w:name w:val="Table Grid"/>
    <w:basedOn w:val="TableNormal"/>
    <w:rsid w:val="00571DDF"/>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B70B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0B19"/>
  </w:style>
  <w:style w:type="paragraph" w:styleId="NoSpacing">
    <w:name w:val="No Spacing"/>
    <w:link w:val="NoSpacingChar"/>
    <w:uiPriority w:val="1"/>
    <w:qFormat/>
    <w:rsid w:val="002A2C95"/>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2A2C95"/>
    <w:rPr>
      <w:rFonts w:eastAsiaTheme="minorEastAsia"/>
      <w:lang w:val="en-US" w:eastAsia="ja-JP"/>
    </w:rPr>
  </w:style>
  <w:style w:type="paragraph" w:styleId="BalloonText">
    <w:name w:val="Balloon Text"/>
    <w:basedOn w:val="Normal"/>
    <w:link w:val="BalloonTextChar"/>
    <w:uiPriority w:val="99"/>
    <w:semiHidden/>
    <w:unhideWhenUsed/>
    <w:rsid w:val="002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2C95"/>
    <w:rPr>
      <w:rFonts w:ascii="Tahoma" w:hAnsi="Tahoma" w:cs="Tahoma"/>
      <w:sz w:val="16"/>
      <w:szCs w:val="16"/>
    </w:rPr>
  </w:style>
  <w:style w:type="character" w:styleId="Hyperlink">
    <w:name w:val="Hyperlink"/>
    <w:basedOn w:val="DefaultParagraphFont"/>
    <w:uiPriority w:val="99"/>
    <w:unhideWhenUsed/>
    <w:rsid w:val="002A2C95"/>
    <w:rPr>
      <w:color w:val="0000FF" w:themeColor="hyperlink"/>
      <w:u w:val="single"/>
    </w:rPr>
  </w:style>
  <w:style w:type="paragraph" w:styleId="Title">
    <w:name w:val="Title"/>
    <w:basedOn w:val="Normal"/>
    <w:next w:val="Normal"/>
    <w:link w:val="TitleChar"/>
    <w:uiPriority w:val="10"/>
    <w:qFormat/>
    <w:rsid w:val="00F07E6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07E6B"/>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next w:val="Normal"/>
    <w:link w:val="Heading5Char"/>
    <w:uiPriority w:val="9"/>
    <w:semiHidden/>
    <w:unhideWhenUsed/>
    <w:qFormat/>
    <w:rsid w:val="00A871E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A871E0"/>
    <w:pPr>
      <w:keepNext/>
      <w:spacing w:after="0" w:line="360" w:lineRule="auto"/>
      <w:jc w:val="both"/>
      <w:outlineLvl w:val="6"/>
    </w:pPr>
    <w:rPr>
      <w:rFonts w:ascii="Bookman Old Style" w:eastAsia="Times New Roman" w:hAnsi="Bookman Old Style" w:cs="Times New Roman"/>
      <w:b/>
      <w:i/>
      <w:sz w:val="24"/>
      <w:szCs w:val="20"/>
      <w:u w:val="single"/>
      <w:lang w:val="en-US"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rsid w:val="00A871E0"/>
    <w:rPr>
      <w:rFonts w:ascii="Bookman Old Style" w:eastAsia="Times New Roman" w:hAnsi="Bookman Old Style" w:cs="Times New Roman"/>
      <w:b/>
      <w:i/>
      <w:sz w:val="24"/>
      <w:szCs w:val="20"/>
      <w:u w:val="single"/>
      <w:lang w:val="en-US" w:eastAsia="en-AU"/>
    </w:rPr>
  </w:style>
  <w:style w:type="paragraph" w:customStyle="1" w:styleId="Style1">
    <w:name w:val="Style1"/>
    <w:basedOn w:val="Heading5"/>
    <w:rsid w:val="00A871E0"/>
    <w:pPr>
      <w:keepNext w:val="0"/>
      <w:keepLines w:val="0"/>
      <w:spacing w:before="240" w:after="60" w:line="240" w:lineRule="auto"/>
      <w:jc w:val="both"/>
    </w:pPr>
    <w:rPr>
      <w:rFonts w:ascii="Bookman Old Style" w:eastAsia="Times New Roman" w:hAnsi="Bookman Old Style" w:cs="Times New Roman"/>
      <w:color w:val="auto"/>
      <w:szCs w:val="20"/>
      <w:lang w:val="en-US" w:eastAsia="en-AU"/>
    </w:rPr>
  </w:style>
  <w:style w:type="paragraph" w:styleId="ListParagraph">
    <w:name w:val="List Paragraph"/>
    <w:basedOn w:val="Normal"/>
    <w:uiPriority w:val="34"/>
    <w:qFormat/>
    <w:rsid w:val="00A871E0"/>
    <w:pPr>
      <w:spacing w:after="100" w:afterAutospacing="1" w:line="240" w:lineRule="auto"/>
      <w:ind w:left="720" w:hanging="357"/>
      <w:contextualSpacing/>
      <w:jc w:val="both"/>
    </w:pPr>
    <w:rPr>
      <w:rFonts w:ascii="Verdana" w:hAnsi="Verdana"/>
      <w:sz w:val="20"/>
    </w:rPr>
  </w:style>
  <w:style w:type="character" w:customStyle="1" w:styleId="Heading5Char">
    <w:name w:val="Heading 5 Char"/>
    <w:basedOn w:val="DefaultParagraphFont"/>
    <w:link w:val="Heading5"/>
    <w:uiPriority w:val="9"/>
    <w:semiHidden/>
    <w:rsid w:val="00A871E0"/>
    <w:rPr>
      <w:rFonts w:asciiTheme="majorHAnsi" w:eastAsiaTheme="majorEastAsia" w:hAnsiTheme="majorHAnsi" w:cstheme="majorBidi"/>
      <w:color w:val="243F60" w:themeColor="accent1" w:themeShade="7F"/>
    </w:rPr>
  </w:style>
  <w:style w:type="paragraph" w:styleId="Header">
    <w:name w:val="header"/>
    <w:basedOn w:val="Normal"/>
    <w:link w:val="HeaderChar"/>
    <w:rsid w:val="00A871E0"/>
    <w:pPr>
      <w:tabs>
        <w:tab w:val="center" w:pos="4320"/>
        <w:tab w:val="right" w:pos="8640"/>
      </w:tabs>
      <w:spacing w:after="0" w:line="240" w:lineRule="auto"/>
    </w:pPr>
    <w:rPr>
      <w:rFonts w:ascii="Bookman Old Style" w:eastAsia="Times New Roman" w:hAnsi="Bookman Old Style" w:cs="Times New Roman"/>
      <w:szCs w:val="20"/>
      <w:lang w:val="en-US"/>
    </w:rPr>
  </w:style>
  <w:style w:type="character" w:customStyle="1" w:styleId="HeaderChar">
    <w:name w:val="Header Char"/>
    <w:basedOn w:val="DefaultParagraphFont"/>
    <w:link w:val="Header"/>
    <w:rsid w:val="00A871E0"/>
    <w:rPr>
      <w:rFonts w:ascii="Bookman Old Style" w:eastAsia="Times New Roman" w:hAnsi="Bookman Old Style" w:cs="Times New Roman"/>
      <w:szCs w:val="20"/>
      <w:lang w:val="en-US"/>
    </w:rPr>
  </w:style>
  <w:style w:type="paragraph" w:styleId="BodyText">
    <w:name w:val="Body Text"/>
    <w:basedOn w:val="Normal"/>
    <w:link w:val="BodyTextChar"/>
    <w:rsid w:val="00A871E0"/>
    <w:pPr>
      <w:spacing w:after="0" w:line="360" w:lineRule="auto"/>
      <w:jc w:val="both"/>
    </w:pPr>
    <w:rPr>
      <w:rFonts w:ascii="Bookman Old Style" w:eastAsia="Times New Roman" w:hAnsi="Bookman Old Style" w:cs="Times New Roman"/>
      <w:szCs w:val="20"/>
      <w:lang w:val="en-US"/>
    </w:rPr>
  </w:style>
  <w:style w:type="character" w:customStyle="1" w:styleId="BodyTextChar">
    <w:name w:val="Body Text Char"/>
    <w:basedOn w:val="DefaultParagraphFont"/>
    <w:link w:val="BodyText"/>
    <w:rsid w:val="00A871E0"/>
    <w:rPr>
      <w:rFonts w:ascii="Bookman Old Style" w:eastAsia="Times New Roman" w:hAnsi="Bookman Old Style" w:cs="Times New Roman"/>
      <w:szCs w:val="20"/>
      <w:lang w:val="en-US"/>
    </w:rPr>
  </w:style>
  <w:style w:type="paragraph" w:styleId="BodyText2">
    <w:name w:val="Body Text 2"/>
    <w:basedOn w:val="Normal"/>
    <w:link w:val="BodyText2Char"/>
    <w:rsid w:val="00A871E0"/>
    <w:pPr>
      <w:spacing w:after="0" w:line="360" w:lineRule="auto"/>
      <w:jc w:val="both"/>
    </w:pPr>
    <w:rPr>
      <w:rFonts w:ascii="Bookman Old Style" w:eastAsia="Times New Roman" w:hAnsi="Bookman Old Style" w:cs="Times New Roman"/>
      <w:b/>
      <w:szCs w:val="20"/>
      <w:lang w:val="en-US"/>
    </w:rPr>
  </w:style>
  <w:style w:type="character" w:customStyle="1" w:styleId="BodyText2Char">
    <w:name w:val="Body Text 2 Char"/>
    <w:basedOn w:val="DefaultParagraphFont"/>
    <w:link w:val="BodyText2"/>
    <w:rsid w:val="00A871E0"/>
    <w:rPr>
      <w:rFonts w:ascii="Bookman Old Style" w:eastAsia="Times New Roman" w:hAnsi="Bookman Old Style" w:cs="Times New Roman"/>
      <w:b/>
      <w:szCs w:val="20"/>
      <w:lang w:val="en-US"/>
    </w:rPr>
  </w:style>
  <w:style w:type="paragraph" w:styleId="BodyText3">
    <w:name w:val="Body Text 3"/>
    <w:basedOn w:val="Normal"/>
    <w:link w:val="BodyText3Char"/>
    <w:rsid w:val="00A871E0"/>
    <w:pPr>
      <w:numPr>
        <w:ilvl w:val="12"/>
      </w:numPr>
      <w:spacing w:after="0" w:line="360" w:lineRule="auto"/>
    </w:pPr>
    <w:rPr>
      <w:rFonts w:ascii="Bookman Old Style" w:eastAsia="Times New Roman" w:hAnsi="Bookman Old Style" w:cs="Times New Roman"/>
      <w:b/>
      <w:szCs w:val="20"/>
    </w:rPr>
  </w:style>
  <w:style w:type="character" w:customStyle="1" w:styleId="BodyText3Char">
    <w:name w:val="Body Text 3 Char"/>
    <w:basedOn w:val="DefaultParagraphFont"/>
    <w:link w:val="BodyText3"/>
    <w:rsid w:val="00A871E0"/>
    <w:rPr>
      <w:rFonts w:ascii="Bookman Old Style" w:eastAsia="Times New Roman" w:hAnsi="Bookman Old Style" w:cs="Times New Roman"/>
      <w:b/>
      <w:szCs w:val="20"/>
    </w:rPr>
  </w:style>
  <w:style w:type="paragraph" w:styleId="FootnoteText">
    <w:name w:val="footnote text"/>
    <w:basedOn w:val="Normal"/>
    <w:link w:val="FootnoteTextChar"/>
    <w:semiHidden/>
    <w:rsid w:val="00A871E0"/>
    <w:pPr>
      <w:spacing w:after="0" w:line="240" w:lineRule="auto"/>
    </w:pPr>
    <w:rPr>
      <w:rFonts w:ascii="Bookman Old Style" w:eastAsia="Times New Roman" w:hAnsi="Bookman Old Style" w:cs="Times New Roman"/>
      <w:sz w:val="20"/>
      <w:szCs w:val="20"/>
      <w:lang w:val="en-US"/>
    </w:rPr>
  </w:style>
  <w:style w:type="character" w:customStyle="1" w:styleId="FootnoteTextChar">
    <w:name w:val="Footnote Text Char"/>
    <w:basedOn w:val="DefaultParagraphFont"/>
    <w:link w:val="FootnoteText"/>
    <w:semiHidden/>
    <w:rsid w:val="00A871E0"/>
    <w:rPr>
      <w:rFonts w:ascii="Bookman Old Style" w:eastAsia="Times New Roman" w:hAnsi="Bookman Old Style" w:cs="Times New Roman"/>
      <w:sz w:val="20"/>
      <w:szCs w:val="20"/>
      <w:lang w:val="en-US"/>
    </w:rPr>
  </w:style>
  <w:style w:type="character" w:styleId="FootnoteReference">
    <w:name w:val="footnote reference"/>
    <w:basedOn w:val="DefaultParagraphFont"/>
    <w:semiHidden/>
    <w:rsid w:val="00A871E0"/>
    <w:rPr>
      <w:vertAlign w:val="superscript"/>
    </w:rPr>
  </w:style>
  <w:style w:type="table" w:styleId="TableGrid">
    <w:name w:val="Table Grid"/>
    <w:basedOn w:val="TableNormal"/>
    <w:rsid w:val="00571DDF"/>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B70B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0B19"/>
  </w:style>
  <w:style w:type="paragraph" w:styleId="NoSpacing">
    <w:name w:val="No Spacing"/>
    <w:link w:val="NoSpacingChar"/>
    <w:uiPriority w:val="1"/>
    <w:qFormat/>
    <w:rsid w:val="002A2C95"/>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2A2C95"/>
    <w:rPr>
      <w:rFonts w:eastAsiaTheme="minorEastAsia"/>
      <w:lang w:val="en-US" w:eastAsia="ja-JP"/>
    </w:rPr>
  </w:style>
  <w:style w:type="paragraph" w:styleId="BalloonText">
    <w:name w:val="Balloon Text"/>
    <w:basedOn w:val="Normal"/>
    <w:link w:val="BalloonTextChar"/>
    <w:uiPriority w:val="99"/>
    <w:semiHidden/>
    <w:unhideWhenUsed/>
    <w:rsid w:val="002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2C95"/>
    <w:rPr>
      <w:rFonts w:ascii="Tahoma" w:hAnsi="Tahoma" w:cs="Tahoma"/>
      <w:sz w:val="16"/>
      <w:szCs w:val="16"/>
    </w:rPr>
  </w:style>
  <w:style w:type="character" w:styleId="Hyperlink">
    <w:name w:val="Hyperlink"/>
    <w:basedOn w:val="DefaultParagraphFont"/>
    <w:uiPriority w:val="99"/>
    <w:unhideWhenUsed/>
    <w:rsid w:val="002A2C95"/>
    <w:rPr>
      <w:color w:val="0000FF" w:themeColor="hyperlink"/>
      <w:u w:val="single"/>
    </w:rPr>
  </w:style>
  <w:style w:type="paragraph" w:styleId="Title">
    <w:name w:val="Title"/>
    <w:basedOn w:val="Normal"/>
    <w:next w:val="Normal"/>
    <w:link w:val="TitleChar"/>
    <w:uiPriority w:val="10"/>
    <w:qFormat/>
    <w:rsid w:val="00F07E6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07E6B"/>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ian@sda.org.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2014RG-82-8048</_dlc_DocId>
    <_dlc_DocIdUrl xmlns="9f7bc583-7cbe-45b9-a2bd-8bbb6543b37e">
      <Url>http://tweb/sites/rg/project/twptf/_layouts/15/DocIdRedir.aspx?ID=2014RG-82-8048</Url>
      <Description>2014RG-82-8048</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F322CA-521B-4F6F-938F-BED03A1B7EA4}"/>
</file>

<file path=customXml/itemProps2.xml><?xml version="1.0" encoding="utf-8"?>
<ds:datastoreItem xmlns:ds="http://schemas.openxmlformats.org/officeDocument/2006/customXml" ds:itemID="{5B6C7491-6243-4BE8-8286-231D3174EF01}"/>
</file>

<file path=customXml/itemProps3.xml><?xml version="1.0" encoding="utf-8"?>
<ds:datastoreItem xmlns:ds="http://schemas.openxmlformats.org/officeDocument/2006/customXml" ds:itemID="{17E7744B-40D9-4106-979F-D7F6146E89AD}"/>
</file>

<file path=customXml/itemProps4.xml><?xml version="1.0" encoding="utf-8"?>
<ds:datastoreItem xmlns:ds="http://schemas.openxmlformats.org/officeDocument/2006/customXml" ds:itemID="{F7CCC3BD-DC46-4E69-8EA1-AF6641AF7477}"/>
</file>

<file path=customXml/itemProps5.xml><?xml version="1.0" encoding="utf-8"?>
<ds:datastoreItem xmlns:ds="http://schemas.openxmlformats.org/officeDocument/2006/customXml" ds:itemID="{A4D3855F-0341-4337-B75A-8FC4AE6774ED}"/>
</file>

<file path=docProps/app.xml><?xml version="1.0" encoding="utf-8"?>
<Properties xmlns="http://schemas.openxmlformats.org/officeDocument/2006/extended-properties" xmlns:vt="http://schemas.openxmlformats.org/officeDocument/2006/docPropsVTypes">
  <Template>Normal.dotm</Template>
  <TotalTime>2</TotalTime>
  <Pages>15</Pages>
  <Words>3863</Words>
  <Characters>22025</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Shop, Distributive and Allied Employees’ Association - Submission to the Tax Discussion Paper</vt:lpstr>
    </vt:vector>
  </TitlesOfParts>
  <Company/>
  <LinksUpToDate>false</LinksUpToDate>
  <CharactersWithSpaces>25837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Shop, Distributive and Allied Employees’ Association - Submission to the Tax Discussion Paper</dc:title>
  <dc:creator>Shop, Distributive and Allied Employees’ Association</dc:creator>
  <cp:lastModifiedBy>McLeod, Caitlin</cp:lastModifiedBy>
  <cp:revision>3</cp:revision>
  <cp:lastPrinted>2015-05-28T06:36:00Z</cp:lastPrinted>
  <dcterms:created xsi:type="dcterms:W3CDTF">2015-06-01T06:54:00Z</dcterms:created>
  <dcterms:modified xsi:type="dcterms:W3CDTF">2015-06-01T06:56:00Z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4" name="TSYRecordClass">
    <vt:lpwstr>20;#TSY RA-9152 - Retain as national archives|9ab56360-fc55-4e73-997a-d8add4432252</vt:lpwstr>
  </property>
  <property fmtid="{D5CDD505-2E9C-101B-9397-08002B2CF9AE}" pid="5" name="_dlc_DocIdItemGuid">
    <vt:lpwstr>20790fb9-252a-4235-8882-552861c33e98</vt:lpwstr>
  </property>
  <property fmtid="{D5CDD505-2E9C-101B-9397-08002B2CF9AE}" pid="6" name="ContentTypeId">
    <vt:lpwstr>0x01010036BB8DE7EC542E42A8B2E98CC20CB69700AA356CCBB2B4204EB1CD923E8E69F50F</vt:lpwstr>
  </property>
</Properties>
</file>