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69D9C" w14:textId="77777777" w:rsidR="00AF3A31" w:rsidRDefault="00AF3A31" w:rsidP="00AF3A31"/>
    <w:p w14:paraId="5AE9144E" w14:textId="77777777" w:rsidR="00AF3A31" w:rsidRDefault="00AF3A31" w:rsidP="00AF3A31"/>
    <w:p w14:paraId="3ABCDBBD" w14:textId="77777777" w:rsidR="00AF3A31" w:rsidRDefault="009552E5" w:rsidP="009552E5">
      <w:pPr>
        <w:tabs>
          <w:tab w:val="left" w:pos="1960"/>
        </w:tabs>
      </w:pPr>
      <w:r>
        <w:tab/>
      </w:r>
    </w:p>
    <w:p w14:paraId="7A46AE9C" w14:textId="77777777" w:rsidR="00AF3A31" w:rsidRDefault="00AF3A31" w:rsidP="00AF3A31"/>
    <w:p w14:paraId="04A5856B" w14:textId="77777777" w:rsidR="00AF3A31" w:rsidRDefault="00AF3A31" w:rsidP="00AF3A31"/>
    <w:p w14:paraId="5CFC1F54" w14:textId="77777777" w:rsidR="00AF3A31" w:rsidRDefault="00AF3A31" w:rsidP="00AF3A31"/>
    <w:p w14:paraId="4F4AC1F7" w14:textId="77777777" w:rsidR="00AF3A31" w:rsidRDefault="00FB35B2" w:rsidP="00FB35B2">
      <w:pPr>
        <w:tabs>
          <w:tab w:val="left" w:pos="1600"/>
        </w:tabs>
      </w:pPr>
      <w:r>
        <w:tab/>
      </w:r>
    </w:p>
    <w:p w14:paraId="02000284" w14:textId="77777777" w:rsidR="00AF3A31" w:rsidRDefault="00AF3A31" w:rsidP="00AF3A31"/>
    <w:p w14:paraId="556D3700" w14:textId="77777777" w:rsidR="00AF3A31" w:rsidRDefault="00AF3A31" w:rsidP="00AF3A31"/>
    <w:p w14:paraId="59E3EBEB" w14:textId="77777777" w:rsidR="00AF3A31" w:rsidRDefault="00AF3A31" w:rsidP="00AF3A31"/>
    <w:p w14:paraId="17DE7CF3" w14:textId="77777777" w:rsidR="00AF3A31" w:rsidRDefault="00AF3A31" w:rsidP="00AF3A31"/>
    <w:p w14:paraId="4D6C434E" w14:textId="77777777" w:rsidR="00AF3A31" w:rsidRDefault="00AF3A31" w:rsidP="00AF3A31"/>
    <w:p w14:paraId="4D5ED6AF" w14:textId="77777777" w:rsidR="00AF3A31" w:rsidRDefault="00AF3A31" w:rsidP="00AF3A31"/>
    <w:p w14:paraId="4A5EDF20" w14:textId="77777777" w:rsidR="00AF3A31" w:rsidRDefault="00AF3A31" w:rsidP="00AF3A31"/>
    <w:p w14:paraId="34A2A984" w14:textId="77777777" w:rsidR="00AF3A31" w:rsidRDefault="00AF3A31" w:rsidP="00AF3A31"/>
    <w:p w14:paraId="5F4DED17" w14:textId="77777777" w:rsidR="00AF3A31" w:rsidRDefault="00AF3A31" w:rsidP="00AF3A31"/>
    <w:p w14:paraId="4B8D77C7" w14:textId="77777777" w:rsidR="00AF3A31" w:rsidRDefault="00AF3A31" w:rsidP="00AF3A31"/>
    <w:p w14:paraId="0D38E0C4" w14:textId="77777777" w:rsidR="00AF3A31" w:rsidRDefault="00AF3A31" w:rsidP="00AF3A31"/>
    <w:p w14:paraId="5A138004" w14:textId="77777777" w:rsidR="00AF3A31" w:rsidRDefault="00AF3A31" w:rsidP="00AF3A31"/>
    <w:p w14:paraId="3922F7DD" w14:textId="77777777" w:rsidR="00FB35B2" w:rsidRDefault="00FB35B2" w:rsidP="00AF3A31">
      <w:pPr>
        <w:rPr>
          <w:rFonts w:ascii="Arial" w:hAnsi="Arial"/>
          <w:b/>
          <w:color w:val="052C66"/>
          <w:sz w:val="28"/>
        </w:rPr>
      </w:pPr>
    </w:p>
    <w:p w14:paraId="15EEB070" w14:textId="70197BCF" w:rsidR="00673AA7" w:rsidRPr="008B5751" w:rsidRDefault="00FB35B2">
      <w:pPr>
        <w:rPr>
          <w:rFonts w:ascii="Arial" w:hAnsi="Arial"/>
          <w:b/>
          <w:color w:val="052C66"/>
          <w:sz w:val="28"/>
        </w:rPr>
      </w:pPr>
      <w:r>
        <w:rPr>
          <w:rFonts w:ascii="Arial" w:hAnsi="Arial"/>
          <w:b/>
          <w:noProof/>
          <w:color w:val="052C66"/>
          <w:sz w:val="28"/>
          <w:lang w:eastAsia="en-AU"/>
        </w:rPr>
        <mc:AlternateContent>
          <mc:Choice Requires="wps">
            <w:drawing>
              <wp:anchor distT="0" distB="0" distL="114300" distR="114300" simplePos="0" relativeHeight="251659264" behindDoc="0" locked="0" layoutInCell="1" allowOverlap="1" wp14:anchorId="30AFCCA3" wp14:editId="634A5D82">
                <wp:simplePos x="0" y="0"/>
                <wp:positionH relativeFrom="column">
                  <wp:posOffset>1880235</wp:posOffset>
                </wp:positionH>
                <wp:positionV relativeFrom="paragraph">
                  <wp:posOffset>3795395</wp:posOffset>
                </wp:positionV>
                <wp:extent cx="422910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291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F423BA" w14:textId="77777777" w:rsidR="004B1423" w:rsidRDefault="004B1423" w:rsidP="00256320">
                            <w:pPr>
                              <w:spacing w:line="276" w:lineRule="auto"/>
                              <w:jc w:val="right"/>
                              <w:rPr>
                                <w:rFonts w:ascii="Arial" w:hAnsi="Arial"/>
                                <w:b/>
                                <w:color w:val="FFFFFF" w:themeColor="background1"/>
                                <w:sz w:val="32"/>
                              </w:rPr>
                            </w:pPr>
                            <w:r>
                              <w:rPr>
                                <w:rFonts w:ascii="Arial" w:hAnsi="Arial"/>
                                <w:b/>
                                <w:color w:val="FFFFFF" w:themeColor="background1"/>
                                <w:sz w:val="32"/>
                              </w:rPr>
                              <w:t xml:space="preserve">RACP Submission: </w:t>
                            </w:r>
                          </w:p>
                          <w:p w14:paraId="6F0B7966" w14:textId="3818ACB5" w:rsidR="004B1423" w:rsidRDefault="004B1423" w:rsidP="00256320">
                            <w:pPr>
                              <w:spacing w:line="276" w:lineRule="auto"/>
                              <w:jc w:val="right"/>
                              <w:rPr>
                                <w:rFonts w:ascii="Arial" w:hAnsi="Arial"/>
                                <w:b/>
                                <w:color w:val="FFFFFF" w:themeColor="background1"/>
                                <w:sz w:val="32"/>
                              </w:rPr>
                            </w:pPr>
                            <w:r>
                              <w:rPr>
                                <w:rFonts w:ascii="Arial" w:hAnsi="Arial"/>
                                <w:b/>
                                <w:color w:val="FFFFFF" w:themeColor="background1"/>
                                <w:sz w:val="32"/>
                              </w:rPr>
                              <w:t xml:space="preserve">Tax Discussion Paper </w:t>
                            </w:r>
                          </w:p>
                          <w:p w14:paraId="263D2E4D" w14:textId="21BDF002" w:rsidR="004B1423" w:rsidRPr="003D53F6" w:rsidRDefault="004B1423" w:rsidP="00256320">
                            <w:pPr>
                              <w:spacing w:line="276" w:lineRule="auto"/>
                              <w:jc w:val="right"/>
                              <w:rPr>
                                <w:rFonts w:ascii="Arial" w:hAnsi="Arial"/>
                                <w:sz w:val="22"/>
                              </w:rPr>
                            </w:pPr>
                            <w:r>
                              <w:rPr>
                                <w:rFonts w:ascii="Arial" w:hAnsi="Arial"/>
                                <w:color w:val="FFFFFF" w:themeColor="background1"/>
                                <w:sz w:val="32"/>
                              </w:rPr>
                              <w:t>June 2015</w:t>
                            </w:r>
                            <w:r w:rsidRPr="003D53F6">
                              <w:rPr>
                                <w:rFonts w:ascii="Arial" w:hAnsi="Arial"/>
                                <w:color w:val="FFFFFF" w:themeColor="background1"/>
                                <w:sz w:val="32"/>
                              </w:rPr>
                              <w:t xml:space="preserve"> </w:t>
                            </w:r>
                          </w:p>
                          <w:p w14:paraId="1425F759" w14:textId="77777777" w:rsidR="004B1423" w:rsidRPr="00FB35B2" w:rsidRDefault="004B1423" w:rsidP="00256320">
                            <w:pPr>
                              <w:spacing w:line="276" w:lineRule="auto"/>
                              <w:jc w:val="right"/>
                              <w:rPr>
                                <w:rFonts w:ascii="Arial" w:hAnsi="Arial"/>
                                <w:sz w:val="22"/>
                              </w:rPr>
                            </w:pPr>
                          </w:p>
                          <w:p w14:paraId="0F8ECDBA" w14:textId="77777777" w:rsidR="004B1423" w:rsidRPr="00FB35B2" w:rsidRDefault="004B1423" w:rsidP="00256320">
                            <w:pPr>
                              <w:spacing w:line="276" w:lineRule="auto"/>
                              <w:jc w:val="right"/>
                              <w:rPr>
                                <w:rFonts w:ascii="Arial" w:hAnsi="Arial"/>
                                <w:sz w:val="22"/>
                              </w:rPr>
                            </w:pPr>
                          </w:p>
                          <w:p w14:paraId="74771B7A" w14:textId="77777777" w:rsidR="004B1423" w:rsidRPr="00FB35B2" w:rsidRDefault="004B1423" w:rsidP="00256320">
                            <w:pPr>
                              <w:spacing w:line="276" w:lineRule="auto"/>
                              <w:jc w:val="right"/>
                              <w:rPr>
                                <w:rFonts w:ascii="Arial" w:hAnsi="Arial"/>
                                <w:sz w:val="22"/>
                              </w:rPr>
                            </w:pPr>
                          </w:p>
                          <w:p w14:paraId="18661F65" w14:textId="77777777" w:rsidR="004B1423" w:rsidRPr="00FB35B2" w:rsidRDefault="004B1423" w:rsidP="00256320">
                            <w:pPr>
                              <w:spacing w:line="276" w:lineRule="auto"/>
                              <w:jc w:val="right"/>
                              <w:rPr>
                                <w:rFonts w:ascii="Arial" w:hAnsi="Arial"/>
                                <w:sz w:val="22"/>
                              </w:rPr>
                            </w:pPr>
                          </w:p>
                          <w:p w14:paraId="20CF13C6" w14:textId="77777777" w:rsidR="004B1423" w:rsidRPr="00FB35B2" w:rsidRDefault="004B1423" w:rsidP="00256320">
                            <w:pPr>
                              <w:spacing w:line="276" w:lineRule="auto"/>
                              <w:jc w:val="right"/>
                              <w:rPr>
                                <w:rFonts w:ascii="Arial" w:hAnsi="Arial"/>
                                <w:sz w:val="22"/>
                              </w:rPr>
                            </w:pPr>
                          </w:p>
                          <w:p w14:paraId="4336619B" w14:textId="77777777" w:rsidR="004B1423" w:rsidRPr="00FB35B2" w:rsidRDefault="004B1423" w:rsidP="00256320">
                            <w:pPr>
                              <w:spacing w:line="276" w:lineRule="auto"/>
                              <w:jc w:val="right"/>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48.05pt;margin-top:298.85pt;width:333pt;height:9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" filled="f" stroked="f">
                <v:textbox>
                  <w:txbxContent>
                    <w:p w14:paraId="56F423BA" w14:textId="77777777" w:rsidR="004B1423" w:rsidRDefault="004B1423" w:rsidP="00256320">
                      <w:pPr>
                        <w:spacing w:line="276" w:lineRule="auto"/>
                        <w:jc w:val="right"/>
                        <w:rPr>
                          <w:rFonts w:ascii="Arial" w:hAnsi="Arial"/>
                          <w:b/>
                          <w:color w:val="FFFFFF" w:themeColor="background1"/>
                          <w:sz w:val="32"/>
                        </w:rPr>
                      </w:pPr>
                      <w:r>
                        <w:rPr>
                          <w:rFonts w:ascii="Arial" w:hAnsi="Arial"/>
                          <w:b/>
                          <w:color w:val="FFFFFF" w:themeColor="background1"/>
                          <w:sz w:val="32"/>
                        </w:rPr>
                        <w:t xml:space="preserve">RACP Submission: </w:t>
                      </w:r>
                    </w:p>
                    <w:p w14:paraId="6F0B7966" w14:textId="3818ACB5" w:rsidR="004B1423" w:rsidRDefault="004B1423" w:rsidP="00256320">
                      <w:pPr>
                        <w:spacing w:line="276" w:lineRule="auto"/>
                        <w:jc w:val="right"/>
                        <w:rPr>
                          <w:rFonts w:ascii="Arial" w:hAnsi="Arial"/>
                          <w:b/>
                          <w:color w:val="FFFFFF" w:themeColor="background1"/>
                          <w:sz w:val="32"/>
                        </w:rPr>
                      </w:pPr>
                      <w:r>
                        <w:rPr>
                          <w:rFonts w:ascii="Arial" w:hAnsi="Arial"/>
                          <w:b/>
                          <w:color w:val="FFFFFF" w:themeColor="background1"/>
                          <w:sz w:val="32"/>
                        </w:rPr>
                        <w:t xml:space="preserve">Tax Discussion Paper </w:t>
                      </w:r>
                    </w:p>
                    <w:p w14:paraId="263D2E4D" w14:textId="21BDF002" w:rsidR="004B1423" w:rsidRPr="003D53F6" w:rsidRDefault="004B1423" w:rsidP="00256320">
                      <w:pPr>
                        <w:spacing w:line="276" w:lineRule="auto"/>
                        <w:jc w:val="right"/>
                        <w:rPr>
                          <w:rFonts w:ascii="Arial" w:hAnsi="Arial"/>
                          <w:sz w:val="22"/>
                        </w:rPr>
                      </w:pPr>
                      <w:r>
                        <w:rPr>
                          <w:rFonts w:ascii="Arial" w:hAnsi="Arial"/>
                          <w:color w:val="FFFFFF" w:themeColor="background1"/>
                          <w:sz w:val="32"/>
                        </w:rPr>
                        <w:t>June 2015</w:t>
                      </w:r>
                      <w:r w:rsidRPr="003D53F6">
                        <w:rPr>
                          <w:rFonts w:ascii="Arial" w:hAnsi="Arial"/>
                          <w:color w:val="FFFFFF" w:themeColor="background1"/>
                          <w:sz w:val="32"/>
                        </w:rPr>
                        <w:t xml:space="preserve"> </w:t>
                      </w:r>
                    </w:p>
                    <w:p w14:paraId="1425F759" w14:textId="77777777" w:rsidR="004B1423" w:rsidRPr="00FB35B2" w:rsidRDefault="004B1423" w:rsidP="00256320">
                      <w:pPr>
                        <w:spacing w:line="276" w:lineRule="auto"/>
                        <w:jc w:val="right"/>
                        <w:rPr>
                          <w:rFonts w:ascii="Arial" w:hAnsi="Arial"/>
                          <w:sz w:val="22"/>
                        </w:rPr>
                      </w:pPr>
                    </w:p>
                    <w:p w14:paraId="0F8ECDBA" w14:textId="77777777" w:rsidR="004B1423" w:rsidRPr="00FB35B2" w:rsidRDefault="004B1423" w:rsidP="00256320">
                      <w:pPr>
                        <w:spacing w:line="276" w:lineRule="auto"/>
                        <w:jc w:val="right"/>
                        <w:rPr>
                          <w:rFonts w:ascii="Arial" w:hAnsi="Arial"/>
                          <w:sz w:val="22"/>
                        </w:rPr>
                      </w:pPr>
                    </w:p>
                    <w:p w14:paraId="74771B7A" w14:textId="77777777" w:rsidR="004B1423" w:rsidRPr="00FB35B2" w:rsidRDefault="004B1423" w:rsidP="00256320">
                      <w:pPr>
                        <w:spacing w:line="276" w:lineRule="auto"/>
                        <w:jc w:val="right"/>
                        <w:rPr>
                          <w:rFonts w:ascii="Arial" w:hAnsi="Arial"/>
                          <w:sz w:val="22"/>
                        </w:rPr>
                      </w:pPr>
                    </w:p>
                    <w:p w14:paraId="18661F65" w14:textId="77777777" w:rsidR="004B1423" w:rsidRPr="00FB35B2" w:rsidRDefault="004B1423" w:rsidP="00256320">
                      <w:pPr>
                        <w:spacing w:line="276" w:lineRule="auto"/>
                        <w:jc w:val="right"/>
                        <w:rPr>
                          <w:rFonts w:ascii="Arial" w:hAnsi="Arial"/>
                          <w:sz w:val="22"/>
                        </w:rPr>
                      </w:pPr>
                    </w:p>
                    <w:p w14:paraId="20CF13C6" w14:textId="77777777" w:rsidR="004B1423" w:rsidRPr="00FB35B2" w:rsidRDefault="004B1423" w:rsidP="00256320">
                      <w:pPr>
                        <w:spacing w:line="276" w:lineRule="auto"/>
                        <w:jc w:val="right"/>
                        <w:rPr>
                          <w:rFonts w:ascii="Arial" w:hAnsi="Arial"/>
                          <w:sz w:val="22"/>
                        </w:rPr>
                      </w:pPr>
                    </w:p>
                    <w:p w14:paraId="4336619B" w14:textId="77777777" w:rsidR="004B1423" w:rsidRPr="00FB35B2" w:rsidRDefault="004B1423" w:rsidP="00256320">
                      <w:pPr>
                        <w:spacing w:line="276" w:lineRule="auto"/>
                        <w:jc w:val="right"/>
                        <w:rPr>
                          <w:sz w:val="28"/>
                        </w:rPr>
                      </w:pPr>
                    </w:p>
                  </w:txbxContent>
                </v:textbox>
                <w10:wrap type="square"/>
              </v:shape>
            </w:pict>
          </mc:Fallback>
        </mc:AlternateContent>
      </w:r>
      <w:r>
        <w:rPr>
          <w:rFonts w:ascii="Arial" w:hAnsi="Arial"/>
          <w:b/>
          <w:color w:val="052C66"/>
          <w:sz w:val="28"/>
        </w:rPr>
        <w:br w:type="page"/>
      </w:r>
    </w:p>
    <w:p w14:paraId="6D9FC496" w14:textId="77777777" w:rsidR="0005734D" w:rsidRDefault="0005734D">
      <w:pPr>
        <w:rPr>
          <w:rFonts w:ascii="Arial" w:hAnsi="Arial" w:cs="Arial"/>
          <w:b/>
          <w:color w:val="052C66"/>
          <w:sz w:val="28"/>
          <w:szCs w:val="28"/>
        </w:rPr>
      </w:pPr>
      <w:r w:rsidRPr="0005734D">
        <w:rPr>
          <w:rFonts w:ascii="Arial" w:hAnsi="Arial" w:cs="Arial"/>
          <w:b/>
          <w:color w:val="052C66"/>
          <w:sz w:val="28"/>
          <w:szCs w:val="28"/>
        </w:rPr>
        <w:lastRenderedPageBreak/>
        <w:t>Executive Summary</w:t>
      </w:r>
    </w:p>
    <w:p w14:paraId="79ED5B35" w14:textId="77777777" w:rsidR="0005734D" w:rsidRDefault="0005734D">
      <w:pPr>
        <w:rPr>
          <w:rFonts w:ascii="Arial" w:hAnsi="Arial" w:cs="Arial"/>
          <w:b/>
          <w:color w:val="052C66"/>
          <w:sz w:val="28"/>
          <w:szCs w:val="28"/>
        </w:rPr>
      </w:pPr>
    </w:p>
    <w:p w14:paraId="19738B5C" w14:textId="6E21B4F0" w:rsidR="00A73AAD" w:rsidRDefault="0005734D" w:rsidP="00A73AAD">
      <w:pPr>
        <w:rPr>
          <w:rFonts w:ascii="Arial" w:hAnsi="Arial" w:cs="Arial"/>
          <w:sz w:val="22"/>
          <w:szCs w:val="22"/>
        </w:rPr>
      </w:pPr>
      <w:r w:rsidRPr="009C34D3">
        <w:rPr>
          <w:rFonts w:ascii="Arial" w:hAnsi="Arial" w:cs="Arial"/>
          <w:sz w:val="22"/>
          <w:szCs w:val="22"/>
        </w:rPr>
        <w:t xml:space="preserve">The </w:t>
      </w:r>
      <w:bookmarkStart w:id="0" w:name="_GoBack"/>
      <w:r w:rsidRPr="009C34D3">
        <w:rPr>
          <w:rFonts w:ascii="Arial" w:hAnsi="Arial" w:cs="Arial"/>
          <w:sz w:val="22"/>
          <w:szCs w:val="22"/>
        </w:rPr>
        <w:t>Royal Australasian College of Physician</w:t>
      </w:r>
      <w:r>
        <w:rPr>
          <w:rFonts w:ascii="Arial" w:hAnsi="Arial" w:cs="Arial"/>
          <w:sz w:val="22"/>
          <w:szCs w:val="22"/>
        </w:rPr>
        <w:t>s</w:t>
      </w:r>
      <w:bookmarkEnd w:id="0"/>
      <w:r w:rsidRPr="009C34D3">
        <w:rPr>
          <w:rFonts w:ascii="Arial" w:hAnsi="Arial" w:cs="Arial"/>
          <w:sz w:val="22"/>
          <w:szCs w:val="22"/>
        </w:rPr>
        <w:t xml:space="preserve"> (RACP) welcomes the opportunity to </w:t>
      </w:r>
      <w:r>
        <w:rPr>
          <w:rFonts w:ascii="Arial" w:hAnsi="Arial" w:cs="Arial"/>
          <w:sz w:val="22"/>
          <w:szCs w:val="22"/>
        </w:rPr>
        <w:t xml:space="preserve">comment on the </w:t>
      </w:r>
      <w:r w:rsidR="005F620E">
        <w:rPr>
          <w:rFonts w:ascii="Arial" w:hAnsi="Arial" w:cs="Arial"/>
          <w:sz w:val="22"/>
          <w:szCs w:val="22"/>
        </w:rPr>
        <w:t>Australian Government’s Tax Discussion Paper</w:t>
      </w:r>
      <w:r>
        <w:rPr>
          <w:rFonts w:ascii="Arial" w:hAnsi="Arial" w:cs="Arial"/>
          <w:sz w:val="22"/>
          <w:szCs w:val="22"/>
        </w:rPr>
        <w:t>.</w:t>
      </w:r>
      <w:r w:rsidR="005F620E">
        <w:rPr>
          <w:rFonts w:ascii="Arial" w:hAnsi="Arial" w:cs="Arial"/>
          <w:sz w:val="22"/>
          <w:szCs w:val="22"/>
        </w:rPr>
        <w:t xml:space="preserve"> </w:t>
      </w:r>
      <w:r w:rsidR="00A73AAD">
        <w:rPr>
          <w:rFonts w:ascii="Arial" w:hAnsi="Arial" w:cs="Arial"/>
          <w:sz w:val="22"/>
          <w:szCs w:val="22"/>
        </w:rPr>
        <w:t xml:space="preserve">The focus of our comments is </w:t>
      </w:r>
      <w:r w:rsidR="00EF58D3">
        <w:rPr>
          <w:rFonts w:ascii="Arial" w:hAnsi="Arial" w:cs="Arial"/>
          <w:sz w:val="22"/>
          <w:szCs w:val="22"/>
        </w:rPr>
        <w:t xml:space="preserve">the </w:t>
      </w:r>
      <w:r w:rsidR="00A73AAD">
        <w:rPr>
          <w:rFonts w:ascii="Arial" w:hAnsi="Arial" w:cs="Arial"/>
          <w:sz w:val="22"/>
          <w:szCs w:val="22"/>
        </w:rPr>
        <w:t xml:space="preserve">section in Chapter 9 of the Discussion Paper which discusses current settings for alcohol taxes. We comment on the appropriateness of </w:t>
      </w:r>
      <w:r w:rsidR="00AC0DA7">
        <w:rPr>
          <w:rFonts w:ascii="Arial" w:hAnsi="Arial" w:cs="Arial"/>
          <w:sz w:val="22"/>
          <w:szCs w:val="22"/>
        </w:rPr>
        <w:t xml:space="preserve">these </w:t>
      </w:r>
      <w:r w:rsidR="00A73AAD">
        <w:rPr>
          <w:rFonts w:ascii="Arial" w:hAnsi="Arial" w:cs="Arial"/>
          <w:sz w:val="22"/>
          <w:szCs w:val="22"/>
        </w:rPr>
        <w:t xml:space="preserve">settings and recommend the following changes: </w:t>
      </w:r>
    </w:p>
    <w:p w14:paraId="00B5F648" w14:textId="77777777" w:rsidR="00A73AAD" w:rsidRDefault="00A73AAD" w:rsidP="00A73AAD">
      <w:pPr>
        <w:pStyle w:val="ListParagraph"/>
        <w:numPr>
          <w:ilvl w:val="0"/>
          <w:numId w:val="2"/>
        </w:numPr>
        <w:rPr>
          <w:rFonts w:ascii="Arial" w:hAnsi="Arial" w:cs="Arial"/>
          <w:sz w:val="22"/>
          <w:szCs w:val="22"/>
        </w:rPr>
      </w:pPr>
      <w:r w:rsidRPr="00614A99">
        <w:rPr>
          <w:rFonts w:ascii="Arial" w:hAnsi="Arial" w:cs="Arial"/>
          <w:sz w:val="22"/>
          <w:szCs w:val="22"/>
        </w:rPr>
        <w:t>There should be an underlying volumetric based tax system for all alcoholic drinks i.e. all alcoholic drinks should be taxed based on alcohol content, without exception.</w:t>
      </w:r>
    </w:p>
    <w:p w14:paraId="5FB5E1ED" w14:textId="77777777" w:rsidR="00A73AAD" w:rsidRPr="00614A99" w:rsidRDefault="00A73AAD" w:rsidP="00A73AAD">
      <w:pPr>
        <w:pStyle w:val="ListParagraph"/>
        <w:numPr>
          <w:ilvl w:val="1"/>
          <w:numId w:val="2"/>
        </w:numPr>
        <w:rPr>
          <w:rFonts w:ascii="Arial" w:hAnsi="Arial" w:cs="Arial"/>
          <w:sz w:val="22"/>
          <w:szCs w:val="22"/>
        </w:rPr>
      </w:pPr>
      <w:r w:rsidRPr="00614A99">
        <w:rPr>
          <w:rFonts w:ascii="Arial" w:hAnsi="Arial" w:cs="Arial"/>
          <w:sz w:val="22"/>
          <w:szCs w:val="22"/>
        </w:rPr>
        <w:t xml:space="preserve"> This would mean in the first instance, replacing the Wine Equalisation Ta</w:t>
      </w:r>
      <w:r>
        <w:rPr>
          <w:rFonts w:ascii="Arial" w:hAnsi="Arial" w:cs="Arial"/>
          <w:sz w:val="22"/>
          <w:szCs w:val="22"/>
        </w:rPr>
        <w:t>x (WET) with a volumetric tax on wine, making the taxation treatment of wine consistent with that of other alcoholic drinks. It would also imply the abolition of the WET Rebate.</w:t>
      </w:r>
    </w:p>
    <w:p w14:paraId="5FA91CA9" w14:textId="21A623A6" w:rsidR="00A73AAD" w:rsidRPr="00614A99" w:rsidRDefault="00A73AAD" w:rsidP="00A73AAD">
      <w:pPr>
        <w:pStyle w:val="ListParagraph"/>
        <w:numPr>
          <w:ilvl w:val="0"/>
          <w:numId w:val="2"/>
        </w:numPr>
        <w:rPr>
          <w:rFonts w:ascii="Arial" w:hAnsi="Arial" w:cs="Arial"/>
          <w:sz w:val="22"/>
          <w:szCs w:val="22"/>
        </w:rPr>
      </w:pPr>
      <w:r w:rsidRPr="00614A99">
        <w:rPr>
          <w:rFonts w:ascii="Arial" w:hAnsi="Arial" w:cs="Arial"/>
          <w:sz w:val="22"/>
          <w:szCs w:val="22"/>
        </w:rPr>
        <w:t>Within the volumetric tax system,</w:t>
      </w:r>
      <w:r w:rsidRPr="00614A99">
        <w:t xml:space="preserve"> </w:t>
      </w:r>
      <w:r>
        <w:rPr>
          <w:rFonts w:ascii="Arial" w:hAnsi="Arial" w:cs="Arial"/>
          <w:sz w:val="22"/>
          <w:szCs w:val="22"/>
        </w:rPr>
        <w:t>there should be scope for t</w:t>
      </w:r>
      <w:r w:rsidRPr="00614A99">
        <w:rPr>
          <w:rFonts w:ascii="Arial" w:hAnsi="Arial" w:cs="Arial"/>
          <w:sz w:val="22"/>
          <w:szCs w:val="22"/>
        </w:rPr>
        <w:t xml:space="preserve">iered taxation rates </w:t>
      </w:r>
      <w:r>
        <w:rPr>
          <w:rFonts w:ascii="Arial" w:hAnsi="Arial" w:cs="Arial"/>
          <w:sz w:val="22"/>
          <w:szCs w:val="22"/>
        </w:rPr>
        <w:t xml:space="preserve">imposing </w:t>
      </w:r>
      <w:r w:rsidRPr="00614A99">
        <w:rPr>
          <w:rFonts w:ascii="Arial" w:hAnsi="Arial" w:cs="Arial"/>
          <w:sz w:val="22"/>
          <w:szCs w:val="22"/>
        </w:rPr>
        <w:t>higher tax rates for those alcoholic drinks with higher health risks</w:t>
      </w:r>
      <w:r w:rsidR="00000839">
        <w:rPr>
          <w:rFonts w:ascii="Arial" w:hAnsi="Arial" w:cs="Arial"/>
          <w:sz w:val="22"/>
          <w:szCs w:val="22"/>
        </w:rPr>
        <w:t xml:space="preserve"> (and by implication, lower rates for drinks associated with lower health risks).</w:t>
      </w:r>
    </w:p>
    <w:p w14:paraId="75BD6359" w14:textId="77777777" w:rsidR="00A73AAD" w:rsidRPr="00253797" w:rsidRDefault="00A73AAD" w:rsidP="00A73AAD">
      <w:pPr>
        <w:rPr>
          <w:rFonts w:ascii="Arial" w:hAnsi="Arial" w:cs="Arial"/>
          <w:sz w:val="22"/>
          <w:szCs w:val="22"/>
        </w:rPr>
      </w:pPr>
    </w:p>
    <w:p w14:paraId="7D993302" w14:textId="77777777" w:rsidR="00A73AAD" w:rsidRDefault="00A73AAD" w:rsidP="00A73AAD">
      <w:pPr>
        <w:rPr>
          <w:rFonts w:ascii="Arial" w:hAnsi="Arial" w:cs="Arial"/>
          <w:sz w:val="22"/>
          <w:szCs w:val="22"/>
        </w:rPr>
      </w:pPr>
      <w:r>
        <w:rPr>
          <w:rFonts w:ascii="Arial" w:hAnsi="Arial" w:cs="Arial"/>
          <w:sz w:val="22"/>
          <w:szCs w:val="22"/>
        </w:rPr>
        <w:t>The reasons leading up to our recommendations are as follows and are explored in greater length below:</w:t>
      </w:r>
    </w:p>
    <w:p w14:paraId="7946C04B" w14:textId="322F2822" w:rsidR="00A73AAD" w:rsidRDefault="00A73AAD" w:rsidP="00A73AAD">
      <w:pPr>
        <w:pStyle w:val="ListParagraph"/>
        <w:numPr>
          <w:ilvl w:val="0"/>
          <w:numId w:val="3"/>
        </w:numPr>
        <w:rPr>
          <w:rFonts w:ascii="Arial" w:hAnsi="Arial" w:cs="Arial"/>
          <w:sz w:val="22"/>
          <w:szCs w:val="22"/>
        </w:rPr>
      </w:pPr>
      <w:r>
        <w:rPr>
          <w:rFonts w:ascii="Arial" w:hAnsi="Arial" w:cs="Arial"/>
          <w:sz w:val="22"/>
          <w:szCs w:val="22"/>
        </w:rPr>
        <w:t xml:space="preserve">The current level of alcohol consumption causes significant harm in the community. It has broad public health implications through its direct and indirect health impacts on members of the community including but not restricted to drinkers. Moreover the harms associated with alcohol consumption ‘spill over’ to members of the community other than drinkers themselves. In economic terms, the current level of alcohol consumption causes significant ‘externalities’ which are </w:t>
      </w:r>
      <w:r w:rsidRPr="00A04520">
        <w:rPr>
          <w:rFonts w:ascii="Arial" w:hAnsi="Arial" w:cs="Arial"/>
          <w:sz w:val="22"/>
          <w:szCs w:val="22"/>
        </w:rPr>
        <w:t>legitimate grounds for intervention through taxation policy</w:t>
      </w:r>
      <w:r>
        <w:rPr>
          <w:rFonts w:ascii="Arial" w:hAnsi="Arial" w:cs="Arial"/>
          <w:sz w:val="22"/>
          <w:szCs w:val="22"/>
        </w:rPr>
        <w:t xml:space="preserve">. </w:t>
      </w:r>
    </w:p>
    <w:p w14:paraId="2A4C0518" w14:textId="77777777" w:rsidR="00A73AAD" w:rsidRDefault="00A73AAD" w:rsidP="00A73AAD">
      <w:pPr>
        <w:pStyle w:val="ListParagraph"/>
        <w:numPr>
          <w:ilvl w:val="0"/>
          <w:numId w:val="3"/>
        </w:numPr>
        <w:rPr>
          <w:rFonts w:ascii="Arial" w:hAnsi="Arial" w:cs="Arial"/>
          <w:sz w:val="22"/>
          <w:szCs w:val="22"/>
        </w:rPr>
      </w:pPr>
      <w:r w:rsidRPr="001B5EA5">
        <w:rPr>
          <w:rFonts w:ascii="Arial" w:hAnsi="Arial" w:cs="Arial"/>
          <w:sz w:val="22"/>
          <w:szCs w:val="22"/>
        </w:rPr>
        <w:t>The level of alcoho</w:t>
      </w:r>
      <w:r>
        <w:rPr>
          <w:rFonts w:ascii="Arial" w:hAnsi="Arial" w:cs="Arial"/>
          <w:sz w:val="22"/>
          <w:szCs w:val="22"/>
        </w:rPr>
        <w:t>l consumption responds to changes in the price of alcohol, though the specific responsiveness may differ according to consumer and alcohol type. The level of alcohol-related harm has also been shown to respond to policy induced changes in the price of alcoholic drinks, which is consistent with (1) above.</w:t>
      </w:r>
    </w:p>
    <w:p w14:paraId="416C2955" w14:textId="77777777" w:rsidR="00A73AAD" w:rsidRDefault="00A73AAD" w:rsidP="00A73AAD">
      <w:pPr>
        <w:pStyle w:val="ListParagraph"/>
        <w:numPr>
          <w:ilvl w:val="0"/>
          <w:numId w:val="3"/>
        </w:numPr>
        <w:rPr>
          <w:rFonts w:ascii="Arial" w:hAnsi="Arial" w:cs="Arial"/>
          <w:sz w:val="22"/>
          <w:szCs w:val="22"/>
        </w:rPr>
      </w:pPr>
      <w:r>
        <w:rPr>
          <w:rFonts w:ascii="Arial" w:hAnsi="Arial" w:cs="Arial"/>
          <w:sz w:val="22"/>
          <w:szCs w:val="22"/>
        </w:rPr>
        <w:t xml:space="preserve">Taxation policy can have significant impacts on the average price of alcohol and on the affordability of some alcoholic drinks relative to others. </w:t>
      </w:r>
    </w:p>
    <w:p w14:paraId="0AE2C4B0" w14:textId="46CFB851" w:rsidR="001033FF" w:rsidRDefault="00A73AAD" w:rsidP="001033FF">
      <w:pPr>
        <w:pStyle w:val="ListParagraph"/>
        <w:numPr>
          <w:ilvl w:val="0"/>
          <w:numId w:val="3"/>
        </w:numPr>
        <w:rPr>
          <w:rFonts w:ascii="Arial" w:hAnsi="Arial" w:cs="Arial"/>
          <w:sz w:val="22"/>
          <w:szCs w:val="22"/>
        </w:rPr>
      </w:pPr>
      <w:r>
        <w:rPr>
          <w:rFonts w:ascii="Arial" w:hAnsi="Arial" w:cs="Arial"/>
          <w:sz w:val="22"/>
          <w:szCs w:val="22"/>
        </w:rPr>
        <w:t>Moving to a volumetric tax system for all alcoholic drinks can significantly reduce existing levels of alcohol related harms</w:t>
      </w:r>
      <w:r w:rsidR="00AC0DA7">
        <w:rPr>
          <w:rFonts w:ascii="Arial" w:hAnsi="Arial" w:cs="Arial"/>
          <w:sz w:val="22"/>
          <w:szCs w:val="22"/>
        </w:rPr>
        <w:t>,</w:t>
      </w:r>
      <w:r>
        <w:rPr>
          <w:rFonts w:ascii="Arial" w:hAnsi="Arial" w:cs="Arial"/>
          <w:sz w:val="22"/>
          <w:szCs w:val="22"/>
        </w:rPr>
        <w:t xml:space="preserve"> thus </w:t>
      </w:r>
      <w:r w:rsidR="00EF58D3">
        <w:rPr>
          <w:rFonts w:ascii="Arial" w:hAnsi="Arial" w:cs="Arial"/>
          <w:sz w:val="22"/>
          <w:szCs w:val="22"/>
        </w:rPr>
        <w:t>improving public</w:t>
      </w:r>
      <w:r>
        <w:rPr>
          <w:rFonts w:ascii="Arial" w:hAnsi="Arial" w:cs="Arial"/>
          <w:sz w:val="22"/>
          <w:szCs w:val="22"/>
        </w:rPr>
        <w:t xml:space="preserve"> health, </w:t>
      </w:r>
      <w:r w:rsidR="00AC0DA7">
        <w:rPr>
          <w:rFonts w:ascii="Arial" w:hAnsi="Arial" w:cs="Arial"/>
          <w:sz w:val="22"/>
          <w:szCs w:val="22"/>
        </w:rPr>
        <w:t xml:space="preserve">and </w:t>
      </w:r>
      <w:r>
        <w:rPr>
          <w:rFonts w:ascii="Arial" w:hAnsi="Arial" w:cs="Arial"/>
          <w:sz w:val="22"/>
          <w:szCs w:val="22"/>
        </w:rPr>
        <w:t>reduc</w:t>
      </w:r>
      <w:r w:rsidR="00EF58D3">
        <w:rPr>
          <w:rFonts w:ascii="Arial" w:hAnsi="Arial" w:cs="Arial"/>
          <w:sz w:val="22"/>
          <w:szCs w:val="22"/>
        </w:rPr>
        <w:t>ing</w:t>
      </w:r>
      <w:r>
        <w:rPr>
          <w:rFonts w:ascii="Arial" w:hAnsi="Arial" w:cs="Arial"/>
          <w:sz w:val="22"/>
          <w:szCs w:val="22"/>
        </w:rPr>
        <w:t xml:space="preserve"> alcohol related externalities</w:t>
      </w:r>
      <w:r w:rsidR="00701CFC">
        <w:rPr>
          <w:rFonts w:ascii="Arial" w:hAnsi="Arial" w:cs="Arial"/>
          <w:sz w:val="22"/>
          <w:szCs w:val="22"/>
        </w:rPr>
        <w:t xml:space="preserve">. </w:t>
      </w:r>
      <w:r w:rsidR="00AC0DA7">
        <w:rPr>
          <w:rFonts w:ascii="Arial" w:hAnsi="Arial" w:cs="Arial"/>
          <w:sz w:val="22"/>
          <w:szCs w:val="22"/>
        </w:rPr>
        <w:t>It would</w:t>
      </w:r>
      <w:r>
        <w:rPr>
          <w:rFonts w:ascii="Arial" w:hAnsi="Arial" w:cs="Arial"/>
          <w:sz w:val="22"/>
          <w:szCs w:val="22"/>
        </w:rPr>
        <w:t xml:space="preserve"> enhanc</w:t>
      </w:r>
      <w:r w:rsidR="00AC0DA7">
        <w:rPr>
          <w:rFonts w:ascii="Arial" w:hAnsi="Arial" w:cs="Arial"/>
          <w:sz w:val="22"/>
          <w:szCs w:val="22"/>
        </w:rPr>
        <w:t>e</w:t>
      </w:r>
      <w:r>
        <w:rPr>
          <w:rFonts w:ascii="Arial" w:hAnsi="Arial" w:cs="Arial"/>
          <w:sz w:val="22"/>
          <w:szCs w:val="22"/>
        </w:rPr>
        <w:t xml:space="preserve"> the Federal Budget ‘bottom line’ by increasing public revenues and achieving savings in healthcare and other public expenditures.</w:t>
      </w:r>
    </w:p>
    <w:p w14:paraId="4DE18992" w14:textId="77777777" w:rsidR="001033FF" w:rsidRDefault="001033FF" w:rsidP="001033FF">
      <w:pPr>
        <w:rPr>
          <w:rFonts w:ascii="Arial" w:hAnsi="Arial" w:cs="Arial"/>
          <w:sz w:val="22"/>
          <w:szCs w:val="22"/>
        </w:rPr>
      </w:pPr>
    </w:p>
    <w:p w14:paraId="7E16CFD9" w14:textId="07D664EF" w:rsidR="001033FF" w:rsidRPr="001033FF" w:rsidRDefault="00083333" w:rsidP="001033FF">
      <w:pPr>
        <w:rPr>
          <w:rFonts w:ascii="Arial" w:hAnsi="Arial" w:cs="Arial"/>
          <w:sz w:val="22"/>
          <w:szCs w:val="22"/>
        </w:rPr>
      </w:pPr>
      <w:r>
        <w:rPr>
          <w:rFonts w:ascii="Arial" w:hAnsi="Arial" w:cs="Arial"/>
          <w:sz w:val="22"/>
          <w:szCs w:val="22"/>
        </w:rPr>
        <w:t>Thus, u</w:t>
      </w:r>
      <w:r w:rsidR="001033FF" w:rsidRPr="001033FF">
        <w:rPr>
          <w:rFonts w:ascii="Arial" w:hAnsi="Arial" w:cs="Arial"/>
          <w:sz w:val="22"/>
          <w:szCs w:val="22"/>
        </w:rPr>
        <w:t xml:space="preserve">niquely amongst public policy measures to redress alcohol related harm, taxation is cost saving. </w:t>
      </w:r>
      <w:r w:rsidR="001033FF">
        <w:rPr>
          <w:rFonts w:ascii="Arial" w:hAnsi="Arial" w:cs="Arial"/>
          <w:sz w:val="22"/>
          <w:szCs w:val="22"/>
        </w:rPr>
        <w:t>This is why t</w:t>
      </w:r>
      <w:r w:rsidR="001033FF" w:rsidRPr="001033FF">
        <w:rPr>
          <w:rFonts w:ascii="Arial" w:hAnsi="Arial" w:cs="Arial"/>
          <w:sz w:val="22"/>
          <w:szCs w:val="22"/>
        </w:rPr>
        <w:t xml:space="preserve">axation has been named as the leading policy measure to address alcohol related harm by </w:t>
      </w:r>
      <w:r>
        <w:rPr>
          <w:rFonts w:ascii="Arial" w:hAnsi="Arial" w:cs="Arial"/>
          <w:sz w:val="22"/>
          <w:szCs w:val="22"/>
        </w:rPr>
        <w:t xml:space="preserve">the </w:t>
      </w:r>
      <w:r w:rsidR="001033FF" w:rsidRPr="001033FF">
        <w:rPr>
          <w:rFonts w:ascii="Arial" w:hAnsi="Arial" w:cs="Arial"/>
          <w:sz w:val="22"/>
          <w:szCs w:val="22"/>
        </w:rPr>
        <w:t>RACP,</w:t>
      </w:r>
      <w:r w:rsidR="00AC0DA7">
        <w:rPr>
          <w:rFonts w:ascii="Arial" w:hAnsi="Arial" w:cs="Arial"/>
          <w:sz w:val="22"/>
          <w:szCs w:val="22"/>
        </w:rPr>
        <w:t xml:space="preserve"> the</w:t>
      </w:r>
      <w:r w:rsidR="001033FF" w:rsidRPr="001033FF">
        <w:rPr>
          <w:rFonts w:ascii="Arial" w:hAnsi="Arial" w:cs="Arial"/>
          <w:sz w:val="22"/>
          <w:szCs w:val="22"/>
        </w:rPr>
        <w:t xml:space="preserve"> F</w:t>
      </w:r>
      <w:r>
        <w:rPr>
          <w:rFonts w:ascii="Arial" w:hAnsi="Arial" w:cs="Arial"/>
          <w:sz w:val="22"/>
          <w:szCs w:val="22"/>
        </w:rPr>
        <w:t xml:space="preserve">oundation for </w:t>
      </w:r>
      <w:r w:rsidR="001033FF" w:rsidRPr="001033FF">
        <w:rPr>
          <w:rFonts w:ascii="Arial" w:hAnsi="Arial" w:cs="Arial"/>
          <w:sz w:val="22"/>
          <w:szCs w:val="22"/>
        </w:rPr>
        <w:t>A</w:t>
      </w:r>
      <w:r>
        <w:rPr>
          <w:rFonts w:ascii="Arial" w:hAnsi="Arial" w:cs="Arial"/>
          <w:sz w:val="22"/>
          <w:szCs w:val="22"/>
        </w:rPr>
        <w:t xml:space="preserve">lcohol </w:t>
      </w:r>
      <w:r w:rsidR="001033FF" w:rsidRPr="001033FF">
        <w:rPr>
          <w:rFonts w:ascii="Arial" w:hAnsi="Arial" w:cs="Arial"/>
          <w:sz w:val="22"/>
          <w:szCs w:val="22"/>
        </w:rPr>
        <w:t>R</w:t>
      </w:r>
      <w:r>
        <w:rPr>
          <w:rFonts w:ascii="Arial" w:hAnsi="Arial" w:cs="Arial"/>
          <w:sz w:val="22"/>
          <w:szCs w:val="22"/>
        </w:rPr>
        <w:t xml:space="preserve">esearch and </w:t>
      </w:r>
      <w:r w:rsidR="001033FF" w:rsidRPr="001033FF">
        <w:rPr>
          <w:rFonts w:ascii="Arial" w:hAnsi="Arial" w:cs="Arial"/>
          <w:sz w:val="22"/>
          <w:szCs w:val="22"/>
        </w:rPr>
        <w:t>E</w:t>
      </w:r>
      <w:r>
        <w:rPr>
          <w:rFonts w:ascii="Arial" w:hAnsi="Arial" w:cs="Arial"/>
          <w:sz w:val="22"/>
          <w:szCs w:val="22"/>
        </w:rPr>
        <w:t>ducation (FARE), Public Health Association of Australia</w:t>
      </w:r>
      <w:r w:rsidR="001033FF" w:rsidRPr="001033FF">
        <w:rPr>
          <w:rFonts w:ascii="Arial" w:hAnsi="Arial" w:cs="Arial"/>
          <w:sz w:val="22"/>
          <w:szCs w:val="22"/>
        </w:rPr>
        <w:t xml:space="preserve"> and other public health organisations in Australia</w:t>
      </w:r>
      <w:r w:rsidR="001033FF">
        <w:rPr>
          <w:rFonts w:ascii="Arial" w:hAnsi="Arial" w:cs="Arial"/>
          <w:sz w:val="22"/>
          <w:szCs w:val="22"/>
        </w:rPr>
        <w:t>.</w:t>
      </w:r>
    </w:p>
    <w:p w14:paraId="09AAE9B1" w14:textId="7ED4B5F6" w:rsidR="00B37C74" w:rsidRDefault="00B37C74" w:rsidP="00B37C74">
      <w:pPr>
        <w:rPr>
          <w:rFonts w:ascii="Arial" w:hAnsi="Arial" w:cs="Arial"/>
          <w:sz w:val="22"/>
          <w:szCs w:val="22"/>
        </w:rPr>
      </w:pPr>
    </w:p>
    <w:p w14:paraId="6404F885" w14:textId="77777777" w:rsidR="00CD5FFF" w:rsidRDefault="00CD5FFF" w:rsidP="00B37C74">
      <w:pPr>
        <w:rPr>
          <w:rFonts w:ascii="Arial" w:hAnsi="Arial" w:cs="Arial"/>
          <w:sz w:val="22"/>
          <w:szCs w:val="22"/>
        </w:rPr>
      </w:pPr>
    </w:p>
    <w:p w14:paraId="2D64BB2B" w14:textId="4155A217" w:rsidR="00920B70" w:rsidRDefault="00920B70" w:rsidP="00920B70">
      <w:pPr>
        <w:spacing w:after="200"/>
        <w:rPr>
          <w:rFonts w:ascii="Arial" w:hAnsi="Arial" w:cs="Arial"/>
          <w:sz w:val="22"/>
          <w:szCs w:val="22"/>
        </w:rPr>
      </w:pPr>
    </w:p>
    <w:p w14:paraId="1345E4CA" w14:textId="77777777" w:rsidR="0047160F" w:rsidRDefault="0047160F" w:rsidP="00920B70">
      <w:pPr>
        <w:spacing w:after="200"/>
        <w:rPr>
          <w:rFonts w:ascii="Arial" w:hAnsi="Arial" w:cs="Arial"/>
          <w:sz w:val="22"/>
          <w:szCs w:val="22"/>
        </w:rPr>
      </w:pPr>
    </w:p>
    <w:p w14:paraId="0D3832A3" w14:textId="77777777" w:rsidR="005F620E" w:rsidRDefault="005F620E" w:rsidP="00920B70">
      <w:pPr>
        <w:spacing w:after="200"/>
        <w:rPr>
          <w:rFonts w:ascii="Arial" w:hAnsi="Arial" w:cs="Arial"/>
          <w:sz w:val="22"/>
          <w:szCs w:val="22"/>
        </w:rPr>
      </w:pPr>
    </w:p>
    <w:p w14:paraId="3FFB485E" w14:textId="77777777" w:rsidR="005F620E" w:rsidRDefault="005F620E" w:rsidP="00920B70">
      <w:pPr>
        <w:spacing w:after="200"/>
        <w:rPr>
          <w:rFonts w:ascii="Arial" w:hAnsi="Arial" w:cs="Arial"/>
          <w:sz w:val="22"/>
          <w:szCs w:val="22"/>
        </w:rPr>
      </w:pPr>
    </w:p>
    <w:p w14:paraId="26141DFC" w14:textId="77777777" w:rsidR="005F620E" w:rsidRDefault="005F620E" w:rsidP="00920B70">
      <w:pPr>
        <w:spacing w:after="200"/>
        <w:rPr>
          <w:rFonts w:ascii="Arial" w:hAnsi="Arial" w:cs="Arial"/>
          <w:sz w:val="22"/>
          <w:szCs w:val="22"/>
        </w:rPr>
      </w:pPr>
    </w:p>
    <w:p w14:paraId="6CCF0C3C" w14:textId="77777777" w:rsidR="005F620E" w:rsidRDefault="005F620E" w:rsidP="00920B70">
      <w:pPr>
        <w:spacing w:after="200"/>
        <w:rPr>
          <w:rFonts w:ascii="Arial" w:hAnsi="Arial" w:cs="Arial"/>
          <w:sz w:val="22"/>
          <w:szCs w:val="22"/>
        </w:rPr>
      </w:pPr>
    </w:p>
    <w:p w14:paraId="5E1542C5" w14:textId="77777777" w:rsidR="005F620E" w:rsidRDefault="005F620E" w:rsidP="00920B70">
      <w:pPr>
        <w:spacing w:after="200"/>
        <w:rPr>
          <w:rFonts w:ascii="Arial" w:hAnsi="Arial" w:cs="Arial"/>
          <w:sz w:val="22"/>
          <w:szCs w:val="22"/>
        </w:rPr>
      </w:pPr>
    </w:p>
    <w:p w14:paraId="70AF6BD6" w14:textId="77777777" w:rsidR="005F620E" w:rsidRDefault="005F620E" w:rsidP="00920B70">
      <w:pPr>
        <w:spacing w:after="200"/>
        <w:rPr>
          <w:rFonts w:ascii="Arial" w:hAnsi="Arial" w:cs="Arial"/>
          <w:sz w:val="22"/>
          <w:szCs w:val="22"/>
        </w:rPr>
      </w:pPr>
    </w:p>
    <w:p w14:paraId="304BD239" w14:textId="12999E81" w:rsidR="00A34041" w:rsidRDefault="00A34041" w:rsidP="00556C8C">
      <w:pPr>
        <w:rPr>
          <w:rFonts w:ascii="Arial" w:hAnsi="Arial" w:cs="Arial"/>
          <w:sz w:val="22"/>
          <w:szCs w:val="22"/>
        </w:rPr>
      </w:pPr>
    </w:p>
    <w:p w14:paraId="321A64FD" w14:textId="7358C6B2" w:rsidR="00A34041" w:rsidRPr="00F34F2B" w:rsidRDefault="00F34F2B" w:rsidP="00F34F2B">
      <w:pPr>
        <w:pStyle w:val="ListParagraph"/>
        <w:numPr>
          <w:ilvl w:val="0"/>
          <w:numId w:val="4"/>
        </w:numPr>
        <w:rPr>
          <w:rFonts w:ascii="Arial" w:hAnsi="Arial" w:cs="Arial"/>
          <w:b/>
          <w:sz w:val="22"/>
          <w:szCs w:val="22"/>
        </w:rPr>
      </w:pPr>
      <w:r w:rsidRPr="00F34F2B">
        <w:rPr>
          <w:rFonts w:ascii="Arial" w:hAnsi="Arial" w:cs="Arial"/>
          <w:b/>
          <w:sz w:val="22"/>
          <w:szCs w:val="22"/>
        </w:rPr>
        <w:t>Alcohol</w:t>
      </w:r>
      <w:r w:rsidR="00CA7511">
        <w:rPr>
          <w:rFonts w:ascii="Arial" w:hAnsi="Arial" w:cs="Arial"/>
          <w:b/>
          <w:sz w:val="22"/>
          <w:szCs w:val="22"/>
        </w:rPr>
        <w:t xml:space="preserve"> consumption causes </w:t>
      </w:r>
      <w:r w:rsidRPr="00F34F2B">
        <w:rPr>
          <w:rFonts w:ascii="Arial" w:hAnsi="Arial" w:cs="Arial"/>
          <w:b/>
          <w:sz w:val="22"/>
          <w:szCs w:val="22"/>
        </w:rPr>
        <w:t>significant harm both to drinkers and to others in the community</w:t>
      </w:r>
    </w:p>
    <w:p w14:paraId="091ADFBE" w14:textId="77777777" w:rsidR="00F34F2B" w:rsidRPr="00F34F2B" w:rsidRDefault="00F34F2B" w:rsidP="00F34F2B">
      <w:pPr>
        <w:rPr>
          <w:rFonts w:ascii="Arial" w:hAnsi="Arial" w:cs="Arial"/>
          <w:sz w:val="22"/>
          <w:szCs w:val="22"/>
        </w:rPr>
      </w:pPr>
    </w:p>
    <w:p w14:paraId="52CC88F1" w14:textId="3B85B163" w:rsidR="001D06DC" w:rsidRPr="001D06DC" w:rsidRDefault="001D06DC" w:rsidP="00CB4CD3">
      <w:pPr>
        <w:rPr>
          <w:rFonts w:ascii="Arial" w:hAnsi="Arial" w:cs="Arial"/>
          <w:b/>
          <w:i/>
          <w:sz w:val="22"/>
          <w:szCs w:val="22"/>
          <w:u w:val="single"/>
        </w:rPr>
      </w:pPr>
      <w:r w:rsidRPr="001D06DC">
        <w:rPr>
          <w:rFonts w:ascii="Arial" w:hAnsi="Arial" w:cs="Arial"/>
          <w:b/>
          <w:i/>
          <w:sz w:val="22"/>
          <w:szCs w:val="22"/>
          <w:u w:val="single"/>
        </w:rPr>
        <w:t>Harms to the drinker</w:t>
      </w:r>
    </w:p>
    <w:p w14:paraId="28DEAD1E" w14:textId="1E0D49F7" w:rsidR="00EE4FA1" w:rsidRDefault="00CB4CD3" w:rsidP="00CB4CD3">
      <w:pPr>
        <w:rPr>
          <w:rFonts w:ascii="Arial" w:hAnsi="Arial" w:cs="Arial"/>
          <w:sz w:val="22"/>
          <w:szCs w:val="22"/>
        </w:rPr>
      </w:pPr>
      <w:r>
        <w:rPr>
          <w:rFonts w:ascii="Arial" w:hAnsi="Arial" w:cs="Arial"/>
          <w:sz w:val="22"/>
          <w:szCs w:val="22"/>
        </w:rPr>
        <w:t xml:space="preserve">The consumption of alcohol </w:t>
      </w:r>
      <w:r w:rsidR="00EE4FA1">
        <w:rPr>
          <w:rFonts w:ascii="Arial" w:hAnsi="Arial" w:cs="Arial"/>
          <w:sz w:val="22"/>
          <w:szCs w:val="22"/>
        </w:rPr>
        <w:t xml:space="preserve">is </w:t>
      </w:r>
      <w:r w:rsidR="00E7393B" w:rsidRPr="00E7393B">
        <w:rPr>
          <w:rFonts w:ascii="Arial" w:hAnsi="Arial" w:cs="Arial"/>
          <w:sz w:val="22"/>
          <w:szCs w:val="22"/>
        </w:rPr>
        <w:t>causally linked to at least 60 different medical conditions and injuries.</w:t>
      </w:r>
      <w:r w:rsidR="00E7393B" w:rsidRPr="00E7393B">
        <w:rPr>
          <w:rStyle w:val="FootnoteReference"/>
          <w:rFonts w:ascii="Arial" w:hAnsi="Arial" w:cs="Arial"/>
          <w:sz w:val="22"/>
          <w:szCs w:val="22"/>
          <w:lang w:val="en-US"/>
        </w:rPr>
        <w:footnoteReference w:id="1"/>
      </w:r>
      <w:r w:rsidR="00E7393B">
        <w:rPr>
          <w:rFonts w:ascii="Arial" w:hAnsi="Arial" w:cs="Arial"/>
          <w:sz w:val="22"/>
          <w:szCs w:val="22"/>
        </w:rPr>
        <w:t xml:space="preserve"> </w:t>
      </w:r>
      <w:r w:rsidR="00781D7B">
        <w:rPr>
          <w:rFonts w:ascii="Arial" w:hAnsi="Arial" w:cs="Arial"/>
          <w:sz w:val="22"/>
          <w:szCs w:val="22"/>
        </w:rPr>
        <w:t>These include various forms of cancer, cardiovascular dis</w:t>
      </w:r>
      <w:r w:rsidR="00A75243">
        <w:rPr>
          <w:rFonts w:ascii="Arial" w:hAnsi="Arial" w:cs="Arial"/>
          <w:sz w:val="22"/>
          <w:szCs w:val="22"/>
        </w:rPr>
        <w:t>eases and gastrointestinal diseases</w:t>
      </w:r>
      <w:r w:rsidR="00781D7B">
        <w:rPr>
          <w:rFonts w:ascii="Arial" w:hAnsi="Arial" w:cs="Arial"/>
          <w:sz w:val="22"/>
          <w:szCs w:val="22"/>
        </w:rPr>
        <w:t>.</w:t>
      </w:r>
      <w:r w:rsidR="00781D7B">
        <w:rPr>
          <w:rStyle w:val="FootnoteReference"/>
          <w:rFonts w:ascii="Arial" w:hAnsi="Arial" w:cs="Arial"/>
          <w:sz w:val="22"/>
          <w:szCs w:val="22"/>
        </w:rPr>
        <w:footnoteReference w:id="2"/>
      </w:r>
      <w:r w:rsidR="00781D7B">
        <w:rPr>
          <w:rFonts w:ascii="Arial" w:hAnsi="Arial" w:cs="Arial"/>
          <w:sz w:val="22"/>
          <w:szCs w:val="22"/>
        </w:rPr>
        <w:t xml:space="preserve"> </w:t>
      </w:r>
      <w:r>
        <w:rPr>
          <w:rFonts w:ascii="Arial" w:hAnsi="Arial" w:cs="Arial"/>
          <w:sz w:val="22"/>
          <w:szCs w:val="22"/>
        </w:rPr>
        <w:t xml:space="preserve">National Health and Medical Research Council (NHMRC) Guidelines state that drinking greater than </w:t>
      </w:r>
      <w:r w:rsidRPr="009605BA">
        <w:rPr>
          <w:rFonts w:ascii="Arial" w:hAnsi="Arial" w:cs="Arial"/>
          <w:sz w:val="22"/>
          <w:szCs w:val="22"/>
        </w:rPr>
        <w:t>two standard drinks per day is strongly associated with increased risks of alcohol</w:t>
      </w:r>
      <w:r>
        <w:rPr>
          <w:rFonts w:ascii="Arial" w:hAnsi="Arial" w:cs="Arial"/>
          <w:sz w:val="22"/>
          <w:szCs w:val="22"/>
        </w:rPr>
        <w:t>-</w:t>
      </w:r>
      <w:r w:rsidRPr="009605BA">
        <w:rPr>
          <w:rFonts w:ascii="Arial" w:hAnsi="Arial" w:cs="Arial"/>
          <w:sz w:val="22"/>
          <w:szCs w:val="22"/>
        </w:rPr>
        <w:t>related</w:t>
      </w:r>
      <w:r>
        <w:rPr>
          <w:rFonts w:ascii="Arial" w:hAnsi="Arial" w:cs="Arial"/>
          <w:sz w:val="22"/>
          <w:szCs w:val="22"/>
        </w:rPr>
        <w:t xml:space="preserve"> </w:t>
      </w:r>
      <w:r w:rsidRPr="009605BA">
        <w:rPr>
          <w:rFonts w:ascii="Arial" w:hAnsi="Arial" w:cs="Arial"/>
          <w:sz w:val="22"/>
          <w:szCs w:val="22"/>
        </w:rPr>
        <w:t>injury, disease and death</w:t>
      </w:r>
      <w:r>
        <w:rPr>
          <w:rFonts w:ascii="Arial" w:hAnsi="Arial" w:cs="Arial"/>
          <w:sz w:val="22"/>
          <w:szCs w:val="22"/>
        </w:rPr>
        <w:t>.</w:t>
      </w:r>
      <w:r w:rsidR="002C0BF2">
        <w:rPr>
          <w:rStyle w:val="FootnoteReference"/>
          <w:rFonts w:ascii="Arial" w:hAnsi="Arial" w:cs="Arial"/>
          <w:sz w:val="22"/>
          <w:szCs w:val="22"/>
        </w:rPr>
        <w:footnoteReference w:id="3"/>
      </w:r>
      <w:r>
        <w:rPr>
          <w:rFonts w:ascii="Arial" w:hAnsi="Arial" w:cs="Arial"/>
          <w:sz w:val="22"/>
          <w:szCs w:val="22"/>
        </w:rPr>
        <w:t xml:space="preserve"> </w:t>
      </w:r>
    </w:p>
    <w:p w14:paraId="1115485B" w14:textId="77777777" w:rsidR="00EE4FA1" w:rsidRDefault="00EE4FA1" w:rsidP="00CB4CD3">
      <w:pPr>
        <w:rPr>
          <w:rFonts w:ascii="Arial" w:hAnsi="Arial" w:cs="Arial"/>
          <w:sz w:val="22"/>
          <w:szCs w:val="22"/>
        </w:rPr>
      </w:pPr>
    </w:p>
    <w:p w14:paraId="12F308B8" w14:textId="3CAEE53B" w:rsidR="001D06DC" w:rsidRPr="001D06DC" w:rsidRDefault="001D06DC" w:rsidP="00CB4CD3">
      <w:pPr>
        <w:rPr>
          <w:rFonts w:ascii="Arial" w:hAnsi="Arial" w:cs="Arial"/>
          <w:b/>
          <w:i/>
          <w:sz w:val="22"/>
          <w:szCs w:val="22"/>
          <w:u w:val="single"/>
        </w:rPr>
      </w:pPr>
      <w:r w:rsidRPr="001D06DC">
        <w:rPr>
          <w:rFonts w:ascii="Arial" w:hAnsi="Arial" w:cs="Arial"/>
          <w:b/>
          <w:i/>
          <w:sz w:val="22"/>
          <w:szCs w:val="22"/>
          <w:u w:val="single"/>
        </w:rPr>
        <w:t>Harms to others</w:t>
      </w:r>
    </w:p>
    <w:p w14:paraId="517D4066" w14:textId="37D3C8D6" w:rsidR="007E014B" w:rsidRPr="00AB6EE6" w:rsidRDefault="00CB4CD3" w:rsidP="001D06DC">
      <w:pPr>
        <w:rPr>
          <w:rFonts w:ascii="Arial" w:hAnsi="Arial" w:cs="Arial"/>
          <w:sz w:val="22"/>
          <w:szCs w:val="22"/>
        </w:rPr>
      </w:pPr>
      <w:r>
        <w:rPr>
          <w:rFonts w:ascii="Arial" w:hAnsi="Arial" w:cs="Arial"/>
          <w:sz w:val="22"/>
          <w:szCs w:val="22"/>
        </w:rPr>
        <w:t xml:space="preserve">In addition, </w:t>
      </w:r>
      <w:r w:rsidR="00EE4FA1">
        <w:rPr>
          <w:rFonts w:ascii="Arial" w:hAnsi="Arial" w:cs="Arial"/>
          <w:sz w:val="22"/>
          <w:szCs w:val="22"/>
        </w:rPr>
        <w:t>d</w:t>
      </w:r>
      <w:r w:rsidRPr="00B321E4">
        <w:rPr>
          <w:rFonts w:ascii="Arial" w:hAnsi="Arial" w:cs="Arial"/>
          <w:sz w:val="22"/>
          <w:szCs w:val="22"/>
        </w:rPr>
        <w:t xml:space="preserve">rinking </w:t>
      </w:r>
      <w:r w:rsidR="00EE4FA1">
        <w:rPr>
          <w:rFonts w:ascii="Arial" w:hAnsi="Arial" w:cs="Arial"/>
          <w:sz w:val="22"/>
          <w:szCs w:val="22"/>
        </w:rPr>
        <w:t xml:space="preserve">alcohol </w:t>
      </w:r>
      <w:r w:rsidRPr="00B321E4">
        <w:rPr>
          <w:rFonts w:ascii="Arial" w:hAnsi="Arial" w:cs="Arial"/>
          <w:sz w:val="22"/>
          <w:szCs w:val="22"/>
        </w:rPr>
        <w:t xml:space="preserve">can </w:t>
      </w:r>
      <w:r w:rsidR="00EE4FA1">
        <w:rPr>
          <w:rFonts w:ascii="Arial" w:hAnsi="Arial" w:cs="Arial"/>
          <w:sz w:val="22"/>
          <w:szCs w:val="22"/>
        </w:rPr>
        <w:t xml:space="preserve">cause </w:t>
      </w:r>
      <w:r w:rsidRPr="00B321E4">
        <w:rPr>
          <w:rFonts w:ascii="Arial" w:hAnsi="Arial" w:cs="Arial"/>
          <w:sz w:val="22"/>
          <w:szCs w:val="22"/>
        </w:rPr>
        <w:t>harm not only to drinkers themselves but to others in the communit</w:t>
      </w:r>
      <w:r w:rsidR="00EE4FA1">
        <w:rPr>
          <w:rFonts w:ascii="Arial" w:hAnsi="Arial" w:cs="Arial"/>
          <w:sz w:val="22"/>
          <w:szCs w:val="22"/>
        </w:rPr>
        <w:t xml:space="preserve">y, whether these are </w:t>
      </w:r>
      <w:r w:rsidRPr="00B321E4">
        <w:rPr>
          <w:rFonts w:ascii="Arial" w:hAnsi="Arial" w:cs="Arial"/>
          <w:sz w:val="22"/>
          <w:szCs w:val="22"/>
        </w:rPr>
        <w:t>bystanders</w:t>
      </w:r>
      <w:r w:rsidR="00EE4FA1">
        <w:rPr>
          <w:rFonts w:ascii="Arial" w:hAnsi="Arial" w:cs="Arial"/>
          <w:sz w:val="22"/>
          <w:szCs w:val="22"/>
        </w:rPr>
        <w:t xml:space="preserve"> in proximity to the drinking</w:t>
      </w:r>
      <w:r w:rsidRPr="00B321E4">
        <w:rPr>
          <w:rFonts w:ascii="Arial" w:hAnsi="Arial" w:cs="Arial"/>
          <w:sz w:val="22"/>
          <w:szCs w:val="22"/>
        </w:rPr>
        <w:t>, co-tenants</w:t>
      </w:r>
      <w:r w:rsidR="00EE4FA1">
        <w:rPr>
          <w:rFonts w:ascii="Arial" w:hAnsi="Arial" w:cs="Arial"/>
          <w:sz w:val="22"/>
          <w:szCs w:val="22"/>
        </w:rPr>
        <w:t xml:space="preserve"> or</w:t>
      </w:r>
      <w:r w:rsidRPr="00B321E4">
        <w:rPr>
          <w:rFonts w:ascii="Arial" w:hAnsi="Arial" w:cs="Arial"/>
          <w:sz w:val="22"/>
          <w:szCs w:val="22"/>
        </w:rPr>
        <w:t xml:space="preserve"> those who have a relationship with the drinkers (such as children, partners or other family members and colleagues). The full span of harms ranges from inconveniences (e.g. </w:t>
      </w:r>
      <w:r w:rsidR="00EE4FA1">
        <w:rPr>
          <w:rFonts w:ascii="Arial" w:hAnsi="Arial" w:cs="Arial"/>
          <w:sz w:val="22"/>
          <w:szCs w:val="22"/>
        </w:rPr>
        <w:t xml:space="preserve">working additional </w:t>
      </w:r>
      <w:r w:rsidRPr="00B321E4">
        <w:rPr>
          <w:rFonts w:ascii="Arial" w:hAnsi="Arial" w:cs="Arial"/>
          <w:sz w:val="22"/>
          <w:szCs w:val="22"/>
        </w:rPr>
        <w:t>hours to cover for a colleague) to more serious harms (e.g. suffering fatal injuries due to road</w:t>
      </w:r>
      <w:r w:rsidR="00EE4FA1">
        <w:rPr>
          <w:rFonts w:ascii="Arial" w:hAnsi="Arial" w:cs="Arial"/>
          <w:sz w:val="22"/>
          <w:szCs w:val="22"/>
        </w:rPr>
        <w:t xml:space="preserve"> crashes caused by drink driving)</w:t>
      </w:r>
      <w:r>
        <w:rPr>
          <w:rFonts w:ascii="Arial" w:hAnsi="Arial" w:cs="Arial"/>
          <w:sz w:val="22"/>
          <w:szCs w:val="22"/>
        </w:rPr>
        <w:t xml:space="preserve">. </w:t>
      </w:r>
      <w:r w:rsidR="00EE4FA1">
        <w:rPr>
          <w:rFonts w:ascii="Arial" w:hAnsi="Arial" w:cs="Arial"/>
          <w:sz w:val="22"/>
          <w:szCs w:val="22"/>
        </w:rPr>
        <w:t xml:space="preserve">Indeed, of all drugs </w:t>
      </w:r>
      <w:r w:rsidR="00EE4FA1" w:rsidRPr="00B321E4">
        <w:rPr>
          <w:rFonts w:ascii="Arial" w:hAnsi="Arial" w:cs="Arial"/>
          <w:sz w:val="22"/>
          <w:szCs w:val="22"/>
        </w:rPr>
        <w:t>–</w:t>
      </w:r>
      <w:r w:rsidR="00EE4FA1">
        <w:rPr>
          <w:rFonts w:ascii="Arial" w:hAnsi="Arial" w:cs="Arial"/>
          <w:sz w:val="22"/>
          <w:szCs w:val="22"/>
        </w:rPr>
        <w:t xml:space="preserve"> </w:t>
      </w:r>
      <w:r w:rsidR="00AB6EE6" w:rsidRPr="00B321E4">
        <w:rPr>
          <w:rFonts w:ascii="Arial" w:hAnsi="Arial" w:cs="Arial"/>
          <w:sz w:val="22"/>
          <w:szCs w:val="22"/>
        </w:rPr>
        <w:t xml:space="preserve">legal and illegal – alcohol </w:t>
      </w:r>
      <w:r w:rsidR="00EE4FA1">
        <w:rPr>
          <w:rFonts w:ascii="Arial" w:hAnsi="Arial" w:cs="Arial"/>
          <w:sz w:val="22"/>
          <w:szCs w:val="22"/>
        </w:rPr>
        <w:t>is</w:t>
      </w:r>
      <w:r w:rsidR="00AA12D9">
        <w:rPr>
          <w:rFonts w:ascii="Arial" w:hAnsi="Arial" w:cs="Arial"/>
          <w:sz w:val="22"/>
          <w:szCs w:val="22"/>
        </w:rPr>
        <w:t xml:space="preserve"> the most harmful to others</w:t>
      </w:r>
      <w:r w:rsidR="00AB6EE6" w:rsidRPr="00B321E4">
        <w:rPr>
          <w:rFonts w:ascii="Arial" w:hAnsi="Arial" w:cs="Arial"/>
          <w:sz w:val="22"/>
          <w:szCs w:val="22"/>
        </w:rPr>
        <w:t>, with more tha</w:t>
      </w:r>
      <w:r w:rsidR="00FE7374">
        <w:rPr>
          <w:rFonts w:ascii="Arial" w:hAnsi="Arial" w:cs="Arial"/>
          <w:sz w:val="22"/>
          <w:szCs w:val="22"/>
        </w:rPr>
        <w:t xml:space="preserve">n half of the harms of alcohol </w:t>
      </w:r>
      <w:r w:rsidR="00AB6EE6" w:rsidRPr="00B321E4">
        <w:rPr>
          <w:rFonts w:ascii="Arial" w:hAnsi="Arial" w:cs="Arial"/>
          <w:sz w:val="22"/>
          <w:szCs w:val="22"/>
        </w:rPr>
        <w:t>borne by non-drinkers.</w:t>
      </w:r>
      <w:r w:rsidR="007E014B" w:rsidRPr="00B321E4">
        <w:rPr>
          <w:rStyle w:val="FootnoteReference"/>
          <w:rFonts w:ascii="Arial" w:hAnsi="Arial" w:cs="Arial"/>
          <w:sz w:val="22"/>
          <w:szCs w:val="22"/>
        </w:rPr>
        <w:footnoteReference w:id="4"/>
      </w:r>
      <w:r w:rsidR="007E014B" w:rsidRPr="00B321E4">
        <w:rPr>
          <w:rFonts w:ascii="Arial" w:hAnsi="Arial" w:cs="Arial"/>
          <w:sz w:val="22"/>
          <w:szCs w:val="22"/>
        </w:rPr>
        <w:t xml:space="preserve"> </w:t>
      </w:r>
      <w:r w:rsidR="007E014B">
        <w:rPr>
          <w:rFonts w:ascii="Arial" w:hAnsi="Arial" w:cs="Arial"/>
          <w:sz w:val="22"/>
          <w:szCs w:val="22"/>
        </w:rPr>
        <w:t xml:space="preserve"> </w:t>
      </w:r>
    </w:p>
    <w:p w14:paraId="3B304E0E" w14:textId="77777777" w:rsidR="007E014B" w:rsidRDefault="007E014B" w:rsidP="00556C8C">
      <w:pPr>
        <w:rPr>
          <w:rFonts w:ascii="Arial" w:hAnsi="Arial" w:cs="Arial"/>
          <w:sz w:val="22"/>
          <w:szCs w:val="22"/>
        </w:rPr>
      </w:pPr>
    </w:p>
    <w:p w14:paraId="4B11588C" w14:textId="3B4591A5" w:rsidR="001D06DC" w:rsidRPr="001D06DC" w:rsidRDefault="001D06DC" w:rsidP="00556C8C">
      <w:pPr>
        <w:rPr>
          <w:rFonts w:ascii="Arial" w:hAnsi="Arial" w:cs="Arial"/>
          <w:b/>
          <w:i/>
          <w:sz w:val="22"/>
          <w:szCs w:val="22"/>
          <w:u w:val="single"/>
        </w:rPr>
      </w:pPr>
      <w:r w:rsidRPr="001D06DC">
        <w:rPr>
          <w:rFonts w:ascii="Arial" w:hAnsi="Arial" w:cs="Arial"/>
          <w:b/>
          <w:i/>
          <w:sz w:val="22"/>
          <w:szCs w:val="22"/>
          <w:u w:val="single"/>
        </w:rPr>
        <w:t>Social cost</w:t>
      </w:r>
      <w:r>
        <w:rPr>
          <w:rFonts w:ascii="Arial" w:hAnsi="Arial" w:cs="Arial"/>
          <w:b/>
          <w:i/>
          <w:sz w:val="22"/>
          <w:szCs w:val="22"/>
          <w:u w:val="single"/>
        </w:rPr>
        <w:t>s of alcohol</w:t>
      </w:r>
    </w:p>
    <w:p w14:paraId="1F81F0B5" w14:textId="018CC4CE" w:rsidR="007E014B" w:rsidRDefault="00361BAC" w:rsidP="00556C8C">
      <w:pPr>
        <w:rPr>
          <w:rFonts w:ascii="Arial" w:hAnsi="Arial" w:cs="Arial"/>
          <w:sz w:val="22"/>
          <w:szCs w:val="22"/>
        </w:rPr>
      </w:pPr>
      <w:r>
        <w:rPr>
          <w:rFonts w:ascii="Arial" w:hAnsi="Arial" w:cs="Arial"/>
          <w:sz w:val="22"/>
          <w:szCs w:val="22"/>
        </w:rPr>
        <w:t xml:space="preserve">The </w:t>
      </w:r>
      <w:r w:rsidR="00EF58D3">
        <w:rPr>
          <w:rFonts w:ascii="Arial" w:hAnsi="Arial" w:cs="Arial"/>
          <w:sz w:val="22"/>
          <w:szCs w:val="22"/>
        </w:rPr>
        <w:t xml:space="preserve">economic </w:t>
      </w:r>
      <w:r w:rsidR="001D06DC">
        <w:rPr>
          <w:rFonts w:ascii="Arial" w:hAnsi="Arial" w:cs="Arial"/>
          <w:sz w:val="22"/>
          <w:szCs w:val="22"/>
        </w:rPr>
        <w:t>concept</w:t>
      </w:r>
      <w:r>
        <w:rPr>
          <w:rFonts w:ascii="Arial" w:hAnsi="Arial" w:cs="Arial"/>
          <w:sz w:val="22"/>
          <w:szCs w:val="22"/>
        </w:rPr>
        <w:t xml:space="preserve">s of ‘private costs’ and </w:t>
      </w:r>
      <w:r w:rsidR="001D06DC">
        <w:rPr>
          <w:rFonts w:ascii="Arial" w:hAnsi="Arial" w:cs="Arial"/>
          <w:sz w:val="22"/>
          <w:szCs w:val="22"/>
        </w:rPr>
        <w:t xml:space="preserve">‘social costs’ </w:t>
      </w:r>
      <w:r w:rsidR="00EF58D3">
        <w:rPr>
          <w:rFonts w:ascii="Arial" w:hAnsi="Arial" w:cs="Arial"/>
          <w:sz w:val="22"/>
          <w:szCs w:val="22"/>
        </w:rPr>
        <w:t xml:space="preserve">are important to distinguish. </w:t>
      </w:r>
      <w:r>
        <w:rPr>
          <w:rFonts w:ascii="Arial" w:hAnsi="Arial" w:cs="Arial"/>
          <w:sz w:val="22"/>
          <w:szCs w:val="22"/>
        </w:rPr>
        <w:t>‘</w:t>
      </w:r>
      <w:r w:rsidR="00EF58D3">
        <w:rPr>
          <w:rFonts w:ascii="Arial" w:hAnsi="Arial" w:cs="Arial"/>
          <w:sz w:val="22"/>
          <w:szCs w:val="22"/>
        </w:rPr>
        <w:t>P</w:t>
      </w:r>
      <w:r>
        <w:rPr>
          <w:rFonts w:ascii="Arial" w:hAnsi="Arial" w:cs="Arial"/>
          <w:sz w:val="22"/>
          <w:szCs w:val="22"/>
        </w:rPr>
        <w:t xml:space="preserve">rivate costs’ refer to the costs </w:t>
      </w:r>
      <w:r w:rsidR="00EF58D3">
        <w:rPr>
          <w:rFonts w:ascii="Arial" w:hAnsi="Arial" w:cs="Arial"/>
          <w:sz w:val="22"/>
          <w:szCs w:val="22"/>
        </w:rPr>
        <w:t>associated with</w:t>
      </w:r>
      <w:r>
        <w:rPr>
          <w:rFonts w:ascii="Arial" w:hAnsi="Arial" w:cs="Arial"/>
          <w:sz w:val="22"/>
          <w:szCs w:val="22"/>
        </w:rPr>
        <w:t xml:space="preserve"> an activity (such as alcohol consumption) which are fully borne by the individual undertaking the activity while ‘social costs’ refer to the full costs to society of that activity (i.e. including but not restricted to the individuals undertaking it).</w:t>
      </w:r>
      <w:r>
        <w:rPr>
          <w:rStyle w:val="FootnoteReference"/>
          <w:rFonts w:ascii="Arial" w:hAnsi="Arial" w:cs="Arial"/>
          <w:sz w:val="22"/>
          <w:szCs w:val="22"/>
        </w:rPr>
        <w:footnoteReference w:id="5"/>
      </w:r>
      <w:r w:rsidR="001567A3">
        <w:rPr>
          <w:rFonts w:ascii="Arial" w:hAnsi="Arial" w:cs="Arial"/>
          <w:sz w:val="22"/>
          <w:szCs w:val="22"/>
        </w:rPr>
        <w:t xml:space="preserve"> </w:t>
      </w:r>
      <w:r>
        <w:rPr>
          <w:rFonts w:ascii="Arial" w:hAnsi="Arial" w:cs="Arial"/>
          <w:sz w:val="22"/>
          <w:szCs w:val="22"/>
        </w:rPr>
        <w:t xml:space="preserve">However </w:t>
      </w:r>
      <w:r w:rsidR="009A36D4">
        <w:rPr>
          <w:rFonts w:ascii="Arial" w:hAnsi="Arial" w:cs="Arial"/>
          <w:sz w:val="22"/>
          <w:szCs w:val="22"/>
        </w:rPr>
        <w:t xml:space="preserve">some </w:t>
      </w:r>
      <w:r>
        <w:rPr>
          <w:rFonts w:ascii="Arial" w:hAnsi="Arial" w:cs="Arial"/>
          <w:sz w:val="22"/>
          <w:szCs w:val="22"/>
        </w:rPr>
        <w:t>economic studies of alcohol consumption use the term ‘social cost’ in a narrower sense</w:t>
      </w:r>
      <w:r w:rsidRPr="00E15565">
        <w:rPr>
          <w:rStyle w:val="FootnoteReference"/>
          <w:rFonts w:ascii="Arial" w:hAnsi="Arial" w:cs="Arial"/>
          <w:sz w:val="22"/>
          <w:szCs w:val="22"/>
        </w:rPr>
        <w:footnoteReference w:id="6"/>
      </w:r>
      <w:r>
        <w:rPr>
          <w:rFonts w:ascii="Arial" w:hAnsi="Arial" w:cs="Arial"/>
          <w:sz w:val="22"/>
          <w:szCs w:val="22"/>
        </w:rPr>
        <w:t xml:space="preserve">, </w:t>
      </w:r>
      <w:r w:rsidR="00E15565">
        <w:rPr>
          <w:rFonts w:ascii="Arial" w:hAnsi="Arial" w:cs="Arial"/>
          <w:sz w:val="22"/>
          <w:szCs w:val="22"/>
        </w:rPr>
        <w:t xml:space="preserve">so </w:t>
      </w:r>
      <w:r>
        <w:rPr>
          <w:rFonts w:ascii="Arial" w:hAnsi="Arial" w:cs="Arial"/>
          <w:sz w:val="22"/>
          <w:szCs w:val="22"/>
        </w:rPr>
        <w:t>t</w:t>
      </w:r>
      <w:r w:rsidR="004D3C28">
        <w:rPr>
          <w:rFonts w:ascii="Arial" w:hAnsi="Arial" w:cs="Arial"/>
          <w:sz w:val="22"/>
          <w:szCs w:val="22"/>
        </w:rPr>
        <w:t xml:space="preserve">o avoid confusion, </w:t>
      </w:r>
      <w:r>
        <w:rPr>
          <w:rFonts w:ascii="Arial" w:hAnsi="Arial" w:cs="Arial"/>
          <w:sz w:val="22"/>
          <w:szCs w:val="22"/>
        </w:rPr>
        <w:t>we define</w:t>
      </w:r>
      <w:r w:rsidR="004D3C28">
        <w:rPr>
          <w:rFonts w:ascii="Arial" w:hAnsi="Arial" w:cs="Arial"/>
          <w:sz w:val="22"/>
          <w:szCs w:val="22"/>
        </w:rPr>
        <w:t xml:space="preserve"> the s</w:t>
      </w:r>
      <w:r w:rsidR="00AC4F3E">
        <w:rPr>
          <w:rFonts w:ascii="Arial" w:hAnsi="Arial" w:cs="Arial"/>
          <w:sz w:val="22"/>
          <w:szCs w:val="22"/>
        </w:rPr>
        <w:t xml:space="preserve">ocial costs of </w:t>
      </w:r>
      <w:r w:rsidR="004D3C28">
        <w:rPr>
          <w:rFonts w:ascii="Arial" w:hAnsi="Arial" w:cs="Arial"/>
          <w:sz w:val="22"/>
          <w:szCs w:val="22"/>
        </w:rPr>
        <w:t xml:space="preserve">alcohol consumption </w:t>
      </w:r>
      <w:r w:rsidR="00AC4F3E">
        <w:rPr>
          <w:rFonts w:ascii="Arial" w:hAnsi="Arial" w:cs="Arial"/>
          <w:sz w:val="22"/>
          <w:szCs w:val="22"/>
        </w:rPr>
        <w:t xml:space="preserve">as its </w:t>
      </w:r>
      <w:r w:rsidR="007E014B">
        <w:rPr>
          <w:rFonts w:ascii="Arial" w:hAnsi="Arial" w:cs="Arial"/>
          <w:sz w:val="22"/>
          <w:szCs w:val="22"/>
        </w:rPr>
        <w:t>private costs plus its public costs</w:t>
      </w:r>
      <w:r w:rsidR="007E014B" w:rsidRPr="006F7C46">
        <w:rPr>
          <w:rStyle w:val="FootnoteReference"/>
          <w:rFonts w:ascii="Arial" w:hAnsi="Arial" w:cs="Arial"/>
          <w:sz w:val="22"/>
          <w:szCs w:val="22"/>
        </w:rPr>
        <w:footnoteReference w:id="7"/>
      </w:r>
      <w:r>
        <w:rPr>
          <w:rFonts w:ascii="Arial" w:hAnsi="Arial" w:cs="Arial"/>
          <w:sz w:val="22"/>
          <w:szCs w:val="22"/>
        </w:rPr>
        <w:t xml:space="preserve"> or </w:t>
      </w:r>
      <w:r w:rsidR="009A36D4">
        <w:rPr>
          <w:rFonts w:ascii="Arial" w:hAnsi="Arial" w:cs="Arial"/>
          <w:sz w:val="22"/>
          <w:szCs w:val="22"/>
        </w:rPr>
        <w:t>‘external</w:t>
      </w:r>
      <w:r w:rsidR="00E15565">
        <w:rPr>
          <w:rFonts w:ascii="Arial" w:hAnsi="Arial" w:cs="Arial"/>
          <w:sz w:val="22"/>
          <w:szCs w:val="22"/>
        </w:rPr>
        <w:t>i</w:t>
      </w:r>
      <w:r w:rsidR="009A36D4">
        <w:rPr>
          <w:rFonts w:ascii="Arial" w:hAnsi="Arial" w:cs="Arial"/>
          <w:sz w:val="22"/>
          <w:szCs w:val="22"/>
        </w:rPr>
        <w:t>ti</w:t>
      </w:r>
      <w:r>
        <w:rPr>
          <w:rFonts w:ascii="Arial" w:hAnsi="Arial" w:cs="Arial"/>
          <w:sz w:val="22"/>
          <w:szCs w:val="22"/>
        </w:rPr>
        <w:t>es</w:t>
      </w:r>
      <w:r w:rsidR="009A36D4">
        <w:rPr>
          <w:rFonts w:ascii="Arial" w:hAnsi="Arial" w:cs="Arial"/>
          <w:sz w:val="22"/>
          <w:szCs w:val="22"/>
        </w:rPr>
        <w:t>’</w:t>
      </w:r>
      <w:r w:rsidR="007E014B">
        <w:rPr>
          <w:rFonts w:ascii="Arial" w:hAnsi="Arial" w:cs="Arial"/>
          <w:sz w:val="22"/>
          <w:szCs w:val="22"/>
        </w:rPr>
        <w:t xml:space="preserve"> where:</w:t>
      </w:r>
    </w:p>
    <w:p w14:paraId="799B100D" w14:textId="56508C23" w:rsidR="007E014B" w:rsidRDefault="007B6A10" w:rsidP="00267FCE">
      <w:pPr>
        <w:pStyle w:val="ListParagraph"/>
        <w:numPr>
          <w:ilvl w:val="0"/>
          <w:numId w:val="2"/>
        </w:numPr>
        <w:rPr>
          <w:rFonts w:ascii="Arial" w:hAnsi="Arial" w:cs="Arial"/>
          <w:sz w:val="22"/>
          <w:szCs w:val="22"/>
        </w:rPr>
      </w:pPr>
      <w:r>
        <w:rPr>
          <w:rFonts w:ascii="Arial" w:hAnsi="Arial" w:cs="Arial"/>
          <w:sz w:val="22"/>
          <w:szCs w:val="22"/>
        </w:rPr>
        <w:t>P</w:t>
      </w:r>
      <w:r w:rsidR="007E014B">
        <w:rPr>
          <w:rFonts w:ascii="Arial" w:hAnsi="Arial" w:cs="Arial"/>
          <w:sz w:val="22"/>
          <w:szCs w:val="22"/>
        </w:rPr>
        <w:t>rivate costs of consumption refer to the costs incurred only by the drinker, for inst</w:t>
      </w:r>
      <w:r w:rsidR="006F7C46">
        <w:rPr>
          <w:rFonts w:ascii="Arial" w:hAnsi="Arial" w:cs="Arial"/>
          <w:sz w:val="22"/>
          <w:szCs w:val="22"/>
        </w:rPr>
        <w:t>ance monetary costs (e.g. personal out of pocket expenses)</w:t>
      </w:r>
      <w:r w:rsidR="005E0435">
        <w:rPr>
          <w:rFonts w:ascii="Arial" w:hAnsi="Arial" w:cs="Arial"/>
          <w:sz w:val="22"/>
          <w:szCs w:val="22"/>
        </w:rPr>
        <w:t xml:space="preserve"> incurred by the drinker alone</w:t>
      </w:r>
      <w:r w:rsidR="006F7C46">
        <w:rPr>
          <w:rFonts w:ascii="Arial" w:hAnsi="Arial" w:cs="Arial"/>
          <w:sz w:val="22"/>
          <w:szCs w:val="22"/>
        </w:rPr>
        <w:t xml:space="preserve"> and reduction in </w:t>
      </w:r>
      <w:r w:rsidR="005E0435">
        <w:rPr>
          <w:rFonts w:ascii="Arial" w:hAnsi="Arial" w:cs="Arial"/>
          <w:sz w:val="22"/>
          <w:szCs w:val="22"/>
        </w:rPr>
        <w:t xml:space="preserve">the </w:t>
      </w:r>
      <w:r w:rsidR="006F7C46">
        <w:rPr>
          <w:rFonts w:ascii="Arial" w:hAnsi="Arial" w:cs="Arial"/>
          <w:sz w:val="22"/>
          <w:szCs w:val="22"/>
        </w:rPr>
        <w:t>quality of life</w:t>
      </w:r>
      <w:r w:rsidR="005E0435">
        <w:rPr>
          <w:rFonts w:ascii="Arial" w:hAnsi="Arial" w:cs="Arial"/>
          <w:sz w:val="22"/>
          <w:szCs w:val="22"/>
        </w:rPr>
        <w:t xml:space="preserve"> of the drinker</w:t>
      </w:r>
      <w:r w:rsidR="006F7C46">
        <w:rPr>
          <w:rFonts w:ascii="Arial" w:hAnsi="Arial" w:cs="Arial"/>
          <w:sz w:val="22"/>
          <w:szCs w:val="22"/>
        </w:rPr>
        <w:t xml:space="preserve"> associated with poor health due to </w:t>
      </w:r>
      <w:r w:rsidR="005E0435">
        <w:rPr>
          <w:rFonts w:ascii="Arial" w:hAnsi="Arial" w:cs="Arial"/>
          <w:sz w:val="22"/>
          <w:szCs w:val="22"/>
        </w:rPr>
        <w:t xml:space="preserve"> ‘risky’</w:t>
      </w:r>
      <w:r w:rsidR="007E014B">
        <w:rPr>
          <w:rFonts w:ascii="Arial" w:hAnsi="Arial" w:cs="Arial"/>
          <w:sz w:val="22"/>
          <w:szCs w:val="22"/>
        </w:rPr>
        <w:t xml:space="preserve"> levels of consumption</w:t>
      </w:r>
      <w:r w:rsidR="005E0435">
        <w:rPr>
          <w:rFonts w:ascii="Arial" w:hAnsi="Arial" w:cs="Arial"/>
          <w:sz w:val="22"/>
          <w:szCs w:val="22"/>
        </w:rPr>
        <w:t xml:space="preserve"> as defined by NHMRC Guidelines</w:t>
      </w:r>
      <w:r w:rsidR="006F7C46">
        <w:rPr>
          <w:rFonts w:ascii="Arial" w:hAnsi="Arial" w:cs="Arial"/>
          <w:sz w:val="22"/>
          <w:szCs w:val="22"/>
        </w:rPr>
        <w:t>.</w:t>
      </w:r>
    </w:p>
    <w:p w14:paraId="0596428F" w14:textId="675FF5E1" w:rsidR="007E014B" w:rsidRPr="000260E9" w:rsidRDefault="007B6A10" w:rsidP="000260E9">
      <w:pPr>
        <w:pStyle w:val="ListParagraph"/>
        <w:numPr>
          <w:ilvl w:val="0"/>
          <w:numId w:val="2"/>
        </w:numPr>
        <w:rPr>
          <w:rFonts w:ascii="Arial" w:hAnsi="Arial" w:cs="Arial"/>
          <w:sz w:val="22"/>
          <w:szCs w:val="22"/>
        </w:rPr>
      </w:pPr>
      <w:r>
        <w:rPr>
          <w:rFonts w:ascii="Arial" w:hAnsi="Arial" w:cs="Arial"/>
          <w:sz w:val="22"/>
          <w:szCs w:val="22"/>
        </w:rPr>
        <w:t>P</w:t>
      </w:r>
      <w:r w:rsidR="007E014B">
        <w:rPr>
          <w:rFonts w:ascii="Arial" w:hAnsi="Arial" w:cs="Arial"/>
          <w:sz w:val="22"/>
          <w:szCs w:val="22"/>
        </w:rPr>
        <w:t>ublic</w:t>
      </w:r>
      <w:r w:rsidR="004D3C28">
        <w:rPr>
          <w:rFonts w:ascii="Arial" w:hAnsi="Arial" w:cs="Arial"/>
          <w:sz w:val="22"/>
          <w:szCs w:val="22"/>
        </w:rPr>
        <w:t xml:space="preserve"> costs or ‘externalities’ of consumption </w:t>
      </w:r>
      <w:r w:rsidR="00AC4F3E">
        <w:rPr>
          <w:rFonts w:ascii="Arial" w:hAnsi="Arial" w:cs="Arial"/>
          <w:sz w:val="22"/>
          <w:szCs w:val="22"/>
        </w:rPr>
        <w:t xml:space="preserve">are </w:t>
      </w:r>
      <w:r w:rsidR="007E014B" w:rsidRPr="00FD38AB">
        <w:rPr>
          <w:rFonts w:ascii="Arial" w:hAnsi="Arial" w:cs="Arial"/>
          <w:sz w:val="22"/>
          <w:szCs w:val="22"/>
        </w:rPr>
        <w:t>costs associated with drinking whi</w:t>
      </w:r>
      <w:r w:rsidR="004D3C28">
        <w:rPr>
          <w:rFonts w:ascii="Arial" w:hAnsi="Arial" w:cs="Arial"/>
          <w:sz w:val="22"/>
          <w:szCs w:val="22"/>
        </w:rPr>
        <w:t>ch are avoided by the drinker but</w:t>
      </w:r>
      <w:r w:rsidR="007E014B" w:rsidRPr="00FD38AB">
        <w:rPr>
          <w:rFonts w:ascii="Arial" w:hAnsi="Arial" w:cs="Arial"/>
          <w:sz w:val="22"/>
          <w:szCs w:val="22"/>
        </w:rPr>
        <w:t xml:space="preserve"> incurred by the rest of the public, whether as taxpayers paying for more government services to ‘mop up’ the consequences of alcohol abuse or as family members, colleagues or</w:t>
      </w:r>
      <w:r w:rsidR="007E014B">
        <w:rPr>
          <w:rFonts w:ascii="Arial" w:hAnsi="Arial" w:cs="Arial"/>
          <w:sz w:val="22"/>
          <w:szCs w:val="22"/>
        </w:rPr>
        <w:t xml:space="preserve"> affected strangers.</w:t>
      </w:r>
      <w:r w:rsidR="000260E9">
        <w:rPr>
          <w:rFonts w:ascii="Arial" w:hAnsi="Arial" w:cs="Arial"/>
          <w:sz w:val="22"/>
          <w:szCs w:val="22"/>
        </w:rPr>
        <w:t xml:space="preserve"> For instance, Collins and </w:t>
      </w:r>
      <w:proofErr w:type="spellStart"/>
      <w:r w:rsidR="000260E9">
        <w:rPr>
          <w:rFonts w:ascii="Arial" w:hAnsi="Arial" w:cs="Arial"/>
          <w:sz w:val="22"/>
          <w:szCs w:val="22"/>
        </w:rPr>
        <w:t>Lapsley</w:t>
      </w:r>
      <w:proofErr w:type="spellEnd"/>
      <w:r w:rsidR="000260E9">
        <w:rPr>
          <w:rFonts w:ascii="Arial" w:hAnsi="Arial" w:cs="Arial"/>
          <w:sz w:val="22"/>
          <w:szCs w:val="22"/>
        </w:rPr>
        <w:t xml:space="preserve"> define externalities as occurring when ‘…</w:t>
      </w:r>
      <w:r w:rsidR="000260E9" w:rsidRPr="000260E9">
        <w:rPr>
          <w:rFonts w:ascii="Arial" w:hAnsi="Arial" w:cs="Arial"/>
          <w:sz w:val="22"/>
          <w:szCs w:val="22"/>
        </w:rPr>
        <w:t>individuals or firms undertake actions which impose</w:t>
      </w:r>
      <w:r w:rsidR="000260E9">
        <w:rPr>
          <w:rFonts w:ascii="Arial" w:hAnsi="Arial" w:cs="Arial"/>
          <w:sz w:val="22"/>
          <w:szCs w:val="22"/>
        </w:rPr>
        <w:t xml:space="preserve"> </w:t>
      </w:r>
      <w:r w:rsidR="000260E9" w:rsidRPr="000260E9">
        <w:rPr>
          <w:rFonts w:ascii="Arial" w:hAnsi="Arial" w:cs="Arial"/>
          <w:sz w:val="22"/>
          <w:szCs w:val="22"/>
        </w:rPr>
        <w:t xml:space="preserve">costs </w:t>
      </w:r>
      <w:r w:rsidR="000260E9" w:rsidRPr="000260E9">
        <w:rPr>
          <w:rFonts w:ascii="Arial" w:hAnsi="Arial" w:cs="Arial"/>
          <w:sz w:val="22"/>
          <w:szCs w:val="22"/>
        </w:rPr>
        <w:lastRenderedPageBreak/>
        <w:t>on other individuals or firms, while providing no, or insufficient, compensation to</w:t>
      </w:r>
      <w:r w:rsidR="000260E9">
        <w:rPr>
          <w:rFonts w:ascii="Arial" w:hAnsi="Arial" w:cs="Arial"/>
          <w:sz w:val="22"/>
          <w:szCs w:val="22"/>
        </w:rPr>
        <w:t xml:space="preserve"> </w:t>
      </w:r>
      <w:r w:rsidR="000260E9" w:rsidRPr="000260E9">
        <w:rPr>
          <w:rFonts w:ascii="Arial" w:hAnsi="Arial" w:cs="Arial"/>
          <w:sz w:val="22"/>
          <w:szCs w:val="22"/>
        </w:rPr>
        <w:t>those who bear these extra costs</w:t>
      </w:r>
      <w:r w:rsidR="000260E9">
        <w:rPr>
          <w:rFonts w:ascii="Arial" w:hAnsi="Arial" w:cs="Arial"/>
          <w:sz w:val="22"/>
          <w:szCs w:val="22"/>
        </w:rPr>
        <w:t>.’</w:t>
      </w:r>
      <w:r w:rsidR="000260E9">
        <w:rPr>
          <w:rStyle w:val="FootnoteReference"/>
          <w:rFonts w:ascii="Arial" w:hAnsi="Arial" w:cs="Arial"/>
          <w:sz w:val="22"/>
          <w:szCs w:val="22"/>
        </w:rPr>
        <w:footnoteReference w:id="8"/>
      </w:r>
    </w:p>
    <w:p w14:paraId="6CD37DDB" w14:textId="77777777" w:rsidR="007E014B" w:rsidRDefault="007E014B" w:rsidP="00556C8C">
      <w:pPr>
        <w:rPr>
          <w:rFonts w:ascii="Arial" w:hAnsi="Arial" w:cs="Arial"/>
          <w:sz w:val="22"/>
          <w:szCs w:val="22"/>
        </w:rPr>
      </w:pPr>
    </w:p>
    <w:p w14:paraId="6F66014C" w14:textId="115E8B10" w:rsidR="006F7C46" w:rsidRPr="006F7C46" w:rsidRDefault="006F7C46" w:rsidP="00556C8C">
      <w:pPr>
        <w:rPr>
          <w:rFonts w:ascii="Arial" w:hAnsi="Arial" w:cs="Arial"/>
          <w:b/>
          <w:i/>
          <w:sz w:val="22"/>
          <w:szCs w:val="22"/>
          <w:u w:val="single"/>
        </w:rPr>
      </w:pPr>
      <w:r w:rsidRPr="006F7C46">
        <w:rPr>
          <w:rFonts w:ascii="Arial" w:hAnsi="Arial" w:cs="Arial"/>
          <w:b/>
          <w:i/>
          <w:sz w:val="22"/>
          <w:szCs w:val="22"/>
          <w:u w:val="single"/>
        </w:rPr>
        <w:t>Relevance of externalitie</w:t>
      </w:r>
      <w:r w:rsidR="007B6A10">
        <w:rPr>
          <w:rFonts w:ascii="Arial" w:hAnsi="Arial" w:cs="Arial"/>
          <w:b/>
          <w:i/>
          <w:sz w:val="22"/>
          <w:szCs w:val="22"/>
          <w:u w:val="single"/>
        </w:rPr>
        <w:t>s versus</w:t>
      </w:r>
      <w:r w:rsidRPr="006F7C46">
        <w:rPr>
          <w:rFonts w:ascii="Arial" w:hAnsi="Arial" w:cs="Arial"/>
          <w:b/>
          <w:i/>
          <w:sz w:val="22"/>
          <w:szCs w:val="22"/>
          <w:u w:val="single"/>
        </w:rPr>
        <w:t xml:space="preserve"> private costs</w:t>
      </w:r>
    </w:p>
    <w:p w14:paraId="6D7F4C39" w14:textId="67ADDAC9" w:rsidR="007E014B" w:rsidRDefault="007E014B" w:rsidP="00556C8C">
      <w:pPr>
        <w:rPr>
          <w:rFonts w:ascii="Arial" w:hAnsi="Arial" w:cs="Arial"/>
          <w:sz w:val="22"/>
          <w:szCs w:val="22"/>
        </w:rPr>
      </w:pPr>
      <w:r>
        <w:rPr>
          <w:rFonts w:ascii="Arial" w:hAnsi="Arial" w:cs="Arial"/>
          <w:sz w:val="22"/>
          <w:szCs w:val="22"/>
        </w:rPr>
        <w:t xml:space="preserve">On public health grounds, </w:t>
      </w:r>
      <w:r w:rsidR="00985483">
        <w:rPr>
          <w:rFonts w:ascii="Arial" w:hAnsi="Arial" w:cs="Arial"/>
          <w:sz w:val="22"/>
          <w:szCs w:val="22"/>
        </w:rPr>
        <w:t>t</w:t>
      </w:r>
      <w:r>
        <w:rPr>
          <w:rFonts w:ascii="Arial" w:hAnsi="Arial" w:cs="Arial"/>
          <w:sz w:val="22"/>
          <w:szCs w:val="22"/>
        </w:rPr>
        <w:t xml:space="preserve">here would be legitimate grounds for intervention if there are significant health impacts from alcohol consumption regardless of whether the resulting costs were fully borne by drinkers </w:t>
      </w:r>
      <w:r w:rsidR="001033FF">
        <w:rPr>
          <w:rFonts w:ascii="Arial" w:hAnsi="Arial" w:cs="Arial"/>
          <w:sz w:val="22"/>
          <w:szCs w:val="22"/>
        </w:rPr>
        <w:t xml:space="preserve">(i.e. private costs) </w:t>
      </w:r>
      <w:r>
        <w:rPr>
          <w:rFonts w:ascii="Arial" w:hAnsi="Arial" w:cs="Arial"/>
          <w:sz w:val="22"/>
          <w:szCs w:val="22"/>
        </w:rPr>
        <w:t xml:space="preserve">or not. </w:t>
      </w:r>
      <w:r w:rsidR="001033FF">
        <w:rPr>
          <w:rFonts w:ascii="Arial" w:hAnsi="Arial" w:cs="Arial"/>
          <w:sz w:val="22"/>
          <w:szCs w:val="22"/>
        </w:rPr>
        <w:t>However, this distinction</w:t>
      </w:r>
      <w:r w:rsidR="00985483">
        <w:rPr>
          <w:rFonts w:ascii="Arial" w:hAnsi="Arial" w:cs="Arial"/>
          <w:sz w:val="22"/>
          <w:szCs w:val="22"/>
        </w:rPr>
        <w:t xml:space="preserve"> (between private costs and externalities)</w:t>
      </w:r>
      <w:r w:rsidR="001033FF">
        <w:rPr>
          <w:rFonts w:ascii="Arial" w:hAnsi="Arial" w:cs="Arial"/>
          <w:sz w:val="22"/>
          <w:szCs w:val="22"/>
        </w:rPr>
        <w:t xml:space="preserve"> is particularly relevant from an economic perspective as it is the presence of significant externalities which provides a rationale for government intervention</w:t>
      </w:r>
      <w:r w:rsidR="00E15565">
        <w:rPr>
          <w:rFonts w:ascii="Arial" w:hAnsi="Arial" w:cs="Arial"/>
          <w:sz w:val="22"/>
          <w:szCs w:val="22"/>
        </w:rPr>
        <w:t>.</w:t>
      </w:r>
      <w:r w:rsidR="00FF4178">
        <w:rPr>
          <w:rStyle w:val="FootnoteReference"/>
          <w:rFonts w:ascii="Arial" w:hAnsi="Arial" w:cs="Arial"/>
          <w:sz w:val="22"/>
          <w:szCs w:val="22"/>
        </w:rPr>
        <w:footnoteReference w:id="9"/>
      </w:r>
      <w:r w:rsidR="00E15565">
        <w:rPr>
          <w:rFonts w:ascii="Arial" w:hAnsi="Arial" w:cs="Arial"/>
          <w:sz w:val="22"/>
          <w:szCs w:val="22"/>
        </w:rPr>
        <w:t xml:space="preserve"> </w:t>
      </w:r>
      <w:r w:rsidR="000F6B04">
        <w:rPr>
          <w:rFonts w:ascii="Arial" w:hAnsi="Arial" w:cs="Arial"/>
          <w:sz w:val="22"/>
          <w:szCs w:val="22"/>
        </w:rPr>
        <w:t>But r</w:t>
      </w:r>
      <w:r>
        <w:rPr>
          <w:rFonts w:ascii="Arial" w:hAnsi="Arial" w:cs="Arial"/>
          <w:sz w:val="22"/>
          <w:szCs w:val="22"/>
        </w:rPr>
        <w:t xml:space="preserve">egardless of </w:t>
      </w:r>
      <w:r w:rsidR="005E0435">
        <w:rPr>
          <w:rFonts w:ascii="Arial" w:hAnsi="Arial" w:cs="Arial"/>
          <w:sz w:val="22"/>
          <w:szCs w:val="22"/>
        </w:rPr>
        <w:t>whether the broader public health or economics</w:t>
      </w:r>
      <w:r w:rsidR="00361BAC">
        <w:rPr>
          <w:rFonts w:ascii="Arial" w:hAnsi="Arial" w:cs="Arial"/>
          <w:sz w:val="22"/>
          <w:szCs w:val="22"/>
        </w:rPr>
        <w:t xml:space="preserve"> </w:t>
      </w:r>
      <w:r>
        <w:rPr>
          <w:rFonts w:ascii="Arial" w:hAnsi="Arial" w:cs="Arial"/>
          <w:sz w:val="22"/>
          <w:szCs w:val="22"/>
        </w:rPr>
        <w:t>perspective is adopted, research</w:t>
      </w:r>
      <w:r w:rsidR="00361BAC">
        <w:rPr>
          <w:rFonts w:ascii="Arial" w:hAnsi="Arial" w:cs="Arial"/>
          <w:sz w:val="22"/>
          <w:szCs w:val="22"/>
        </w:rPr>
        <w:t xml:space="preserve"> </w:t>
      </w:r>
      <w:r w:rsidR="005E0435">
        <w:rPr>
          <w:rFonts w:ascii="Arial" w:hAnsi="Arial" w:cs="Arial"/>
          <w:sz w:val="22"/>
          <w:szCs w:val="22"/>
        </w:rPr>
        <w:t xml:space="preserve">into the social costs of alcohol </w:t>
      </w:r>
      <w:r w:rsidR="00361BAC">
        <w:rPr>
          <w:rFonts w:ascii="Arial" w:hAnsi="Arial" w:cs="Arial"/>
          <w:sz w:val="22"/>
          <w:szCs w:val="22"/>
        </w:rPr>
        <w:t xml:space="preserve">has found </w:t>
      </w:r>
      <w:r>
        <w:rPr>
          <w:rFonts w:ascii="Arial" w:hAnsi="Arial" w:cs="Arial"/>
          <w:sz w:val="22"/>
          <w:szCs w:val="22"/>
        </w:rPr>
        <w:t>ample grounds for intervention to reduce current levels of alcohol consumption.</w:t>
      </w:r>
    </w:p>
    <w:p w14:paraId="1E8D8D8A" w14:textId="77777777" w:rsidR="009A36D4" w:rsidRDefault="009A36D4" w:rsidP="00556C8C">
      <w:pPr>
        <w:rPr>
          <w:rFonts w:ascii="Arial" w:hAnsi="Arial" w:cs="Arial"/>
          <w:sz w:val="22"/>
          <w:szCs w:val="22"/>
        </w:rPr>
      </w:pPr>
    </w:p>
    <w:p w14:paraId="377BAAF2" w14:textId="1E59C827" w:rsidR="009A36D4" w:rsidRPr="009A36D4" w:rsidRDefault="009A36D4" w:rsidP="00556C8C">
      <w:pPr>
        <w:rPr>
          <w:rFonts w:ascii="Arial" w:hAnsi="Arial" w:cs="Arial"/>
          <w:b/>
          <w:i/>
          <w:sz w:val="22"/>
          <w:szCs w:val="22"/>
          <w:u w:val="single"/>
        </w:rPr>
      </w:pPr>
      <w:r w:rsidRPr="009A36D4">
        <w:rPr>
          <w:rFonts w:ascii="Arial" w:hAnsi="Arial" w:cs="Arial"/>
          <w:b/>
          <w:i/>
          <w:sz w:val="22"/>
          <w:szCs w:val="22"/>
          <w:u w:val="single"/>
        </w:rPr>
        <w:t>Review of studies of social costs of alcohol</w:t>
      </w:r>
    </w:p>
    <w:p w14:paraId="624D37EC" w14:textId="0DE9B280" w:rsidR="007E014B" w:rsidRDefault="007E014B" w:rsidP="00556C8C">
      <w:pPr>
        <w:rPr>
          <w:rFonts w:ascii="Arial" w:hAnsi="Arial" w:cs="Arial"/>
          <w:sz w:val="22"/>
          <w:szCs w:val="22"/>
        </w:rPr>
      </w:pPr>
      <w:r>
        <w:rPr>
          <w:rFonts w:ascii="Arial" w:hAnsi="Arial" w:cs="Arial"/>
          <w:sz w:val="22"/>
          <w:szCs w:val="22"/>
        </w:rPr>
        <w:t xml:space="preserve">There are two major studies (Collins and </w:t>
      </w:r>
      <w:proofErr w:type="spellStart"/>
      <w:r>
        <w:rPr>
          <w:rFonts w:ascii="Arial" w:hAnsi="Arial" w:cs="Arial"/>
          <w:sz w:val="22"/>
          <w:szCs w:val="22"/>
        </w:rPr>
        <w:t>Lapsley</w:t>
      </w:r>
      <w:proofErr w:type="spellEnd"/>
      <w:r>
        <w:rPr>
          <w:rStyle w:val="FootnoteReference"/>
          <w:rFonts w:ascii="Arial" w:hAnsi="Arial" w:cs="Arial"/>
          <w:sz w:val="22"/>
          <w:szCs w:val="22"/>
        </w:rPr>
        <w:footnoteReference w:id="10"/>
      </w:r>
      <w:r>
        <w:rPr>
          <w:rFonts w:ascii="Arial" w:hAnsi="Arial" w:cs="Arial"/>
          <w:sz w:val="22"/>
          <w:szCs w:val="22"/>
        </w:rPr>
        <w:t xml:space="preserve"> and </w:t>
      </w:r>
      <w:proofErr w:type="spellStart"/>
      <w:r>
        <w:rPr>
          <w:rFonts w:ascii="Arial" w:hAnsi="Arial" w:cs="Arial"/>
          <w:sz w:val="22"/>
          <w:szCs w:val="22"/>
        </w:rPr>
        <w:t>Laslett</w:t>
      </w:r>
      <w:proofErr w:type="spellEnd"/>
      <w:r>
        <w:rPr>
          <w:rFonts w:ascii="Arial" w:hAnsi="Arial" w:cs="Arial"/>
          <w:sz w:val="22"/>
          <w:szCs w:val="22"/>
        </w:rPr>
        <w:t xml:space="preserve"> et al</w:t>
      </w:r>
      <w:r>
        <w:rPr>
          <w:rStyle w:val="FootnoteReference"/>
          <w:rFonts w:ascii="Arial" w:hAnsi="Arial" w:cs="Arial"/>
          <w:sz w:val="22"/>
          <w:szCs w:val="22"/>
        </w:rPr>
        <w:footnoteReference w:id="11"/>
      </w:r>
      <w:r>
        <w:rPr>
          <w:rFonts w:ascii="Arial" w:hAnsi="Arial" w:cs="Arial"/>
          <w:sz w:val="22"/>
          <w:szCs w:val="22"/>
        </w:rPr>
        <w:t xml:space="preserve">) which have </w:t>
      </w:r>
      <w:r w:rsidR="009A36D4">
        <w:rPr>
          <w:rFonts w:ascii="Arial" w:hAnsi="Arial" w:cs="Arial"/>
          <w:sz w:val="22"/>
          <w:szCs w:val="22"/>
        </w:rPr>
        <w:t xml:space="preserve">tried to quantify </w:t>
      </w:r>
      <w:r>
        <w:rPr>
          <w:rFonts w:ascii="Arial" w:hAnsi="Arial" w:cs="Arial"/>
          <w:sz w:val="22"/>
          <w:szCs w:val="22"/>
        </w:rPr>
        <w:t>the harms associated with alcohol consumption in Australia by estimating its total annual social costs. In practice these studies differ somewhat in their focus and are therefore not directly comparable, though there are some areas of overlap:</w:t>
      </w:r>
    </w:p>
    <w:p w14:paraId="3641420B" w14:textId="095DAE8E" w:rsidR="006A4729" w:rsidRDefault="00E15565" w:rsidP="00B16BDD">
      <w:pPr>
        <w:pStyle w:val="ListParagraph"/>
        <w:numPr>
          <w:ilvl w:val="0"/>
          <w:numId w:val="2"/>
        </w:numPr>
        <w:rPr>
          <w:rFonts w:ascii="Arial" w:hAnsi="Arial" w:cs="Arial"/>
          <w:sz w:val="22"/>
          <w:szCs w:val="22"/>
        </w:rPr>
      </w:pPr>
      <w:r>
        <w:rPr>
          <w:rFonts w:ascii="Arial" w:hAnsi="Arial" w:cs="Arial"/>
          <w:sz w:val="22"/>
          <w:szCs w:val="22"/>
        </w:rPr>
        <w:t xml:space="preserve">Collins and </w:t>
      </w:r>
      <w:proofErr w:type="spellStart"/>
      <w:r>
        <w:rPr>
          <w:rFonts w:ascii="Arial" w:hAnsi="Arial" w:cs="Arial"/>
          <w:sz w:val="22"/>
          <w:szCs w:val="22"/>
        </w:rPr>
        <w:t>Lapsley</w:t>
      </w:r>
      <w:proofErr w:type="spellEnd"/>
      <w:r>
        <w:rPr>
          <w:rStyle w:val="FootnoteReference"/>
          <w:rFonts w:ascii="Arial" w:hAnsi="Arial" w:cs="Arial"/>
          <w:sz w:val="22"/>
          <w:szCs w:val="22"/>
        </w:rPr>
        <w:footnoteReference w:id="12"/>
      </w:r>
      <w:r w:rsidR="008523C3">
        <w:rPr>
          <w:rFonts w:ascii="Arial" w:hAnsi="Arial" w:cs="Arial"/>
          <w:sz w:val="22"/>
          <w:szCs w:val="22"/>
        </w:rPr>
        <w:t xml:space="preserve"> </w:t>
      </w:r>
      <w:r w:rsidR="00B16BDD">
        <w:rPr>
          <w:rFonts w:ascii="Arial" w:hAnsi="Arial" w:cs="Arial"/>
          <w:sz w:val="22"/>
          <w:szCs w:val="22"/>
        </w:rPr>
        <w:t>with one exception</w:t>
      </w:r>
      <w:r w:rsidR="00B16BDD">
        <w:rPr>
          <w:rStyle w:val="FootnoteReference"/>
          <w:rFonts w:ascii="Arial" w:hAnsi="Arial" w:cs="Arial"/>
          <w:sz w:val="22"/>
          <w:szCs w:val="22"/>
        </w:rPr>
        <w:footnoteReference w:id="13"/>
      </w:r>
      <w:r w:rsidR="00B16BDD">
        <w:rPr>
          <w:rFonts w:ascii="Arial" w:hAnsi="Arial" w:cs="Arial"/>
          <w:sz w:val="22"/>
          <w:szCs w:val="22"/>
        </w:rPr>
        <w:t xml:space="preserve"> generally </w:t>
      </w:r>
      <w:r w:rsidR="00D108D7">
        <w:rPr>
          <w:rFonts w:ascii="Arial" w:hAnsi="Arial" w:cs="Arial"/>
          <w:sz w:val="22"/>
          <w:szCs w:val="22"/>
        </w:rPr>
        <w:t>take</w:t>
      </w:r>
      <w:r w:rsidR="000260E9">
        <w:rPr>
          <w:rFonts w:ascii="Arial" w:hAnsi="Arial" w:cs="Arial"/>
          <w:sz w:val="22"/>
          <w:szCs w:val="22"/>
        </w:rPr>
        <w:t xml:space="preserve"> a narrower economic externalities</w:t>
      </w:r>
      <w:r w:rsidR="005E0435">
        <w:rPr>
          <w:rFonts w:ascii="Arial" w:hAnsi="Arial" w:cs="Arial"/>
          <w:sz w:val="22"/>
          <w:szCs w:val="22"/>
        </w:rPr>
        <w:t xml:space="preserve"> perspective</w:t>
      </w:r>
      <w:r w:rsidR="000260E9">
        <w:rPr>
          <w:rFonts w:ascii="Arial" w:hAnsi="Arial" w:cs="Arial"/>
          <w:sz w:val="22"/>
          <w:szCs w:val="22"/>
        </w:rPr>
        <w:t xml:space="preserve"> </w:t>
      </w:r>
      <w:r w:rsidR="00D108D7">
        <w:rPr>
          <w:rFonts w:ascii="Arial" w:hAnsi="Arial" w:cs="Arial"/>
          <w:sz w:val="22"/>
          <w:szCs w:val="22"/>
        </w:rPr>
        <w:t xml:space="preserve">which focuses </w:t>
      </w:r>
      <w:r w:rsidR="005D102C">
        <w:rPr>
          <w:rFonts w:ascii="Arial" w:hAnsi="Arial" w:cs="Arial"/>
          <w:sz w:val="22"/>
          <w:szCs w:val="22"/>
        </w:rPr>
        <w:t xml:space="preserve">on quantifying </w:t>
      </w:r>
      <w:r w:rsidR="008523C3">
        <w:rPr>
          <w:rFonts w:ascii="Arial" w:hAnsi="Arial" w:cs="Arial"/>
          <w:sz w:val="22"/>
          <w:szCs w:val="22"/>
        </w:rPr>
        <w:t xml:space="preserve">those costs created by drinkers which </w:t>
      </w:r>
      <w:r w:rsidR="00C83A3C">
        <w:rPr>
          <w:rFonts w:ascii="Arial" w:hAnsi="Arial" w:cs="Arial"/>
          <w:sz w:val="22"/>
          <w:szCs w:val="22"/>
        </w:rPr>
        <w:t>‘</w:t>
      </w:r>
      <w:proofErr w:type="spellStart"/>
      <w:r w:rsidR="008523C3">
        <w:rPr>
          <w:rFonts w:ascii="Arial" w:hAnsi="Arial" w:cs="Arial"/>
          <w:sz w:val="22"/>
          <w:szCs w:val="22"/>
        </w:rPr>
        <w:t>spillover</w:t>
      </w:r>
      <w:proofErr w:type="spellEnd"/>
      <w:r w:rsidR="00C83A3C">
        <w:rPr>
          <w:rFonts w:ascii="Arial" w:hAnsi="Arial" w:cs="Arial"/>
          <w:sz w:val="22"/>
          <w:szCs w:val="22"/>
        </w:rPr>
        <w:t>’</w:t>
      </w:r>
      <w:r w:rsidR="008523C3">
        <w:rPr>
          <w:rFonts w:ascii="Arial" w:hAnsi="Arial" w:cs="Arial"/>
          <w:sz w:val="22"/>
          <w:szCs w:val="22"/>
        </w:rPr>
        <w:t xml:space="preserve"> to be borne by broader society </w:t>
      </w:r>
      <w:r w:rsidR="000260E9">
        <w:rPr>
          <w:rFonts w:ascii="Arial" w:hAnsi="Arial" w:cs="Arial"/>
          <w:sz w:val="22"/>
          <w:szCs w:val="22"/>
        </w:rPr>
        <w:t>through its impacts on the (increased) provision of government services and (reduced) productivity in the workplace</w:t>
      </w:r>
      <w:r w:rsidR="008523C3">
        <w:rPr>
          <w:rFonts w:ascii="Arial" w:hAnsi="Arial" w:cs="Arial"/>
          <w:sz w:val="22"/>
          <w:szCs w:val="22"/>
        </w:rPr>
        <w:t>.</w:t>
      </w:r>
      <w:r w:rsidR="007E014B" w:rsidRPr="00963C9C">
        <w:rPr>
          <w:rFonts w:ascii="Arial" w:hAnsi="Arial" w:cs="Arial"/>
          <w:sz w:val="22"/>
          <w:szCs w:val="22"/>
        </w:rPr>
        <w:t xml:space="preserve"> </w:t>
      </w:r>
    </w:p>
    <w:p w14:paraId="0F0E397A" w14:textId="72047DD0" w:rsidR="00D108D7" w:rsidRDefault="007E014B" w:rsidP="004A1B5E">
      <w:pPr>
        <w:pStyle w:val="ListParagraph"/>
        <w:numPr>
          <w:ilvl w:val="0"/>
          <w:numId w:val="2"/>
        </w:numPr>
        <w:rPr>
          <w:rFonts w:ascii="Arial" w:hAnsi="Arial" w:cs="Arial"/>
          <w:sz w:val="22"/>
          <w:szCs w:val="22"/>
        </w:rPr>
      </w:pPr>
      <w:r w:rsidRPr="00963C9C">
        <w:rPr>
          <w:rFonts w:ascii="Arial" w:hAnsi="Arial" w:cs="Arial"/>
          <w:sz w:val="22"/>
          <w:szCs w:val="22"/>
        </w:rPr>
        <w:t xml:space="preserve">By contrast </w:t>
      </w:r>
      <w:proofErr w:type="spellStart"/>
      <w:r w:rsidRPr="00963C9C">
        <w:rPr>
          <w:rFonts w:ascii="Arial" w:hAnsi="Arial" w:cs="Arial"/>
          <w:sz w:val="22"/>
          <w:szCs w:val="22"/>
        </w:rPr>
        <w:t>Laslett</w:t>
      </w:r>
      <w:proofErr w:type="spellEnd"/>
      <w:r w:rsidRPr="00963C9C">
        <w:rPr>
          <w:rFonts w:ascii="Arial" w:hAnsi="Arial" w:cs="Arial"/>
          <w:sz w:val="22"/>
          <w:szCs w:val="22"/>
        </w:rPr>
        <w:t xml:space="preserve"> et al</w:t>
      </w:r>
      <w:r w:rsidR="00D108D7">
        <w:rPr>
          <w:rFonts w:ascii="Arial" w:hAnsi="Arial" w:cs="Arial"/>
          <w:sz w:val="22"/>
          <w:szCs w:val="22"/>
        </w:rPr>
        <w:t xml:space="preserve"> focus on costing </w:t>
      </w:r>
      <w:r w:rsidR="004A1B5E" w:rsidRPr="004A1B5E">
        <w:rPr>
          <w:rFonts w:ascii="Arial" w:hAnsi="Arial" w:cs="Arial"/>
          <w:sz w:val="22"/>
          <w:szCs w:val="22"/>
        </w:rPr>
        <w:t>t</w:t>
      </w:r>
      <w:r w:rsidR="00E77EA0">
        <w:rPr>
          <w:rFonts w:ascii="Arial" w:hAnsi="Arial" w:cs="Arial"/>
          <w:sz w:val="22"/>
          <w:szCs w:val="22"/>
        </w:rPr>
        <w:t xml:space="preserve">he adverse effects of </w:t>
      </w:r>
      <w:r w:rsidR="004A1B5E" w:rsidRPr="004A1B5E">
        <w:rPr>
          <w:rFonts w:ascii="Arial" w:hAnsi="Arial" w:cs="Arial"/>
          <w:sz w:val="22"/>
          <w:szCs w:val="22"/>
        </w:rPr>
        <w:t xml:space="preserve">drinking on specific </w:t>
      </w:r>
      <w:r w:rsidR="004A1B5E">
        <w:rPr>
          <w:rFonts w:ascii="Arial" w:hAnsi="Arial" w:cs="Arial"/>
          <w:sz w:val="22"/>
          <w:szCs w:val="22"/>
        </w:rPr>
        <w:t xml:space="preserve">others such as </w:t>
      </w:r>
      <w:r w:rsidR="00D108D7">
        <w:rPr>
          <w:rFonts w:ascii="Arial" w:hAnsi="Arial" w:cs="Arial"/>
          <w:sz w:val="22"/>
          <w:szCs w:val="22"/>
        </w:rPr>
        <w:t>family members, bystanders</w:t>
      </w:r>
      <w:r w:rsidR="004A1B5E">
        <w:rPr>
          <w:rFonts w:ascii="Arial" w:hAnsi="Arial" w:cs="Arial"/>
          <w:sz w:val="22"/>
          <w:szCs w:val="22"/>
        </w:rPr>
        <w:t xml:space="preserve"> or businesses</w:t>
      </w:r>
      <w:r w:rsidR="00D108D7">
        <w:rPr>
          <w:rFonts w:ascii="Arial" w:hAnsi="Arial" w:cs="Arial"/>
          <w:sz w:val="22"/>
          <w:szCs w:val="22"/>
        </w:rPr>
        <w:t xml:space="preserve"> in proximity to the drinking and colleagues</w:t>
      </w:r>
      <w:r w:rsidR="00303F41">
        <w:rPr>
          <w:rFonts w:ascii="Arial" w:hAnsi="Arial" w:cs="Arial"/>
          <w:sz w:val="22"/>
          <w:szCs w:val="22"/>
        </w:rPr>
        <w:t>.</w:t>
      </w:r>
      <w:r w:rsidR="00D108D7">
        <w:rPr>
          <w:rStyle w:val="FootnoteReference"/>
          <w:rFonts w:ascii="Arial" w:hAnsi="Arial" w:cs="Arial"/>
          <w:sz w:val="22"/>
          <w:szCs w:val="22"/>
        </w:rPr>
        <w:footnoteReference w:id="14"/>
      </w:r>
      <w:r w:rsidR="00D108D7">
        <w:rPr>
          <w:rFonts w:ascii="Arial" w:hAnsi="Arial" w:cs="Arial"/>
          <w:sz w:val="22"/>
          <w:szCs w:val="22"/>
        </w:rPr>
        <w:t xml:space="preserve"> F</w:t>
      </w:r>
      <w:r w:rsidR="006C644B">
        <w:rPr>
          <w:rFonts w:ascii="Arial" w:hAnsi="Arial" w:cs="Arial"/>
          <w:sz w:val="22"/>
          <w:szCs w:val="22"/>
        </w:rPr>
        <w:t>or a few examples of</w:t>
      </w:r>
      <w:r w:rsidR="00D108D7">
        <w:rPr>
          <w:rFonts w:ascii="Arial" w:hAnsi="Arial" w:cs="Arial"/>
          <w:sz w:val="22"/>
          <w:szCs w:val="22"/>
        </w:rPr>
        <w:t xml:space="preserve"> cost</w:t>
      </w:r>
      <w:r w:rsidR="006C644B">
        <w:rPr>
          <w:rFonts w:ascii="Arial" w:hAnsi="Arial" w:cs="Arial"/>
          <w:sz w:val="22"/>
          <w:szCs w:val="22"/>
        </w:rPr>
        <w:t xml:space="preserve"> elements </w:t>
      </w:r>
      <w:r w:rsidR="00D108D7">
        <w:rPr>
          <w:rFonts w:ascii="Arial" w:hAnsi="Arial" w:cs="Arial"/>
          <w:sz w:val="22"/>
          <w:szCs w:val="22"/>
        </w:rPr>
        <w:t xml:space="preserve">considered by </w:t>
      </w:r>
      <w:proofErr w:type="spellStart"/>
      <w:r w:rsidR="00D108D7">
        <w:rPr>
          <w:rFonts w:ascii="Arial" w:hAnsi="Arial" w:cs="Arial"/>
          <w:sz w:val="22"/>
          <w:szCs w:val="22"/>
        </w:rPr>
        <w:t>Laslett</w:t>
      </w:r>
      <w:proofErr w:type="spellEnd"/>
      <w:r w:rsidR="00D108D7">
        <w:rPr>
          <w:rFonts w:ascii="Arial" w:hAnsi="Arial" w:cs="Arial"/>
          <w:sz w:val="22"/>
          <w:szCs w:val="22"/>
        </w:rPr>
        <w:t xml:space="preserve"> et al</w:t>
      </w:r>
      <w:r w:rsidR="004A1B5E">
        <w:rPr>
          <w:rFonts w:ascii="Arial" w:hAnsi="Arial" w:cs="Arial"/>
          <w:sz w:val="22"/>
          <w:szCs w:val="22"/>
        </w:rPr>
        <w:t xml:space="preserve"> but not included in Collins and </w:t>
      </w:r>
      <w:proofErr w:type="spellStart"/>
      <w:r w:rsidR="004A1B5E">
        <w:rPr>
          <w:rFonts w:ascii="Arial" w:hAnsi="Arial" w:cs="Arial"/>
          <w:sz w:val="22"/>
          <w:szCs w:val="22"/>
        </w:rPr>
        <w:t>Lapsley</w:t>
      </w:r>
      <w:proofErr w:type="spellEnd"/>
      <w:r w:rsidR="00D108D7">
        <w:rPr>
          <w:rFonts w:ascii="Arial" w:hAnsi="Arial" w:cs="Arial"/>
          <w:sz w:val="22"/>
          <w:szCs w:val="22"/>
        </w:rPr>
        <w:t>:</w:t>
      </w:r>
    </w:p>
    <w:p w14:paraId="5FA99B16" w14:textId="5F313028" w:rsidR="004A1B5E" w:rsidRDefault="00D108D7" w:rsidP="00962E8F">
      <w:pPr>
        <w:pStyle w:val="ListParagraph"/>
        <w:numPr>
          <w:ilvl w:val="1"/>
          <w:numId w:val="2"/>
        </w:numPr>
        <w:rPr>
          <w:rFonts w:ascii="Arial" w:hAnsi="Arial" w:cs="Arial"/>
          <w:sz w:val="22"/>
          <w:szCs w:val="22"/>
        </w:rPr>
      </w:pPr>
      <w:r>
        <w:rPr>
          <w:rFonts w:ascii="Arial" w:hAnsi="Arial" w:cs="Arial"/>
          <w:sz w:val="22"/>
          <w:szCs w:val="22"/>
        </w:rPr>
        <w:t>They include a value for the intangible costs (in terms of pain and suffering) incurred by family members of drinkers.</w:t>
      </w:r>
      <w:r w:rsidR="00962E8F" w:rsidRPr="00962E8F">
        <w:rPr>
          <w:rFonts w:ascii="Arial" w:hAnsi="Arial" w:cs="Arial"/>
          <w:sz w:val="22"/>
          <w:szCs w:val="22"/>
        </w:rPr>
        <w:t xml:space="preserve">  </w:t>
      </w:r>
    </w:p>
    <w:p w14:paraId="422581F1" w14:textId="7D1153C2" w:rsidR="00680AFF" w:rsidRDefault="00962E8F" w:rsidP="00491C37">
      <w:pPr>
        <w:pStyle w:val="ListParagraph"/>
        <w:numPr>
          <w:ilvl w:val="1"/>
          <w:numId w:val="2"/>
        </w:numPr>
        <w:rPr>
          <w:rFonts w:ascii="Arial" w:hAnsi="Arial" w:cs="Arial"/>
          <w:sz w:val="22"/>
          <w:szCs w:val="22"/>
        </w:rPr>
      </w:pPr>
      <w:r>
        <w:rPr>
          <w:rFonts w:ascii="Arial" w:hAnsi="Arial" w:cs="Arial"/>
          <w:sz w:val="22"/>
          <w:szCs w:val="22"/>
        </w:rPr>
        <w:t xml:space="preserve">They include a value for the cost of extra hours incurred by </w:t>
      </w:r>
      <w:r w:rsidR="00680AFF">
        <w:rPr>
          <w:rFonts w:ascii="Arial" w:hAnsi="Arial" w:cs="Arial"/>
          <w:sz w:val="22"/>
          <w:szCs w:val="22"/>
        </w:rPr>
        <w:t>colleagues of drinkers who are absent from work</w:t>
      </w:r>
      <w:r w:rsidR="006C644B">
        <w:rPr>
          <w:rFonts w:ascii="Arial" w:hAnsi="Arial" w:cs="Arial"/>
          <w:sz w:val="22"/>
          <w:szCs w:val="22"/>
        </w:rPr>
        <w:t>,</w:t>
      </w:r>
      <w:r w:rsidR="00680AFF">
        <w:rPr>
          <w:rFonts w:ascii="Arial" w:hAnsi="Arial" w:cs="Arial"/>
          <w:sz w:val="22"/>
          <w:szCs w:val="22"/>
        </w:rPr>
        <w:t xml:space="preserve"> </w:t>
      </w:r>
      <w:r>
        <w:rPr>
          <w:rFonts w:ascii="Arial" w:hAnsi="Arial" w:cs="Arial"/>
          <w:sz w:val="22"/>
          <w:szCs w:val="22"/>
        </w:rPr>
        <w:t xml:space="preserve">whereas Collins and </w:t>
      </w:r>
      <w:proofErr w:type="spellStart"/>
      <w:r>
        <w:rPr>
          <w:rFonts w:ascii="Arial" w:hAnsi="Arial" w:cs="Arial"/>
          <w:sz w:val="22"/>
          <w:szCs w:val="22"/>
        </w:rPr>
        <w:t>Lapsley’s</w:t>
      </w:r>
      <w:proofErr w:type="spellEnd"/>
      <w:r>
        <w:rPr>
          <w:rFonts w:ascii="Arial" w:hAnsi="Arial" w:cs="Arial"/>
          <w:sz w:val="22"/>
          <w:szCs w:val="22"/>
        </w:rPr>
        <w:t xml:space="preserve"> workplace cost figures </w:t>
      </w:r>
      <w:r w:rsidR="00680AFF">
        <w:rPr>
          <w:rFonts w:ascii="Arial" w:hAnsi="Arial" w:cs="Arial"/>
          <w:sz w:val="22"/>
          <w:szCs w:val="22"/>
        </w:rPr>
        <w:t xml:space="preserve">are a different measure, focusing on the effect of alcohol-induced absenteeism on workforce labour capacity. </w:t>
      </w:r>
    </w:p>
    <w:p w14:paraId="1310FDD3" w14:textId="426E7D58" w:rsidR="00491C37" w:rsidRPr="00491C37" w:rsidRDefault="00491C37" w:rsidP="00491C37">
      <w:pPr>
        <w:pStyle w:val="ListParagraph"/>
        <w:numPr>
          <w:ilvl w:val="1"/>
          <w:numId w:val="2"/>
        </w:numPr>
        <w:rPr>
          <w:rFonts w:ascii="Arial" w:hAnsi="Arial" w:cs="Arial"/>
          <w:sz w:val="22"/>
          <w:szCs w:val="22"/>
        </w:rPr>
      </w:pPr>
      <w:proofErr w:type="spellStart"/>
      <w:r>
        <w:rPr>
          <w:rFonts w:ascii="Arial" w:hAnsi="Arial" w:cs="Arial"/>
          <w:sz w:val="22"/>
          <w:szCs w:val="22"/>
        </w:rPr>
        <w:t>Laslett</w:t>
      </w:r>
      <w:proofErr w:type="spellEnd"/>
      <w:r>
        <w:rPr>
          <w:rFonts w:ascii="Arial" w:hAnsi="Arial" w:cs="Arial"/>
          <w:sz w:val="22"/>
          <w:szCs w:val="22"/>
        </w:rPr>
        <w:t xml:space="preserve"> et al have cost estimates for out of pocket expenses due to crime and property damage caused by the drinking of others. By contrast</w:t>
      </w:r>
      <w:r w:rsidR="00DC61F2">
        <w:rPr>
          <w:rFonts w:ascii="Arial" w:hAnsi="Arial" w:cs="Arial"/>
          <w:sz w:val="22"/>
          <w:szCs w:val="22"/>
        </w:rPr>
        <w:t xml:space="preserve"> </w:t>
      </w:r>
      <w:r>
        <w:rPr>
          <w:rFonts w:ascii="Arial" w:hAnsi="Arial" w:cs="Arial"/>
          <w:sz w:val="22"/>
          <w:szCs w:val="22"/>
        </w:rPr>
        <w:t xml:space="preserve">Collins and </w:t>
      </w:r>
      <w:proofErr w:type="spellStart"/>
      <w:r>
        <w:rPr>
          <w:rFonts w:ascii="Arial" w:hAnsi="Arial" w:cs="Arial"/>
          <w:sz w:val="22"/>
          <w:szCs w:val="22"/>
        </w:rPr>
        <w:t>Lapsley</w:t>
      </w:r>
      <w:proofErr w:type="spellEnd"/>
      <w:r w:rsidR="00DC61F2">
        <w:rPr>
          <w:rFonts w:ascii="Arial" w:hAnsi="Arial" w:cs="Arial"/>
          <w:sz w:val="22"/>
          <w:szCs w:val="22"/>
        </w:rPr>
        <w:t>, consist</w:t>
      </w:r>
      <w:r w:rsidR="006C644B">
        <w:rPr>
          <w:rFonts w:ascii="Arial" w:hAnsi="Arial" w:cs="Arial"/>
          <w:sz w:val="22"/>
          <w:szCs w:val="22"/>
        </w:rPr>
        <w:t>ent</w:t>
      </w:r>
      <w:r w:rsidR="00DC61F2">
        <w:rPr>
          <w:rFonts w:ascii="Arial" w:hAnsi="Arial" w:cs="Arial"/>
          <w:sz w:val="22"/>
          <w:szCs w:val="22"/>
        </w:rPr>
        <w:t xml:space="preserve"> with their societal focus,</w:t>
      </w:r>
      <w:r w:rsidR="006C644B">
        <w:rPr>
          <w:rFonts w:ascii="Arial" w:hAnsi="Arial" w:cs="Arial"/>
          <w:sz w:val="22"/>
          <w:szCs w:val="22"/>
        </w:rPr>
        <w:t xml:space="preserve"> capture</w:t>
      </w:r>
      <w:r w:rsidR="00DC61F2">
        <w:rPr>
          <w:rFonts w:ascii="Arial" w:hAnsi="Arial" w:cs="Arial"/>
          <w:sz w:val="22"/>
          <w:szCs w:val="22"/>
        </w:rPr>
        <w:t xml:space="preserve"> the </w:t>
      </w:r>
      <w:r>
        <w:rPr>
          <w:rFonts w:ascii="Arial" w:hAnsi="Arial" w:cs="Arial"/>
          <w:sz w:val="22"/>
          <w:szCs w:val="22"/>
        </w:rPr>
        <w:t xml:space="preserve">effects of alcohol induced crime and </w:t>
      </w:r>
      <w:r>
        <w:rPr>
          <w:rFonts w:ascii="Arial" w:hAnsi="Arial" w:cs="Arial"/>
          <w:sz w:val="22"/>
          <w:szCs w:val="22"/>
        </w:rPr>
        <w:lastRenderedPageBreak/>
        <w:t xml:space="preserve">property damage by looking </w:t>
      </w:r>
      <w:r w:rsidR="006C644B">
        <w:rPr>
          <w:rFonts w:ascii="Arial" w:hAnsi="Arial" w:cs="Arial"/>
          <w:sz w:val="22"/>
          <w:szCs w:val="22"/>
        </w:rPr>
        <w:t xml:space="preserve">only </w:t>
      </w:r>
      <w:r>
        <w:rPr>
          <w:rFonts w:ascii="Arial" w:hAnsi="Arial" w:cs="Arial"/>
          <w:sz w:val="22"/>
          <w:szCs w:val="22"/>
        </w:rPr>
        <w:t>at attributable police and court costs wh</w:t>
      </w:r>
      <w:r w:rsidR="00DC61F2">
        <w:rPr>
          <w:rFonts w:ascii="Arial" w:hAnsi="Arial" w:cs="Arial"/>
          <w:sz w:val="22"/>
          <w:szCs w:val="22"/>
        </w:rPr>
        <w:t>ich are paid for by individuals in their capacity as taxpayers</w:t>
      </w:r>
      <w:r>
        <w:rPr>
          <w:rFonts w:ascii="Arial" w:hAnsi="Arial" w:cs="Arial"/>
          <w:sz w:val="22"/>
          <w:szCs w:val="22"/>
        </w:rPr>
        <w:t xml:space="preserve">. </w:t>
      </w:r>
    </w:p>
    <w:p w14:paraId="529FAD52" w14:textId="77777777" w:rsidR="004A1B5E" w:rsidRDefault="004A1B5E" w:rsidP="00962E8F">
      <w:pPr>
        <w:pStyle w:val="ListParagraph"/>
        <w:ind w:left="1440"/>
        <w:rPr>
          <w:rFonts w:ascii="Arial" w:hAnsi="Arial" w:cs="Arial"/>
          <w:sz w:val="22"/>
          <w:szCs w:val="22"/>
        </w:rPr>
      </w:pPr>
    </w:p>
    <w:p w14:paraId="697F1A82" w14:textId="6A3E69D7" w:rsidR="006C644B" w:rsidRDefault="008523C3" w:rsidP="00150CA1">
      <w:pPr>
        <w:rPr>
          <w:rFonts w:ascii="Arial" w:hAnsi="Arial" w:cs="Arial"/>
          <w:sz w:val="22"/>
          <w:szCs w:val="22"/>
        </w:rPr>
      </w:pPr>
      <w:proofErr w:type="spellStart"/>
      <w:r w:rsidRPr="00962E8F">
        <w:rPr>
          <w:rFonts w:ascii="Arial" w:hAnsi="Arial" w:cs="Arial"/>
          <w:sz w:val="22"/>
          <w:szCs w:val="22"/>
        </w:rPr>
        <w:t>Laslett</w:t>
      </w:r>
      <w:proofErr w:type="spellEnd"/>
      <w:r w:rsidRPr="00962E8F">
        <w:rPr>
          <w:rFonts w:ascii="Arial" w:hAnsi="Arial" w:cs="Arial"/>
          <w:sz w:val="22"/>
          <w:szCs w:val="22"/>
        </w:rPr>
        <w:t xml:space="preserve"> et al caution that their estimates cannot simply be added up </w:t>
      </w:r>
      <w:r w:rsidR="00C83A3C" w:rsidRPr="00962E8F">
        <w:rPr>
          <w:rFonts w:ascii="Arial" w:hAnsi="Arial" w:cs="Arial"/>
          <w:sz w:val="22"/>
          <w:szCs w:val="22"/>
        </w:rPr>
        <w:t>because this would involve double counting</w:t>
      </w:r>
      <w:r w:rsidR="00962E8F">
        <w:rPr>
          <w:rFonts w:ascii="Arial" w:hAnsi="Arial" w:cs="Arial"/>
          <w:sz w:val="22"/>
          <w:szCs w:val="22"/>
        </w:rPr>
        <w:t xml:space="preserve"> in some areas</w:t>
      </w:r>
      <w:r w:rsidR="00C83A3C" w:rsidRPr="00962E8F">
        <w:rPr>
          <w:rFonts w:ascii="Arial" w:hAnsi="Arial" w:cs="Arial"/>
          <w:sz w:val="22"/>
          <w:szCs w:val="22"/>
        </w:rPr>
        <w:t>, nor can their est</w:t>
      </w:r>
      <w:r w:rsidR="00270D24" w:rsidRPr="00962E8F">
        <w:rPr>
          <w:rFonts w:ascii="Arial" w:hAnsi="Arial" w:cs="Arial"/>
          <w:sz w:val="22"/>
          <w:szCs w:val="22"/>
        </w:rPr>
        <w:t xml:space="preserve">imates simply be added onto </w:t>
      </w:r>
      <w:r w:rsidR="00C83A3C" w:rsidRPr="00962E8F">
        <w:rPr>
          <w:rFonts w:ascii="Arial" w:hAnsi="Arial" w:cs="Arial"/>
          <w:sz w:val="22"/>
          <w:szCs w:val="22"/>
        </w:rPr>
        <w:t xml:space="preserve">those of Collins and </w:t>
      </w:r>
      <w:proofErr w:type="spellStart"/>
      <w:r w:rsidR="00C83A3C" w:rsidRPr="00962E8F">
        <w:rPr>
          <w:rFonts w:ascii="Arial" w:hAnsi="Arial" w:cs="Arial"/>
          <w:sz w:val="22"/>
          <w:szCs w:val="22"/>
        </w:rPr>
        <w:t>Lapsley</w:t>
      </w:r>
      <w:proofErr w:type="spellEnd"/>
      <w:r w:rsidR="00270D24" w:rsidRPr="00962E8F">
        <w:rPr>
          <w:rFonts w:ascii="Arial" w:hAnsi="Arial" w:cs="Arial"/>
          <w:sz w:val="22"/>
          <w:szCs w:val="22"/>
        </w:rPr>
        <w:t xml:space="preserve"> because some of their cost categories overlap</w:t>
      </w:r>
      <w:r w:rsidR="00C83A3C" w:rsidRPr="00962E8F">
        <w:rPr>
          <w:rFonts w:ascii="Arial" w:hAnsi="Arial" w:cs="Arial"/>
          <w:sz w:val="22"/>
          <w:szCs w:val="22"/>
        </w:rPr>
        <w:t>.</w:t>
      </w:r>
      <w:r w:rsidR="007E014B" w:rsidRPr="00962E8F">
        <w:rPr>
          <w:rFonts w:ascii="Arial" w:hAnsi="Arial" w:cs="Arial"/>
          <w:sz w:val="22"/>
          <w:szCs w:val="22"/>
        </w:rPr>
        <w:t xml:space="preserve"> </w:t>
      </w:r>
      <w:r w:rsidR="00270D24" w:rsidRPr="00270D24">
        <w:rPr>
          <w:rFonts w:ascii="Arial" w:hAnsi="Arial" w:cs="Arial"/>
          <w:sz w:val="22"/>
          <w:szCs w:val="22"/>
        </w:rPr>
        <w:t>Bea</w:t>
      </w:r>
      <w:r w:rsidR="00270D24">
        <w:rPr>
          <w:rFonts w:ascii="Arial" w:hAnsi="Arial" w:cs="Arial"/>
          <w:sz w:val="22"/>
          <w:szCs w:val="22"/>
        </w:rPr>
        <w:t xml:space="preserve">ring these caveats in mind, there are two approaches </w:t>
      </w:r>
      <w:r w:rsidR="006C644B">
        <w:rPr>
          <w:rFonts w:ascii="Arial" w:hAnsi="Arial" w:cs="Arial"/>
          <w:sz w:val="22"/>
          <w:szCs w:val="22"/>
        </w:rPr>
        <w:t xml:space="preserve">for coming up </w:t>
      </w:r>
      <w:r w:rsidR="00270D24">
        <w:rPr>
          <w:rFonts w:ascii="Arial" w:hAnsi="Arial" w:cs="Arial"/>
          <w:sz w:val="22"/>
          <w:szCs w:val="22"/>
        </w:rPr>
        <w:t xml:space="preserve">with a ‘headline’ figure which summarises the </w:t>
      </w:r>
      <w:r w:rsidR="00B71BAA">
        <w:rPr>
          <w:rFonts w:ascii="Arial" w:hAnsi="Arial" w:cs="Arial"/>
          <w:sz w:val="22"/>
          <w:szCs w:val="22"/>
        </w:rPr>
        <w:t xml:space="preserve">economic value of the </w:t>
      </w:r>
      <w:r w:rsidR="00270D24">
        <w:rPr>
          <w:rFonts w:ascii="Arial" w:hAnsi="Arial" w:cs="Arial"/>
          <w:sz w:val="22"/>
          <w:szCs w:val="22"/>
        </w:rPr>
        <w:t xml:space="preserve">damage done by alcohol consumption to the Australian community. </w:t>
      </w:r>
    </w:p>
    <w:p w14:paraId="575D7B53" w14:textId="77777777" w:rsidR="006C644B" w:rsidRDefault="006C644B" w:rsidP="00150CA1">
      <w:pPr>
        <w:rPr>
          <w:rFonts w:ascii="Arial" w:hAnsi="Arial" w:cs="Arial"/>
          <w:sz w:val="22"/>
          <w:szCs w:val="22"/>
        </w:rPr>
      </w:pPr>
    </w:p>
    <w:p w14:paraId="593D8EEE" w14:textId="2612FD99" w:rsidR="00AB41AC" w:rsidRDefault="00270D24" w:rsidP="00150CA1">
      <w:pPr>
        <w:rPr>
          <w:rFonts w:ascii="Arial" w:hAnsi="Arial" w:cs="Arial"/>
          <w:sz w:val="22"/>
          <w:szCs w:val="22"/>
        </w:rPr>
      </w:pPr>
      <w:r>
        <w:rPr>
          <w:rFonts w:ascii="Arial" w:hAnsi="Arial" w:cs="Arial"/>
          <w:sz w:val="22"/>
          <w:szCs w:val="22"/>
        </w:rPr>
        <w:t>The conservative approach taken by Marsden Jacob</w:t>
      </w:r>
      <w:r w:rsidR="00E15565">
        <w:rPr>
          <w:rStyle w:val="FootnoteReference"/>
          <w:rFonts w:ascii="Arial" w:hAnsi="Arial" w:cs="Arial"/>
          <w:sz w:val="22"/>
          <w:szCs w:val="22"/>
        </w:rPr>
        <w:footnoteReference w:id="15"/>
      </w:r>
      <w:r w:rsidR="00EA5520">
        <w:rPr>
          <w:rFonts w:ascii="Arial" w:hAnsi="Arial" w:cs="Arial"/>
          <w:sz w:val="22"/>
          <w:szCs w:val="22"/>
        </w:rPr>
        <w:t xml:space="preserve"> considers only the </w:t>
      </w:r>
      <w:r w:rsidR="00EA5520" w:rsidRPr="00EA5520">
        <w:rPr>
          <w:rFonts w:ascii="Arial" w:hAnsi="Arial" w:cs="Arial"/>
          <w:b/>
          <w:sz w:val="22"/>
          <w:szCs w:val="22"/>
        </w:rPr>
        <w:t>short term</w:t>
      </w:r>
      <w:r w:rsidR="00EA5520">
        <w:rPr>
          <w:rFonts w:ascii="Arial" w:hAnsi="Arial" w:cs="Arial"/>
          <w:sz w:val="22"/>
          <w:szCs w:val="22"/>
        </w:rPr>
        <w:t xml:space="preserve"> and </w:t>
      </w:r>
      <w:r w:rsidR="00EA5520" w:rsidRPr="00EA5520">
        <w:rPr>
          <w:rFonts w:ascii="Arial" w:hAnsi="Arial" w:cs="Arial"/>
          <w:b/>
          <w:sz w:val="22"/>
          <w:szCs w:val="22"/>
        </w:rPr>
        <w:t>direct</w:t>
      </w:r>
      <w:r w:rsidR="00EA5520">
        <w:rPr>
          <w:rFonts w:ascii="Arial" w:hAnsi="Arial" w:cs="Arial"/>
          <w:sz w:val="22"/>
          <w:szCs w:val="22"/>
        </w:rPr>
        <w:t xml:space="preserve"> cost of harm to </w:t>
      </w:r>
      <w:r w:rsidR="00EA5520" w:rsidRPr="00303F41">
        <w:rPr>
          <w:rFonts w:ascii="Arial" w:hAnsi="Arial" w:cs="Arial"/>
          <w:sz w:val="22"/>
          <w:szCs w:val="22"/>
        </w:rPr>
        <w:t>others (non-drinkers)</w:t>
      </w:r>
      <w:r w:rsidR="00EA5520">
        <w:rPr>
          <w:rFonts w:ascii="Arial" w:hAnsi="Arial" w:cs="Arial"/>
          <w:sz w:val="22"/>
          <w:szCs w:val="22"/>
        </w:rPr>
        <w:t xml:space="preserve"> from drinking. By doing so, they hope to capture only those costs which can unequivocally be classified as externalities. </w:t>
      </w:r>
      <w:r w:rsidR="00AB41AC" w:rsidRPr="00AB41AC">
        <w:rPr>
          <w:rFonts w:ascii="Arial" w:hAnsi="Arial" w:cs="Arial"/>
          <w:b/>
          <w:sz w:val="22"/>
          <w:szCs w:val="22"/>
        </w:rPr>
        <w:t>Table 1</w:t>
      </w:r>
      <w:r w:rsidR="00AB41AC">
        <w:rPr>
          <w:rFonts w:ascii="Arial" w:hAnsi="Arial" w:cs="Arial"/>
          <w:sz w:val="22"/>
          <w:szCs w:val="22"/>
        </w:rPr>
        <w:t xml:space="preserve"> below documents their costings.</w:t>
      </w:r>
      <w:r w:rsidR="00E01708">
        <w:rPr>
          <w:rFonts w:ascii="Arial" w:hAnsi="Arial" w:cs="Arial"/>
          <w:sz w:val="22"/>
          <w:szCs w:val="22"/>
        </w:rPr>
        <w:t xml:space="preserve"> </w:t>
      </w:r>
      <w:r>
        <w:rPr>
          <w:rFonts w:ascii="Arial" w:hAnsi="Arial" w:cs="Arial"/>
          <w:sz w:val="22"/>
          <w:szCs w:val="22"/>
        </w:rPr>
        <w:t>Marsden Jacob</w:t>
      </w:r>
      <w:r w:rsidR="00A818A6">
        <w:rPr>
          <w:rStyle w:val="FootnoteReference"/>
          <w:rFonts w:ascii="Arial" w:hAnsi="Arial" w:cs="Arial"/>
          <w:sz w:val="22"/>
          <w:szCs w:val="22"/>
        </w:rPr>
        <w:footnoteReference w:id="16"/>
      </w:r>
      <w:r>
        <w:rPr>
          <w:rFonts w:ascii="Arial" w:hAnsi="Arial" w:cs="Arial"/>
          <w:sz w:val="22"/>
          <w:szCs w:val="22"/>
        </w:rPr>
        <w:t xml:space="preserve"> </w:t>
      </w:r>
      <w:proofErr w:type="gramStart"/>
      <w:r>
        <w:rPr>
          <w:rFonts w:ascii="Arial" w:hAnsi="Arial" w:cs="Arial"/>
          <w:sz w:val="22"/>
          <w:szCs w:val="22"/>
        </w:rPr>
        <w:t>are</w:t>
      </w:r>
      <w:proofErr w:type="gramEnd"/>
      <w:r>
        <w:rPr>
          <w:rFonts w:ascii="Arial" w:hAnsi="Arial" w:cs="Arial"/>
          <w:sz w:val="22"/>
          <w:szCs w:val="22"/>
        </w:rPr>
        <w:t xml:space="preserve"> careful to note that </w:t>
      </w:r>
      <w:r w:rsidR="00EA5520">
        <w:rPr>
          <w:rFonts w:ascii="Arial" w:hAnsi="Arial" w:cs="Arial"/>
          <w:sz w:val="22"/>
          <w:szCs w:val="22"/>
        </w:rPr>
        <w:t xml:space="preserve">their headline $15 billion figure is actually </w:t>
      </w:r>
      <w:r>
        <w:rPr>
          <w:rFonts w:ascii="Arial" w:hAnsi="Arial" w:cs="Arial"/>
          <w:sz w:val="22"/>
          <w:szCs w:val="22"/>
        </w:rPr>
        <w:t>a ‘minimum’ which excludes longer term costs to society.</w:t>
      </w:r>
    </w:p>
    <w:p w14:paraId="23F0D3DB" w14:textId="77777777" w:rsidR="00AB41AC" w:rsidRDefault="00AB41AC" w:rsidP="00150CA1">
      <w:pPr>
        <w:rPr>
          <w:rFonts w:ascii="Arial" w:hAnsi="Arial" w:cs="Arial"/>
          <w:sz w:val="22"/>
          <w:szCs w:val="22"/>
        </w:rPr>
      </w:pPr>
    </w:p>
    <w:p w14:paraId="68FC3194" w14:textId="2EF68F73" w:rsidR="00AB41AC" w:rsidRPr="00AB41AC" w:rsidRDefault="00AB41AC" w:rsidP="00150CA1">
      <w:pPr>
        <w:rPr>
          <w:rFonts w:ascii="Arial" w:hAnsi="Arial" w:cs="Arial"/>
          <w:b/>
          <w:sz w:val="18"/>
          <w:szCs w:val="18"/>
        </w:rPr>
      </w:pPr>
      <w:r w:rsidRPr="00AB41AC">
        <w:rPr>
          <w:rFonts w:ascii="Arial" w:hAnsi="Arial" w:cs="Arial"/>
          <w:b/>
          <w:sz w:val="18"/>
          <w:szCs w:val="18"/>
        </w:rPr>
        <w:t>Table 1: Marsden Jacob estimates of cost of harm to others</w:t>
      </w:r>
    </w:p>
    <w:tbl>
      <w:tblPr>
        <w:tblStyle w:val="TableGrid"/>
        <w:tblW w:w="0" w:type="auto"/>
        <w:tblLook w:val="04A0" w:firstRow="1" w:lastRow="0" w:firstColumn="1" w:lastColumn="0" w:noHBand="0" w:noVBand="1"/>
      </w:tblPr>
      <w:tblGrid>
        <w:gridCol w:w="7054"/>
        <w:gridCol w:w="2921"/>
      </w:tblGrid>
      <w:tr w:rsidR="00AB41AC" w14:paraId="2687517D" w14:textId="77777777" w:rsidTr="00AB41AC">
        <w:tc>
          <w:tcPr>
            <w:tcW w:w="7054" w:type="dxa"/>
          </w:tcPr>
          <w:p w14:paraId="6B1581A0" w14:textId="36FAC3DF" w:rsidR="00AB41AC" w:rsidRPr="00AB41AC" w:rsidRDefault="00AB41AC" w:rsidP="00150CA1">
            <w:pPr>
              <w:rPr>
                <w:rFonts w:ascii="Arial" w:hAnsi="Arial" w:cs="Arial"/>
                <w:b/>
                <w:sz w:val="18"/>
                <w:szCs w:val="18"/>
              </w:rPr>
            </w:pPr>
            <w:r w:rsidRPr="00AB41AC">
              <w:rPr>
                <w:rFonts w:ascii="Arial" w:hAnsi="Arial" w:cs="Arial"/>
                <w:b/>
                <w:sz w:val="18"/>
                <w:szCs w:val="18"/>
              </w:rPr>
              <w:t>Sources of harms to others</w:t>
            </w:r>
          </w:p>
        </w:tc>
        <w:tc>
          <w:tcPr>
            <w:tcW w:w="2921" w:type="dxa"/>
          </w:tcPr>
          <w:p w14:paraId="331ACF16" w14:textId="1F8D12CC" w:rsidR="00AB41AC" w:rsidRPr="00AB41AC" w:rsidRDefault="00AB41AC" w:rsidP="00150CA1">
            <w:pPr>
              <w:rPr>
                <w:rFonts w:ascii="Arial" w:hAnsi="Arial" w:cs="Arial"/>
                <w:b/>
                <w:sz w:val="18"/>
                <w:szCs w:val="18"/>
              </w:rPr>
            </w:pPr>
            <w:r w:rsidRPr="00AB41AC">
              <w:rPr>
                <w:rFonts w:ascii="Arial" w:hAnsi="Arial" w:cs="Arial"/>
                <w:b/>
                <w:sz w:val="18"/>
                <w:szCs w:val="18"/>
              </w:rPr>
              <w:t>Total cost of harms (2010$</w:t>
            </w:r>
            <w:r>
              <w:rPr>
                <w:rFonts w:ascii="Arial" w:hAnsi="Arial" w:cs="Arial"/>
                <w:b/>
                <w:sz w:val="18"/>
                <w:szCs w:val="18"/>
              </w:rPr>
              <w:t>m</w:t>
            </w:r>
            <w:r w:rsidRPr="00AB41AC">
              <w:rPr>
                <w:rFonts w:ascii="Arial" w:hAnsi="Arial" w:cs="Arial"/>
                <w:b/>
                <w:sz w:val="18"/>
                <w:szCs w:val="18"/>
              </w:rPr>
              <w:t>)</w:t>
            </w:r>
          </w:p>
        </w:tc>
      </w:tr>
      <w:tr w:rsidR="00AB41AC" w14:paraId="4490ABE4" w14:textId="77777777" w:rsidTr="00AB41AC">
        <w:tc>
          <w:tcPr>
            <w:tcW w:w="7054" w:type="dxa"/>
          </w:tcPr>
          <w:p w14:paraId="304E01BA" w14:textId="0216DBF4" w:rsidR="00AB41AC" w:rsidRPr="00AB41AC" w:rsidRDefault="00AB41AC" w:rsidP="00150CA1">
            <w:pPr>
              <w:rPr>
                <w:rFonts w:ascii="Arial" w:hAnsi="Arial" w:cs="Arial"/>
                <w:sz w:val="18"/>
                <w:szCs w:val="18"/>
              </w:rPr>
            </w:pPr>
            <w:r>
              <w:rPr>
                <w:rFonts w:ascii="Arial" w:hAnsi="Arial" w:cs="Arial"/>
                <w:sz w:val="18"/>
                <w:szCs w:val="18"/>
              </w:rPr>
              <w:t>Child protection system</w:t>
            </w:r>
          </w:p>
        </w:tc>
        <w:tc>
          <w:tcPr>
            <w:tcW w:w="2921" w:type="dxa"/>
          </w:tcPr>
          <w:p w14:paraId="3BA503D4" w14:textId="4662F26E" w:rsidR="00AB41AC" w:rsidRPr="00AB41AC" w:rsidRDefault="00AB41AC" w:rsidP="00150CA1">
            <w:pPr>
              <w:rPr>
                <w:rFonts w:ascii="Arial" w:hAnsi="Arial" w:cs="Arial"/>
                <w:sz w:val="18"/>
                <w:szCs w:val="18"/>
              </w:rPr>
            </w:pPr>
            <w:r>
              <w:rPr>
                <w:rFonts w:ascii="Arial" w:hAnsi="Arial" w:cs="Arial"/>
                <w:sz w:val="18"/>
                <w:szCs w:val="18"/>
              </w:rPr>
              <w:t>694</w:t>
            </w:r>
          </w:p>
        </w:tc>
      </w:tr>
      <w:tr w:rsidR="00AB41AC" w14:paraId="2BEF35E9" w14:textId="77777777" w:rsidTr="00AB41AC">
        <w:tc>
          <w:tcPr>
            <w:tcW w:w="7054" w:type="dxa"/>
          </w:tcPr>
          <w:p w14:paraId="7D1F156D" w14:textId="5C7E8AE1" w:rsidR="00AB41AC" w:rsidRPr="00AB41AC" w:rsidRDefault="00AB41AC" w:rsidP="00150CA1">
            <w:pPr>
              <w:rPr>
                <w:rFonts w:ascii="Arial" w:hAnsi="Arial" w:cs="Arial"/>
                <w:sz w:val="18"/>
                <w:szCs w:val="18"/>
              </w:rPr>
            </w:pPr>
            <w:r w:rsidRPr="00AB41AC">
              <w:rPr>
                <w:rFonts w:ascii="Arial" w:hAnsi="Arial" w:cs="Arial"/>
                <w:sz w:val="18"/>
                <w:szCs w:val="18"/>
              </w:rPr>
              <w:t>Effects of drinking of household/family member or friend</w:t>
            </w:r>
          </w:p>
        </w:tc>
        <w:tc>
          <w:tcPr>
            <w:tcW w:w="2921" w:type="dxa"/>
          </w:tcPr>
          <w:p w14:paraId="2C86015E" w14:textId="77777777" w:rsidR="00AB41AC" w:rsidRPr="00AB41AC" w:rsidRDefault="00AB41AC" w:rsidP="00150CA1">
            <w:pPr>
              <w:rPr>
                <w:rFonts w:ascii="Arial" w:hAnsi="Arial" w:cs="Arial"/>
                <w:sz w:val="18"/>
                <w:szCs w:val="18"/>
              </w:rPr>
            </w:pPr>
          </w:p>
        </w:tc>
      </w:tr>
      <w:tr w:rsidR="00AB41AC" w14:paraId="7EB5E616" w14:textId="77777777" w:rsidTr="00AB41AC">
        <w:tc>
          <w:tcPr>
            <w:tcW w:w="7054" w:type="dxa"/>
          </w:tcPr>
          <w:p w14:paraId="12F3FF6B" w14:textId="1D439896" w:rsidR="00AB41AC" w:rsidRPr="00AB41AC" w:rsidRDefault="00AB41AC" w:rsidP="00AB41AC">
            <w:pPr>
              <w:pStyle w:val="ListParagraph"/>
              <w:numPr>
                <w:ilvl w:val="0"/>
                <w:numId w:val="2"/>
              </w:numPr>
              <w:rPr>
                <w:rFonts w:ascii="Arial" w:hAnsi="Arial" w:cs="Arial"/>
                <w:sz w:val="18"/>
                <w:szCs w:val="18"/>
              </w:rPr>
            </w:pPr>
            <w:r>
              <w:rPr>
                <w:rFonts w:ascii="Arial" w:hAnsi="Arial" w:cs="Arial"/>
                <w:sz w:val="18"/>
                <w:szCs w:val="18"/>
              </w:rPr>
              <w:t>Out of pocket</w:t>
            </w:r>
          </w:p>
        </w:tc>
        <w:tc>
          <w:tcPr>
            <w:tcW w:w="2921" w:type="dxa"/>
          </w:tcPr>
          <w:p w14:paraId="359A6232" w14:textId="5CFB3934" w:rsidR="00AB41AC" w:rsidRPr="00AB41AC" w:rsidRDefault="00AB41AC" w:rsidP="00150CA1">
            <w:pPr>
              <w:rPr>
                <w:rFonts w:ascii="Arial" w:hAnsi="Arial" w:cs="Arial"/>
                <w:sz w:val="18"/>
                <w:szCs w:val="18"/>
              </w:rPr>
            </w:pPr>
            <w:r>
              <w:rPr>
                <w:rFonts w:ascii="Arial" w:hAnsi="Arial" w:cs="Arial"/>
                <w:sz w:val="18"/>
                <w:szCs w:val="18"/>
              </w:rPr>
              <w:t>437</w:t>
            </w:r>
          </w:p>
        </w:tc>
      </w:tr>
      <w:tr w:rsidR="00AB41AC" w14:paraId="6B3BCD40" w14:textId="77777777" w:rsidTr="00AB41AC">
        <w:tc>
          <w:tcPr>
            <w:tcW w:w="7054" w:type="dxa"/>
          </w:tcPr>
          <w:p w14:paraId="2348D69A" w14:textId="31F912BF" w:rsidR="00AB41AC" w:rsidRPr="00AB41AC" w:rsidRDefault="00AB41AC" w:rsidP="00AB41AC">
            <w:pPr>
              <w:pStyle w:val="ListParagraph"/>
              <w:numPr>
                <w:ilvl w:val="0"/>
                <w:numId w:val="2"/>
              </w:numPr>
              <w:rPr>
                <w:rFonts w:ascii="Arial" w:hAnsi="Arial" w:cs="Arial"/>
                <w:sz w:val="18"/>
                <w:szCs w:val="18"/>
              </w:rPr>
            </w:pPr>
            <w:r>
              <w:rPr>
                <w:rFonts w:ascii="Arial" w:hAnsi="Arial" w:cs="Arial"/>
                <w:sz w:val="18"/>
                <w:szCs w:val="18"/>
              </w:rPr>
              <w:t>Lost time</w:t>
            </w:r>
          </w:p>
        </w:tc>
        <w:tc>
          <w:tcPr>
            <w:tcW w:w="2921" w:type="dxa"/>
          </w:tcPr>
          <w:p w14:paraId="3C5D881E" w14:textId="2CCE7887" w:rsidR="00AB41AC" w:rsidRPr="00AB41AC" w:rsidRDefault="00AB41AC" w:rsidP="00150CA1">
            <w:pPr>
              <w:rPr>
                <w:rFonts w:ascii="Arial" w:hAnsi="Arial" w:cs="Arial"/>
                <w:sz w:val="18"/>
                <w:szCs w:val="18"/>
              </w:rPr>
            </w:pPr>
            <w:r>
              <w:rPr>
                <w:rFonts w:ascii="Arial" w:hAnsi="Arial" w:cs="Arial"/>
                <w:sz w:val="18"/>
                <w:szCs w:val="18"/>
              </w:rPr>
              <w:t>964</w:t>
            </w:r>
          </w:p>
        </w:tc>
      </w:tr>
      <w:tr w:rsidR="00AB41AC" w14:paraId="7B7DD919" w14:textId="77777777" w:rsidTr="00AB41AC">
        <w:tc>
          <w:tcPr>
            <w:tcW w:w="7054" w:type="dxa"/>
          </w:tcPr>
          <w:p w14:paraId="703DEEBB" w14:textId="096D8937" w:rsidR="00AB41AC" w:rsidRPr="00AB41AC" w:rsidRDefault="00AB41AC" w:rsidP="00AB41AC">
            <w:pPr>
              <w:pStyle w:val="ListParagraph"/>
              <w:numPr>
                <w:ilvl w:val="0"/>
                <w:numId w:val="2"/>
              </w:numPr>
              <w:rPr>
                <w:rFonts w:ascii="Arial" w:hAnsi="Arial" w:cs="Arial"/>
                <w:sz w:val="18"/>
                <w:szCs w:val="18"/>
              </w:rPr>
            </w:pPr>
            <w:r>
              <w:rPr>
                <w:rFonts w:ascii="Arial" w:hAnsi="Arial" w:cs="Arial"/>
                <w:sz w:val="18"/>
                <w:szCs w:val="18"/>
              </w:rPr>
              <w:t>Loss of quality of life</w:t>
            </w:r>
          </w:p>
        </w:tc>
        <w:tc>
          <w:tcPr>
            <w:tcW w:w="2921" w:type="dxa"/>
          </w:tcPr>
          <w:p w14:paraId="12FC7E16" w14:textId="07F29775" w:rsidR="00AB41AC" w:rsidRPr="00AB41AC" w:rsidRDefault="00AB41AC" w:rsidP="00150CA1">
            <w:pPr>
              <w:rPr>
                <w:rFonts w:ascii="Arial" w:hAnsi="Arial" w:cs="Arial"/>
                <w:sz w:val="18"/>
                <w:szCs w:val="18"/>
              </w:rPr>
            </w:pPr>
            <w:r>
              <w:rPr>
                <w:rFonts w:ascii="Arial" w:hAnsi="Arial" w:cs="Arial"/>
                <w:sz w:val="18"/>
                <w:szCs w:val="18"/>
              </w:rPr>
              <w:t>7703</w:t>
            </w:r>
          </w:p>
        </w:tc>
      </w:tr>
      <w:tr w:rsidR="00AB41AC" w14:paraId="576693CB" w14:textId="77777777" w:rsidTr="00AB41AC">
        <w:tc>
          <w:tcPr>
            <w:tcW w:w="7054" w:type="dxa"/>
          </w:tcPr>
          <w:p w14:paraId="51987A3C" w14:textId="7AAB112C" w:rsidR="00AB41AC" w:rsidRPr="00AB41AC" w:rsidRDefault="00AB41AC" w:rsidP="00AB41AC">
            <w:pPr>
              <w:rPr>
                <w:rFonts w:ascii="Arial" w:hAnsi="Arial" w:cs="Arial"/>
                <w:sz w:val="18"/>
                <w:szCs w:val="18"/>
              </w:rPr>
            </w:pPr>
            <w:r>
              <w:rPr>
                <w:rFonts w:ascii="Arial" w:hAnsi="Arial" w:cs="Arial"/>
                <w:sz w:val="18"/>
                <w:szCs w:val="18"/>
              </w:rPr>
              <w:t>Theft, burglary</w:t>
            </w:r>
          </w:p>
        </w:tc>
        <w:tc>
          <w:tcPr>
            <w:tcW w:w="2921" w:type="dxa"/>
          </w:tcPr>
          <w:p w14:paraId="6196206B" w14:textId="00A910C4" w:rsidR="00AB41AC" w:rsidRPr="00AB41AC" w:rsidRDefault="00AB41AC" w:rsidP="00150CA1">
            <w:pPr>
              <w:rPr>
                <w:rFonts w:ascii="Arial" w:hAnsi="Arial" w:cs="Arial"/>
                <w:sz w:val="18"/>
                <w:szCs w:val="18"/>
              </w:rPr>
            </w:pPr>
            <w:r>
              <w:rPr>
                <w:rFonts w:ascii="Arial" w:hAnsi="Arial" w:cs="Arial"/>
                <w:sz w:val="18"/>
                <w:szCs w:val="18"/>
              </w:rPr>
              <w:t>141</w:t>
            </w:r>
          </w:p>
        </w:tc>
      </w:tr>
      <w:tr w:rsidR="00AB41AC" w14:paraId="55456762" w14:textId="77777777" w:rsidTr="00AB41AC">
        <w:tc>
          <w:tcPr>
            <w:tcW w:w="7054" w:type="dxa"/>
          </w:tcPr>
          <w:p w14:paraId="1540B44E" w14:textId="24BEC50F" w:rsidR="00AB41AC" w:rsidRPr="00AB41AC" w:rsidRDefault="00AB41AC" w:rsidP="00AB41AC">
            <w:pPr>
              <w:rPr>
                <w:rFonts w:ascii="Arial" w:hAnsi="Arial" w:cs="Arial"/>
                <w:sz w:val="18"/>
                <w:szCs w:val="18"/>
              </w:rPr>
            </w:pPr>
            <w:r>
              <w:rPr>
                <w:rFonts w:ascii="Arial" w:hAnsi="Arial" w:cs="Arial"/>
                <w:sz w:val="18"/>
                <w:szCs w:val="18"/>
              </w:rPr>
              <w:t xml:space="preserve">Counselling, advice and treatment </w:t>
            </w:r>
          </w:p>
        </w:tc>
        <w:tc>
          <w:tcPr>
            <w:tcW w:w="2921" w:type="dxa"/>
          </w:tcPr>
          <w:p w14:paraId="6E51DAD7" w14:textId="70F4D796" w:rsidR="00AB41AC" w:rsidRPr="00AB41AC" w:rsidRDefault="00AB41AC" w:rsidP="00150CA1">
            <w:pPr>
              <w:rPr>
                <w:rFonts w:ascii="Arial" w:hAnsi="Arial" w:cs="Arial"/>
                <w:sz w:val="18"/>
                <w:szCs w:val="18"/>
              </w:rPr>
            </w:pPr>
            <w:r>
              <w:rPr>
                <w:rFonts w:ascii="Arial" w:hAnsi="Arial" w:cs="Arial"/>
                <w:sz w:val="18"/>
                <w:szCs w:val="18"/>
              </w:rPr>
              <w:t>113</w:t>
            </w:r>
          </w:p>
        </w:tc>
      </w:tr>
      <w:tr w:rsidR="00AB41AC" w14:paraId="0E12CF3D" w14:textId="77777777" w:rsidTr="00AB41AC">
        <w:tc>
          <w:tcPr>
            <w:tcW w:w="7054" w:type="dxa"/>
          </w:tcPr>
          <w:p w14:paraId="629C0F6A" w14:textId="459A9B14" w:rsidR="00AB41AC" w:rsidRPr="00AB41AC" w:rsidRDefault="00AB41AC" w:rsidP="00AB41AC">
            <w:pPr>
              <w:rPr>
                <w:rFonts w:ascii="Arial" w:hAnsi="Arial" w:cs="Arial"/>
                <w:sz w:val="18"/>
                <w:szCs w:val="18"/>
              </w:rPr>
            </w:pPr>
            <w:r w:rsidRPr="00AB41AC">
              <w:rPr>
                <w:rFonts w:ascii="Arial" w:hAnsi="Arial" w:cs="Arial"/>
                <w:sz w:val="18"/>
                <w:szCs w:val="18"/>
              </w:rPr>
              <w:t>Property damage</w:t>
            </w:r>
          </w:p>
        </w:tc>
        <w:tc>
          <w:tcPr>
            <w:tcW w:w="2921" w:type="dxa"/>
          </w:tcPr>
          <w:p w14:paraId="1808362B" w14:textId="7BFF9205" w:rsidR="00AB41AC" w:rsidRPr="00AB41AC" w:rsidRDefault="00AB41AC" w:rsidP="00150CA1">
            <w:pPr>
              <w:rPr>
                <w:rFonts w:ascii="Arial" w:hAnsi="Arial" w:cs="Arial"/>
                <w:sz w:val="18"/>
                <w:szCs w:val="18"/>
              </w:rPr>
            </w:pPr>
            <w:r>
              <w:rPr>
                <w:rFonts w:ascii="Arial" w:hAnsi="Arial" w:cs="Arial"/>
                <w:sz w:val="18"/>
                <w:szCs w:val="18"/>
              </w:rPr>
              <w:t>1,673</w:t>
            </w:r>
          </w:p>
        </w:tc>
      </w:tr>
      <w:tr w:rsidR="00AB41AC" w14:paraId="54DC53F0" w14:textId="77777777" w:rsidTr="00AB41AC">
        <w:tc>
          <w:tcPr>
            <w:tcW w:w="7054" w:type="dxa"/>
          </w:tcPr>
          <w:p w14:paraId="02A512CF" w14:textId="131A40E5" w:rsidR="00AB41AC" w:rsidRPr="00AB41AC" w:rsidRDefault="00AB41AC" w:rsidP="00AB41AC">
            <w:pPr>
              <w:rPr>
                <w:rFonts w:ascii="Arial" w:hAnsi="Arial" w:cs="Arial"/>
                <w:sz w:val="18"/>
                <w:szCs w:val="18"/>
              </w:rPr>
            </w:pPr>
            <w:r>
              <w:rPr>
                <w:rFonts w:ascii="Arial" w:hAnsi="Arial" w:cs="Arial"/>
                <w:sz w:val="18"/>
                <w:szCs w:val="18"/>
              </w:rPr>
              <w:t>Loss of life</w:t>
            </w:r>
          </w:p>
        </w:tc>
        <w:tc>
          <w:tcPr>
            <w:tcW w:w="2921" w:type="dxa"/>
          </w:tcPr>
          <w:p w14:paraId="11CF32CB" w14:textId="1691D137" w:rsidR="00AB41AC" w:rsidRPr="00AB41AC" w:rsidRDefault="00AB41AC" w:rsidP="00150CA1">
            <w:pPr>
              <w:rPr>
                <w:rFonts w:ascii="Arial" w:hAnsi="Arial" w:cs="Arial"/>
                <w:sz w:val="18"/>
                <w:szCs w:val="18"/>
              </w:rPr>
            </w:pPr>
            <w:r>
              <w:rPr>
                <w:rFonts w:ascii="Arial" w:hAnsi="Arial" w:cs="Arial"/>
                <w:sz w:val="18"/>
                <w:szCs w:val="18"/>
              </w:rPr>
              <w:t>1,326</w:t>
            </w:r>
          </w:p>
        </w:tc>
      </w:tr>
      <w:tr w:rsidR="00AB41AC" w14:paraId="59EA4F73" w14:textId="77777777" w:rsidTr="00AB41AC">
        <w:tc>
          <w:tcPr>
            <w:tcW w:w="7054" w:type="dxa"/>
          </w:tcPr>
          <w:p w14:paraId="529509F1" w14:textId="2A377B30" w:rsidR="00AB41AC" w:rsidRDefault="00AB41AC" w:rsidP="00AB41AC">
            <w:pPr>
              <w:rPr>
                <w:rFonts w:ascii="Arial" w:hAnsi="Arial" w:cs="Arial"/>
                <w:sz w:val="18"/>
                <w:szCs w:val="18"/>
              </w:rPr>
            </w:pPr>
            <w:r>
              <w:rPr>
                <w:rFonts w:ascii="Arial" w:hAnsi="Arial" w:cs="Arial"/>
                <w:sz w:val="18"/>
                <w:szCs w:val="18"/>
              </w:rPr>
              <w:t>Labour costs on others</w:t>
            </w:r>
          </w:p>
        </w:tc>
        <w:tc>
          <w:tcPr>
            <w:tcW w:w="2921" w:type="dxa"/>
          </w:tcPr>
          <w:p w14:paraId="3AAB550B" w14:textId="7313E725" w:rsidR="00AB41AC" w:rsidRPr="00AB41AC" w:rsidRDefault="00AB41AC" w:rsidP="00150CA1">
            <w:pPr>
              <w:rPr>
                <w:rFonts w:ascii="Arial" w:hAnsi="Arial" w:cs="Arial"/>
                <w:sz w:val="18"/>
                <w:szCs w:val="18"/>
              </w:rPr>
            </w:pPr>
            <w:r>
              <w:rPr>
                <w:rFonts w:ascii="Arial" w:hAnsi="Arial" w:cs="Arial"/>
                <w:sz w:val="18"/>
                <w:szCs w:val="18"/>
              </w:rPr>
              <w:t>828</w:t>
            </w:r>
          </w:p>
        </w:tc>
      </w:tr>
      <w:tr w:rsidR="00AB41AC" w14:paraId="0EA1A0BE" w14:textId="77777777" w:rsidTr="00AB41AC">
        <w:tc>
          <w:tcPr>
            <w:tcW w:w="7054" w:type="dxa"/>
          </w:tcPr>
          <w:p w14:paraId="0CF6E16C" w14:textId="2D7DA2AD" w:rsidR="00AB41AC" w:rsidRDefault="00AB41AC" w:rsidP="00AB41AC">
            <w:pPr>
              <w:rPr>
                <w:rFonts w:ascii="Arial" w:hAnsi="Arial" w:cs="Arial"/>
                <w:sz w:val="18"/>
                <w:szCs w:val="18"/>
              </w:rPr>
            </w:pPr>
            <w:r>
              <w:rPr>
                <w:rFonts w:ascii="Arial" w:hAnsi="Arial" w:cs="Arial"/>
                <w:sz w:val="18"/>
                <w:szCs w:val="18"/>
              </w:rPr>
              <w:t>Hospital costs to others</w:t>
            </w:r>
          </w:p>
        </w:tc>
        <w:tc>
          <w:tcPr>
            <w:tcW w:w="2921" w:type="dxa"/>
          </w:tcPr>
          <w:p w14:paraId="76329C43" w14:textId="5D97712C" w:rsidR="00AB41AC" w:rsidRPr="00AB41AC" w:rsidRDefault="00AB41AC" w:rsidP="00150CA1">
            <w:pPr>
              <w:rPr>
                <w:rFonts w:ascii="Arial" w:hAnsi="Arial" w:cs="Arial"/>
                <w:sz w:val="18"/>
                <w:szCs w:val="18"/>
              </w:rPr>
            </w:pPr>
            <w:r>
              <w:rPr>
                <w:rFonts w:ascii="Arial" w:hAnsi="Arial" w:cs="Arial"/>
                <w:sz w:val="18"/>
                <w:szCs w:val="18"/>
              </w:rPr>
              <w:t>159</w:t>
            </w:r>
          </w:p>
        </w:tc>
      </w:tr>
      <w:tr w:rsidR="00AB41AC" w14:paraId="2EC43950" w14:textId="77777777" w:rsidTr="00AB41AC">
        <w:tc>
          <w:tcPr>
            <w:tcW w:w="7054" w:type="dxa"/>
          </w:tcPr>
          <w:p w14:paraId="69A049CD" w14:textId="47D69034" w:rsidR="00AB41AC" w:rsidRDefault="00AB41AC" w:rsidP="00AB41AC">
            <w:pPr>
              <w:rPr>
                <w:rFonts w:ascii="Arial" w:hAnsi="Arial" w:cs="Arial"/>
                <w:sz w:val="18"/>
                <w:szCs w:val="18"/>
              </w:rPr>
            </w:pPr>
            <w:r>
              <w:rPr>
                <w:rFonts w:ascii="Arial" w:hAnsi="Arial" w:cs="Arial"/>
                <w:sz w:val="18"/>
                <w:szCs w:val="18"/>
              </w:rPr>
              <w:t xml:space="preserve">Policing and justice system </w:t>
            </w:r>
          </w:p>
        </w:tc>
        <w:tc>
          <w:tcPr>
            <w:tcW w:w="2921" w:type="dxa"/>
          </w:tcPr>
          <w:p w14:paraId="453C20D4" w14:textId="15DD930F" w:rsidR="00AB41AC" w:rsidRPr="00AB41AC" w:rsidRDefault="00AB41AC" w:rsidP="00150CA1">
            <w:pPr>
              <w:rPr>
                <w:rFonts w:ascii="Arial" w:hAnsi="Arial" w:cs="Arial"/>
                <w:sz w:val="18"/>
                <w:szCs w:val="18"/>
              </w:rPr>
            </w:pPr>
            <w:r>
              <w:rPr>
                <w:rFonts w:ascii="Arial" w:hAnsi="Arial" w:cs="Arial"/>
                <w:sz w:val="18"/>
                <w:szCs w:val="18"/>
              </w:rPr>
              <w:t>1,022</w:t>
            </w:r>
          </w:p>
        </w:tc>
      </w:tr>
      <w:tr w:rsidR="00AB41AC" w14:paraId="2F8F5EE0" w14:textId="77777777" w:rsidTr="00AB41AC">
        <w:tc>
          <w:tcPr>
            <w:tcW w:w="7054" w:type="dxa"/>
          </w:tcPr>
          <w:p w14:paraId="38D772CD" w14:textId="0D66EE10" w:rsidR="00AB41AC" w:rsidRDefault="00AB41AC" w:rsidP="00AB41AC">
            <w:pPr>
              <w:rPr>
                <w:rFonts w:ascii="Arial" w:hAnsi="Arial" w:cs="Arial"/>
                <w:sz w:val="18"/>
                <w:szCs w:val="18"/>
              </w:rPr>
            </w:pPr>
            <w:r>
              <w:rPr>
                <w:rFonts w:ascii="Arial" w:hAnsi="Arial" w:cs="Arial"/>
                <w:sz w:val="18"/>
                <w:szCs w:val="18"/>
              </w:rPr>
              <w:t>Total</w:t>
            </w:r>
          </w:p>
        </w:tc>
        <w:tc>
          <w:tcPr>
            <w:tcW w:w="2921" w:type="dxa"/>
          </w:tcPr>
          <w:p w14:paraId="3C5BF9EA" w14:textId="40C7A71E" w:rsidR="00AB41AC" w:rsidRPr="00AB41AC" w:rsidRDefault="00AB41AC" w:rsidP="00150CA1">
            <w:pPr>
              <w:rPr>
                <w:rFonts w:ascii="Arial" w:hAnsi="Arial" w:cs="Arial"/>
                <w:sz w:val="18"/>
                <w:szCs w:val="18"/>
              </w:rPr>
            </w:pPr>
            <w:r>
              <w:rPr>
                <w:rFonts w:ascii="Arial" w:hAnsi="Arial" w:cs="Arial"/>
                <w:sz w:val="18"/>
                <w:szCs w:val="18"/>
              </w:rPr>
              <w:t>15,061</w:t>
            </w:r>
          </w:p>
        </w:tc>
      </w:tr>
    </w:tbl>
    <w:p w14:paraId="2E082699" w14:textId="633E51AE" w:rsidR="00AB41AC" w:rsidRPr="00AB41AC" w:rsidRDefault="00270D24" w:rsidP="00150CA1">
      <w:pPr>
        <w:rPr>
          <w:rFonts w:ascii="Arial" w:hAnsi="Arial" w:cs="Arial"/>
          <w:b/>
          <w:sz w:val="18"/>
          <w:szCs w:val="18"/>
        </w:rPr>
      </w:pPr>
      <w:r>
        <w:rPr>
          <w:rFonts w:ascii="Arial" w:hAnsi="Arial" w:cs="Arial"/>
          <w:sz w:val="22"/>
          <w:szCs w:val="22"/>
        </w:rPr>
        <w:t xml:space="preserve"> </w:t>
      </w:r>
      <w:r w:rsidR="00AB41AC" w:rsidRPr="00AB41AC">
        <w:rPr>
          <w:rFonts w:ascii="Arial" w:hAnsi="Arial" w:cs="Arial"/>
          <w:b/>
          <w:sz w:val="18"/>
          <w:szCs w:val="18"/>
        </w:rPr>
        <w:t>Source: Marsden Jacob Associates (2012) Bingeing, collateral damage and the benefits and costs of taxing alcohol rationally, report to the Foundation for Alcohol Research and Education, October, table 6</w:t>
      </w:r>
    </w:p>
    <w:p w14:paraId="44F571A1" w14:textId="77777777" w:rsidR="00AB41AC" w:rsidRDefault="00AB41AC" w:rsidP="00150CA1">
      <w:pPr>
        <w:rPr>
          <w:rFonts w:ascii="Arial" w:hAnsi="Arial" w:cs="Arial"/>
          <w:sz w:val="22"/>
          <w:szCs w:val="22"/>
        </w:rPr>
      </w:pPr>
    </w:p>
    <w:p w14:paraId="45C48914" w14:textId="590C9275" w:rsidR="00EE4DC8" w:rsidRDefault="00270D24" w:rsidP="00150CA1">
      <w:pPr>
        <w:rPr>
          <w:rFonts w:ascii="Arial" w:hAnsi="Arial" w:cs="Arial"/>
          <w:sz w:val="22"/>
          <w:szCs w:val="22"/>
        </w:rPr>
      </w:pPr>
      <w:r>
        <w:rPr>
          <w:rFonts w:ascii="Arial" w:hAnsi="Arial" w:cs="Arial"/>
          <w:sz w:val="22"/>
          <w:szCs w:val="22"/>
        </w:rPr>
        <w:t xml:space="preserve">A second approach is taken by </w:t>
      </w:r>
      <w:r w:rsidR="009137CE">
        <w:rPr>
          <w:rFonts w:ascii="Arial" w:hAnsi="Arial" w:cs="Arial"/>
          <w:sz w:val="22"/>
          <w:szCs w:val="22"/>
        </w:rPr>
        <w:t>Doran et al</w:t>
      </w:r>
      <w:r w:rsidR="009137CE">
        <w:rPr>
          <w:rStyle w:val="FootnoteReference"/>
          <w:rFonts w:ascii="Arial" w:hAnsi="Arial" w:cs="Arial"/>
          <w:sz w:val="22"/>
          <w:szCs w:val="22"/>
        </w:rPr>
        <w:footnoteReference w:id="17"/>
      </w:r>
      <w:r w:rsidR="00D404D1">
        <w:rPr>
          <w:rFonts w:ascii="Arial" w:hAnsi="Arial" w:cs="Arial"/>
          <w:sz w:val="22"/>
          <w:szCs w:val="22"/>
        </w:rPr>
        <w:t xml:space="preserve"> which attempts to remove possible areas of double counting </w:t>
      </w:r>
      <w:r>
        <w:rPr>
          <w:rFonts w:ascii="Arial" w:hAnsi="Arial" w:cs="Arial"/>
          <w:sz w:val="22"/>
          <w:szCs w:val="22"/>
        </w:rPr>
        <w:t xml:space="preserve">within </w:t>
      </w:r>
      <w:proofErr w:type="spellStart"/>
      <w:r>
        <w:rPr>
          <w:rFonts w:ascii="Arial" w:hAnsi="Arial" w:cs="Arial"/>
          <w:sz w:val="22"/>
          <w:szCs w:val="22"/>
        </w:rPr>
        <w:t>Laslett</w:t>
      </w:r>
      <w:proofErr w:type="spellEnd"/>
      <w:r>
        <w:rPr>
          <w:rFonts w:ascii="Arial" w:hAnsi="Arial" w:cs="Arial"/>
          <w:sz w:val="22"/>
          <w:szCs w:val="22"/>
        </w:rPr>
        <w:t xml:space="preserve"> et al a</w:t>
      </w:r>
      <w:r w:rsidR="00D404D1">
        <w:rPr>
          <w:rFonts w:ascii="Arial" w:hAnsi="Arial" w:cs="Arial"/>
          <w:sz w:val="22"/>
          <w:szCs w:val="22"/>
        </w:rPr>
        <w:t xml:space="preserve">nd overlap </w:t>
      </w:r>
      <w:r>
        <w:rPr>
          <w:rFonts w:ascii="Arial" w:hAnsi="Arial" w:cs="Arial"/>
          <w:sz w:val="22"/>
          <w:szCs w:val="22"/>
        </w:rPr>
        <w:t xml:space="preserve">between </w:t>
      </w:r>
      <w:proofErr w:type="spellStart"/>
      <w:r>
        <w:rPr>
          <w:rFonts w:ascii="Arial" w:hAnsi="Arial" w:cs="Arial"/>
          <w:sz w:val="22"/>
          <w:szCs w:val="22"/>
        </w:rPr>
        <w:t>Laslett</w:t>
      </w:r>
      <w:proofErr w:type="spellEnd"/>
      <w:r>
        <w:rPr>
          <w:rFonts w:ascii="Arial" w:hAnsi="Arial" w:cs="Arial"/>
          <w:sz w:val="22"/>
          <w:szCs w:val="22"/>
        </w:rPr>
        <w:t xml:space="preserve"> et al</w:t>
      </w:r>
      <w:r w:rsidR="009137CE">
        <w:rPr>
          <w:rStyle w:val="FootnoteReference"/>
          <w:rFonts w:ascii="Arial" w:hAnsi="Arial" w:cs="Arial"/>
          <w:sz w:val="22"/>
          <w:szCs w:val="22"/>
        </w:rPr>
        <w:footnoteReference w:id="18"/>
      </w:r>
      <w:r>
        <w:rPr>
          <w:rFonts w:ascii="Arial" w:hAnsi="Arial" w:cs="Arial"/>
          <w:sz w:val="22"/>
          <w:szCs w:val="22"/>
        </w:rPr>
        <w:t xml:space="preserve"> and Collins and </w:t>
      </w:r>
      <w:proofErr w:type="spellStart"/>
      <w:r>
        <w:rPr>
          <w:rFonts w:ascii="Arial" w:hAnsi="Arial" w:cs="Arial"/>
          <w:sz w:val="22"/>
          <w:szCs w:val="22"/>
        </w:rPr>
        <w:t>Lapsley</w:t>
      </w:r>
      <w:proofErr w:type="spellEnd"/>
      <w:r w:rsidR="00EA2895">
        <w:rPr>
          <w:rStyle w:val="FootnoteReference"/>
          <w:rFonts w:ascii="Arial" w:hAnsi="Arial" w:cs="Arial"/>
          <w:sz w:val="22"/>
          <w:szCs w:val="22"/>
        </w:rPr>
        <w:footnoteReference w:id="19"/>
      </w:r>
      <w:r>
        <w:rPr>
          <w:rFonts w:ascii="Arial" w:hAnsi="Arial" w:cs="Arial"/>
          <w:sz w:val="22"/>
          <w:szCs w:val="22"/>
        </w:rPr>
        <w:t xml:space="preserve">. The resulting cost estimates, summed up </w:t>
      </w:r>
      <w:r w:rsidRPr="00EA2895">
        <w:rPr>
          <w:rFonts w:ascii="Arial" w:hAnsi="Arial" w:cs="Arial"/>
          <w:sz w:val="22"/>
          <w:szCs w:val="22"/>
        </w:rPr>
        <w:t xml:space="preserve">in </w:t>
      </w:r>
      <w:r w:rsidRPr="00EA2895">
        <w:rPr>
          <w:rFonts w:ascii="Arial" w:hAnsi="Arial" w:cs="Arial"/>
          <w:b/>
          <w:sz w:val="22"/>
          <w:szCs w:val="22"/>
        </w:rPr>
        <w:t xml:space="preserve">Table </w:t>
      </w:r>
      <w:r w:rsidR="00AB41AC">
        <w:rPr>
          <w:rFonts w:ascii="Arial" w:hAnsi="Arial" w:cs="Arial"/>
          <w:b/>
          <w:sz w:val="22"/>
          <w:szCs w:val="22"/>
        </w:rPr>
        <w:t>2</w:t>
      </w:r>
      <w:r>
        <w:rPr>
          <w:rFonts w:ascii="Arial" w:hAnsi="Arial" w:cs="Arial"/>
          <w:sz w:val="22"/>
          <w:szCs w:val="22"/>
        </w:rPr>
        <w:t xml:space="preserve"> below, amount to almost </w:t>
      </w:r>
      <w:r w:rsidRPr="00963C9C">
        <w:rPr>
          <w:rFonts w:ascii="Arial" w:hAnsi="Arial" w:cs="Arial"/>
          <w:sz w:val="22"/>
          <w:szCs w:val="22"/>
        </w:rPr>
        <w:t>$36 billion</w:t>
      </w:r>
      <w:r w:rsidR="00644BDC">
        <w:rPr>
          <w:rFonts w:ascii="Arial" w:hAnsi="Arial" w:cs="Arial"/>
          <w:sz w:val="22"/>
          <w:szCs w:val="22"/>
        </w:rPr>
        <w:t xml:space="preserve"> (in 2010 dollars) or approximately $40 billion in 2015 dollars</w:t>
      </w:r>
      <w:r>
        <w:rPr>
          <w:rFonts w:ascii="Arial" w:hAnsi="Arial" w:cs="Arial"/>
          <w:sz w:val="22"/>
          <w:szCs w:val="22"/>
        </w:rPr>
        <w:t>.</w:t>
      </w:r>
    </w:p>
    <w:p w14:paraId="3B67B215" w14:textId="77777777" w:rsidR="00D404D1" w:rsidRDefault="00D404D1" w:rsidP="00150CA1">
      <w:pPr>
        <w:rPr>
          <w:rFonts w:ascii="Arial" w:hAnsi="Arial" w:cs="Arial"/>
          <w:b/>
          <w:sz w:val="20"/>
          <w:szCs w:val="20"/>
        </w:rPr>
      </w:pPr>
    </w:p>
    <w:p w14:paraId="1427A08E" w14:textId="77777777" w:rsidR="00D404D1" w:rsidRDefault="00D404D1" w:rsidP="00150CA1">
      <w:pPr>
        <w:rPr>
          <w:rFonts w:ascii="Arial" w:hAnsi="Arial" w:cs="Arial"/>
          <w:b/>
          <w:sz w:val="20"/>
          <w:szCs w:val="20"/>
        </w:rPr>
      </w:pPr>
    </w:p>
    <w:p w14:paraId="15DBCDD8" w14:textId="3B9C2983" w:rsidR="00FF74ED" w:rsidRPr="00D404D1" w:rsidRDefault="00EA2895" w:rsidP="00150CA1">
      <w:pPr>
        <w:rPr>
          <w:rFonts w:ascii="Arial" w:hAnsi="Arial" w:cs="Arial"/>
          <w:sz w:val="18"/>
          <w:szCs w:val="18"/>
        </w:rPr>
      </w:pPr>
      <w:r w:rsidRPr="00D404D1">
        <w:rPr>
          <w:rFonts w:ascii="Arial" w:hAnsi="Arial" w:cs="Arial"/>
          <w:b/>
          <w:sz w:val="18"/>
          <w:szCs w:val="18"/>
        </w:rPr>
        <w:t>T</w:t>
      </w:r>
      <w:r w:rsidR="00AB41AC" w:rsidRPr="00D404D1">
        <w:rPr>
          <w:rFonts w:ascii="Arial" w:hAnsi="Arial" w:cs="Arial"/>
          <w:b/>
          <w:sz w:val="18"/>
          <w:szCs w:val="18"/>
        </w:rPr>
        <w:t>able 2</w:t>
      </w:r>
      <w:r w:rsidRPr="00D404D1">
        <w:rPr>
          <w:rFonts w:ascii="Arial" w:hAnsi="Arial" w:cs="Arial"/>
          <w:b/>
          <w:sz w:val="18"/>
          <w:szCs w:val="18"/>
        </w:rPr>
        <w:t>: Estimated total social costs of alcohol in Australia</w:t>
      </w:r>
      <w:r w:rsidR="00156BC2" w:rsidRPr="00D404D1">
        <w:rPr>
          <w:rFonts w:ascii="Arial" w:hAnsi="Arial" w:cs="Arial"/>
          <w:b/>
          <w:sz w:val="18"/>
          <w:szCs w:val="18"/>
        </w:rPr>
        <w:t xml:space="preserve"> (2010$)</w:t>
      </w:r>
    </w:p>
    <w:tbl>
      <w:tblPr>
        <w:tblStyle w:val="TableGrid"/>
        <w:tblW w:w="0" w:type="auto"/>
        <w:tblLook w:val="04A0" w:firstRow="1" w:lastRow="0" w:firstColumn="1" w:lastColumn="0" w:noHBand="0" w:noVBand="1"/>
      </w:tblPr>
      <w:tblGrid>
        <w:gridCol w:w="4928"/>
        <w:gridCol w:w="1843"/>
        <w:gridCol w:w="1842"/>
        <w:gridCol w:w="1362"/>
      </w:tblGrid>
      <w:tr w:rsidR="00FF74ED" w:rsidRPr="00FF74ED" w14:paraId="6328A472" w14:textId="77777777" w:rsidTr="00FF74ED">
        <w:trPr>
          <w:trHeight w:val="399"/>
        </w:trPr>
        <w:tc>
          <w:tcPr>
            <w:tcW w:w="4928" w:type="dxa"/>
          </w:tcPr>
          <w:p w14:paraId="042A7D8D" w14:textId="2DB4D5C3" w:rsidR="00FF74ED" w:rsidRPr="00FF74ED" w:rsidRDefault="00FF74ED" w:rsidP="00150CA1">
            <w:pPr>
              <w:rPr>
                <w:rFonts w:ascii="Arial" w:hAnsi="Arial" w:cs="Arial"/>
                <w:b/>
                <w:sz w:val="18"/>
                <w:szCs w:val="18"/>
              </w:rPr>
            </w:pPr>
            <w:r w:rsidRPr="00FF74ED">
              <w:rPr>
                <w:rFonts w:ascii="Arial" w:hAnsi="Arial" w:cs="Arial"/>
                <w:b/>
                <w:sz w:val="18"/>
                <w:szCs w:val="18"/>
              </w:rPr>
              <w:t>Social cost item</w:t>
            </w:r>
          </w:p>
        </w:tc>
        <w:tc>
          <w:tcPr>
            <w:tcW w:w="1843" w:type="dxa"/>
          </w:tcPr>
          <w:p w14:paraId="6D1F3C59" w14:textId="04D6A8BA" w:rsidR="00FF74ED" w:rsidRPr="00FF74ED" w:rsidRDefault="00FF74ED" w:rsidP="00150CA1">
            <w:pPr>
              <w:rPr>
                <w:rFonts w:ascii="Arial" w:hAnsi="Arial" w:cs="Arial"/>
                <w:b/>
                <w:sz w:val="18"/>
                <w:szCs w:val="18"/>
              </w:rPr>
            </w:pPr>
            <w:r w:rsidRPr="00FF74ED">
              <w:rPr>
                <w:rFonts w:ascii="Arial" w:hAnsi="Arial" w:cs="Arial"/>
                <w:b/>
                <w:sz w:val="18"/>
                <w:szCs w:val="18"/>
              </w:rPr>
              <w:t>Tangible $ m</w:t>
            </w:r>
          </w:p>
        </w:tc>
        <w:tc>
          <w:tcPr>
            <w:tcW w:w="1842" w:type="dxa"/>
          </w:tcPr>
          <w:p w14:paraId="625B1006" w14:textId="3A1398E0" w:rsidR="00FF74ED" w:rsidRPr="00FF74ED" w:rsidRDefault="00FF74ED" w:rsidP="00150CA1">
            <w:pPr>
              <w:rPr>
                <w:rFonts w:ascii="Arial" w:hAnsi="Arial" w:cs="Arial"/>
                <w:b/>
                <w:sz w:val="18"/>
                <w:szCs w:val="18"/>
              </w:rPr>
            </w:pPr>
            <w:r w:rsidRPr="00FF74ED">
              <w:rPr>
                <w:rFonts w:ascii="Arial" w:hAnsi="Arial" w:cs="Arial"/>
                <w:b/>
                <w:sz w:val="18"/>
                <w:szCs w:val="18"/>
              </w:rPr>
              <w:t>Intangible $ m</w:t>
            </w:r>
          </w:p>
        </w:tc>
        <w:tc>
          <w:tcPr>
            <w:tcW w:w="1362" w:type="dxa"/>
          </w:tcPr>
          <w:p w14:paraId="5A82B362" w14:textId="1CDC90C9" w:rsidR="00FF74ED" w:rsidRPr="00FF74ED" w:rsidRDefault="00FF74ED" w:rsidP="00150CA1">
            <w:pPr>
              <w:rPr>
                <w:rFonts w:ascii="Arial" w:hAnsi="Arial" w:cs="Arial"/>
                <w:b/>
                <w:sz w:val="18"/>
                <w:szCs w:val="18"/>
              </w:rPr>
            </w:pPr>
            <w:r w:rsidRPr="00FF74ED">
              <w:rPr>
                <w:rFonts w:ascii="Arial" w:hAnsi="Arial" w:cs="Arial"/>
                <w:b/>
                <w:sz w:val="18"/>
                <w:szCs w:val="18"/>
              </w:rPr>
              <w:t>Total $ m</w:t>
            </w:r>
          </w:p>
        </w:tc>
      </w:tr>
      <w:tr w:rsidR="00FF74ED" w:rsidRPr="00FF74ED" w14:paraId="547271A3" w14:textId="77777777" w:rsidTr="00FF74ED">
        <w:tc>
          <w:tcPr>
            <w:tcW w:w="4928" w:type="dxa"/>
          </w:tcPr>
          <w:p w14:paraId="29398E32" w14:textId="4881C1CE" w:rsidR="00FF74ED" w:rsidRPr="0053717E" w:rsidRDefault="0053717E" w:rsidP="00150CA1">
            <w:pPr>
              <w:rPr>
                <w:rFonts w:ascii="Arial" w:hAnsi="Arial" w:cs="Arial"/>
                <w:b/>
                <w:i/>
                <w:sz w:val="18"/>
                <w:szCs w:val="18"/>
              </w:rPr>
            </w:pPr>
            <w:r w:rsidRPr="0053717E">
              <w:rPr>
                <w:rFonts w:ascii="Arial" w:hAnsi="Arial" w:cs="Arial"/>
                <w:b/>
                <w:i/>
                <w:sz w:val="18"/>
                <w:szCs w:val="18"/>
              </w:rPr>
              <w:t xml:space="preserve">Collins and </w:t>
            </w:r>
            <w:proofErr w:type="spellStart"/>
            <w:r w:rsidRPr="0053717E">
              <w:rPr>
                <w:rFonts w:ascii="Arial" w:hAnsi="Arial" w:cs="Arial"/>
                <w:b/>
                <w:i/>
                <w:sz w:val="18"/>
                <w:szCs w:val="18"/>
              </w:rPr>
              <w:t>Lapsley</w:t>
            </w:r>
            <w:proofErr w:type="spellEnd"/>
            <w:r w:rsidRPr="0053717E">
              <w:rPr>
                <w:rFonts w:ascii="Arial" w:hAnsi="Arial" w:cs="Arial"/>
                <w:b/>
                <w:i/>
                <w:sz w:val="18"/>
                <w:szCs w:val="18"/>
              </w:rPr>
              <w:t xml:space="preserve"> </w:t>
            </w:r>
          </w:p>
        </w:tc>
        <w:tc>
          <w:tcPr>
            <w:tcW w:w="1843" w:type="dxa"/>
          </w:tcPr>
          <w:p w14:paraId="2010D368" w14:textId="77777777" w:rsidR="00FF74ED" w:rsidRPr="00FF74ED" w:rsidRDefault="00FF74ED" w:rsidP="00150CA1">
            <w:pPr>
              <w:rPr>
                <w:rFonts w:ascii="Arial" w:hAnsi="Arial" w:cs="Arial"/>
                <w:sz w:val="18"/>
                <w:szCs w:val="18"/>
              </w:rPr>
            </w:pPr>
          </w:p>
        </w:tc>
        <w:tc>
          <w:tcPr>
            <w:tcW w:w="1842" w:type="dxa"/>
          </w:tcPr>
          <w:p w14:paraId="408AFBF2" w14:textId="77777777" w:rsidR="00FF74ED" w:rsidRPr="00FF74ED" w:rsidRDefault="00FF74ED" w:rsidP="00150CA1">
            <w:pPr>
              <w:rPr>
                <w:rFonts w:ascii="Arial" w:hAnsi="Arial" w:cs="Arial"/>
                <w:sz w:val="18"/>
                <w:szCs w:val="18"/>
              </w:rPr>
            </w:pPr>
          </w:p>
        </w:tc>
        <w:tc>
          <w:tcPr>
            <w:tcW w:w="1362" w:type="dxa"/>
          </w:tcPr>
          <w:p w14:paraId="2EF0517A" w14:textId="77777777" w:rsidR="00FF74ED" w:rsidRPr="00FF74ED" w:rsidRDefault="00FF74ED" w:rsidP="00150CA1">
            <w:pPr>
              <w:rPr>
                <w:rFonts w:ascii="Arial" w:hAnsi="Arial" w:cs="Arial"/>
                <w:sz w:val="18"/>
                <w:szCs w:val="18"/>
              </w:rPr>
            </w:pPr>
          </w:p>
        </w:tc>
      </w:tr>
      <w:tr w:rsidR="00FF74ED" w:rsidRPr="00FF74ED" w14:paraId="7607A0D2" w14:textId="77777777" w:rsidTr="00FF74ED">
        <w:tc>
          <w:tcPr>
            <w:tcW w:w="4928" w:type="dxa"/>
          </w:tcPr>
          <w:p w14:paraId="457E5C85" w14:textId="10595925" w:rsidR="00FF74ED" w:rsidRPr="00FF74ED" w:rsidRDefault="0053717E" w:rsidP="00150CA1">
            <w:pPr>
              <w:rPr>
                <w:rFonts w:ascii="Arial" w:hAnsi="Arial" w:cs="Arial"/>
                <w:sz w:val="18"/>
                <w:szCs w:val="18"/>
              </w:rPr>
            </w:pPr>
            <w:r>
              <w:rPr>
                <w:rFonts w:ascii="Arial" w:hAnsi="Arial" w:cs="Arial"/>
                <w:sz w:val="18"/>
                <w:szCs w:val="18"/>
              </w:rPr>
              <w:t>Labour</w:t>
            </w:r>
            <w:r w:rsidR="003D35C4">
              <w:rPr>
                <w:rFonts w:ascii="Arial" w:hAnsi="Arial" w:cs="Arial"/>
                <w:sz w:val="18"/>
                <w:szCs w:val="18"/>
              </w:rPr>
              <w:t xml:space="preserve"> (i.e. lost productivity)</w:t>
            </w:r>
            <w:r>
              <w:rPr>
                <w:rFonts w:ascii="Arial" w:hAnsi="Arial" w:cs="Arial"/>
                <w:sz w:val="18"/>
                <w:szCs w:val="18"/>
              </w:rPr>
              <w:t xml:space="preserve"> costs</w:t>
            </w:r>
          </w:p>
        </w:tc>
        <w:tc>
          <w:tcPr>
            <w:tcW w:w="1843" w:type="dxa"/>
          </w:tcPr>
          <w:p w14:paraId="1BB04026" w14:textId="4EBD89CD" w:rsidR="00FF74ED" w:rsidRPr="00FF74ED" w:rsidRDefault="003D35C4" w:rsidP="00150CA1">
            <w:pPr>
              <w:rPr>
                <w:rFonts w:ascii="Arial" w:hAnsi="Arial" w:cs="Arial"/>
                <w:sz w:val="18"/>
                <w:szCs w:val="18"/>
              </w:rPr>
            </w:pPr>
            <w:r>
              <w:rPr>
                <w:rFonts w:ascii="Arial" w:hAnsi="Arial" w:cs="Arial"/>
                <w:sz w:val="18"/>
                <w:szCs w:val="18"/>
              </w:rPr>
              <w:t>3,975</w:t>
            </w:r>
          </w:p>
        </w:tc>
        <w:tc>
          <w:tcPr>
            <w:tcW w:w="1842" w:type="dxa"/>
          </w:tcPr>
          <w:p w14:paraId="53999F83" w14:textId="77777777" w:rsidR="00FF74ED" w:rsidRPr="00FF74ED" w:rsidRDefault="00FF74ED" w:rsidP="00150CA1">
            <w:pPr>
              <w:rPr>
                <w:rFonts w:ascii="Arial" w:hAnsi="Arial" w:cs="Arial"/>
                <w:sz w:val="18"/>
                <w:szCs w:val="18"/>
              </w:rPr>
            </w:pPr>
          </w:p>
        </w:tc>
        <w:tc>
          <w:tcPr>
            <w:tcW w:w="1362" w:type="dxa"/>
          </w:tcPr>
          <w:p w14:paraId="478936C9" w14:textId="585C6180" w:rsidR="00FF74ED" w:rsidRPr="00FF74ED" w:rsidRDefault="003D35C4" w:rsidP="00150CA1">
            <w:pPr>
              <w:rPr>
                <w:rFonts w:ascii="Arial" w:hAnsi="Arial" w:cs="Arial"/>
                <w:sz w:val="18"/>
                <w:szCs w:val="18"/>
              </w:rPr>
            </w:pPr>
            <w:r>
              <w:rPr>
                <w:rFonts w:ascii="Arial" w:hAnsi="Arial" w:cs="Arial"/>
                <w:sz w:val="18"/>
                <w:szCs w:val="18"/>
              </w:rPr>
              <w:t>3,975</w:t>
            </w:r>
          </w:p>
        </w:tc>
      </w:tr>
      <w:tr w:rsidR="00FF74ED" w:rsidRPr="00FF74ED" w14:paraId="3B214183" w14:textId="77777777" w:rsidTr="00FF74ED">
        <w:tc>
          <w:tcPr>
            <w:tcW w:w="4928" w:type="dxa"/>
          </w:tcPr>
          <w:p w14:paraId="1DB19665" w14:textId="30B31424" w:rsidR="00FF74ED" w:rsidRPr="00FF74ED" w:rsidRDefault="0053717E" w:rsidP="00150CA1">
            <w:pPr>
              <w:rPr>
                <w:rFonts w:ascii="Arial" w:hAnsi="Arial" w:cs="Arial"/>
                <w:sz w:val="18"/>
                <w:szCs w:val="18"/>
              </w:rPr>
            </w:pPr>
            <w:r>
              <w:rPr>
                <w:rFonts w:ascii="Arial" w:hAnsi="Arial" w:cs="Arial"/>
                <w:sz w:val="18"/>
                <w:szCs w:val="18"/>
              </w:rPr>
              <w:t>Healthcare costs</w:t>
            </w:r>
          </w:p>
        </w:tc>
        <w:tc>
          <w:tcPr>
            <w:tcW w:w="1843" w:type="dxa"/>
          </w:tcPr>
          <w:p w14:paraId="40E36F24" w14:textId="6B155825" w:rsidR="00FF74ED" w:rsidRPr="00FF74ED" w:rsidRDefault="003D35C4" w:rsidP="00150CA1">
            <w:pPr>
              <w:rPr>
                <w:rFonts w:ascii="Arial" w:hAnsi="Arial" w:cs="Arial"/>
                <w:sz w:val="18"/>
                <w:szCs w:val="18"/>
              </w:rPr>
            </w:pPr>
            <w:r>
              <w:rPr>
                <w:rFonts w:ascii="Arial" w:hAnsi="Arial" w:cs="Arial"/>
                <w:sz w:val="18"/>
                <w:szCs w:val="18"/>
              </w:rPr>
              <w:t>2,221</w:t>
            </w:r>
          </w:p>
        </w:tc>
        <w:tc>
          <w:tcPr>
            <w:tcW w:w="1842" w:type="dxa"/>
          </w:tcPr>
          <w:p w14:paraId="702B98BC" w14:textId="77777777" w:rsidR="00FF74ED" w:rsidRPr="00FF74ED" w:rsidRDefault="00FF74ED" w:rsidP="00150CA1">
            <w:pPr>
              <w:rPr>
                <w:rFonts w:ascii="Arial" w:hAnsi="Arial" w:cs="Arial"/>
                <w:sz w:val="18"/>
                <w:szCs w:val="18"/>
              </w:rPr>
            </w:pPr>
          </w:p>
        </w:tc>
        <w:tc>
          <w:tcPr>
            <w:tcW w:w="1362" w:type="dxa"/>
          </w:tcPr>
          <w:p w14:paraId="538F4A46" w14:textId="2CE36BD1" w:rsidR="00FF74ED" w:rsidRPr="00FF74ED" w:rsidRDefault="003D35C4" w:rsidP="00150CA1">
            <w:pPr>
              <w:rPr>
                <w:rFonts w:ascii="Arial" w:hAnsi="Arial" w:cs="Arial"/>
                <w:sz w:val="18"/>
                <w:szCs w:val="18"/>
              </w:rPr>
            </w:pPr>
            <w:r>
              <w:rPr>
                <w:rFonts w:ascii="Arial" w:hAnsi="Arial" w:cs="Arial"/>
                <w:sz w:val="18"/>
                <w:szCs w:val="18"/>
              </w:rPr>
              <w:t>2,221</w:t>
            </w:r>
          </w:p>
        </w:tc>
      </w:tr>
      <w:tr w:rsidR="00FF74ED" w:rsidRPr="00FF74ED" w14:paraId="0F036598" w14:textId="77777777" w:rsidTr="00FF74ED">
        <w:tc>
          <w:tcPr>
            <w:tcW w:w="4928" w:type="dxa"/>
          </w:tcPr>
          <w:p w14:paraId="05DB0F84" w14:textId="61187115" w:rsidR="00FF74ED" w:rsidRPr="00FF74ED" w:rsidRDefault="0053717E" w:rsidP="00150CA1">
            <w:pPr>
              <w:rPr>
                <w:rFonts w:ascii="Arial" w:hAnsi="Arial" w:cs="Arial"/>
                <w:sz w:val="18"/>
                <w:szCs w:val="18"/>
              </w:rPr>
            </w:pPr>
            <w:r>
              <w:rPr>
                <w:rFonts w:ascii="Arial" w:hAnsi="Arial" w:cs="Arial"/>
                <w:sz w:val="18"/>
                <w:szCs w:val="18"/>
              </w:rPr>
              <w:t>Road accident costs</w:t>
            </w:r>
          </w:p>
        </w:tc>
        <w:tc>
          <w:tcPr>
            <w:tcW w:w="1843" w:type="dxa"/>
          </w:tcPr>
          <w:p w14:paraId="3FEEF506" w14:textId="2BAC0BD1" w:rsidR="00FF74ED" w:rsidRPr="00FF74ED" w:rsidRDefault="003D35C4" w:rsidP="00150CA1">
            <w:pPr>
              <w:rPr>
                <w:rFonts w:ascii="Arial" w:hAnsi="Arial" w:cs="Arial"/>
                <w:sz w:val="18"/>
                <w:szCs w:val="18"/>
              </w:rPr>
            </w:pPr>
            <w:r>
              <w:rPr>
                <w:rFonts w:ascii="Arial" w:hAnsi="Arial" w:cs="Arial"/>
                <w:sz w:val="18"/>
                <w:szCs w:val="18"/>
              </w:rPr>
              <w:t>2,474</w:t>
            </w:r>
          </w:p>
        </w:tc>
        <w:tc>
          <w:tcPr>
            <w:tcW w:w="1842" w:type="dxa"/>
          </w:tcPr>
          <w:p w14:paraId="4D3AB840" w14:textId="024E1112" w:rsidR="00FF74ED" w:rsidRPr="00FF74ED" w:rsidRDefault="003D35C4" w:rsidP="00150CA1">
            <w:pPr>
              <w:rPr>
                <w:rFonts w:ascii="Arial" w:hAnsi="Arial" w:cs="Arial"/>
                <w:sz w:val="18"/>
                <w:szCs w:val="18"/>
              </w:rPr>
            </w:pPr>
            <w:r>
              <w:rPr>
                <w:rFonts w:ascii="Arial" w:hAnsi="Arial" w:cs="Arial"/>
                <w:sz w:val="18"/>
                <w:szCs w:val="18"/>
              </w:rPr>
              <w:t>397</w:t>
            </w:r>
          </w:p>
        </w:tc>
        <w:tc>
          <w:tcPr>
            <w:tcW w:w="1362" w:type="dxa"/>
          </w:tcPr>
          <w:p w14:paraId="60BB5D9E" w14:textId="07F17F3D" w:rsidR="00FF74ED" w:rsidRPr="00FF74ED" w:rsidRDefault="003D35C4" w:rsidP="00150CA1">
            <w:pPr>
              <w:rPr>
                <w:rFonts w:ascii="Arial" w:hAnsi="Arial" w:cs="Arial"/>
                <w:sz w:val="18"/>
                <w:szCs w:val="18"/>
              </w:rPr>
            </w:pPr>
            <w:r>
              <w:rPr>
                <w:rFonts w:ascii="Arial" w:hAnsi="Arial" w:cs="Arial"/>
                <w:sz w:val="18"/>
                <w:szCs w:val="18"/>
              </w:rPr>
              <w:t>2,871</w:t>
            </w:r>
          </w:p>
        </w:tc>
      </w:tr>
      <w:tr w:rsidR="00FF74ED" w:rsidRPr="00FF74ED" w14:paraId="52A885D0" w14:textId="77777777" w:rsidTr="00FF74ED">
        <w:tc>
          <w:tcPr>
            <w:tcW w:w="4928" w:type="dxa"/>
          </w:tcPr>
          <w:p w14:paraId="105D40FA" w14:textId="69996468" w:rsidR="00FF74ED" w:rsidRPr="00FF74ED" w:rsidRDefault="0053717E" w:rsidP="00150CA1">
            <w:pPr>
              <w:rPr>
                <w:rFonts w:ascii="Arial" w:hAnsi="Arial" w:cs="Arial"/>
                <w:sz w:val="18"/>
                <w:szCs w:val="18"/>
              </w:rPr>
            </w:pPr>
            <w:r>
              <w:rPr>
                <w:rFonts w:ascii="Arial" w:hAnsi="Arial" w:cs="Arial"/>
                <w:sz w:val="18"/>
                <w:szCs w:val="18"/>
              </w:rPr>
              <w:t>Crimes not elsewhere included</w:t>
            </w:r>
          </w:p>
        </w:tc>
        <w:tc>
          <w:tcPr>
            <w:tcW w:w="1843" w:type="dxa"/>
          </w:tcPr>
          <w:p w14:paraId="6492789B" w14:textId="56AAF445" w:rsidR="00FF74ED" w:rsidRPr="00FF74ED" w:rsidRDefault="003D35C4" w:rsidP="00150CA1">
            <w:pPr>
              <w:rPr>
                <w:rFonts w:ascii="Arial" w:hAnsi="Arial" w:cs="Arial"/>
                <w:sz w:val="18"/>
                <w:szCs w:val="18"/>
              </w:rPr>
            </w:pPr>
            <w:r>
              <w:rPr>
                <w:rFonts w:ascii="Arial" w:hAnsi="Arial" w:cs="Arial"/>
                <w:sz w:val="18"/>
                <w:szCs w:val="18"/>
              </w:rPr>
              <w:t>1,600</w:t>
            </w:r>
          </w:p>
        </w:tc>
        <w:tc>
          <w:tcPr>
            <w:tcW w:w="1842" w:type="dxa"/>
          </w:tcPr>
          <w:p w14:paraId="6229BE94" w14:textId="77777777" w:rsidR="00FF74ED" w:rsidRPr="00FF74ED" w:rsidRDefault="00FF74ED" w:rsidP="00150CA1">
            <w:pPr>
              <w:rPr>
                <w:rFonts w:ascii="Arial" w:hAnsi="Arial" w:cs="Arial"/>
                <w:sz w:val="18"/>
                <w:szCs w:val="18"/>
              </w:rPr>
            </w:pPr>
          </w:p>
        </w:tc>
        <w:tc>
          <w:tcPr>
            <w:tcW w:w="1362" w:type="dxa"/>
          </w:tcPr>
          <w:p w14:paraId="76811FA9" w14:textId="7769D2DF" w:rsidR="00FF74ED" w:rsidRPr="00FF74ED" w:rsidRDefault="003D35C4" w:rsidP="00150CA1">
            <w:pPr>
              <w:rPr>
                <w:rFonts w:ascii="Arial" w:hAnsi="Arial" w:cs="Arial"/>
                <w:sz w:val="18"/>
                <w:szCs w:val="18"/>
              </w:rPr>
            </w:pPr>
            <w:r>
              <w:rPr>
                <w:rFonts w:ascii="Arial" w:hAnsi="Arial" w:cs="Arial"/>
                <w:sz w:val="18"/>
                <w:szCs w:val="18"/>
              </w:rPr>
              <w:t>1,600</w:t>
            </w:r>
          </w:p>
        </w:tc>
      </w:tr>
      <w:tr w:rsidR="00FF74ED" w:rsidRPr="00FF74ED" w14:paraId="142C08FB" w14:textId="77777777" w:rsidTr="00FF74ED">
        <w:tc>
          <w:tcPr>
            <w:tcW w:w="4928" w:type="dxa"/>
          </w:tcPr>
          <w:p w14:paraId="26225A4D" w14:textId="1061B879" w:rsidR="00FF74ED" w:rsidRPr="00FF74ED" w:rsidRDefault="0053717E" w:rsidP="00150CA1">
            <w:pPr>
              <w:rPr>
                <w:rFonts w:ascii="Arial" w:hAnsi="Arial" w:cs="Arial"/>
                <w:sz w:val="18"/>
                <w:szCs w:val="18"/>
              </w:rPr>
            </w:pPr>
            <w:r>
              <w:rPr>
                <w:rFonts w:ascii="Arial" w:hAnsi="Arial" w:cs="Arial"/>
                <w:sz w:val="18"/>
                <w:szCs w:val="18"/>
              </w:rPr>
              <w:lastRenderedPageBreak/>
              <w:t>Resources used in abusive consumption</w:t>
            </w:r>
            <w:r w:rsidR="000273C8">
              <w:rPr>
                <w:rStyle w:val="FootnoteReference"/>
                <w:rFonts w:ascii="Arial" w:hAnsi="Arial" w:cs="Arial"/>
                <w:sz w:val="18"/>
                <w:szCs w:val="18"/>
              </w:rPr>
              <w:footnoteReference w:id="20"/>
            </w:r>
          </w:p>
        </w:tc>
        <w:tc>
          <w:tcPr>
            <w:tcW w:w="1843" w:type="dxa"/>
          </w:tcPr>
          <w:p w14:paraId="0EEEF85E" w14:textId="31CBA16F" w:rsidR="00FF74ED" w:rsidRPr="00FF74ED" w:rsidRDefault="003D35C4" w:rsidP="00150CA1">
            <w:pPr>
              <w:rPr>
                <w:rFonts w:ascii="Arial" w:hAnsi="Arial" w:cs="Arial"/>
                <w:sz w:val="18"/>
                <w:szCs w:val="18"/>
              </w:rPr>
            </w:pPr>
            <w:r>
              <w:rPr>
                <w:rFonts w:ascii="Arial" w:hAnsi="Arial" w:cs="Arial"/>
                <w:sz w:val="18"/>
                <w:szCs w:val="18"/>
              </w:rPr>
              <w:t>1,897</w:t>
            </w:r>
          </w:p>
        </w:tc>
        <w:tc>
          <w:tcPr>
            <w:tcW w:w="1842" w:type="dxa"/>
          </w:tcPr>
          <w:p w14:paraId="00BAF110" w14:textId="77777777" w:rsidR="00FF74ED" w:rsidRPr="00FF74ED" w:rsidRDefault="00FF74ED" w:rsidP="00150CA1">
            <w:pPr>
              <w:rPr>
                <w:rFonts w:ascii="Arial" w:hAnsi="Arial" w:cs="Arial"/>
                <w:sz w:val="18"/>
                <w:szCs w:val="18"/>
              </w:rPr>
            </w:pPr>
          </w:p>
        </w:tc>
        <w:tc>
          <w:tcPr>
            <w:tcW w:w="1362" w:type="dxa"/>
          </w:tcPr>
          <w:p w14:paraId="1EBEAE28" w14:textId="6BFCF2DE" w:rsidR="00FF74ED" w:rsidRPr="00FF74ED" w:rsidRDefault="003D35C4" w:rsidP="00150CA1">
            <w:pPr>
              <w:rPr>
                <w:rFonts w:ascii="Arial" w:hAnsi="Arial" w:cs="Arial"/>
                <w:sz w:val="18"/>
                <w:szCs w:val="18"/>
              </w:rPr>
            </w:pPr>
            <w:r>
              <w:rPr>
                <w:rFonts w:ascii="Arial" w:hAnsi="Arial" w:cs="Arial"/>
                <w:sz w:val="18"/>
                <w:szCs w:val="18"/>
              </w:rPr>
              <w:t>1,897</w:t>
            </w:r>
          </w:p>
        </w:tc>
      </w:tr>
      <w:tr w:rsidR="0053717E" w:rsidRPr="00FF74ED" w14:paraId="74AC2433" w14:textId="77777777" w:rsidTr="00FF74ED">
        <w:tc>
          <w:tcPr>
            <w:tcW w:w="4928" w:type="dxa"/>
          </w:tcPr>
          <w:p w14:paraId="60696E81" w14:textId="485BBBD6" w:rsidR="0053717E" w:rsidRDefault="0053717E" w:rsidP="00150CA1">
            <w:pPr>
              <w:rPr>
                <w:rFonts w:ascii="Arial" w:hAnsi="Arial" w:cs="Arial"/>
                <w:sz w:val="18"/>
                <w:szCs w:val="18"/>
              </w:rPr>
            </w:pPr>
            <w:r>
              <w:rPr>
                <w:rFonts w:ascii="Arial" w:hAnsi="Arial" w:cs="Arial"/>
                <w:sz w:val="18"/>
                <w:szCs w:val="18"/>
              </w:rPr>
              <w:t xml:space="preserve">Loss of life </w:t>
            </w:r>
          </w:p>
        </w:tc>
        <w:tc>
          <w:tcPr>
            <w:tcW w:w="1843" w:type="dxa"/>
          </w:tcPr>
          <w:p w14:paraId="47C13CC1" w14:textId="77777777" w:rsidR="0053717E" w:rsidRPr="00FF74ED" w:rsidRDefault="0053717E" w:rsidP="00150CA1">
            <w:pPr>
              <w:rPr>
                <w:rFonts w:ascii="Arial" w:hAnsi="Arial" w:cs="Arial"/>
                <w:sz w:val="18"/>
                <w:szCs w:val="18"/>
              </w:rPr>
            </w:pPr>
          </w:p>
        </w:tc>
        <w:tc>
          <w:tcPr>
            <w:tcW w:w="1842" w:type="dxa"/>
          </w:tcPr>
          <w:p w14:paraId="5B44958C" w14:textId="46C3D653" w:rsidR="0053717E" w:rsidRPr="00FF74ED" w:rsidRDefault="006E017D" w:rsidP="00150CA1">
            <w:pPr>
              <w:rPr>
                <w:rFonts w:ascii="Arial" w:hAnsi="Arial" w:cs="Arial"/>
                <w:sz w:val="18"/>
                <w:szCs w:val="18"/>
              </w:rPr>
            </w:pPr>
            <w:r>
              <w:rPr>
                <w:rFonts w:ascii="Arial" w:hAnsi="Arial" w:cs="Arial"/>
                <w:sz w:val="18"/>
                <w:szCs w:val="18"/>
              </w:rPr>
              <w:t>4,646</w:t>
            </w:r>
          </w:p>
        </w:tc>
        <w:tc>
          <w:tcPr>
            <w:tcW w:w="1362" w:type="dxa"/>
          </w:tcPr>
          <w:p w14:paraId="712A091A" w14:textId="6202066B" w:rsidR="0053717E" w:rsidRPr="00FF74ED" w:rsidRDefault="006E017D" w:rsidP="00150CA1">
            <w:pPr>
              <w:rPr>
                <w:rFonts w:ascii="Arial" w:hAnsi="Arial" w:cs="Arial"/>
                <w:sz w:val="18"/>
                <w:szCs w:val="18"/>
              </w:rPr>
            </w:pPr>
            <w:r>
              <w:rPr>
                <w:rFonts w:ascii="Arial" w:hAnsi="Arial" w:cs="Arial"/>
                <w:sz w:val="18"/>
                <w:szCs w:val="18"/>
              </w:rPr>
              <w:t>4,646</w:t>
            </w:r>
          </w:p>
        </w:tc>
      </w:tr>
      <w:tr w:rsidR="0053717E" w:rsidRPr="00FF74ED" w14:paraId="2A78064E" w14:textId="77777777" w:rsidTr="00FF74ED">
        <w:tc>
          <w:tcPr>
            <w:tcW w:w="4928" w:type="dxa"/>
          </w:tcPr>
          <w:p w14:paraId="0AF5BF2D" w14:textId="366C32DE" w:rsidR="0053717E" w:rsidRPr="0053717E" w:rsidRDefault="0053717E" w:rsidP="00150CA1">
            <w:pPr>
              <w:rPr>
                <w:rFonts w:ascii="Arial" w:hAnsi="Arial" w:cs="Arial"/>
                <w:b/>
                <w:i/>
                <w:sz w:val="18"/>
                <w:szCs w:val="18"/>
              </w:rPr>
            </w:pPr>
            <w:r w:rsidRPr="0053717E">
              <w:rPr>
                <w:rFonts w:ascii="Arial" w:hAnsi="Arial" w:cs="Arial"/>
                <w:b/>
                <w:i/>
                <w:sz w:val="18"/>
                <w:szCs w:val="18"/>
              </w:rPr>
              <w:t xml:space="preserve">Collins and </w:t>
            </w:r>
            <w:proofErr w:type="spellStart"/>
            <w:r w:rsidRPr="0053717E">
              <w:rPr>
                <w:rFonts w:ascii="Arial" w:hAnsi="Arial" w:cs="Arial"/>
                <w:b/>
                <w:i/>
                <w:sz w:val="18"/>
                <w:szCs w:val="18"/>
              </w:rPr>
              <w:t>Lapsley</w:t>
            </w:r>
            <w:proofErr w:type="spellEnd"/>
            <w:r w:rsidRPr="0053717E">
              <w:rPr>
                <w:rFonts w:ascii="Arial" w:hAnsi="Arial" w:cs="Arial"/>
                <w:b/>
                <w:i/>
                <w:sz w:val="18"/>
                <w:szCs w:val="18"/>
              </w:rPr>
              <w:t xml:space="preserve"> sub-total</w:t>
            </w:r>
          </w:p>
        </w:tc>
        <w:tc>
          <w:tcPr>
            <w:tcW w:w="1843" w:type="dxa"/>
          </w:tcPr>
          <w:p w14:paraId="10B3E490" w14:textId="02BD1B21" w:rsidR="0053717E" w:rsidRPr="006E017D" w:rsidRDefault="006E017D" w:rsidP="00150CA1">
            <w:pPr>
              <w:rPr>
                <w:rFonts w:ascii="Arial" w:hAnsi="Arial" w:cs="Arial"/>
                <w:b/>
                <w:i/>
                <w:sz w:val="18"/>
                <w:szCs w:val="18"/>
              </w:rPr>
            </w:pPr>
            <w:r w:rsidRPr="006E017D">
              <w:rPr>
                <w:rFonts w:ascii="Arial" w:hAnsi="Arial" w:cs="Arial"/>
                <w:b/>
                <w:i/>
                <w:sz w:val="18"/>
                <w:szCs w:val="18"/>
              </w:rPr>
              <w:t>12,167</w:t>
            </w:r>
          </w:p>
        </w:tc>
        <w:tc>
          <w:tcPr>
            <w:tcW w:w="1842" w:type="dxa"/>
          </w:tcPr>
          <w:p w14:paraId="6054192A" w14:textId="2BC675D0" w:rsidR="0053717E" w:rsidRPr="006E017D" w:rsidRDefault="006E017D" w:rsidP="00150CA1">
            <w:pPr>
              <w:rPr>
                <w:rFonts w:ascii="Arial" w:hAnsi="Arial" w:cs="Arial"/>
                <w:b/>
                <w:i/>
                <w:sz w:val="18"/>
                <w:szCs w:val="18"/>
              </w:rPr>
            </w:pPr>
            <w:r w:rsidRPr="006E017D">
              <w:rPr>
                <w:rFonts w:ascii="Arial" w:hAnsi="Arial" w:cs="Arial"/>
                <w:b/>
                <w:i/>
                <w:sz w:val="18"/>
                <w:szCs w:val="18"/>
              </w:rPr>
              <w:t>5,043</w:t>
            </w:r>
          </w:p>
        </w:tc>
        <w:tc>
          <w:tcPr>
            <w:tcW w:w="1362" w:type="dxa"/>
          </w:tcPr>
          <w:p w14:paraId="15564A96" w14:textId="77A28893" w:rsidR="0053717E" w:rsidRPr="006E017D" w:rsidRDefault="006E017D" w:rsidP="00150CA1">
            <w:pPr>
              <w:rPr>
                <w:rFonts w:ascii="Arial" w:hAnsi="Arial" w:cs="Arial"/>
                <w:b/>
                <w:i/>
                <w:sz w:val="18"/>
                <w:szCs w:val="18"/>
              </w:rPr>
            </w:pPr>
            <w:r w:rsidRPr="006E017D">
              <w:rPr>
                <w:rFonts w:ascii="Arial" w:hAnsi="Arial" w:cs="Arial"/>
                <w:b/>
                <w:i/>
                <w:sz w:val="18"/>
                <w:szCs w:val="18"/>
              </w:rPr>
              <w:t>17,210</w:t>
            </w:r>
          </w:p>
        </w:tc>
      </w:tr>
      <w:tr w:rsidR="0053717E" w:rsidRPr="00FF74ED" w14:paraId="31453DAC" w14:textId="77777777" w:rsidTr="00FF74ED">
        <w:tc>
          <w:tcPr>
            <w:tcW w:w="4928" w:type="dxa"/>
          </w:tcPr>
          <w:p w14:paraId="59969F73" w14:textId="77777777" w:rsidR="0053717E" w:rsidRDefault="0053717E" w:rsidP="00150CA1">
            <w:pPr>
              <w:rPr>
                <w:rFonts w:ascii="Arial" w:hAnsi="Arial" w:cs="Arial"/>
                <w:sz w:val="18"/>
                <w:szCs w:val="18"/>
              </w:rPr>
            </w:pPr>
          </w:p>
        </w:tc>
        <w:tc>
          <w:tcPr>
            <w:tcW w:w="1843" w:type="dxa"/>
          </w:tcPr>
          <w:p w14:paraId="026FD2B3" w14:textId="77777777" w:rsidR="0053717E" w:rsidRPr="00FF74ED" w:rsidRDefault="0053717E" w:rsidP="00150CA1">
            <w:pPr>
              <w:rPr>
                <w:rFonts w:ascii="Arial" w:hAnsi="Arial" w:cs="Arial"/>
                <w:sz w:val="18"/>
                <w:szCs w:val="18"/>
              </w:rPr>
            </w:pPr>
          </w:p>
        </w:tc>
        <w:tc>
          <w:tcPr>
            <w:tcW w:w="1842" w:type="dxa"/>
          </w:tcPr>
          <w:p w14:paraId="16F2E14A" w14:textId="77777777" w:rsidR="0053717E" w:rsidRPr="00FF74ED" w:rsidRDefault="0053717E" w:rsidP="00150CA1">
            <w:pPr>
              <w:rPr>
                <w:rFonts w:ascii="Arial" w:hAnsi="Arial" w:cs="Arial"/>
                <w:sz w:val="18"/>
                <w:szCs w:val="18"/>
              </w:rPr>
            </w:pPr>
          </w:p>
        </w:tc>
        <w:tc>
          <w:tcPr>
            <w:tcW w:w="1362" w:type="dxa"/>
          </w:tcPr>
          <w:p w14:paraId="7EB99991" w14:textId="77777777" w:rsidR="0053717E" w:rsidRPr="00FF74ED" w:rsidRDefault="0053717E" w:rsidP="00150CA1">
            <w:pPr>
              <w:rPr>
                <w:rFonts w:ascii="Arial" w:hAnsi="Arial" w:cs="Arial"/>
                <w:sz w:val="18"/>
                <w:szCs w:val="18"/>
              </w:rPr>
            </w:pPr>
          </w:p>
        </w:tc>
      </w:tr>
      <w:tr w:rsidR="0053717E" w:rsidRPr="00FF74ED" w14:paraId="3E6060E8" w14:textId="77777777" w:rsidTr="00FF74ED">
        <w:tc>
          <w:tcPr>
            <w:tcW w:w="4928" w:type="dxa"/>
          </w:tcPr>
          <w:p w14:paraId="4723B7FB" w14:textId="6FE84F9A" w:rsidR="0053717E" w:rsidRPr="0053717E" w:rsidRDefault="0053717E" w:rsidP="00150CA1">
            <w:pPr>
              <w:rPr>
                <w:rFonts w:ascii="Arial" w:hAnsi="Arial" w:cs="Arial"/>
                <w:b/>
                <w:i/>
                <w:sz w:val="18"/>
                <w:szCs w:val="18"/>
              </w:rPr>
            </w:pPr>
            <w:proofErr w:type="spellStart"/>
            <w:r w:rsidRPr="0053717E">
              <w:rPr>
                <w:rFonts w:ascii="Arial" w:hAnsi="Arial" w:cs="Arial"/>
                <w:b/>
                <w:i/>
                <w:sz w:val="18"/>
                <w:szCs w:val="18"/>
              </w:rPr>
              <w:t>Laslett</w:t>
            </w:r>
            <w:proofErr w:type="spellEnd"/>
            <w:r w:rsidRPr="0053717E">
              <w:rPr>
                <w:rFonts w:ascii="Arial" w:hAnsi="Arial" w:cs="Arial"/>
                <w:b/>
                <w:i/>
                <w:sz w:val="18"/>
                <w:szCs w:val="18"/>
              </w:rPr>
              <w:t xml:space="preserve"> et al</w:t>
            </w:r>
          </w:p>
        </w:tc>
        <w:tc>
          <w:tcPr>
            <w:tcW w:w="1843" w:type="dxa"/>
          </w:tcPr>
          <w:p w14:paraId="405601FC" w14:textId="77777777" w:rsidR="0053717E" w:rsidRPr="00FF74ED" w:rsidRDefault="0053717E" w:rsidP="00150CA1">
            <w:pPr>
              <w:rPr>
                <w:rFonts w:ascii="Arial" w:hAnsi="Arial" w:cs="Arial"/>
                <w:sz w:val="18"/>
                <w:szCs w:val="18"/>
              </w:rPr>
            </w:pPr>
          </w:p>
        </w:tc>
        <w:tc>
          <w:tcPr>
            <w:tcW w:w="1842" w:type="dxa"/>
          </w:tcPr>
          <w:p w14:paraId="3E96E64E" w14:textId="77777777" w:rsidR="0053717E" w:rsidRPr="00FF74ED" w:rsidRDefault="0053717E" w:rsidP="00150CA1">
            <w:pPr>
              <w:rPr>
                <w:rFonts w:ascii="Arial" w:hAnsi="Arial" w:cs="Arial"/>
                <w:sz w:val="18"/>
                <w:szCs w:val="18"/>
              </w:rPr>
            </w:pPr>
          </w:p>
        </w:tc>
        <w:tc>
          <w:tcPr>
            <w:tcW w:w="1362" w:type="dxa"/>
          </w:tcPr>
          <w:p w14:paraId="3E0E1C4C" w14:textId="77777777" w:rsidR="0053717E" w:rsidRPr="00FF74ED" w:rsidRDefault="0053717E" w:rsidP="00150CA1">
            <w:pPr>
              <w:rPr>
                <w:rFonts w:ascii="Arial" w:hAnsi="Arial" w:cs="Arial"/>
                <w:sz w:val="18"/>
                <w:szCs w:val="18"/>
              </w:rPr>
            </w:pPr>
          </w:p>
        </w:tc>
      </w:tr>
      <w:tr w:rsidR="0053717E" w:rsidRPr="00FF74ED" w14:paraId="0BAE3D24" w14:textId="77777777" w:rsidTr="00FF74ED">
        <w:tc>
          <w:tcPr>
            <w:tcW w:w="4928" w:type="dxa"/>
          </w:tcPr>
          <w:p w14:paraId="12728132" w14:textId="14BF34A0" w:rsidR="0053717E" w:rsidRDefault="0053717E" w:rsidP="00150CA1">
            <w:pPr>
              <w:rPr>
                <w:rFonts w:ascii="Arial" w:hAnsi="Arial" w:cs="Arial"/>
                <w:sz w:val="18"/>
                <w:szCs w:val="18"/>
              </w:rPr>
            </w:pPr>
            <w:r>
              <w:rPr>
                <w:rFonts w:ascii="Arial" w:hAnsi="Arial" w:cs="Arial"/>
                <w:sz w:val="18"/>
                <w:szCs w:val="18"/>
              </w:rPr>
              <w:t>Child protection system</w:t>
            </w:r>
          </w:p>
        </w:tc>
        <w:tc>
          <w:tcPr>
            <w:tcW w:w="1843" w:type="dxa"/>
          </w:tcPr>
          <w:p w14:paraId="4DD317A1" w14:textId="315E6258" w:rsidR="0053717E" w:rsidRPr="00FF74ED" w:rsidRDefault="006E017D" w:rsidP="00150CA1">
            <w:pPr>
              <w:rPr>
                <w:rFonts w:ascii="Arial" w:hAnsi="Arial" w:cs="Arial"/>
                <w:sz w:val="18"/>
                <w:szCs w:val="18"/>
              </w:rPr>
            </w:pPr>
            <w:r>
              <w:rPr>
                <w:rFonts w:ascii="Arial" w:hAnsi="Arial" w:cs="Arial"/>
                <w:sz w:val="18"/>
                <w:szCs w:val="18"/>
              </w:rPr>
              <w:t>672</w:t>
            </w:r>
          </w:p>
        </w:tc>
        <w:tc>
          <w:tcPr>
            <w:tcW w:w="1842" w:type="dxa"/>
          </w:tcPr>
          <w:p w14:paraId="363E6BBB" w14:textId="77777777" w:rsidR="0053717E" w:rsidRPr="00FF74ED" w:rsidRDefault="0053717E" w:rsidP="00150CA1">
            <w:pPr>
              <w:rPr>
                <w:rFonts w:ascii="Arial" w:hAnsi="Arial" w:cs="Arial"/>
                <w:sz w:val="18"/>
                <w:szCs w:val="18"/>
              </w:rPr>
            </w:pPr>
          </w:p>
        </w:tc>
        <w:tc>
          <w:tcPr>
            <w:tcW w:w="1362" w:type="dxa"/>
          </w:tcPr>
          <w:p w14:paraId="13B7C286" w14:textId="77777777" w:rsidR="0053717E" w:rsidRPr="00FF74ED" w:rsidRDefault="0053717E" w:rsidP="00150CA1">
            <w:pPr>
              <w:rPr>
                <w:rFonts w:ascii="Arial" w:hAnsi="Arial" w:cs="Arial"/>
                <w:sz w:val="18"/>
                <w:szCs w:val="18"/>
              </w:rPr>
            </w:pPr>
          </w:p>
        </w:tc>
      </w:tr>
      <w:tr w:rsidR="0053717E" w:rsidRPr="00FF74ED" w14:paraId="1599E9B1" w14:textId="77777777" w:rsidTr="00FF74ED">
        <w:tc>
          <w:tcPr>
            <w:tcW w:w="4928" w:type="dxa"/>
          </w:tcPr>
          <w:p w14:paraId="6FD8010A" w14:textId="2BAAEFF6" w:rsidR="0053717E" w:rsidRDefault="0053717E" w:rsidP="00150CA1">
            <w:pPr>
              <w:rPr>
                <w:rFonts w:ascii="Arial" w:hAnsi="Arial" w:cs="Arial"/>
                <w:sz w:val="18"/>
                <w:szCs w:val="18"/>
              </w:rPr>
            </w:pPr>
            <w:r>
              <w:rPr>
                <w:rFonts w:ascii="Arial" w:hAnsi="Arial" w:cs="Arial"/>
                <w:sz w:val="18"/>
                <w:szCs w:val="18"/>
              </w:rPr>
              <w:t>Effects on household/family friend member with most effect</w:t>
            </w:r>
          </w:p>
        </w:tc>
        <w:tc>
          <w:tcPr>
            <w:tcW w:w="1843" w:type="dxa"/>
          </w:tcPr>
          <w:p w14:paraId="4CACD27F" w14:textId="0CEF95E0" w:rsidR="0053717E" w:rsidRPr="00FF74ED" w:rsidRDefault="006E017D" w:rsidP="00150CA1">
            <w:pPr>
              <w:rPr>
                <w:rFonts w:ascii="Arial" w:hAnsi="Arial" w:cs="Arial"/>
                <w:sz w:val="18"/>
                <w:szCs w:val="18"/>
              </w:rPr>
            </w:pPr>
            <w:r>
              <w:rPr>
                <w:rFonts w:ascii="Arial" w:hAnsi="Arial" w:cs="Arial"/>
                <w:sz w:val="18"/>
                <w:szCs w:val="18"/>
              </w:rPr>
              <w:t>9,424</w:t>
            </w:r>
          </w:p>
        </w:tc>
        <w:tc>
          <w:tcPr>
            <w:tcW w:w="1842" w:type="dxa"/>
          </w:tcPr>
          <w:p w14:paraId="1D142157" w14:textId="5E5565ED" w:rsidR="0053717E" w:rsidRPr="00FF74ED" w:rsidRDefault="006E017D" w:rsidP="00150CA1">
            <w:pPr>
              <w:rPr>
                <w:rFonts w:ascii="Arial" w:hAnsi="Arial" w:cs="Arial"/>
                <w:sz w:val="18"/>
                <w:szCs w:val="18"/>
              </w:rPr>
            </w:pPr>
            <w:r>
              <w:rPr>
                <w:rFonts w:ascii="Arial" w:hAnsi="Arial" w:cs="Arial"/>
                <w:sz w:val="18"/>
                <w:szCs w:val="18"/>
              </w:rPr>
              <w:t>7,364</w:t>
            </w:r>
          </w:p>
        </w:tc>
        <w:tc>
          <w:tcPr>
            <w:tcW w:w="1362" w:type="dxa"/>
          </w:tcPr>
          <w:p w14:paraId="284FB9DC" w14:textId="0D340DBE" w:rsidR="0053717E" w:rsidRPr="00FF74ED" w:rsidRDefault="006E017D" w:rsidP="00150CA1">
            <w:pPr>
              <w:rPr>
                <w:rFonts w:ascii="Arial" w:hAnsi="Arial" w:cs="Arial"/>
                <w:sz w:val="18"/>
                <w:szCs w:val="18"/>
              </w:rPr>
            </w:pPr>
            <w:r>
              <w:rPr>
                <w:rFonts w:ascii="Arial" w:hAnsi="Arial" w:cs="Arial"/>
                <w:sz w:val="18"/>
                <w:szCs w:val="18"/>
              </w:rPr>
              <w:t>16,788</w:t>
            </w:r>
          </w:p>
        </w:tc>
      </w:tr>
      <w:tr w:rsidR="0053717E" w:rsidRPr="00FF74ED" w14:paraId="5A7803D5" w14:textId="77777777" w:rsidTr="00FF74ED">
        <w:tc>
          <w:tcPr>
            <w:tcW w:w="4928" w:type="dxa"/>
          </w:tcPr>
          <w:p w14:paraId="4CA6EAB1" w14:textId="19D3314D" w:rsidR="0053717E" w:rsidRDefault="0053717E" w:rsidP="00150CA1">
            <w:pPr>
              <w:rPr>
                <w:rFonts w:ascii="Arial" w:hAnsi="Arial" w:cs="Arial"/>
                <w:sz w:val="18"/>
                <w:szCs w:val="18"/>
              </w:rPr>
            </w:pPr>
            <w:r>
              <w:rPr>
                <w:rFonts w:ascii="Arial" w:hAnsi="Arial" w:cs="Arial"/>
                <w:sz w:val="18"/>
                <w:szCs w:val="18"/>
              </w:rPr>
              <w:t>Prope</w:t>
            </w:r>
            <w:r w:rsidR="003D35C4">
              <w:rPr>
                <w:rFonts w:ascii="Arial" w:hAnsi="Arial" w:cs="Arial"/>
                <w:sz w:val="18"/>
                <w:szCs w:val="18"/>
              </w:rPr>
              <w:t xml:space="preserve">rty damage by stranger’s drinking </w:t>
            </w:r>
          </w:p>
        </w:tc>
        <w:tc>
          <w:tcPr>
            <w:tcW w:w="1843" w:type="dxa"/>
          </w:tcPr>
          <w:p w14:paraId="3A865567" w14:textId="39E84DC7" w:rsidR="0053717E" w:rsidRPr="00FF74ED" w:rsidRDefault="00207FC7" w:rsidP="00150CA1">
            <w:pPr>
              <w:rPr>
                <w:rFonts w:ascii="Arial" w:hAnsi="Arial" w:cs="Arial"/>
                <w:sz w:val="18"/>
                <w:szCs w:val="18"/>
              </w:rPr>
            </w:pPr>
            <w:r>
              <w:rPr>
                <w:rFonts w:ascii="Arial" w:hAnsi="Arial" w:cs="Arial"/>
                <w:sz w:val="18"/>
                <w:szCs w:val="18"/>
              </w:rPr>
              <w:t>1,133</w:t>
            </w:r>
          </w:p>
        </w:tc>
        <w:tc>
          <w:tcPr>
            <w:tcW w:w="1842" w:type="dxa"/>
          </w:tcPr>
          <w:p w14:paraId="4E8726BC" w14:textId="77777777" w:rsidR="0053717E" w:rsidRPr="00FF74ED" w:rsidRDefault="0053717E" w:rsidP="00150CA1">
            <w:pPr>
              <w:rPr>
                <w:rFonts w:ascii="Arial" w:hAnsi="Arial" w:cs="Arial"/>
                <w:sz w:val="18"/>
                <w:szCs w:val="18"/>
              </w:rPr>
            </w:pPr>
          </w:p>
        </w:tc>
        <w:tc>
          <w:tcPr>
            <w:tcW w:w="1362" w:type="dxa"/>
          </w:tcPr>
          <w:p w14:paraId="31E5DDBA" w14:textId="1FFC9F97" w:rsidR="0053717E" w:rsidRPr="00FF74ED" w:rsidRDefault="00207FC7" w:rsidP="00150CA1">
            <w:pPr>
              <w:rPr>
                <w:rFonts w:ascii="Arial" w:hAnsi="Arial" w:cs="Arial"/>
                <w:sz w:val="18"/>
                <w:szCs w:val="18"/>
              </w:rPr>
            </w:pPr>
            <w:r>
              <w:rPr>
                <w:rFonts w:ascii="Arial" w:hAnsi="Arial" w:cs="Arial"/>
                <w:sz w:val="18"/>
                <w:szCs w:val="18"/>
              </w:rPr>
              <w:t>1,133</w:t>
            </w:r>
          </w:p>
        </w:tc>
      </w:tr>
      <w:tr w:rsidR="0053717E" w:rsidRPr="00FF74ED" w14:paraId="6C3051CE" w14:textId="77777777" w:rsidTr="00FF74ED">
        <w:tc>
          <w:tcPr>
            <w:tcW w:w="4928" w:type="dxa"/>
          </w:tcPr>
          <w:p w14:paraId="4937E55C" w14:textId="4E462072" w:rsidR="0053717E" w:rsidRDefault="003D35C4" w:rsidP="00150CA1">
            <w:pPr>
              <w:rPr>
                <w:rFonts w:ascii="Arial" w:hAnsi="Arial" w:cs="Arial"/>
                <w:sz w:val="18"/>
                <w:szCs w:val="18"/>
              </w:rPr>
            </w:pPr>
            <w:r>
              <w:rPr>
                <w:rFonts w:ascii="Arial" w:hAnsi="Arial" w:cs="Arial"/>
                <w:sz w:val="18"/>
                <w:szCs w:val="18"/>
              </w:rPr>
              <w:t>Counselling advice, treatment expenses</w:t>
            </w:r>
          </w:p>
        </w:tc>
        <w:tc>
          <w:tcPr>
            <w:tcW w:w="1843" w:type="dxa"/>
          </w:tcPr>
          <w:p w14:paraId="0066D23E" w14:textId="39832498" w:rsidR="0053717E" w:rsidRPr="00FF74ED" w:rsidRDefault="00207FC7" w:rsidP="00150CA1">
            <w:pPr>
              <w:rPr>
                <w:rFonts w:ascii="Arial" w:hAnsi="Arial" w:cs="Arial"/>
                <w:sz w:val="18"/>
                <w:szCs w:val="18"/>
              </w:rPr>
            </w:pPr>
            <w:r>
              <w:rPr>
                <w:rFonts w:ascii="Arial" w:hAnsi="Arial" w:cs="Arial"/>
                <w:sz w:val="18"/>
                <w:szCs w:val="18"/>
              </w:rPr>
              <w:t>110</w:t>
            </w:r>
          </w:p>
        </w:tc>
        <w:tc>
          <w:tcPr>
            <w:tcW w:w="1842" w:type="dxa"/>
          </w:tcPr>
          <w:p w14:paraId="039C4382" w14:textId="77777777" w:rsidR="0053717E" w:rsidRPr="00FF74ED" w:rsidRDefault="0053717E" w:rsidP="00150CA1">
            <w:pPr>
              <w:rPr>
                <w:rFonts w:ascii="Arial" w:hAnsi="Arial" w:cs="Arial"/>
                <w:sz w:val="18"/>
                <w:szCs w:val="18"/>
              </w:rPr>
            </w:pPr>
          </w:p>
        </w:tc>
        <w:tc>
          <w:tcPr>
            <w:tcW w:w="1362" w:type="dxa"/>
          </w:tcPr>
          <w:p w14:paraId="1CD6816F" w14:textId="771FB2A8" w:rsidR="0053717E" w:rsidRPr="00FF74ED" w:rsidRDefault="00207FC7" w:rsidP="00150CA1">
            <w:pPr>
              <w:rPr>
                <w:rFonts w:ascii="Arial" w:hAnsi="Arial" w:cs="Arial"/>
                <w:sz w:val="18"/>
                <w:szCs w:val="18"/>
              </w:rPr>
            </w:pPr>
            <w:r>
              <w:rPr>
                <w:rFonts w:ascii="Arial" w:hAnsi="Arial" w:cs="Arial"/>
                <w:sz w:val="18"/>
                <w:szCs w:val="18"/>
              </w:rPr>
              <w:t>110</w:t>
            </w:r>
          </w:p>
        </w:tc>
      </w:tr>
      <w:tr w:rsidR="003D35C4" w:rsidRPr="00FF74ED" w14:paraId="378E11B8" w14:textId="77777777" w:rsidTr="00FF74ED">
        <w:tc>
          <w:tcPr>
            <w:tcW w:w="4928" w:type="dxa"/>
          </w:tcPr>
          <w:p w14:paraId="23B68F65" w14:textId="17C24961" w:rsidR="003D35C4" w:rsidRPr="003D35C4" w:rsidRDefault="003D35C4" w:rsidP="00150CA1">
            <w:pPr>
              <w:rPr>
                <w:rFonts w:ascii="Arial" w:hAnsi="Arial" w:cs="Arial"/>
                <w:b/>
                <w:i/>
                <w:sz w:val="18"/>
                <w:szCs w:val="18"/>
              </w:rPr>
            </w:pPr>
            <w:proofErr w:type="spellStart"/>
            <w:r w:rsidRPr="003D35C4">
              <w:rPr>
                <w:rFonts w:ascii="Arial" w:hAnsi="Arial" w:cs="Arial"/>
                <w:b/>
                <w:i/>
                <w:sz w:val="18"/>
                <w:szCs w:val="18"/>
              </w:rPr>
              <w:t>Laslett</w:t>
            </w:r>
            <w:proofErr w:type="spellEnd"/>
            <w:r w:rsidRPr="003D35C4">
              <w:rPr>
                <w:rFonts w:ascii="Arial" w:hAnsi="Arial" w:cs="Arial"/>
                <w:b/>
                <w:i/>
                <w:sz w:val="18"/>
                <w:szCs w:val="18"/>
              </w:rPr>
              <w:t xml:space="preserve"> et al sub-total</w:t>
            </w:r>
          </w:p>
        </w:tc>
        <w:tc>
          <w:tcPr>
            <w:tcW w:w="1843" w:type="dxa"/>
          </w:tcPr>
          <w:p w14:paraId="2DA7E0EC" w14:textId="1615D643" w:rsidR="003D35C4" w:rsidRPr="00207FC7" w:rsidRDefault="00207FC7" w:rsidP="00150CA1">
            <w:pPr>
              <w:rPr>
                <w:rFonts w:ascii="Arial" w:hAnsi="Arial" w:cs="Arial"/>
                <w:b/>
                <w:i/>
                <w:sz w:val="18"/>
                <w:szCs w:val="18"/>
              </w:rPr>
            </w:pPr>
            <w:r w:rsidRPr="00207FC7">
              <w:rPr>
                <w:rFonts w:ascii="Arial" w:hAnsi="Arial" w:cs="Arial"/>
                <w:b/>
                <w:i/>
                <w:sz w:val="18"/>
                <w:szCs w:val="18"/>
              </w:rPr>
              <w:t>11,339</w:t>
            </w:r>
          </w:p>
        </w:tc>
        <w:tc>
          <w:tcPr>
            <w:tcW w:w="1842" w:type="dxa"/>
          </w:tcPr>
          <w:p w14:paraId="1C6C7F4D" w14:textId="5EC98C26" w:rsidR="003D35C4" w:rsidRPr="00207FC7" w:rsidRDefault="00207FC7" w:rsidP="00150CA1">
            <w:pPr>
              <w:rPr>
                <w:rFonts w:ascii="Arial" w:hAnsi="Arial" w:cs="Arial"/>
                <w:b/>
                <w:i/>
                <w:sz w:val="18"/>
                <w:szCs w:val="18"/>
              </w:rPr>
            </w:pPr>
            <w:r w:rsidRPr="00207FC7">
              <w:rPr>
                <w:rFonts w:ascii="Arial" w:hAnsi="Arial" w:cs="Arial"/>
                <w:b/>
                <w:i/>
                <w:sz w:val="18"/>
                <w:szCs w:val="18"/>
              </w:rPr>
              <w:t>7,364</w:t>
            </w:r>
          </w:p>
        </w:tc>
        <w:tc>
          <w:tcPr>
            <w:tcW w:w="1362" w:type="dxa"/>
          </w:tcPr>
          <w:p w14:paraId="095C5DFB" w14:textId="75127667" w:rsidR="003D35C4" w:rsidRPr="00207FC7" w:rsidRDefault="00207FC7" w:rsidP="00150CA1">
            <w:pPr>
              <w:rPr>
                <w:rFonts w:ascii="Arial" w:hAnsi="Arial" w:cs="Arial"/>
                <w:b/>
                <w:i/>
                <w:sz w:val="18"/>
                <w:szCs w:val="18"/>
              </w:rPr>
            </w:pPr>
            <w:r w:rsidRPr="00207FC7">
              <w:rPr>
                <w:rFonts w:ascii="Arial" w:hAnsi="Arial" w:cs="Arial"/>
                <w:b/>
                <w:i/>
                <w:sz w:val="18"/>
                <w:szCs w:val="18"/>
              </w:rPr>
              <w:t>18,703</w:t>
            </w:r>
          </w:p>
        </w:tc>
      </w:tr>
      <w:tr w:rsidR="003D35C4" w:rsidRPr="00207FC7" w14:paraId="06481E62" w14:textId="77777777" w:rsidTr="00FF74ED">
        <w:tc>
          <w:tcPr>
            <w:tcW w:w="4928" w:type="dxa"/>
          </w:tcPr>
          <w:p w14:paraId="604A87C6" w14:textId="1385D56C" w:rsidR="003D35C4" w:rsidRPr="00207FC7" w:rsidRDefault="003D35C4" w:rsidP="00150CA1">
            <w:pPr>
              <w:rPr>
                <w:rFonts w:ascii="Arial" w:hAnsi="Arial" w:cs="Arial"/>
                <w:b/>
                <w:sz w:val="18"/>
                <w:szCs w:val="18"/>
              </w:rPr>
            </w:pPr>
            <w:r w:rsidRPr="00207FC7">
              <w:rPr>
                <w:rFonts w:ascii="Arial" w:hAnsi="Arial" w:cs="Arial"/>
                <w:b/>
                <w:sz w:val="18"/>
                <w:szCs w:val="18"/>
              </w:rPr>
              <w:t>Total</w:t>
            </w:r>
          </w:p>
        </w:tc>
        <w:tc>
          <w:tcPr>
            <w:tcW w:w="1843" w:type="dxa"/>
          </w:tcPr>
          <w:p w14:paraId="26479F28" w14:textId="60553D22" w:rsidR="003D35C4" w:rsidRPr="00207FC7" w:rsidRDefault="00207FC7" w:rsidP="00150CA1">
            <w:pPr>
              <w:rPr>
                <w:rFonts w:ascii="Arial" w:hAnsi="Arial" w:cs="Arial"/>
                <w:b/>
                <w:sz w:val="18"/>
                <w:szCs w:val="18"/>
              </w:rPr>
            </w:pPr>
            <w:r w:rsidRPr="00207FC7">
              <w:rPr>
                <w:rFonts w:ascii="Arial" w:hAnsi="Arial" w:cs="Arial"/>
                <w:b/>
                <w:sz w:val="18"/>
                <w:szCs w:val="18"/>
              </w:rPr>
              <w:t>23,506</w:t>
            </w:r>
          </w:p>
        </w:tc>
        <w:tc>
          <w:tcPr>
            <w:tcW w:w="1842" w:type="dxa"/>
          </w:tcPr>
          <w:p w14:paraId="24B18E69" w14:textId="41173AF6" w:rsidR="003D35C4" w:rsidRPr="00207FC7" w:rsidRDefault="00207FC7" w:rsidP="00150CA1">
            <w:pPr>
              <w:rPr>
                <w:rFonts w:ascii="Arial" w:hAnsi="Arial" w:cs="Arial"/>
                <w:b/>
                <w:sz w:val="18"/>
                <w:szCs w:val="18"/>
              </w:rPr>
            </w:pPr>
            <w:r w:rsidRPr="00207FC7">
              <w:rPr>
                <w:rFonts w:ascii="Arial" w:hAnsi="Arial" w:cs="Arial"/>
                <w:b/>
                <w:sz w:val="18"/>
                <w:szCs w:val="18"/>
              </w:rPr>
              <w:t>12,407</w:t>
            </w:r>
          </w:p>
        </w:tc>
        <w:tc>
          <w:tcPr>
            <w:tcW w:w="1362" w:type="dxa"/>
          </w:tcPr>
          <w:p w14:paraId="4AB1138E" w14:textId="333DC1A4" w:rsidR="003D35C4" w:rsidRPr="00207FC7" w:rsidRDefault="00207FC7" w:rsidP="00150CA1">
            <w:pPr>
              <w:rPr>
                <w:rFonts w:ascii="Arial" w:hAnsi="Arial" w:cs="Arial"/>
                <w:b/>
                <w:sz w:val="18"/>
                <w:szCs w:val="18"/>
              </w:rPr>
            </w:pPr>
            <w:r w:rsidRPr="00207FC7">
              <w:rPr>
                <w:rFonts w:ascii="Arial" w:hAnsi="Arial" w:cs="Arial"/>
                <w:b/>
                <w:sz w:val="18"/>
                <w:szCs w:val="18"/>
              </w:rPr>
              <w:t>35,913</w:t>
            </w:r>
          </w:p>
        </w:tc>
      </w:tr>
    </w:tbl>
    <w:p w14:paraId="2C748C25" w14:textId="24E8F636" w:rsidR="00FF74ED" w:rsidRPr="00207FC7" w:rsidRDefault="00EA2895" w:rsidP="00150CA1">
      <w:pPr>
        <w:rPr>
          <w:rFonts w:ascii="Arial" w:hAnsi="Arial" w:cs="Arial"/>
          <w:b/>
          <w:sz w:val="18"/>
          <w:szCs w:val="18"/>
        </w:rPr>
      </w:pPr>
      <w:r>
        <w:rPr>
          <w:rFonts w:ascii="Arial" w:hAnsi="Arial" w:cs="Arial"/>
          <w:b/>
          <w:sz w:val="18"/>
          <w:szCs w:val="18"/>
        </w:rPr>
        <w:t xml:space="preserve">Source: </w:t>
      </w:r>
      <w:r w:rsidRPr="00EA2895">
        <w:rPr>
          <w:rFonts w:ascii="Arial" w:hAnsi="Arial" w:cs="Arial"/>
          <w:b/>
          <w:sz w:val="18"/>
          <w:szCs w:val="18"/>
        </w:rPr>
        <w:t xml:space="preserve">Doran, C, </w:t>
      </w:r>
      <w:proofErr w:type="spellStart"/>
      <w:r w:rsidRPr="00EA2895">
        <w:rPr>
          <w:rFonts w:ascii="Arial" w:hAnsi="Arial" w:cs="Arial"/>
          <w:b/>
          <w:sz w:val="18"/>
          <w:szCs w:val="18"/>
        </w:rPr>
        <w:t>Jainullabudeen</w:t>
      </w:r>
      <w:proofErr w:type="spellEnd"/>
      <w:r w:rsidRPr="00EA2895">
        <w:rPr>
          <w:rFonts w:ascii="Arial" w:hAnsi="Arial" w:cs="Arial"/>
          <w:b/>
          <w:sz w:val="18"/>
          <w:szCs w:val="18"/>
        </w:rPr>
        <w:t xml:space="preserve">, T., Room, R., </w:t>
      </w:r>
      <w:proofErr w:type="spellStart"/>
      <w:r w:rsidRPr="00EA2895">
        <w:rPr>
          <w:rFonts w:ascii="Arial" w:hAnsi="Arial" w:cs="Arial"/>
          <w:b/>
          <w:sz w:val="18"/>
          <w:szCs w:val="18"/>
        </w:rPr>
        <w:t>Chikritzhs</w:t>
      </w:r>
      <w:proofErr w:type="spellEnd"/>
      <w:r w:rsidRPr="00EA2895">
        <w:rPr>
          <w:rFonts w:ascii="Arial" w:hAnsi="Arial" w:cs="Arial"/>
          <w:b/>
          <w:sz w:val="18"/>
          <w:szCs w:val="18"/>
        </w:rPr>
        <w:t xml:space="preserve">, T., </w:t>
      </w:r>
      <w:proofErr w:type="spellStart"/>
      <w:r w:rsidRPr="00EA2895">
        <w:rPr>
          <w:rFonts w:ascii="Arial" w:hAnsi="Arial" w:cs="Arial"/>
          <w:b/>
          <w:sz w:val="18"/>
          <w:szCs w:val="18"/>
        </w:rPr>
        <w:t>Laslett</w:t>
      </w:r>
      <w:proofErr w:type="spellEnd"/>
      <w:r w:rsidRPr="00EA2895">
        <w:rPr>
          <w:rFonts w:ascii="Arial" w:hAnsi="Arial" w:cs="Arial"/>
          <w:b/>
          <w:sz w:val="18"/>
          <w:szCs w:val="18"/>
        </w:rPr>
        <w:t>, A., Livingston, M. Ferris, J., Hall, W. (unpublished) How much does alcohol really cost Australian drinkers and others affected by drinking?</w:t>
      </w:r>
      <w:r>
        <w:rPr>
          <w:rFonts w:ascii="Arial" w:hAnsi="Arial" w:cs="Arial"/>
          <w:b/>
          <w:sz w:val="18"/>
          <w:szCs w:val="18"/>
        </w:rPr>
        <w:t xml:space="preserve">, extracted in </w:t>
      </w:r>
      <w:r w:rsidRPr="00EA2895">
        <w:rPr>
          <w:rFonts w:ascii="Arial" w:hAnsi="Arial" w:cs="Arial"/>
          <w:b/>
          <w:sz w:val="18"/>
          <w:szCs w:val="18"/>
        </w:rPr>
        <w:t>Marsden Jacob Associates 2012, Bingeing, collateral damage and the benefits and costs of taxing alcohol rationally, report to the Foundation for Alcohol Research and Education, October</w:t>
      </w:r>
    </w:p>
    <w:p w14:paraId="454DBF36" w14:textId="77777777" w:rsidR="007231A4" w:rsidRDefault="007231A4" w:rsidP="00150CA1">
      <w:pPr>
        <w:rPr>
          <w:rFonts w:ascii="Arial" w:hAnsi="Arial" w:cs="Arial"/>
          <w:sz w:val="22"/>
          <w:szCs w:val="22"/>
        </w:rPr>
      </w:pPr>
    </w:p>
    <w:p w14:paraId="52AD5222" w14:textId="5E34C22F" w:rsidR="007231A4" w:rsidRDefault="007231A4" w:rsidP="00150CA1">
      <w:pPr>
        <w:rPr>
          <w:rFonts w:ascii="Arial" w:hAnsi="Arial" w:cs="Arial"/>
          <w:b/>
          <w:i/>
          <w:sz w:val="22"/>
          <w:szCs w:val="22"/>
          <w:u w:val="single"/>
        </w:rPr>
      </w:pPr>
      <w:r w:rsidRPr="007231A4">
        <w:rPr>
          <w:rFonts w:ascii="Arial" w:hAnsi="Arial" w:cs="Arial"/>
          <w:b/>
          <w:i/>
          <w:sz w:val="22"/>
          <w:szCs w:val="22"/>
          <w:u w:val="single"/>
        </w:rPr>
        <w:t>Costs (however defined) significantly exceed revenues from alcohol sales</w:t>
      </w:r>
    </w:p>
    <w:p w14:paraId="4A1F4B9A" w14:textId="63EB389A" w:rsidR="00AB3414" w:rsidRDefault="007231A4" w:rsidP="00AB3414">
      <w:pPr>
        <w:rPr>
          <w:rFonts w:ascii="Arial" w:hAnsi="Arial" w:cs="Arial"/>
          <w:sz w:val="22"/>
          <w:szCs w:val="22"/>
        </w:rPr>
      </w:pPr>
      <w:r>
        <w:rPr>
          <w:rFonts w:ascii="Arial" w:hAnsi="Arial" w:cs="Arial"/>
          <w:sz w:val="22"/>
          <w:szCs w:val="22"/>
        </w:rPr>
        <w:t>Regardless of which of these estimates is used, they significantly exceed the</w:t>
      </w:r>
      <w:r w:rsidR="00247E4F">
        <w:rPr>
          <w:rFonts w:ascii="Arial" w:hAnsi="Arial" w:cs="Arial"/>
          <w:sz w:val="22"/>
          <w:szCs w:val="22"/>
        </w:rPr>
        <w:t xml:space="preserve"> economic value of</w:t>
      </w:r>
      <w:r>
        <w:rPr>
          <w:rFonts w:ascii="Arial" w:hAnsi="Arial" w:cs="Arial"/>
          <w:sz w:val="22"/>
          <w:szCs w:val="22"/>
        </w:rPr>
        <w:t xml:space="preserve"> almost $6 billion collected by alcohol excise and the Wine Equalisation Tax (WET) in 2013-14</w:t>
      </w:r>
      <w:r w:rsidR="004D36DB">
        <w:rPr>
          <w:rFonts w:ascii="Arial" w:hAnsi="Arial" w:cs="Arial"/>
          <w:sz w:val="22"/>
          <w:szCs w:val="22"/>
        </w:rPr>
        <w:t xml:space="preserve"> (net of rebates)</w:t>
      </w:r>
      <w:r w:rsidR="005D4942">
        <w:rPr>
          <w:rFonts w:ascii="Arial" w:hAnsi="Arial" w:cs="Arial"/>
          <w:sz w:val="22"/>
          <w:szCs w:val="22"/>
        </w:rPr>
        <w:t>.</w:t>
      </w:r>
      <w:r w:rsidR="004D36DB">
        <w:rPr>
          <w:rStyle w:val="FootnoteReference"/>
          <w:rFonts w:ascii="Arial" w:hAnsi="Arial" w:cs="Arial"/>
          <w:sz w:val="22"/>
          <w:szCs w:val="22"/>
        </w:rPr>
        <w:footnoteReference w:id="21"/>
      </w:r>
      <w:r w:rsidR="00876122">
        <w:rPr>
          <w:rFonts w:ascii="Arial" w:hAnsi="Arial" w:cs="Arial"/>
          <w:sz w:val="22"/>
          <w:szCs w:val="22"/>
        </w:rPr>
        <w:t xml:space="preserve"> </w:t>
      </w:r>
      <w:r w:rsidR="00247E4F">
        <w:rPr>
          <w:rFonts w:ascii="Arial" w:hAnsi="Arial" w:cs="Arial"/>
          <w:sz w:val="22"/>
          <w:szCs w:val="22"/>
        </w:rPr>
        <w:t xml:space="preserve">Even the minimum economic value of costs </w:t>
      </w:r>
      <w:r w:rsidR="005D4942">
        <w:rPr>
          <w:rFonts w:ascii="Arial" w:hAnsi="Arial" w:cs="Arial"/>
          <w:sz w:val="22"/>
          <w:szCs w:val="22"/>
        </w:rPr>
        <w:t>estimated ($15 billion) is more than twice the amount of government revenue collected from taxing the production and consumption of alcohol, which suggests a stro</w:t>
      </w:r>
      <w:r w:rsidR="00B71BAA">
        <w:rPr>
          <w:rFonts w:ascii="Arial" w:hAnsi="Arial" w:cs="Arial"/>
          <w:sz w:val="22"/>
          <w:szCs w:val="22"/>
        </w:rPr>
        <w:t>ng prima facie case for increasing</w:t>
      </w:r>
      <w:r w:rsidR="005D4942">
        <w:rPr>
          <w:rFonts w:ascii="Arial" w:hAnsi="Arial" w:cs="Arial"/>
          <w:sz w:val="22"/>
          <w:szCs w:val="22"/>
        </w:rPr>
        <w:t xml:space="preserve"> current levels of </w:t>
      </w:r>
      <w:r w:rsidR="00B71BAA">
        <w:rPr>
          <w:rFonts w:ascii="Arial" w:hAnsi="Arial" w:cs="Arial"/>
          <w:sz w:val="22"/>
          <w:szCs w:val="22"/>
        </w:rPr>
        <w:t>taxation of alcoholic beverages</w:t>
      </w:r>
      <w:r w:rsidR="005D4942">
        <w:rPr>
          <w:rFonts w:ascii="Arial" w:hAnsi="Arial" w:cs="Arial"/>
          <w:sz w:val="22"/>
          <w:szCs w:val="22"/>
        </w:rPr>
        <w:t>.</w:t>
      </w:r>
      <w:r w:rsidR="00B71BAA">
        <w:rPr>
          <w:rFonts w:ascii="Arial" w:hAnsi="Arial" w:cs="Arial"/>
          <w:sz w:val="22"/>
          <w:szCs w:val="22"/>
        </w:rPr>
        <w:t xml:space="preserve"> There is no obvious reason for the Government and the community to be effectively subsidising the consumption of alcohol by collecting insufficient taxation to meet the costs to the community. </w:t>
      </w:r>
      <w:r w:rsidR="005D4942">
        <w:rPr>
          <w:rFonts w:ascii="Arial" w:hAnsi="Arial" w:cs="Arial"/>
          <w:sz w:val="22"/>
          <w:szCs w:val="22"/>
        </w:rPr>
        <w:t xml:space="preserve"> </w:t>
      </w:r>
    </w:p>
    <w:p w14:paraId="2CF8D141" w14:textId="3EE1FD5D" w:rsidR="007E014B" w:rsidRDefault="007E014B" w:rsidP="00156BC2">
      <w:pPr>
        <w:rPr>
          <w:rFonts w:ascii="Arial" w:hAnsi="Arial" w:cs="Arial"/>
          <w:sz w:val="22"/>
          <w:szCs w:val="22"/>
        </w:rPr>
      </w:pPr>
    </w:p>
    <w:p w14:paraId="60807A8F" w14:textId="77777777" w:rsidR="007E014B" w:rsidRDefault="007E014B" w:rsidP="00556C8C">
      <w:pPr>
        <w:rPr>
          <w:rFonts w:ascii="Arial" w:hAnsi="Arial" w:cs="Arial"/>
          <w:sz w:val="22"/>
          <w:szCs w:val="22"/>
        </w:rPr>
      </w:pPr>
    </w:p>
    <w:p w14:paraId="5E3ADB54" w14:textId="0716ED30" w:rsidR="007E014B" w:rsidRPr="00E7393B" w:rsidRDefault="007E014B" w:rsidP="00AC0DA7">
      <w:pPr>
        <w:pStyle w:val="ListParagraph"/>
        <w:numPr>
          <w:ilvl w:val="0"/>
          <w:numId w:val="4"/>
        </w:numPr>
        <w:rPr>
          <w:rFonts w:ascii="Arial" w:hAnsi="Arial" w:cs="Arial"/>
          <w:b/>
          <w:sz w:val="22"/>
          <w:szCs w:val="22"/>
        </w:rPr>
      </w:pPr>
      <w:r w:rsidRPr="00E7393B">
        <w:rPr>
          <w:rFonts w:ascii="Arial" w:hAnsi="Arial" w:cs="Arial"/>
          <w:b/>
          <w:sz w:val="22"/>
          <w:szCs w:val="22"/>
        </w:rPr>
        <w:t>The level of alcohol consumption responds to changes in the price of alcohol</w:t>
      </w:r>
      <w:r>
        <w:rPr>
          <w:rFonts w:ascii="Arial" w:hAnsi="Arial" w:cs="Arial"/>
          <w:b/>
          <w:sz w:val="22"/>
          <w:szCs w:val="22"/>
        </w:rPr>
        <w:t xml:space="preserve"> as does the level of alcohol related harms</w:t>
      </w:r>
    </w:p>
    <w:p w14:paraId="174FB55A" w14:textId="77777777" w:rsidR="002371AC" w:rsidRDefault="002371AC" w:rsidP="00556C8C">
      <w:pPr>
        <w:rPr>
          <w:rFonts w:ascii="Arial" w:hAnsi="Arial" w:cs="Arial"/>
          <w:sz w:val="22"/>
          <w:szCs w:val="22"/>
        </w:rPr>
      </w:pPr>
    </w:p>
    <w:p w14:paraId="67ECF391" w14:textId="21806F26" w:rsidR="002371AC" w:rsidRPr="002371AC" w:rsidRDefault="002371AC" w:rsidP="00556C8C">
      <w:pPr>
        <w:rPr>
          <w:rFonts w:ascii="Arial" w:hAnsi="Arial" w:cs="Arial"/>
          <w:b/>
          <w:i/>
          <w:sz w:val="22"/>
          <w:szCs w:val="22"/>
          <w:u w:val="single"/>
        </w:rPr>
      </w:pPr>
      <w:r>
        <w:rPr>
          <w:rFonts w:ascii="Arial" w:hAnsi="Arial" w:cs="Arial"/>
          <w:b/>
          <w:i/>
          <w:sz w:val="22"/>
          <w:szCs w:val="22"/>
          <w:u w:val="single"/>
        </w:rPr>
        <w:t xml:space="preserve">There is an inverse relationship between the </w:t>
      </w:r>
      <w:r w:rsidRPr="002371AC">
        <w:rPr>
          <w:rFonts w:ascii="Arial" w:hAnsi="Arial" w:cs="Arial"/>
          <w:b/>
          <w:i/>
          <w:sz w:val="22"/>
          <w:szCs w:val="22"/>
          <w:u w:val="single"/>
        </w:rPr>
        <w:t>price of alcohol</w:t>
      </w:r>
      <w:r>
        <w:rPr>
          <w:rFonts w:ascii="Arial" w:hAnsi="Arial" w:cs="Arial"/>
          <w:b/>
          <w:i/>
          <w:sz w:val="22"/>
          <w:szCs w:val="22"/>
          <w:u w:val="single"/>
        </w:rPr>
        <w:t xml:space="preserve"> and the level of its consumption</w:t>
      </w:r>
    </w:p>
    <w:p w14:paraId="3F42EAB8" w14:textId="63D47088" w:rsidR="007E014B" w:rsidRDefault="002371AC" w:rsidP="00556C8C">
      <w:pPr>
        <w:rPr>
          <w:rFonts w:ascii="Arial" w:hAnsi="Arial" w:cs="Arial"/>
          <w:sz w:val="22"/>
          <w:szCs w:val="22"/>
        </w:rPr>
      </w:pPr>
      <w:r>
        <w:rPr>
          <w:rFonts w:ascii="Arial" w:hAnsi="Arial" w:cs="Arial"/>
          <w:sz w:val="22"/>
          <w:szCs w:val="22"/>
        </w:rPr>
        <w:t xml:space="preserve">As the studies summarised below show, when </w:t>
      </w:r>
      <w:r w:rsidR="007E014B">
        <w:rPr>
          <w:rFonts w:ascii="Arial" w:hAnsi="Arial" w:cs="Arial"/>
          <w:sz w:val="22"/>
          <w:szCs w:val="22"/>
        </w:rPr>
        <w:t xml:space="preserve">the price of alcohol increases, the level consumed falls, just as with any other product. This responsiveness of the level of consumption to the price of alcohol or its </w:t>
      </w:r>
      <w:proofErr w:type="gramStart"/>
      <w:r w:rsidR="007E014B">
        <w:rPr>
          <w:rFonts w:ascii="Arial" w:hAnsi="Arial" w:cs="Arial"/>
          <w:sz w:val="22"/>
          <w:szCs w:val="22"/>
        </w:rPr>
        <w:t>elasticity,</w:t>
      </w:r>
      <w:proofErr w:type="gramEnd"/>
      <w:r w:rsidR="007E014B">
        <w:rPr>
          <w:rFonts w:ascii="Arial" w:hAnsi="Arial" w:cs="Arial"/>
          <w:sz w:val="22"/>
          <w:szCs w:val="22"/>
        </w:rPr>
        <w:t xml:space="preserve"> varies depending on the type of alcoholic drink but is far from trivial:</w:t>
      </w:r>
    </w:p>
    <w:p w14:paraId="708337EE" w14:textId="442CB674" w:rsidR="007E014B" w:rsidRPr="00645A5C" w:rsidRDefault="007E014B" w:rsidP="0095607E">
      <w:pPr>
        <w:pStyle w:val="ListParagraph"/>
        <w:numPr>
          <w:ilvl w:val="0"/>
          <w:numId w:val="2"/>
        </w:numPr>
        <w:rPr>
          <w:rFonts w:ascii="Arial" w:hAnsi="Arial" w:cs="Arial"/>
          <w:sz w:val="22"/>
          <w:szCs w:val="22"/>
        </w:rPr>
      </w:pPr>
      <w:r>
        <w:rPr>
          <w:rFonts w:ascii="Arial" w:hAnsi="Arial" w:cs="Arial"/>
          <w:sz w:val="22"/>
          <w:szCs w:val="22"/>
        </w:rPr>
        <w:t>A meta-analysis of 112 pricing studies from</w:t>
      </w:r>
      <w:r w:rsidR="002371AC">
        <w:rPr>
          <w:rFonts w:ascii="Arial" w:hAnsi="Arial" w:cs="Arial"/>
          <w:sz w:val="22"/>
          <w:szCs w:val="22"/>
        </w:rPr>
        <w:t xml:space="preserve"> around the world estimated the</w:t>
      </w:r>
      <w:r>
        <w:rPr>
          <w:rFonts w:ascii="Arial" w:hAnsi="Arial" w:cs="Arial"/>
          <w:sz w:val="22"/>
          <w:szCs w:val="22"/>
        </w:rPr>
        <w:t xml:space="preserve"> price elasticity of demand for alcohol at –0.44 which means that </w:t>
      </w:r>
      <w:r w:rsidRPr="00FE6658">
        <w:rPr>
          <w:rFonts w:ascii="Arial" w:hAnsi="Arial" w:cs="Arial"/>
          <w:sz w:val="22"/>
          <w:szCs w:val="22"/>
          <w:lang w:val="en-US"/>
        </w:rPr>
        <w:t>a 10% increase in the price of alcohol would reduce its consumption by 4.4%</w:t>
      </w:r>
      <w:r w:rsidRPr="00FE6658">
        <w:rPr>
          <w:rStyle w:val="FootnoteReference"/>
          <w:rFonts w:ascii="Arial" w:hAnsi="Arial" w:cs="Arial"/>
          <w:sz w:val="22"/>
          <w:szCs w:val="22"/>
        </w:rPr>
        <w:footnoteReference w:id="22"/>
      </w:r>
      <w:r>
        <w:rPr>
          <w:rFonts w:ascii="Arial" w:hAnsi="Arial" w:cs="Arial"/>
          <w:sz w:val="22"/>
          <w:szCs w:val="22"/>
          <w:lang w:val="en-US"/>
        </w:rPr>
        <w:t xml:space="preserve">. This was an averaged estimate which covers all alcoholic drinks. </w:t>
      </w:r>
    </w:p>
    <w:p w14:paraId="0660950A" w14:textId="5CC6A080" w:rsidR="007E014B" w:rsidRPr="00645A5C" w:rsidRDefault="007E014B" w:rsidP="00645A5C">
      <w:pPr>
        <w:pStyle w:val="ListParagraph"/>
        <w:numPr>
          <w:ilvl w:val="0"/>
          <w:numId w:val="2"/>
        </w:numPr>
        <w:spacing w:after="200" w:line="276" w:lineRule="auto"/>
        <w:rPr>
          <w:rFonts w:ascii="Arial" w:hAnsi="Arial" w:cs="Arial"/>
          <w:sz w:val="22"/>
          <w:szCs w:val="22"/>
        </w:rPr>
      </w:pPr>
      <w:r>
        <w:rPr>
          <w:rFonts w:ascii="Arial" w:hAnsi="Arial" w:cs="Arial"/>
          <w:sz w:val="22"/>
          <w:szCs w:val="22"/>
        </w:rPr>
        <w:t xml:space="preserve">A UK study based on data </w:t>
      </w:r>
      <w:r w:rsidRPr="00645A5C">
        <w:rPr>
          <w:rFonts w:ascii="Arial" w:hAnsi="Arial" w:cs="Arial"/>
          <w:sz w:val="22"/>
          <w:szCs w:val="22"/>
        </w:rPr>
        <w:t xml:space="preserve">from the Living Costs and Food Survey </w:t>
      </w:r>
      <w:r>
        <w:rPr>
          <w:rFonts w:ascii="Arial" w:hAnsi="Arial" w:cs="Arial"/>
          <w:sz w:val="22"/>
          <w:szCs w:val="22"/>
        </w:rPr>
        <w:t xml:space="preserve">of 2001 to 2009 found </w:t>
      </w:r>
      <w:r w:rsidRPr="00645A5C">
        <w:rPr>
          <w:rFonts w:ascii="Arial" w:hAnsi="Arial" w:cs="Arial"/>
          <w:sz w:val="22"/>
          <w:szCs w:val="22"/>
        </w:rPr>
        <w:t xml:space="preserve">off-trade cider and </w:t>
      </w:r>
      <w:r>
        <w:rPr>
          <w:rFonts w:ascii="Arial" w:hAnsi="Arial" w:cs="Arial"/>
          <w:sz w:val="22"/>
          <w:szCs w:val="22"/>
        </w:rPr>
        <w:t>beer to be the</w:t>
      </w:r>
      <w:r w:rsidRPr="00645A5C">
        <w:rPr>
          <w:rFonts w:ascii="Arial" w:hAnsi="Arial" w:cs="Arial"/>
          <w:sz w:val="22"/>
          <w:szCs w:val="22"/>
        </w:rPr>
        <w:t xml:space="preserve"> most elastic (-1.27 and -0.98) and off-trade spirits </w:t>
      </w:r>
      <w:r>
        <w:rPr>
          <w:rFonts w:ascii="Arial" w:hAnsi="Arial" w:cs="Arial"/>
          <w:sz w:val="22"/>
          <w:szCs w:val="22"/>
        </w:rPr>
        <w:t>and on-trade ready-to-drinks the</w:t>
      </w:r>
      <w:r w:rsidRPr="00645A5C">
        <w:rPr>
          <w:rFonts w:ascii="Arial" w:hAnsi="Arial" w:cs="Arial"/>
          <w:sz w:val="22"/>
          <w:szCs w:val="22"/>
        </w:rPr>
        <w:t xml:space="preserve"> least elastic (-0.08 and -0.19)</w:t>
      </w:r>
      <w:r>
        <w:rPr>
          <w:rFonts w:ascii="Arial" w:hAnsi="Arial" w:cs="Arial"/>
          <w:sz w:val="22"/>
          <w:szCs w:val="22"/>
        </w:rPr>
        <w:t xml:space="preserve"> alcoholic drinks</w:t>
      </w:r>
      <w:r w:rsidRPr="00645A5C">
        <w:rPr>
          <w:rFonts w:ascii="Arial" w:hAnsi="Arial" w:cs="Arial"/>
          <w:sz w:val="22"/>
          <w:szCs w:val="22"/>
        </w:rPr>
        <w:t>.</w:t>
      </w:r>
      <w:r>
        <w:rPr>
          <w:rStyle w:val="FootnoteReference"/>
          <w:rFonts w:ascii="Arial" w:hAnsi="Arial" w:cs="Arial"/>
          <w:sz w:val="22"/>
          <w:szCs w:val="22"/>
        </w:rPr>
        <w:footnoteReference w:id="23"/>
      </w:r>
    </w:p>
    <w:p w14:paraId="10BEE4EA" w14:textId="4FC2A1D9" w:rsidR="007E014B" w:rsidRDefault="007E014B" w:rsidP="0095607E">
      <w:pPr>
        <w:pStyle w:val="ListParagraph"/>
        <w:numPr>
          <w:ilvl w:val="0"/>
          <w:numId w:val="2"/>
        </w:numPr>
        <w:rPr>
          <w:rFonts w:ascii="Arial" w:hAnsi="Arial" w:cs="Arial"/>
          <w:sz w:val="22"/>
          <w:szCs w:val="22"/>
        </w:rPr>
      </w:pPr>
      <w:r>
        <w:rPr>
          <w:rFonts w:ascii="Arial" w:hAnsi="Arial" w:cs="Arial"/>
          <w:color w:val="000000"/>
          <w:sz w:val="22"/>
          <w:szCs w:val="22"/>
        </w:rPr>
        <w:t xml:space="preserve">An Australian study using data from </w:t>
      </w:r>
      <w:r w:rsidRPr="006A24C0">
        <w:rPr>
          <w:rFonts w:ascii="Arial" w:hAnsi="Arial" w:cs="Arial"/>
          <w:sz w:val="22"/>
          <w:szCs w:val="22"/>
        </w:rPr>
        <w:t>the National Drug Strategy Household Survey</w:t>
      </w:r>
      <w:r>
        <w:rPr>
          <w:rFonts w:ascii="Arial" w:hAnsi="Arial" w:cs="Arial"/>
          <w:sz w:val="22"/>
          <w:szCs w:val="22"/>
        </w:rPr>
        <w:t>s of</w:t>
      </w:r>
      <w:r w:rsidRPr="006A24C0">
        <w:rPr>
          <w:rFonts w:ascii="Arial" w:hAnsi="Arial" w:cs="Arial"/>
          <w:sz w:val="22"/>
          <w:szCs w:val="22"/>
        </w:rPr>
        <w:t xml:space="preserve"> 2001, 2004 and 2007</w:t>
      </w:r>
      <w:r>
        <w:rPr>
          <w:rFonts w:ascii="Arial" w:hAnsi="Arial" w:cs="Arial"/>
          <w:sz w:val="22"/>
          <w:szCs w:val="22"/>
        </w:rPr>
        <w:t xml:space="preserve"> estimated an elasticity of -0.96 for all drinkers i.e. </w:t>
      </w:r>
      <w:r w:rsidRPr="006A24C0">
        <w:rPr>
          <w:rFonts w:ascii="Arial" w:hAnsi="Arial" w:cs="Arial"/>
          <w:sz w:val="22"/>
          <w:szCs w:val="22"/>
        </w:rPr>
        <w:t xml:space="preserve">a 1 % increase in the price of alcohol </w:t>
      </w:r>
      <w:r>
        <w:rPr>
          <w:rFonts w:ascii="Arial" w:hAnsi="Arial" w:cs="Arial"/>
          <w:sz w:val="22"/>
          <w:szCs w:val="22"/>
        </w:rPr>
        <w:t xml:space="preserve">is </w:t>
      </w:r>
      <w:r w:rsidRPr="006A24C0">
        <w:rPr>
          <w:rFonts w:ascii="Arial" w:hAnsi="Arial" w:cs="Arial"/>
          <w:sz w:val="22"/>
          <w:szCs w:val="22"/>
        </w:rPr>
        <w:t>associated with a 0.</w:t>
      </w:r>
      <w:r>
        <w:rPr>
          <w:rFonts w:ascii="Arial" w:hAnsi="Arial" w:cs="Arial"/>
          <w:sz w:val="22"/>
          <w:szCs w:val="22"/>
        </w:rPr>
        <w:t xml:space="preserve">96% </w:t>
      </w:r>
      <w:r w:rsidRPr="006A24C0">
        <w:rPr>
          <w:rFonts w:ascii="Arial" w:hAnsi="Arial" w:cs="Arial"/>
          <w:sz w:val="22"/>
          <w:szCs w:val="22"/>
        </w:rPr>
        <w:t xml:space="preserve">reduction in alcohol consumption. </w:t>
      </w:r>
      <w:r>
        <w:rPr>
          <w:rFonts w:ascii="Arial" w:hAnsi="Arial" w:cs="Arial"/>
          <w:sz w:val="22"/>
          <w:szCs w:val="22"/>
        </w:rPr>
        <w:t xml:space="preserve">The study also estimated an elasticity of -1.26 for the highest </w:t>
      </w:r>
      <w:r w:rsidRPr="006A24C0">
        <w:rPr>
          <w:rFonts w:ascii="Arial" w:hAnsi="Arial" w:cs="Arial"/>
          <w:sz w:val="22"/>
          <w:szCs w:val="22"/>
        </w:rPr>
        <w:t>10 % of drinkers by average amount consumed</w:t>
      </w:r>
      <w:r>
        <w:rPr>
          <w:rFonts w:ascii="Arial" w:hAnsi="Arial" w:cs="Arial"/>
          <w:sz w:val="22"/>
          <w:szCs w:val="22"/>
        </w:rPr>
        <w:t>.</w:t>
      </w:r>
      <w:r>
        <w:rPr>
          <w:rStyle w:val="FootnoteReference"/>
          <w:rFonts w:ascii="Arial" w:hAnsi="Arial" w:cs="Arial"/>
          <w:sz w:val="22"/>
          <w:szCs w:val="22"/>
        </w:rPr>
        <w:footnoteReference w:id="24"/>
      </w:r>
    </w:p>
    <w:p w14:paraId="56237312" w14:textId="363D8FC5" w:rsidR="002954AB" w:rsidRPr="002954AB" w:rsidRDefault="004F7DDF" w:rsidP="0095607E">
      <w:pPr>
        <w:pStyle w:val="ListParagraph"/>
        <w:numPr>
          <w:ilvl w:val="0"/>
          <w:numId w:val="2"/>
        </w:numPr>
        <w:rPr>
          <w:rFonts w:ascii="Arial" w:hAnsi="Arial" w:cs="Arial"/>
          <w:sz w:val="22"/>
          <w:szCs w:val="22"/>
        </w:rPr>
      </w:pPr>
      <w:r>
        <w:rPr>
          <w:rFonts w:ascii="Arial" w:hAnsi="Arial" w:cs="Arial"/>
          <w:color w:val="000000"/>
          <w:sz w:val="22"/>
          <w:szCs w:val="22"/>
        </w:rPr>
        <w:lastRenderedPageBreak/>
        <w:t>Marsden Jacob</w:t>
      </w:r>
      <w:r w:rsidR="007E014B">
        <w:rPr>
          <w:rFonts w:ascii="Arial" w:hAnsi="Arial" w:cs="Arial"/>
          <w:color w:val="000000"/>
          <w:sz w:val="22"/>
          <w:szCs w:val="22"/>
        </w:rPr>
        <w:t xml:space="preserve"> draw on </w:t>
      </w:r>
      <w:r w:rsidR="00082B14">
        <w:rPr>
          <w:rFonts w:ascii="Arial" w:hAnsi="Arial" w:cs="Arial"/>
          <w:color w:val="000000"/>
          <w:sz w:val="22"/>
          <w:szCs w:val="22"/>
        </w:rPr>
        <w:t>two</w:t>
      </w:r>
      <w:r w:rsidR="007E014B">
        <w:rPr>
          <w:rFonts w:ascii="Arial" w:hAnsi="Arial" w:cs="Arial"/>
          <w:color w:val="000000"/>
          <w:sz w:val="22"/>
          <w:szCs w:val="22"/>
        </w:rPr>
        <w:t xml:space="preserve"> Australian studies and NDSHS data to estimate </w:t>
      </w:r>
      <w:proofErr w:type="spellStart"/>
      <w:r w:rsidR="007E014B">
        <w:rPr>
          <w:rFonts w:ascii="Arial" w:hAnsi="Arial" w:cs="Arial"/>
          <w:color w:val="000000"/>
          <w:sz w:val="22"/>
          <w:szCs w:val="22"/>
        </w:rPr>
        <w:t>elasticities</w:t>
      </w:r>
      <w:proofErr w:type="spellEnd"/>
      <w:r w:rsidR="007E014B">
        <w:rPr>
          <w:rFonts w:ascii="Arial" w:hAnsi="Arial" w:cs="Arial"/>
          <w:color w:val="000000"/>
          <w:sz w:val="22"/>
          <w:szCs w:val="22"/>
        </w:rPr>
        <w:t xml:space="preserve"> of    </w:t>
      </w:r>
    </w:p>
    <w:p w14:paraId="28D7F090" w14:textId="290267C3" w:rsidR="007E014B" w:rsidRPr="002954AB" w:rsidRDefault="007E014B" w:rsidP="002954AB">
      <w:pPr>
        <w:ind w:left="360"/>
        <w:rPr>
          <w:rFonts w:ascii="Arial" w:hAnsi="Arial" w:cs="Arial"/>
          <w:sz w:val="22"/>
          <w:szCs w:val="22"/>
        </w:rPr>
      </w:pPr>
      <w:r w:rsidRPr="002954AB">
        <w:rPr>
          <w:rFonts w:ascii="Arial" w:hAnsi="Arial" w:cs="Arial"/>
          <w:color w:val="000000"/>
          <w:sz w:val="22"/>
          <w:szCs w:val="22"/>
        </w:rPr>
        <w:t xml:space="preserve">-0.37 </w:t>
      </w:r>
      <w:proofErr w:type="gramStart"/>
      <w:r w:rsidRPr="002954AB">
        <w:rPr>
          <w:rFonts w:ascii="Arial" w:hAnsi="Arial" w:cs="Arial"/>
          <w:color w:val="000000"/>
          <w:sz w:val="22"/>
          <w:szCs w:val="22"/>
        </w:rPr>
        <w:t>for</w:t>
      </w:r>
      <w:proofErr w:type="gramEnd"/>
      <w:r w:rsidRPr="002954AB">
        <w:rPr>
          <w:rFonts w:ascii="Arial" w:hAnsi="Arial" w:cs="Arial"/>
          <w:color w:val="000000"/>
          <w:sz w:val="22"/>
          <w:szCs w:val="22"/>
        </w:rPr>
        <w:t xml:space="preserve"> beer, -0.4 for wine, -0.96 for spirits and -0.67 for ready to drinks (RTDs).</w:t>
      </w:r>
      <w:r>
        <w:rPr>
          <w:rStyle w:val="FootnoteReference"/>
          <w:rFonts w:ascii="Arial" w:hAnsi="Arial" w:cs="Arial"/>
          <w:color w:val="000000"/>
          <w:sz w:val="22"/>
          <w:szCs w:val="22"/>
        </w:rPr>
        <w:footnoteReference w:id="25"/>
      </w:r>
    </w:p>
    <w:p w14:paraId="053362EC" w14:textId="77777777" w:rsidR="007E014B" w:rsidRDefault="007E014B" w:rsidP="00556C8C">
      <w:pPr>
        <w:rPr>
          <w:rFonts w:ascii="Arial" w:hAnsi="Arial" w:cs="Arial"/>
          <w:sz w:val="22"/>
          <w:szCs w:val="22"/>
        </w:rPr>
      </w:pPr>
    </w:p>
    <w:p w14:paraId="5734BF2C" w14:textId="414C7359" w:rsidR="002371AC" w:rsidRPr="002371AC" w:rsidRDefault="002371AC" w:rsidP="00556C8C">
      <w:pPr>
        <w:rPr>
          <w:rFonts w:ascii="Arial" w:hAnsi="Arial" w:cs="Arial"/>
          <w:b/>
          <w:i/>
          <w:sz w:val="22"/>
          <w:szCs w:val="22"/>
          <w:u w:val="single"/>
        </w:rPr>
      </w:pPr>
      <w:r w:rsidRPr="002371AC">
        <w:rPr>
          <w:rFonts w:ascii="Arial" w:hAnsi="Arial" w:cs="Arial"/>
          <w:b/>
          <w:i/>
          <w:sz w:val="22"/>
          <w:szCs w:val="22"/>
          <w:u w:val="single"/>
        </w:rPr>
        <w:t>There is an inverse relationship between the price of alcohol and the level of alcohol associated harms</w:t>
      </w:r>
    </w:p>
    <w:p w14:paraId="0DE30A35" w14:textId="2CF1E7AA" w:rsidR="007E014B" w:rsidRDefault="007E014B" w:rsidP="00AC0DA7">
      <w:pPr>
        <w:spacing w:after="60"/>
        <w:rPr>
          <w:rFonts w:ascii="Arial" w:hAnsi="Arial" w:cs="Arial"/>
          <w:sz w:val="22"/>
          <w:szCs w:val="22"/>
        </w:rPr>
      </w:pPr>
      <w:r>
        <w:rPr>
          <w:rFonts w:ascii="Arial" w:hAnsi="Arial" w:cs="Arial"/>
          <w:sz w:val="22"/>
          <w:szCs w:val="22"/>
        </w:rPr>
        <w:t>It follows that if alcohol consumption is associated with a set of harms (such as those documented in the previous section) and the level of alcohol consumption is responsive to the average price of alcohol, then policy induced changes in the average price of alcohol (e.g. due to changes in tax rate</w:t>
      </w:r>
      <w:r w:rsidR="002371AC">
        <w:rPr>
          <w:rFonts w:ascii="Arial" w:hAnsi="Arial" w:cs="Arial"/>
          <w:sz w:val="22"/>
          <w:szCs w:val="22"/>
        </w:rPr>
        <w:t>s</w:t>
      </w:r>
      <w:r>
        <w:rPr>
          <w:rFonts w:ascii="Arial" w:hAnsi="Arial" w:cs="Arial"/>
          <w:sz w:val="22"/>
          <w:szCs w:val="22"/>
        </w:rPr>
        <w:t>) should lead to changes in the level of alcohol related harms. This is confirmed from research around the world, including Australia:</w:t>
      </w:r>
    </w:p>
    <w:p w14:paraId="372B0454" w14:textId="4164905D" w:rsidR="007E014B" w:rsidRDefault="007E014B" w:rsidP="00AC0DA7">
      <w:pPr>
        <w:pStyle w:val="ListParagraph"/>
        <w:numPr>
          <w:ilvl w:val="0"/>
          <w:numId w:val="2"/>
        </w:numPr>
        <w:spacing w:after="60"/>
        <w:contextualSpacing w:val="0"/>
        <w:rPr>
          <w:rFonts w:ascii="Arial" w:hAnsi="Arial" w:cs="Arial"/>
          <w:sz w:val="22"/>
          <w:szCs w:val="22"/>
        </w:rPr>
      </w:pPr>
      <w:r>
        <w:rPr>
          <w:rFonts w:ascii="Arial" w:hAnsi="Arial" w:cs="Arial"/>
          <w:sz w:val="22"/>
          <w:szCs w:val="22"/>
        </w:rPr>
        <w:t xml:space="preserve">After a large reduction </w:t>
      </w:r>
      <w:r w:rsidRPr="008700CB">
        <w:rPr>
          <w:rFonts w:ascii="Arial" w:hAnsi="Arial" w:cs="Arial"/>
          <w:sz w:val="22"/>
          <w:szCs w:val="22"/>
        </w:rPr>
        <w:t>in alcohol prices in</w:t>
      </w:r>
      <w:r>
        <w:rPr>
          <w:rFonts w:ascii="Arial" w:hAnsi="Arial" w:cs="Arial"/>
          <w:sz w:val="22"/>
          <w:szCs w:val="22"/>
        </w:rPr>
        <w:t xml:space="preserve"> Finland in</w:t>
      </w:r>
      <w:r w:rsidRPr="008700CB">
        <w:rPr>
          <w:rFonts w:ascii="Arial" w:hAnsi="Arial" w:cs="Arial"/>
          <w:sz w:val="22"/>
          <w:szCs w:val="22"/>
        </w:rPr>
        <w:t xml:space="preserve"> 2004 due to </w:t>
      </w:r>
      <w:r>
        <w:rPr>
          <w:rFonts w:ascii="Arial" w:hAnsi="Arial" w:cs="Arial"/>
          <w:sz w:val="22"/>
          <w:szCs w:val="22"/>
        </w:rPr>
        <w:t xml:space="preserve">the reduction of </w:t>
      </w:r>
      <w:r w:rsidRPr="008700CB">
        <w:rPr>
          <w:rFonts w:ascii="Arial" w:hAnsi="Arial" w:cs="Arial"/>
          <w:sz w:val="22"/>
          <w:szCs w:val="22"/>
        </w:rPr>
        <w:t>alcohol taxes by about one-third and the abolition of duty-free allowances for travellers from the European Union</w:t>
      </w:r>
      <w:r>
        <w:rPr>
          <w:rFonts w:ascii="Arial" w:hAnsi="Arial" w:cs="Arial"/>
          <w:sz w:val="22"/>
          <w:szCs w:val="22"/>
        </w:rPr>
        <w:t xml:space="preserve">, </w:t>
      </w:r>
      <w:r w:rsidRPr="008700CB">
        <w:rPr>
          <w:rFonts w:ascii="Arial" w:hAnsi="Arial" w:cs="Arial"/>
          <w:sz w:val="22"/>
          <w:szCs w:val="22"/>
        </w:rPr>
        <w:t xml:space="preserve">the chronic hospitalization rate for </w:t>
      </w:r>
      <w:r>
        <w:rPr>
          <w:rFonts w:ascii="Arial" w:hAnsi="Arial" w:cs="Arial"/>
          <w:sz w:val="22"/>
          <w:szCs w:val="22"/>
        </w:rPr>
        <w:t xml:space="preserve">Finnish </w:t>
      </w:r>
      <w:r w:rsidRPr="008700CB">
        <w:rPr>
          <w:rFonts w:ascii="Arial" w:hAnsi="Arial" w:cs="Arial"/>
          <w:sz w:val="22"/>
          <w:szCs w:val="22"/>
        </w:rPr>
        <w:t>men increased</w:t>
      </w:r>
      <w:r>
        <w:rPr>
          <w:rFonts w:ascii="Arial" w:hAnsi="Arial" w:cs="Arial"/>
          <w:sz w:val="22"/>
          <w:szCs w:val="22"/>
        </w:rPr>
        <w:t xml:space="preserve"> by 22% among those aged 50-69 years, 11% for 40-49 year olds and 16% for </w:t>
      </w:r>
      <w:r w:rsidRPr="008700CB">
        <w:rPr>
          <w:rFonts w:ascii="Arial" w:hAnsi="Arial" w:cs="Arial"/>
          <w:sz w:val="22"/>
          <w:szCs w:val="22"/>
        </w:rPr>
        <w:t>15-39</w:t>
      </w:r>
      <w:r>
        <w:rPr>
          <w:rFonts w:ascii="Arial" w:hAnsi="Arial" w:cs="Arial"/>
          <w:sz w:val="22"/>
          <w:szCs w:val="22"/>
        </w:rPr>
        <w:t xml:space="preserve"> year olds</w:t>
      </w:r>
      <w:r w:rsidRPr="008700CB">
        <w:rPr>
          <w:rFonts w:ascii="Arial" w:hAnsi="Arial" w:cs="Arial"/>
          <w:sz w:val="22"/>
          <w:szCs w:val="22"/>
        </w:rPr>
        <w:t>.</w:t>
      </w:r>
      <w:r>
        <w:rPr>
          <w:rStyle w:val="FootnoteReference"/>
          <w:rFonts w:ascii="Arial" w:hAnsi="Arial" w:cs="Arial"/>
          <w:sz w:val="22"/>
          <w:szCs w:val="22"/>
        </w:rPr>
        <w:footnoteReference w:id="26"/>
      </w:r>
    </w:p>
    <w:p w14:paraId="7515DE42" w14:textId="1B472139" w:rsidR="007E014B" w:rsidRDefault="007E014B" w:rsidP="00AC0DA7">
      <w:pPr>
        <w:pStyle w:val="ListParagraph"/>
        <w:numPr>
          <w:ilvl w:val="0"/>
          <w:numId w:val="2"/>
        </w:numPr>
        <w:spacing w:after="60"/>
        <w:contextualSpacing w:val="0"/>
        <w:rPr>
          <w:rFonts w:ascii="Arial" w:hAnsi="Arial" w:cs="Arial"/>
          <w:sz w:val="22"/>
          <w:szCs w:val="22"/>
        </w:rPr>
      </w:pPr>
      <w:r>
        <w:rPr>
          <w:rFonts w:ascii="Arial" w:hAnsi="Arial" w:cs="Arial"/>
          <w:sz w:val="22"/>
          <w:szCs w:val="22"/>
        </w:rPr>
        <w:t xml:space="preserve">A 2009 increase in </w:t>
      </w:r>
      <w:r w:rsidRPr="00D248AA">
        <w:rPr>
          <w:rFonts w:ascii="Arial" w:hAnsi="Arial" w:cs="Arial"/>
          <w:sz w:val="22"/>
          <w:szCs w:val="22"/>
        </w:rPr>
        <w:t xml:space="preserve">alcohol taxes in Illinois </w:t>
      </w:r>
      <w:r>
        <w:rPr>
          <w:rFonts w:ascii="Arial" w:hAnsi="Arial" w:cs="Arial"/>
          <w:sz w:val="22"/>
          <w:szCs w:val="22"/>
        </w:rPr>
        <w:t xml:space="preserve">in the US was </w:t>
      </w:r>
      <w:r w:rsidRPr="00D248AA">
        <w:rPr>
          <w:rFonts w:ascii="Arial" w:hAnsi="Arial" w:cs="Arial"/>
          <w:sz w:val="22"/>
          <w:szCs w:val="22"/>
        </w:rPr>
        <w:t>associated more than two years later with a 26% reduction in fatal alcohol-related motor vehicle crashes, with drivers younger than 30 showing larger declines.</w:t>
      </w:r>
      <w:r>
        <w:rPr>
          <w:rStyle w:val="FootnoteReference"/>
          <w:rFonts w:ascii="Arial" w:hAnsi="Arial" w:cs="Arial"/>
          <w:sz w:val="22"/>
          <w:szCs w:val="22"/>
        </w:rPr>
        <w:footnoteReference w:id="27"/>
      </w:r>
    </w:p>
    <w:p w14:paraId="709E13E6" w14:textId="26770876" w:rsidR="007E014B" w:rsidRPr="00DB29CF" w:rsidRDefault="007E014B" w:rsidP="00AC0DA7">
      <w:pPr>
        <w:pStyle w:val="ListParagraph"/>
        <w:numPr>
          <w:ilvl w:val="0"/>
          <w:numId w:val="2"/>
        </w:numPr>
        <w:spacing w:after="60"/>
        <w:contextualSpacing w:val="0"/>
        <w:rPr>
          <w:rFonts w:ascii="Arial" w:hAnsi="Arial" w:cs="Arial"/>
          <w:sz w:val="22"/>
          <w:szCs w:val="22"/>
        </w:rPr>
      </w:pPr>
      <w:r>
        <w:rPr>
          <w:rFonts w:ascii="Arial" w:hAnsi="Arial" w:cs="Arial"/>
          <w:sz w:val="22"/>
          <w:szCs w:val="22"/>
        </w:rPr>
        <w:t xml:space="preserve">An Estonian study </w:t>
      </w:r>
      <w:r w:rsidRPr="00DB29CF">
        <w:rPr>
          <w:rFonts w:ascii="Arial" w:hAnsi="Arial" w:cs="Arial"/>
          <w:sz w:val="22"/>
          <w:szCs w:val="22"/>
        </w:rPr>
        <w:t>found a statistically significant strong negative relationship between the real average alcohol excise tax rate and alcohol-related traffic accidents.</w:t>
      </w:r>
      <w:r>
        <w:rPr>
          <w:rStyle w:val="FootnoteReference"/>
          <w:rFonts w:ascii="Arial" w:hAnsi="Arial" w:cs="Arial"/>
          <w:sz w:val="22"/>
          <w:szCs w:val="22"/>
        </w:rPr>
        <w:footnoteReference w:id="28"/>
      </w:r>
    </w:p>
    <w:p w14:paraId="16B2247A" w14:textId="45DB2B4A" w:rsidR="00373647" w:rsidRPr="00373647" w:rsidRDefault="007E014B" w:rsidP="00AC0DA7">
      <w:pPr>
        <w:pStyle w:val="ListParagraph"/>
        <w:numPr>
          <w:ilvl w:val="0"/>
          <w:numId w:val="2"/>
        </w:numPr>
        <w:spacing w:after="60"/>
        <w:contextualSpacing w:val="0"/>
        <w:rPr>
          <w:rFonts w:ascii="Arial" w:hAnsi="Arial" w:cs="Arial"/>
          <w:sz w:val="22"/>
          <w:szCs w:val="22"/>
        </w:rPr>
      </w:pPr>
      <w:r w:rsidRPr="00373647">
        <w:rPr>
          <w:rFonts w:ascii="Arial" w:hAnsi="Arial" w:cs="Arial"/>
          <w:sz w:val="22"/>
          <w:szCs w:val="22"/>
        </w:rPr>
        <w:t xml:space="preserve">The </w:t>
      </w:r>
      <w:r w:rsidRPr="00373647">
        <w:rPr>
          <w:rFonts w:ascii="Arial" w:hAnsi="Arial" w:cs="Arial"/>
          <w:i/>
          <w:sz w:val="22"/>
          <w:szCs w:val="22"/>
        </w:rPr>
        <w:t xml:space="preserve">Living with Alcohol </w:t>
      </w:r>
      <w:r>
        <w:rPr>
          <w:rFonts w:ascii="Arial" w:hAnsi="Arial" w:cs="Arial"/>
          <w:sz w:val="22"/>
          <w:szCs w:val="22"/>
        </w:rPr>
        <w:t>program</w:t>
      </w:r>
      <w:r w:rsidRPr="00373647">
        <w:rPr>
          <w:rFonts w:ascii="Arial" w:hAnsi="Arial" w:cs="Arial"/>
          <w:sz w:val="22"/>
          <w:szCs w:val="22"/>
        </w:rPr>
        <w:t xml:space="preserve"> implemented in the Northern Territory </w:t>
      </w:r>
      <w:r>
        <w:rPr>
          <w:rFonts w:ascii="Arial" w:hAnsi="Arial" w:cs="Arial"/>
          <w:sz w:val="22"/>
          <w:szCs w:val="22"/>
        </w:rPr>
        <w:t xml:space="preserve">in </w:t>
      </w:r>
      <w:r w:rsidRPr="00373647">
        <w:rPr>
          <w:rFonts w:ascii="Arial" w:hAnsi="Arial" w:cs="Arial"/>
          <w:sz w:val="22"/>
          <w:szCs w:val="22"/>
        </w:rPr>
        <w:t>1992</w:t>
      </w:r>
      <w:r>
        <w:rPr>
          <w:rFonts w:ascii="Arial" w:hAnsi="Arial" w:cs="Arial"/>
          <w:sz w:val="22"/>
          <w:szCs w:val="22"/>
        </w:rPr>
        <w:t xml:space="preserve"> </w:t>
      </w:r>
      <w:r w:rsidRPr="00373647">
        <w:rPr>
          <w:rFonts w:ascii="Arial" w:hAnsi="Arial" w:cs="Arial"/>
          <w:sz w:val="22"/>
          <w:szCs w:val="22"/>
        </w:rPr>
        <w:t>introduced a levy of 5 cents per standard drink on all alcoholic drinks of greater than 3 per cent strength with an extra levy of 35 cents per litre on cask wine. Though the effects of this levy were not disentangled from the effects of other measures in the program, an evaluation to the end of 1996</w:t>
      </w:r>
      <w:r>
        <w:rPr>
          <w:rStyle w:val="FootnoteReference"/>
          <w:rFonts w:ascii="Arial" w:hAnsi="Arial" w:cs="Arial"/>
        </w:rPr>
        <w:footnoteReference w:id="29"/>
      </w:r>
      <w:r w:rsidRPr="00373647">
        <w:rPr>
          <w:rFonts w:ascii="Arial" w:hAnsi="Arial" w:cs="Arial"/>
          <w:sz w:val="22"/>
          <w:szCs w:val="22"/>
        </w:rPr>
        <w:t xml:space="preserve"> </w:t>
      </w:r>
      <w:r w:rsidR="00373647" w:rsidRPr="00373647">
        <w:rPr>
          <w:rFonts w:ascii="Arial" w:hAnsi="Arial" w:cs="Arial"/>
          <w:sz w:val="22"/>
          <w:szCs w:val="22"/>
        </w:rPr>
        <w:t>found that</w:t>
      </w:r>
      <w:r w:rsidR="00373647">
        <w:rPr>
          <w:rFonts w:ascii="Arial" w:hAnsi="Arial" w:cs="Arial"/>
          <w:sz w:val="22"/>
          <w:szCs w:val="22"/>
        </w:rPr>
        <w:t xml:space="preserve"> it led to </w:t>
      </w:r>
      <w:r w:rsidR="00373647" w:rsidRPr="00373647">
        <w:rPr>
          <w:rFonts w:ascii="Arial" w:hAnsi="Arial" w:cs="Arial"/>
          <w:sz w:val="22"/>
          <w:szCs w:val="22"/>
        </w:rPr>
        <w:t>reductions in:</w:t>
      </w:r>
    </w:p>
    <w:p w14:paraId="4B2E1424" w14:textId="77777777" w:rsidR="00373647" w:rsidRDefault="00373647" w:rsidP="00AC0DA7">
      <w:pPr>
        <w:pStyle w:val="ListParagraph"/>
        <w:numPr>
          <w:ilvl w:val="1"/>
          <w:numId w:val="2"/>
        </w:numPr>
        <w:spacing w:after="60"/>
        <w:contextualSpacing w:val="0"/>
        <w:rPr>
          <w:rFonts w:ascii="Arial" w:hAnsi="Arial" w:cs="Arial"/>
          <w:sz w:val="22"/>
          <w:szCs w:val="22"/>
        </w:rPr>
      </w:pPr>
      <w:r w:rsidRPr="00373647">
        <w:rPr>
          <w:rFonts w:ascii="Arial" w:hAnsi="Arial" w:cs="Arial"/>
          <w:sz w:val="22"/>
          <w:szCs w:val="22"/>
        </w:rPr>
        <w:t xml:space="preserve">apparent per capita alcohol consumption of 22%, </w:t>
      </w:r>
    </w:p>
    <w:p w14:paraId="41C78F48" w14:textId="77777777" w:rsidR="00373647" w:rsidRDefault="00373647" w:rsidP="00AC0DA7">
      <w:pPr>
        <w:pStyle w:val="ListParagraph"/>
        <w:numPr>
          <w:ilvl w:val="1"/>
          <w:numId w:val="2"/>
        </w:numPr>
        <w:spacing w:after="60"/>
        <w:contextualSpacing w:val="0"/>
        <w:rPr>
          <w:rFonts w:ascii="Arial" w:hAnsi="Arial" w:cs="Arial"/>
          <w:sz w:val="22"/>
          <w:szCs w:val="22"/>
        </w:rPr>
      </w:pPr>
      <w:proofErr w:type="gramStart"/>
      <w:r w:rsidRPr="00373647">
        <w:rPr>
          <w:rFonts w:ascii="Arial" w:hAnsi="Arial" w:cs="Arial"/>
          <w:sz w:val="22"/>
          <w:szCs w:val="22"/>
        </w:rPr>
        <w:t>alcohol</w:t>
      </w:r>
      <w:proofErr w:type="gramEnd"/>
      <w:r w:rsidRPr="00373647">
        <w:rPr>
          <w:rFonts w:ascii="Arial" w:hAnsi="Arial" w:cs="Arial"/>
          <w:sz w:val="22"/>
          <w:szCs w:val="22"/>
        </w:rPr>
        <w:t xml:space="preserve"> related road deaths (34.5%) and hospitalisations (23.4%)</w:t>
      </w:r>
    </w:p>
    <w:p w14:paraId="1FD08DB5" w14:textId="28A80F3D" w:rsidR="00373647" w:rsidRDefault="00373647" w:rsidP="00AC0DA7">
      <w:pPr>
        <w:pStyle w:val="ListParagraph"/>
        <w:numPr>
          <w:ilvl w:val="1"/>
          <w:numId w:val="2"/>
        </w:numPr>
        <w:spacing w:after="60"/>
        <w:contextualSpacing w:val="0"/>
        <w:rPr>
          <w:rFonts w:ascii="Arial" w:hAnsi="Arial" w:cs="Arial"/>
          <w:sz w:val="22"/>
          <w:szCs w:val="22"/>
        </w:rPr>
      </w:pPr>
      <w:r w:rsidRPr="00373647">
        <w:rPr>
          <w:rFonts w:ascii="Arial" w:hAnsi="Arial" w:cs="Arial"/>
          <w:sz w:val="22"/>
          <w:szCs w:val="22"/>
        </w:rPr>
        <w:t>deaths (19%) and hospitalisations (2%) from acute alcohol related conditions other than road crashes (e</w:t>
      </w:r>
      <w:r>
        <w:rPr>
          <w:rFonts w:ascii="Arial" w:hAnsi="Arial" w:cs="Arial"/>
          <w:sz w:val="22"/>
          <w:szCs w:val="22"/>
        </w:rPr>
        <w:t>.</w:t>
      </w:r>
      <w:r w:rsidRPr="00373647">
        <w:rPr>
          <w:rFonts w:ascii="Arial" w:hAnsi="Arial" w:cs="Arial"/>
          <w:sz w:val="22"/>
          <w:szCs w:val="22"/>
        </w:rPr>
        <w:t>g</w:t>
      </w:r>
      <w:r>
        <w:rPr>
          <w:rFonts w:ascii="Arial" w:hAnsi="Arial" w:cs="Arial"/>
          <w:sz w:val="22"/>
          <w:szCs w:val="22"/>
        </w:rPr>
        <w:t>.</w:t>
      </w:r>
      <w:r w:rsidRPr="00373647">
        <w:rPr>
          <w:rFonts w:ascii="Arial" w:hAnsi="Arial" w:cs="Arial"/>
          <w:sz w:val="22"/>
          <w:szCs w:val="22"/>
        </w:rPr>
        <w:t xml:space="preserve"> other injuries, alcohol withdrawal) and</w:t>
      </w:r>
    </w:p>
    <w:p w14:paraId="63EDE2E2" w14:textId="4CFBC851" w:rsidR="00030BA1" w:rsidRPr="004F7DDF" w:rsidRDefault="00373647" w:rsidP="00AC0DA7">
      <w:pPr>
        <w:pStyle w:val="ListParagraph"/>
        <w:numPr>
          <w:ilvl w:val="1"/>
          <w:numId w:val="2"/>
        </w:numPr>
        <w:spacing w:after="60"/>
        <w:contextualSpacing w:val="0"/>
        <w:rPr>
          <w:rFonts w:ascii="Arial" w:hAnsi="Arial" w:cs="Arial"/>
          <w:sz w:val="22"/>
          <w:szCs w:val="22"/>
        </w:rPr>
      </w:pPr>
      <w:proofErr w:type="gramStart"/>
      <w:r w:rsidRPr="00373647">
        <w:rPr>
          <w:rFonts w:ascii="Arial" w:hAnsi="Arial" w:cs="Arial"/>
          <w:sz w:val="22"/>
          <w:szCs w:val="22"/>
        </w:rPr>
        <w:t>hospitalisations</w:t>
      </w:r>
      <w:proofErr w:type="gramEnd"/>
      <w:r w:rsidRPr="00373647">
        <w:rPr>
          <w:rFonts w:ascii="Arial" w:hAnsi="Arial" w:cs="Arial"/>
          <w:sz w:val="22"/>
          <w:szCs w:val="22"/>
        </w:rPr>
        <w:t xml:space="preserve"> (66%) for chronic alcohol related conditions (e.g. dependence, cirrhosis, various cancers).</w:t>
      </w:r>
    </w:p>
    <w:p w14:paraId="3825E9B2" w14:textId="77777777" w:rsidR="00030BA1" w:rsidRDefault="00030BA1" w:rsidP="007C6CD8">
      <w:pPr>
        <w:spacing w:line="21" w:lineRule="atLeast"/>
        <w:rPr>
          <w:rFonts w:ascii="Arial" w:hAnsi="Arial" w:cs="Arial"/>
          <w:sz w:val="22"/>
          <w:szCs w:val="22"/>
        </w:rPr>
      </w:pPr>
    </w:p>
    <w:p w14:paraId="591682D9" w14:textId="77777777" w:rsidR="00AC0DA7" w:rsidRPr="00FE6658" w:rsidRDefault="00AC0DA7" w:rsidP="007C6CD8">
      <w:pPr>
        <w:spacing w:line="21" w:lineRule="atLeast"/>
        <w:rPr>
          <w:rFonts w:ascii="Arial" w:hAnsi="Arial" w:cs="Arial"/>
          <w:sz w:val="22"/>
          <w:szCs w:val="22"/>
        </w:rPr>
      </w:pPr>
    </w:p>
    <w:p w14:paraId="0539E33F" w14:textId="29B95E9E" w:rsidR="00990D16" w:rsidRPr="009605BA" w:rsidRDefault="009605BA" w:rsidP="009605BA">
      <w:pPr>
        <w:pStyle w:val="ListParagraph"/>
        <w:numPr>
          <w:ilvl w:val="0"/>
          <w:numId w:val="4"/>
        </w:numPr>
        <w:spacing w:line="21" w:lineRule="atLeast"/>
        <w:rPr>
          <w:rFonts w:ascii="Arial" w:hAnsi="Arial" w:cs="Arial"/>
          <w:b/>
          <w:sz w:val="22"/>
          <w:szCs w:val="22"/>
        </w:rPr>
      </w:pPr>
      <w:r w:rsidRPr="009605BA">
        <w:rPr>
          <w:rFonts w:ascii="Arial" w:hAnsi="Arial" w:cs="Arial"/>
          <w:b/>
          <w:sz w:val="22"/>
          <w:szCs w:val="22"/>
        </w:rPr>
        <w:t>Taxation policy can have significant impacts on the price of alcohol</w:t>
      </w:r>
      <w:r w:rsidR="00791674">
        <w:rPr>
          <w:rFonts w:ascii="Arial" w:hAnsi="Arial" w:cs="Arial"/>
          <w:b/>
          <w:sz w:val="22"/>
          <w:szCs w:val="22"/>
        </w:rPr>
        <w:t xml:space="preserve"> and the affordability of some alcoholic drinks relative to others </w:t>
      </w:r>
    </w:p>
    <w:p w14:paraId="186E0BD3" w14:textId="77777777" w:rsidR="00187D9F" w:rsidRDefault="00187D9F" w:rsidP="009605BA">
      <w:pPr>
        <w:spacing w:line="21" w:lineRule="atLeast"/>
        <w:rPr>
          <w:rFonts w:ascii="Arial" w:hAnsi="Arial" w:cs="Arial"/>
          <w:b/>
          <w:i/>
          <w:sz w:val="22"/>
          <w:szCs w:val="22"/>
          <w:u w:val="single"/>
        </w:rPr>
      </w:pPr>
    </w:p>
    <w:p w14:paraId="7F4D4B41" w14:textId="4C188943" w:rsidR="00655838" w:rsidRPr="00655838" w:rsidRDefault="00655838" w:rsidP="009605BA">
      <w:pPr>
        <w:spacing w:line="21" w:lineRule="atLeast"/>
        <w:rPr>
          <w:rFonts w:ascii="Arial" w:hAnsi="Arial" w:cs="Arial"/>
          <w:b/>
          <w:i/>
          <w:sz w:val="22"/>
          <w:szCs w:val="22"/>
          <w:u w:val="single"/>
        </w:rPr>
      </w:pPr>
      <w:r w:rsidRPr="00655838">
        <w:rPr>
          <w:rFonts w:ascii="Arial" w:hAnsi="Arial" w:cs="Arial"/>
          <w:b/>
          <w:i/>
          <w:sz w:val="22"/>
          <w:szCs w:val="22"/>
          <w:u w:val="single"/>
        </w:rPr>
        <w:t>The premise behind taxation as an instrument of policy</w:t>
      </w:r>
    </w:p>
    <w:p w14:paraId="52C5267D" w14:textId="66DF44D6" w:rsidR="00857275" w:rsidRDefault="00187D9F" w:rsidP="009605BA">
      <w:pPr>
        <w:spacing w:line="21" w:lineRule="atLeast"/>
        <w:rPr>
          <w:rFonts w:ascii="Arial" w:hAnsi="Arial" w:cs="Arial"/>
          <w:sz w:val="22"/>
          <w:szCs w:val="22"/>
        </w:rPr>
      </w:pPr>
      <w:r>
        <w:rPr>
          <w:rFonts w:ascii="Arial" w:hAnsi="Arial" w:cs="Arial"/>
          <w:sz w:val="22"/>
          <w:szCs w:val="22"/>
        </w:rPr>
        <w:t>C</w:t>
      </w:r>
      <w:r w:rsidR="00736CFF">
        <w:rPr>
          <w:rFonts w:ascii="Arial" w:hAnsi="Arial" w:cs="Arial"/>
          <w:sz w:val="22"/>
          <w:szCs w:val="22"/>
        </w:rPr>
        <w:t xml:space="preserve">hanges in the rate of tax levied on particular commodities can </w:t>
      </w:r>
      <w:r>
        <w:rPr>
          <w:rFonts w:ascii="Arial" w:hAnsi="Arial" w:cs="Arial"/>
          <w:sz w:val="22"/>
          <w:szCs w:val="22"/>
        </w:rPr>
        <w:t xml:space="preserve">obviously </w:t>
      </w:r>
      <w:r w:rsidR="00736CFF">
        <w:rPr>
          <w:rFonts w:ascii="Arial" w:hAnsi="Arial" w:cs="Arial"/>
          <w:sz w:val="22"/>
          <w:szCs w:val="22"/>
        </w:rPr>
        <w:t>affect the affordability of these commodities. These consideration</w:t>
      </w:r>
      <w:r w:rsidR="00F30D62">
        <w:rPr>
          <w:rFonts w:ascii="Arial" w:hAnsi="Arial" w:cs="Arial"/>
          <w:sz w:val="22"/>
          <w:szCs w:val="22"/>
        </w:rPr>
        <w:t>s</w:t>
      </w:r>
      <w:r w:rsidR="00736CFF">
        <w:rPr>
          <w:rFonts w:ascii="Arial" w:hAnsi="Arial" w:cs="Arial"/>
          <w:sz w:val="22"/>
          <w:szCs w:val="22"/>
        </w:rPr>
        <w:t xml:space="preserve"> apply as much </w:t>
      </w:r>
      <w:proofErr w:type="gramStart"/>
      <w:r w:rsidR="00736CFF">
        <w:rPr>
          <w:rFonts w:ascii="Arial" w:hAnsi="Arial" w:cs="Arial"/>
          <w:sz w:val="22"/>
          <w:szCs w:val="22"/>
        </w:rPr>
        <w:t>to</w:t>
      </w:r>
      <w:proofErr w:type="gramEnd"/>
      <w:r w:rsidR="00736CFF">
        <w:rPr>
          <w:rFonts w:ascii="Arial" w:hAnsi="Arial" w:cs="Arial"/>
          <w:sz w:val="22"/>
          <w:szCs w:val="22"/>
        </w:rPr>
        <w:t xml:space="preserve"> alcoholic drinks as they do to other goods and services in the economy. </w:t>
      </w:r>
      <w:r w:rsidR="00857275">
        <w:rPr>
          <w:rFonts w:ascii="Arial" w:hAnsi="Arial" w:cs="Arial"/>
          <w:sz w:val="22"/>
          <w:szCs w:val="22"/>
        </w:rPr>
        <w:t xml:space="preserve">The </w:t>
      </w:r>
      <w:r w:rsidR="00082B14">
        <w:rPr>
          <w:rFonts w:ascii="Arial" w:hAnsi="Arial" w:cs="Arial"/>
          <w:sz w:val="22"/>
          <w:szCs w:val="22"/>
        </w:rPr>
        <w:t xml:space="preserve">Tax </w:t>
      </w:r>
      <w:r w:rsidR="00857275">
        <w:rPr>
          <w:rFonts w:ascii="Arial" w:hAnsi="Arial" w:cs="Arial"/>
          <w:sz w:val="22"/>
          <w:szCs w:val="22"/>
        </w:rPr>
        <w:t xml:space="preserve">Discussion Paper recognises that the taxation </w:t>
      </w:r>
      <w:r w:rsidR="00857275">
        <w:rPr>
          <w:rFonts w:ascii="Arial" w:hAnsi="Arial" w:cs="Arial"/>
          <w:sz w:val="22"/>
          <w:szCs w:val="22"/>
        </w:rPr>
        <w:lastRenderedPageBreak/>
        <w:t>treatmen</w:t>
      </w:r>
      <w:r w:rsidR="00655838">
        <w:rPr>
          <w:rFonts w:ascii="Arial" w:hAnsi="Arial" w:cs="Arial"/>
          <w:sz w:val="22"/>
          <w:szCs w:val="22"/>
        </w:rPr>
        <w:t xml:space="preserve">t of different alcoholic drinks can, by </w:t>
      </w:r>
      <w:r w:rsidR="00857275">
        <w:rPr>
          <w:rFonts w:ascii="Arial" w:hAnsi="Arial" w:cs="Arial"/>
          <w:sz w:val="22"/>
          <w:szCs w:val="22"/>
        </w:rPr>
        <w:t>affect</w:t>
      </w:r>
      <w:r w:rsidR="00655838">
        <w:rPr>
          <w:rFonts w:ascii="Arial" w:hAnsi="Arial" w:cs="Arial"/>
          <w:sz w:val="22"/>
          <w:szCs w:val="22"/>
        </w:rPr>
        <w:t>ing</w:t>
      </w:r>
      <w:r w:rsidR="00857275">
        <w:rPr>
          <w:rFonts w:ascii="Arial" w:hAnsi="Arial" w:cs="Arial"/>
          <w:sz w:val="22"/>
          <w:szCs w:val="22"/>
        </w:rPr>
        <w:t xml:space="preserve"> the prices </w:t>
      </w:r>
      <w:r w:rsidR="00655838">
        <w:rPr>
          <w:rFonts w:ascii="Arial" w:hAnsi="Arial" w:cs="Arial"/>
          <w:sz w:val="22"/>
          <w:szCs w:val="22"/>
        </w:rPr>
        <w:t xml:space="preserve">of these alcoholic drinks, also </w:t>
      </w:r>
      <w:r w:rsidR="00857275">
        <w:rPr>
          <w:rFonts w:ascii="Arial" w:hAnsi="Arial" w:cs="Arial"/>
          <w:sz w:val="22"/>
          <w:szCs w:val="22"/>
        </w:rPr>
        <w:t>affect production and consumption decisions</w:t>
      </w:r>
      <w:r w:rsidR="00655838">
        <w:rPr>
          <w:rFonts w:ascii="Arial" w:hAnsi="Arial" w:cs="Arial"/>
          <w:sz w:val="22"/>
          <w:szCs w:val="22"/>
        </w:rPr>
        <w:t xml:space="preserve"> associated with these drinks</w:t>
      </w:r>
      <w:r w:rsidR="00857275">
        <w:rPr>
          <w:rFonts w:ascii="Arial" w:hAnsi="Arial" w:cs="Arial"/>
          <w:sz w:val="22"/>
          <w:szCs w:val="22"/>
        </w:rPr>
        <w:t>.</w:t>
      </w:r>
      <w:r w:rsidR="00857275">
        <w:rPr>
          <w:rStyle w:val="FootnoteReference"/>
          <w:rFonts w:ascii="Arial" w:hAnsi="Arial" w:cs="Arial"/>
          <w:sz w:val="22"/>
          <w:szCs w:val="22"/>
        </w:rPr>
        <w:footnoteReference w:id="30"/>
      </w:r>
      <w:r w:rsidR="00857275">
        <w:rPr>
          <w:rFonts w:ascii="Arial" w:hAnsi="Arial" w:cs="Arial"/>
          <w:sz w:val="22"/>
          <w:szCs w:val="22"/>
        </w:rPr>
        <w:t xml:space="preserve"> </w:t>
      </w:r>
    </w:p>
    <w:p w14:paraId="0AAE729B" w14:textId="77777777" w:rsidR="00857275" w:rsidRDefault="00857275" w:rsidP="009605BA">
      <w:pPr>
        <w:spacing w:line="21" w:lineRule="atLeast"/>
        <w:rPr>
          <w:rFonts w:ascii="Arial" w:hAnsi="Arial" w:cs="Arial"/>
          <w:sz w:val="22"/>
          <w:szCs w:val="22"/>
        </w:rPr>
      </w:pPr>
    </w:p>
    <w:p w14:paraId="25BE403B" w14:textId="7FE4F2DC" w:rsidR="007D73EA" w:rsidRPr="007D73EA" w:rsidRDefault="007D73EA" w:rsidP="009605BA">
      <w:pPr>
        <w:spacing w:line="21" w:lineRule="atLeast"/>
        <w:rPr>
          <w:rFonts w:ascii="Arial" w:hAnsi="Arial" w:cs="Arial"/>
          <w:b/>
          <w:i/>
          <w:sz w:val="22"/>
          <w:szCs w:val="22"/>
          <w:u w:val="single"/>
        </w:rPr>
      </w:pPr>
      <w:r w:rsidRPr="007D73EA">
        <w:rPr>
          <w:rFonts w:ascii="Arial" w:hAnsi="Arial" w:cs="Arial"/>
          <w:b/>
          <w:i/>
          <w:sz w:val="22"/>
          <w:szCs w:val="22"/>
          <w:u w:val="single"/>
        </w:rPr>
        <w:t>Current discrepancies in the taxation treatment of alcohol</w:t>
      </w:r>
    </w:p>
    <w:p w14:paraId="3F512EB7" w14:textId="5B9F3A12" w:rsidR="00736CFF" w:rsidRDefault="00030BA1" w:rsidP="009605BA">
      <w:pPr>
        <w:spacing w:line="21" w:lineRule="atLeast"/>
        <w:rPr>
          <w:rFonts w:ascii="Arial" w:hAnsi="Arial" w:cs="Arial"/>
          <w:sz w:val="22"/>
          <w:szCs w:val="22"/>
        </w:rPr>
      </w:pPr>
      <w:r>
        <w:rPr>
          <w:rFonts w:ascii="Arial" w:hAnsi="Arial" w:cs="Arial"/>
          <w:sz w:val="22"/>
          <w:szCs w:val="22"/>
        </w:rPr>
        <w:t xml:space="preserve">The </w:t>
      </w:r>
      <w:r w:rsidR="00082B14">
        <w:rPr>
          <w:rFonts w:ascii="Arial" w:hAnsi="Arial" w:cs="Arial"/>
          <w:sz w:val="22"/>
          <w:szCs w:val="22"/>
        </w:rPr>
        <w:t xml:space="preserve">Tax </w:t>
      </w:r>
      <w:r w:rsidR="00736CFF">
        <w:rPr>
          <w:rFonts w:ascii="Arial" w:hAnsi="Arial" w:cs="Arial"/>
          <w:sz w:val="22"/>
          <w:szCs w:val="22"/>
        </w:rPr>
        <w:t xml:space="preserve">Discussion Paper </w:t>
      </w:r>
      <w:r w:rsidR="007D73EA">
        <w:rPr>
          <w:rFonts w:ascii="Arial" w:hAnsi="Arial" w:cs="Arial"/>
          <w:sz w:val="22"/>
          <w:szCs w:val="22"/>
        </w:rPr>
        <w:t>documents the numerous discrepancies in</w:t>
      </w:r>
      <w:r>
        <w:rPr>
          <w:rFonts w:ascii="Arial" w:hAnsi="Arial" w:cs="Arial"/>
          <w:sz w:val="22"/>
          <w:szCs w:val="22"/>
        </w:rPr>
        <w:t xml:space="preserve"> the current alcoh</w:t>
      </w:r>
      <w:r w:rsidR="00857275">
        <w:rPr>
          <w:rFonts w:ascii="Arial" w:hAnsi="Arial" w:cs="Arial"/>
          <w:sz w:val="22"/>
          <w:szCs w:val="22"/>
        </w:rPr>
        <w:t>ol taxation system</w:t>
      </w:r>
      <w:r w:rsidR="007D73EA">
        <w:rPr>
          <w:rFonts w:ascii="Arial" w:hAnsi="Arial" w:cs="Arial"/>
          <w:sz w:val="22"/>
          <w:szCs w:val="22"/>
        </w:rPr>
        <w:t xml:space="preserve"> resulting </w:t>
      </w:r>
      <w:r>
        <w:rPr>
          <w:rFonts w:ascii="Arial" w:hAnsi="Arial" w:cs="Arial"/>
          <w:sz w:val="22"/>
          <w:szCs w:val="22"/>
        </w:rPr>
        <w:t>in some alcoholic drinks being taxed (and therefore priced) significantly differently from others, sometimes in the absence of any obvious rationale. For instance:</w:t>
      </w:r>
      <w:r>
        <w:rPr>
          <w:rStyle w:val="FootnoteReference"/>
          <w:rFonts w:ascii="Arial" w:hAnsi="Arial" w:cs="Arial"/>
          <w:sz w:val="22"/>
          <w:szCs w:val="22"/>
        </w:rPr>
        <w:footnoteReference w:id="31"/>
      </w:r>
    </w:p>
    <w:p w14:paraId="1F5D72BC" w14:textId="62B3ED1F" w:rsidR="00736CFF" w:rsidRDefault="00736CFF" w:rsidP="00736CFF">
      <w:pPr>
        <w:pStyle w:val="ListParagraph"/>
        <w:numPr>
          <w:ilvl w:val="0"/>
          <w:numId w:val="2"/>
        </w:numPr>
        <w:spacing w:line="21" w:lineRule="atLeast"/>
        <w:rPr>
          <w:rFonts w:ascii="Arial" w:hAnsi="Arial" w:cs="Arial"/>
          <w:sz w:val="22"/>
          <w:szCs w:val="22"/>
        </w:rPr>
      </w:pPr>
      <w:r>
        <w:rPr>
          <w:rFonts w:ascii="Arial" w:hAnsi="Arial" w:cs="Arial"/>
          <w:sz w:val="22"/>
          <w:szCs w:val="22"/>
        </w:rPr>
        <w:t>Most beer and spirits are</w:t>
      </w:r>
      <w:r w:rsidRPr="009605BA">
        <w:rPr>
          <w:rFonts w:ascii="Arial" w:hAnsi="Arial" w:cs="Arial"/>
          <w:sz w:val="22"/>
          <w:szCs w:val="22"/>
        </w:rPr>
        <w:t xml:space="preserve"> taxed on the basis of the</w:t>
      </w:r>
      <w:r>
        <w:rPr>
          <w:rFonts w:ascii="Arial" w:hAnsi="Arial" w:cs="Arial"/>
          <w:sz w:val="22"/>
          <w:szCs w:val="22"/>
        </w:rPr>
        <w:t>ir</w:t>
      </w:r>
      <w:r w:rsidRPr="009605BA">
        <w:rPr>
          <w:rFonts w:ascii="Arial" w:hAnsi="Arial" w:cs="Arial"/>
          <w:sz w:val="22"/>
          <w:szCs w:val="22"/>
        </w:rPr>
        <w:t xml:space="preserve"> alcohol content</w:t>
      </w:r>
      <w:r>
        <w:rPr>
          <w:rFonts w:ascii="Arial" w:hAnsi="Arial" w:cs="Arial"/>
          <w:sz w:val="22"/>
          <w:szCs w:val="22"/>
        </w:rPr>
        <w:t xml:space="preserve"> (i.e. on a volumetric basis) and at the same time subject to different </w:t>
      </w:r>
      <w:r w:rsidRPr="009605BA">
        <w:rPr>
          <w:rFonts w:ascii="Arial" w:hAnsi="Arial" w:cs="Arial"/>
          <w:sz w:val="22"/>
          <w:szCs w:val="22"/>
        </w:rPr>
        <w:t>rates based upon the volume of alcohol and how</w:t>
      </w:r>
      <w:r>
        <w:rPr>
          <w:rFonts w:ascii="Arial" w:hAnsi="Arial" w:cs="Arial"/>
          <w:sz w:val="22"/>
          <w:szCs w:val="22"/>
        </w:rPr>
        <w:t xml:space="preserve"> </w:t>
      </w:r>
      <w:r w:rsidRPr="009605BA">
        <w:rPr>
          <w:rFonts w:ascii="Arial" w:hAnsi="Arial" w:cs="Arial"/>
          <w:sz w:val="22"/>
          <w:szCs w:val="22"/>
        </w:rPr>
        <w:t>they are packaged</w:t>
      </w:r>
      <w:r>
        <w:rPr>
          <w:rFonts w:ascii="Arial" w:hAnsi="Arial" w:cs="Arial"/>
          <w:sz w:val="22"/>
          <w:szCs w:val="22"/>
        </w:rPr>
        <w:t xml:space="preserve">. </w:t>
      </w:r>
      <w:r w:rsidR="00136B0E">
        <w:rPr>
          <w:rFonts w:ascii="Arial" w:hAnsi="Arial" w:cs="Arial"/>
          <w:sz w:val="22"/>
          <w:szCs w:val="22"/>
        </w:rPr>
        <w:t>For instance, draught beer is taxed at a lower rate than packaged beer.</w:t>
      </w:r>
    </w:p>
    <w:p w14:paraId="11CC4916" w14:textId="111CDE1E" w:rsidR="00E77944" w:rsidRDefault="002A00B0" w:rsidP="00E77944">
      <w:pPr>
        <w:pStyle w:val="ListParagraph"/>
        <w:numPr>
          <w:ilvl w:val="0"/>
          <w:numId w:val="2"/>
        </w:numPr>
        <w:spacing w:line="21" w:lineRule="atLeast"/>
        <w:rPr>
          <w:rFonts w:ascii="Arial" w:hAnsi="Arial" w:cs="Arial"/>
          <w:sz w:val="22"/>
          <w:szCs w:val="22"/>
        </w:rPr>
      </w:pPr>
      <w:r>
        <w:rPr>
          <w:rFonts w:ascii="Arial" w:hAnsi="Arial" w:cs="Arial"/>
          <w:sz w:val="22"/>
          <w:szCs w:val="22"/>
        </w:rPr>
        <w:t>W</w:t>
      </w:r>
      <w:r w:rsidR="00736CFF">
        <w:rPr>
          <w:rFonts w:ascii="Arial" w:hAnsi="Arial" w:cs="Arial"/>
          <w:sz w:val="22"/>
          <w:szCs w:val="22"/>
        </w:rPr>
        <w:t>ine</w:t>
      </w:r>
      <w:r>
        <w:rPr>
          <w:rFonts w:ascii="Arial" w:hAnsi="Arial" w:cs="Arial"/>
          <w:sz w:val="22"/>
          <w:szCs w:val="22"/>
        </w:rPr>
        <w:t xml:space="preserve"> (and cider which is treated under legislation as wine for tax purposes)</w:t>
      </w:r>
      <w:r w:rsidR="00736CFF">
        <w:rPr>
          <w:rFonts w:ascii="Arial" w:hAnsi="Arial" w:cs="Arial"/>
          <w:sz w:val="22"/>
          <w:szCs w:val="22"/>
        </w:rPr>
        <w:t xml:space="preserve"> is ta</w:t>
      </w:r>
      <w:r w:rsidR="00E77944">
        <w:rPr>
          <w:rFonts w:ascii="Arial" w:hAnsi="Arial" w:cs="Arial"/>
          <w:sz w:val="22"/>
          <w:szCs w:val="22"/>
        </w:rPr>
        <w:t xml:space="preserve">xed </w:t>
      </w:r>
      <w:r>
        <w:rPr>
          <w:rFonts w:ascii="Arial" w:hAnsi="Arial" w:cs="Arial"/>
          <w:sz w:val="22"/>
          <w:szCs w:val="22"/>
        </w:rPr>
        <w:t xml:space="preserve">according to the Wine Equalisation Tax (WET) </w:t>
      </w:r>
      <w:r w:rsidR="00E77944">
        <w:rPr>
          <w:rFonts w:ascii="Arial" w:hAnsi="Arial" w:cs="Arial"/>
          <w:sz w:val="22"/>
          <w:szCs w:val="22"/>
        </w:rPr>
        <w:t>at a rate of 29 per cent of its wholesale price</w:t>
      </w:r>
      <w:r w:rsidR="00736CFF">
        <w:rPr>
          <w:rFonts w:ascii="Arial" w:hAnsi="Arial" w:cs="Arial"/>
          <w:sz w:val="22"/>
          <w:szCs w:val="22"/>
        </w:rPr>
        <w:t>. In practice, this leaves the cheaper cask wine almost untaxed while r</w:t>
      </w:r>
      <w:r>
        <w:rPr>
          <w:rFonts w:ascii="Arial" w:hAnsi="Arial" w:cs="Arial"/>
          <w:sz w:val="22"/>
          <w:szCs w:val="22"/>
        </w:rPr>
        <w:t xml:space="preserve">esulting in higher taxes on </w:t>
      </w:r>
      <w:r w:rsidR="00736CFF">
        <w:rPr>
          <w:rFonts w:ascii="Arial" w:hAnsi="Arial" w:cs="Arial"/>
          <w:sz w:val="22"/>
          <w:szCs w:val="22"/>
        </w:rPr>
        <w:t>more expensive wines</w:t>
      </w:r>
      <w:r w:rsidR="003D2374">
        <w:rPr>
          <w:rFonts w:ascii="Arial" w:hAnsi="Arial" w:cs="Arial"/>
          <w:sz w:val="22"/>
          <w:szCs w:val="22"/>
        </w:rPr>
        <w:t>. Further complicating this structure, a rebate on the WET up to a maximum of $500,000 each financial year is available which means that small wine producer</w:t>
      </w:r>
      <w:r w:rsidR="007D73EA">
        <w:rPr>
          <w:rFonts w:ascii="Arial" w:hAnsi="Arial" w:cs="Arial"/>
          <w:sz w:val="22"/>
          <w:szCs w:val="22"/>
        </w:rPr>
        <w:t xml:space="preserve">s </w:t>
      </w:r>
      <w:r w:rsidR="003D2374">
        <w:rPr>
          <w:rFonts w:ascii="Arial" w:hAnsi="Arial" w:cs="Arial"/>
          <w:sz w:val="22"/>
          <w:szCs w:val="22"/>
        </w:rPr>
        <w:t>end up paying very little net WET</w:t>
      </w:r>
      <w:r w:rsidR="00A64F61">
        <w:rPr>
          <w:rFonts w:ascii="Arial" w:hAnsi="Arial" w:cs="Arial"/>
          <w:sz w:val="22"/>
          <w:szCs w:val="22"/>
        </w:rPr>
        <w:t xml:space="preserve"> or none at all</w:t>
      </w:r>
      <w:r w:rsidR="003D2374">
        <w:rPr>
          <w:rFonts w:ascii="Arial" w:hAnsi="Arial" w:cs="Arial"/>
          <w:sz w:val="22"/>
          <w:szCs w:val="22"/>
        </w:rPr>
        <w:t xml:space="preserve">. </w:t>
      </w:r>
    </w:p>
    <w:p w14:paraId="4882E8D8" w14:textId="77777777" w:rsidR="00017C3B" w:rsidRDefault="00017C3B" w:rsidP="00927A5F">
      <w:pPr>
        <w:spacing w:line="21" w:lineRule="atLeast"/>
        <w:rPr>
          <w:rFonts w:ascii="Arial" w:hAnsi="Arial" w:cs="Arial"/>
          <w:sz w:val="22"/>
          <w:szCs w:val="22"/>
        </w:rPr>
      </w:pPr>
    </w:p>
    <w:p w14:paraId="2A2E54B6" w14:textId="3C8A57E8" w:rsidR="00927A5F" w:rsidRDefault="00B71BAA" w:rsidP="00927A5F">
      <w:pPr>
        <w:spacing w:line="21" w:lineRule="atLeast"/>
        <w:rPr>
          <w:rFonts w:ascii="Arial" w:hAnsi="Arial" w:cs="Arial"/>
          <w:sz w:val="22"/>
          <w:szCs w:val="22"/>
        </w:rPr>
      </w:pPr>
      <w:r>
        <w:rPr>
          <w:rFonts w:ascii="Arial" w:hAnsi="Arial" w:cs="Arial"/>
          <w:sz w:val="22"/>
          <w:szCs w:val="22"/>
        </w:rPr>
        <w:t xml:space="preserve">It is appropriate to maintain </w:t>
      </w:r>
      <w:r w:rsidR="00857275">
        <w:rPr>
          <w:rFonts w:ascii="Arial" w:hAnsi="Arial" w:cs="Arial"/>
          <w:sz w:val="22"/>
          <w:szCs w:val="22"/>
        </w:rPr>
        <w:t xml:space="preserve">differentiated </w:t>
      </w:r>
      <w:r w:rsidR="00A10C76">
        <w:rPr>
          <w:rFonts w:ascii="Arial" w:hAnsi="Arial" w:cs="Arial"/>
          <w:sz w:val="22"/>
          <w:szCs w:val="22"/>
        </w:rPr>
        <w:t>rates of taxation between different categories</w:t>
      </w:r>
      <w:r>
        <w:rPr>
          <w:rFonts w:ascii="Arial" w:hAnsi="Arial" w:cs="Arial"/>
          <w:sz w:val="22"/>
          <w:szCs w:val="22"/>
        </w:rPr>
        <w:t xml:space="preserve"> of alcoholic beverage</w:t>
      </w:r>
      <w:r w:rsidR="007D73EA">
        <w:rPr>
          <w:rFonts w:ascii="Arial" w:hAnsi="Arial" w:cs="Arial"/>
          <w:sz w:val="22"/>
          <w:szCs w:val="22"/>
        </w:rPr>
        <w:t xml:space="preserve"> </w:t>
      </w:r>
      <w:r w:rsidR="00AC0DA7">
        <w:rPr>
          <w:rFonts w:ascii="Arial" w:hAnsi="Arial" w:cs="Arial"/>
          <w:sz w:val="22"/>
          <w:szCs w:val="22"/>
        </w:rPr>
        <w:t xml:space="preserve">- </w:t>
      </w:r>
      <w:r w:rsidR="007D73EA">
        <w:rPr>
          <w:rFonts w:ascii="Arial" w:hAnsi="Arial" w:cs="Arial"/>
          <w:sz w:val="22"/>
          <w:szCs w:val="22"/>
        </w:rPr>
        <w:t xml:space="preserve">indeed this is one of our recommendations </w:t>
      </w:r>
      <w:r w:rsidR="00F16C0F">
        <w:rPr>
          <w:rFonts w:ascii="Arial" w:hAnsi="Arial" w:cs="Arial"/>
          <w:sz w:val="22"/>
          <w:szCs w:val="22"/>
        </w:rPr>
        <w:t>(</w:t>
      </w:r>
      <w:r w:rsidR="007D73EA">
        <w:rPr>
          <w:rFonts w:ascii="Arial" w:hAnsi="Arial" w:cs="Arial"/>
          <w:sz w:val="22"/>
          <w:szCs w:val="22"/>
        </w:rPr>
        <w:t>see below)</w:t>
      </w:r>
      <w:r w:rsidR="00AC0DA7">
        <w:rPr>
          <w:rFonts w:ascii="Arial" w:hAnsi="Arial" w:cs="Arial"/>
          <w:sz w:val="22"/>
          <w:szCs w:val="22"/>
        </w:rPr>
        <w:t>.  However</w:t>
      </w:r>
      <w:r w:rsidR="00A10C76">
        <w:rPr>
          <w:rFonts w:ascii="Arial" w:hAnsi="Arial" w:cs="Arial"/>
          <w:sz w:val="22"/>
          <w:szCs w:val="22"/>
        </w:rPr>
        <w:t xml:space="preserve"> there is no indication that cur</w:t>
      </w:r>
      <w:r>
        <w:rPr>
          <w:rFonts w:ascii="Arial" w:hAnsi="Arial" w:cs="Arial"/>
          <w:sz w:val="22"/>
          <w:szCs w:val="22"/>
        </w:rPr>
        <w:t xml:space="preserve">rent rates </w:t>
      </w:r>
      <w:r w:rsidR="00017C3B">
        <w:rPr>
          <w:rFonts w:ascii="Arial" w:hAnsi="Arial" w:cs="Arial"/>
          <w:sz w:val="22"/>
          <w:szCs w:val="22"/>
        </w:rPr>
        <w:t xml:space="preserve">reflect any coherent policy rationale such as linking tax rates with the </w:t>
      </w:r>
      <w:r w:rsidR="00A10C76">
        <w:rPr>
          <w:rFonts w:ascii="Arial" w:hAnsi="Arial" w:cs="Arial"/>
          <w:sz w:val="22"/>
          <w:szCs w:val="22"/>
        </w:rPr>
        <w:t>levels of alcohol related harm associated with each</w:t>
      </w:r>
      <w:r w:rsidR="00017C3B">
        <w:rPr>
          <w:rFonts w:ascii="Arial" w:hAnsi="Arial" w:cs="Arial"/>
          <w:sz w:val="22"/>
          <w:szCs w:val="22"/>
        </w:rPr>
        <w:t xml:space="preserve"> type of drink</w:t>
      </w:r>
      <w:r w:rsidR="00A10C76">
        <w:rPr>
          <w:rFonts w:ascii="Arial" w:hAnsi="Arial" w:cs="Arial"/>
          <w:sz w:val="22"/>
          <w:szCs w:val="22"/>
        </w:rPr>
        <w:t xml:space="preserve">. For instance, the </w:t>
      </w:r>
      <w:r w:rsidR="008B28E7">
        <w:rPr>
          <w:rFonts w:ascii="Arial" w:hAnsi="Arial" w:cs="Arial"/>
          <w:sz w:val="22"/>
          <w:szCs w:val="22"/>
        </w:rPr>
        <w:t xml:space="preserve">financial incentives are for the </w:t>
      </w:r>
      <w:r w:rsidR="00A10C76">
        <w:rPr>
          <w:rFonts w:ascii="Arial" w:hAnsi="Arial" w:cs="Arial"/>
          <w:sz w:val="22"/>
          <w:szCs w:val="22"/>
        </w:rPr>
        <w:t xml:space="preserve">highest risk drinkers </w:t>
      </w:r>
      <w:r w:rsidR="00524D75">
        <w:rPr>
          <w:rFonts w:ascii="Arial" w:hAnsi="Arial" w:cs="Arial"/>
          <w:sz w:val="22"/>
          <w:szCs w:val="22"/>
        </w:rPr>
        <w:t xml:space="preserve">to seek out drinks </w:t>
      </w:r>
      <w:r w:rsidR="008B28E7">
        <w:rPr>
          <w:rFonts w:ascii="Arial" w:hAnsi="Arial" w:cs="Arial"/>
          <w:sz w:val="22"/>
          <w:szCs w:val="22"/>
        </w:rPr>
        <w:t xml:space="preserve">with the </w:t>
      </w:r>
      <w:r w:rsidR="00524D75">
        <w:rPr>
          <w:rFonts w:ascii="Arial" w:hAnsi="Arial" w:cs="Arial"/>
          <w:sz w:val="22"/>
          <w:szCs w:val="22"/>
        </w:rPr>
        <w:t>highest alcoholic concentration at the lowest price.</w:t>
      </w:r>
      <w:r w:rsidR="008B28E7">
        <w:rPr>
          <w:rStyle w:val="FootnoteReference"/>
          <w:rFonts w:ascii="Arial" w:hAnsi="Arial" w:cs="Arial"/>
          <w:sz w:val="22"/>
          <w:szCs w:val="22"/>
        </w:rPr>
        <w:footnoteReference w:id="32"/>
      </w:r>
      <w:r w:rsidR="00524D75">
        <w:rPr>
          <w:rFonts w:ascii="Arial" w:hAnsi="Arial" w:cs="Arial"/>
          <w:sz w:val="22"/>
          <w:szCs w:val="22"/>
        </w:rPr>
        <w:t xml:space="preserve"> This tends to be cask wine</w:t>
      </w:r>
      <w:r w:rsidR="00A10C76">
        <w:rPr>
          <w:rFonts w:ascii="Arial" w:hAnsi="Arial" w:cs="Arial"/>
          <w:sz w:val="22"/>
          <w:szCs w:val="22"/>
        </w:rPr>
        <w:t>,</w:t>
      </w:r>
      <w:r w:rsidR="00524D75">
        <w:rPr>
          <w:rFonts w:ascii="Arial" w:hAnsi="Arial" w:cs="Arial"/>
          <w:sz w:val="22"/>
          <w:szCs w:val="22"/>
        </w:rPr>
        <w:t xml:space="preserve"> yet currently </w:t>
      </w:r>
      <w:r w:rsidR="00B321E4" w:rsidRPr="00B321E4">
        <w:rPr>
          <w:rFonts w:ascii="Arial" w:hAnsi="Arial" w:cs="Arial"/>
          <w:sz w:val="22"/>
          <w:szCs w:val="22"/>
        </w:rPr>
        <w:t>cask wine is taxed</w:t>
      </w:r>
      <w:r w:rsidR="00524D75">
        <w:rPr>
          <w:rFonts w:ascii="Arial" w:hAnsi="Arial" w:cs="Arial"/>
          <w:sz w:val="22"/>
          <w:szCs w:val="22"/>
        </w:rPr>
        <w:t xml:space="preserve"> at</w:t>
      </w:r>
      <w:r w:rsidR="00A10C76">
        <w:rPr>
          <w:rFonts w:ascii="Arial" w:hAnsi="Arial" w:cs="Arial"/>
          <w:sz w:val="22"/>
          <w:szCs w:val="22"/>
        </w:rPr>
        <w:t xml:space="preserve"> the lowest rate in terms of dollars per litre of pure alcohol.</w:t>
      </w:r>
      <w:r w:rsidR="00A10C76">
        <w:rPr>
          <w:rStyle w:val="FootnoteReference"/>
          <w:rFonts w:ascii="Arial" w:hAnsi="Arial" w:cs="Arial"/>
          <w:sz w:val="22"/>
          <w:szCs w:val="22"/>
        </w:rPr>
        <w:footnoteReference w:id="33"/>
      </w:r>
      <w:r w:rsidR="00A10C76">
        <w:rPr>
          <w:rFonts w:ascii="Arial" w:hAnsi="Arial" w:cs="Arial"/>
          <w:sz w:val="22"/>
          <w:szCs w:val="22"/>
        </w:rPr>
        <w:t xml:space="preserve"> This is precisely the opposite of </w:t>
      </w:r>
      <w:r w:rsidR="00F16C0F">
        <w:rPr>
          <w:rFonts w:ascii="Arial" w:hAnsi="Arial" w:cs="Arial"/>
          <w:sz w:val="22"/>
          <w:szCs w:val="22"/>
        </w:rPr>
        <w:t xml:space="preserve">how research indicates it should be taxed, </w:t>
      </w:r>
      <w:r w:rsidR="00A10C76">
        <w:rPr>
          <w:rFonts w:ascii="Arial" w:hAnsi="Arial" w:cs="Arial"/>
          <w:sz w:val="22"/>
          <w:szCs w:val="22"/>
        </w:rPr>
        <w:t xml:space="preserve">with one study estimating that the </w:t>
      </w:r>
      <w:r w:rsidR="00927A5F" w:rsidRPr="00B321E4">
        <w:rPr>
          <w:rFonts w:ascii="Arial" w:hAnsi="Arial" w:cs="Arial"/>
          <w:sz w:val="22"/>
          <w:szCs w:val="22"/>
        </w:rPr>
        <w:t>tax applied to cask wine should be almost three times its current level</w:t>
      </w:r>
      <w:r w:rsidR="00A10C76">
        <w:rPr>
          <w:rFonts w:ascii="Arial" w:hAnsi="Arial" w:cs="Arial"/>
          <w:sz w:val="22"/>
          <w:szCs w:val="22"/>
        </w:rPr>
        <w:t>.</w:t>
      </w:r>
      <w:r w:rsidR="00A10C76">
        <w:rPr>
          <w:rStyle w:val="FootnoteReference"/>
          <w:rFonts w:ascii="Arial" w:hAnsi="Arial" w:cs="Arial"/>
          <w:sz w:val="22"/>
          <w:szCs w:val="22"/>
        </w:rPr>
        <w:footnoteReference w:id="34"/>
      </w:r>
    </w:p>
    <w:p w14:paraId="11A57DF8" w14:textId="77777777" w:rsidR="00017C3B" w:rsidRDefault="00017C3B" w:rsidP="00927A5F">
      <w:pPr>
        <w:spacing w:line="21" w:lineRule="atLeast"/>
        <w:rPr>
          <w:rFonts w:ascii="Arial" w:hAnsi="Arial" w:cs="Arial"/>
          <w:sz w:val="22"/>
          <w:szCs w:val="22"/>
        </w:rPr>
      </w:pPr>
    </w:p>
    <w:p w14:paraId="508CCBA1" w14:textId="77777777" w:rsidR="00524D75" w:rsidRPr="00524D75" w:rsidRDefault="00524D75" w:rsidP="00524D75">
      <w:pPr>
        <w:spacing w:line="21" w:lineRule="atLeast"/>
        <w:rPr>
          <w:rFonts w:ascii="Arial" w:hAnsi="Arial" w:cs="Arial"/>
          <w:sz w:val="22"/>
          <w:szCs w:val="22"/>
        </w:rPr>
      </w:pPr>
    </w:p>
    <w:p w14:paraId="0B6DD2F8" w14:textId="3F632AC8" w:rsidR="00D27EAA" w:rsidRPr="00D27EAA" w:rsidRDefault="00D27EAA" w:rsidP="00D27EAA">
      <w:pPr>
        <w:pStyle w:val="ListParagraph"/>
        <w:numPr>
          <w:ilvl w:val="0"/>
          <w:numId w:val="4"/>
        </w:numPr>
        <w:rPr>
          <w:rFonts w:ascii="Arial" w:hAnsi="Arial" w:cs="Arial"/>
          <w:b/>
          <w:sz w:val="22"/>
          <w:szCs w:val="22"/>
        </w:rPr>
      </w:pPr>
      <w:r w:rsidRPr="00D27EAA">
        <w:rPr>
          <w:rFonts w:ascii="Arial" w:hAnsi="Arial" w:cs="Arial"/>
          <w:b/>
          <w:sz w:val="22"/>
          <w:szCs w:val="22"/>
        </w:rPr>
        <w:t>Moving to a volumetric tax system for all alcoholic drinks can yield significant benefits for public health and public finances</w:t>
      </w:r>
    </w:p>
    <w:p w14:paraId="18038CCA" w14:textId="77777777" w:rsidR="00FE6658" w:rsidRPr="00EB058E" w:rsidRDefault="00FE6658" w:rsidP="00FE6658">
      <w:pPr>
        <w:rPr>
          <w:rFonts w:ascii="Arial" w:hAnsi="Arial" w:cs="Arial"/>
          <w:b/>
          <w:sz w:val="22"/>
          <w:szCs w:val="22"/>
          <w:lang w:val="en-US" w:eastAsia="ja-JP"/>
        </w:rPr>
      </w:pPr>
    </w:p>
    <w:p w14:paraId="15D3098C" w14:textId="440CD708" w:rsidR="001D5C48" w:rsidRDefault="000F777B" w:rsidP="00E77944">
      <w:pPr>
        <w:spacing w:line="21" w:lineRule="atLeast"/>
        <w:rPr>
          <w:rFonts w:ascii="Arial" w:hAnsi="Arial" w:cs="Arial"/>
          <w:sz w:val="22"/>
          <w:szCs w:val="22"/>
        </w:rPr>
      </w:pPr>
      <w:r>
        <w:rPr>
          <w:rFonts w:ascii="Arial" w:hAnsi="Arial" w:cs="Arial"/>
          <w:sz w:val="22"/>
          <w:szCs w:val="22"/>
        </w:rPr>
        <w:t>In</w:t>
      </w:r>
      <w:r w:rsidR="001D5C48">
        <w:rPr>
          <w:rFonts w:ascii="Arial" w:hAnsi="Arial" w:cs="Arial"/>
          <w:sz w:val="22"/>
          <w:szCs w:val="22"/>
        </w:rPr>
        <w:t xml:space="preserve"> light of the </w:t>
      </w:r>
      <w:r>
        <w:rPr>
          <w:rFonts w:ascii="Arial" w:hAnsi="Arial" w:cs="Arial"/>
          <w:sz w:val="22"/>
          <w:szCs w:val="22"/>
        </w:rPr>
        <w:t>above</w:t>
      </w:r>
      <w:r w:rsidR="001D5C48">
        <w:rPr>
          <w:rFonts w:ascii="Arial" w:hAnsi="Arial" w:cs="Arial"/>
          <w:sz w:val="22"/>
          <w:szCs w:val="22"/>
        </w:rPr>
        <w:t xml:space="preserve"> considerations</w:t>
      </w:r>
      <w:r>
        <w:rPr>
          <w:rFonts w:ascii="Arial" w:hAnsi="Arial" w:cs="Arial"/>
          <w:sz w:val="22"/>
          <w:szCs w:val="22"/>
        </w:rPr>
        <w:t xml:space="preserve">, </w:t>
      </w:r>
      <w:r w:rsidR="001D5C48">
        <w:rPr>
          <w:rFonts w:ascii="Arial" w:hAnsi="Arial" w:cs="Arial"/>
          <w:sz w:val="22"/>
          <w:szCs w:val="22"/>
        </w:rPr>
        <w:t>there is scope to reduce current levels of alcohol consumption and thereby reduce the magnitude of alcohol related harms by reforming the cu</w:t>
      </w:r>
      <w:r w:rsidR="00187D9F">
        <w:rPr>
          <w:rFonts w:ascii="Arial" w:hAnsi="Arial" w:cs="Arial"/>
          <w:sz w:val="22"/>
          <w:szCs w:val="22"/>
        </w:rPr>
        <w:t xml:space="preserve">rrent system of alcohol taxes, thereby setting </w:t>
      </w:r>
      <w:r w:rsidR="001D5C48">
        <w:rPr>
          <w:rFonts w:ascii="Arial" w:hAnsi="Arial" w:cs="Arial"/>
          <w:sz w:val="22"/>
          <w:szCs w:val="22"/>
        </w:rPr>
        <w:t>more appropriate ‘prices’ for alcoholic drinks.</w:t>
      </w:r>
    </w:p>
    <w:p w14:paraId="54B4579D" w14:textId="77777777" w:rsidR="001D5C48" w:rsidRDefault="001D5C48" w:rsidP="00E77944">
      <w:pPr>
        <w:spacing w:line="21" w:lineRule="atLeast"/>
        <w:rPr>
          <w:rFonts w:ascii="Arial" w:hAnsi="Arial" w:cs="Arial"/>
          <w:sz w:val="22"/>
          <w:szCs w:val="22"/>
        </w:rPr>
      </w:pPr>
    </w:p>
    <w:p w14:paraId="612B706C" w14:textId="5A84C3C9" w:rsidR="00017C3B" w:rsidRPr="00017C3B" w:rsidRDefault="00017C3B" w:rsidP="00E77944">
      <w:pPr>
        <w:spacing w:line="21" w:lineRule="atLeast"/>
        <w:rPr>
          <w:rFonts w:ascii="Arial" w:hAnsi="Arial" w:cs="Arial"/>
          <w:b/>
          <w:i/>
          <w:sz w:val="22"/>
          <w:szCs w:val="22"/>
          <w:u w:val="single"/>
        </w:rPr>
      </w:pPr>
      <w:r w:rsidRPr="00017C3B">
        <w:rPr>
          <w:rFonts w:ascii="Arial" w:hAnsi="Arial" w:cs="Arial"/>
          <w:b/>
          <w:i/>
          <w:sz w:val="22"/>
          <w:szCs w:val="22"/>
          <w:u w:val="single"/>
        </w:rPr>
        <w:t>Replace the WET with a volumetric tax on wine, abolish the WET rebate</w:t>
      </w:r>
    </w:p>
    <w:p w14:paraId="04777F7B" w14:textId="1CCDE8FA" w:rsidR="00237BFA" w:rsidRDefault="001D5C48" w:rsidP="00E77944">
      <w:pPr>
        <w:spacing w:line="21" w:lineRule="atLeast"/>
        <w:rPr>
          <w:rFonts w:ascii="Arial" w:hAnsi="Arial" w:cs="Arial"/>
          <w:sz w:val="22"/>
          <w:szCs w:val="22"/>
        </w:rPr>
      </w:pPr>
      <w:r>
        <w:rPr>
          <w:rFonts w:ascii="Arial" w:hAnsi="Arial" w:cs="Arial"/>
          <w:sz w:val="22"/>
          <w:szCs w:val="22"/>
        </w:rPr>
        <w:t>As a first step, this would involve replacing the WET with a volumetric tax on wine</w:t>
      </w:r>
      <w:r w:rsidR="00017C3B">
        <w:rPr>
          <w:rFonts w:ascii="Arial" w:hAnsi="Arial" w:cs="Arial"/>
          <w:sz w:val="22"/>
          <w:szCs w:val="22"/>
        </w:rPr>
        <w:t xml:space="preserve"> (i.e. a tax based on alcohol content)</w:t>
      </w:r>
      <w:r>
        <w:rPr>
          <w:rFonts w:ascii="Arial" w:hAnsi="Arial" w:cs="Arial"/>
          <w:sz w:val="22"/>
          <w:szCs w:val="22"/>
        </w:rPr>
        <w:t>, thus putting wine on an equal footing with o</w:t>
      </w:r>
      <w:r w:rsidR="00017C3B">
        <w:rPr>
          <w:rFonts w:ascii="Arial" w:hAnsi="Arial" w:cs="Arial"/>
          <w:sz w:val="22"/>
          <w:szCs w:val="22"/>
        </w:rPr>
        <w:t xml:space="preserve">ther forms of alcohol </w:t>
      </w:r>
      <w:r>
        <w:rPr>
          <w:rFonts w:ascii="Arial" w:hAnsi="Arial" w:cs="Arial"/>
          <w:sz w:val="22"/>
          <w:szCs w:val="22"/>
        </w:rPr>
        <w:t xml:space="preserve">already taxed on a volumetric basis. With the replacement of the WET, the WET rebate should also be abolished. </w:t>
      </w:r>
    </w:p>
    <w:p w14:paraId="226F6D5A" w14:textId="77777777" w:rsidR="00017C3B" w:rsidRDefault="00017C3B" w:rsidP="00E77944">
      <w:pPr>
        <w:spacing w:line="21" w:lineRule="atLeast"/>
        <w:rPr>
          <w:rFonts w:ascii="Arial" w:hAnsi="Arial" w:cs="Arial"/>
          <w:sz w:val="22"/>
          <w:szCs w:val="22"/>
        </w:rPr>
      </w:pPr>
    </w:p>
    <w:p w14:paraId="27C2E7D2" w14:textId="03ECB40F" w:rsidR="00017C3B" w:rsidRPr="00017C3B" w:rsidRDefault="00017C3B" w:rsidP="00E77944">
      <w:pPr>
        <w:spacing w:line="21" w:lineRule="atLeast"/>
        <w:rPr>
          <w:rFonts w:ascii="Arial" w:hAnsi="Arial" w:cs="Arial"/>
          <w:b/>
          <w:i/>
          <w:sz w:val="22"/>
          <w:szCs w:val="22"/>
          <w:u w:val="single"/>
        </w:rPr>
      </w:pPr>
      <w:r>
        <w:rPr>
          <w:rFonts w:ascii="Arial" w:hAnsi="Arial" w:cs="Arial"/>
          <w:b/>
          <w:i/>
          <w:sz w:val="22"/>
          <w:szCs w:val="22"/>
          <w:u w:val="single"/>
        </w:rPr>
        <w:t>Treasury to r</w:t>
      </w:r>
      <w:r w:rsidRPr="00017C3B">
        <w:rPr>
          <w:rFonts w:ascii="Arial" w:hAnsi="Arial" w:cs="Arial"/>
          <w:b/>
          <w:i/>
          <w:sz w:val="22"/>
          <w:szCs w:val="22"/>
          <w:u w:val="single"/>
        </w:rPr>
        <w:t>eview different options already explored in the literature, including for differentiated rates</w:t>
      </w:r>
    </w:p>
    <w:p w14:paraId="4A5EF1E3" w14:textId="4D1A6F13" w:rsidR="007C3AAA" w:rsidRDefault="001D5C48" w:rsidP="00E77944">
      <w:pPr>
        <w:spacing w:line="21" w:lineRule="atLeast"/>
        <w:rPr>
          <w:rFonts w:ascii="Arial" w:hAnsi="Arial" w:cs="Arial"/>
          <w:sz w:val="22"/>
          <w:szCs w:val="22"/>
        </w:rPr>
      </w:pPr>
      <w:r>
        <w:rPr>
          <w:rFonts w:ascii="Arial" w:hAnsi="Arial" w:cs="Arial"/>
          <w:sz w:val="22"/>
          <w:szCs w:val="22"/>
        </w:rPr>
        <w:t>We do not have specific recommendations on the level of volumetric tax rate that should be set</w:t>
      </w:r>
      <w:r w:rsidR="00E52925">
        <w:rPr>
          <w:rFonts w:ascii="Arial" w:hAnsi="Arial" w:cs="Arial"/>
          <w:sz w:val="22"/>
          <w:szCs w:val="22"/>
        </w:rPr>
        <w:t xml:space="preserve"> for wine</w:t>
      </w:r>
      <w:r>
        <w:rPr>
          <w:rFonts w:ascii="Arial" w:hAnsi="Arial" w:cs="Arial"/>
          <w:sz w:val="22"/>
          <w:szCs w:val="22"/>
        </w:rPr>
        <w:t>. However there have been a number of modelling studies</w:t>
      </w:r>
      <w:r w:rsidR="00237BFA">
        <w:rPr>
          <w:rFonts w:ascii="Arial" w:hAnsi="Arial" w:cs="Arial"/>
          <w:sz w:val="22"/>
          <w:szCs w:val="22"/>
        </w:rPr>
        <w:t xml:space="preserve"> (discussed below)</w:t>
      </w:r>
      <w:r>
        <w:rPr>
          <w:rFonts w:ascii="Arial" w:hAnsi="Arial" w:cs="Arial"/>
          <w:sz w:val="22"/>
          <w:szCs w:val="22"/>
        </w:rPr>
        <w:t xml:space="preserve"> which have canvassed this question</w:t>
      </w:r>
      <w:r w:rsidR="00237BFA">
        <w:rPr>
          <w:rFonts w:ascii="Arial" w:hAnsi="Arial" w:cs="Arial"/>
          <w:sz w:val="22"/>
          <w:szCs w:val="22"/>
        </w:rPr>
        <w:t xml:space="preserve"> </w:t>
      </w:r>
      <w:r w:rsidR="00017C3B">
        <w:rPr>
          <w:rFonts w:ascii="Arial" w:hAnsi="Arial" w:cs="Arial"/>
          <w:sz w:val="22"/>
          <w:szCs w:val="22"/>
        </w:rPr>
        <w:t xml:space="preserve">as well as the </w:t>
      </w:r>
      <w:r w:rsidR="00E52925">
        <w:rPr>
          <w:rFonts w:ascii="Arial" w:hAnsi="Arial" w:cs="Arial"/>
          <w:sz w:val="22"/>
          <w:szCs w:val="22"/>
        </w:rPr>
        <w:t>question of whether and how existing volumetric tax rates on other a</w:t>
      </w:r>
      <w:r w:rsidR="00237BFA">
        <w:rPr>
          <w:rFonts w:ascii="Arial" w:hAnsi="Arial" w:cs="Arial"/>
          <w:sz w:val="22"/>
          <w:szCs w:val="22"/>
        </w:rPr>
        <w:t>l</w:t>
      </w:r>
      <w:r w:rsidR="00017C3B">
        <w:rPr>
          <w:rFonts w:ascii="Arial" w:hAnsi="Arial" w:cs="Arial"/>
          <w:sz w:val="22"/>
          <w:szCs w:val="22"/>
        </w:rPr>
        <w:t>coholic drinks could be amended. I</w:t>
      </w:r>
      <w:r w:rsidR="007C3AAA">
        <w:rPr>
          <w:rFonts w:ascii="Arial" w:hAnsi="Arial" w:cs="Arial"/>
          <w:sz w:val="22"/>
          <w:szCs w:val="22"/>
        </w:rPr>
        <w:t xml:space="preserve">t is recommended that </w:t>
      </w:r>
      <w:r w:rsidR="00017C3B">
        <w:rPr>
          <w:rFonts w:ascii="Arial" w:hAnsi="Arial" w:cs="Arial"/>
          <w:sz w:val="22"/>
          <w:szCs w:val="22"/>
        </w:rPr>
        <w:t xml:space="preserve">the Commonwealth </w:t>
      </w:r>
      <w:r w:rsidR="001554F5">
        <w:rPr>
          <w:rFonts w:ascii="Arial" w:hAnsi="Arial" w:cs="Arial"/>
          <w:sz w:val="22"/>
          <w:szCs w:val="22"/>
        </w:rPr>
        <w:t xml:space="preserve">Treasury </w:t>
      </w:r>
      <w:r w:rsidR="007C3AAA">
        <w:rPr>
          <w:rFonts w:ascii="Arial" w:hAnsi="Arial" w:cs="Arial"/>
          <w:sz w:val="22"/>
          <w:szCs w:val="22"/>
        </w:rPr>
        <w:lastRenderedPageBreak/>
        <w:t xml:space="preserve">examine these studies for </w:t>
      </w:r>
      <w:r w:rsidR="00237BFA">
        <w:rPr>
          <w:rFonts w:ascii="Arial" w:hAnsi="Arial" w:cs="Arial"/>
          <w:sz w:val="22"/>
          <w:szCs w:val="22"/>
        </w:rPr>
        <w:t xml:space="preserve">further </w:t>
      </w:r>
      <w:r w:rsidR="007C3AAA">
        <w:rPr>
          <w:rFonts w:ascii="Arial" w:hAnsi="Arial" w:cs="Arial"/>
          <w:sz w:val="22"/>
          <w:szCs w:val="22"/>
        </w:rPr>
        <w:t xml:space="preserve">guidance. </w:t>
      </w:r>
      <w:r w:rsidR="00E52925">
        <w:rPr>
          <w:rFonts w:ascii="Arial" w:hAnsi="Arial" w:cs="Arial"/>
          <w:sz w:val="22"/>
          <w:szCs w:val="22"/>
        </w:rPr>
        <w:t xml:space="preserve">Treasury should </w:t>
      </w:r>
      <w:r w:rsidR="00017C3B">
        <w:rPr>
          <w:rFonts w:ascii="Arial" w:hAnsi="Arial" w:cs="Arial"/>
          <w:sz w:val="22"/>
          <w:szCs w:val="22"/>
        </w:rPr>
        <w:t xml:space="preserve">also </w:t>
      </w:r>
      <w:r w:rsidR="00E52925">
        <w:rPr>
          <w:rFonts w:ascii="Arial" w:hAnsi="Arial" w:cs="Arial"/>
          <w:sz w:val="22"/>
          <w:szCs w:val="22"/>
        </w:rPr>
        <w:t>give further consideration to setting different rates of volumetric tax for different kinds of alcoholic drinks based on the social harms associated with their consumption</w:t>
      </w:r>
      <w:r w:rsidR="00237BFA">
        <w:rPr>
          <w:rFonts w:ascii="Arial" w:hAnsi="Arial" w:cs="Arial"/>
          <w:sz w:val="22"/>
          <w:szCs w:val="22"/>
        </w:rPr>
        <w:t>.</w:t>
      </w:r>
    </w:p>
    <w:p w14:paraId="57C33D14" w14:textId="77777777" w:rsidR="007B1652" w:rsidRDefault="007B1652" w:rsidP="00E77944">
      <w:pPr>
        <w:spacing w:line="21" w:lineRule="atLeast"/>
        <w:rPr>
          <w:rFonts w:ascii="Arial" w:hAnsi="Arial" w:cs="Arial"/>
          <w:sz w:val="22"/>
          <w:szCs w:val="22"/>
        </w:rPr>
      </w:pPr>
    </w:p>
    <w:p w14:paraId="780B0DA4" w14:textId="780182A3" w:rsidR="007B1652" w:rsidRDefault="007B1652" w:rsidP="00E77944">
      <w:pPr>
        <w:spacing w:line="21" w:lineRule="atLeast"/>
        <w:rPr>
          <w:rFonts w:ascii="Arial" w:hAnsi="Arial" w:cs="Arial"/>
          <w:sz w:val="22"/>
          <w:szCs w:val="22"/>
        </w:rPr>
      </w:pPr>
      <w:r w:rsidRPr="006D1E19">
        <w:rPr>
          <w:rFonts w:ascii="Arial" w:hAnsi="Arial" w:cs="Arial"/>
          <w:b/>
          <w:sz w:val="22"/>
          <w:szCs w:val="22"/>
        </w:rPr>
        <w:t xml:space="preserve">Table </w:t>
      </w:r>
      <w:r w:rsidR="00AB41AC">
        <w:rPr>
          <w:rFonts w:ascii="Arial" w:hAnsi="Arial" w:cs="Arial"/>
          <w:b/>
          <w:sz w:val="22"/>
          <w:szCs w:val="22"/>
        </w:rPr>
        <w:t>3</w:t>
      </w:r>
      <w:r>
        <w:rPr>
          <w:rFonts w:ascii="Arial" w:hAnsi="Arial" w:cs="Arial"/>
          <w:sz w:val="22"/>
          <w:szCs w:val="22"/>
        </w:rPr>
        <w:t xml:space="preserve"> below summarises the results of the three major modelling studies which have examined different options for volumetric taxation. Note that not all of these studies ask the same questions or present their findings in similar ways. </w:t>
      </w:r>
      <w:r w:rsidR="006D1E19">
        <w:rPr>
          <w:rFonts w:ascii="Arial" w:hAnsi="Arial" w:cs="Arial"/>
          <w:sz w:val="22"/>
          <w:szCs w:val="22"/>
        </w:rPr>
        <w:t xml:space="preserve">They may also not be directly comparable because they rely on different assumptions including assumptions regarding </w:t>
      </w:r>
      <w:proofErr w:type="spellStart"/>
      <w:r w:rsidR="006D1E19">
        <w:rPr>
          <w:rFonts w:ascii="Arial" w:hAnsi="Arial" w:cs="Arial"/>
          <w:sz w:val="22"/>
          <w:szCs w:val="22"/>
        </w:rPr>
        <w:t>elasticities</w:t>
      </w:r>
      <w:proofErr w:type="spellEnd"/>
      <w:r w:rsidR="006D1E19">
        <w:rPr>
          <w:rFonts w:ascii="Arial" w:hAnsi="Arial" w:cs="Arial"/>
          <w:sz w:val="22"/>
          <w:szCs w:val="22"/>
        </w:rPr>
        <w:t>:</w:t>
      </w:r>
    </w:p>
    <w:p w14:paraId="3CF88E1A" w14:textId="63835344" w:rsidR="00017C3B" w:rsidRDefault="00017C3B" w:rsidP="00017C3B">
      <w:pPr>
        <w:pStyle w:val="ListParagraph"/>
        <w:numPr>
          <w:ilvl w:val="0"/>
          <w:numId w:val="9"/>
        </w:numPr>
        <w:spacing w:line="21" w:lineRule="atLeast"/>
        <w:rPr>
          <w:rFonts w:ascii="Arial" w:hAnsi="Arial" w:cs="Arial"/>
          <w:sz w:val="22"/>
          <w:szCs w:val="22"/>
        </w:rPr>
      </w:pPr>
      <w:r w:rsidRPr="00017C3B">
        <w:rPr>
          <w:rFonts w:ascii="Arial" w:hAnsi="Arial" w:cs="Arial"/>
          <w:sz w:val="22"/>
          <w:szCs w:val="22"/>
        </w:rPr>
        <w:t>The Allen Consulting Group</w:t>
      </w:r>
      <w:r>
        <w:rPr>
          <w:rFonts w:ascii="Arial" w:hAnsi="Arial" w:cs="Arial"/>
          <w:sz w:val="22"/>
          <w:szCs w:val="22"/>
        </w:rPr>
        <w:t xml:space="preserve"> study</w:t>
      </w:r>
      <w:r w:rsidR="00187D9F">
        <w:rPr>
          <w:rStyle w:val="FootnoteReference"/>
          <w:rFonts w:ascii="Arial" w:hAnsi="Arial" w:cs="Arial"/>
          <w:sz w:val="22"/>
          <w:szCs w:val="22"/>
        </w:rPr>
        <w:footnoteReference w:id="35"/>
      </w:r>
      <w:r w:rsidRPr="00017C3B">
        <w:rPr>
          <w:rFonts w:ascii="Arial" w:hAnsi="Arial" w:cs="Arial"/>
          <w:sz w:val="22"/>
          <w:szCs w:val="22"/>
        </w:rPr>
        <w:t xml:space="preserve"> only models the impacts of their options on levels of alcohol consumption and on government revenues but does not attempt to quantify any other types of ‘external’ impacts or health impacts</w:t>
      </w:r>
      <w:r w:rsidR="00082B14">
        <w:rPr>
          <w:rFonts w:ascii="Arial" w:hAnsi="Arial" w:cs="Arial"/>
          <w:sz w:val="22"/>
          <w:szCs w:val="22"/>
        </w:rPr>
        <w:t>.</w:t>
      </w:r>
    </w:p>
    <w:p w14:paraId="625F4C73" w14:textId="07C72237" w:rsidR="00017C3B" w:rsidRDefault="00017C3B" w:rsidP="00017C3B">
      <w:pPr>
        <w:pStyle w:val="ListParagraph"/>
        <w:numPr>
          <w:ilvl w:val="0"/>
          <w:numId w:val="9"/>
        </w:numPr>
        <w:spacing w:line="21" w:lineRule="atLeast"/>
        <w:rPr>
          <w:rFonts w:ascii="Arial" w:hAnsi="Arial" w:cs="Arial"/>
          <w:sz w:val="22"/>
          <w:szCs w:val="22"/>
        </w:rPr>
      </w:pPr>
      <w:r>
        <w:rPr>
          <w:rFonts w:ascii="Arial" w:hAnsi="Arial" w:cs="Arial"/>
          <w:sz w:val="22"/>
          <w:szCs w:val="22"/>
        </w:rPr>
        <w:t>Both the Marsden Jacob</w:t>
      </w:r>
      <w:r w:rsidR="00187D9F">
        <w:rPr>
          <w:rStyle w:val="FootnoteReference"/>
          <w:rFonts w:ascii="Arial" w:hAnsi="Arial" w:cs="Arial"/>
          <w:sz w:val="22"/>
          <w:szCs w:val="22"/>
        </w:rPr>
        <w:footnoteReference w:id="36"/>
      </w:r>
      <w:r>
        <w:rPr>
          <w:rFonts w:ascii="Arial" w:hAnsi="Arial" w:cs="Arial"/>
          <w:sz w:val="22"/>
          <w:szCs w:val="22"/>
        </w:rPr>
        <w:t xml:space="preserve"> and Doran et al</w:t>
      </w:r>
      <w:r w:rsidR="00191D33">
        <w:rPr>
          <w:rStyle w:val="FootnoteReference"/>
          <w:rFonts w:ascii="Arial" w:hAnsi="Arial" w:cs="Arial"/>
          <w:sz w:val="22"/>
          <w:szCs w:val="22"/>
        </w:rPr>
        <w:footnoteReference w:id="37"/>
      </w:r>
      <w:r>
        <w:rPr>
          <w:rFonts w:ascii="Arial" w:hAnsi="Arial" w:cs="Arial"/>
          <w:sz w:val="22"/>
          <w:szCs w:val="22"/>
        </w:rPr>
        <w:t xml:space="preserve"> studies also look at impacts on health and other external impacts. In particular, Marsden Jacob quantifies reductions in ‘harm to others’ while Doran et al </w:t>
      </w:r>
      <w:proofErr w:type="gramStart"/>
      <w:r>
        <w:rPr>
          <w:rFonts w:ascii="Arial" w:hAnsi="Arial" w:cs="Arial"/>
          <w:sz w:val="22"/>
          <w:szCs w:val="22"/>
        </w:rPr>
        <w:t>quantifies</w:t>
      </w:r>
      <w:proofErr w:type="gramEnd"/>
      <w:r>
        <w:rPr>
          <w:rFonts w:ascii="Arial" w:hAnsi="Arial" w:cs="Arial"/>
          <w:sz w:val="22"/>
          <w:szCs w:val="22"/>
        </w:rPr>
        <w:t xml:space="preserve"> health impacts in terms of </w:t>
      </w:r>
      <w:r w:rsidR="001A579C">
        <w:rPr>
          <w:rFonts w:ascii="Arial" w:hAnsi="Arial" w:cs="Arial"/>
          <w:sz w:val="22"/>
          <w:szCs w:val="22"/>
        </w:rPr>
        <w:t>Disability Adjusted Life Years prevented (</w:t>
      </w:r>
      <w:r w:rsidR="001A579C" w:rsidRPr="001A579C">
        <w:rPr>
          <w:rFonts w:ascii="Arial" w:hAnsi="Arial" w:cs="Arial"/>
          <w:b/>
          <w:sz w:val="22"/>
          <w:szCs w:val="22"/>
        </w:rPr>
        <w:t>over the lifetime of the current Australian population</w:t>
      </w:r>
      <w:r w:rsidR="001A579C">
        <w:rPr>
          <w:rFonts w:ascii="Arial" w:hAnsi="Arial" w:cs="Arial"/>
          <w:sz w:val="22"/>
          <w:szCs w:val="22"/>
        </w:rPr>
        <w:t xml:space="preserve">). </w:t>
      </w:r>
    </w:p>
    <w:p w14:paraId="3A2F73CE" w14:textId="7A862CEE" w:rsidR="001A579C" w:rsidRDefault="001A579C" w:rsidP="00E77944">
      <w:pPr>
        <w:pStyle w:val="ListParagraph"/>
        <w:numPr>
          <w:ilvl w:val="0"/>
          <w:numId w:val="9"/>
        </w:numPr>
        <w:spacing w:line="21" w:lineRule="atLeast"/>
        <w:rPr>
          <w:rFonts w:ascii="Arial" w:hAnsi="Arial" w:cs="Arial"/>
          <w:sz w:val="22"/>
          <w:szCs w:val="22"/>
        </w:rPr>
      </w:pPr>
      <w:r w:rsidRPr="001A579C">
        <w:rPr>
          <w:rFonts w:ascii="Arial" w:hAnsi="Arial" w:cs="Arial"/>
          <w:sz w:val="22"/>
          <w:szCs w:val="22"/>
        </w:rPr>
        <w:t>Though both Marsd</w:t>
      </w:r>
      <w:r w:rsidR="008F4E64">
        <w:rPr>
          <w:rFonts w:ascii="Arial" w:hAnsi="Arial" w:cs="Arial"/>
          <w:sz w:val="22"/>
          <w:szCs w:val="22"/>
        </w:rPr>
        <w:t>en Jacob and Doran et al have</w:t>
      </w:r>
      <w:r w:rsidRPr="001A579C">
        <w:rPr>
          <w:rFonts w:ascii="Arial" w:hAnsi="Arial" w:cs="Arial"/>
          <w:sz w:val="22"/>
          <w:szCs w:val="22"/>
        </w:rPr>
        <w:t xml:space="preserve"> estimate</w:t>
      </w:r>
      <w:r w:rsidR="008F4E64">
        <w:rPr>
          <w:rFonts w:ascii="Arial" w:hAnsi="Arial" w:cs="Arial"/>
          <w:sz w:val="22"/>
          <w:szCs w:val="22"/>
        </w:rPr>
        <w:t>d the net benefit of</w:t>
      </w:r>
      <w:r w:rsidRPr="001A579C">
        <w:rPr>
          <w:rFonts w:ascii="Arial" w:hAnsi="Arial" w:cs="Arial"/>
          <w:sz w:val="22"/>
          <w:szCs w:val="22"/>
        </w:rPr>
        <w:t xml:space="preserve"> each option, the basis on which this is estimated differs. Doran et </w:t>
      </w:r>
      <w:proofErr w:type="spellStart"/>
      <w:r w:rsidRPr="001A579C">
        <w:rPr>
          <w:rFonts w:ascii="Arial" w:hAnsi="Arial" w:cs="Arial"/>
          <w:sz w:val="22"/>
          <w:szCs w:val="22"/>
        </w:rPr>
        <w:t>al’s</w:t>
      </w:r>
      <w:proofErr w:type="spellEnd"/>
      <w:r w:rsidRPr="001A579C">
        <w:rPr>
          <w:rFonts w:ascii="Arial" w:hAnsi="Arial" w:cs="Arial"/>
          <w:sz w:val="22"/>
          <w:szCs w:val="22"/>
        </w:rPr>
        <w:t xml:space="preserve"> estimate is based on DALYs averted </w:t>
      </w:r>
      <w:r w:rsidR="00B87145">
        <w:rPr>
          <w:rFonts w:ascii="Arial" w:hAnsi="Arial" w:cs="Arial"/>
          <w:sz w:val="22"/>
          <w:szCs w:val="22"/>
        </w:rPr>
        <w:t xml:space="preserve">net of implementation costs. Marsden Jacob takes an even more conservative approach. Their net benefit (which is based on the reduction in harms to others) takes into account not only implementation costs but also </w:t>
      </w:r>
      <w:r>
        <w:rPr>
          <w:rFonts w:ascii="Arial" w:hAnsi="Arial" w:cs="Arial"/>
          <w:sz w:val="22"/>
          <w:szCs w:val="22"/>
        </w:rPr>
        <w:t xml:space="preserve">the </w:t>
      </w:r>
      <w:r w:rsidRPr="001A579C">
        <w:rPr>
          <w:rFonts w:ascii="Arial" w:hAnsi="Arial" w:cs="Arial"/>
          <w:b/>
          <w:i/>
          <w:sz w:val="22"/>
          <w:szCs w:val="22"/>
        </w:rPr>
        <w:t xml:space="preserve">estimated reduction in </w:t>
      </w:r>
      <w:r w:rsidR="00B87145">
        <w:rPr>
          <w:rFonts w:ascii="Arial" w:hAnsi="Arial" w:cs="Arial"/>
          <w:b/>
          <w:i/>
          <w:sz w:val="22"/>
          <w:szCs w:val="22"/>
        </w:rPr>
        <w:t xml:space="preserve">consumer satisfaction due to </w:t>
      </w:r>
      <w:r>
        <w:rPr>
          <w:rFonts w:ascii="Arial" w:hAnsi="Arial" w:cs="Arial"/>
          <w:b/>
          <w:i/>
          <w:sz w:val="22"/>
          <w:szCs w:val="22"/>
        </w:rPr>
        <w:t xml:space="preserve">paying more for drinks and </w:t>
      </w:r>
      <w:r w:rsidRPr="001A579C">
        <w:rPr>
          <w:rFonts w:ascii="Arial" w:hAnsi="Arial" w:cs="Arial"/>
          <w:b/>
          <w:i/>
          <w:sz w:val="22"/>
          <w:szCs w:val="22"/>
        </w:rPr>
        <w:t>drinking</w:t>
      </w:r>
      <w:r>
        <w:rPr>
          <w:rFonts w:ascii="Arial" w:hAnsi="Arial" w:cs="Arial"/>
          <w:b/>
          <w:i/>
          <w:sz w:val="22"/>
          <w:szCs w:val="22"/>
        </w:rPr>
        <w:t xml:space="preserve"> less</w:t>
      </w:r>
      <w:r>
        <w:rPr>
          <w:rFonts w:ascii="Arial" w:hAnsi="Arial" w:cs="Arial"/>
          <w:sz w:val="22"/>
          <w:szCs w:val="22"/>
        </w:rPr>
        <w:t xml:space="preserve">. </w:t>
      </w:r>
    </w:p>
    <w:p w14:paraId="31FAC6B8" w14:textId="169F0495" w:rsidR="00363701" w:rsidRDefault="00363701" w:rsidP="00E77944">
      <w:pPr>
        <w:pStyle w:val="ListParagraph"/>
        <w:numPr>
          <w:ilvl w:val="0"/>
          <w:numId w:val="9"/>
        </w:numPr>
        <w:spacing w:line="21" w:lineRule="atLeast"/>
        <w:rPr>
          <w:rFonts w:ascii="Arial" w:hAnsi="Arial" w:cs="Arial"/>
          <w:sz w:val="22"/>
          <w:szCs w:val="22"/>
        </w:rPr>
      </w:pPr>
      <w:r>
        <w:rPr>
          <w:rFonts w:ascii="Arial" w:hAnsi="Arial" w:cs="Arial"/>
          <w:sz w:val="22"/>
          <w:szCs w:val="22"/>
        </w:rPr>
        <w:t xml:space="preserve">Two options also examined by Doran et al are not included in the table because those options involve changes to current excise rates without moving to a fully volumetric tax system. </w:t>
      </w:r>
    </w:p>
    <w:p w14:paraId="1F683391" w14:textId="77777777" w:rsidR="001A579C" w:rsidRDefault="001A579C" w:rsidP="001A579C">
      <w:pPr>
        <w:spacing w:line="21" w:lineRule="atLeast"/>
        <w:rPr>
          <w:rFonts w:ascii="Arial" w:hAnsi="Arial" w:cs="Arial"/>
          <w:sz w:val="22"/>
          <w:szCs w:val="22"/>
        </w:rPr>
      </w:pPr>
    </w:p>
    <w:p w14:paraId="5909CB93" w14:textId="0876A132" w:rsidR="00017C3B" w:rsidRDefault="001A579C" w:rsidP="001A579C">
      <w:pPr>
        <w:spacing w:line="21" w:lineRule="atLeast"/>
        <w:rPr>
          <w:rFonts w:ascii="Arial" w:hAnsi="Arial" w:cs="Arial"/>
          <w:sz w:val="22"/>
          <w:szCs w:val="22"/>
        </w:rPr>
      </w:pPr>
      <w:r>
        <w:rPr>
          <w:rFonts w:ascii="Arial" w:hAnsi="Arial" w:cs="Arial"/>
          <w:sz w:val="22"/>
          <w:szCs w:val="22"/>
        </w:rPr>
        <w:t xml:space="preserve">From the above, the most conservative estimates of benefits from moving to volumetric taxation </w:t>
      </w:r>
      <w:r w:rsidR="00FF74ED">
        <w:rPr>
          <w:rFonts w:ascii="Arial" w:hAnsi="Arial" w:cs="Arial"/>
          <w:sz w:val="22"/>
          <w:szCs w:val="22"/>
        </w:rPr>
        <w:t xml:space="preserve">are by Marsden Jacob (which also has the most conservative estimate of the social costs of drinking) yet even this study predicts benefits in the hundreds of millions </w:t>
      </w:r>
      <w:r w:rsidR="004B1423">
        <w:rPr>
          <w:rFonts w:ascii="Arial" w:hAnsi="Arial" w:cs="Arial"/>
          <w:sz w:val="22"/>
          <w:szCs w:val="22"/>
        </w:rPr>
        <w:t xml:space="preserve">of dollars </w:t>
      </w:r>
      <w:r w:rsidR="00FF74ED">
        <w:rPr>
          <w:rFonts w:ascii="Arial" w:hAnsi="Arial" w:cs="Arial"/>
          <w:sz w:val="22"/>
          <w:szCs w:val="22"/>
        </w:rPr>
        <w:t xml:space="preserve">a year from moving to volumetric taxation. </w:t>
      </w:r>
    </w:p>
    <w:p w14:paraId="4A12C2DF" w14:textId="77777777" w:rsidR="00B87145" w:rsidRDefault="00B87145" w:rsidP="001A579C">
      <w:pPr>
        <w:spacing w:line="21" w:lineRule="atLeast"/>
        <w:rPr>
          <w:rFonts w:ascii="Arial" w:hAnsi="Arial" w:cs="Arial"/>
          <w:sz w:val="22"/>
          <w:szCs w:val="22"/>
        </w:rPr>
      </w:pPr>
    </w:p>
    <w:p w14:paraId="4CCAB855" w14:textId="77777777" w:rsidR="00B87145" w:rsidRDefault="00B87145" w:rsidP="001A579C">
      <w:pPr>
        <w:spacing w:line="21" w:lineRule="atLeast"/>
        <w:rPr>
          <w:rFonts w:ascii="Arial" w:hAnsi="Arial" w:cs="Arial"/>
          <w:sz w:val="22"/>
          <w:szCs w:val="22"/>
        </w:rPr>
      </w:pPr>
    </w:p>
    <w:p w14:paraId="29A3E978" w14:textId="33F0FC69" w:rsidR="00DB5D50" w:rsidRPr="00B87145" w:rsidRDefault="00B87145" w:rsidP="002D5042">
      <w:pPr>
        <w:spacing w:line="21" w:lineRule="atLeast"/>
        <w:rPr>
          <w:rFonts w:ascii="Arial" w:hAnsi="Arial" w:cs="Arial"/>
          <w:b/>
          <w:sz w:val="18"/>
          <w:szCs w:val="18"/>
        </w:rPr>
      </w:pPr>
      <w:r w:rsidRPr="00B87145">
        <w:rPr>
          <w:rFonts w:ascii="Arial" w:hAnsi="Arial" w:cs="Arial"/>
          <w:b/>
          <w:sz w:val="18"/>
          <w:szCs w:val="18"/>
        </w:rPr>
        <w:t xml:space="preserve">Table 3: Summary of volumetric tax impacts modelled in three studies </w:t>
      </w:r>
    </w:p>
    <w:tbl>
      <w:tblPr>
        <w:tblStyle w:val="TableGrid"/>
        <w:tblW w:w="0" w:type="auto"/>
        <w:tblLook w:val="04A0" w:firstRow="1" w:lastRow="0" w:firstColumn="1" w:lastColumn="0" w:noHBand="0" w:noVBand="1"/>
      </w:tblPr>
      <w:tblGrid>
        <w:gridCol w:w="2235"/>
        <w:gridCol w:w="2268"/>
        <w:gridCol w:w="1701"/>
        <w:gridCol w:w="1776"/>
        <w:gridCol w:w="1995"/>
      </w:tblGrid>
      <w:tr w:rsidR="009A6EB1" w14:paraId="48AECFBC" w14:textId="77777777" w:rsidTr="00F16C0F">
        <w:tc>
          <w:tcPr>
            <w:tcW w:w="2235" w:type="dxa"/>
            <w:tcBorders>
              <w:bottom w:val="double" w:sz="4" w:space="0" w:color="auto"/>
            </w:tcBorders>
            <w:shd w:val="clear" w:color="auto" w:fill="D9D9D9" w:themeFill="background1" w:themeFillShade="D9"/>
          </w:tcPr>
          <w:p w14:paraId="7B9EF06C" w14:textId="16C25440" w:rsidR="009A6EB1" w:rsidRPr="009A6EB1" w:rsidRDefault="009A6EB1" w:rsidP="00F16C0F">
            <w:pPr>
              <w:spacing w:before="40" w:after="40" w:line="21" w:lineRule="atLeast"/>
              <w:rPr>
                <w:rFonts w:ascii="Arial" w:hAnsi="Arial" w:cs="Arial"/>
                <w:b/>
                <w:sz w:val="16"/>
                <w:szCs w:val="16"/>
              </w:rPr>
            </w:pPr>
            <w:r>
              <w:rPr>
                <w:rFonts w:ascii="Arial" w:hAnsi="Arial" w:cs="Arial"/>
                <w:b/>
                <w:sz w:val="16"/>
                <w:szCs w:val="16"/>
              </w:rPr>
              <w:t>Model</w:t>
            </w:r>
            <w:r w:rsidR="00A22785">
              <w:rPr>
                <w:rFonts w:ascii="Arial" w:hAnsi="Arial" w:cs="Arial"/>
                <w:b/>
                <w:sz w:val="16"/>
                <w:szCs w:val="16"/>
              </w:rPr>
              <w:t xml:space="preserve"> ($ per litre of pure alcohol)</w:t>
            </w:r>
          </w:p>
        </w:tc>
        <w:tc>
          <w:tcPr>
            <w:tcW w:w="2268" w:type="dxa"/>
            <w:tcBorders>
              <w:bottom w:val="double" w:sz="4" w:space="0" w:color="auto"/>
            </w:tcBorders>
            <w:shd w:val="clear" w:color="auto" w:fill="D9D9D9" w:themeFill="background1" w:themeFillShade="D9"/>
          </w:tcPr>
          <w:p w14:paraId="1B7A691B" w14:textId="6DFBCFD0" w:rsidR="009A6EB1" w:rsidRPr="009A6EB1" w:rsidRDefault="009A6EB1" w:rsidP="00F16C0F">
            <w:pPr>
              <w:spacing w:before="40" w:after="40" w:line="21" w:lineRule="atLeast"/>
              <w:rPr>
                <w:rFonts w:ascii="Arial" w:hAnsi="Arial" w:cs="Arial"/>
                <w:b/>
                <w:sz w:val="16"/>
                <w:szCs w:val="16"/>
              </w:rPr>
            </w:pPr>
            <w:r>
              <w:rPr>
                <w:rFonts w:ascii="Arial" w:hAnsi="Arial" w:cs="Arial"/>
                <w:b/>
                <w:sz w:val="16"/>
                <w:szCs w:val="16"/>
              </w:rPr>
              <w:t>Impact on alcohol consumption</w:t>
            </w:r>
          </w:p>
        </w:tc>
        <w:tc>
          <w:tcPr>
            <w:tcW w:w="1701" w:type="dxa"/>
            <w:tcBorders>
              <w:bottom w:val="double" w:sz="4" w:space="0" w:color="auto"/>
            </w:tcBorders>
            <w:shd w:val="clear" w:color="auto" w:fill="D9D9D9" w:themeFill="background1" w:themeFillShade="D9"/>
          </w:tcPr>
          <w:p w14:paraId="421EECAD" w14:textId="3C30F3EB" w:rsidR="009A6EB1" w:rsidRPr="009A6EB1" w:rsidRDefault="009A6EB1" w:rsidP="00F16C0F">
            <w:pPr>
              <w:spacing w:before="40" w:after="40" w:line="21" w:lineRule="atLeast"/>
              <w:rPr>
                <w:rFonts w:ascii="Arial" w:hAnsi="Arial" w:cs="Arial"/>
                <w:b/>
                <w:sz w:val="16"/>
                <w:szCs w:val="16"/>
              </w:rPr>
            </w:pPr>
            <w:r>
              <w:rPr>
                <w:rFonts w:ascii="Arial" w:hAnsi="Arial" w:cs="Arial"/>
                <w:b/>
                <w:sz w:val="16"/>
                <w:szCs w:val="16"/>
              </w:rPr>
              <w:t>Impacts on health</w:t>
            </w:r>
            <w:r w:rsidR="00C40E60">
              <w:rPr>
                <w:rFonts w:ascii="Arial" w:hAnsi="Arial" w:cs="Arial"/>
                <w:b/>
                <w:sz w:val="16"/>
                <w:szCs w:val="16"/>
              </w:rPr>
              <w:t xml:space="preserve"> and/or harms in the community</w:t>
            </w:r>
          </w:p>
        </w:tc>
        <w:tc>
          <w:tcPr>
            <w:tcW w:w="1776" w:type="dxa"/>
            <w:tcBorders>
              <w:bottom w:val="double" w:sz="4" w:space="0" w:color="auto"/>
            </w:tcBorders>
            <w:shd w:val="clear" w:color="auto" w:fill="D9D9D9" w:themeFill="background1" w:themeFillShade="D9"/>
          </w:tcPr>
          <w:p w14:paraId="376A87B5" w14:textId="3A76EA17" w:rsidR="009A6EB1" w:rsidRPr="009A6EB1" w:rsidRDefault="009A6EB1" w:rsidP="00F16C0F">
            <w:pPr>
              <w:spacing w:before="40" w:after="40" w:line="21" w:lineRule="atLeast"/>
              <w:rPr>
                <w:rFonts w:ascii="Arial" w:hAnsi="Arial" w:cs="Arial"/>
                <w:b/>
                <w:sz w:val="16"/>
                <w:szCs w:val="16"/>
              </w:rPr>
            </w:pPr>
            <w:r>
              <w:rPr>
                <w:rFonts w:ascii="Arial" w:hAnsi="Arial" w:cs="Arial"/>
                <w:b/>
                <w:sz w:val="16"/>
                <w:szCs w:val="16"/>
              </w:rPr>
              <w:t>Impact on revenue</w:t>
            </w:r>
          </w:p>
        </w:tc>
        <w:tc>
          <w:tcPr>
            <w:tcW w:w="1995" w:type="dxa"/>
            <w:tcBorders>
              <w:bottom w:val="double" w:sz="4" w:space="0" w:color="auto"/>
            </w:tcBorders>
            <w:shd w:val="clear" w:color="auto" w:fill="D9D9D9" w:themeFill="background1" w:themeFillShade="D9"/>
          </w:tcPr>
          <w:p w14:paraId="0CE502F3" w14:textId="7EFF50E3" w:rsidR="009A6EB1" w:rsidRPr="009A6EB1" w:rsidRDefault="009A6EB1" w:rsidP="00F16C0F">
            <w:pPr>
              <w:spacing w:before="40" w:after="40" w:line="21" w:lineRule="atLeast"/>
              <w:rPr>
                <w:rFonts w:ascii="Arial" w:hAnsi="Arial" w:cs="Arial"/>
                <w:b/>
                <w:sz w:val="16"/>
                <w:szCs w:val="16"/>
              </w:rPr>
            </w:pPr>
            <w:r>
              <w:rPr>
                <w:rFonts w:ascii="Arial" w:hAnsi="Arial" w:cs="Arial"/>
                <w:b/>
                <w:sz w:val="16"/>
                <w:szCs w:val="16"/>
              </w:rPr>
              <w:t>Impact on government expenditure</w:t>
            </w:r>
          </w:p>
        </w:tc>
      </w:tr>
      <w:tr w:rsidR="009A6EB1" w14:paraId="45CB99A4" w14:textId="77777777" w:rsidTr="00F16C0F">
        <w:tc>
          <w:tcPr>
            <w:tcW w:w="2235" w:type="dxa"/>
            <w:tcBorders>
              <w:top w:val="double" w:sz="4" w:space="0" w:color="auto"/>
            </w:tcBorders>
          </w:tcPr>
          <w:p w14:paraId="78A717FF" w14:textId="7572746C" w:rsidR="00F16C0F" w:rsidRDefault="009A6EB1" w:rsidP="00F16C0F">
            <w:pPr>
              <w:spacing w:before="40" w:after="40" w:line="21" w:lineRule="atLeast"/>
              <w:rPr>
                <w:rFonts w:ascii="Arial" w:hAnsi="Arial" w:cs="Arial"/>
                <w:sz w:val="16"/>
                <w:szCs w:val="16"/>
              </w:rPr>
            </w:pPr>
            <w:r w:rsidRPr="009A6EB1">
              <w:rPr>
                <w:rFonts w:ascii="Arial" w:hAnsi="Arial" w:cs="Arial"/>
                <w:sz w:val="16"/>
                <w:szCs w:val="16"/>
              </w:rPr>
              <w:t>Allen Consulting Group Scenario 1</w:t>
            </w:r>
            <w:r w:rsidR="00F16C0F">
              <w:rPr>
                <w:rFonts w:ascii="Arial" w:hAnsi="Arial" w:cs="Arial"/>
                <w:sz w:val="16"/>
                <w:szCs w:val="16"/>
              </w:rPr>
              <w:t>:-</w:t>
            </w:r>
          </w:p>
          <w:p w14:paraId="7564469F" w14:textId="225B3FA4" w:rsidR="009A6EB1" w:rsidRPr="009A6EB1" w:rsidRDefault="009A6EB1" w:rsidP="00F16C0F">
            <w:pPr>
              <w:spacing w:before="40" w:after="40" w:line="21" w:lineRule="atLeast"/>
              <w:rPr>
                <w:rFonts w:ascii="Arial" w:hAnsi="Arial" w:cs="Arial"/>
                <w:sz w:val="16"/>
                <w:szCs w:val="16"/>
              </w:rPr>
            </w:pPr>
            <w:r w:rsidRPr="009A6EB1">
              <w:rPr>
                <w:rFonts w:ascii="Arial" w:hAnsi="Arial" w:cs="Arial"/>
                <w:sz w:val="16"/>
                <w:szCs w:val="16"/>
              </w:rPr>
              <w:t>Wine excise  of 13.03</w:t>
            </w:r>
            <w:r w:rsidR="00F01193">
              <w:rPr>
                <w:rFonts w:ascii="Arial" w:hAnsi="Arial" w:cs="Arial"/>
                <w:sz w:val="16"/>
                <w:szCs w:val="16"/>
              </w:rPr>
              <w:t xml:space="preserve"> per l</w:t>
            </w:r>
          </w:p>
        </w:tc>
        <w:tc>
          <w:tcPr>
            <w:tcW w:w="2268" w:type="dxa"/>
            <w:tcBorders>
              <w:top w:val="double" w:sz="4" w:space="0" w:color="auto"/>
            </w:tcBorders>
          </w:tcPr>
          <w:p w14:paraId="7B3BD1BD" w14:textId="77777777" w:rsidR="009A6EB1" w:rsidRPr="009A6EB1" w:rsidRDefault="009A6EB1" w:rsidP="00F16C0F">
            <w:pPr>
              <w:spacing w:before="40" w:after="40" w:line="21" w:lineRule="atLeast"/>
              <w:rPr>
                <w:rFonts w:ascii="Arial" w:hAnsi="Arial" w:cs="Arial"/>
                <w:sz w:val="16"/>
                <w:szCs w:val="16"/>
              </w:rPr>
            </w:pPr>
            <w:r w:rsidRPr="009A6EB1">
              <w:rPr>
                <w:rFonts w:ascii="Arial" w:hAnsi="Arial" w:cs="Arial"/>
                <w:sz w:val="16"/>
                <w:szCs w:val="16"/>
              </w:rPr>
              <w:t>26.2% reduction in cask wine consumption</w:t>
            </w:r>
          </w:p>
          <w:p w14:paraId="40EA4A5A" w14:textId="77777777" w:rsidR="009A6EB1" w:rsidRPr="009A6EB1" w:rsidRDefault="009A6EB1" w:rsidP="00F16C0F">
            <w:pPr>
              <w:spacing w:before="40" w:after="40" w:line="21" w:lineRule="atLeast"/>
              <w:rPr>
                <w:rFonts w:ascii="Arial" w:hAnsi="Arial" w:cs="Arial"/>
                <w:sz w:val="16"/>
                <w:szCs w:val="16"/>
              </w:rPr>
            </w:pPr>
            <w:r w:rsidRPr="009A6EB1">
              <w:rPr>
                <w:rFonts w:ascii="Arial" w:hAnsi="Arial" w:cs="Arial"/>
                <w:sz w:val="16"/>
                <w:szCs w:val="16"/>
              </w:rPr>
              <w:t>5.1% increase in premium wine consumption</w:t>
            </w:r>
          </w:p>
          <w:p w14:paraId="22F62E1C" w14:textId="773340EC" w:rsidR="009A6EB1" w:rsidRPr="009A6EB1" w:rsidRDefault="009A6EB1" w:rsidP="00F16C0F">
            <w:pPr>
              <w:spacing w:before="40" w:after="40" w:line="21" w:lineRule="atLeast"/>
              <w:rPr>
                <w:rFonts w:ascii="Arial" w:hAnsi="Arial" w:cs="Arial"/>
                <w:sz w:val="16"/>
                <w:szCs w:val="16"/>
              </w:rPr>
            </w:pPr>
            <w:r w:rsidRPr="009A6EB1">
              <w:rPr>
                <w:rFonts w:ascii="Arial" w:hAnsi="Arial" w:cs="Arial"/>
                <w:sz w:val="16"/>
                <w:szCs w:val="16"/>
              </w:rPr>
              <w:t>2.6% reduction in total alcohol consumption</w:t>
            </w:r>
          </w:p>
        </w:tc>
        <w:tc>
          <w:tcPr>
            <w:tcW w:w="1701" w:type="dxa"/>
            <w:tcBorders>
              <w:top w:val="double" w:sz="4" w:space="0" w:color="auto"/>
            </w:tcBorders>
          </w:tcPr>
          <w:p w14:paraId="5953B4AC" w14:textId="044EA2F6" w:rsidR="009A6EB1" w:rsidRPr="009A6EB1" w:rsidRDefault="009A6EB1"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c>
          <w:tcPr>
            <w:tcW w:w="1776" w:type="dxa"/>
            <w:tcBorders>
              <w:top w:val="double" w:sz="4" w:space="0" w:color="auto"/>
            </w:tcBorders>
          </w:tcPr>
          <w:p w14:paraId="7B4715C7" w14:textId="57CE6932" w:rsidR="009A6EB1" w:rsidRPr="009A6EB1" w:rsidRDefault="009A6EB1" w:rsidP="00F16C0F">
            <w:pPr>
              <w:spacing w:before="40" w:after="40" w:line="21" w:lineRule="atLeast"/>
              <w:rPr>
                <w:rFonts w:ascii="Arial" w:hAnsi="Arial" w:cs="Arial"/>
                <w:sz w:val="16"/>
                <w:szCs w:val="16"/>
              </w:rPr>
            </w:pPr>
            <w:r>
              <w:rPr>
                <w:rFonts w:ascii="Arial" w:hAnsi="Arial" w:cs="Arial"/>
                <w:sz w:val="16"/>
                <w:szCs w:val="16"/>
              </w:rPr>
              <w:t>No change</w:t>
            </w:r>
          </w:p>
        </w:tc>
        <w:tc>
          <w:tcPr>
            <w:tcW w:w="1995" w:type="dxa"/>
            <w:tcBorders>
              <w:top w:val="double" w:sz="4" w:space="0" w:color="auto"/>
            </w:tcBorders>
          </w:tcPr>
          <w:p w14:paraId="711B77B0" w14:textId="24A674FD" w:rsidR="009A6EB1" w:rsidRPr="009A6EB1" w:rsidRDefault="009A6EB1"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r>
      <w:tr w:rsidR="00F01193" w14:paraId="5F3DAE94" w14:textId="77777777" w:rsidTr="00F16C0F">
        <w:tc>
          <w:tcPr>
            <w:tcW w:w="2235" w:type="dxa"/>
          </w:tcPr>
          <w:p w14:paraId="4DB361C7" w14:textId="17E63456" w:rsidR="00F16C0F" w:rsidRDefault="00F01193" w:rsidP="00F16C0F">
            <w:pPr>
              <w:spacing w:before="40" w:after="40" w:line="21" w:lineRule="atLeast"/>
              <w:rPr>
                <w:rFonts w:ascii="Arial" w:hAnsi="Arial" w:cs="Arial"/>
                <w:sz w:val="16"/>
                <w:szCs w:val="16"/>
              </w:rPr>
            </w:pPr>
            <w:r w:rsidRPr="009A6EB1">
              <w:rPr>
                <w:rFonts w:ascii="Arial" w:hAnsi="Arial" w:cs="Arial"/>
                <w:sz w:val="16"/>
                <w:szCs w:val="16"/>
              </w:rPr>
              <w:t>A</w:t>
            </w:r>
            <w:r>
              <w:rPr>
                <w:rFonts w:ascii="Arial" w:hAnsi="Arial" w:cs="Arial"/>
                <w:sz w:val="16"/>
                <w:szCs w:val="16"/>
              </w:rPr>
              <w:t>llen Consulting Group Scenario 2</w:t>
            </w:r>
            <w:r w:rsidR="00F16C0F">
              <w:rPr>
                <w:rFonts w:ascii="Arial" w:hAnsi="Arial" w:cs="Arial"/>
                <w:sz w:val="16"/>
                <w:szCs w:val="16"/>
              </w:rPr>
              <w:t>:-</w:t>
            </w:r>
          </w:p>
          <w:p w14:paraId="2ED2086A" w14:textId="21A540AF" w:rsidR="00F01193" w:rsidRPr="009A6EB1" w:rsidRDefault="00F01193" w:rsidP="00F16C0F">
            <w:pPr>
              <w:spacing w:before="40" w:after="40" w:line="21" w:lineRule="atLeast"/>
              <w:rPr>
                <w:rFonts w:ascii="Arial" w:hAnsi="Arial" w:cs="Arial"/>
                <w:sz w:val="16"/>
                <w:szCs w:val="16"/>
              </w:rPr>
            </w:pPr>
            <w:r w:rsidRPr="009A6EB1">
              <w:rPr>
                <w:rFonts w:ascii="Arial" w:hAnsi="Arial" w:cs="Arial"/>
                <w:sz w:val="16"/>
                <w:szCs w:val="16"/>
              </w:rPr>
              <w:t xml:space="preserve">Wine excise  of </w:t>
            </w:r>
            <w:r>
              <w:rPr>
                <w:rFonts w:ascii="Arial" w:hAnsi="Arial" w:cs="Arial"/>
                <w:sz w:val="16"/>
                <w:szCs w:val="16"/>
              </w:rPr>
              <w:t>30.86 per l</w:t>
            </w:r>
          </w:p>
        </w:tc>
        <w:tc>
          <w:tcPr>
            <w:tcW w:w="2268" w:type="dxa"/>
          </w:tcPr>
          <w:p w14:paraId="383A5D15" w14:textId="77777777" w:rsidR="00F01193" w:rsidRDefault="00F01193" w:rsidP="00F16C0F">
            <w:pPr>
              <w:spacing w:before="40" w:after="40" w:line="21" w:lineRule="atLeast"/>
              <w:rPr>
                <w:rFonts w:ascii="Arial" w:hAnsi="Arial" w:cs="Arial"/>
                <w:sz w:val="16"/>
                <w:szCs w:val="16"/>
              </w:rPr>
            </w:pPr>
            <w:r>
              <w:rPr>
                <w:rFonts w:ascii="Arial" w:hAnsi="Arial" w:cs="Arial"/>
                <w:sz w:val="16"/>
                <w:szCs w:val="16"/>
              </w:rPr>
              <w:t>51.3% reduction in cask wine consumption</w:t>
            </w:r>
          </w:p>
          <w:p w14:paraId="6009DB71" w14:textId="77777777" w:rsidR="00F01193" w:rsidRDefault="00F01193" w:rsidP="00F16C0F">
            <w:pPr>
              <w:spacing w:before="40" w:after="40" w:line="21" w:lineRule="atLeast"/>
              <w:rPr>
                <w:rFonts w:ascii="Arial" w:hAnsi="Arial" w:cs="Arial"/>
                <w:sz w:val="16"/>
                <w:szCs w:val="16"/>
              </w:rPr>
            </w:pPr>
            <w:r>
              <w:rPr>
                <w:rFonts w:ascii="Arial" w:hAnsi="Arial" w:cs="Arial"/>
                <w:sz w:val="16"/>
                <w:szCs w:val="16"/>
              </w:rPr>
              <w:t>5% reduction in premium wine consumption</w:t>
            </w:r>
          </w:p>
          <w:p w14:paraId="4A998A32" w14:textId="761680BC" w:rsidR="00F01193" w:rsidRPr="009A6EB1" w:rsidRDefault="00F01193" w:rsidP="00F16C0F">
            <w:pPr>
              <w:spacing w:before="40" w:after="40" w:line="21" w:lineRule="atLeast"/>
              <w:rPr>
                <w:rFonts w:ascii="Arial" w:hAnsi="Arial" w:cs="Arial"/>
                <w:sz w:val="16"/>
                <w:szCs w:val="16"/>
              </w:rPr>
            </w:pPr>
            <w:r>
              <w:rPr>
                <w:rFonts w:ascii="Arial" w:hAnsi="Arial" w:cs="Arial"/>
                <w:sz w:val="16"/>
                <w:szCs w:val="16"/>
              </w:rPr>
              <w:t>6.8% reduction in total alcohol consumption</w:t>
            </w:r>
          </w:p>
        </w:tc>
        <w:tc>
          <w:tcPr>
            <w:tcW w:w="1701" w:type="dxa"/>
          </w:tcPr>
          <w:p w14:paraId="7F578923" w14:textId="6A4036D0" w:rsidR="00F01193" w:rsidRPr="009A6EB1" w:rsidRDefault="00F01193"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c>
          <w:tcPr>
            <w:tcW w:w="1776" w:type="dxa"/>
          </w:tcPr>
          <w:p w14:paraId="5C34EFE9" w14:textId="5855AFA5" w:rsidR="00F01193" w:rsidRPr="009A6EB1" w:rsidRDefault="00F01193" w:rsidP="00F16C0F">
            <w:pPr>
              <w:spacing w:before="40" w:after="40" w:line="21" w:lineRule="atLeast"/>
              <w:rPr>
                <w:rFonts w:ascii="Arial" w:hAnsi="Arial" w:cs="Arial"/>
                <w:sz w:val="16"/>
                <w:szCs w:val="16"/>
              </w:rPr>
            </w:pPr>
            <w:r>
              <w:rPr>
                <w:rFonts w:ascii="Arial" w:hAnsi="Arial" w:cs="Arial"/>
                <w:sz w:val="16"/>
                <w:szCs w:val="16"/>
              </w:rPr>
              <w:t xml:space="preserve">Increase of $1 </w:t>
            </w:r>
            <w:proofErr w:type="spellStart"/>
            <w:r>
              <w:rPr>
                <w:rFonts w:ascii="Arial" w:hAnsi="Arial" w:cs="Arial"/>
                <w:sz w:val="16"/>
                <w:szCs w:val="16"/>
              </w:rPr>
              <w:t>bn</w:t>
            </w:r>
            <w:proofErr w:type="spellEnd"/>
          </w:p>
        </w:tc>
        <w:tc>
          <w:tcPr>
            <w:tcW w:w="1995" w:type="dxa"/>
          </w:tcPr>
          <w:p w14:paraId="75E4A292" w14:textId="3C83BCA7" w:rsidR="00F01193" w:rsidRPr="009A6EB1" w:rsidRDefault="00F01193"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r>
      <w:tr w:rsidR="00F01193" w14:paraId="0F7FD733" w14:textId="77777777" w:rsidTr="002D4816">
        <w:trPr>
          <w:trHeight w:val="1095"/>
        </w:trPr>
        <w:tc>
          <w:tcPr>
            <w:tcW w:w="2235" w:type="dxa"/>
            <w:tcBorders>
              <w:bottom w:val="double" w:sz="4" w:space="0" w:color="auto"/>
            </w:tcBorders>
          </w:tcPr>
          <w:p w14:paraId="14B0E7C5" w14:textId="70F8E7EC" w:rsidR="00F16C0F" w:rsidRDefault="004B6A85" w:rsidP="00F16C0F">
            <w:pPr>
              <w:spacing w:before="40" w:after="40" w:line="21" w:lineRule="atLeast"/>
              <w:rPr>
                <w:rFonts w:ascii="Arial" w:hAnsi="Arial" w:cs="Arial"/>
                <w:sz w:val="16"/>
                <w:szCs w:val="16"/>
              </w:rPr>
            </w:pPr>
            <w:r w:rsidRPr="009A6EB1">
              <w:rPr>
                <w:rFonts w:ascii="Arial" w:hAnsi="Arial" w:cs="Arial"/>
                <w:sz w:val="16"/>
                <w:szCs w:val="16"/>
              </w:rPr>
              <w:lastRenderedPageBreak/>
              <w:t>A</w:t>
            </w:r>
            <w:r>
              <w:rPr>
                <w:rFonts w:ascii="Arial" w:hAnsi="Arial" w:cs="Arial"/>
                <w:sz w:val="16"/>
                <w:szCs w:val="16"/>
              </w:rPr>
              <w:t>llen Consulting Group Scenario 3</w:t>
            </w:r>
            <w:r w:rsidR="00F16C0F">
              <w:rPr>
                <w:rFonts w:ascii="Arial" w:hAnsi="Arial" w:cs="Arial"/>
                <w:sz w:val="16"/>
                <w:szCs w:val="16"/>
              </w:rPr>
              <w:t>:-</w:t>
            </w:r>
          </w:p>
          <w:p w14:paraId="5C5F410D" w14:textId="5BAF45B3" w:rsidR="00F01193" w:rsidRPr="009A6EB1" w:rsidRDefault="004B6A85" w:rsidP="00F16C0F">
            <w:pPr>
              <w:spacing w:before="40" w:after="40" w:line="21" w:lineRule="atLeast"/>
              <w:rPr>
                <w:rFonts w:ascii="Arial" w:hAnsi="Arial" w:cs="Arial"/>
                <w:sz w:val="16"/>
                <w:szCs w:val="16"/>
              </w:rPr>
            </w:pPr>
            <w:r w:rsidRPr="009A6EB1">
              <w:rPr>
                <w:rFonts w:ascii="Arial" w:hAnsi="Arial" w:cs="Arial"/>
                <w:sz w:val="16"/>
                <w:szCs w:val="16"/>
              </w:rPr>
              <w:t xml:space="preserve">Wine excise  of </w:t>
            </w:r>
            <w:r>
              <w:rPr>
                <w:rFonts w:ascii="Arial" w:hAnsi="Arial" w:cs="Arial"/>
                <w:sz w:val="16"/>
                <w:szCs w:val="16"/>
              </w:rPr>
              <w:t>42.85 per l</w:t>
            </w:r>
          </w:p>
        </w:tc>
        <w:tc>
          <w:tcPr>
            <w:tcW w:w="2268" w:type="dxa"/>
            <w:tcBorders>
              <w:bottom w:val="double" w:sz="4" w:space="0" w:color="auto"/>
            </w:tcBorders>
          </w:tcPr>
          <w:p w14:paraId="230509D5" w14:textId="19199021" w:rsidR="00385D1B" w:rsidRDefault="00385D1B" w:rsidP="00F16C0F">
            <w:pPr>
              <w:spacing w:before="40" w:after="40" w:line="21" w:lineRule="atLeast"/>
              <w:rPr>
                <w:rFonts w:ascii="Arial" w:hAnsi="Arial" w:cs="Arial"/>
                <w:sz w:val="16"/>
                <w:szCs w:val="16"/>
              </w:rPr>
            </w:pPr>
            <w:r>
              <w:rPr>
                <w:rFonts w:ascii="Arial" w:hAnsi="Arial" w:cs="Arial"/>
                <w:sz w:val="16"/>
                <w:szCs w:val="16"/>
              </w:rPr>
              <w:t>61.2% reduction in cask wine consumption</w:t>
            </w:r>
          </w:p>
          <w:p w14:paraId="135708B9" w14:textId="15D5FBE8" w:rsidR="00385D1B" w:rsidRDefault="00385D1B" w:rsidP="00F16C0F">
            <w:pPr>
              <w:spacing w:before="40" w:after="40" w:line="21" w:lineRule="atLeast"/>
              <w:rPr>
                <w:rFonts w:ascii="Arial" w:hAnsi="Arial" w:cs="Arial"/>
                <w:sz w:val="16"/>
                <w:szCs w:val="16"/>
              </w:rPr>
            </w:pPr>
            <w:r>
              <w:rPr>
                <w:rFonts w:ascii="Arial" w:hAnsi="Arial" w:cs="Arial"/>
                <w:sz w:val="16"/>
                <w:szCs w:val="16"/>
              </w:rPr>
              <w:t>11.2% reduction in premium wine consumption</w:t>
            </w:r>
          </w:p>
          <w:p w14:paraId="4D4F6F08" w14:textId="32886741" w:rsidR="00F01193" w:rsidRPr="009A6EB1" w:rsidRDefault="00385D1B" w:rsidP="00F16C0F">
            <w:pPr>
              <w:spacing w:before="40" w:after="40" w:line="21" w:lineRule="atLeast"/>
              <w:rPr>
                <w:rFonts w:ascii="Arial" w:hAnsi="Arial" w:cs="Arial"/>
                <w:sz w:val="16"/>
                <w:szCs w:val="16"/>
              </w:rPr>
            </w:pPr>
            <w:r>
              <w:rPr>
                <w:rFonts w:ascii="Arial" w:hAnsi="Arial" w:cs="Arial"/>
                <w:sz w:val="16"/>
                <w:szCs w:val="16"/>
              </w:rPr>
              <w:t>8.6% reduction in total alcohol consumption</w:t>
            </w:r>
          </w:p>
        </w:tc>
        <w:tc>
          <w:tcPr>
            <w:tcW w:w="1701" w:type="dxa"/>
            <w:tcBorders>
              <w:bottom w:val="double" w:sz="4" w:space="0" w:color="auto"/>
            </w:tcBorders>
          </w:tcPr>
          <w:p w14:paraId="7B63618A" w14:textId="35EDEF1F" w:rsidR="00F01193" w:rsidRPr="009A6EB1" w:rsidRDefault="00385D1B"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c>
          <w:tcPr>
            <w:tcW w:w="1776" w:type="dxa"/>
            <w:tcBorders>
              <w:bottom w:val="double" w:sz="4" w:space="0" w:color="auto"/>
            </w:tcBorders>
          </w:tcPr>
          <w:p w14:paraId="2EA1F0F5" w14:textId="03FB4F2F" w:rsidR="00F01193" w:rsidRPr="009A6EB1" w:rsidRDefault="00385D1B" w:rsidP="00F16C0F">
            <w:pPr>
              <w:spacing w:before="40" w:after="40" w:line="21" w:lineRule="atLeast"/>
              <w:rPr>
                <w:rFonts w:ascii="Arial" w:hAnsi="Arial" w:cs="Arial"/>
                <w:sz w:val="16"/>
                <w:szCs w:val="16"/>
              </w:rPr>
            </w:pPr>
            <w:r>
              <w:rPr>
                <w:rFonts w:ascii="Arial" w:hAnsi="Arial" w:cs="Arial"/>
                <w:sz w:val="16"/>
                <w:szCs w:val="16"/>
              </w:rPr>
              <w:t xml:space="preserve">Increase of $1.5 </w:t>
            </w:r>
            <w:proofErr w:type="spellStart"/>
            <w:r>
              <w:rPr>
                <w:rFonts w:ascii="Arial" w:hAnsi="Arial" w:cs="Arial"/>
                <w:sz w:val="16"/>
                <w:szCs w:val="16"/>
              </w:rPr>
              <w:t>bn</w:t>
            </w:r>
            <w:proofErr w:type="spellEnd"/>
          </w:p>
        </w:tc>
        <w:tc>
          <w:tcPr>
            <w:tcW w:w="1995" w:type="dxa"/>
            <w:tcBorders>
              <w:bottom w:val="double" w:sz="4" w:space="0" w:color="auto"/>
            </w:tcBorders>
          </w:tcPr>
          <w:p w14:paraId="15A5AA38" w14:textId="5B196629" w:rsidR="00F01193" w:rsidRPr="009A6EB1" w:rsidRDefault="00385D1B"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r>
      <w:tr w:rsidR="00385D1B" w14:paraId="2DFFBF31" w14:textId="77777777" w:rsidTr="00F16C0F">
        <w:tc>
          <w:tcPr>
            <w:tcW w:w="2235" w:type="dxa"/>
          </w:tcPr>
          <w:p w14:paraId="7F258196" w14:textId="77777777" w:rsidR="00F16C0F" w:rsidRDefault="00017C3B" w:rsidP="00F16C0F">
            <w:pPr>
              <w:spacing w:before="40" w:after="40" w:line="21" w:lineRule="atLeast"/>
              <w:rPr>
                <w:rFonts w:ascii="Arial" w:hAnsi="Arial" w:cs="Arial"/>
                <w:sz w:val="16"/>
                <w:szCs w:val="16"/>
              </w:rPr>
            </w:pPr>
            <w:r>
              <w:rPr>
                <w:rFonts w:ascii="Arial" w:hAnsi="Arial" w:cs="Arial"/>
                <w:sz w:val="16"/>
                <w:szCs w:val="16"/>
              </w:rPr>
              <w:t>Marsden Jacob</w:t>
            </w:r>
            <w:r w:rsidR="00F16C0F">
              <w:rPr>
                <w:rFonts w:ascii="Arial" w:hAnsi="Arial" w:cs="Arial"/>
                <w:sz w:val="16"/>
                <w:szCs w:val="16"/>
              </w:rPr>
              <w:t xml:space="preserve"> Scenario 2:</w:t>
            </w:r>
            <w:r w:rsidR="00C40E60">
              <w:rPr>
                <w:rFonts w:ascii="Arial" w:hAnsi="Arial" w:cs="Arial"/>
                <w:sz w:val="16"/>
                <w:szCs w:val="16"/>
              </w:rPr>
              <w:t>-</w:t>
            </w:r>
          </w:p>
          <w:p w14:paraId="3755D60F" w14:textId="004EA866" w:rsidR="00385D1B" w:rsidRPr="009A6EB1" w:rsidRDefault="00C40E60" w:rsidP="00F16C0F">
            <w:pPr>
              <w:spacing w:before="40" w:after="40" w:line="21" w:lineRule="atLeast"/>
              <w:rPr>
                <w:rFonts w:ascii="Arial" w:hAnsi="Arial" w:cs="Arial"/>
                <w:sz w:val="16"/>
                <w:szCs w:val="16"/>
              </w:rPr>
            </w:pPr>
            <w:r>
              <w:rPr>
                <w:rFonts w:ascii="Arial" w:hAnsi="Arial" w:cs="Arial"/>
                <w:sz w:val="16"/>
                <w:szCs w:val="16"/>
              </w:rPr>
              <w:t>Wine excise  of 29.05 per l, all other alcohol excise increased by 50%</w:t>
            </w:r>
          </w:p>
        </w:tc>
        <w:tc>
          <w:tcPr>
            <w:tcW w:w="2268" w:type="dxa"/>
          </w:tcPr>
          <w:p w14:paraId="6892F5C0" w14:textId="77777777" w:rsidR="00385D1B" w:rsidRDefault="00330F48" w:rsidP="00F16C0F">
            <w:pPr>
              <w:spacing w:before="40" w:after="40" w:line="21" w:lineRule="atLeast"/>
              <w:rPr>
                <w:rFonts w:ascii="Arial" w:hAnsi="Arial" w:cs="Arial"/>
                <w:sz w:val="16"/>
                <w:szCs w:val="16"/>
              </w:rPr>
            </w:pPr>
            <w:r>
              <w:rPr>
                <w:rFonts w:ascii="Arial" w:hAnsi="Arial" w:cs="Arial"/>
                <w:sz w:val="16"/>
                <w:szCs w:val="16"/>
              </w:rPr>
              <w:t>4.9% reduction in beer consumption</w:t>
            </w:r>
          </w:p>
          <w:p w14:paraId="6A84FA3F" w14:textId="77777777" w:rsidR="00330F48" w:rsidRDefault="00330F48" w:rsidP="00F16C0F">
            <w:pPr>
              <w:spacing w:before="40" w:after="40" w:line="21" w:lineRule="atLeast"/>
              <w:rPr>
                <w:rFonts w:ascii="Arial" w:hAnsi="Arial" w:cs="Arial"/>
                <w:sz w:val="16"/>
                <w:szCs w:val="16"/>
              </w:rPr>
            </w:pPr>
            <w:r>
              <w:rPr>
                <w:rFonts w:ascii="Arial" w:hAnsi="Arial" w:cs="Arial"/>
                <w:sz w:val="16"/>
                <w:szCs w:val="16"/>
              </w:rPr>
              <w:t>6.7% reduction in wine consumption</w:t>
            </w:r>
          </w:p>
          <w:p w14:paraId="197D7ADB" w14:textId="77777777" w:rsidR="00330F48" w:rsidRDefault="00330F48" w:rsidP="00F16C0F">
            <w:pPr>
              <w:spacing w:before="40" w:after="40" w:line="21" w:lineRule="atLeast"/>
              <w:rPr>
                <w:rFonts w:ascii="Arial" w:hAnsi="Arial" w:cs="Arial"/>
                <w:sz w:val="16"/>
                <w:szCs w:val="16"/>
              </w:rPr>
            </w:pPr>
            <w:r>
              <w:rPr>
                <w:rFonts w:ascii="Arial" w:hAnsi="Arial" w:cs="Arial"/>
                <w:sz w:val="16"/>
                <w:szCs w:val="16"/>
              </w:rPr>
              <w:t>12.9% reduction in spirits consumption</w:t>
            </w:r>
          </w:p>
          <w:p w14:paraId="6C58FE7F" w14:textId="77777777" w:rsidR="00330F48" w:rsidRDefault="00330F48" w:rsidP="00F16C0F">
            <w:pPr>
              <w:spacing w:before="40" w:after="40" w:line="21" w:lineRule="atLeast"/>
              <w:rPr>
                <w:rFonts w:ascii="Arial" w:hAnsi="Arial" w:cs="Arial"/>
                <w:sz w:val="16"/>
                <w:szCs w:val="16"/>
              </w:rPr>
            </w:pPr>
            <w:r>
              <w:rPr>
                <w:rFonts w:ascii="Arial" w:hAnsi="Arial" w:cs="Arial"/>
                <w:sz w:val="16"/>
                <w:szCs w:val="16"/>
              </w:rPr>
              <w:t>1.3% reduction in RTDs consumption</w:t>
            </w:r>
          </w:p>
          <w:p w14:paraId="7301CCF2" w14:textId="79DFE490" w:rsidR="00330F48" w:rsidRPr="009A6EB1" w:rsidRDefault="00330F48" w:rsidP="00F16C0F">
            <w:pPr>
              <w:spacing w:before="40" w:after="40" w:line="21" w:lineRule="atLeast"/>
              <w:rPr>
                <w:rFonts w:ascii="Arial" w:hAnsi="Arial" w:cs="Arial"/>
                <w:sz w:val="16"/>
                <w:szCs w:val="16"/>
              </w:rPr>
            </w:pPr>
            <w:r>
              <w:rPr>
                <w:rFonts w:ascii="Arial" w:hAnsi="Arial" w:cs="Arial"/>
                <w:sz w:val="16"/>
                <w:szCs w:val="16"/>
              </w:rPr>
              <w:t>6.3% reduction in total alcohol consumption</w:t>
            </w:r>
          </w:p>
        </w:tc>
        <w:tc>
          <w:tcPr>
            <w:tcW w:w="1701" w:type="dxa"/>
          </w:tcPr>
          <w:p w14:paraId="1D505D5A" w14:textId="77777777" w:rsidR="00385D1B" w:rsidRDefault="00330F48" w:rsidP="00F16C0F">
            <w:pPr>
              <w:spacing w:before="40" w:after="40" w:line="21" w:lineRule="atLeast"/>
              <w:rPr>
                <w:rFonts w:ascii="Arial" w:hAnsi="Arial" w:cs="Arial"/>
                <w:sz w:val="16"/>
                <w:szCs w:val="16"/>
              </w:rPr>
            </w:pPr>
            <w:r>
              <w:rPr>
                <w:rFonts w:ascii="Arial" w:hAnsi="Arial" w:cs="Arial"/>
                <w:sz w:val="16"/>
                <w:szCs w:val="16"/>
              </w:rPr>
              <w:t>$820 m p.a. reduction in HTO</w:t>
            </w:r>
          </w:p>
          <w:p w14:paraId="23C7B7F8" w14:textId="77777777" w:rsidR="00330F48" w:rsidRDefault="00330F48" w:rsidP="00F16C0F">
            <w:pPr>
              <w:spacing w:before="40" w:after="40" w:line="21" w:lineRule="atLeast"/>
              <w:rPr>
                <w:rFonts w:ascii="Arial" w:hAnsi="Arial" w:cs="Arial"/>
                <w:sz w:val="16"/>
                <w:szCs w:val="16"/>
              </w:rPr>
            </w:pPr>
          </w:p>
          <w:p w14:paraId="27205567" w14:textId="3FE9647C" w:rsidR="00330F48" w:rsidRPr="009A6EB1" w:rsidRDefault="00330F48" w:rsidP="00F16C0F">
            <w:pPr>
              <w:spacing w:before="40" w:after="40" w:line="21" w:lineRule="atLeast"/>
              <w:rPr>
                <w:rFonts w:ascii="Arial" w:hAnsi="Arial" w:cs="Arial"/>
                <w:sz w:val="16"/>
                <w:szCs w:val="16"/>
              </w:rPr>
            </w:pPr>
            <w:r>
              <w:rPr>
                <w:rFonts w:ascii="Arial" w:hAnsi="Arial" w:cs="Arial"/>
                <w:sz w:val="16"/>
                <w:szCs w:val="16"/>
              </w:rPr>
              <w:t>$250 m p.a. net benefit</w:t>
            </w:r>
          </w:p>
        </w:tc>
        <w:tc>
          <w:tcPr>
            <w:tcW w:w="1776" w:type="dxa"/>
          </w:tcPr>
          <w:p w14:paraId="1E792311" w14:textId="16A06ECF" w:rsidR="00385D1B" w:rsidRPr="009A6EB1" w:rsidRDefault="00330F48" w:rsidP="00F16C0F">
            <w:pPr>
              <w:spacing w:before="40" w:after="40" w:line="21" w:lineRule="atLeast"/>
              <w:rPr>
                <w:rFonts w:ascii="Arial" w:hAnsi="Arial" w:cs="Arial"/>
                <w:sz w:val="16"/>
                <w:szCs w:val="16"/>
              </w:rPr>
            </w:pPr>
            <w:r>
              <w:rPr>
                <w:rFonts w:ascii="Arial" w:hAnsi="Arial" w:cs="Arial"/>
                <w:sz w:val="16"/>
                <w:szCs w:val="16"/>
              </w:rPr>
              <w:t xml:space="preserve">Increase of $3.14 </w:t>
            </w:r>
            <w:proofErr w:type="spellStart"/>
            <w:r>
              <w:rPr>
                <w:rFonts w:ascii="Arial" w:hAnsi="Arial" w:cs="Arial"/>
                <w:sz w:val="16"/>
                <w:szCs w:val="16"/>
              </w:rPr>
              <w:t>bn</w:t>
            </w:r>
            <w:proofErr w:type="spellEnd"/>
            <w:r>
              <w:rPr>
                <w:rFonts w:ascii="Arial" w:hAnsi="Arial" w:cs="Arial"/>
                <w:sz w:val="16"/>
                <w:szCs w:val="16"/>
              </w:rPr>
              <w:t xml:space="preserve"> p.a.</w:t>
            </w:r>
          </w:p>
        </w:tc>
        <w:tc>
          <w:tcPr>
            <w:tcW w:w="1995" w:type="dxa"/>
          </w:tcPr>
          <w:p w14:paraId="28430411" w14:textId="77C0B625" w:rsidR="00385D1B" w:rsidRPr="009A6EB1" w:rsidRDefault="00330F48" w:rsidP="00F16C0F">
            <w:pPr>
              <w:spacing w:before="40" w:after="40" w:line="21" w:lineRule="atLeast"/>
              <w:rPr>
                <w:rFonts w:ascii="Arial" w:hAnsi="Arial" w:cs="Arial"/>
                <w:sz w:val="16"/>
                <w:szCs w:val="16"/>
              </w:rPr>
            </w:pPr>
            <w:proofErr w:type="spellStart"/>
            <w:r>
              <w:rPr>
                <w:rFonts w:ascii="Arial" w:hAnsi="Arial" w:cs="Arial"/>
                <w:sz w:val="16"/>
                <w:szCs w:val="16"/>
              </w:rPr>
              <w:t>n.a</w:t>
            </w:r>
            <w:proofErr w:type="spellEnd"/>
            <w:r>
              <w:rPr>
                <w:rFonts w:ascii="Arial" w:hAnsi="Arial" w:cs="Arial"/>
                <w:sz w:val="16"/>
                <w:szCs w:val="16"/>
              </w:rPr>
              <w:t>.</w:t>
            </w:r>
          </w:p>
        </w:tc>
      </w:tr>
      <w:tr w:rsidR="00330F48" w14:paraId="59532739" w14:textId="77777777" w:rsidTr="00F16C0F">
        <w:tc>
          <w:tcPr>
            <w:tcW w:w="2235" w:type="dxa"/>
            <w:tcBorders>
              <w:top w:val="double" w:sz="4" w:space="0" w:color="auto"/>
            </w:tcBorders>
          </w:tcPr>
          <w:p w14:paraId="5587D2D5" w14:textId="77777777" w:rsidR="00F16C0F" w:rsidRDefault="00452BA1" w:rsidP="00F16C0F">
            <w:pPr>
              <w:spacing w:before="40" w:after="40" w:line="21" w:lineRule="atLeast"/>
              <w:rPr>
                <w:rFonts w:ascii="Arial" w:hAnsi="Arial" w:cs="Arial"/>
                <w:sz w:val="16"/>
                <w:szCs w:val="16"/>
              </w:rPr>
            </w:pPr>
            <w:r>
              <w:rPr>
                <w:rFonts w:ascii="Arial" w:hAnsi="Arial" w:cs="Arial"/>
                <w:sz w:val="16"/>
                <w:szCs w:val="16"/>
              </w:rPr>
              <w:t>Doran et al Volumetric Option 1</w:t>
            </w:r>
            <w:r w:rsidR="00F16C0F">
              <w:rPr>
                <w:rFonts w:ascii="Arial" w:hAnsi="Arial" w:cs="Arial"/>
                <w:sz w:val="16"/>
                <w:szCs w:val="16"/>
              </w:rPr>
              <w:t>:</w:t>
            </w:r>
            <w:r>
              <w:rPr>
                <w:rFonts w:ascii="Arial" w:hAnsi="Arial" w:cs="Arial"/>
                <w:sz w:val="16"/>
                <w:szCs w:val="16"/>
              </w:rPr>
              <w:t>-</w:t>
            </w:r>
          </w:p>
          <w:p w14:paraId="6425E627" w14:textId="3CD716E9" w:rsidR="00330F48" w:rsidRPr="009A6EB1" w:rsidRDefault="007978A9" w:rsidP="00F16C0F">
            <w:pPr>
              <w:spacing w:before="40" w:after="40" w:line="21" w:lineRule="atLeast"/>
              <w:rPr>
                <w:rFonts w:ascii="Arial" w:hAnsi="Arial" w:cs="Arial"/>
                <w:sz w:val="16"/>
                <w:szCs w:val="16"/>
              </w:rPr>
            </w:pPr>
            <w:r>
              <w:rPr>
                <w:rFonts w:ascii="Arial" w:hAnsi="Arial" w:cs="Arial"/>
                <w:sz w:val="16"/>
                <w:szCs w:val="16"/>
              </w:rPr>
              <w:t xml:space="preserve">Wine excise  of </w:t>
            </w:r>
            <w:r w:rsidR="00D423B7">
              <w:rPr>
                <w:rFonts w:ascii="Arial" w:hAnsi="Arial" w:cs="Arial"/>
                <w:sz w:val="16"/>
                <w:szCs w:val="16"/>
              </w:rPr>
              <w:t>35.03 per l</w:t>
            </w:r>
            <w:r w:rsidR="008F4E64">
              <w:rPr>
                <w:rFonts w:ascii="Arial" w:hAnsi="Arial" w:cs="Arial"/>
                <w:sz w:val="16"/>
                <w:szCs w:val="16"/>
              </w:rPr>
              <w:t xml:space="preserve"> (the rate on low strength packaged beer at the time the article was written)</w:t>
            </w:r>
          </w:p>
        </w:tc>
        <w:tc>
          <w:tcPr>
            <w:tcW w:w="2268" w:type="dxa"/>
            <w:tcBorders>
              <w:top w:val="double" w:sz="4" w:space="0" w:color="auto"/>
            </w:tcBorders>
          </w:tcPr>
          <w:p w14:paraId="1CFB621A" w14:textId="68F6294D" w:rsidR="00330F48" w:rsidRPr="009A6EB1" w:rsidRDefault="00D423B7" w:rsidP="00F16C0F">
            <w:pPr>
              <w:spacing w:before="40" w:after="40" w:line="21" w:lineRule="atLeast"/>
              <w:rPr>
                <w:rFonts w:ascii="Arial" w:hAnsi="Arial" w:cs="Arial"/>
                <w:sz w:val="16"/>
                <w:szCs w:val="16"/>
              </w:rPr>
            </w:pPr>
            <w:r>
              <w:rPr>
                <w:rFonts w:ascii="Arial" w:hAnsi="Arial" w:cs="Arial"/>
                <w:sz w:val="16"/>
                <w:szCs w:val="16"/>
              </w:rPr>
              <w:t xml:space="preserve">1.3% reduction in total alcohol consumption </w:t>
            </w:r>
          </w:p>
        </w:tc>
        <w:tc>
          <w:tcPr>
            <w:tcW w:w="1701" w:type="dxa"/>
            <w:tcBorders>
              <w:top w:val="double" w:sz="4" w:space="0" w:color="auto"/>
            </w:tcBorders>
          </w:tcPr>
          <w:p w14:paraId="72EF438D" w14:textId="7B062455" w:rsidR="00330F48" w:rsidRPr="009A6EB1" w:rsidRDefault="00D423B7" w:rsidP="00F16C0F">
            <w:pPr>
              <w:spacing w:before="40" w:after="40" w:line="21" w:lineRule="atLeast"/>
              <w:rPr>
                <w:rFonts w:ascii="Arial" w:hAnsi="Arial" w:cs="Arial"/>
                <w:sz w:val="16"/>
                <w:szCs w:val="16"/>
              </w:rPr>
            </w:pPr>
            <w:r>
              <w:rPr>
                <w:rFonts w:ascii="Arial" w:hAnsi="Arial" w:cs="Arial"/>
                <w:sz w:val="16"/>
                <w:szCs w:val="16"/>
              </w:rPr>
              <w:t xml:space="preserve">59,000 DALYs averted, </w:t>
            </w:r>
            <w:r w:rsidR="007B3F07">
              <w:rPr>
                <w:rFonts w:ascii="Arial" w:hAnsi="Arial" w:cs="Arial"/>
                <w:sz w:val="16"/>
                <w:szCs w:val="16"/>
              </w:rPr>
              <w:t>$820 m p.a. net benefit</w:t>
            </w:r>
          </w:p>
        </w:tc>
        <w:tc>
          <w:tcPr>
            <w:tcW w:w="1776" w:type="dxa"/>
            <w:tcBorders>
              <w:top w:val="double" w:sz="4" w:space="0" w:color="auto"/>
            </w:tcBorders>
          </w:tcPr>
          <w:p w14:paraId="5FFF7CB2" w14:textId="436C1DD6" w:rsidR="00330F48" w:rsidRPr="009A6EB1" w:rsidRDefault="007B3F07" w:rsidP="00F16C0F">
            <w:pPr>
              <w:spacing w:before="40" w:after="40" w:line="21" w:lineRule="atLeast"/>
              <w:rPr>
                <w:rFonts w:ascii="Arial" w:hAnsi="Arial" w:cs="Arial"/>
                <w:sz w:val="16"/>
                <w:szCs w:val="16"/>
              </w:rPr>
            </w:pPr>
            <w:r>
              <w:rPr>
                <w:rFonts w:ascii="Arial" w:hAnsi="Arial" w:cs="Arial"/>
                <w:sz w:val="16"/>
                <w:szCs w:val="16"/>
              </w:rPr>
              <w:t xml:space="preserve">Increase of $1.3 </w:t>
            </w:r>
            <w:proofErr w:type="spellStart"/>
            <w:r>
              <w:rPr>
                <w:rFonts w:ascii="Arial" w:hAnsi="Arial" w:cs="Arial"/>
                <w:sz w:val="16"/>
                <w:szCs w:val="16"/>
              </w:rPr>
              <w:t>bn</w:t>
            </w:r>
            <w:proofErr w:type="spellEnd"/>
            <w:r>
              <w:rPr>
                <w:rFonts w:ascii="Arial" w:hAnsi="Arial" w:cs="Arial"/>
                <w:sz w:val="16"/>
                <w:szCs w:val="16"/>
              </w:rPr>
              <w:t xml:space="preserve"> p.a.</w:t>
            </w:r>
          </w:p>
        </w:tc>
        <w:tc>
          <w:tcPr>
            <w:tcW w:w="1995" w:type="dxa"/>
            <w:tcBorders>
              <w:top w:val="double" w:sz="4" w:space="0" w:color="auto"/>
            </w:tcBorders>
          </w:tcPr>
          <w:p w14:paraId="675F97E5" w14:textId="77777777" w:rsidR="00330F48" w:rsidRPr="009A6EB1" w:rsidRDefault="00330F48" w:rsidP="00F16C0F">
            <w:pPr>
              <w:spacing w:before="40" w:after="40" w:line="21" w:lineRule="atLeast"/>
              <w:rPr>
                <w:rFonts w:ascii="Arial" w:hAnsi="Arial" w:cs="Arial"/>
                <w:sz w:val="16"/>
                <w:szCs w:val="16"/>
              </w:rPr>
            </w:pPr>
          </w:p>
        </w:tc>
      </w:tr>
      <w:tr w:rsidR="00330F48" w14:paraId="458E5C55" w14:textId="77777777" w:rsidTr="00F16C0F">
        <w:tc>
          <w:tcPr>
            <w:tcW w:w="2235" w:type="dxa"/>
          </w:tcPr>
          <w:p w14:paraId="06D31A58" w14:textId="77777777" w:rsidR="00F16C0F" w:rsidRDefault="007B3F07" w:rsidP="00F16C0F">
            <w:pPr>
              <w:spacing w:before="40" w:after="40" w:line="21" w:lineRule="atLeast"/>
              <w:rPr>
                <w:rFonts w:ascii="Arial" w:hAnsi="Arial" w:cs="Arial"/>
                <w:sz w:val="16"/>
                <w:szCs w:val="16"/>
              </w:rPr>
            </w:pPr>
            <w:r>
              <w:rPr>
                <w:rFonts w:ascii="Arial" w:hAnsi="Arial" w:cs="Arial"/>
                <w:sz w:val="16"/>
                <w:szCs w:val="16"/>
              </w:rPr>
              <w:t xml:space="preserve">Doran et al Volumetric Option </w:t>
            </w:r>
            <w:r w:rsidR="00F16C0F">
              <w:rPr>
                <w:rFonts w:ascii="Arial" w:hAnsi="Arial" w:cs="Arial"/>
                <w:sz w:val="16"/>
                <w:szCs w:val="16"/>
              </w:rPr>
              <w:t>2:</w:t>
            </w:r>
            <w:r w:rsidR="0073127B">
              <w:rPr>
                <w:rFonts w:ascii="Arial" w:hAnsi="Arial" w:cs="Arial"/>
                <w:sz w:val="16"/>
                <w:szCs w:val="16"/>
              </w:rPr>
              <w:t>-</w:t>
            </w:r>
          </w:p>
          <w:p w14:paraId="58E5A386" w14:textId="4D01AA8F" w:rsidR="00330F48" w:rsidRPr="009A6EB1" w:rsidRDefault="0073127B" w:rsidP="00F16C0F">
            <w:pPr>
              <w:spacing w:before="40" w:after="40" w:line="21" w:lineRule="atLeast"/>
              <w:rPr>
                <w:rFonts w:ascii="Arial" w:hAnsi="Arial" w:cs="Arial"/>
                <w:sz w:val="16"/>
                <w:szCs w:val="16"/>
              </w:rPr>
            </w:pPr>
            <w:r w:rsidRPr="0073127B">
              <w:rPr>
                <w:rFonts w:ascii="Arial" w:hAnsi="Arial" w:cs="Arial"/>
                <w:sz w:val="16"/>
                <w:szCs w:val="16"/>
              </w:rPr>
              <w:t>two-tiered volumetric excise tax rate: first tier</w:t>
            </w:r>
            <w:r w:rsidR="00F16C0F">
              <w:rPr>
                <w:rFonts w:ascii="Arial" w:hAnsi="Arial" w:cs="Arial"/>
                <w:sz w:val="16"/>
                <w:szCs w:val="16"/>
              </w:rPr>
              <w:t xml:space="preserve"> </w:t>
            </w:r>
            <w:r w:rsidRPr="0073127B">
              <w:rPr>
                <w:rFonts w:ascii="Arial" w:hAnsi="Arial" w:cs="Arial"/>
                <w:sz w:val="16"/>
                <w:szCs w:val="16"/>
              </w:rPr>
              <w:t>applies to beer and wine and i</w:t>
            </w:r>
            <w:r w:rsidR="00F16C0F">
              <w:rPr>
                <w:rFonts w:ascii="Arial" w:hAnsi="Arial" w:cs="Arial"/>
                <w:sz w:val="16"/>
                <w:szCs w:val="16"/>
              </w:rPr>
              <w:t xml:space="preserve">ncreases exponentially by </w:t>
            </w:r>
            <w:r w:rsidRPr="0073127B">
              <w:rPr>
                <w:rFonts w:ascii="Arial" w:hAnsi="Arial" w:cs="Arial"/>
                <w:sz w:val="16"/>
                <w:szCs w:val="16"/>
              </w:rPr>
              <w:t>3.0% for every 1.0%</w:t>
            </w:r>
            <w:r w:rsidR="00F16C0F">
              <w:rPr>
                <w:rFonts w:ascii="Arial" w:hAnsi="Arial" w:cs="Arial"/>
                <w:sz w:val="16"/>
                <w:szCs w:val="16"/>
              </w:rPr>
              <w:t xml:space="preserve"> </w:t>
            </w:r>
            <w:r w:rsidRPr="0073127B">
              <w:rPr>
                <w:rFonts w:ascii="Arial" w:hAnsi="Arial" w:cs="Arial"/>
                <w:sz w:val="16"/>
                <w:szCs w:val="16"/>
              </w:rPr>
              <w:t>increase in alcohol content above</w:t>
            </w:r>
            <w:r w:rsidR="00F16C0F">
              <w:rPr>
                <w:rFonts w:ascii="Arial" w:hAnsi="Arial" w:cs="Arial"/>
                <w:sz w:val="16"/>
                <w:szCs w:val="16"/>
              </w:rPr>
              <w:t xml:space="preserve"> </w:t>
            </w:r>
            <w:r w:rsidRPr="0073127B">
              <w:rPr>
                <w:rFonts w:ascii="Arial" w:hAnsi="Arial" w:cs="Arial"/>
                <w:sz w:val="16"/>
                <w:szCs w:val="16"/>
              </w:rPr>
              <w:t>3.2%; second tier applies current excise tax rate applicable</w:t>
            </w:r>
            <w:r w:rsidR="00F16C0F">
              <w:rPr>
                <w:rFonts w:ascii="Arial" w:hAnsi="Arial" w:cs="Arial"/>
                <w:sz w:val="16"/>
                <w:szCs w:val="16"/>
              </w:rPr>
              <w:t xml:space="preserve"> </w:t>
            </w:r>
            <w:r w:rsidRPr="0073127B">
              <w:rPr>
                <w:rFonts w:ascii="Arial" w:hAnsi="Arial" w:cs="Arial"/>
                <w:sz w:val="16"/>
                <w:szCs w:val="16"/>
              </w:rPr>
              <w:t>to spirits and RTDs</w:t>
            </w:r>
          </w:p>
        </w:tc>
        <w:tc>
          <w:tcPr>
            <w:tcW w:w="2268" w:type="dxa"/>
          </w:tcPr>
          <w:p w14:paraId="7CBF40F0" w14:textId="472CBCD4" w:rsidR="00330F48" w:rsidRPr="009A6EB1" w:rsidRDefault="0073127B" w:rsidP="00F16C0F">
            <w:pPr>
              <w:spacing w:before="40" w:after="40" w:line="21" w:lineRule="atLeast"/>
              <w:rPr>
                <w:rFonts w:ascii="Arial" w:hAnsi="Arial" w:cs="Arial"/>
                <w:sz w:val="16"/>
                <w:szCs w:val="16"/>
              </w:rPr>
            </w:pPr>
            <w:r>
              <w:rPr>
                <w:rFonts w:ascii="Arial" w:hAnsi="Arial" w:cs="Arial"/>
                <w:sz w:val="16"/>
                <w:szCs w:val="16"/>
              </w:rPr>
              <w:t xml:space="preserve">1.7% reduction in total alcohol consumption </w:t>
            </w:r>
          </w:p>
        </w:tc>
        <w:tc>
          <w:tcPr>
            <w:tcW w:w="1701" w:type="dxa"/>
          </w:tcPr>
          <w:p w14:paraId="502B41A8" w14:textId="07E37711" w:rsidR="00330F48" w:rsidRPr="009A6EB1" w:rsidRDefault="00E04233" w:rsidP="00F16C0F">
            <w:pPr>
              <w:spacing w:before="40" w:after="40" w:line="21" w:lineRule="atLeast"/>
              <w:rPr>
                <w:rFonts w:ascii="Arial" w:hAnsi="Arial" w:cs="Arial"/>
                <w:sz w:val="16"/>
                <w:szCs w:val="16"/>
              </w:rPr>
            </w:pPr>
            <w:r>
              <w:rPr>
                <w:rFonts w:ascii="Arial" w:hAnsi="Arial" w:cs="Arial"/>
                <w:sz w:val="16"/>
                <w:szCs w:val="16"/>
              </w:rPr>
              <w:t xml:space="preserve">83,000 DALYs averted, $1.2 </w:t>
            </w:r>
            <w:proofErr w:type="spellStart"/>
            <w:r>
              <w:rPr>
                <w:rFonts w:ascii="Arial" w:hAnsi="Arial" w:cs="Arial"/>
                <w:sz w:val="16"/>
                <w:szCs w:val="16"/>
              </w:rPr>
              <w:t>bn</w:t>
            </w:r>
            <w:proofErr w:type="spellEnd"/>
            <w:r>
              <w:rPr>
                <w:rFonts w:ascii="Arial" w:hAnsi="Arial" w:cs="Arial"/>
                <w:sz w:val="16"/>
                <w:szCs w:val="16"/>
              </w:rPr>
              <w:t xml:space="preserve"> p.a. net benefit</w:t>
            </w:r>
          </w:p>
        </w:tc>
        <w:tc>
          <w:tcPr>
            <w:tcW w:w="1776" w:type="dxa"/>
          </w:tcPr>
          <w:p w14:paraId="26829749" w14:textId="785E227D" w:rsidR="00330F48" w:rsidRPr="009A6EB1" w:rsidRDefault="00E04233" w:rsidP="00F16C0F">
            <w:pPr>
              <w:spacing w:before="40" w:after="40" w:line="21" w:lineRule="atLeast"/>
              <w:rPr>
                <w:rFonts w:ascii="Arial" w:hAnsi="Arial" w:cs="Arial"/>
                <w:sz w:val="16"/>
                <w:szCs w:val="16"/>
              </w:rPr>
            </w:pPr>
            <w:r>
              <w:rPr>
                <w:rFonts w:ascii="Arial" w:hAnsi="Arial" w:cs="Arial"/>
                <w:sz w:val="16"/>
                <w:szCs w:val="16"/>
              </w:rPr>
              <w:t xml:space="preserve">Increase of $1.7 </w:t>
            </w:r>
            <w:proofErr w:type="spellStart"/>
            <w:r>
              <w:rPr>
                <w:rFonts w:ascii="Arial" w:hAnsi="Arial" w:cs="Arial"/>
                <w:sz w:val="16"/>
                <w:szCs w:val="16"/>
              </w:rPr>
              <w:t>bn</w:t>
            </w:r>
            <w:proofErr w:type="spellEnd"/>
            <w:r>
              <w:rPr>
                <w:rFonts w:ascii="Arial" w:hAnsi="Arial" w:cs="Arial"/>
                <w:sz w:val="16"/>
                <w:szCs w:val="16"/>
              </w:rPr>
              <w:t xml:space="preserve"> p.a.</w:t>
            </w:r>
          </w:p>
        </w:tc>
        <w:tc>
          <w:tcPr>
            <w:tcW w:w="1995" w:type="dxa"/>
          </w:tcPr>
          <w:p w14:paraId="7AF28968" w14:textId="77777777" w:rsidR="00330F48" w:rsidRPr="009A6EB1" w:rsidRDefault="00330F48" w:rsidP="00F16C0F">
            <w:pPr>
              <w:spacing w:before="40" w:after="40" w:line="21" w:lineRule="atLeast"/>
              <w:rPr>
                <w:rFonts w:ascii="Arial" w:hAnsi="Arial" w:cs="Arial"/>
                <w:sz w:val="16"/>
                <w:szCs w:val="16"/>
              </w:rPr>
            </w:pPr>
          </w:p>
        </w:tc>
      </w:tr>
    </w:tbl>
    <w:p w14:paraId="1DF728C4" w14:textId="5FBCB63B" w:rsidR="00E07AF5" w:rsidRDefault="00E07AF5" w:rsidP="00E01708">
      <w:pPr>
        <w:spacing w:line="21" w:lineRule="atLeast"/>
        <w:rPr>
          <w:rFonts w:ascii="Arial" w:hAnsi="Arial" w:cs="Arial"/>
          <w:sz w:val="22"/>
          <w:szCs w:val="22"/>
        </w:rPr>
      </w:pPr>
      <w:r w:rsidRPr="00E01708">
        <w:rPr>
          <w:rFonts w:ascii="Arial" w:hAnsi="Arial" w:cs="Arial"/>
          <w:sz w:val="22"/>
          <w:szCs w:val="22"/>
        </w:rPr>
        <w:t xml:space="preserve"> </w:t>
      </w:r>
    </w:p>
    <w:p w14:paraId="1FCB933E" w14:textId="77777777" w:rsidR="00EE4DC8" w:rsidRDefault="00EE4DC8" w:rsidP="00E01708">
      <w:pPr>
        <w:spacing w:line="21" w:lineRule="atLeast"/>
        <w:rPr>
          <w:rFonts w:ascii="Arial" w:hAnsi="Arial" w:cs="Arial"/>
          <w:sz w:val="22"/>
          <w:szCs w:val="22"/>
        </w:rPr>
      </w:pPr>
    </w:p>
    <w:p w14:paraId="5FDC763B" w14:textId="7D38308C" w:rsidR="00EE4DC8" w:rsidRPr="00EE4DC8" w:rsidRDefault="00EE4DC8" w:rsidP="00EE4DC8">
      <w:pPr>
        <w:pStyle w:val="ListParagraph"/>
        <w:numPr>
          <w:ilvl w:val="0"/>
          <w:numId w:val="4"/>
        </w:numPr>
        <w:spacing w:line="21" w:lineRule="atLeast"/>
        <w:rPr>
          <w:rFonts w:ascii="Arial" w:hAnsi="Arial" w:cs="Arial"/>
          <w:b/>
          <w:sz w:val="22"/>
          <w:szCs w:val="22"/>
        </w:rPr>
      </w:pPr>
      <w:r w:rsidRPr="00EE4DC8">
        <w:rPr>
          <w:rFonts w:ascii="Arial" w:hAnsi="Arial" w:cs="Arial"/>
          <w:b/>
          <w:sz w:val="22"/>
          <w:szCs w:val="22"/>
        </w:rPr>
        <w:t>Recommendations</w:t>
      </w:r>
    </w:p>
    <w:p w14:paraId="70109E40" w14:textId="6E11D2D8" w:rsidR="00EE4DC8" w:rsidRDefault="003755BC" w:rsidP="00EE4DC8">
      <w:pPr>
        <w:spacing w:line="21" w:lineRule="atLeast"/>
        <w:rPr>
          <w:rFonts w:ascii="Arial" w:hAnsi="Arial" w:cs="Arial"/>
          <w:sz w:val="22"/>
          <w:szCs w:val="22"/>
        </w:rPr>
      </w:pPr>
      <w:r>
        <w:rPr>
          <w:rFonts w:ascii="Arial" w:hAnsi="Arial" w:cs="Arial"/>
          <w:sz w:val="22"/>
          <w:szCs w:val="22"/>
        </w:rPr>
        <w:t>B</w:t>
      </w:r>
      <w:r w:rsidR="00EE4DC8">
        <w:rPr>
          <w:rFonts w:ascii="Arial" w:hAnsi="Arial" w:cs="Arial"/>
          <w:sz w:val="22"/>
          <w:szCs w:val="22"/>
        </w:rPr>
        <w:t>ased on the propositions argued in previous sections, the RACP recommends that:</w:t>
      </w:r>
    </w:p>
    <w:p w14:paraId="4893EE77" w14:textId="77777777" w:rsidR="00EE4DC8" w:rsidRDefault="00EE4DC8" w:rsidP="00EE4DC8">
      <w:pPr>
        <w:pStyle w:val="ListParagraph"/>
        <w:numPr>
          <w:ilvl w:val="0"/>
          <w:numId w:val="2"/>
        </w:numPr>
        <w:rPr>
          <w:rFonts w:ascii="Arial" w:hAnsi="Arial" w:cs="Arial"/>
          <w:sz w:val="22"/>
          <w:szCs w:val="22"/>
        </w:rPr>
      </w:pPr>
      <w:r w:rsidRPr="00614A99">
        <w:rPr>
          <w:rFonts w:ascii="Arial" w:hAnsi="Arial" w:cs="Arial"/>
          <w:sz w:val="22"/>
          <w:szCs w:val="22"/>
        </w:rPr>
        <w:t>There should be an underlying volumetric based tax system for all alcoholic drinks i.e. all alcoholic drinks should be taxed based on alcohol content, without exception.</w:t>
      </w:r>
    </w:p>
    <w:p w14:paraId="6E3036C0" w14:textId="77777777" w:rsidR="00EE4DC8" w:rsidRPr="00614A99" w:rsidRDefault="00EE4DC8" w:rsidP="00EE4DC8">
      <w:pPr>
        <w:pStyle w:val="ListParagraph"/>
        <w:numPr>
          <w:ilvl w:val="1"/>
          <w:numId w:val="2"/>
        </w:numPr>
        <w:rPr>
          <w:rFonts w:ascii="Arial" w:hAnsi="Arial" w:cs="Arial"/>
          <w:sz w:val="22"/>
          <w:szCs w:val="22"/>
        </w:rPr>
      </w:pPr>
      <w:r w:rsidRPr="00614A99">
        <w:rPr>
          <w:rFonts w:ascii="Arial" w:hAnsi="Arial" w:cs="Arial"/>
          <w:sz w:val="22"/>
          <w:szCs w:val="22"/>
        </w:rPr>
        <w:t xml:space="preserve"> This would mean in the first instance, replacing the Wine Equalisation Ta</w:t>
      </w:r>
      <w:r>
        <w:rPr>
          <w:rFonts w:ascii="Arial" w:hAnsi="Arial" w:cs="Arial"/>
          <w:sz w:val="22"/>
          <w:szCs w:val="22"/>
        </w:rPr>
        <w:t>x (WET) with a volumetric tax on wine, making the taxation treatment of wine consistent with that of other alcoholic drinks. It would also imply the abolition of the WET Rebate.</w:t>
      </w:r>
    </w:p>
    <w:p w14:paraId="4F308692" w14:textId="3A264533" w:rsidR="00644BDC" w:rsidRPr="00A64F61" w:rsidRDefault="00EE4DC8" w:rsidP="00A64F61">
      <w:pPr>
        <w:pStyle w:val="ListParagraph"/>
        <w:numPr>
          <w:ilvl w:val="0"/>
          <w:numId w:val="2"/>
        </w:numPr>
        <w:rPr>
          <w:rFonts w:ascii="Arial" w:hAnsi="Arial" w:cs="Arial"/>
          <w:sz w:val="22"/>
          <w:szCs w:val="22"/>
        </w:rPr>
      </w:pPr>
      <w:r w:rsidRPr="00614A99">
        <w:rPr>
          <w:rFonts w:ascii="Arial" w:hAnsi="Arial" w:cs="Arial"/>
          <w:sz w:val="22"/>
          <w:szCs w:val="22"/>
        </w:rPr>
        <w:t>Within the volumetric tax system,</w:t>
      </w:r>
      <w:r w:rsidRPr="00614A99">
        <w:t xml:space="preserve"> </w:t>
      </w:r>
      <w:r>
        <w:rPr>
          <w:rFonts w:ascii="Arial" w:hAnsi="Arial" w:cs="Arial"/>
          <w:sz w:val="22"/>
          <w:szCs w:val="22"/>
        </w:rPr>
        <w:t>there should be scope for t</w:t>
      </w:r>
      <w:r w:rsidRPr="00614A99">
        <w:rPr>
          <w:rFonts w:ascii="Arial" w:hAnsi="Arial" w:cs="Arial"/>
          <w:sz w:val="22"/>
          <w:szCs w:val="22"/>
        </w:rPr>
        <w:t xml:space="preserve">iered taxation rates </w:t>
      </w:r>
      <w:r>
        <w:rPr>
          <w:rFonts w:ascii="Arial" w:hAnsi="Arial" w:cs="Arial"/>
          <w:sz w:val="22"/>
          <w:szCs w:val="22"/>
        </w:rPr>
        <w:t xml:space="preserve">imposing </w:t>
      </w:r>
      <w:r w:rsidRPr="00614A99">
        <w:rPr>
          <w:rFonts w:ascii="Arial" w:hAnsi="Arial" w:cs="Arial"/>
          <w:sz w:val="22"/>
          <w:szCs w:val="22"/>
        </w:rPr>
        <w:t>higher tax rates for those alcoholic drinks with higher health risks</w:t>
      </w:r>
      <w:r w:rsidR="00B71BAA">
        <w:rPr>
          <w:rFonts w:ascii="Arial" w:hAnsi="Arial" w:cs="Arial"/>
          <w:sz w:val="22"/>
          <w:szCs w:val="22"/>
        </w:rPr>
        <w:t xml:space="preserve"> (and by implication lower rates for drinks associated with less health risks such as low alcohol beer)</w:t>
      </w:r>
      <w:r>
        <w:rPr>
          <w:rFonts w:ascii="Arial" w:hAnsi="Arial" w:cs="Arial"/>
          <w:sz w:val="22"/>
          <w:szCs w:val="22"/>
        </w:rPr>
        <w:t>.</w:t>
      </w:r>
    </w:p>
    <w:p w14:paraId="758D8F2B" w14:textId="61B949BF" w:rsidR="00644BDC" w:rsidRDefault="00644BDC" w:rsidP="00EE4DC8">
      <w:pPr>
        <w:rPr>
          <w:rFonts w:ascii="Arial" w:hAnsi="Arial" w:cs="Arial"/>
          <w:sz w:val="22"/>
          <w:szCs w:val="22"/>
        </w:rPr>
      </w:pPr>
      <w:r>
        <w:rPr>
          <w:rFonts w:ascii="Arial" w:hAnsi="Arial" w:cs="Arial"/>
          <w:sz w:val="22"/>
          <w:szCs w:val="22"/>
        </w:rPr>
        <w:t>While we acknowledge that th</w:t>
      </w:r>
      <w:r w:rsidR="00A64F61">
        <w:rPr>
          <w:rFonts w:ascii="Arial" w:hAnsi="Arial" w:cs="Arial"/>
          <w:sz w:val="22"/>
          <w:szCs w:val="22"/>
        </w:rPr>
        <w:t>ese taxation</w:t>
      </w:r>
      <w:r>
        <w:rPr>
          <w:rFonts w:ascii="Arial" w:hAnsi="Arial" w:cs="Arial"/>
          <w:sz w:val="22"/>
          <w:szCs w:val="22"/>
        </w:rPr>
        <w:t xml:space="preserve"> changes could lead to some short term disruption particularly in the wine industry, this could be addressed by introducing these changes gradually.</w:t>
      </w:r>
    </w:p>
    <w:p w14:paraId="6C135B79" w14:textId="1E773D57" w:rsidR="00EE4DC8" w:rsidRPr="00EE4DC8" w:rsidRDefault="00EE4DC8" w:rsidP="00EE4DC8">
      <w:pPr>
        <w:rPr>
          <w:rFonts w:ascii="Arial" w:hAnsi="Arial" w:cs="Arial"/>
          <w:sz w:val="22"/>
          <w:szCs w:val="22"/>
        </w:rPr>
      </w:pPr>
      <w:r>
        <w:rPr>
          <w:rFonts w:ascii="Arial" w:hAnsi="Arial" w:cs="Arial"/>
          <w:sz w:val="22"/>
          <w:szCs w:val="22"/>
        </w:rPr>
        <w:t xml:space="preserve">We do not have specific recommendations on the specific level of volumetric tax rate that should be set for each alcoholic drink. However there is a substantial body of work that has considered many these issues and as a start, Treasury should review this work for further guidance. </w:t>
      </w:r>
    </w:p>
    <w:p w14:paraId="6FAB7480" w14:textId="7941E58F" w:rsidR="00EE4DC8" w:rsidRPr="00EE4DC8" w:rsidRDefault="00EE4DC8" w:rsidP="00EE4DC8">
      <w:pPr>
        <w:spacing w:line="21" w:lineRule="atLeast"/>
        <w:rPr>
          <w:rFonts w:ascii="Arial" w:hAnsi="Arial" w:cs="Arial"/>
          <w:sz w:val="22"/>
          <w:szCs w:val="22"/>
        </w:rPr>
      </w:pPr>
      <w:r>
        <w:rPr>
          <w:rFonts w:ascii="Arial" w:hAnsi="Arial" w:cs="Arial"/>
          <w:sz w:val="22"/>
          <w:szCs w:val="22"/>
        </w:rPr>
        <w:t xml:space="preserve"> </w:t>
      </w:r>
    </w:p>
    <w:sectPr w:rsidR="00EE4DC8" w:rsidRPr="00EE4DC8" w:rsidSect="00273B76">
      <w:footerReference w:type="even" r:id="rId13"/>
      <w:footerReference w:type="default" r:id="rId14"/>
      <w:headerReference w:type="first" r:id="rId15"/>
      <w:endnotePr>
        <w:numFmt w:val="decimal"/>
      </w:endnotePr>
      <w:pgSz w:w="11901" w:h="16817"/>
      <w:pgMar w:top="1499" w:right="702" w:bottom="1440" w:left="1440" w:header="709" w:footer="533"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7F25A" w14:textId="77777777" w:rsidR="004B1423" w:rsidRDefault="004B1423">
      <w:r>
        <w:separator/>
      </w:r>
    </w:p>
  </w:endnote>
  <w:endnote w:type="continuationSeparator" w:id="0">
    <w:p w14:paraId="47D42C95" w14:textId="77777777" w:rsidR="004B1423" w:rsidRDefault="004B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32845" w14:textId="77777777" w:rsidR="004B1423" w:rsidRDefault="004B1423" w:rsidP="001C3B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C9AEF" w14:textId="77777777" w:rsidR="004B1423" w:rsidRDefault="004B1423" w:rsidP="000E04C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78EC4" w14:textId="77777777" w:rsidR="004B1423" w:rsidRPr="001C3B85" w:rsidRDefault="004B1423" w:rsidP="001C3B85">
    <w:pPr>
      <w:pStyle w:val="Footer"/>
      <w:framePr w:wrap="around" w:vAnchor="text" w:hAnchor="margin" w:xAlign="right" w:y="1"/>
      <w:rPr>
        <w:rStyle w:val="PageNumber"/>
        <w:rFonts w:ascii="Arial" w:hAnsi="Arial"/>
        <w:sz w:val="16"/>
        <w:szCs w:val="16"/>
      </w:rPr>
    </w:pPr>
    <w:r w:rsidRPr="001C3B85">
      <w:rPr>
        <w:rStyle w:val="PageNumber"/>
        <w:rFonts w:ascii="Arial" w:hAnsi="Arial"/>
        <w:sz w:val="16"/>
        <w:szCs w:val="16"/>
      </w:rPr>
      <w:fldChar w:fldCharType="begin"/>
    </w:r>
    <w:r w:rsidRPr="001C3B85">
      <w:rPr>
        <w:rStyle w:val="PageNumber"/>
        <w:rFonts w:ascii="Arial" w:hAnsi="Arial"/>
        <w:sz w:val="16"/>
        <w:szCs w:val="16"/>
      </w:rPr>
      <w:instrText xml:space="preserve">PAGE  </w:instrText>
    </w:r>
    <w:r w:rsidRPr="001C3B85">
      <w:rPr>
        <w:rStyle w:val="PageNumber"/>
        <w:rFonts w:ascii="Arial" w:hAnsi="Arial"/>
        <w:sz w:val="16"/>
        <w:szCs w:val="16"/>
      </w:rPr>
      <w:fldChar w:fldCharType="separate"/>
    </w:r>
    <w:r w:rsidR="0044389C">
      <w:rPr>
        <w:rStyle w:val="PageNumber"/>
        <w:rFonts w:ascii="Arial" w:hAnsi="Arial"/>
        <w:noProof/>
        <w:sz w:val="16"/>
        <w:szCs w:val="16"/>
      </w:rPr>
      <w:t>2</w:t>
    </w:r>
    <w:r w:rsidRPr="001C3B85">
      <w:rPr>
        <w:rStyle w:val="PageNumber"/>
        <w:rFonts w:ascii="Arial" w:hAnsi="Arial"/>
        <w:sz w:val="16"/>
        <w:szCs w:val="16"/>
      </w:rPr>
      <w:fldChar w:fldCharType="end"/>
    </w:r>
  </w:p>
  <w:p w14:paraId="658CC706" w14:textId="3C8C9934" w:rsidR="004B1423" w:rsidRPr="00AF7B2E" w:rsidRDefault="004B1423" w:rsidP="00AF7B2E">
    <w:pPr>
      <w:pStyle w:val="Footer"/>
      <w:tabs>
        <w:tab w:val="right" w:pos="9021"/>
      </w:tabs>
      <w:ind w:right="545"/>
      <w:jc w:val="right"/>
      <w:rPr>
        <w:rFonts w:ascii="Arial" w:hAnsi="Arial" w:cs="Arial"/>
        <w:noProof/>
        <w:sz w:val="18"/>
        <w:szCs w:val="18"/>
        <w:lang w:eastAsia="en-AU"/>
      </w:rPr>
    </w:pPr>
    <w:r>
      <w:rPr>
        <w:rFonts w:ascii="Arial" w:hAnsi="Arial" w:cs="Arial"/>
        <w:noProof/>
        <w:sz w:val="18"/>
        <w:szCs w:val="18"/>
        <w:lang w:eastAsia="en-AU"/>
      </w:rPr>
      <mc:AlternateContent>
        <mc:Choice Requires="wps">
          <w:drawing>
            <wp:anchor distT="0" distB="0" distL="114300" distR="114300" simplePos="0" relativeHeight="251659264" behindDoc="0" locked="0" layoutInCell="1" allowOverlap="1" wp14:anchorId="61D6DFCB" wp14:editId="0B54478A">
              <wp:simplePos x="0" y="0"/>
              <wp:positionH relativeFrom="column">
                <wp:posOffset>5995035</wp:posOffset>
              </wp:positionH>
              <wp:positionV relativeFrom="paragraph">
                <wp:posOffset>-33655</wp:posOffset>
              </wp:positionV>
              <wp:extent cx="0" cy="571500"/>
              <wp:effectExtent l="0" t="0" r="25400" b="12700"/>
              <wp:wrapNone/>
              <wp:docPr id="6" name="Straight Connector 6"/>
              <wp:cNvGraphicFramePr/>
              <a:graphic xmlns:a="http://schemas.openxmlformats.org/drawingml/2006/main">
                <a:graphicData uri="http://schemas.microsoft.com/office/word/2010/wordprocessingShape">
                  <wps:wsp>
                    <wps:cNvCnPr/>
                    <wps:spPr>
                      <a:xfrm>
                        <a:off x="0" y="0"/>
                        <a:ext cx="0" cy="571500"/>
                      </a:xfrm>
                      <a:prstGeom prst="line">
                        <a:avLst/>
                      </a:prstGeom>
                      <a:ln w="12700">
                        <a:solidFill>
                          <a:srgbClr val="003C76"/>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72.05pt,-2.65pt" to="472.0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" strokecolor="#003c76" strokeweight="1pt"/>
          </w:pict>
        </mc:Fallback>
      </mc:AlternateContent>
    </w:r>
    <w:r w:rsidRPr="00AF7B2E">
      <w:t xml:space="preserve"> </w:t>
    </w:r>
    <w:r w:rsidRPr="00AF7B2E">
      <w:rPr>
        <w:rFonts w:ascii="Arial" w:hAnsi="Arial" w:cs="Arial"/>
        <w:noProof/>
        <w:sz w:val="18"/>
        <w:szCs w:val="18"/>
        <w:lang w:eastAsia="en-AU"/>
      </w:rPr>
      <w:t>RACP Submission</w:t>
    </w:r>
    <w:r>
      <w:rPr>
        <w:rFonts w:ascii="Arial" w:hAnsi="Arial" w:cs="Arial"/>
        <w:noProof/>
        <w:sz w:val="18"/>
        <w:szCs w:val="18"/>
        <w:lang w:eastAsia="en-AU"/>
      </w:rPr>
      <w:t>, June  2015</w:t>
    </w:r>
    <w:r w:rsidRPr="00AF7B2E">
      <w:rPr>
        <w:rFonts w:ascii="Arial" w:hAnsi="Arial" w:cs="Arial"/>
        <w:noProof/>
        <w:sz w:val="18"/>
        <w:szCs w:val="18"/>
        <w:lang w:eastAsia="en-AU"/>
      </w:rPr>
      <w:t xml:space="preserve">: </w:t>
    </w:r>
  </w:p>
  <w:p w14:paraId="64BC1881" w14:textId="730AEA4E" w:rsidR="004B1423" w:rsidRPr="000E04C2" w:rsidRDefault="004B1423" w:rsidP="00AF7B2E">
    <w:pPr>
      <w:pStyle w:val="Footer"/>
      <w:tabs>
        <w:tab w:val="clear" w:pos="4320"/>
        <w:tab w:val="clear" w:pos="8640"/>
        <w:tab w:val="right" w:pos="9021"/>
      </w:tabs>
      <w:ind w:right="545"/>
      <w:jc w:val="right"/>
      <w:rPr>
        <w:rFonts w:ascii="Arial" w:hAnsi="Arial" w:cs="Arial"/>
        <w:sz w:val="18"/>
        <w:szCs w:val="18"/>
      </w:rPr>
    </w:pPr>
    <w:r>
      <w:rPr>
        <w:rFonts w:ascii="Arial" w:hAnsi="Arial" w:cs="Arial"/>
        <w:noProof/>
        <w:sz w:val="18"/>
        <w:szCs w:val="18"/>
        <w:lang w:eastAsia="en-AU"/>
      </w:rPr>
      <w:t>Tax Discussion Paper</w:t>
    </w:r>
    <w:r>
      <w:rPr>
        <w:rFonts w:ascii="Arial" w:hAnsi="Arial"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1E755" w14:textId="77777777" w:rsidR="004B1423" w:rsidRDefault="004B1423">
      <w:r>
        <w:separator/>
      </w:r>
    </w:p>
  </w:footnote>
  <w:footnote w:type="continuationSeparator" w:id="0">
    <w:p w14:paraId="54144CE5" w14:textId="77777777" w:rsidR="004B1423" w:rsidRDefault="004B1423">
      <w:r>
        <w:continuationSeparator/>
      </w:r>
    </w:p>
  </w:footnote>
  <w:footnote w:id="1">
    <w:p w14:paraId="3BE401DA" w14:textId="77777777" w:rsidR="004B1423" w:rsidRPr="0063167B" w:rsidRDefault="004B1423" w:rsidP="00E7393B">
      <w:pPr>
        <w:pStyle w:val="FootnoteText"/>
      </w:pPr>
      <w:r w:rsidRPr="0063167B">
        <w:rPr>
          <w:rStyle w:val="FootnoteReference"/>
        </w:rPr>
        <w:footnoteRef/>
      </w:r>
      <w:r w:rsidRPr="0063167B">
        <w:t xml:space="preserve"> </w:t>
      </w:r>
      <w:proofErr w:type="spellStart"/>
      <w:r w:rsidRPr="0063167B">
        <w:t>Babor</w:t>
      </w:r>
      <w:proofErr w:type="spellEnd"/>
      <w:r w:rsidRPr="0063167B">
        <w:t xml:space="preserve">, T. et </w:t>
      </w:r>
      <w:proofErr w:type="gramStart"/>
      <w:r w:rsidRPr="0063167B">
        <w:t>al  2010</w:t>
      </w:r>
      <w:proofErr w:type="gramEnd"/>
      <w:r w:rsidRPr="0063167B">
        <w:t xml:space="preserve">, </w:t>
      </w:r>
      <w:r w:rsidRPr="0063167B">
        <w:rPr>
          <w:i/>
        </w:rPr>
        <w:t>Alcohol: No Ordinary Commodity - Research and Public Policy</w:t>
      </w:r>
      <w:r w:rsidRPr="0063167B">
        <w:t>. 2nd ed. Oxford: Oxford University Press.</w:t>
      </w:r>
    </w:p>
  </w:footnote>
  <w:footnote w:id="2">
    <w:p w14:paraId="6F8AA625" w14:textId="4B3B0ACA" w:rsidR="004B1423" w:rsidRDefault="004B1423" w:rsidP="00781D7B">
      <w:pPr>
        <w:pStyle w:val="FootnoteText"/>
      </w:pPr>
      <w:r>
        <w:rPr>
          <w:rStyle w:val="FootnoteReference"/>
        </w:rPr>
        <w:footnoteRef/>
      </w:r>
      <w:r>
        <w:t xml:space="preserve"> </w:t>
      </w:r>
      <w:proofErr w:type="gramStart"/>
      <w:r>
        <w:t>Gao</w:t>
      </w:r>
      <w:proofErr w:type="gramEnd"/>
      <w:r>
        <w:t>,</w:t>
      </w:r>
      <w:r w:rsidR="002D4816">
        <w:t xml:space="preserve"> C., </w:t>
      </w:r>
      <w:proofErr w:type="spellStart"/>
      <w:r w:rsidR="002D4816">
        <w:t>Ogeil</w:t>
      </w:r>
      <w:proofErr w:type="spellEnd"/>
      <w:r w:rsidR="002D4816">
        <w:t xml:space="preserve">, R.P. and Lloyd, B. 2014, </w:t>
      </w:r>
      <w:r w:rsidRPr="002D4816">
        <w:rPr>
          <w:i/>
        </w:rPr>
        <w:t>Alcohol’s burden of disease in Australia</w:t>
      </w:r>
      <w:r w:rsidR="002D4816">
        <w:t xml:space="preserve">, </w:t>
      </w:r>
      <w:r>
        <w:t xml:space="preserve">Canberra: FARE and </w:t>
      </w:r>
      <w:proofErr w:type="spellStart"/>
      <w:r>
        <w:t>VicHealth</w:t>
      </w:r>
      <w:proofErr w:type="spellEnd"/>
      <w:r>
        <w:t xml:space="preserve"> in collaboration with Turning Point.</w:t>
      </w:r>
    </w:p>
  </w:footnote>
  <w:footnote w:id="3">
    <w:p w14:paraId="74F4CA88" w14:textId="720D02F3" w:rsidR="004B1423" w:rsidRDefault="004B1423">
      <w:pPr>
        <w:pStyle w:val="FootnoteText"/>
      </w:pPr>
      <w:r>
        <w:rPr>
          <w:rStyle w:val="FootnoteReference"/>
        </w:rPr>
        <w:footnoteRef/>
      </w:r>
      <w:r>
        <w:t xml:space="preserve"> </w:t>
      </w:r>
      <w:proofErr w:type="gramStart"/>
      <w:r>
        <w:t xml:space="preserve">NHMRC 2009, </w:t>
      </w:r>
      <w:r w:rsidRPr="002D4816">
        <w:rPr>
          <w:i/>
        </w:rPr>
        <w:t>Australian Guidelines to Reduce Health Risks from Drinking Alcohol</w:t>
      </w:r>
      <w:r>
        <w:t>.</w:t>
      </w:r>
      <w:proofErr w:type="gramEnd"/>
    </w:p>
  </w:footnote>
  <w:footnote w:id="4">
    <w:p w14:paraId="52252717" w14:textId="77777777" w:rsidR="004B1423" w:rsidRPr="00713703" w:rsidRDefault="004B1423" w:rsidP="00AB6EE6">
      <w:pPr>
        <w:pStyle w:val="FootnoteText"/>
      </w:pPr>
      <w:r w:rsidRPr="00713703">
        <w:rPr>
          <w:rStyle w:val="FootnoteReference"/>
        </w:rPr>
        <w:footnoteRef/>
      </w:r>
      <w:r w:rsidRPr="00713703">
        <w:t xml:space="preserve"> Nutt, D. et al 2010, ‘Drug harms in the UK: a </w:t>
      </w:r>
      <w:proofErr w:type="spellStart"/>
      <w:r w:rsidRPr="00713703">
        <w:t>multicriteria</w:t>
      </w:r>
      <w:proofErr w:type="spellEnd"/>
      <w:r w:rsidRPr="00713703">
        <w:t xml:space="preserve"> decision </w:t>
      </w:r>
      <w:proofErr w:type="gramStart"/>
      <w:r w:rsidRPr="00713703">
        <w:t>analysis’</w:t>
      </w:r>
      <w:proofErr w:type="gramEnd"/>
      <w:r w:rsidRPr="00713703">
        <w:t xml:space="preserve">, </w:t>
      </w:r>
      <w:r w:rsidRPr="008B2F50">
        <w:rPr>
          <w:i/>
        </w:rPr>
        <w:t>Lancet</w:t>
      </w:r>
      <w:r w:rsidRPr="00713703">
        <w:t xml:space="preserve"> 2010; 376: 1558–65. </w:t>
      </w:r>
    </w:p>
  </w:footnote>
  <w:footnote w:id="5">
    <w:p w14:paraId="1BCC56AB" w14:textId="77DE1675" w:rsidR="004B1423" w:rsidRDefault="004B1423" w:rsidP="00361BAC">
      <w:pPr>
        <w:pStyle w:val="FootnoteText"/>
      </w:pPr>
      <w:r>
        <w:rPr>
          <w:rStyle w:val="FootnoteReference"/>
        </w:rPr>
        <w:footnoteRef/>
      </w:r>
      <w:r>
        <w:t xml:space="preserve"> This is arguably the more widely accepted definition in economics – see  Marsden Jacob Associates 2012,</w:t>
      </w:r>
      <w:r w:rsidRPr="00A76B34">
        <w:t xml:space="preserve"> </w:t>
      </w:r>
      <w:r w:rsidRPr="00A76B34">
        <w:rPr>
          <w:i/>
        </w:rPr>
        <w:t>Bingeing, collateral damage and the benefits and costs of taxing alcohol rationally</w:t>
      </w:r>
      <w:r w:rsidRPr="00A76B34">
        <w:t>, report to the Foundation for Alcohol Research and Education, October</w:t>
      </w:r>
      <w:r>
        <w:t>.</w:t>
      </w:r>
    </w:p>
  </w:footnote>
  <w:footnote w:id="6">
    <w:p w14:paraId="01EF4AB1" w14:textId="5BD377A1" w:rsidR="004B1423" w:rsidRDefault="004B1423" w:rsidP="00361BAC">
      <w:pPr>
        <w:pStyle w:val="FootnoteText"/>
      </w:pPr>
      <w:r>
        <w:rPr>
          <w:rStyle w:val="FootnoteReference"/>
        </w:rPr>
        <w:footnoteRef/>
      </w:r>
      <w:r>
        <w:t xml:space="preserve"> For instance what Collins and </w:t>
      </w:r>
      <w:proofErr w:type="spellStart"/>
      <w:r>
        <w:t>Lapsley</w:t>
      </w:r>
      <w:proofErr w:type="spellEnd"/>
      <w:r>
        <w:t xml:space="preserve"> call ‘social costs’ are really externalities under the definition used here - see Collins DJ and</w:t>
      </w:r>
      <w:r w:rsidRPr="002C0BF2">
        <w:t xml:space="preserve"> </w:t>
      </w:r>
      <w:proofErr w:type="spellStart"/>
      <w:r w:rsidRPr="002C0BF2">
        <w:t>Lapsley</w:t>
      </w:r>
      <w:proofErr w:type="spellEnd"/>
      <w:r w:rsidRPr="002C0BF2">
        <w:t xml:space="preserve"> HM </w:t>
      </w:r>
      <w:proofErr w:type="gramStart"/>
      <w:r w:rsidRPr="002C0BF2">
        <w:t>2008.</w:t>
      </w:r>
      <w:proofErr w:type="gramEnd"/>
      <w:r w:rsidRPr="002C0BF2">
        <w:t xml:space="preserve"> </w:t>
      </w:r>
      <w:r w:rsidRPr="002D4816">
        <w:rPr>
          <w:i/>
        </w:rPr>
        <w:t>The costs of tobacco, alcohol and illicit drug abuse to Australian society in 2004/2005</w:t>
      </w:r>
      <w:r w:rsidRPr="002C0BF2">
        <w:t xml:space="preserve">. </w:t>
      </w:r>
      <w:proofErr w:type="gramStart"/>
      <w:r w:rsidRPr="002C0BF2">
        <w:t>National Drug Strategy Monograph series no. 66.</w:t>
      </w:r>
      <w:proofErr w:type="gramEnd"/>
      <w:r w:rsidRPr="002C0BF2">
        <w:t xml:space="preserve"> Canberra: Commonwealth Department of Health and Ageing</w:t>
      </w:r>
    </w:p>
  </w:footnote>
  <w:footnote w:id="7">
    <w:p w14:paraId="0565EA6A" w14:textId="0A9774BC" w:rsidR="004B1423" w:rsidRDefault="004B1423">
      <w:pPr>
        <w:pStyle w:val="FootnoteText"/>
      </w:pPr>
      <w:r>
        <w:rPr>
          <w:rStyle w:val="FootnoteReference"/>
        </w:rPr>
        <w:footnoteRef/>
      </w:r>
      <w:r>
        <w:t xml:space="preserve"> Marsden Jacob Associates 2012,</w:t>
      </w:r>
      <w:r w:rsidRPr="00A76B34">
        <w:t xml:space="preserve"> </w:t>
      </w:r>
      <w:r w:rsidRPr="00A76B34">
        <w:rPr>
          <w:i/>
        </w:rPr>
        <w:t>Bingeing, collateral damage and the benefits and costs of taxing alcohol rationally</w:t>
      </w:r>
      <w:r w:rsidRPr="00A76B34">
        <w:t>, report to the Foundation for Alcohol Research and Education, October</w:t>
      </w:r>
      <w:r>
        <w:t xml:space="preserve"> which uses the New Palgrave Dictionary of Economics definition. </w:t>
      </w:r>
    </w:p>
  </w:footnote>
  <w:footnote w:id="8">
    <w:p w14:paraId="6768B68A" w14:textId="446A8487" w:rsidR="000260E9" w:rsidRDefault="000260E9">
      <w:pPr>
        <w:pStyle w:val="FootnoteText"/>
      </w:pPr>
      <w:r>
        <w:rPr>
          <w:rStyle w:val="FootnoteReference"/>
        </w:rPr>
        <w:footnoteRef/>
      </w:r>
      <w:r>
        <w:t xml:space="preserve"> </w:t>
      </w:r>
      <w:proofErr w:type="gramStart"/>
      <w:r>
        <w:t>Collins DJ and</w:t>
      </w:r>
      <w:r w:rsidRPr="002C0BF2">
        <w:t xml:space="preserve"> </w:t>
      </w:r>
      <w:proofErr w:type="spellStart"/>
      <w:r w:rsidRPr="002C0BF2">
        <w:t>Lapsley</w:t>
      </w:r>
      <w:proofErr w:type="spellEnd"/>
      <w:r w:rsidRPr="002C0BF2">
        <w:t xml:space="preserve"> HM 2008.</w:t>
      </w:r>
      <w:proofErr w:type="gramEnd"/>
      <w:r w:rsidRPr="002C0BF2">
        <w:t xml:space="preserve"> </w:t>
      </w:r>
      <w:r w:rsidRPr="008B2F50">
        <w:rPr>
          <w:i/>
        </w:rPr>
        <w:t>The costs of tobacco, alcohol and illicit drug abuse to Australian society in 2004/2005</w:t>
      </w:r>
      <w:r w:rsidRPr="002C0BF2">
        <w:t xml:space="preserve">. </w:t>
      </w:r>
      <w:proofErr w:type="gramStart"/>
      <w:r w:rsidRPr="002C0BF2">
        <w:t>National Drug Strategy Monograph series no. 66.</w:t>
      </w:r>
      <w:proofErr w:type="gramEnd"/>
      <w:r w:rsidRPr="002C0BF2">
        <w:t xml:space="preserve"> Canberra: Commonwealth Department of Health and Ageing</w:t>
      </w:r>
      <w:r>
        <w:t>, p. 9. See also ACIL Allen Consulting 2014</w:t>
      </w:r>
      <w:r w:rsidRPr="008B2F50">
        <w:rPr>
          <w:i/>
        </w:rPr>
        <w:t xml:space="preserve">, </w:t>
      </w:r>
      <w:proofErr w:type="gramStart"/>
      <w:r w:rsidRPr="008B2F50">
        <w:rPr>
          <w:i/>
        </w:rPr>
        <w:t>Counting</w:t>
      </w:r>
      <w:proofErr w:type="gramEnd"/>
      <w:r w:rsidRPr="008B2F50">
        <w:rPr>
          <w:i/>
        </w:rPr>
        <w:t xml:space="preserve"> the costs of alcohol</w:t>
      </w:r>
      <w:r>
        <w:t>, p. 8.</w:t>
      </w:r>
    </w:p>
  </w:footnote>
  <w:footnote w:id="9">
    <w:p w14:paraId="4EFF4FD0" w14:textId="1F4836F5" w:rsidR="00FF4178" w:rsidRDefault="00FF4178">
      <w:pPr>
        <w:pStyle w:val="FootnoteText"/>
      </w:pPr>
      <w:r>
        <w:rPr>
          <w:rStyle w:val="FootnoteReference"/>
        </w:rPr>
        <w:footnoteRef/>
      </w:r>
      <w:r>
        <w:t xml:space="preserve"> </w:t>
      </w:r>
      <w:proofErr w:type="gramStart"/>
      <w:r>
        <w:t>Collins DJ and</w:t>
      </w:r>
      <w:r w:rsidRPr="002C0BF2">
        <w:t xml:space="preserve"> </w:t>
      </w:r>
      <w:proofErr w:type="spellStart"/>
      <w:r w:rsidRPr="002C0BF2">
        <w:t>Lapsley</w:t>
      </w:r>
      <w:proofErr w:type="spellEnd"/>
      <w:r w:rsidRPr="002C0BF2">
        <w:t xml:space="preserve"> HM 2008.</w:t>
      </w:r>
      <w:proofErr w:type="gramEnd"/>
      <w:r w:rsidRPr="002C0BF2">
        <w:t xml:space="preserve"> The costs of tobacco, alcohol and illicit drug abuse to Australian society in 2004/2005. </w:t>
      </w:r>
      <w:proofErr w:type="gramStart"/>
      <w:r w:rsidRPr="002C0BF2">
        <w:t>National Drug Strategy Monograph series no. 66.</w:t>
      </w:r>
      <w:proofErr w:type="gramEnd"/>
      <w:r w:rsidRPr="002C0BF2">
        <w:t xml:space="preserve"> Canberra: Commonwealth Department of Health and Ageing</w:t>
      </w:r>
      <w:r w:rsidR="006A4729">
        <w:t xml:space="preserve">, p. 9. </w:t>
      </w:r>
      <w:r w:rsidR="00B81EE7">
        <w:t xml:space="preserve">See also ACIL Allen Consulting 2014, </w:t>
      </w:r>
      <w:proofErr w:type="gramStart"/>
      <w:r w:rsidR="00B81EE7">
        <w:t>Counting</w:t>
      </w:r>
      <w:proofErr w:type="gramEnd"/>
      <w:r w:rsidR="00B81EE7">
        <w:t xml:space="preserve"> the costs of alcohol, p. 9.</w:t>
      </w:r>
    </w:p>
  </w:footnote>
  <w:footnote w:id="10">
    <w:p w14:paraId="73DEB2B1" w14:textId="6614AA7F" w:rsidR="004B1423" w:rsidRDefault="004B1423">
      <w:pPr>
        <w:pStyle w:val="FootnoteText"/>
      </w:pPr>
      <w:r>
        <w:rPr>
          <w:rStyle w:val="FootnoteReference"/>
        </w:rPr>
        <w:footnoteRef/>
      </w:r>
      <w:r>
        <w:t xml:space="preserve"> </w:t>
      </w:r>
      <w:proofErr w:type="gramStart"/>
      <w:r>
        <w:t>Collins DJ and</w:t>
      </w:r>
      <w:r w:rsidRPr="002C0BF2">
        <w:t xml:space="preserve"> </w:t>
      </w:r>
      <w:proofErr w:type="spellStart"/>
      <w:r w:rsidRPr="002C0BF2">
        <w:t>Lapsley</w:t>
      </w:r>
      <w:proofErr w:type="spellEnd"/>
      <w:r w:rsidRPr="002C0BF2">
        <w:t xml:space="preserve"> HM 2008.</w:t>
      </w:r>
      <w:proofErr w:type="gramEnd"/>
      <w:r w:rsidRPr="002C0BF2">
        <w:t xml:space="preserve"> </w:t>
      </w:r>
      <w:r w:rsidRPr="008B2F50">
        <w:rPr>
          <w:i/>
        </w:rPr>
        <w:t>The costs of tobacco, alcohol and illicit drug abuse to Australian society in 2004/2005</w:t>
      </w:r>
      <w:r w:rsidRPr="002C0BF2">
        <w:t xml:space="preserve">. </w:t>
      </w:r>
      <w:proofErr w:type="gramStart"/>
      <w:r w:rsidRPr="002C0BF2">
        <w:t>National Drug Strategy Monograph series no. 66.</w:t>
      </w:r>
      <w:proofErr w:type="gramEnd"/>
      <w:r w:rsidRPr="002C0BF2">
        <w:t xml:space="preserve"> Canberra: Commonwealth Department of Health and Ageing</w:t>
      </w:r>
    </w:p>
  </w:footnote>
  <w:footnote w:id="11">
    <w:p w14:paraId="736EEB5F" w14:textId="1652035A" w:rsidR="004B1423" w:rsidRDefault="004B1423">
      <w:pPr>
        <w:pStyle w:val="FootnoteText"/>
      </w:pPr>
      <w:r>
        <w:rPr>
          <w:rStyle w:val="FootnoteReference"/>
        </w:rPr>
        <w:footnoteRef/>
      </w:r>
      <w:r>
        <w:t xml:space="preserve"> </w:t>
      </w:r>
      <w:proofErr w:type="spellStart"/>
      <w:r w:rsidRPr="002C0BF2">
        <w:t>Laslett</w:t>
      </w:r>
      <w:proofErr w:type="spellEnd"/>
      <w:r w:rsidRPr="002C0BF2">
        <w:t xml:space="preserve"> A et al. 2010. </w:t>
      </w:r>
      <w:proofErr w:type="gramStart"/>
      <w:r w:rsidRPr="008B2F50">
        <w:rPr>
          <w:i/>
        </w:rPr>
        <w:t>The range and magnitude of alcohol’s harm to others</w:t>
      </w:r>
      <w:r w:rsidRPr="002C0BF2">
        <w:t>.</w:t>
      </w:r>
      <w:proofErr w:type="gramEnd"/>
      <w:r w:rsidRPr="002C0BF2">
        <w:t xml:space="preserve"> Fitzroy, Victoria: AER Centre for Alcohol Policy Research, Turning Point Alcohol and Drug Centre, Eastern Health</w:t>
      </w:r>
      <w:r>
        <w:t>.</w:t>
      </w:r>
    </w:p>
  </w:footnote>
  <w:footnote w:id="12">
    <w:p w14:paraId="67967986" w14:textId="77777777" w:rsidR="004B1423" w:rsidRDefault="004B1423" w:rsidP="00E15565">
      <w:pPr>
        <w:pStyle w:val="FootnoteText"/>
      </w:pPr>
      <w:r>
        <w:rPr>
          <w:rStyle w:val="FootnoteReference"/>
        </w:rPr>
        <w:footnoteRef/>
      </w:r>
      <w:r>
        <w:t xml:space="preserve"> </w:t>
      </w:r>
      <w:proofErr w:type="gramStart"/>
      <w:r>
        <w:t>Collins DJ and</w:t>
      </w:r>
      <w:r w:rsidRPr="002C0BF2">
        <w:t xml:space="preserve"> </w:t>
      </w:r>
      <w:proofErr w:type="spellStart"/>
      <w:r w:rsidRPr="002C0BF2">
        <w:t>Lapsley</w:t>
      </w:r>
      <w:proofErr w:type="spellEnd"/>
      <w:r w:rsidRPr="002C0BF2">
        <w:t xml:space="preserve"> HM 2008.</w:t>
      </w:r>
      <w:proofErr w:type="gramEnd"/>
      <w:r w:rsidRPr="002C0BF2">
        <w:t xml:space="preserve"> </w:t>
      </w:r>
      <w:r w:rsidRPr="008B2F50">
        <w:rPr>
          <w:i/>
        </w:rPr>
        <w:t>The costs of tobacco, alcohol and illicit drug abuse to Australian society in 2004/2005</w:t>
      </w:r>
      <w:r w:rsidRPr="002C0BF2">
        <w:t xml:space="preserve">. </w:t>
      </w:r>
      <w:proofErr w:type="gramStart"/>
      <w:r w:rsidRPr="002C0BF2">
        <w:t>National Drug Strategy Monograph series no. 66.</w:t>
      </w:r>
      <w:proofErr w:type="gramEnd"/>
      <w:r w:rsidRPr="002C0BF2">
        <w:t xml:space="preserve"> Canberra: Commonwealth Department of Health and Ageing</w:t>
      </w:r>
    </w:p>
  </w:footnote>
  <w:footnote w:id="13">
    <w:p w14:paraId="37C77C82" w14:textId="02DBCFC7" w:rsidR="00B16BDD" w:rsidRPr="000273C8" w:rsidRDefault="00B16BDD">
      <w:pPr>
        <w:pStyle w:val="FootnoteText"/>
      </w:pPr>
      <w:r>
        <w:rPr>
          <w:rStyle w:val="FootnoteReference"/>
        </w:rPr>
        <w:footnoteRef/>
      </w:r>
      <w:r>
        <w:t xml:space="preserve"> </w:t>
      </w:r>
      <w:r w:rsidRPr="000273C8">
        <w:t>The exception to this is in including an estimate of a cost of called ‘resources used in abusive consumption’ in their total cost figure. This is an estimate of the amount of resources wasted from spending on alcohol which exceeds ‘low risk’ levels (as defined by medical guidelines). Their justification for counting this as a cost is that this ‘excess consumption’ is not based on rational decision making.</w:t>
      </w:r>
    </w:p>
  </w:footnote>
  <w:footnote w:id="14">
    <w:p w14:paraId="63C4299F" w14:textId="77777777" w:rsidR="00D108D7" w:rsidRDefault="00D108D7" w:rsidP="00D108D7">
      <w:pPr>
        <w:pStyle w:val="FootnoteText"/>
      </w:pPr>
      <w:r>
        <w:rPr>
          <w:rStyle w:val="FootnoteReference"/>
        </w:rPr>
        <w:footnoteRef/>
      </w:r>
      <w:r>
        <w:t xml:space="preserve"> </w:t>
      </w:r>
      <w:proofErr w:type="gramStart"/>
      <w:r w:rsidRPr="00A75243">
        <w:t xml:space="preserve">Australian Treasury 2010, </w:t>
      </w:r>
      <w:r w:rsidRPr="008B2F50">
        <w:rPr>
          <w:i/>
        </w:rPr>
        <w:t>Australia’s future tax system consultation paper</w:t>
      </w:r>
      <w:r>
        <w:t>, Canberra,</w:t>
      </w:r>
      <w:r w:rsidRPr="00A75243">
        <w:t xml:space="preserve"> </w:t>
      </w:r>
      <w:hyperlink r:id="rId1" w:history="1">
        <w:r w:rsidRPr="00B5365C">
          <w:rPr>
            <w:rStyle w:val="Hyperlink"/>
          </w:rPr>
          <w:t>http://taxreview.treasury.gov.au/content/ConsultationPaper.aspx?doc=html/publications/Papers/Consultation_Paper/section_11.htm</w:t>
        </w:r>
      </w:hyperlink>
      <w:r>
        <w:t>.</w:t>
      </w:r>
      <w:proofErr w:type="gramEnd"/>
      <w:r>
        <w:t xml:space="preserve"> </w:t>
      </w:r>
    </w:p>
  </w:footnote>
  <w:footnote w:id="15">
    <w:p w14:paraId="11BEFF1F" w14:textId="4B60926B" w:rsidR="004B1423" w:rsidRDefault="004B1423">
      <w:pPr>
        <w:pStyle w:val="FootnoteText"/>
      </w:pPr>
      <w:r>
        <w:rPr>
          <w:rStyle w:val="FootnoteReference"/>
        </w:rPr>
        <w:footnoteRef/>
      </w:r>
      <w:r w:rsidR="008B2F50">
        <w:t xml:space="preserve">Marsden Jacob Associates 2012, </w:t>
      </w:r>
      <w:r w:rsidRPr="008B2F50">
        <w:rPr>
          <w:i/>
        </w:rPr>
        <w:t>Bingeing, collateral damage and the benefits and costs of taxing alcohol rationally</w:t>
      </w:r>
      <w:r w:rsidRPr="00E15565">
        <w:t>, report to the Foundation for Alcohol Research and Education, October</w:t>
      </w:r>
    </w:p>
  </w:footnote>
  <w:footnote w:id="16">
    <w:p w14:paraId="4197A2DC" w14:textId="1C1D9E29" w:rsidR="00A818A6" w:rsidRDefault="00A818A6">
      <w:pPr>
        <w:pStyle w:val="FootnoteText"/>
      </w:pPr>
      <w:r>
        <w:rPr>
          <w:rStyle w:val="FootnoteReference"/>
        </w:rPr>
        <w:footnoteRef/>
      </w:r>
      <w:proofErr w:type="gramStart"/>
      <w:r w:rsidRPr="002D4816">
        <w:rPr>
          <w:i/>
        </w:rPr>
        <w:t>Ibid</w:t>
      </w:r>
      <w:r>
        <w:t>.</w:t>
      </w:r>
      <w:proofErr w:type="gramEnd"/>
      <w:r>
        <w:t xml:space="preserve"> </w:t>
      </w:r>
    </w:p>
  </w:footnote>
  <w:footnote w:id="17">
    <w:p w14:paraId="0CF0F812" w14:textId="7CB98B66" w:rsidR="004B1423" w:rsidRDefault="004B1423">
      <w:pPr>
        <w:pStyle w:val="FootnoteText"/>
      </w:pPr>
      <w:r>
        <w:rPr>
          <w:rStyle w:val="FootnoteReference"/>
        </w:rPr>
        <w:footnoteRef/>
      </w:r>
      <w:r>
        <w:t xml:space="preserve"> </w:t>
      </w:r>
      <w:r w:rsidRPr="009137CE">
        <w:t xml:space="preserve">Doran et al, ‘Estimated impacts of alternative Australian alcohol taxation structures on consumption, public health and government revenues’, </w:t>
      </w:r>
      <w:r w:rsidRPr="008B2F50">
        <w:rPr>
          <w:i/>
        </w:rPr>
        <w:t xml:space="preserve">Med J </w:t>
      </w:r>
      <w:proofErr w:type="spellStart"/>
      <w:r w:rsidRPr="008B2F50">
        <w:rPr>
          <w:i/>
        </w:rPr>
        <w:t>Aust</w:t>
      </w:r>
      <w:proofErr w:type="spellEnd"/>
      <w:r w:rsidRPr="009137CE">
        <w:t xml:space="preserve"> 2013; 199 (9): 619-622</w:t>
      </w:r>
    </w:p>
  </w:footnote>
  <w:footnote w:id="18">
    <w:p w14:paraId="74FAA3E0" w14:textId="1629878B" w:rsidR="004B1423" w:rsidRDefault="004B1423">
      <w:pPr>
        <w:pStyle w:val="FootnoteText"/>
      </w:pPr>
      <w:r>
        <w:rPr>
          <w:rStyle w:val="FootnoteReference"/>
        </w:rPr>
        <w:footnoteRef/>
      </w:r>
      <w:proofErr w:type="spellStart"/>
      <w:r w:rsidRPr="009137CE">
        <w:t>Laslett</w:t>
      </w:r>
      <w:proofErr w:type="spellEnd"/>
      <w:r w:rsidRPr="009137CE">
        <w:t xml:space="preserve"> A et al. 2010. </w:t>
      </w:r>
      <w:proofErr w:type="gramStart"/>
      <w:r w:rsidRPr="008B2F50">
        <w:rPr>
          <w:i/>
        </w:rPr>
        <w:t>The range and magnitude of alcohol’s harm to others</w:t>
      </w:r>
      <w:r w:rsidRPr="009137CE">
        <w:t>.</w:t>
      </w:r>
      <w:proofErr w:type="gramEnd"/>
      <w:r w:rsidRPr="009137CE">
        <w:t xml:space="preserve"> Fitzroy, Victoria: AER Centre for Alcohol Policy Research, Turning Point Alcohol and Drug Centre, Eastern Health.</w:t>
      </w:r>
      <w:r>
        <w:t xml:space="preserve"> </w:t>
      </w:r>
    </w:p>
  </w:footnote>
  <w:footnote w:id="19">
    <w:p w14:paraId="7C3EEC3E" w14:textId="66FF564D" w:rsidR="004B1423" w:rsidRDefault="004B1423">
      <w:pPr>
        <w:pStyle w:val="FootnoteText"/>
      </w:pPr>
      <w:r>
        <w:rPr>
          <w:rStyle w:val="FootnoteReference"/>
        </w:rPr>
        <w:footnoteRef/>
      </w:r>
      <w:r>
        <w:t xml:space="preserve"> </w:t>
      </w:r>
      <w:proofErr w:type="gramStart"/>
      <w:r w:rsidRPr="00EA2895">
        <w:t xml:space="preserve">Collins DJ and </w:t>
      </w:r>
      <w:proofErr w:type="spellStart"/>
      <w:r w:rsidRPr="00EA2895">
        <w:t>Lapsley</w:t>
      </w:r>
      <w:proofErr w:type="spellEnd"/>
      <w:r w:rsidRPr="00EA2895">
        <w:t xml:space="preserve"> HM 2008.</w:t>
      </w:r>
      <w:proofErr w:type="gramEnd"/>
      <w:r w:rsidRPr="00EA2895">
        <w:t xml:space="preserve"> </w:t>
      </w:r>
      <w:r w:rsidRPr="008B2F50">
        <w:rPr>
          <w:i/>
        </w:rPr>
        <w:t>The costs of tobacco, alcohol and illicit drug abuse to Australian society in 2004/2005</w:t>
      </w:r>
      <w:r w:rsidRPr="00EA2895">
        <w:t xml:space="preserve">. </w:t>
      </w:r>
      <w:proofErr w:type="gramStart"/>
      <w:r w:rsidRPr="00EA2895">
        <w:t>National Drug Strategy Monograph series no. 66.</w:t>
      </w:r>
      <w:proofErr w:type="gramEnd"/>
      <w:r w:rsidRPr="00EA2895">
        <w:t xml:space="preserve"> Canberra: Commonwealth Department of Health and Ageing</w:t>
      </w:r>
      <w:r>
        <w:t>.</w:t>
      </w:r>
    </w:p>
  </w:footnote>
  <w:footnote w:id="20">
    <w:p w14:paraId="0FEEB1A2" w14:textId="2244109C" w:rsidR="000273C8" w:rsidRDefault="000273C8">
      <w:pPr>
        <w:pStyle w:val="FootnoteText"/>
      </w:pPr>
      <w:r>
        <w:rPr>
          <w:rStyle w:val="FootnoteReference"/>
        </w:rPr>
        <w:footnoteRef/>
      </w:r>
      <w:r>
        <w:t xml:space="preserve"> Refer to footnote 13.</w:t>
      </w:r>
    </w:p>
  </w:footnote>
  <w:footnote w:id="21">
    <w:p w14:paraId="558DD0CE" w14:textId="2C326AC4" w:rsidR="004B1423" w:rsidRDefault="004B1423">
      <w:pPr>
        <w:pStyle w:val="FootnoteText"/>
      </w:pPr>
      <w:r>
        <w:rPr>
          <w:rStyle w:val="FootnoteReference"/>
        </w:rPr>
        <w:footnoteRef/>
      </w:r>
      <w:r>
        <w:t xml:space="preserve"> </w:t>
      </w:r>
      <w:proofErr w:type="gramStart"/>
      <w:r>
        <w:t xml:space="preserve">Treasury, </w:t>
      </w:r>
      <w:r w:rsidRPr="008B2F50">
        <w:rPr>
          <w:i/>
        </w:rPr>
        <w:t>Tax white paper</w:t>
      </w:r>
      <w:r>
        <w:t>, p. 160.</w:t>
      </w:r>
      <w:proofErr w:type="gramEnd"/>
    </w:p>
  </w:footnote>
  <w:footnote w:id="22">
    <w:p w14:paraId="7180363E" w14:textId="662AEA44" w:rsidR="004B1423" w:rsidRPr="00713703" w:rsidRDefault="004B1423" w:rsidP="0095607E">
      <w:pPr>
        <w:pStyle w:val="FootnoteText"/>
      </w:pPr>
      <w:r w:rsidRPr="00713703">
        <w:rPr>
          <w:rStyle w:val="FootnoteReference"/>
        </w:rPr>
        <w:footnoteRef/>
      </w:r>
      <w:r>
        <w:t xml:space="preserve"> </w:t>
      </w:r>
      <w:proofErr w:type="spellStart"/>
      <w:r w:rsidRPr="00713703">
        <w:t>Wagenaar</w:t>
      </w:r>
      <w:proofErr w:type="spellEnd"/>
      <w:r w:rsidRPr="00713703">
        <w:t xml:space="preserve">, A. C., M.J. </w:t>
      </w:r>
      <w:proofErr w:type="spellStart"/>
      <w:r w:rsidRPr="00713703">
        <w:t>Salois</w:t>
      </w:r>
      <w:proofErr w:type="spellEnd"/>
      <w:r w:rsidRPr="00713703">
        <w:t xml:space="preserve"> and K. A. </w:t>
      </w:r>
      <w:proofErr w:type="spellStart"/>
      <w:r w:rsidRPr="00713703">
        <w:t>Komro</w:t>
      </w:r>
      <w:proofErr w:type="spellEnd"/>
      <w:r w:rsidRPr="00713703">
        <w:t xml:space="preserve">, ‘Effects of Beverage Alcohol Price and Tax Levels on Drinking: A Meta-Analysis of 1003 Estimates from 112 Studies’, </w:t>
      </w:r>
      <w:r w:rsidRPr="00713703">
        <w:rPr>
          <w:i/>
        </w:rPr>
        <w:t>Addiction</w:t>
      </w:r>
      <w:r w:rsidRPr="00713703">
        <w:t>, 104(2): 179–190, 2009.</w:t>
      </w:r>
    </w:p>
  </w:footnote>
  <w:footnote w:id="23">
    <w:p w14:paraId="424264AB" w14:textId="0F871CD4" w:rsidR="004B1423" w:rsidRDefault="004B1423" w:rsidP="00645A5C">
      <w:pPr>
        <w:pStyle w:val="FootnoteText"/>
      </w:pPr>
      <w:r>
        <w:rPr>
          <w:rStyle w:val="FootnoteReference"/>
        </w:rPr>
        <w:footnoteRef/>
      </w:r>
      <w:r>
        <w:t xml:space="preserve"> </w:t>
      </w:r>
      <w:proofErr w:type="spellStart"/>
      <w:r>
        <w:t>Meng</w:t>
      </w:r>
      <w:proofErr w:type="spellEnd"/>
      <w:r>
        <w:t xml:space="preserve"> et al, Estimation of own and cross price </w:t>
      </w:r>
      <w:proofErr w:type="spellStart"/>
      <w:r>
        <w:t>elasticities</w:t>
      </w:r>
      <w:proofErr w:type="spellEnd"/>
      <w:r>
        <w:t xml:space="preserve"> of alcohol demand in the UK-A pseudo-panel approach using the Living Costs and Food Survey 2001-2009, </w:t>
      </w:r>
      <w:r w:rsidRPr="008B2F50">
        <w:rPr>
          <w:i/>
        </w:rPr>
        <w:t>J Health Econ</w:t>
      </w:r>
      <w:r>
        <w:t>. 2014 Mar</w:t>
      </w:r>
      <w:proofErr w:type="gramStart"/>
      <w:r>
        <w:t>;34:96</w:t>
      </w:r>
      <w:proofErr w:type="gramEnd"/>
      <w:r>
        <w:t xml:space="preserve">-103. </w:t>
      </w:r>
      <w:proofErr w:type="spellStart"/>
      <w:proofErr w:type="gramStart"/>
      <w:r>
        <w:t>doi</w:t>
      </w:r>
      <w:proofErr w:type="spellEnd"/>
      <w:proofErr w:type="gramEnd"/>
      <w:r>
        <w:t xml:space="preserve">: 10.1016/j.jhealeco.2013.12.006. </w:t>
      </w:r>
      <w:proofErr w:type="spellStart"/>
      <w:r>
        <w:t>Epub</w:t>
      </w:r>
      <w:proofErr w:type="spellEnd"/>
      <w:r>
        <w:t xml:space="preserve"> 2014 Jan 19.</w:t>
      </w:r>
    </w:p>
  </w:footnote>
  <w:footnote w:id="24">
    <w:p w14:paraId="28D016ED" w14:textId="77777777" w:rsidR="004B1423" w:rsidRDefault="004B1423" w:rsidP="00CF7134">
      <w:pPr>
        <w:pStyle w:val="FootnoteText"/>
      </w:pPr>
      <w:r>
        <w:rPr>
          <w:rStyle w:val="FootnoteReference"/>
        </w:rPr>
        <w:footnoteRef/>
      </w:r>
      <w:r>
        <w:t xml:space="preserve"> Byrnes et al, Is response to price equal for those with higher alcohol consumption</w:t>
      </w:r>
      <w:proofErr w:type="gramStart"/>
      <w:r>
        <w:t>?,</w:t>
      </w:r>
      <w:proofErr w:type="gramEnd"/>
      <w:r>
        <w:t xml:space="preserve"> </w:t>
      </w:r>
      <w:proofErr w:type="spellStart"/>
      <w:r w:rsidRPr="008B2F50">
        <w:rPr>
          <w:i/>
        </w:rPr>
        <w:t>Eur</w:t>
      </w:r>
      <w:proofErr w:type="spellEnd"/>
      <w:r w:rsidRPr="008B2F50">
        <w:rPr>
          <w:i/>
        </w:rPr>
        <w:t xml:space="preserve"> J Health Econ</w:t>
      </w:r>
      <w:r>
        <w:t xml:space="preserve">. </w:t>
      </w:r>
      <w:proofErr w:type="gramStart"/>
      <w:r>
        <w:t>2014 Nov 19.</w:t>
      </w:r>
      <w:proofErr w:type="gramEnd"/>
    </w:p>
  </w:footnote>
  <w:footnote w:id="25">
    <w:p w14:paraId="663F852E" w14:textId="0EC86819" w:rsidR="004B1423" w:rsidRDefault="004B1423">
      <w:pPr>
        <w:pStyle w:val="FootnoteText"/>
      </w:pPr>
      <w:r>
        <w:rPr>
          <w:rStyle w:val="FootnoteReference"/>
        </w:rPr>
        <w:footnoteRef/>
      </w:r>
      <w:r>
        <w:t xml:space="preserve"> Marsden Jacob Associates 2012,</w:t>
      </w:r>
      <w:r w:rsidRPr="00A76B34">
        <w:t xml:space="preserve"> </w:t>
      </w:r>
      <w:r w:rsidRPr="00A76B34">
        <w:rPr>
          <w:i/>
        </w:rPr>
        <w:t>Bingeing, collateral damage and the benefits and costs of taxing alcohol rationally</w:t>
      </w:r>
      <w:r w:rsidRPr="00A76B34">
        <w:t>, report to the Foundation for Alcohol Research and Education, October</w:t>
      </w:r>
      <w:r>
        <w:t>.</w:t>
      </w:r>
    </w:p>
  </w:footnote>
  <w:footnote w:id="26">
    <w:p w14:paraId="499DFE20" w14:textId="77777777" w:rsidR="004B1423" w:rsidRDefault="004B1423" w:rsidP="00D248AA">
      <w:pPr>
        <w:pStyle w:val="FootnoteText"/>
      </w:pPr>
      <w:r>
        <w:rPr>
          <w:rStyle w:val="FootnoteReference"/>
        </w:rPr>
        <w:footnoteRef/>
      </w:r>
      <w:r>
        <w:t xml:space="preserve"> </w:t>
      </w:r>
      <w:proofErr w:type="spellStart"/>
      <w:r>
        <w:t>Herttua</w:t>
      </w:r>
      <w:proofErr w:type="spellEnd"/>
      <w:r>
        <w:t xml:space="preserve"> et al, The effects of a large reduction in alcohol prices on hospitalizations related to alcohol: a population-based natural experiment </w:t>
      </w:r>
      <w:r w:rsidRPr="008B2F50">
        <w:rPr>
          <w:i/>
        </w:rPr>
        <w:t>Addiction</w:t>
      </w:r>
      <w:r>
        <w:t>. 2011 Apr</w:t>
      </w:r>
      <w:proofErr w:type="gramStart"/>
      <w:r>
        <w:t>;106</w:t>
      </w:r>
      <w:proofErr w:type="gramEnd"/>
      <w:r>
        <w:t xml:space="preserve">(4):759-67. </w:t>
      </w:r>
      <w:proofErr w:type="spellStart"/>
      <w:proofErr w:type="gramStart"/>
      <w:r>
        <w:t>doi</w:t>
      </w:r>
      <w:proofErr w:type="spellEnd"/>
      <w:proofErr w:type="gramEnd"/>
      <w:r>
        <w:t xml:space="preserve">: 10.1111/j.1360-0443.2010.03296.x. </w:t>
      </w:r>
      <w:proofErr w:type="spellStart"/>
      <w:r>
        <w:t>Epub</w:t>
      </w:r>
      <w:proofErr w:type="spellEnd"/>
      <w:r>
        <w:t xml:space="preserve"> 2011 Feb 14.</w:t>
      </w:r>
    </w:p>
  </w:footnote>
  <w:footnote w:id="27">
    <w:p w14:paraId="62FC7BB7" w14:textId="77777777" w:rsidR="004B1423" w:rsidRDefault="004B1423" w:rsidP="00D248AA">
      <w:pPr>
        <w:pStyle w:val="FootnoteText"/>
      </w:pPr>
      <w:r>
        <w:rPr>
          <w:rStyle w:val="FootnoteReference"/>
        </w:rPr>
        <w:footnoteRef/>
      </w:r>
      <w:r>
        <w:t xml:space="preserve"> </w:t>
      </w:r>
      <w:proofErr w:type="spellStart"/>
      <w:r>
        <w:t>Wagenaar</w:t>
      </w:r>
      <w:proofErr w:type="spellEnd"/>
      <w:r>
        <w:t xml:space="preserve"> et al, Effects of a 2009 Illinois Alcohol Tax Increase on Fatal Motor Vehicle Crashes, </w:t>
      </w:r>
      <w:r w:rsidRPr="008B2F50">
        <w:rPr>
          <w:i/>
        </w:rPr>
        <w:t>Am J Public Health</w:t>
      </w:r>
      <w:r>
        <w:t>. 2015 Mar 19:e1-e6.</w:t>
      </w:r>
    </w:p>
  </w:footnote>
  <w:footnote w:id="28">
    <w:p w14:paraId="7B6E516B" w14:textId="77777777" w:rsidR="004B1423" w:rsidRDefault="004B1423" w:rsidP="00DB29CF">
      <w:pPr>
        <w:pStyle w:val="FootnoteText"/>
      </w:pPr>
      <w:r>
        <w:rPr>
          <w:rStyle w:val="FootnoteReference"/>
        </w:rPr>
        <w:footnoteRef/>
      </w:r>
      <w:r>
        <w:t xml:space="preserve"> Saar, </w:t>
      </w:r>
      <w:proofErr w:type="gramStart"/>
      <w:r>
        <w:t>Do</w:t>
      </w:r>
      <w:proofErr w:type="gramEnd"/>
      <w:r>
        <w:t xml:space="preserve"> alcohol excise taxes affect traffic accidents? Evidence from Estonia, </w:t>
      </w:r>
      <w:r w:rsidRPr="008B2F50">
        <w:rPr>
          <w:i/>
        </w:rPr>
        <w:t xml:space="preserve">Traffic </w:t>
      </w:r>
      <w:proofErr w:type="spellStart"/>
      <w:r w:rsidRPr="008B2F50">
        <w:rPr>
          <w:i/>
        </w:rPr>
        <w:t>Inj</w:t>
      </w:r>
      <w:proofErr w:type="spellEnd"/>
      <w:r w:rsidRPr="008B2F50">
        <w:rPr>
          <w:i/>
        </w:rPr>
        <w:t xml:space="preserve"> Prev</w:t>
      </w:r>
      <w:r>
        <w:t>. 2015</w:t>
      </w:r>
      <w:proofErr w:type="gramStart"/>
      <w:r>
        <w:t>;16:213</w:t>
      </w:r>
      <w:proofErr w:type="gramEnd"/>
      <w:r>
        <w:t xml:space="preserve">-8. </w:t>
      </w:r>
      <w:proofErr w:type="spellStart"/>
      <w:proofErr w:type="gramStart"/>
      <w:r>
        <w:t>doi</w:t>
      </w:r>
      <w:proofErr w:type="spellEnd"/>
      <w:proofErr w:type="gramEnd"/>
      <w:r>
        <w:t xml:space="preserve">: 10.1080/15389588.2014.933817. </w:t>
      </w:r>
      <w:proofErr w:type="spellStart"/>
      <w:r>
        <w:t>Epub</w:t>
      </w:r>
      <w:proofErr w:type="spellEnd"/>
      <w:r>
        <w:t xml:space="preserve"> 2014 Nov 14.</w:t>
      </w:r>
    </w:p>
  </w:footnote>
  <w:footnote w:id="29">
    <w:p w14:paraId="780E0652" w14:textId="6FE32761" w:rsidR="004B1423" w:rsidRPr="006E344E" w:rsidRDefault="004B1423" w:rsidP="00373647">
      <w:pPr>
        <w:pStyle w:val="FootnoteText"/>
      </w:pPr>
      <w:r w:rsidRPr="006E344E">
        <w:rPr>
          <w:rStyle w:val="FootnoteReference"/>
        </w:rPr>
        <w:footnoteRef/>
      </w:r>
      <w:r w:rsidRPr="006E344E">
        <w:t xml:space="preserve"> </w:t>
      </w:r>
      <w:proofErr w:type="spellStart"/>
      <w:r w:rsidRPr="006E344E">
        <w:t>Chikritzhs</w:t>
      </w:r>
      <w:proofErr w:type="spellEnd"/>
      <w:r w:rsidRPr="006E344E">
        <w:t xml:space="preserve">, T., Stockwell, T., Hendrie, D., Ying, F., Fordham, R., Cronin, J., </w:t>
      </w:r>
      <w:proofErr w:type="spellStart"/>
      <w:r w:rsidRPr="006E344E">
        <w:t>Or</w:t>
      </w:r>
      <w:r w:rsidR="008B2F50">
        <w:t>lermann</w:t>
      </w:r>
      <w:proofErr w:type="spellEnd"/>
      <w:r w:rsidR="008B2F50">
        <w:t>, K. &amp; Phillips, M. 1999,</w:t>
      </w:r>
      <w:r w:rsidRPr="006E344E">
        <w:t xml:space="preserve"> </w:t>
      </w:r>
      <w:proofErr w:type="gramStart"/>
      <w:r w:rsidRPr="006E344E">
        <w:t>The</w:t>
      </w:r>
      <w:proofErr w:type="gramEnd"/>
      <w:r w:rsidRPr="006E344E">
        <w:t xml:space="preserve"> public health, safety and economic benefits of the Northern Territory’s Living With Alcohol Program 1992/2 to 1995/6. NDRI Monograph No. 2. Perth: National Drug Research Institute, Curtin University of Technology. ISBN: 1863428127.</w:t>
      </w:r>
    </w:p>
  </w:footnote>
  <w:footnote w:id="30">
    <w:p w14:paraId="23AA71F4" w14:textId="0C1A88A0" w:rsidR="004B1423" w:rsidRDefault="004B1423">
      <w:pPr>
        <w:pStyle w:val="FootnoteText"/>
      </w:pPr>
      <w:r>
        <w:rPr>
          <w:rStyle w:val="FootnoteReference"/>
        </w:rPr>
        <w:footnoteRef/>
      </w:r>
      <w:r>
        <w:t xml:space="preserve"> See p. 160 of the Discussion Paper. </w:t>
      </w:r>
    </w:p>
  </w:footnote>
  <w:footnote w:id="31">
    <w:p w14:paraId="66081A35" w14:textId="5DE3D160" w:rsidR="004B1423" w:rsidRDefault="004B1423">
      <w:pPr>
        <w:pStyle w:val="FootnoteText"/>
      </w:pPr>
      <w:r>
        <w:rPr>
          <w:rStyle w:val="FootnoteReference"/>
        </w:rPr>
        <w:footnoteRef/>
      </w:r>
      <w:r>
        <w:t xml:space="preserve"> See Chart 9.2 in the Discussion Paper.  </w:t>
      </w:r>
    </w:p>
  </w:footnote>
  <w:footnote w:id="32">
    <w:p w14:paraId="66B8A737" w14:textId="637CFDD8" w:rsidR="008B28E7" w:rsidRDefault="008B28E7">
      <w:pPr>
        <w:pStyle w:val="FootnoteText"/>
      </w:pPr>
      <w:r>
        <w:rPr>
          <w:rStyle w:val="FootnoteReference"/>
        </w:rPr>
        <w:footnoteRef/>
      </w:r>
      <w:r>
        <w:t xml:space="preserve"> For example, </w:t>
      </w:r>
      <w:r w:rsidR="00836F05">
        <w:t xml:space="preserve">see </w:t>
      </w:r>
      <w:proofErr w:type="spellStart"/>
      <w:r>
        <w:t>Callinan</w:t>
      </w:r>
      <w:proofErr w:type="spellEnd"/>
      <w:r>
        <w:t xml:space="preserve"> and MacLean 2014, </w:t>
      </w:r>
      <w:r w:rsidR="00836F05">
        <w:t>“</w:t>
      </w:r>
      <w:r w:rsidRPr="008B28E7">
        <w:t>‘Just because it’s really, really cheap’: An examination of Victorian young adults’ alcohol product choices</w:t>
      </w:r>
      <w:r w:rsidR="00836F05">
        <w:t xml:space="preserve">”, FARE. </w:t>
      </w:r>
    </w:p>
  </w:footnote>
  <w:footnote w:id="33">
    <w:p w14:paraId="721E7905" w14:textId="145351F7" w:rsidR="004B1423" w:rsidRDefault="004B1423">
      <w:pPr>
        <w:pStyle w:val="FootnoteText"/>
      </w:pPr>
      <w:r>
        <w:rPr>
          <w:rStyle w:val="FootnoteReference"/>
        </w:rPr>
        <w:footnoteRef/>
      </w:r>
      <w:r>
        <w:t xml:space="preserve"> See Chart 9.2 in the Discussion Paper.  </w:t>
      </w:r>
    </w:p>
  </w:footnote>
  <w:footnote w:id="34">
    <w:p w14:paraId="7EE6FBA7" w14:textId="4FF224C6" w:rsidR="004B1423" w:rsidRDefault="004B1423">
      <w:pPr>
        <w:pStyle w:val="FootnoteText"/>
      </w:pPr>
      <w:r>
        <w:rPr>
          <w:rStyle w:val="FootnoteReference"/>
        </w:rPr>
        <w:footnoteRef/>
      </w:r>
      <w:r>
        <w:t xml:space="preserve"> Fogarty, J. 2011, </w:t>
      </w:r>
      <w:proofErr w:type="gramStart"/>
      <w:r w:rsidRPr="007C70AC">
        <w:t>Optimal</w:t>
      </w:r>
      <w:proofErr w:type="gramEnd"/>
      <w:r w:rsidRPr="007C70AC">
        <w:t xml:space="preserve"> alcohol taxes for Australia</w:t>
      </w:r>
      <w:r>
        <w:t xml:space="preserve">, </w:t>
      </w:r>
      <w:r w:rsidRPr="001D5C48">
        <w:t>Working Paper 1120</w:t>
      </w:r>
      <w:r>
        <w:t xml:space="preserve">, </w:t>
      </w:r>
      <w:r w:rsidRPr="001D5C48">
        <w:t>School of Agricultural and Resource Economics</w:t>
      </w:r>
      <w:r>
        <w:t xml:space="preserve">, UWA. </w:t>
      </w:r>
    </w:p>
  </w:footnote>
  <w:footnote w:id="35">
    <w:p w14:paraId="554C0E09" w14:textId="1CF81B35" w:rsidR="00187D9F" w:rsidRDefault="00187D9F">
      <w:pPr>
        <w:pStyle w:val="FootnoteText"/>
      </w:pPr>
      <w:r>
        <w:rPr>
          <w:rStyle w:val="FootnoteReference"/>
        </w:rPr>
        <w:footnoteRef/>
      </w:r>
      <w:r>
        <w:t xml:space="preserve"> </w:t>
      </w:r>
      <w:r w:rsidRPr="00187D9F">
        <w:t xml:space="preserve">Allen Consulting Group 2011, </w:t>
      </w:r>
      <w:r w:rsidRPr="008B2F50">
        <w:rPr>
          <w:i/>
        </w:rPr>
        <w:t xml:space="preserve">Alcohol Taxation Reform: Starting With </w:t>
      </w:r>
      <w:proofErr w:type="gramStart"/>
      <w:r w:rsidRPr="008B2F50">
        <w:rPr>
          <w:i/>
        </w:rPr>
        <w:t>The</w:t>
      </w:r>
      <w:proofErr w:type="gramEnd"/>
      <w:r w:rsidRPr="008B2F50">
        <w:rPr>
          <w:i/>
        </w:rPr>
        <w:t xml:space="preserve"> Wine Equalisation Tax</w:t>
      </w:r>
      <w:r>
        <w:t>.</w:t>
      </w:r>
    </w:p>
  </w:footnote>
  <w:footnote w:id="36">
    <w:p w14:paraId="16B04593" w14:textId="2DE520FE" w:rsidR="00187D9F" w:rsidRDefault="00187D9F">
      <w:pPr>
        <w:pStyle w:val="FootnoteText"/>
      </w:pPr>
      <w:r>
        <w:rPr>
          <w:rStyle w:val="FootnoteReference"/>
        </w:rPr>
        <w:footnoteRef/>
      </w:r>
      <w:r>
        <w:t>Marsden Jacob Associates 2012,</w:t>
      </w:r>
      <w:r w:rsidRPr="00A76B34">
        <w:t xml:space="preserve"> </w:t>
      </w:r>
      <w:r w:rsidRPr="00A76B34">
        <w:rPr>
          <w:i/>
        </w:rPr>
        <w:t>Bingeing, collateral damage and the benefits and costs of taxing alcohol rationally</w:t>
      </w:r>
      <w:r w:rsidRPr="00A76B34">
        <w:t>, report to the Foundation for Alcohol Research and Education, October</w:t>
      </w:r>
      <w:r>
        <w:t xml:space="preserve">. </w:t>
      </w:r>
    </w:p>
  </w:footnote>
  <w:footnote w:id="37">
    <w:p w14:paraId="4DB20B71" w14:textId="12DC95E2" w:rsidR="00191D33" w:rsidRDefault="00191D33">
      <w:pPr>
        <w:pStyle w:val="FootnoteText"/>
      </w:pPr>
      <w:r>
        <w:rPr>
          <w:rStyle w:val="FootnoteReference"/>
        </w:rPr>
        <w:footnoteRef/>
      </w:r>
      <w:r>
        <w:t xml:space="preserve"> </w:t>
      </w:r>
      <w:r w:rsidRPr="00191D33">
        <w:t xml:space="preserve">Doran et al, ‘Estimated impacts of alternative Australian alcohol taxation structures on consumption, public health and government revenues’, </w:t>
      </w:r>
      <w:r w:rsidRPr="008B2F50">
        <w:rPr>
          <w:i/>
        </w:rPr>
        <w:t xml:space="preserve">Med J </w:t>
      </w:r>
      <w:proofErr w:type="spellStart"/>
      <w:r w:rsidRPr="008B2F50">
        <w:rPr>
          <w:i/>
        </w:rPr>
        <w:t>Aust</w:t>
      </w:r>
      <w:proofErr w:type="spellEnd"/>
      <w:r w:rsidRPr="00191D33">
        <w:t xml:space="preserve"> 2013; 199 (9): 619-622</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9591F" w14:textId="77777777" w:rsidR="004B1423" w:rsidRDefault="004B1423">
    <w:pPr>
      <w:pStyle w:val="Header"/>
    </w:pPr>
    <w:r>
      <w:rPr>
        <w:noProof/>
        <w:lang w:eastAsia="en-AU"/>
      </w:rPr>
      <w:drawing>
        <wp:anchor distT="0" distB="0" distL="114300" distR="114300" simplePos="0" relativeHeight="251655167" behindDoc="1" locked="0" layoutInCell="1" allowOverlap="1" wp14:anchorId="3B4935FA" wp14:editId="02A87E2F">
          <wp:simplePos x="0" y="0"/>
          <wp:positionH relativeFrom="column">
            <wp:posOffset>-520065</wp:posOffset>
          </wp:positionH>
          <wp:positionV relativeFrom="paragraph">
            <wp:posOffset>-104775</wp:posOffset>
          </wp:positionV>
          <wp:extent cx="7200900" cy="9971405"/>
          <wp:effectExtent l="0" t="0" r="12700" b="1079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 front cover.jpg"/>
                  <pic:cNvPicPr/>
                </pic:nvPicPr>
                <pic:blipFill>
                  <a:blip r:embed="rId1">
                    <a:extLst>
                      <a:ext uri="{28A0092B-C50C-407E-A947-70E740481C1C}">
                        <a14:useLocalDpi xmlns:a14="http://schemas.microsoft.com/office/drawing/2010/main" val="0"/>
                      </a:ext>
                    </a:extLst>
                  </a:blip>
                  <a:stretch>
                    <a:fillRect/>
                  </a:stretch>
                </pic:blipFill>
                <pic:spPr>
                  <a:xfrm>
                    <a:off x="0" y="0"/>
                    <a:ext cx="7200900" cy="997140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4063"/>
    <w:multiLevelType w:val="hybridMultilevel"/>
    <w:tmpl w:val="8684FA2C"/>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E647EB9"/>
    <w:multiLevelType w:val="hybridMultilevel"/>
    <w:tmpl w:val="CA244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81C7E"/>
    <w:multiLevelType w:val="hybridMultilevel"/>
    <w:tmpl w:val="7A6A90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86C401C"/>
    <w:multiLevelType w:val="hybridMultilevel"/>
    <w:tmpl w:val="89B0BB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CFB21EA"/>
    <w:multiLevelType w:val="hybridMultilevel"/>
    <w:tmpl w:val="E9480024"/>
    <w:lvl w:ilvl="0" w:tplc="CD12DC7A">
      <w:numFmt w:val="bullet"/>
      <w:lvlText w:val="-"/>
      <w:lvlJc w:val="left"/>
      <w:pPr>
        <w:ind w:left="720" w:hanging="360"/>
      </w:pPr>
      <w:rPr>
        <w:rFonts w:ascii="Arial" w:eastAsia="Cambria"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D0C48CC"/>
    <w:multiLevelType w:val="hybridMultilevel"/>
    <w:tmpl w:val="21168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6DC3224"/>
    <w:multiLevelType w:val="hybridMultilevel"/>
    <w:tmpl w:val="AAE801D4"/>
    <w:lvl w:ilvl="0" w:tplc="5C2C9AA8">
      <w:numFmt w:val="bullet"/>
      <w:lvlText w:val="-"/>
      <w:lvlJc w:val="left"/>
      <w:pPr>
        <w:ind w:left="720" w:hanging="360"/>
      </w:pPr>
      <w:rPr>
        <w:rFonts w:ascii="Arial" w:eastAsia="Cambr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9D609F8"/>
    <w:multiLevelType w:val="hybridMultilevel"/>
    <w:tmpl w:val="3F2E2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B4F60CB"/>
    <w:multiLevelType w:val="hybridMultilevel"/>
    <w:tmpl w:val="302C8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3"/>
  </w:num>
  <w:num w:numId="6">
    <w:abstractNumId w:val="7"/>
  </w:num>
  <w:num w:numId="7">
    <w:abstractNumId w:val="1"/>
  </w:num>
  <w:num w:numId="8">
    <w:abstractNumId w:val="8"/>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32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DA5"/>
    <w:rsid w:val="00000839"/>
    <w:rsid w:val="0000090F"/>
    <w:rsid w:val="00001027"/>
    <w:rsid w:val="00006D12"/>
    <w:rsid w:val="00007CD0"/>
    <w:rsid w:val="00010614"/>
    <w:rsid w:val="000106FE"/>
    <w:rsid w:val="00010B84"/>
    <w:rsid w:val="00012353"/>
    <w:rsid w:val="00012797"/>
    <w:rsid w:val="0001410D"/>
    <w:rsid w:val="00015F39"/>
    <w:rsid w:val="00017C3B"/>
    <w:rsid w:val="000204F8"/>
    <w:rsid w:val="000214FD"/>
    <w:rsid w:val="00023BBC"/>
    <w:rsid w:val="00024FA8"/>
    <w:rsid w:val="00025F1A"/>
    <w:rsid w:val="000260E9"/>
    <w:rsid w:val="000273C8"/>
    <w:rsid w:val="00030BA1"/>
    <w:rsid w:val="00031248"/>
    <w:rsid w:val="00032AD4"/>
    <w:rsid w:val="00032DCA"/>
    <w:rsid w:val="00032FEE"/>
    <w:rsid w:val="00034A5F"/>
    <w:rsid w:val="00035C6F"/>
    <w:rsid w:val="000415D6"/>
    <w:rsid w:val="0004398A"/>
    <w:rsid w:val="00043B35"/>
    <w:rsid w:val="00044C00"/>
    <w:rsid w:val="00047673"/>
    <w:rsid w:val="0005510D"/>
    <w:rsid w:val="0005734D"/>
    <w:rsid w:val="000577CA"/>
    <w:rsid w:val="00060449"/>
    <w:rsid w:val="00062A3E"/>
    <w:rsid w:val="0006478D"/>
    <w:rsid w:val="000647ED"/>
    <w:rsid w:val="00066726"/>
    <w:rsid w:val="000676FD"/>
    <w:rsid w:val="00070A71"/>
    <w:rsid w:val="00073178"/>
    <w:rsid w:val="00074A09"/>
    <w:rsid w:val="000758CC"/>
    <w:rsid w:val="00081190"/>
    <w:rsid w:val="00082B14"/>
    <w:rsid w:val="00083333"/>
    <w:rsid w:val="00084692"/>
    <w:rsid w:val="00086ADF"/>
    <w:rsid w:val="00092325"/>
    <w:rsid w:val="00094603"/>
    <w:rsid w:val="000978B2"/>
    <w:rsid w:val="000A3D37"/>
    <w:rsid w:val="000A5B0E"/>
    <w:rsid w:val="000A69F4"/>
    <w:rsid w:val="000A6B50"/>
    <w:rsid w:val="000B7A0F"/>
    <w:rsid w:val="000C0416"/>
    <w:rsid w:val="000C1230"/>
    <w:rsid w:val="000C3DC7"/>
    <w:rsid w:val="000C6611"/>
    <w:rsid w:val="000C68D3"/>
    <w:rsid w:val="000D1235"/>
    <w:rsid w:val="000D215C"/>
    <w:rsid w:val="000D306A"/>
    <w:rsid w:val="000D31B8"/>
    <w:rsid w:val="000D40A3"/>
    <w:rsid w:val="000D61C3"/>
    <w:rsid w:val="000D69BC"/>
    <w:rsid w:val="000D7D67"/>
    <w:rsid w:val="000E04C2"/>
    <w:rsid w:val="000E0FF1"/>
    <w:rsid w:val="000E1CB8"/>
    <w:rsid w:val="000E5790"/>
    <w:rsid w:val="000E7115"/>
    <w:rsid w:val="000E7CB6"/>
    <w:rsid w:val="000F11BE"/>
    <w:rsid w:val="000F128A"/>
    <w:rsid w:val="000F1577"/>
    <w:rsid w:val="000F3B5B"/>
    <w:rsid w:val="000F44CE"/>
    <w:rsid w:val="000F4BF0"/>
    <w:rsid w:val="000F5977"/>
    <w:rsid w:val="000F5A9E"/>
    <w:rsid w:val="000F5FC9"/>
    <w:rsid w:val="000F6B04"/>
    <w:rsid w:val="000F6FD5"/>
    <w:rsid w:val="000F777B"/>
    <w:rsid w:val="000F7EA4"/>
    <w:rsid w:val="001021C4"/>
    <w:rsid w:val="001033FF"/>
    <w:rsid w:val="00103C2D"/>
    <w:rsid w:val="00104C53"/>
    <w:rsid w:val="00105642"/>
    <w:rsid w:val="00107D7D"/>
    <w:rsid w:val="00112A18"/>
    <w:rsid w:val="0011537D"/>
    <w:rsid w:val="00115573"/>
    <w:rsid w:val="00115A1E"/>
    <w:rsid w:val="00117456"/>
    <w:rsid w:val="00120D48"/>
    <w:rsid w:val="001246F1"/>
    <w:rsid w:val="00124FA4"/>
    <w:rsid w:val="00125C12"/>
    <w:rsid w:val="00131C97"/>
    <w:rsid w:val="001347AD"/>
    <w:rsid w:val="00136B0E"/>
    <w:rsid w:val="00136E3F"/>
    <w:rsid w:val="001372CE"/>
    <w:rsid w:val="00137633"/>
    <w:rsid w:val="00140F57"/>
    <w:rsid w:val="00141F25"/>
    <w:rsid w:val="00142030"/>
    <w:rsid w:val="00143527"/>
    <w:rsid w:val="00146611"/>
    <w:rsid w:val="00147013"/>
    <w:rsid w:val="0014702D"/>
    <w:rsid w:val="00147515"/>
    <w:rsid w:val="00150CA1"/>
    <w:rsid w:val="001510CF"/>
    <w:rsid w:val="001554F5"/>
    <w:rsid w:val="001559F6"/>
    <w:rsid w:val="001567A3"/>
    <w:rsid w:val="00156BC2"/>
    <w:rsid w:val="0016095D"/>
    <w:rsid w:val="00164624"/>
    <w:rsid w:val="00165577"/>
    <w:rsid w:val="00167DA7"/>
    <w:rsid w:val="001721DA"/>
    <w:rsid w:val="00173362"/>
    <w:rsid w:val="001734D9"/>
    <w:rsid w:val="00176735"/>
    <w:rsid w:val="00183AA9"/>
    <w:rsid w:val="0018417F"/>
    <w:rsid w:val="00184794"/>
    <w:rsid w:val="00184897"/>
    <w:rsid w:val="001866E2"/>
    <w:rsid w:val="00187D9F"/>
    <w:rsid w:val="00190308"/>
    <w:rsid w:val="00191D33"/>
    <w:rsid w:val="001A3155"/>
    <w:rsid w:val="001A3D8F"/>
    <w:rsid w:val="001A579C"/>
    <w:rsid w:val="001A5AC4"/>
    <w:rsid w:val="001B0940"/>
    <w:rsid w:val="001B18AB"/>
    <w:rsid w:val="001B1E9D"/>
    <w:rsid w:val="001B22C2"/>
    <w:rsid w:val="001B2681"/>
    <w:rsid w:val="001B3690"/>
    <w:rsid w:val="001B5EA5"/>
    <w:rsid w:val="001C14CE"/>
    <w:rsid w:val="001C3418"/>
    <w:rsid w:val="001C3B85"/>
    <w:rsid w:val="001C4CE4"/>
    <w:rsid w:val="001C61FD"/>
    <w:rsid w:val="001C66A3"/>
    <w:rsid w:val="001D06DC"/>
    <w:rsid w:val="001D0B11"/>
    <w:rsid w:val="001D2286"/>
    <w:rsid w:val="001D2987"/>
    <w:rsid w:val="001D5C48"/>
    <w:rsid w:val="001E11BF"/>
    <w:rsid w:val="001E2D01"/>
    <w:rsid w:val="001E3504"/>
    <w:rsid w:val="001E55B4"/>
    <w:rsid w:val="001E7A6F"/>
    <w:rsid w:val="001F0391"/>
    <w:rsid w:val="001F373B"/>
    <w:rsid w:val="001F540D"/>
    <w:rsid w:val="001F5CD3"/>
    <w:rsid w:val="001F779C"/>
    <w:rsid w:val="001F7EDD"/>
    <w:rsid w:val="0020051B"/>
    <w:rsid w:val="00202D7C"/>
    <w:rsid w:val="00203374"/>
    <w:rsid w:val="00204AF1"/>
    <w:rsid w:val="00204E5C"/>
    <w:rsid w:val="002062AA"/>
    <w:rsid w:val="00206F7D"/>
    <w:rsid w:val="00207BE7"/>
    <w:rsid w:val="00207FC7"/>
    <w:rsid w:val="00210A00"/>
    <w:rsid w:val="00210B79"/>
    <w:rsid w:val="002119CB"/>
    <w:rsid w:val="00213724"/>
    <w:rsid w:val="00213794"/>
    <w:rsid w:val="00213D00"/>
    <w:rsid w:val="002151FB"/>
    <w:rsid w:val="002159DC"/>
    <w:rsid w:val="00220814"/>
    <w:rsid w:val="002223A5"/>
    <w:rsid w:val="002258F4"/>
    <w:rsid w:val="00226BEA"/>
    <w:rsid w:val="00226F1B"/>
    <w:rsid w:val="00227F3C"/>
    <w:rsid w:val="00230AA7"/>
    <w:rsid w:val="0023152A"/>
    <w:rsid w:val="0023178A"/>
    <w:rsid w:val="0023243A"/>
    <w:rsid w:val="002327A1"/>
    <w:rsid w:val="00234A2F"/>
    <w:rsid w:val="00235306"/>
    <w:rsid w:val="002371AC"/>
    <w:rsid w:val="00237BFA"/>
    <w:rsid w:val="0024022F"/>
    <w:rsid w:val="002402FC"/>
    <w:rsid w:val="0024071E"/>
    <w:rsid w:val="00241153"/>
    <w:rsid w:val="002423C9"/>
    <w:rsid w:val="002428B1"/>
    <w:rsid w:val="00244CC4"/>
    <w:rsid w:val="002463AD"/>
    <w:rsid w:val="00247E4F"/>
    <w:rsid w:val="00251242"/>
    <w:rsid w:val="00251F8A"/>
    <w:rsid w:val="002529CC"/>
    <w:rsid w:val="00252D30"/>
    <w:rsid w:val="00252FC4"/>
    <w:rsid w:val="002532D8"/>
    <w:rsid w:val="00253794"/>
    <w:rsid w:val="00253797"/>
    <w:rsid w:val="002546C6"/>
    <w:rsid w:val="002554D7"/>
    <w:rsid w:val="00256320"/>
    <w:rsid w:val="00256FDB"/>
    <w:rsid w:val="00260E95"/>
    <w:rsid w:val="00261AB3"/>
    <w:rsid w:val="00266430"/>
    <w:rsid w:val="0026751E"/>
    <w:rsid w:val="00267FCE"/>
    <w:rsid w:val="00270D24"/>
    <w:rsid w:val="00270FD3"/>
    <w:rsid w:val="00273B76"/>
    <w:rsid w:val="00274BBD"/>
    <w:rsid w:val="0027558D"/>
    <w:rsid w:val="002779C6"/>
    <w:rsid w:val="00280D70"/>
    <w:rsid w:val="00284F9B"/>
    <w:rsid w:val="0028732E"/>
    <w:rsid w:val="00287B26"/>
    <w:rsid w:val="00291742"/>
    <w:rsid w:val="00292185"/>
    <w:rsid w:val="002936D0"/>
    <w:rsid w:val="002954AB"/>
    <w:rsid w:val="00295F6C"/>
    <w:rsid w:val="002A00B0"/>
    <w:rsid w:val="002A0C54"/>
    <w:rsid w:val="002A1893"/>
    <w:rsid w:val="002A3693"/>
    <w:rsid w:val="002A4277"/>
    <w:rsid w:val="002A4FF3"/>
    <w:rsid w:val="002B0F4A"/>
    <w:rsid w:val="002B3A14"/>
    <w:rsid w:val="002B7D82"/>
    <w:rsid w:val="002C0BF2"/>
    <w:rsid w:val="002C0F4F"/>
    <w:rsid w:val="002C2899"/>
    <w:rsid w:val="002C37F3"/>
    <w:rsid w:val="002C432F"/>
    <w:rsid w:val="002C4D54"/>
    <w:rsid w:val="002C5BCC"/>
    <w:rsid w:val="002D0A15"/>
    <w:rsid w:val="002D0F0A"/>
    <w:rsid w:val="002D4429"/>
    <w:rsid w:val="002D4566"/>
    <w:rsid w:val="002D4816"/>
    <w:rsid w:val="002D4B4F"/>
    <w:rsid w:val="002D5042"/>
    <w:rsid w:val="002E0ECF"/>
    <w:rsid w:val="002E298F"/>
    <w:rsid w:val="002E4181"/>
    <w:rsid w:val="002E4284"/>
    <w:rsid w:val="002E6C38"/>
    <w:rsid w:val="002F0014"/>
    <w:rsid w:val="002F0594"/>
    <w:rsid w:val="002F10AB"/>
    <w:rsid w:val="002F10E3"/>
    <w:rsid w:val="002F16DD"/>
    <w:rsid w:val="002F450D"/>
    <w:rsid w:val="002F50CF"/>
    <w:rsid w:val="002F5BDC"/>
    <w:rsid w:val="002F620B"/>
    <w:rsid w:val="002F63D8"/>
    <w:rsid w:val="003012FF"/>
    <w:rsid w:val="00302CAC"/>
    <w:rsid w:val="0030350A"/>
    <w:rsid w:val="00303F41"/>
    <w:rsid w:val="00305B91"/>
    <w:rsid w:val="00306F58"/>
    <w:rsid w:val="00307408"/>
    <w:rsid w:val="00310435"/>
    <w:rsid w:val="00311507"/>
    <w:rsid w:val="0031228D"/>
    <w:rsid w:val="00314816"/>
    <w:rsid w:val="0031628B"/>
    <w:rsid w:val="003225FE"/>
    <w:rsid w:val="003238B3"/>
    <w:rsid w:val="00326180"/>
    <w:rsid w:val="003308FC"/>
    <w:rsid w:val="00330F48"/>
    <w:rsid w:val="00332FA9"/>
    <w:rsid w:val="00333840"/>
    <w:rsid w:val="00334460"/>
    <w:rsid w:val="003368E0"/>
    <w:rsid w:val="00345227"/>
    <w:rsid w:val="00347075"/>
    <w:rsid w:val="0035092E"/>
    <w:rsid w:val="00350D05"/>
    <w:rsid w:val="003515DC"/>
    <w:rsid w:val="00352DF4"/>
    <w:rsid w:val="00353BF3"/>
    <w:rsid w:val="00355282"/>
    <w:rsid w:val="00355687"/>
    <w:rsid w:val="00361690"/>
    <w:rsid w:val="00361BAC"/>
    <w:rsid w:val="00362030"/>
    <w:rsid w:val="00362702"/>
    <w:rsid w:val="00363701"/>
    <w:rsid w:val="00373625"/>
    <w:rsid w:val="00373647"/>
    <w:rsid w:val="00373657"/>
    <w:rsid w:val="00374525"/>
    <w:rsid w:val="003746FE"/>
    <w:rsid w:val="003755BC"/>
    <w:rsid w:val="00376649"/>
    <w:rsid w:val="003769C8"/>
    <w:rsid w:val="003802B7"/>
    <w:rsid w:val="00383163"/>
    <w:rsid w:val="00384041"/>
    <w:rsid w:val="00384C57"/>
    <w:rsid w:val="00385D1B"/>
    <w:rsid w:val="0039076E"/>
    <w:rsid w:val="00391CDC"/>
    <w:rsid w:val="00391CFA"/>
    <w:rsid w:val="00392D55"/>
    <w:rsid w:val="00393758"/>
    <w:rsid w:val="003966CE"/>
    <w:rsid w:val="003A1984"/>
    <w:rsid w:val="003A2091"/>
    <w:rsid w:val="003A3963"/>
    <w:rsid w:val="003A6F72"/>
    <w:rsid w:val="003B1CD1"/>
    <w:rsid w:val="003B35E7"/>
    <w:rsid w:val="003B4573"/>
    <w:rsid w:val="003B5611"/>
    <w:rsid w:val="003B6FBE"/>
    <w:rsid w:val="003B7523"/>
    <w:rsid w:val="003C0871"/>
    <w:rsid w:val="003C0F00"/>
    <w:rsid w:val="003C3445"/>
    <w:rsid w:val="003C43EF"/>
    <w:rsid w:val="003C4F50"/>
    <w:rsid w:val="003C555E"/>
    <w:rsid w:val="003D1FA1"/>
    <w:rsid w:val="003D2374"/>
    <w:rsid w:val="003D2419"/>
    <w:rsid w:val="003D35C4"/>
    <w:rsid w:val="003D4F82"/>
    <w:rsid w:val="003D53F6"/>
    <w:rsid w:val="003E4BCB"/>
    <w:rsid w:val="003E60B6"/>
    <w:rsid w:val="003E7895"/>
    <w:rsid w:val="003F11B1"/>
    <w:rsid w:val="003F44F9"/>
    <w:rsid w:val="003F4924"/>
    <w:rsid w:val="003F6DBE"/>
    <w:rsid w:val="00410CCC"/>
    <w:rsid w:val="00410D6A"/>
    <w:rsid w:val="004118C7"/>
    <w:rsid w:val="00412890"/>
    <w:rsid w:val="00414B1D"/>
    <w:rsid w:val="0041518B"/>
    <w:rsid w:val="00415844"/>
    <w:rsid w:val="00420A89"/>
    <w:rsid w:val="0042232E"/>
    <w:rsid w:val="00422CD5"/>
    <w:rsid w:val="00424017"/>
    <w:rsid w:val="00424A7F"/>
    <w:rsid w:val="0042693D"/>
    <w:rsid w:val="004315C7"/>
    <w:rsid w:val="0043584E"/>
    <w:rsid w:val="00440A86"/>
    <w:rsid w:val="00440CCD"/>
    <w:rsid w:val="004419D4"/>
    <w:rsid w:val="0044389C"/>
    <w:rsid w:val="00444821"/>
    <w:rsid w:val="00444B7C"/>
    <w:rsid w:val="004500A6"/>
    <w:rsid w:val="00450393"/>
    <w:rsid w:val="00450D6C"/>
    <w:rsid w:val="00452BA1"/>
    <w:rsid w:val="00453199"/>
    <w:rsid w:val="00455DB9"/>
    <w:rsid w:val="00456977"/>
    <w:rsid w:val="004608D2"/>
    <w:rsid w:val="004609FB"/>
    <w:rsid w:val="0047160F"/>
    <w:rsid w:val="004720F2"/>
    <w:rsid w:val="00473DA6"/>
    <w:rsid w:val="00475089"/>
    <w:rsid w:val="004753BA"/>
    <w:rsid w:val="004761F9"/>
    <w:rsid w:val="0048099B"/>
    <w:rsid w:val="0048568A"/>
    <w:rsid w:val="00485BEF"/>
    <w:rsid w:val="00486048"/>
    <w:rsid w:val="0049064F"/>
    <w:rsid w:val="00490AEB"/>
    <w:rsid w:val="00490F12"/>
    <w:rsid w:val="00491C37"/>
    <w:rsid w:val="004927BA"/>
    <w:rsid w:val="00492F8F"/>
    <w:rsid w:val="004947D6"/>
    <w:rsid w:val="00494B51"/>
    <w:rsid w:val="004A07C6"/>
    <w:rsid w:val="004A1988"/>
    <w:rsid w:val="004A1B5E"/>
    <w:rsid w:val="004A23DB"/>
    <w:rsid w:val="004A2AE5"/>
    <w:rsid w:val="004A31CF"/>
    <w:rsid w:val="004A3251"/>
    <w:rsid w:val="004A3805"/>
    <w:rsid w:val="004A443F"/>
    <w:rsid w:val="004A646B"/>
    <w:rsid w:val="004A71E5"/>
    <w:rsid w:val="004B1423"/>
    <w:rsid w:val="004B6A85"/>
    <w:rsid w:val="004B6D01"/>
    <w:rsid w:val="004B782B"/>
    <w:rsid w:val="004C24CB"/>
    <w:rsid w:val="004C6822"/>
    <w:rsid w:val="004C7D8B"/>
    <w:rsid w:val="004D10DF"/>
    <w:rsid w:val="004D23DB"/>
    <w:rsid w:val="004D2B21"/>
    <w:rsid w:val="004D2B4A"/>
    <w:rsid w:val="004D36DB"/>
    <w:rsid w:val="004D3C28"/>
    <w:rsid w:val="004D3F95"/>
    <w:rsid w:val="004D5577"/>
    <w:rsid w:val="004E1025"/>
    <w:rsid w:val="004E240B"/>
    <w:rsid w:val="004E6B72"/>
    <w:rsid w:val="004F0164"/>
    <w:rsid w:val="004F174E"/>
    <w:rsid w:val="004F1832"/>
    <w:rsid w:val="004F19FE"/>
    <w:rsid w:val="004F3793"/>
    <w:rsid w:val="004F3868"/>
    <w:rsid w:val="004F533E"/>
    <w:rsid w:val="004F5D59"/>
    <w:rsid w:val="004F7DDF"/>
    <w:rsid w:val="00500C60"/>
    <w:rsid w:val="00501276"/>
    <w:rsid w:val="00502206"/>
    <w:rsid w:val="00505EB9"/>
    <w:rsid w:val="005064EA"/>
    <w:rsid w:val="00515EBD"/>
    <w:rsid w:val="00517CEC"/>
    <w:rsid w:val="00521CD5"/>
    <w:rsid w:val="00523706"/>
    <w:rsid w:val="00523C65"/>
    <w:rsid w:val="00524D75"/>
    <w:rsid w:val="0052544A"/>
    <w:rsid w:val="005254A7"/>
    <w:rsid w:val="00526B59"/>
    <w:rsid w:val="00527ED9"/>
    <w:rsid w:val="00530519"/>
    <w:rsid w:val="00531DF9"/>
    <w:rsid w:val="005323CA"/>
    <w:rsid w:val="00532FBE"/>
    <w:rsid w:val="005342AB"/>
    <w:rsid w:val="00534452"/>
    <w:rsid w:val="00535B68"/>
    <w:rsid w:val="0053717E"/>
    <w:rsid w:val="00537B90"/>
    <w:rsid w:val="00537B93"/>
    <w:rsid w:val="0054055F"/>
    <w:rsid w:val="00541DE4"/>
    <w:rsid w:val="00542A25"/>
    <w:rsid w:val="005437AF"/>
    <w:rsid w:val="00544D64"/>
    <w:rsid w:val="00545147"/>
    <w:rsid w:val="00547D5E"/>
    <w:rsid w:val="005512EA"/>
    <w:rsid w:val="00554922"/>
    <w:rsid w:val="00556C8C"/>
    <w:rsid w:val="005600F9"/>
    <w:rsid w:val="0056139A"/>
    <w:rsid w:val="00562044"/>
    <w:rsid w:val="005625B0"/>
    <w:rsid w:val="00565C05"/>
    <w:rsid w:val="00567063"/>
    <w:rsid w:val="00570073"/>
    <w:rsid w:val="005713E0"/>
    <w:rsid w:val="00573572"/>
    <w:rsid w:val="00574355"/>
    <w:rsid w:val="00582BD7"/>
    <w:rsid w:val="00583B33"/>
    <w:rsid w:val="00584AF2"/>
    <w:rsid w:val="0058508A"/>
    <w:rsid w:val="005871F4"/>
    <w:rsid w:val="00587232"/>
    <w:rsid w:val="00590716"/>
    <w:rsid w:val="005910B7"/>
    <w:rsid w:val="00591E90"/>
    <w:rsid w:val="00592FD7"/>
    <w:rsid w:val="0059497C"/>
    <w:rsid w:val="00595E71"/>
    <w:rsid w:val="005962FF"/>
    <w:rsid w:val="00596718"/>
    <w:rsid w:val="005967EC"/>
    <w:rsid w:val="00596D9A"/>
    <w:rsid w:val="005A08B2"/>
    <w:rsid w:val="005A10F2"/>
    <w:rsid w:val="005A15E6"/>
    <w:rsid w:val="005A19F9"/>
    <w:rsid w:val="005A5EA0"/>
    <w:rsid w:val="005B66B0"/>
    <w:rsid w:val="005B7ACA"/>
    <w:rsid w:val="005B7B4F"/>
    <w:rsid w:val="005C0342"/>
    <w:rsid w:val="005C0487"/>
    <w:rsid w:val="005C0E0D"/>
    <w:rsid w:val="005C1466"/>
    <w:rsid w:val="005C2B86"/>
    <w:rsid w:val="005C2DC1"/>
    <w:rsid w:val="005C300A"/>
    <w:rsid w:val="005C6CC7"/>
    <w:rsid w:val="005C7669"/>
    <w:rsid w:val="005D102C"/>
    <w:rsid w:val="005D2818"/>
    <w:rsid w:val="005D4942"/>
    <w:rsid w:val="005D5B2D"/>
    <w:rsid w:val="005D5E1A"/>
    <w:rsid w:val="005D6470"/>
    <w:rsid w:val="005E0435"/>
    <w:rsid w:val="005E09E6"/>
    <w:rsid w:val="005E1220"/>
    <w:rsid w:val="005E4CA0"/>
    <w:rsid w:val="005E6A15"/>
    <w:rsid w:val="005E70FB"/>
    <w:rsid w:val="005E787F"/>
    <w:rsid w:val="005F1512"/>
    <w:rsid w:val="005F1E68"/>
    <w:rsid w:val="005F254E"/>
    <w:rsid w:val="005F2B85"/>
    <w:rsid w:val="005F620E"/>
    <w:rsid w:val="005F7B12"/>
    <w:rsid w:val="005F7F64"/>
    <w:rsid w:val="005F7F7F"/>
    <w:rsid w:val="00601BF8"/>
    <w:rsid w:val="00604D91"/>
    <w:rsid w:val="00604FEB"/>
    <w:rsid w:val="00606042"/>
    <w:rsid w:val="006062A1"/>
    <w:rsid w:val="00606A49"/>
    <w:rsid w:val="0060727D"/>
    <w:rsid w:val="00610700"/>
    <w:rsid w:val="00610C3E"/>
    <w:rsid w:val="00612A34"/>
    <w:rsid w:val="00613573"/>
    <w:rsid w:val="00613D6D"/>
    <w:rsid w:val="00614A99"/>
    <w:rsid w:val="006164B1"/>
    <w:rsid w:val="00620CCA"/>
    <w:rsid w:val="006264E9"/>
    <w:rsid w:val="00630DB5"/>
    <w:rsid w:val="00633CBD"/>
    <w:rsid w:val="00635160"/>
    <w:rsid w:val="00635616"/>
    <w:rsid w:val="00636083"/>
    <w:rsid w:val="00636A74"/>
    <w:rsid w:val="00642618"/>
    <w:rsid w:val="00642E2E"/>
    <w:rsid w:val="00644821"/>
    <w:rsid w:val="00644BDC"/>
    <w:rsid w:val="00644ED6"/>
    <w:rsid w:val="0064564C"/>
    <w:rsid w:val="00645A5C"/>
    <w:rsid w:val="00646A4A"/>
    <w:rsid w:val="00646FCE"/>
    <w:rsid w:val="00651EDA"/>
    <w:rsid w:val="0065484E"/>
    <w:rsid w:val="00655838"/>
    <w:rsid w:val="00657018"/>
    <w:rsid w:val="006570B3"/>
    <w:rsid w:val="00660DCA"/>
    <w:rsid w:val="00662CD9"/>
    <w:rsid w:val="00663059"/>
    <w:rsid w:val="00663817"/>
    <w:rsid w:val="0066422C"/>
    <w:rsid w:val="006664FE"/>
    <w:rsid w:val="006666BD"/>
    <w:rsid w:val="0067040A"/>
    <w:rsid w:val="00670856"/>
    <w:rsid w:val="0067087F"/>
    <w:rsid w:val="00670A58"/>
    <w:rsid w:val="00670AAE"/>
    <w:rsid w:val="00671739"/>
    <w:rsid w:val="00672C0C"/>
    <w:rsid w:val="00673263"/>
    <w:rsid w:val="00673AA7"/>
    <w:rsid w:val="00675B61"/>
    <w:rsid w:val="00677642"/>
    <w:rsid w:val="00680AFF"/>
    <w:rsid w:val="00680DFC"/>
    <w:rsid w:val="00681D32"/>
    <w:rsid w:val="00682442"/>
    <w:rsid w:val="006825D4"/>
    <w:rsid w:val="00682EF6"/>
    <w:rsid w:val="006832AA"/>
    <w:rsid w:val="00685B42"/>
    <w:rsid w:val="00685EE8"/>
    <w:rsid w:val="00686260"/>
    <w:rsid w:val="006920AA"/>
    <w:rsid w:val="00693222"/>
    <w:rsid w:val="00697B74"/>
    <w:rsid w:val="00697E2D"/>
    <w:rsid w:val="006A0D50"/>
    <w:rsid w:val="006A24C0"/>
    <w:rsid w:val="006A2EDA"/>
    <w:rsid w:val="006A38A4"/>
    <w:rsid w:val="006A3FD7"/>
    <w:rsid w:val="006A4729"/>
    <w:rsid w:val="006A71CE"/>
    <w:rsid w:val="006B03D1"/>
    <w:rsid w:val="006B4158"/>
    <w:rsid w:val="006B6ADA"/>
    <w:rsid w:val="006B7876"/>
    <w:rsid w:val="006C1E7E"/>
    <w:rsid w:val="006C2786"/>
    <w:rsid w:val="006C51C3"/>
    <w:rsid w:val="006C644B"/>
    <w:rsid w:val="006C668E"/>
    <w:rsid w:val="006D0F60"/>
    <w:rsid w:val="006D1DA3"/>
    <w:rsid w:val="006D1E19"/>
    <w:rsid w:val="006D4114"/>
    <w:rsid w:val="006E017D"/>
    <w:rsid w:val="006E1B3F"/>
    <w:rsid w:val="006E636C"/>
    <w:rsid w:val="006E65D5"/>
    <w:rsid w:val="006E6B30"/>
    <w:rsid w:val="006F0EF7"/>
    <w:rsid w:val="006F3CE5"/>
    <w:rsid w:val="006F40AF"/>
    <w:rsid w:val="006F55D7"/>
    <w:rsid w:val="006F63E8"/>
    <w:rsid w:val="006F7C46"/>
    <w:rsid w:val="007018DA"/>
    <w:rsid w:val="00701CFC"/>
    <w:rsid w:val="007020ED"/>
    <w:rsid w:val="00710145"/>
    <w:rsid w:val="00710E02"/>
    <w:rsid w:val="00712DA5"/>
    <w:rsid w:val="00713703"/>
    <w:rsid w:val="007148E9"/>
    <w:rsid w:val="007149FC"/>
    <w:rsid w:val="007153A5"/>
    <w:rsid w:val="00720DA7"/>
    <w:rsid w:val="00722294"/>
    <w:rsid w:val="0072236F"/>
    <w:rsid w:val="007231A4"/>
    <w:rsid w:val="00724312"/>
    <w:rsid w:val="007257A1"/>
    <w:rsid w:val="007263E4"/>
    <w:rsid w:val="00727E4E"/>
    <w:rsid w:val="00730187"/>
    <w:rsid w:val="0073127B"/>
    <w:rsid w:val="007324AA"/>
    <w:rsid w:val="007363ED"/>
    <w:rsid w:val="00736C5F"/>
    <w:rsid w:val="00736CFF"/>
    <w:rsid w:val="00736FE7"/>
    <w:rsid w:val="00737D6F"/>
    <w:rsid w:val="00741739"/>
    <w:rsid w:val="00745C65"/>
    <w:rsid w:val="00745F27"/>
    <w:rsid w:val="00747DD2"/>
    <w:rsid w:val="007528BB"/>
    <w:rsid w:val="007540AC"/>
    <w:rsid w:val="0075663F"/>
    <w:rsid w:val="0076152B"/>
    <w:rsid w:val="00762284"/>
    <w:rsid w:val="0076242A"/>
    <w:rsid w:val="00763518"/>
    <w:rsid w:val="0076411A"/>
    <w:rsid w:val="007649BB"/>
    <w:rsid w:val="00764AAD"/>
    <w:rsid w:val="00766029"/>
    <w:rsid w:val="00767131"/>
    <w:rsid w:val="00772DD9"/>
    <w:rsid w:val="00773466"/>
    <w:rsid w:val="00773DDA"/>
    <w:rsid w:val="00775DE6"/>
    <w:rsid w:val="0077794B"/>
    <w:rsid w:val="00781D7B"/>
    <w:rsid w:val="00782764"/>
    <w:rsid w:val="00782A15"/>
    <w:rsid w:val="00782A64"/>
    <w:rsid w:val="007840FD"/>
    <w:rsid w:val="00784297"/>
    <w:rsid w:val="0078441B"/>
    <w:rsid w:val="00785CBB"/>
    <w:rsid w:val="0078676E"/>
    <w:rsid w:val="00791674"/>
    <w:rsid w:val="007936CF"/>
    <w:rsid w:val="00795589"/>
    <w:rsid w:val="007971AD"/>
    <w:rsid w:val="007978A9"/>
    <w:rsid w:val="007A0E30"/>
    <w:rsid w:val="007A0EF7"/>
    <w:rsid w:val="007A432E"/>
    <w:rsid w:val="007A63E2"/>
    <w:rsid w:val="007A70B9"/>
    <w:rsid w:val="007B01D6"/>
    <w:rsid w:val="007B0E13"/>
    <w:rsid w:val="007B1652"/>
    <w:rsid w:val="007B22F2"/>
    <w:rsid w:val="007B3F07"/>
    <w:rsid w:val="007B58B5"/>
    <w:rsid w:val="007B6996"/>
    <w:rsid w:val="007B6A10"/>
    <w:rsid w:val="007C0D23"/>
    <w:rsid w:val="007C1518"/>
    <w:rsid w:val="007C22D8"/>
    <w:rsid w:val="007C25AA"/>
    <w:rsid w:val="007C2C30"/>
    <w:rsid w:val="007C3AAA"/>
    <w:rsid w:val="007C461E"/>
    <w:rsid w:val="007C58F0"/>
    <w:rsid w:val="007C6CD8"/>
    <w:rsid w:val="007C6E89"/>
    <w:rsid w:val="007C70AC"/>
    <w:rsid w:val="007D0652"/>
    <w:rsid w:val="007D074A"/>
    <w:rsid w:val="007D1E52"/>
    <w:rsid w:val="007D292E"/>
    <w:rsid w:val="007D48BE"/>
    <w:rsid w:val="007D4C17"/>
    <w:rsid w:val="007D731B"/>
    <w:rsid w:val="007D73EA"/>
    <w:rsid w:val="007E014B"/>
    <w:rsid w:val="007E0B20"/>
    <w:rsid w:val="007E1803"/>
    <w:rsid w:val="007E2C55"/>
    <w:rsid w:val="007E4D65"/>
    <w:rsid w:val="007F03EE"/>
    <w:rsid w:val="007F05B3"/>
    <w:rsid w:val="007F0A1E"/>
    <w:rsid w:val="007F581B"/>
    <w:rsid w:val="007F5FA4"/>
    <w:rsid w:val="007F7929"/>
    <w:rsid w:val="0080059A"/>
    <w:rsid w:val="00800D70"/>
    <w:rsid w:val="00804DF6"/>
    <w:rsid w:val="00805092"/>
    <w:rsid w:val="0080625F"/>
    <w:rsid w:val="00806856"/>
    <w:rsid w:val="0080711A"/>
    <w:rsid w:val="00812E54"/>
    <w:rsid w:val="00816FDC"/>
    <w:rsid w:val="00822DD0"/>
    <w:rsid w:val="0082335D"/>
    <w:rsid w:val="00823D64"/>
    <w:rsid w:val="00826663"/>
    <w:rsid w:val="00830A98"/>
    <w:rsid w:val="00830B52"/>
    <w:rsid w:val="00830F4D"/>
    <w:rsid w:val="008312E1"/>
    <w:rsid w:val="0083196D"/>
    <w:rsid w:val="00833613"/>
    <w:rsid w:val="00836F05"/>
    <w:rsid w:val="00837220"/>
    <w:rsid w:val="00841E21"/>
    <w:rsid w:val="008429BF"/>
    <w:rsid w:val="00845927"/>
    <w:rsid w:val="00847743"/>
    <w:rsid w:val="00851CE0"/>
    <w:rsid w:val="008523C3"/>
    <w:rsid w:val="008530D7"/>
    <w:rsid w:val="00853D7C"/>
    <w:rsid w:val="00854393"/>
    <w:rsid w:val="008547B3"/>
    <w:rsid w:val="00855AF4"/>
    <w:rsid w:val="008560FA"/>
    <w:rsid w:val="0085651E"/>
    <w:rsid w:val="00857275"/>
    <w:rsid w:val="008609AA"/>
    <w:rsid w:val="00861DB2"/>
    <w:rsid w:val="00862FF1"/>
    <w:rsid w:val="00865BB6"/>
    <w:rsid w:val="008700CB"/>
    <w:rsid w:val="00871EE4"/>
    <w:rsid w:val="0087443A"/>
    <w:rsid w:val="00874BC9"/>
    <w:rsid w:val="00875BE5"/>
    <w:rsid w:val="00876122"/>
    <w:rsid w:val="00876479"/>
    <w:rsid w:val="0087661E"/>
    <w:rsid w:val="00876A41"/>
    <w:rsid w:val="00876A99"/>
    <w:rsid w:val="00876B37"/>
    <w:rsid w:val="00877D86"/>
    <w:rsid w:val="00882354"/>
    <w:rsid w:val="00885E64"/>
    <w:rsid w:val="00887117"/>
    <w:rsid w:val="008873F8"/>
    <w:rsid w:val="008879C9"/>
    <w:rsid w:val="00887C06"/>
    <w:rsid w:val="00890CEB"/>
    <w:rsid w:val="00891073"/>
    <w:rsid w:val="00892844"/>
    <w:rsid w:val="0089461F"/>
    <w:rsid w:val="00895FBA"/>
    <w:rsid w:val="008A23A0"/>
    <w:rsid w:val="008A41D6"/>
    <w:rsid w:val="008A441A"/>
    <w:rsid w:val="008A658A"/>
    <w:rsid w:val="008B1337"/>
    <w:rsid w:val="008B28E7"/>
    <w:rsid w:val="008B2F50"/>
    <w:rsid w:val="008B357C"/>
    <w:rsid w:val="008B5751"/>
    <w:rsid w:val="008B5BA5"/>
    <w:rsid w:val="008B7407"/>
    <w:rsid w:val="008C0E15"/>
    <w:rsid w:val="008C57F2"/>
    <w:rsid w:val="008D1363"/>
    <w:rsid w:val="008D2F0F"/>
    <w:rsid w:val="008D3190"/>
    <w:rsid w:val="008D32A4"/>
    <w:rsid w:val="008D4822"/>
    <w:rsid w:val="008D78FB"/>
    <w:rsid w:val="008E1102"/>
    <w:rsid w:val="008E1394"/>
    <w:rsid w:val="008E3AA6"/>
    <w:rsid w:val="008E484F"/>
    <w:rsid w:val="008E4E2D"/>
    <w:rsid w:val="008E5AC1"/>
    <w:rsid w:val="008F4E64"/>
    <w:rsid w:val="008F510C"/>
    <w:rsid w:val="008F5147"/>
    <w:rsid w:val="008F53BD"/>
    <w:rsid w:val="008F595F"/>
    <w:rsid w:val="008F67C6"/>
    <w:rsid w:val="008F7B9B"/>
    <w:rsid w:val="00900D01"/>
    <w:rsid w:val="009012C2"/>
    <w:rsid w:val="00901C47"/>
    <w:rsid w:val="0090448A"/>
    <w:rsid w:val="00905C71"/>
    <w:rsid w:val="009062E2"/>
    <w:rsid w:val="00907CD2"/>
    <w:rsid w:val="00912AD1"/>
    <w:rsid w:val="00913267"/>
    <w:rsid w:val="009137CE"/>
    <w:rsid w:val="0091654A"/>
    <w:rsid w:val="009201CB"/>
    <w:rsid w:val="0092090B"/>
    <w:rsid w:val="00920B70"/>
    <w:rsid w:val="00921C30"/>
    <w:rsid w:val="00925887"/>
    <w:rsid w:val="009261C0"/>
    <w:rsid w:val="00927A5F"/>
    <w:rsid w:val="009302D7"/>
    <w:rsid w:val="009316B2"/>
    <w:rsid w:val="00931EB5"/>
    <w:rsid w:val="00935ED2"/>
    <w:rsid w:val="00936161"/>
    <w:rsid w:val="009372D8"/>
    <w:rsid w:val="00937398"/>
    <w:rsid w:val="00937730"/>
    <w:rsid w:val="0094004C"/>
    <w:rsid w:val="00940B81"/>
    <w:rsid w:val="009414F4"/>
    <w:rsid w:val="00942D00"/>
    <w:rsid w:val="00944287"/>
    <w:rsid w:val="00944FD9"/>
    <w:rsid w:val="00947E86"/>
    <w:rsid w:val="009549FD"/>
    <w:rsid w:val="009552E5"/>
    <w:rsid w:val="0095607E"/>
    <w:rsid w:val="00956603"/>
    <w:rsid w:val="00957938"/>
    <w:rsid w:val="009605BA"/>
    <w:rsid w:val="0096232E"/>
    <w:rsid w:val="0096259A"/>
    <w:rsid w:val="00962E8F"/>
    <w:rsid w:val="00963C9C"/>
    <w:rsid w:val="00964FB8"/>
    <w:rsid w:val="00967212"/>
    <w:rsid w:val="009679CD"/>
    <w:rsid w:val="0097037D"/>
    <w:rsid w:val="0097213E"/>
    <w:rsid w:val="0097270D"/>
    <w:rsid w:val="00972F53"/>
    <w:rsid w:val="00973A78"/>
    <w:rsid w:val="00973E5B"/>
    <w:rsid w:val="0097593D"/>
    <w:rsid w:val="00977D81"/>
    <w:rsid w:val="00980DBF"/>
    <w:rsid w:val="009827BB"/>
    <w:rsid w:val="00983C33"/>
    <w:rsid w:val="0098545D"/>
    <w:rsid w:val="00985483"/>
    <w:rsid w:val="0098552F"/>
    <w:rsid w:val="00985911"/>
    <w:rsid w:val="00986A26"/>
    <w:rsid w:val="00990340"/>
    <w:rsid w:val="00990560"/>
    <w:rsid w:val="00990D16"/>
    <w:rsid w:val="009918E3"/>
    <w:rsid w:val="00991D78"/>
    <w:rsid w:val="00992525"/>
    <w:rsid w:val="00993FED"/>
    <w:rsid w:val="00994219"/>
    <w:rsid w:val="0099431F"/>
    <w:rsid w:val="00996495"/>
    <w:rsid w:val="009A36D4"/>
    <w:rsid w:val="009A512A"/>
    <w:rsid w:val="009A5DD6"/>
    <w:rsid w:val="009A6EB1"/>
    <w:rsid w:val="009B1E2C"/>
    <w:rsid w:val="009B3BA4"/>
    <w:rsid w:val="009B6CA1"/>
    <w:rsid w:val="009C07BD"/>
    <w:rsid w:val="009C0FED"/>
    <w:rsid w:val="009C22D2"/>
    <w:rsid w:val="009C34D3"/>
    <w:rsid w:val="009C49F6"/>
    <w:rsid w:val="009C50A8"/>
    <w:rsid w:val="009C6BAD"/>
    <w:rsid w:val="009D05B0"/>
    <w:rsid w:val="009D23A6"/>
    <w:rsid w:val="009D27F1"/>
    <w:rsid w:val="009D2AB7"/>
    <w:rsid w:val="009D726A"/>
    <w:rsid w:val="009D72FD"/>
    <w:rsid w:val="009D7E45"/>
    <w:rsid w:val="009E04FA"/>
    <w:rsid w:val="009E10FE"/>
    <w:rsid w:val="009E2D06"/>
    <w:rsid w:val="009E301D"/>
    <w:rsid w:val="009E7589"/>
    <w:rsid w:val="009E773C"/>
    <w:rsid w:val="009F018A"/>
    <w:rsid w:val="009F0477"/>
    <w:rsid w:val="009F11AD"/>
    <w:rsid w:val="009F48F5"/>
    <w:rsid w:val="009F7261"/>
    <w:rsid w:val="00A04520"/>
    <w:rsid w:val="00A052CD"/>
    <w:rsid w:val="00A05ECE"/>
    <w:rsid w:val="00A0619D"/>
    <w:rsid w:val="00A10C76"/>
    <w:rsid w:val="00A15900"/>
    <w:rsid w:val="00A15BDB"/>
    <w:rsid w:val="00A163EC"/>
    <w:rsid w:val="00A17D68"/>
    <w:rsid w:val="00A22785"/>
    <w:rsid w:val="00A22989"/>
    <w:rsid w:val="00A23A4A"/>
    <w:rsid w:val="00A24055"/>
    <w:rsid w:val="00A246DD"/>
    <w:rsid w:val="00A276FE"/>
    <w:rsid w:val="00A30A24"/>
    <w:rsid w:val="00A30B32"/>
    <w:rsid w:val="00A30C78"/>
    <w:rsid w:val="00A34041"/>
    <w:rsid w:val="00A42B3E"/>
    <w:rsid w:val="00A4389D"/>
    <w:rsid w:val="00A470E8"/>
    <w:rsid w:val="00A47776"/>
    <w:rsid w:val="00A47924"/>
    <w:rsid w:val="00A512B4"/>
    <w:rsid w:val="00A52295"/>
    <w:rsid w:val="00A53691"/>
    <w:rsid w:val="00A554BE"/>
    <w:rsid w:val="00A60979"/>
    <w:rsid w:val="00A6440C"/>
    <w:rsid w:val="00A64F61"/>
    <w:rsid w:val="00A67269"/>
    <w:rsid w:val="00A7028E"/>
    <w:rsid w:val="00A7198B"/>
    <w:rsid w:val="00A723FE"/>
    <w:rsid w:val="00A73AAD"/>
    <w:rsid w:val="00A74B36"/>
    <w:rsid w:val="00A75243"/>
    <w:rsid w:val="00A76B34"/>
    <w:rsid w:val="00A77890"/>
    <w:rsid w:val="00A818A6"/>
    <w:rsid w:val="00A868F2"/>
    <w:rsid w:val="00A87004"/>
    <w:rsid w:val="00A905D8"/>
    <w:rsid w:val="00A91D38"/>
    <w:rsid w:val="00A9259E"/>
    <w:rsid w:val="00A9352C"/>
    <w:rsid w:val="00A936BC"/>
    <w:rsid w:val="00A93AA8"/>
    <w:rsid w:val="00A96EC5"/>
    <w:rsid w:val="00A97FE5"/>
    <w:rsid w:val="00AA0B9C"/>
    <w:rsid w:val="00AA12D9"/>
    <w:rsid w:val="00AA38AA"/>
    <w:rsid w:val="00AA60E0"/>
    <w:rsid w:val="00AA67AF"/>
    <w:rsid w:val="00AA6E91"/>
    <w:rsid w:val="00AB3414"/>
    <w:rsid w:val="00AB41AC"/>
    <w:rsid w:val="00AB4CA2"/>
    <w:rsid w:val="00AB6EE6"/>
    <w:rsid w:val="00AC062C"/>
    <w:rsid w:val="00AC0DA7"/>
    <w:rsid w:val="00AC2A77"/>
    <w:rsid w:val="00AC33A2"/>
    <w:rsid w:val="00AC4F3E"/>
    <w:rsid w:val="00AC50EA"/>
    <w:rsid w:val="00AC6D55"/>
    <w:rsid w:val="00AC7675"/>
    <w:rsid w:val="00AC7867"/>
    <w:rsid w:val="00AD41F3"/>
    <w:rsid w:val="00AD4A84"/>
    <w:rsid w:val="00AD5851"/>
    <w:rsid w:val="00AE2852"/>
    <w:rsid w:val="00AE3ED0"/>
    <w:rsid w:val="00AE40E6"/>
    <w:rsid w:val="00AE4795"/>
    <w:rsid w:val="00AE5C00"/>
    <w:rsid w:val="00AE71BA"/>
    <w:rsid w:val="00AE7786"/>
    <w:rsid w:val="00AF0B08"/>
    <w:rsid w:val="00AF1E3F"/>
    <w:rsid w:val="00AF20B7"/>
    <w:rsid w:val="00AF303A"/>
    <w:rsid w:val="00AF3A31"/>
    <w:rsid w:val="00AF5264"/>
    <w:rsid w:val="00AF629A"/>
    <w:rsid w:val="00AF6F9C"/>
    <w:rsid w:val="00AF7B2E"/>
    <w:rsid w:val="00B01017"/>
    <w:rsid w:val="00B01BD4"/>
    <w:rsid w:val="00B02E1A"/>
    <w:rsid w:val="00B039B5"/>
    <w:rsid w:val="00B04765"/>
    <w:rsid w:val="00B067A9"/>
    <w:rsid w:val="00B07D43"/>
    <w:rsid w:val="00B1228B"/>
    <w:rsid w:val="00B12AC1"/>
    <w:rsid w:val="00B1408B"/>
    <w:rsid w:val="00B16240"/>
    <w:rsid w:val="00B16BDD"/>
    <w:rsid w:val="00B20E36"/>
    <w:rsid w:val="00B21DA8"/>
    <w:rsid w:val="00B24DBB"/>
    <w:rsid w:val="00B315ED"/>
    <w:rsid w:val="00B31C8C"/>
    <w:rsid w:val="00B321E4"/>
    <w:rsid w:val="00B3226E"/>
    <w:rsid w:val="00B358DA"/>
    <w:rsid w:val="00B35BA3"/>
    <w:rsid w:val="00B36522"/>
    <w:rsid w:val="00B36C24"/>
    <w:rsid w:val="00B37C74"/>
    <w:rsid w:val="00B40531"/>
    <w:rsid w:val="00B42001"/>
    <w:rsid w:val="00B42DF6"/>
    <w:rsid w:val="00B449B5"/>
    <w:rsid w:val="00B45D70"/>
    <w:rsid w:val="00B464C4"/>
    <w:rsid w:val="00B5099C"/>
    <w:rsid w:val="00B516AE"/>
    <w:rsid w:val="00B542D5"/>
    <w:rsid w:val="00B56128"/>
    <w:rsid w:val="00B571DB"/>
    <w:rsid w:val="00B577C6"/>
    <w:rsid w:val="00B602EA"/>
    <w:rsid w:val="00B6068E"/>
    <w:rsid w:val="00B61CD8"/>
    <w:rsid w:val="00B62B74"/>
    <w:rsid w:val="00B631A7"/>
    <w:rsid w:val="00B64A5B"/>
    <w:rsid w:val="00B661D8"/>
    <w:rsid w:val="00B67972"/>
    <w:rsid w:val="00B71BAA"/>
    <w:rsid w:val="00B7271A"/>
    <w:rsid w:val="00B7412D"/>
    <w:rsid w:val="00B75FA9"/>
    <w:rsid w:val="00B77C35"/>
    <w:rsid w:val="00B8075F"/>
    <w:rsid w:val="00B81EE7"/>
    <w:rsid w:val="00B82101"/>
    <w:rsid w:val="00B86983"/>
    <w:rsid w:val="00B87145"/>
    <w:rsid w:val="00B87365"/>
    <w:rsid w:val="00B873F6"/>
    <w:rsid w:val="00B87CB6"/>
    <w:rsid w:val="00B91834"/>
    <w:rsid w:val="00B9494B"/>
    <w:rsid w:val="00B95BCE"/>
    <w:rsid w:val="00B9627A"/>
    <w:rsid w:val="00BA25AB"/>
    <w:rsid w:val="00BA348C"/>
    <w:rsid w:val="00BA3833"/>
    <w:rsid w:val="00BA3E92"/>
    <w:rsid w:val="00BA5324"/>
    <w:rsid w:val="00BA7308"/>
    <w:rsid w:val="00BB05E5"/>
    <w:rsid w:val="00BB09E3"/>
    <w:rsid w:val="00BB0B19"/>
    <w:rsid w:val="00BB1305"/>
    <w:rsid w:val="00BB27F4"/>
    <w:rsid w:val="00BB56B9"/>
    <w:rsid w:val="00BB5C5C"/>
    <w:rsid w:val="00BB7AB2"/>
    <w:rsid w:val="00BC0061"/>
    <w:rsid w:val="00BD00D9"/>
    <w:rsid w:val="00BD0A98"/>
    <w:rsid w:val="00BD18E2"/>
    <w:rsid w:val="00BD7729"/>
    <w:rsid w:val="00BE273C"/>
    <w:rsid w:val="00BE3486"/>
    <w:rsid w:val="00BE455D"/>
    <w:rsid w:val="00BE4E43"/>
    <w:rsid w:val="00BE4F4F"/>
    <w:rsid w:val="00BE6756"/>
    <w:rsid w:val="00BF627B"/>
    <w:rsid w:val="00C0099F"/>
    <w:rsid w:val="00C014B8"/>
    <w:rsid w:val="00C02E78"/>
    <w:rsid w:val="00C03963"/>
    <w:rsid w:val="00C064AE"/>
    <w:rsid w:val="00C107AB"/>
    <w:rsid w:val="00C149A2"/>
    <w:rsid w:val="00C14D48"/>
    <w:rsid w:val="00C21565"/>
    <w:rsid w:val="00C22D49"/>
    <w:rsid w:val="00C23CA1"/>
    <w:rsid w:val="00C24451"/>
    <w:rsid w:val="00C25B4C"/>
    <w:rsid w:val="00C2674E"/>
    <w:rsid w:val="00C26E71"/>
    <w:rsid w:val="00C27765"/>
    <w:rsid w:val="00C30C35"/>
    <w:rsid w:val="00C310D9"/>
    <w:rsid w:val="00C312C5"/>
    <w:rsid w:val="00C33F71"/>
    <w:rsid w:val="00C3435C"/>
    <w:rsid w:val="00C40B1A"/>
    <w:rsid w:val="00C40E60"/>
    <w:rsid w:val="00C41529"/>
    <w:rsid w:val="00C4210A"/>
    <w:rsid w:val="00C44C8B"/>
    <w:rsid w:val="00C46479"/>
    <w:rsid w:val="00C46645"/>
    <w:rsid w:val="00C47213"/>
    <w:rsid w:val="00C47952"/>
    <w:rsid w:val="00C47DB9"/>
    <w:rsid w:val="00C50C6A"/>
    <w:rsid w:val="00C51E2B"/>
    <w:rsid w:val="00C51F27"/>
    <w:rsid w:val="00C52CA1"/>
    <w:rsid w:val="00C53B5E"/>
    <w:rsid w:val="00C555C0"/>
    <w:rsid w:val="00C56D66"/>
    <w:rsid w:val="00C61C21"/>
    <w:rsid w:val="00C61F56"/>
    <w:rsid w:val="00C6288C"/>
    <w:rsid w:val="00C6394D"/>
    <w:rsid w:val="00C6464D"/>
    <w:rsid w:val="00C66FC6"/>
    <w:rsid w:val="00C7310B"/>
    <w:rsid w:val="00C744FF"/>
    <w:rsid w:val="00C77654"/>
    <w:rsid w:val="00C8085A"/>
    <w:rsid w:val="00C8151C"/>
    <w:rsid w:val="00C82791"/>
    <w:rsid w:val="00C82D2C"/>
    <w:rsid w:val="00C83A3C"/>
    <w:rsid w:val="00C86AD0"/>
    <w:rsid w:val="00C87005"/>
    <w:rsid w:val="00C879AB"/>
    <w:rsid w:val="00C96082"/>
    <w:rsid w:val="00C97680"/>
    <w:rsid w:val="00CA49CF"/>
    <w:rsid w:val="00CA5EEE"/>
    <w:rsid w:val="00CA7511"/>
    <w:rsid w:val="00CB035A"/>
    <w:rsid w:val="00CB2161"/>
    <w:rsid w:val="00CB252F"/>
    <w:rsid w:val="00CB347F"/>
    <w:rsid w:val="00CB3772"/>
    <w:rsid w:val="00CB39C4"/>
    <w:rsid w:val="00CB4CD3"/>
    <w:rsid w:val="00CB73FE"/>
    <w:rsid w:val="00CC29BD"/>
    <w:rsid w:val="00CC3A7F"/>
    <w:rsid w:val="00CC3D9A"/>
    <w:rsid w:val="00CC4F30"/>
    <w:rsid w:val="00CD100F"/>
    <w:rsid w:val="00CD322F"/>
    <w:rsid w:val="00CD5FFF"/>
    <w:rsid w:val="00CD6FEC"/>
    <w:rsid w:val="00CD781B"/>
    <w:rsid w:val="00CE0B2D"/>
    <w:rsid w:val="00CE1ABE"/>
    <w:rsid w:val="00CE1B02"/>
    <w:rsid w:val="00CE4CEC"/>
    <w:rsid w:val="00CE5008"/>
    <w:rsid w:val="00CE7036"/>
    <w:rsid w:val="00CF0058"/>
    <w:rsid w:val="00CF3D4F"/>
    <w:rsid w:val="00CF4B53"/>
    <w:rsid w:val="00CF7134"/>
    <w:rsid w:val="00CF76AE"/>
    <w:rsid w:val="00CF76DD"/>
    <w:rsid w:val="00D032B8"/>
    <w:rsid w:val="00D03F44"/>
    <w:rsid w:val="00D049F0"/>
    <w:rsid w:val="00D05671"/>
    <w:rsid w:val="00D05790"/>
    <w:rsid w:val="00D060E2"/>
    <w:rsid w:val="00D07B59"/>
    <w:rsid w:val="00D07F48"/>
    <w:rsid w:val="00D108D7"/>
    <w:rsid w:val="00D10B1E"/>
    <w:rsid w:val="00D10C7A"/>
    <w:rsid w:val="00D142DB"/>
    <w:rsid w:val="00D1783F"/>
    <w:rsid w:val="00D17947"/>
    <w:rsid w:val="00D2235E"/>
    <w:rsid w:val="00D248AA"/>
    <w:rsid w:val="00D27EAA"/>
    <w:rsid w:val="00D30657"/>
    <w:rsid w:val="00D30CA2"/>
    <w:rsid w:val="00D31018"/>
    <w:rsid w:val="00D3122E"/>
    <w:rsid w:val="00D35D5E"/>
    <w:rsid w:val="00D36A73"/>
    <w:rsid w:val="00D36EE9"/>
    <w:rsid w:val="00D372F6"/>
    <w:rsid w:val="00D376B2"/>
    <w:rsid w:val="00D402E3"/>
    <w:rsid w:val="00D404D1"/>
    <w:rsid w:val="00D41B63"/>
    <w:rsid w:val="00D423B7"/>
    <w:rsid w:val="00D50468"/>
    <w:rsid w:val="00D50E8E"/>
    <w:rsid w:val="00D5204D"/>
    <w:rsid w:val="00D54751"/>
    <w:rsid w:val="00D55D56"/>
    <w:rsid w:val="00D60575"/>
    <w:rsid w:val="00D6096F"/>
    <w:rsid w:val="00D6309B"/>
    <w:rsid w:val="00D643EB"/>
    <w:rsid w:val="00D65655"/>
    <w:rsid w:val="00D717C4"/>
    <w:rsid w:val="00D72EA1"/>
    <w:rsid w:val="00D73AF7"/>
    <w:rsid w:val="00D800D4"/>
    <w:rsid w:val="00D803F5"/>
    <w:rsid w:val="00D80501"/>
    <w:rsid w:val="00D81A51"/>
    <w:rsid w:val="00D84035"/>
    <w:rsid w:val="00D85669"/>
    <w:rsid w:val="00D86018"/>
    <w:rsid w:val="00D9149D"/>
    <w:rsid w:val="00D91FBB"/>
    <w:rsid w:val="00D92122"/>
    <w:rsid w:val="00D92FA9"/>
    <w:rsid w:val="00D97B5B"/>
    <w:rsid w:val="00D97E88"/>
    <w:rsid w:val="00DA1D2F"/>
    <w:rsid w:val="00DA2C3D"/>
    <w:rsid w:val="00DA3D20"/>
    <w:rsid w:val="00DA3DC1"/>
    <w:rsid w:val="00DA424B"/>
    <w:rsid w:val="00DA4CB7"/>
    <w:rsid w:val="00DA5C7D"/>
    <w:rsid w:val="00DA6138"/>
    <w:rsid w:val="00DA660D"/>
    <w:rsid w:val="00DB29CF"/>
    <w:rsid w:val="00DB4D05"/>
    <w:rsid w:val="00DB4D0C"/>
    <w:rsid w:val="00DB5D20"/>
    <w:rsid w:val="00DB5D50"/>
    <w:rsid w:val="00DB6061"/>
    <w:rsid w:val="00DB61F6"/>
    <w:rsid w:val="00DB631C"/>
    <w:rsid w:val="00DC0200"/>
    <w:rsid w:val="00DC0AD9"/>
    <w:rsid w:val="00DC0D4A"/>
    <w:rsid w:val="00DC2641"/>
    <w:rsid w:val="00DC3D79"/>
    <w:rsid w:val="00DC448D"/>
    <w:rsid w:val="00DC61F2"/>
    <w:rsid w:val="00DC7C7A"/>
    <w:rsid w:val="00DD149B"/>
    <w:rsid w:val="00DD15C6"/>
    <w:rsid w:val="00DD1907"/>
    <w:rsid w:val="00DD1DA4"/>
    <w:rsid w:val="00DD2FD0"/>
    <w:rsid w:val="00DD3EEA"/>
    <w:rsid w:val="00DE0335"/>
    <w:rsid w:val="00DE53C1"/>
    <w:rsid w:val="00DE5DFC"/>
    <w:rsid w:val="00DE6120"/>
    <w:rsid w:val="00DE6F69"/>
    <w:rsid w:val="00DF029A"/>
    <w:rsid w:val="00DF336B"/>
    <w:rsid w:val="00DF3893"/>
    <w:rsid w:val="00DF55F5"/>
    <w:rsid w:val="00DF688E"/>
    <w:rsid w:val="00E01708"/>
    <w:rsid w:val="00E03B81"/>
    <w:rsid w:val="00E04233"/>
    <w:rsid w:val="00E060F0"/>
    <w:rsid w:val="00E07AF5"/>
    <w:rsid w:val="00E12588"/>
    <w:rsid w:val="00E13AC4"/>
    <w:rsid w:val="00E15565"/>
    <w:rsid w:val="00E20878"/>
    <w:rsid w:val="00E20E45"/>
    <w:rsid w:val="00E22852"/>
    <w:rsid w:val="00E24C13"/>
    <w:rsid w:val="00E24EE6"/>
    <w:rsid w:val="00E24F82"/>
    <w:rsid w:val="00E25AAB"/>
    <w:rsid w:val="00E27632"/>
    <w:rsid w:val="00E3131E"/>
    <w:rsid w:val="00E33E8F"/>
    <w:rsid w:val="00E355C4"/>
    <w:rsid w:val="00E374E2"/>
    <w:rsid w:val="00E400EC"/>
    <w:rsid w:val="00E406D9"/>
    <w:rsid w:val="00E40AAD"/>
    <w:rsid w:val="00E419B4"/>
    <w:rsid w:val="00E43924"/>
    <w:rsid w:val="00E4484F"/>
    <w:rsid w:val="00E45105"/>
    <w:rsid w:val="00E45CC7"/>
    <w:rsid w:val="00E46712"/>
    <w:rsid w:val="00E467A9"/>
    <w:rsid w:val="00E50779"/>
    <w:rsid w:val="00E50AC9"/>
    <w:rsid w:val="00E51A86"/>
    <w:rsid w:val="00E523FF"/>
    <w:rsid w:val="00E52925"/>
    <w:rsid w:val="00E5397D"/>
    <w:rsid w:val="00E553E7"/>
    <w:rsid w:val="00E6136F"/>
    <w:rsid w:val="00E61706"/>
    <w:rsid w:val="00E61FED"/>
    <w:rsid w:val="00E64D30"/>
    <w:rsid w:val="00E6777F"/>
    <w:rsid w:val="00E70106"/>
    <w:rsid w:val="00E70B15"/>
    <w:rsid w:val="00E7393B"/>
    <w:rsid w:val="00E75179"/>
    <w:rsid w:val="00E77944"/>
    <w:rsid w:val="00E77EA0"/>
    <w:rsid w:val="00E80A27"/>
    <w:rsid w:val="00E80FCB"/>
    <w:rsid w:val="00E816BF"/>
    <w:rsid w:val="00E8218C"/>
    <w:rsid w:val="00E82255"/>
    <w:rsid w:val="00E9344B"/>
    <w:rsid w:val="00E9482F"/>
    <w:rsid w:val="00E953B2"/>
    <w:rsid w:val="00E95F3B"/>
    <w:rsid w:val="00E97070"/>
    <w:rsid w:val="00E97650"/>
    <w:rsid w:val="00EA0540"/>
    <w:rsid w:val="00EA1B61"/>
    <w:rsid w:val="00EA2895"/>
    <w:rsid w:val="00EA44FA"/>
    <w:rsid w:val="00EA5520"/>
    <w:rsid w:val="00EA57AF"/>
    <w:rsid w:val="00EA6EC1"/>
    <w:rsid w:val="00EB058E"/>
    <w:rsid w:val="00EB0D2C"/>
    <w:rsid w:val="00EB165C"/>
    <w:rsid w:val="00EB1973"/>
    <w:rsid w:val="00EB1F1E"/>
    <w:rsid w:val="00EB2278"/>
    <w:rsid w:val="00EB3300"/>
    <w:rsid w:val="00EB3344"/>
    <w:rsid w:val="00EB3B39"/>
    <w:rsid w:val="00EB6277"/>
    <w:rsid w:val="00EC1EB7"/>
    <w:rsid w:val="00EC43FD"/>
    <w:rsid w:val="00EC6992"/>
    <w:rsid w:val="00ED0845"/>
    <w:rsid w:val="00ED37F9"/>
    <w:rsid w:val="00ED6512"/>
    <w:rsid w:val="00ED66E8"/>
    <w:rsid w:val="00ED7EC5"/>
    <w:rsid w:val="00EE0FE5"/>
    <w:rsid w:val="00EE37A3"/>
    <w:rsid w:val="00EE37EC"/>
    <w:rsid w:val="00EE3A0A"/>
    <w:rsid w:val="00EE4DC8"/>
    <w:rsid w:val="00EE4FA1"/>
    <w:rsid w:val="00EF1F73"/>
    <w:rsid w:val="00EF58D3"/>
    <w:rsid w:val="00EF7A96"/>
    <w:rsid w:val="00F002D9"/>
    <w:rsid w:val="00F01193"/>
    <w:rsid w:val="00F01760"/>
    <w:rsid w:val="00F02023"/>
    <w:rsid w:val="00F03369"/>
    <w:rsid w:val="00F0493F"/>
    <w:rsid w:val="00F04E1B"/>
    <w:rsid w:val="00F0763F"/>
    <w:rsid w:val="00F13E2A"/>
    <w:rsid w:val="00F14CAC"/>
    <w:rsid w:val="00F167F8"/>
    <w:rsid w:val="00F16C0F"/>
    <w:rsid w:val="00F203D0"/>
    <w:rsid w:val="00F20C06"/>
    <w:rsid w:val="00F24D29"/>
    <w:rsid w:val="00F275DD"/>
    <w:rsid w:val="00F30D62"/>
    <w:rsid w:val="00F3178C"/>
    <w:rsid w:val="00F32CC3"/>
    <w:rsid w:val="00F3345B"/>
    <w:rsid w:val="00F338C5"/>
    <w:rsid w:val="00F34F2B"/>
    <w:rsid w:val="00F35D6D"/>
    <w:rsid w:val="00F36D68"/>
    <w:rsid w:val="00F37D7C"/>
    <w:rsid w:val="00F40418"/>
    <w:rsid w:val="00F454ED"/>
    <w:rsid w:val="00F45795"/>
    <w:rsid w:val="00F46DFF"/>
    <w:rsid w:val="00F47CB1"/>
    <w:rsid w:val="00F5001B"/>
    <w:rsid w:val="00F50E06"/>
    <w:rsid w:val="00F51FDD"/>
    <w:rsid w:val="00F52FE8"/>
    <w:rsid w:val="00F558A7"/>
    <w:rsid w:val="00F55C8E"/>
    <w:rsid w:val="00F57184"/>
    <w:rsid w:val="00F604F7"/>
    <w:rsid w:val="00F608D4"/>
    <w:rsid w:val="00F613B6"/>
    <w:rsid w:val="00F62AE0"/>
    <w:rsid w:val="00F641AE"/>
    <w:rsid w:val="00F65B8A"/>
    <w:rsid w:val="00F66C1A"/>
    <w:rsid w:val="00F67384"/>
    <w:rsid w:val="00F7020E"/>
    <w:rsid w:val="00F727D6"/>
    <w:rsid w:val="00F72A63"/>
    <w:rsid w:val="00F73078"/>
    <w:rsid w:val="00F73DD0"/>
    <w:rsid w:val="00F806B9"/>
    <w:rsid w:val="00F81315"/>
    <w:rsid w:val="00F8254C"/>
    <w:rsid w:val="00F87F17"/>
    <w:rsid w:val="00F90E61"/>
    <w:rsid w:val="00F91D25"/>
    <w:rsid w:val="00F920A0"/>
    <w:rsid w:val="00F93A3F"/>
    <w:rsid w:val="00F956AB"/>
    <w:rsid w:val="00F9626D"/>
    <w:rsid w:val="00F96B8C"/>
    <w:rsid w:val="00FA06CA"/>
    <w:rsid w:val="00FA1452"/>
    <w:rsid w:val="00FA3291"/>
    <w:rsid w:val="00FA4CE8"/>
    <w:rsid w:val="00FA53A6"/>
    <w:rsid w:val="00FA561F"/>
    <w:rsid w:val="00FB35B2"/>
    <w:rsid w:val="00FB3C16"/>
    <w:rsid w:val="00FB40F4"/>
    <w:rsid w:val="00FB4157"/>
    <w:rsid w:val="00FB5514"/>
    <w:rsid w:val="00FB632A"/>
    <w:rsid w:val="00FB632D"/>
    <w:rsid w:val="00FB699F"/>
    <w:rsid w:val="00FC0B0C"/>
    <w:rsid w:val="00FC1566"/>
    <w:rsid w:val="00FC172D"/>
    <w:rsid w:val="00FC2D7F"/>
    <w:rsid w:val="00FC64FF"/>
    <w:rsid w:val="00FD1AE7"/>
    <w:rsid w:val="00FD38AB"/>
    <w:rsid w:val="00FD60C5"/>
    <w:rsid w:val="00FD6A56"/>
    <w:rsid w:val="00FD720C"/>
    <w:rsid w:val="00FD7541"/>
    <w:rsid w:val="00FE0110"/>
    <w:rsid w:val="00FE017C"/>
    <w:rsid w:val="00FE1038"/>
    <w:rsid w:val="00FE47D7"/>
    <w:rsid w:val="00FE5145"/>
    <w:rsid w:val="00FE6658"/>
    <w:rsid w:val="00FE71E5"/>
    <w:rsid w:val="00FE7374"/>
    <w:rsid w:val="00FE750F"/>
    <w:rsid w:val="00FE768E"/>
    <w:rsid w:val="00FF21C8"/>
    <w:rsid w:val="00FF2DF7"/>
    <w:rsid w:val="00FF4178"/>
    <w:rsid w:val="00FF46EB"/>
    <w:rsid w:val="00FF73A9"/>
    <w:rsid w:val="00FF74ED"/>
    <w:rsid w:val="00FF7580"/>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oNotEmbedSmartTags/>
  <w:decimalSymbol w:val="."/>
  <w:listSeparator w:val=","/>
  <w14:docId w14:val="7D0904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footnote text" w:uiPriority="99"/>
    <w:lsdException w:name="annotation text" w:uiPriority="99"/>
    <w:lsdException w:name="footnote reference" w:uiPriority="99"/>
    <w:lsdException w:name="annotation reference" w:uiPriority="99"/>
    <w:lsdException w:name="Strong" w:uiPriority="22" w:qFormat="1"/>
    <w:lsdException w:name="Emphasis" w:qFormat="1"/>
    <w:lsdException w:name="Normal (Web)" w:uiPriority="99"/>
    <w:lsdException w:name="List Paragraph" w:uiPriority="99" w:qFormat="1"/>
    <w:lsdException w:name="Quote" w:uiPriority="29" w:qFormat="1"/>
    <w:lsdException w:name="TOC Heading" w:uiPriority="39" w:qFormat="1"/>
  </w:latentStyles>
  <w:style w:type="paragraph" w:default="1" w:styleId="Normal">
    <w:name w:val="Normal"/>
    <w:qFormat/>
    <w:rsid w:val="00F521C3"/>
    <w:rPr>
      <w:sz w:val="24"/>
      <w:szCs w:val="24"/>
    </w:rPr>
  </w:style>
  <w:style w:type="paragraph" w:styleId="Heading1">
    <w:name w:val="heading 1"/>
    <w:basedOn w:val="Normal"/>
    <w:next w:val="Normal"/>
    <w:link w:val="Heading1Char"/>
    <w:rsid w:val="00804D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rsid w:val="00EB058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EB05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104BB"/>
    <w:pPr>
      <w:tabs>
        <w:tab w:val="center" w:pos="4320"/>
        <w:tab w:val="right" w:pos="8640"/>
      </w:tabs>
    </w:pPr>
  </w:style>
  <w:style w:type="character" w:customStyle="1" w:styleId="HeaderChar">
    <w:name w:val="Header Char"/>
    <w:link w:val="Header"/>
    <w:rsid w:val="004104BB"/>
    <w:rPr>
      <w:sz w:val="24"/>
      <w:szCs w:val="24"/>
    </w:rPr>
  </w:style>
  <w:style w:type="paragraph" w:styleId="Footer">
    <w:name w:val="footer"/>
    <w:basedOn w:val="Normal"/>
    <w:link w:val="FooterChar"/>
    <w:uiPriority w:val="99"/>
    <w:unhideWhenUsed/>
    <w:rsid w:val="004104BB"/>
    <w:pPr>
      <w:tabs>
        <w:tab w:val="center" w:pos="4320"/>
        <w:tab w:val="right" w:pos="8640"/>
      </w:tabs>
    </w:pPr>
  </w:style>
  <w:style w:type="character" w:customStyle="1" w:styleId="FooterChar">
    <w:name w:val="Footer Char"/>
    <w:link w:val="Footer"/>
    <w:uiPriority w:val="99"/>
    <w:rsid w:val="004104BB"/>
    <w:rPr>
      <w:sz w:val="24"/>
      <w:szCs w:val="24"/>
    </w:rPr>
  </w:style>
  <w:style w:type="character" w:styleId="PageNumber">
    <w:name w:val="page number"/>
    <w:rsid w:val="000415D6"/>
  </w:style>
  <w:style w:type="paragraph" w:styleId="BalloonText">
    <w:name w:val="Balloon Text"/>
    <w:basedOn w:val="Normal"/>
    <w:link w:val="BalloonTextChar"/>
    <w:rsid w:val="00FB35B2"/>
    <w:rPr>
      <w:rFonts w:ascii="Lucida Grande" w:hAnsi="Lucida Grande"/>
      <w:sz w:val="18"/>
      <w:szCs w:val="18"/>
    </w:rPr>
  </w:style>
  <w:style w:type="character" w:customStyle="1" w:styleId="BalloonTextChar">
    <w:name w:val="Balloon Text Char"/>
    <w:basedOn w:val="DefaultParagraphFont"/>
    <w:link w:val="BalloonText"/>
    <w:rsid w:val="00FB35B2"/>
    <w:rPr>
      <w:rFonts w:ascii="Lucida Grande" w:hAnsi="Lucida Grande"/>
      <w:sz w:val="18"/>
      <w:szCs w:val="18"/>
    </w:rPr>
  </w:style>
  <w:style w:type="paragraph" w:styleId="ListParagraph">
    <w:name w:val="List Paragraph"/>
    <w:basedOn w:val="Normal"/>
    <w:uiPriority w:val="99"/>
    <w:qFormat/>
    <w:rsid w:val="003D53F6"/>
    <w:pPr>
      <w:ind w:left="720"/>
      <w:contextualSpacing/>
    </w:pPr>
  </w:style>
  <w:style w:type="paragraph" w:styleId="FootnoteText">
    <w:name w:val="footnote text"/>
    <w:basedOn w:val="Normal"/>
    <w:link w:val="FootnoteTextChar"/>
    <w:uiPriority w:val="99"/>
    <w:unhideWhenUsed/>
    <w:rsid w:val="00537B90"/>
    <w:rPr>
      <w:rFonts w:ascii="Arial" w:eastAsiaTheme="minorHAnsi" w:hAnsi="Arial" w:cs="Arial"/>
      <w:sz w:val="20"/>
      <w:szCs w:val="20"/>
    </w:rPr>
  </w:style>
  <w:style w:type="character" w:customStyle="1" w:styleId="FootnoteTextChar">
    <w:name w:val="Footnote Text Char"/>
    <w:basedOn w:val="DefaultParagraphFont"/>
    <w:link w:val="FootnoteText"/>
    <w:uiPriority w:val="99"/>
    <w:rsid w:val="00537B90"/>
    <w:rPr>
      <w:rFonts w:ascii="Arial" w:eastAsiaTheme="minorHAnsi" w:hAnsi="Arial" w:cs="Arial"/>
    </w:rPr>
  </w:style>
  <w:style w:type="character" w:styleId="FootnoteReference">
    <w:name w:val="footnote reference"/>
    <w:basedOn w:val="DefaultParagraphFont"/>
    <w:uiPriority w:val="99"/>
    <w:unhideWhenUsed/>
    <w:rsid w:val="00537B90"/>
    <w:rPr>
      <w:vertAlign w:val="superscript"/>
    </w:rPr>
  </w:style>
  <w:style w:type="paragraph" w:styleId="EndnoteText">
    <w:name w:val="endnote text"/>
    <w:basedOn w:val="Normal"/>
    <w:link w:val="EndnoteTextChar"/>
    <w:rsid w:val="00745F27"/>
    <w:rPr>
      <w:rFonts w:ascii="Times New Roman" w:eastAsia="Times New Roman" w:hAnsi="Times New Roman"/>
      <w:sz w:val="20"/>
      <w:szCs w:val="20"/>
    </w:rPr>
  </w:style>
  <w:style w:type="character" w:customStyle="1" w:styleId="EndnoteTextChar">
    <w:name w:val="Endnote Text Char"/>
    <w:basedOn w:val="DefaultParagraphFont"/>
    <w:link w:val="EndnoteText"/>
    <w:rsid w:val="00745F27"/>
    <w:rPr>
      <w:rFonts w:ascii="Times New Roman" w:eastAsia="Times New Roman" w:hAnsi="Times New Roman"/>
    </w:rPr>
  </w:style>
  <w:style w:type="character" w:styleId="EndnoteReference">
    <w:name w:val="endnote reference"/>
    <w:rsid w:val="00745F27"/>
    <w:rPr>
      <w:vertAlign w:val="superscript"/>
    </w:rPr>
  </w:style>
  <w:style w:type="character" w:customStyle="1" w:styleId="Heading1Char">
    <w:name w:val="Heading 1 Char"/>
    <w:basedOn w:val="DefaultParagraphFont"/>
    <w:link w:val="Heading1"/>
    <w:rsid w:val="00804DF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04DF6"/>
    <w:pPr>
      <w:spacing w:line="276" w:lineRule="auto"/>
      <w:outlineLvl w:val="9"/>
    </w:pPr>
    <w:rPr>
      <w:lang w:val="en-US" w:eastAsia="ja-JP"/>
    </w:rPr>
  </w:style>
  <w:style w:type="character" w:styleId="Hyperlink">
    <w:name w:val="Hyperlink"/>
    <w:basedOn w:val="DefaultParagraphFont"/>
    <w:rsid w:val="003B6FBE"/>
    <w:rPr>
      <w:color w:val="0000FF" w:themeColor="hyperlink"/>
      <w:u w:val="single"/>
    </w:rPr>
  </w:style>
  <w:style w:type="table" w:styleId="TableGrid">
    <w:name w:val="Table Grid"/>
    <w:basedOn w:val="TableNormal"/>
    <w:rsid w:val="0050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9201CB"/>
    <w:rPr>
      <w:i/>
      <w:iCs/>
    </w:rPr>
  </w:style>
  <w:style w:type="character" w:styleId="CommentReference">
    <w:name w:val="annotation reference"/>
    <w:basedOn w:val="DefaultParagraphFont"/>
    <w:uiPriority w:val="99"/>
    <w:rsid w:val="00EA57AF"/>
    <w:rPr>
      <w:sz w:val="16"/>
      <w:szCs w:val="16"/>
    </w:rPr>
  </w:style>
  <w:style w:type="paragraph" w:styleId="CommentText">
    <w:name w:val="annotation text"/>
    <w:basedOn w:val="Normal"/>
    <w:link w:val="CommentTextChar"/>
    <w:uiPriority w:val="99"/>
    <w:rsid w:val="00EA57AF"/>
    <w:rPr>
      <w:sz w:val="20"/>
      <w:szCs w:val="20"/>
    </w:rPr>
  </w:style>
  <w:style w:type="character" w:customStyle="1" w:styleId="CommentTextChar">
    <w:name w:val="Comment Text Char"/>
    <w:basedOn w:val="DefaultParagraphFont"/>
    <w:link w:val="CommentText"/>
    <w:uiPriority w:val="99"/>
    <w:rsid w:val="00EA57AF"/>
  </w:style>
  <w:style w:type="paragraph" w:styleId="CommentSubject">
    <w:name w:val="annotation subject"/>
    <w:basedOn w:val="CommentText"/>
    <w:next w:val="CommentText"/>
    <w:link w:val="CommentSubjectChar"/>
    <w:rsid w:val="00EA57AF"/>
    <w:rPr>
      <w:b/>
      <w:bCs/>
    </w:rPr>
  </w:style>
  <w:style w:type="character" w:customStyle="1" w:styleId="CommentSubjectChar">
    <w:name w:val="Comment Subject Char"/>
    <w:basedOn w:val="CommentTextChar"/>
    <w:link w:val="CommentSubject"/>
    <w:rsid w:val="00EA57AF"/>
    <w:rPr>
      <w:b/>
      <w:bCs/>
    </w:rPr>
  </w:style>
  <w:style w:type="paragraph" w:styleId="Revision">
    <w:name w:val="Revision"/>
    <w:hidden/>
    <w:rsid w:val="00EA57AF"/>
    <w:rPr>
      <w:sz w:val="24"/>
      <w:szCs w:val="24"/>
    </w:rPr>
  </w:style>
  <w:style w:type="character" w:customStyle="1" w:styleId="apple-converted-space">
    <w:name w:val="apple-converted-space"/>
    <w:basedOn w:val="DefaultParagraphFont"/>
    <w:rsid w:val="00066726"/>
  </w:style>
  <w:style w:type="character" w:styleId="Strong">
    <w:name w:val="Strong"/>
    <w:basedOn w:val="DefaultParagraphFont"/>
    <w:uiPriority w:val="22"/>
    <w:qFormat/>
    <w:rsid w:val="00E70106"/>
    <w:rPr>
      <w:b/>
      <w:bCs/>
    </w:rPr>
  </w:style>
  <w:style w:type="paragraph" w:styleId="NormalWeb">
    <w:name w:val="Normal (Web)"/>
    <w:basedOn w:val="Normal"/>
    <w:uiPriority w:val="99"/>
    <w:unhideWhenUsed/>
    <w:rsid w:val="00E70106"/>
    <w:pPr>
      <w:spacing w:before="100" w:beforeAutospacing="1" w:after="100" w:afterAutospacing="1"/>
    </w:pPr>
    <w:rPr>
      <w:rFonts w:ascii="Times New Roman" w:eastAsia="Times New Roman" w:hAnsi="Times New Roman"/>
      <w:lang w:eastAsia="en-AU"/>
    </w:rPr>
  </w:style>
  <w:style w:type="paragraph" w:styleId="Quote">
    <w:name w:val="Quote"/>
    <w:basedOn w:val="Normal"/>
    <w:next w:val="Normal"/>
    <w:link w:val="QuoteChar"/>
    <w:uiPriority w:val="29"/>
    <w:qFormat/>
    <w:rsid w:val="003F6DBE"/>
    <w:rPr>
      <w:rFonts w:ascii="Times New Roman" w:eastAsia="Times New Roman" w:hAnsi="Times New Roman"/>
      <w:i/>
      <w:iCs/>
      <w:color w:val="000000" w:themeColor="text1"/>
      <w:szCs w:val="20"/>
    </w:rPr>
  </w:style>
  <w:style w:type="character" w:customStyle="1" w:styleId="QuoteChar">
    <w:name w:val="Quote Char"/>
    <w:basedOn w:val="DefaultParagraphFont"/>
    <w:link w:val="Quote"/>
    <w:uiPriority w:val="29"/>
    <w:rsid w:val="003F6DBE"/>
    <w:rPr>
      <w:rFonts w:ascii="Times New Roman" w:eastAsia="Times New Roman" w:hAnsi="Times New Roman"/>
      <w:i/>
      <w:iCs/>
      <w:color w:val="000000" w:themeColor="text1"/>
      <w:sz w:val="24"/>
    </w:rPr>
  </w:style>
  <w:style w:type="character" w:customStyle="1" w:styleId="Heading3Char">
    <w:name w:val="Heading 3 Char"/>
    <w:basedOn w:val="DefaultParagraphFont"/>
    <w:link w:val="Heading3"/>
    <w:rsid w:val="00EB058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EB058E"/>
    <w:rPr>
      <w:rFonts w:asciiTheme="majorHAnsi" w:eastAsiaTheme="majorEastAsia" w:hAnsiTheme="majorHAnsi" w:cstheme="majorBidi"/>
      <w:b/>
      <w:bCs/>
      <w:i/>
      <w:iCs/>
      <w:color w:val="4F81BD" w:themeColor="accent1"/>
      <w:sz w:val="24"/>
      <w:szCs w:val="24"/>
    </w:rPr>
  </w:style>
  <w:style w:type="character" w:customStyle="1" w:styleId="highlight">
    <w:name w:val="highlight"/>
    <w:basedOn w:val="DefaultParagraphFont"/>
    <w:rsid w:val="00EB058E"/>
  </w:style>
  <w:style w:type="character" w:customStyle="1" w:styleId="ui-ncbitoggler-master-text">
    <w:name w:val="ui-ncbitoggler-master-text"/>
    <w:basedOn w:val="DefaultParagraphFont"/>
    <w:rsid w:val="00EB058E"/>
  </w:style>
  <w:style w:type="table" w:styleId="ColorfulGrid">
    <w:name w:val="Colorful Grid"/>
    <w:basedOn w:val="TableNormal"/>
    <w:rsid w:val="002D504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footnote text" w:uiPriority="99"/>
    <w:lsdException w:name="annotation text" w:uiPriority="99"/>
    <w:lsdException w:name="footnote reference" w:uiPriority="99"/>
    <w:lsdException w:name="annotation reference" w:uiPriority="99"/>
    <w:lsdException w:name="Strong" w:uiPriority="22" w:qFormat="1"/>
    <w:lsdException w:name="Emphasis" w:qFormat="1"/>
    <w:lsdException w:name="Normal (Web)" w:uiPriority="99"/>
    <w:lsdException w:name="List Paragraph" w:uiPriority="99" w:qFormat="1"/>
    <w:lsdException w:name="Quote" w:uiPriority="29" w:qFormat="1"/>
    <w:lsdException w:name="TOC Heading" w:uiPriority="39" w:qFormat="1"/>
  </w:latentStyles>
  <w:style w:type="paragraph" w:default="1" w:styleId="Normal">
    <w:name w:val="Normal"/>
    <w:qFormat/>
    <w:rsid w:val="00F521C3"/>
    <w:rPr>
      <w:sz w:val="24"/>
      <w:szCs w:val="24"/>
    </w:rPr>
  </w:style>
  <w:style w:type="paragraph" w:styleId="Heading1">
    <w:name w:val="heading 1"/>
    <w:basedOn w:val="Normal"/>
    <w:next w:val="Normal"/>
    <w:link w:val="Heading1Char"/>
    <w:rsid w:val="00804D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rsid w:val="00EB058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EB05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104BB"/>
    <w:pPr>
      <w:tabs>
        <w:tab w:val="center" w:pos="4320"/>
        <w:tab w:val="right" w:pos="8640"/>
      </w:tabs>
    </w:pPr>
  </w:style>
  <w:style w:type="character" w:customStyle="1" w:styleId="HeaderChar">
    <w:name w:val="Header Char"/>
    <w:link w:val="Header"/>
    <w:rsid w:val="004104BB"/>
    <w:rPr>
      <w:sz w:val="24"/>
      <w:szCs w:val="24"/>
    </w:rPr>
  </w:style>
  <w:style w:type="paragraph" w:styleId="Footer">
    <w:name w:val="footer"/>
    <w:basedOn w:val="Normal"/>
    <w:link w:val="FooterChar"/>
    <w:uiPriority w:val="99"/>
    <w:unhideWhenUsed/>
    <w:rsid w:val="004104BB"/>
    <w:pPr>
      <w:tabs>
        <w:tab w:val="center" w:pos="4320"/>
        <w:tab w:val="right" w:pos="8640"/>
      </w:tabs>
    </w:pPr>
  </w:style>
  <w:style w:type="character" w:customStyle="1" w:styleId="FooterChar">
    <w:name w:val="Footer Char"/>
    <w:link w:val="Footer"/>
    <w:uiPriority w:val="99"/>
    <w:rsid w:val="004104BB"/>
    <w:rPr>
      <w:sz w:val="24"/>
      <w:szCs w:val="24"/>
    </w:rPr>
  </w:style>
  <w:style w:type="character" w:styleId="PageNumber">
    <w:name w:val="page number"/>
    <w:rsid w:val="000415D6"/>
  </w:style>
  <w:style w:type="paragraph" w:styleId="BalloonText">
    <w:name w:val="Balloon Text"/>
    <w:basedOn w:val="Normal"/>
    <w:link w:val="BalloonTextChar"/>
    <w:rsid w:val="00FB35B2"/>
    <w:rPr>
      <w:rFonts w:ascii="Lucida Grande" w:hAnsi="Lucida Grande"/>
      <w:sz w:val="18"/>
      <w:szCs w:val="18"/>
    </w:rPr>
  </w:style>
  <w:style w:type="character" w:customStyle="1" w:styleId="BalloonTextChar">
    <w:name w:val="Balloon Text Char"/>
    <w:basedOn w:val="DefaultParagraphFont"/>
    <w:link w:val="BalloonText"/>
    <w:rsid w:val="00FB35B2"/>
    <w:rPr>
      <w:rFonts w:ascii="Lucida Grande" w:hAnsi="Lucida Grande"/>
      <w:sz w:val="18"/>
      <w:szCs w:val="18"/>
    </w:rPr>
  </w:style>
  <w:style w:type="paragraph" w:styleId="ListParagraph">
    <w:name w:val="List Paragraph"/>
    <w:basedOn w:val="Normal"/>
    <w:uiPriority w:val="99"/>
    <w:qFormat/>
    <w:rsid w:val="003D53F6"/>
    <w:pPr>
      <w:ind w:left="720"/>
      <w:contextualSpacing/>
    </w:pPr>
  </w:style>
  <w:style w:type="paragraph" w:styleId="FootnoteText">
    <w:name w:val="footnote text"/>
    <w:basedOn w:val="Normal"/>
    <w:link w:val="FootnoteTextChar"/>
    <w:uiPriority w:val="99"/>
    <w:unhideWhenUsed/>
    <w:rsid w:val="00537B90"/>
    <w:rPr>
      <w:rFonts w:ascii="Arial" w:eastAsiaTheme="minorHAnsi" w:hAnsi="Arial" w:cs="Arial"/>
      <w:sz w:val="20"/>
      <w:szCs w:val="20"/>
    </w:rPr>
  </w:style>
  <w:style w:type="character" w:customStyle="1" w:styleId="FootnoteTextChar">
    <w:name w:val="Footnote Text Char"/>
    <w:basedOn w:val="DefaultParagraphFont"/>
    <w:link w:val="FootnoteText"/>
    <w:uiPriority w:val="99"/>
    <w:rsid w:val="00537B90"/>
    <w:rPr>
      <w:rFonts w:ascii="Arial" w:eastAsiaTheme="minorHAnsi" w:hAnsi="Arial" w:cs="Arial"/>
    </w:rPr>
  </w:style>
  <w:style w:type="character" w:styleId="FootnoteReference">
    <w:name w:val="footnote reference"/>
    <w:basedOn w:val="DefaultParagraphFont"/>
    <w:uiPriority w:val="99"/>
    <w:unhideWhenUsed/>
    <w:rsid w:val="00537B90"/>
    <w:rPr>
      <w:vertAlign w:val="superscript"/>
    </w:rPr>
  </w:style>
  <w:style w:type="paragraph" w:styleId="EndnoteText">
    <w:name w:val="endnote text"/>
    <w:basedOn w:val="Normal"/>
    <w:link w:val="EndnoteTextChar"/>
    <w:rsid w:val="00745F27"/>
    <w:rPr>
      <w:rFonts w:ascii="Times New Roman" w:eastAsia="Times New Roman" w:hAnsi="Times New Roman"/>
      <w:sz w:val="20"/>
      <w:szCs w:val="20"/>
    </w:rPr>
  </w:style>
  <w:style w:type="character" w:customStyle="1" w:styleId="EndnoteTextChar">
    <w:name w:val="Endnote Text Char"/>
    <w:basedOn w:val="DefaultParagraphFont"/>
    <w:link w:val="EndnoteText"/>
    <w:rsid w:val="00745F27"/>
    <w:rPr>
      <w:rFonts w:ascii="Times New Roman" w:eastAsia="Times New Roman" w:hAnsi="Times New Roman"/>
    </w:rPr>
  </w:style>
  <w:style w:type="character" w:styleId="EndnoteReference">
    <w:name w:val="endnote reference"/>
    <w:rsid w:val="00745F27"/>
    <w:rPr>
      <w:vertAlign w:val="superscript"/>
    </w:rPr>
  </w:style>
  <w:style w:type="character" w:customStyle="1" w:styleId="Heading1Char">
    <w:name w:val="Heading 1 Char"/>
    <w:basedOn w:val="DefaultParagraphFont"/>
    <w:link w:val="Heading1"/>
    <w:rsid w:val="00804DF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04DF6"/>
    <w:pPr>
      <w:spacing w:line="276" w:lineRule="auto"/>
      <w:outlineLvl w:val="9"/>
    </w:pPr>
    <w:rPr>
      <w:lang w:val="en-US" w:eastAsia="ja-JP"/>
    </w:rPr>
  </w:style>
  <w:style w:type="character" w:styleId="Hyperlink">
    <w:name w:val="Hyperlink"/>
    <w:basedOn w:val="DefaultParagraphFont"/>
    <w:rsid w:val="003B6FBE"/>
    <w:rPr>
      <w:color w:val="0000FF" w:themeColor="hyperlink"/>
      <w:u w:val="single"/>
    </w:rPr>
  </w:style>
  <w:style w:type="table" w:styleId="TableGrid">
    <w:name w:val="Table Grid"/>
    <w:basedOn w:val="TableNormal"/>
    <w:rsid w:val="0050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9201CB"/>
    <w:rPr>
      <w:i/>
      <w:iCs/>
    </w:rPr>
  </w:style>
  <w:style w:type="character" w:styleId="CommentReference">
    <w:name w:val="annotation reference"/>
    <w:basedOn w:val="DefaultParagraphFont"/>
    <w:uiPriority w:val="99"/>
    <w:rsid w:val="00EA57AF"/>
    <w:rPr>
      <w:sz w:val="16"/>
      <w:szCs w:val="16"/>
    </w:rPr>
  </w:style>
  <w:style w:type="paragraph" w:styleId="CommentText">
    <w:name w:val="annotation text"/>
    <w:basedOn w:val="Normal"/>
    <w:link w:val="CommentTextChar"/>
    <w:uiPriority w:val="99"/>
    <w:rsid w:val="00EA57AF"/>
    <w:rPr>
      <w:sz w:val="20"/>
      <w:szCs w:val="20"/>
    </w:rPr>
  </w:style>
  <w:style w:type="character" w:customStyle="1" w:styleId="CommentTextChar">
    <w:name w:val="Comment Text Char"/>
    <w:basedOn w:val="DefaultParagraphFont"/>
    <w:link w:val="CommentText"/>
    <w:uiPriority w:val="99"/>
    <w:rsid w:val="00EA57AF"/>
  </w:style>
  <w:style w:type="paragraph" w:styleId="CommentSubject">
    <w:name w:val="annotation subject"/>
    <w:basedOn w:val="CommentText"/>
    <w:next w:val="CommentText"/>
    <w:link w:val="CommentSubjectChar"/>
    <w:rsid w:val="00EA57AF"/>
    <w:rPr>
      <w:b/>
      <w:bCs/>
    </w:rPr>
  </w:style>
  <w:style w:type="character" w:customStyle="1" w:styleId="CommentSubjectChar">
    <w:name w:val="Comment Subject Char"/>
    <w:basedOn w:val="CommentTextChar"/>
    <w:link w:val="CommentSubject"/>
    <w:rsid w:val="00EA57AF"/>
    <w:rPr>
      <w:b/>
      <w:bCs/>
    </w:rPr>
  </w:style>
  <w:style w:type="paragraph" w:styleId="Revision">
    <w:name w:val="Revision"/>
    <w:hidden/>
    <w:rsid w:val="00EA57AF"/>
    <w:rPr>
      <w:sz w:val="24"/>
      <w:szCs w:val="24"/>
    </w:rPr>
  </w:style>
  <w:style w:type="character" w:customStyle="1" w:styleId="apple-converted-space">
    <w:name w:val="apple-converted-space"/>
    <w:basedOn w:val="DefaultParagraphFont"/>
    <w:rsid w:val="00066726"/>
  </w:style>
  <w:style w:type="character" w:styleId="Strong">
    <w:name w:val="Strong"/>
    <w:basedOn w:val="DefaultParagraphFont"/>
    <w:uiPriority w:val="22"/>
    <w:qFormat/>
    <w:rsid w:val="00E70106"/>
    <w:rPr>
      <w:b/>
      <w:bCs/>
    </w:rPr>
  </w:style>
  <w:style w:type="paragraph" w:styleId="NormalWeb">
    <w:name w:val="Normal (Web)"/>
    <w:basedOn w:val="Normal"/>
    <w:uiPriority w:val="99"/>
    <w:unhideWhenUsed/>
    <w:rsid w:val="00E70106"/>
    <w:pPr>
      <w:spacing w:before="100" w:beforeAutospacing="1" w:after="100" w:afterAutospacing="1"/>
    </w:pPr>
    <w:rPr>
      <w:rFonts w:ascii="Times New Roman" w:eastAsia="Times New Roman" w:hAnsi="Times New Roman"/>
      <w:lang w:eastAsia="en-AU"/>
    </w:rPr>
  </w:style>
  <w:style w:type="paragraph" w:styleId="Quote">
    <w:name w:val="Quote"/>
    <w:basedOn w:val="Normal"/>
    <w:next w:val="Normal"/>
    <w:link w:val="QuoteChar"/>
    <w:uiPriority w:val="29"/>
    <w:qFormat/>
    <w:rsid w:val="003F6DBE"/>
    <w:rPr>
      <w:rFonts w:ascii="Times New Roman" w:eastAsia="Times New Roman" w:hAnsi="Times New Roman"/>
      <w:i/>
      <w:iCs/>
      <w:color w:val="000000" w:themeColor="text1"/>
      <w:szCs w:val="20"/>
    </w:rPr>
  </w:style>
  <w:style w:type="character" w:customStyle="1" w:styleId="QuoteChar">
    <w:name w:val="Quote Char"/>
    <w:basedOn w:val="DefaultParagraphFont"/>
    <w:link w:val="Quote"/>
    <w:uiPriority w:val="29"/>
    <w:rsid w:val="003F6DBE"/>
    <w:rPr>
      <w:rFonts w:ascii="Times New Roman" w:eastAsia="Times New Roman" w:hAnsi="Times New Roman"/>
      <w:i/>
      <w:iCs/>
      <w:color w:val="000000" w:themeColor="text1"/>
      <w:sz w:val="24"/>
    </w:rPr>
  </w:style>
  <w:style w:type="character" w:customStyle="1" w:styleId="Heading3Char">
    <w:name w:val="Heading 3 Char"/>
    <w:basedOn w:val="DefaultParagraphFont"/>
    <w:link w:val="Heading3"/>
    <w:rsid w:val="00EB058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EB058E"/>
    <w:rPr>
      <w:rFonts w:asciiTheme="majorHAnsi" w:eastAsiaTheme="majorEastAsia" w:hAnsiTheme="majorHAnsi" w:cstheme="majorBidi"/>
      <w:b/>
      <w:bCs/>
      <w:i/>
      <w:iCs/>
      <w:color w:val="4F81BD" w:themeColor="accent1"/>
      <w:sz w:val="24"/>
      <w:szCs w:val="24"/>
    </w:rPr>
  </w:style>
  <w:style w:type="character" w:customStyle="1" w:styleId="highlight">
    <w:name w:val="highlight"/>
    <w:basedOn w:val="DefaultParagraphFont"/>
    <w:rsid w:val="00EB058E"/>
  </w:style>
  <w:style w:type="character" w:customStyle="1" w:styleId="ui-ncbitoggler-master-text">
    <w:name w:val="ui-ncbitoggler-master-text"/>
    <w:basedOn w:val="DefaultParagraphFont"/>
    <w:rsid w:val="00EB058E"/>
  </w:style>
  <w:style w:type="table" w:styleId="ColorfulGrid">
    <w:name w:val="Colorful Grid"/>
    <w:basedOn w:val="TableNormal"/>
    <w:rsid w:val="002D504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683550">
      <w:bodyDiv w:val="1"/>
      <w:marLeft w:val="0"/>
      <w:marRight w:val="0"/>
      <w:marTop w:val="0"/>
      <w:marBottom w:val="0"/>
      <w:divBdr>
        <w:top w:val="none" w:sz="0" w:space="0" w:color="auto"/>
        <w:left w:val="none" w:sz="0" w:space="0" w:color="auto"/>
        <w:bottom w:val="none" w:sz="0" w:space="0" w:color="auto"/>
        <w:right w:val="none" w:sz="0" w:space="0" w:color="auto"/>
      </w:divBdr>
    </w:div>
    <w:div w:id="1897273982">
      <w:bodyDiv w:val="1"/>
      <w:marLeft w:val="0"/>
      <w:marRight w:val="0"/>
      <w:marTop w:val="0"/>
      <w:marBottom w:val="0"/>
      <w:divBdr>
        <w:top w:val="none" w:sz="0" w:space="0" w:color="auto"/>
        <w:left w:val="none" w:sz="0" w:space="0" w:color="auto"/>
        <w:bottom w:val="none" w:sz="0" w:space="0" w:color="auto"/>
        <w:right w:val="none" w:sz="0" w:space="0" w:color="auto"/>
      </w:divBdr>
      <w:divsChild>
        <w:div w:id="1314599118">
          <w:marLeft w:val="0"/>
          <w:marRight w:val="0"/>
          <w:marTop w:val="240"/>
          <w:marBottom w:val="100"/>
          <w:divBdr>
            <w:top w:val="none" w:sz="0" w:space="0" w:color="auto"/>
            <w:left w:val="none" w:sz="0" w:space="0" w:color="auto"/>
            <w:bottom w:val="none" w:sz="0" w:space="0" w:color="auto"/>
            <w:right w:val="none" w:sz="0" w:space="0" w:color="auto"/>
          </w:divBdr>
          <w:divsChild>
            <w:div w:id="12570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taxreview.treasury.gov.au/content/ConsultationPaper.aspx?doc=html/publications/Papers/Consultation_Paper/section_1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2014RG-82-8045</_dlc_DocId>
    <_dlc_DocIdUrl xmlns="9f7bc583-7cbe-45b9-a2bd-8bbb6543b37e">
      <Url>http://tweb/sites/rg/project/twptf/_layouts/15/DocIdRedir.aspx?ID=2014RG-82-8045</Url>
      <Description>2014RG-82-8045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E3824-8E0A-4DBC-8BDA-188B3C10B728}"/>
</file>

<file path=customXml/itemProps2.xml><?xml version="1.0" encoding="utf-8"?>
<ds:datastoreItem xmlns:ds="http://schemas.openxmlformats.org/officeDocument/2006/customXml" ds:itemID="{3C334CC6-7A95-4D79-86EF-C14AA20DD0F8}"/>
</file>

<file path=customXml/itemProps3.xml><?xml version="1.0" encoding="utf-8"?>
<ds:datastoreItem xmlns:ds="http://schemas.openxmlformats.org/officeDocument/2006/customXml" ds:itemID="{6D93D543-FB7F-465E-B724-F24173A70BFB}"/>
</file>

<file path=customXml/itemProps4.xml><?xml version="1.0" encoding="utf-8"?>
<ds:datastoreItem xmlns:ds="http://schemas.openxmlformats.org/officeDocument/2006/customXml" ds:itemID="{BD169CFD-4459-40DD-94F8-3EC6CB48E21C}"/>
</file>

<file path=customXml/itemProps5.xml><?xml version="1.0" encoding="utf-8"?>
<ds:datastoreItem xmlns:ds="http://schemas.openxmlformats.org/officeDocument/2006/customXml" ds:itemID="{8485AD74-59BD-4EE2-89D8-96E17543A520}"/>
</file>

<file path=docProps/app.xml><?xml version="1.0" encoding="utf-8"?>
<Properties xmlns="http://schemas.openxmlformats.org/officeDocument/2006/extended-properties" xmlns:vt="http://schemas.openxmlformats.org/officeDocument/2006/docPropsVTypes">
  <Template>Normal.dotm</Template>
  <TotalTime>1</TotalTime>
  <Pages>10</Pages>
  <Words>3952</Words>
  <Characters>20977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Royal Australasian College of Physicians - Submission to the Tax Discussion Paper</vt:lpstr>
    </vt:vector>
  </TitlesOfParts>
  <Company/>
  <LinksUpToDate>false</LinksUpToDate>
  <CharactersWithSpaces>24880</CharactersWithSpaces>
  <SharedDoc>false</SharedDoc>
  <HLinks>
    <vt:vector size="24" baseType="variant">
      <vt:variant>
        <vt:i4>3342457</vt:i4>
      </vt:variant>
      <vt:variant>
        <vt:i4>-1</vt:i4>
      </vt:variant>
      <vt:variant>
        <vt:i4>2055</vt:i4>
      </vt:variant>
      <vt:variant>
        <vt:i4>1</vt:i4>
      </vt:variant>
      <vt:variant>
        <vt:lpwstr>Supervisor@RACP_PPT Template_v1-4</vt:lpwstr>
      </vt:variant>
      <vt:variant>
        <vt:lpwstr/>
      </vt:variant>
      <vt:variant>
        <vt:i4>6488154</vt:i4>
      </vt:variant>
      <vt:variant>
        <vt:i4>-1</vt:i4>
      </vt:variant>
      <vt:variant>
        <vt:i4>2060</vt:i4>
      </vt:variant>
      <vt:variant>
        <vt:i4>1</vt:i4>
      </vt:variant>
      <vt:variant>
        <vt:lpwstr>Supervisors@RACP_Logo_DarkGray</vt:lpwstr>
      </vt:variant>
      <vt:variant>
        <vt:lpwstr/>
      </vt:variant>
      <vt:variant>
        <vt:i4>5046372</vt:i4>
      </vt:variant>
      <vt:variant>
        <vt:i4>-1</vt:i4>
      </vt:variant>
      <vt:variant>
        <vt:i4>2061</vt:i4>
      </vt:variant>
      <vt:variant>
        <vt:i4>1</vt:i4>
      </vt:variant>
      <vt:variant>
        <vt:lpwstr>Supervisor@RACP_Word Template_v1</vt:lpwstr>
      </vt:variant>
      <vt:variant>
        <vt:lpwstr/>
      </vt:variant>
      <vt:variant>
        <vt:i4>3997770</vt:i4>
      </vt:variant>
      <vt:variant>
        <vt:i4>-1</vt:i4>
      </vt:variant>
      <vt:variant>
        <vt:i4>2063</vt:i4>
      </vt:variant>
      <vt:variant>
        <vt:i4>1</vt:i4>
      </vt:variant>
      <vt:variant>
        <vt:lpwstr>Supervisors@RACP_Logo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Royal Australasian College of Physicians - Submission to the Tax Discussion Paper</dc:title>
  <dc:creator>Royal Australasian College of Physicians</dc:creator>
  <cp:lastModifiedBy>McLeod, Caitlin</cp:lastModifiedBy>
  <cp:revision>3</cp:revision>
  <cp:lastPrinted>2014-10-30T00:13:00Z</cp:lastPrinted>
  <dcterms:created xsi:type="dcterms:W3CDTF">2015-06-01T06:25:00Z</dcterms:created>
  <dcterms:modified xsi:type="dcterms:W3CDTF">2015-06-01T06:26:00Z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6035489c-261c-43b0-a8d7-52bd85dfa7ca</vt:lpwstr>
  </property>
  <property fmtid="{D5CDD505-2E9C-101B-9397-08002B2CF9AE}" pid="6" name="ContentTypeId">
    <vt:lpwstr>0x01010036BB8DE7EC542E42A8B2E98CC20CB69700AA356CCBB2B4204EB1CD923E8E69F50F</vt:lpwstr>
  </property>
</Properties>
</file>