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A26BC5" w14:textId="77777777" w:rsidR="00C76D36" w:rsidRDefault="00C76D36" w:rsidP="00AC3F66">
      <w:pPr>
        <w:rPr>
          <w:rFonts w:asciiTheme="minorHAnsi" w:hAnsiTheme="minorHAnsi" w:cs="Arial"/>
          <w:szCs w:val="22"/>
        </w:rPr>
      </w:pPr>
      <w:bookmarkStart w:id="0" w:name="_GoBack"/>
      <w:bookmarkEnd w:id="0"/>
    </w:p>
    <w:p w14:paraId="630D393C" w14:textId="77777777" w:rsidR="00C76D36" w:rsidRDefault="00C76D36" w:rsidP="00AC3F66">
      <w:pPr>
        <w:rPr>
          <w:rFonts w:asciiTheme="minorHAnsi" w:hAnsiTheme="minorHAnsi" w:cs="Arial"/>
          <w:szCs w:val="22"/>
        </w:rPr>
      </w:pPr>
    </w:p>
    <w:p w14:paraId="0D599661" w14:textId="77777777" w:rsidR="00AC3F66" w:rsidRPr="00AC3F66" w:rsidRDefault="00AC3F66" w:rsidP="00AC3F66">
      <w:pPr>
        <w:rPr>
          <w:rFonts w:asciiTheme="minorHAnsi" w:hAnsiTheme="minorHAnsi" w:cs="Arial"/>
          <w:szCs w:val="22"/>
        </w:rPr>
      </w:pPr>
      <w:r w:rsidRPr="00AC3F66">
        <w:rPr>
          <w:rFonts w:asciiTheme="minorHAnsi" w:hAnsiTheme="minorHAnsi" w:cs="Arial"/>
          <w:szCs w:val="22"/>
        </w:rPr>
        <w:t>10 April 2015</w:t>
      </w:r>
    </w:p>
    <w:p w14:paraId="40EACA13" w14:textId="77777777" w:rsidR="00AC3F66" w:rsidRPr="00AC3F66" w:rsidRDefault="00AC3F66" w:rsidP="00AC3F66">
      <w:pPr>
        <w:rPr>
          <w:rFonts w:asciiTheme="minorHAnsi" w:hAnsiTheme="minorHAnsi" w:cs="Arial"/>
          <w:szCs w:val="22"/>
        </w:rPr>
      </w:pPr>
    </w:p>
    <w:p w14:paraId="0A5715A5" w14:textId="77777777" w:rsidR="00AC3F66" w:rsidRPr="00AC3F66" w:rsidRDefault="00AC3F66" w:rsidP="00AC3F66">
      <w:pPr>
        <w:rPr>
          <w:rFonts w:asciiTheme="minorHAnsi" w:hAnsiTheme="minorHAnsi" w:cs="Arial"/>
          <w:szCs w:val="22"/>
        </w:rPr>
      </w:pPr>
    </w:p>
    <w:p w14:paraId="49E60D25" w14:textId="77777777" w:rsidR="00AC3F66" w:rsidRPr="00AC3F66" w:rsidRDefault="00AC3F66" w:rsidP="00AC3F66">
      <w:pPr>
        <w:rPr>
          <w:rFonts w:asciiTheme="minorHAnsi" w:hAnsiTheme="minorHAnsi" w:cs="Arial"/>
          <w:szCs w:val="22"/>
        </w:rPr>
      </w:pPr>
    </w:p>
    <w:p w14:paraId="199312BF" w14:textId="77777777" w:rsidR="00AC3F66" w:rsidRPr="00AC3F66" w:rsidRDefault="00AC3F66" w:rsidP="00AC3F66">
      <w:pPr>
        <w:pStyle w:val="NormalWeb"/>
        <w:rPr>
          <w:rFonts w:asciiTheme="minorHAnsi" w:hAnsiTheme="minorHAnsi" w:cs="Arial"/>
          <w:color w:val="0A0A0A"/>
          <w:sz w:val="22"/>
          <w:szCs w:val="22"/>
        </w:rPr>
      </w:pPr>
      <w:r w:rsidRPr="00AC3F66">
        <w:rPr>
          <w:rFonts w:asciiTheme="minorHAnsi" w:hAnsiTheme="minorHAnsi" w:cs="Arial"/>
          <w:color w:val="0A0A0A"/>
          <w:sz w:val="22"/>
          <w:szCs w:val="22"/>
        </w:rPr>
        <w:t>Tax White Paper Task Force</w:t>
      </w:r>
      <w:r w:rsidRPr="00AC3F66">
        <w:rPr>
          <w:rFonts w:asciiTheme="minorHAnsi" w:hAnsiTheme="minorHAnsi" w:cs="Arial"/>
          <w:color w:val="0A0A0A"/>
          <w:sz w:val="22"/>
          <w:szCs w:val="22"/>
        </w:rPr>
        <w:br/>
      </w:r>
      <w:proofErr w:type="gramStart"/>
      <w:r w:rsidRPr="00AC3F66">
        <w:rPr>
          <w:rFonts w:asciiTheme="minorHAnsi" w:hAnsiTheme="minorHAnsi" w:cs="Arial"/>
          <w:color w:val="0A0A0A"/>
          <w:sz w:val="22"/>
          <w:szCs w:val="22"/>
        </w:rPr>
        <w:t>The</w:t>
      </w:r>
      <w:proofErr w:type="gramEnd"/>
      <w:r w:rsidRPr="00AC3F66">
        <w:rPr>
          <w:rFonts w:asciiTheme="minorHAnsi" w:hAnsiTheme="minorHAnsi" w:cs="Arial"/>
          <w:color w:val="0A0A0A"/>
          <w:sz w:val="22"/>
          <w:szCs w:val="22"/>
        </w:rPr>
        <w:t xml:space="preserve"> Treasury</w:t>
      </w:r>
      <w:r w:rsidRPr="00AC3F66">
        <w:rPr>
          <w:rFonts w:asciiTheme="minorHAnsi" w:hAnsiTheme="minorHAnsi" w:cs="Arial"/>
          <w:color w:val="0A0A0A"/>
          <w:sz w:val="22"/>
          <w:szCs w:val="22"/>
        </w:rPr>
        <w:br/>
        <w:t>Langton Crescent</w:t>
      </w:r>
      <w:r w:rsidRPr="00AC3F66">
        <w:rPr>
          <w:rFonts w:asciiTheme="minorHAnsi" w:hAnsiTheme="minorHAnsi" w:cs="Arial"/>
          <w:color w:val="0A0A0A"/>
          <w:sz w:val="22"/>
          <w:szCs w:val="22"/>
        </w:rPr>
        <w:br/>
        <w:t>PARKES ACT 2600</w:t>
      </w:r>
    </w:p>
    <w:p w14:paraId="3A42D5BF" w14:textId="77777777" w:rsidR="00AC3F66" w:rsidRPr="00AC3F66" w:rsidRDefault="00961254" w:rsidP="00AC3F66">
      <w:pPr>
        <w:pStyle w:val="NormalWeb"/>
        <w:rPr>
          <w:rFonts w:asciiTheme="minorHAnsi" w:hAnsiTheme="minorHAnsi" w:cs="Arial"/>
          <w:color w:val="0A0A0A"/>
          <w:sz w:val="22"/>
          <w:szCs w:val="22"/>
        </w:rPr>
      </w:pPr>
      <w:hyperlink r:id="rId12" w:history="1">
        <w:r w:rsidR="00AC3F66" w:rsidRPr="00AC3F66">
          <w:rPr>
            <w:rStyle w:val="Hyperlink"/>
            <w:rFonts w:asciiTheme="minorHAnsi" w:hAnsiTheme="minorHAnsi" w:cs="Arial"/>
            <w:sz w:val="22"/>
            <w:szCs w:val="22"/>
          </w:rPr>
          <w:t>bettertax@treasury.gov.au</w:t>
        </w:r>
      </w:hyperlink>
    </w:p>
    <w:p w14:paraId="310EC83F" w14:textId="77777777" w:rsidR="00AC3F66" w:rsidRPr="00AC3F66" w:rsidRDefault="00AC3F66" w:rsidP="00AC3F66">
      <w:pPr>
        <w:rPr>
          <w:rFonts w:asciiTheme="minorHAnsi" w:hAnsiTheme="minorHAnsi" w:cs="Arial"/>
          <w:szCs w:val="22"/>
        </w:rPr>
      </w:pPr>
      <w:r w:rsidRPr="00AC3F66">
        <w:rPr>
          <w:rFonts w:asciiTheme="minorHAnsi" w:hAnsiTheme="minorHAnsi" w:cs="Arial"/>
          <w:szCs w:val="22"/>
        </w:rPr>
        <w:t>Dear Sir/Madam,</w:t>
      </w:r>
    </w:p>
    <w:p w14:paraId="1F24D3C8" w14:textId="77777777" w:rsidR="00320C68" w:rsidRDefault="00320C68" w:rsidP="00AC3F66">
      <w:pPr>
        <w:rPr>
          <w:b/>
        </w:rPr>
      </w:pPr>
    </w:p>
    <w:p w14:paraId="62DD70A7" w14:textId="77777777" w:rsidR="00C76D36" w:rsidRPr="00C76D36" w:rsidRDefault="0005427E" w:rsidP="00320C68">
      <w:pPr>
        <w:rPr>
          <w:b/>
        </w:rPr>
      </w:pPr>
      <w:r>
        <w:rPr>
          <w:b/>
        </w:rPr>
        <w:t xml:space="preserve">Taxation Discussion Paper </w:t>
      </w:r>
      <w:r w:rsidR="00C76D36" w:rsidRPr="00C76D36">
        <w:rPr>
          <w:b/>
        </w:rPr>
        <w:t>2015</w:t>
      </w:r>
    </w:p>
    <w:p w14:paraId="64379E11" w14:textId="77777777" w:rsidR="00C76D36" w:rsidRDefault="00C76D36" w:rsidP="00320C68"/>
    <w:p w14:paraId="44B7E57E" w14:textId="77777777" w:rsidR="00320C68" w:rsidRDefault="00320C68" w:rsidP="00320C68">
      <w:r>
        <w:t xml:space="preserve">Ports Australia welcomes the opportunity to comment on the </w:t>
      </w:r>
      <w:r w:rsidR="00AC3F66">
        <w:t xml:space="preserve">Taxation </w:t>
      </w:r>
      <w:r>
        <w:t>D</w:t>
      </w:r>
      <w:r w:rsidR="0005427E">
        <w:t xml:space="preserve">iscussion Paper </w:t>
      </w:r>
      <w:r w:rsidR="00AC3F66">
        <w:t xml:space="preserve">2015.  We confine our comments to </w:t>
      </w:r>
      <w:r>
        <w:t>issues associated with the tax treatment of the Not-For- Profit Sector.</w:t>
      </w:r>
    </w:p>
    <w:p w14:paraId="5DEBDB27" w14:textId="77777777" w:rsidR="00320C68" w:rsidRDefault="00320C68" w:rsidP="00320C68"/>
    <w:p w14:paraId="3C4352D7" w14:textId="77777777" w:rsidR="00320C68" w:rsidRPr="006B3651" w:rsidRDefault="00320C68" w:rsidP="00320C68">
      <w:r>
        <w:t>We do not wish to comment on the paper issue by issue, preferring to focus at this stage on general key matters that we believe are central to the successful ongoing operations of Ports Australia and probably those  industry peak bodies that can effectively demonstrate their bona fides and importantly, that they generate substantial net  industry and community benefit .</w:t>
      </w:r>
    </w:p>
    <w:p w14:paraId="7DCDDC9E" w14:textId="77777777" w:rsidR="00320C68" w:rsidRDefault="00320C68" w:rsidP="00320C68">
      <w:pPr>
        <w:rPr>
          <w:b/>
        </w:rPr>
      </w:pPr>
    </w:p>
    <w:p w14:paraId="5D95836C" w14:textId="77777777" w:rsidR="00320C68" w:rsidRDefault="00320C68" w:rsidP="00320C68">
      <w:pPr>
        <w:rPr>
          <w:b/>
        </w:rPr>
      </w:pPr>
      <w:r w:rsidRPr="006B3651">
        <w:rPr>
          <w:b/>
        </w:rPr>
        <w:t xml:space="preserve">Ports Australia </w:t>
      </w:r>
      <w:r>
        <w:rPr>
          <w:b/>
        </w:rPr>
        <w:t>–</w:t>
      </w:r>
      <w:r w:rsidRPr="006B3651">
        <w:rPr>
          <w:b/>
        </w:rPr>
        <w:t xml:space="preserve"> Representation</w:t>
      </w:r>
    </w:p>
    <w:p w14:paraId="4BDFA0F9" w14:textId="77777777" w:rsidR="00320C68" w:rsidRDefault="00320C68" w:rsidP="00320C68"/>
    <w:p w14:paraId="5D2F4905" w14:textId="77777777" w:rsidR="00320C68" w:rsidRDefault="00320C68" w:rsidP="00320C68">
      <w:pPr>
        <w:rPr>
          <w:lang w:val="en-US"/>
        </w:rPr>
      </w:pPr>
      <w:r w:rsidRPr="006B3651">
        <w:t xml:space="preserve">Ports Australia is the peak industry body </w:t>
      </w:r>
      <w:r w:rsidR="00AD268A">
        <w:t xml:space="preserve">encapsulating </w:t>
      </w:r>
      <w:r w:rsidR="00AD268A" w:rsidRPr="006B3651">
        <w:t>all</w:t>
      </w:r>
      <w:r w:rsidRPr="006B3651">
        <w:t xml:space="preserve"> port authorities and corporations, both publicly and privately owned, at the national level.  Ports Australia is a constituted company limited by guarantee with a Board of Directors, comprising the CEOs of </w:t>
      </w:r>
      <w:r>
        <w:t xml:space="preserve">eleven </w:t>
      </w:r>
      <w:r w:rsidRPr="006B3651">
        <w:t>member ports</w:t>
      </w:r>
      <w:r>
        <w:t>.</w:t>
      </w:r>
      <w:r w:rsidRPr="006B3651">
        <w:t xml:space="preserve">  Our website is at </w:t>
      </w:r>
      <w:hyperlink r:id="rId13" w:history="1">
        <w:r w:rsidRPr="006B3651">
          <w:rPr>
            <w:rStyle w:val="Hyperlink"/>
          </w:rPr>
          <w:t>www.portsaustralia.com.au</w:t>
        </w:r>
      </w:hyperlink>
    </w:p>
    <w:p w14:paraId="7A11397A" w14:textId="77777777" w:rsidR="00320C68" w:rsidRDefault="00320C68" w:rsidP="00320C68">
      <w:pPr>
        <w:rPr>
          <w:lang w:val="en-US"/>
        </w:rPr>
      </w:pPr>
    </w:p>
    <w:p w14:paraId="01D6F669" w14:textId="77777777" w:rsidR="00320C68" w:rsidRDefault="00320C68" w:rsidP="00320C68">
      <w:pPr>
        <w:rPr>
          <w:lang w:val="en-US"/>
        </w:rPr>
      </w:pPr>
      <w:r>
        <w:rPr>
          <w:lang w:val="en-US"/>
        </w:rPr>
        <w:t>Ports Australia is accordingly subject to the disciplines required by Corporations Law and as a matter of company policy it has developed and adheres to high standards of governance and financial transparency.</w:t>
      </w:r>
    </w:p>
    <w:p w14:paraId="2EB7BBA4" w14:textId="77777777" w:rsidR="00C76D36" w:rsidRPr="00C76D36" w:rsidRDefault="00C76D36" w:rsidP="00C76D36">
      <w:pPr>
        <w:rPr>
          <w:u w:val="single"/>
          <w:lang w:val="en-US"/>
        </w:rPr>
      </w:pPr>
    </w:p>
    <w:p w14:paraId="59A63D79" w14:textId="77777777" w:rsidR="00C76D36" w:rsidRDefault="00C76D36" w:rsidP="00C76D36">
      <w:pPr>
        <w:rPr>
          <w:lang w:val="en-US"/>
        </w:rPr>
      </w:pPr>
      <w:r>
        <w:rPr>
          <w:lang w:val="en-US"/>
        </w:rPr>
        <w:t xml:space="preserve">Ports Australia represents the vast majority of port authorities and corporations as well as stakeholder organisations such as towage providers, stevedores, the RAN, engineering consultants and insurance providers.  We therefore claim that our activities span the Australian port community rather than only part of it. </w:t>
      </w:r>
    </w:p>
    <w:p w14:paraId="599132F5" w14:textId="77777777" w:rsidR="00C76D36" w:rsidRDefault="00C76D36" w:rsidP="00C76D36">
      <w:pPr>
        <w:rPr>
          <w:lang w:val="en-US"/>
        </w:rPr>
      </w:pPr>
    </w:p>
    <w:p w14:paraId="325CBF57" w14:textId="77777777" w:rsidR="00C76D36" w:rsidRDefault="00C76D36" w:rsidP="00C76D36">
      <w:pPr>
        <w:rPr>
          <w:lang w:val="en-US"/>
        </w:rPr>
      </w:pPr>
      <w:r>
        <w:rPr>
          <w:lang w:val="en-US"/>
        </w:rPr>
        <w:t>We recognize that the discussion paper addresses a wide range of organisations operating within the generically described Not-For-Profit (NFP) sector and that that some particular issues raised are, by way of example, more pertinent to charities than say industry peak bodies.</w:t>
      </w:r>
    </w:p>
    <w:p w14:paraId="2B253A62" w14:textId="77777777" w:rsidR="00320C68" w:rsidRDefault="00320C68" w:rsidP="00320C68">
      <w:pPr>
        <w:rPr>
          <w:lang w:val="en-US"/>
        </w:rPr>
      </w:pPr>
    </w:p>
    <w:p w14:paraId="4E3D89E8" w14:textId="77777777" w:rsidR="00320C68" w:rsidRPr="00C76D36" w:rsidRDefault="00320C68" w:rsidP="00C76D36">
      <w:pPr>
        <w:rPr>
          <w:b/>
          <w:lang w:val="en-US"/>
        </w:rPr>
      </w:pPr>
      <w:r w:rsidRPr="00C76D36">
        <w:rPr>
          <w:b/>
          <w:lang w:val="en-US"/>
        </w:rPr>
        <w:lastRenderedPageBreak/>
        <w:t xml:space="preserve">Supporting the Case for </w:t>
      </w:r>
      <w:r w:rsidR="00AC3F66" w:rsidRPr="00C76D36">
        <w:rPr>
          <w:b/>
          <w:lang w:val="en-US"/>
        </w:rPr>
        <w:t xml:space="preserve">Current </w:t>
      </w:r>
      <w:r w:rsidRPr="00C76D36">
        <w:rPr>
          <w:b/>
          <w:lang w:val="en-US"/>
        </w:rPr>
        <w:t xml:space="preserve">Tax </w:t>
      </w:r>
      <w:r w:rsidR="00E833A6" w:rsidRPr="00C76D36">
        <w:rPr>
          <w:b/>
          <w:lang w:val="en-US"/>
        </w:rPr>
        <w:t>Arrangements for the NFP S</w:t>
      </w:r>
      <w:r w:rsidR="00AC3F66" w:rsidRPr="00C76D36">
        <w:rPr>
          <w:b/>
          <w:lang w:val="en-US"/>
        </w:rPr>
        <w:t xml:space="preserve">ector  </w:t>
      </w:r>
    </w:p>
    <w:p w14:paraId="29E06DFD" w14:textId="77777777" w:rsidR="00320C68" w:rsidRDefault="00320C68" w:rsidP="00320C68">
      <w:pPr>
        <w:rPr>
          <w:lang w:val="en-US"/>
        </w:rPr>
      </w:pPr>
    </w:p>
    <w:p w14:paraId="21E83B2F" w14:textId="77777777" w:rsidR="00320C68" w:rsidRDefault="00320C68" w:rsidP="00320C68">
      <w:pPr>
        <w:rPr>
          <w:lang w:val="en-US"/>
        </w:rPr>
      </w:pPr>
      <w:r>
        <w:rPr>
          <w:lang w:val="en-US"/>
        </w:rPr>
        <w:t>Australia’s economic well-being is highly exposed to trade with nearly $400 billion worth of trade passing through member ports each year. Australia’s standard of living, access to consumer choice and the effective delivery of inputs to our mining and farm sectors is all highly dependent on the performance and competitiveness of our seaports.</w:t>
      </w:r>
    </w:p>
    <w:p w14:paraId="65333D5C" w14:textId="77777777" w:rsidR="00320C68" w:rsidRDefault="00320C68" w:rsidP="00320C68">
      <w:pPr>
        <w:rPr>
          <w:lang w:val="en-US"/>
        </w:rPr>
      </w:pPr>
    </w:p>
    <w:p w14:paraId="79C5D09B" w14:textId="77777777" w:rsidR="00320C68" w:rsidRDefault="00320C68" w:rsidP="00320C68">
      <w:pPr>
        <w:rPr>
          <w:lang w:val="en-US"/>
        </w:rPr>
      </w:pPr>
      <w:r>
        <w:rPr>
          <w:lang w:val="en-US"/>
        </w:rPr>
        <w:t>Core business for Ports Australia includes intensive engagement with the Federal Government and its agencies on the implementation of the National Ports Strategy which was developed as a collaborative endeavour between this organisation and the Government, to secure better policy and regulatory settings for ports, to ensure that they operate as efficiently as possible and importantly, to enable them to develop their capacity in a timely and sustainable way to meet the very robust increase in trade that is currently predicted.</w:t>
      </w:r>
    </w:p>
    <w:p w14:paraId="34E0B083" w14:textId="77777777" w:rsidR="00320C68" w:rsidRDefault="00320C68" w:rsidP="00320C68">
      <w:pPr>
        <w:rPr>
          <w:lang w:val="en-US"/>
        </w:rPr>
      </w:pPr>
    </w:p>
    <w:p w14:paraId="2AE06224" w14:textId="77777777" w:rsidR="00320C68" w:rsidRDefault="00320C68" w:rsidP="00320C68">
      <w:pPr>
        <w:rPr>
          <w:lang w:val="en-US"/>
        </w:rPr>
      </w:pPr>
      <w:r>
        <w:rPr>
          <w:lang w:val="en-US"/>
        </w:rPr>
        <w:t xml:space="preserve">No less importantly Ports Australia effectively facilitates the exchange and dissemination of information and best practice over the entire ports community including in the following areas: </w:t>
      </w:r>
    </w:p>
    <w:p w14:paraId="7D21BCAA" w14:textId="77777777" w:rsidR="00C76D36" w:rsidRDefault="00C76D36" w:rsidP="00320C68">
      <w:pPr>
        <w:rPr>
          <w:lang w:val="en-US"/>
        </w:rPr>
      </w:pPr>
    </w:p>
    <w:p w14:paraId="124FD1CD" w14:textId="77777777" w:rsidR="00320C68" w:rsidRDefault="00320C68" w:rsidP="00320C68">
      <w:pPr>
        <w:pStyle w:val="ListParagraph"/>
        <w:numPr>
          <w:ilvl w:val="0"/>
          <w:numId w:val="11"/>
        </w:numPr>
        <w:rPr>
          <w:lang w:val="en-US"/>
        </w:rPr>
      </w:pPr>
      <w:r>
        <w:rPr>
          <w:lang w:val="en-US"/>
        </w:rPr>
        <w:t>The safe navigation and operation of our ports, harbours and waterways;</w:t>
      </w:r>
    </w:p>
    <w:p w14:paraId="1B306BAF" w14:textId="77777777" w:rsidR="00320C68" w:rsidRDefault="00320C68" w:rsidP="00320C68">
      <w:pPr>
        <w:pStyle w:val="ListParagraph"/>
        <w:numPr>
          <w:ilvl w:val="0"/>
          <w:numId w:val="11"/>
        </w:numPr>
        <w:rPr>
          <w:lang w:val="en-US"/>
        </w:rPr>
      </w:pPr>
      <w:r>
        <w:rPr>
          <w:lang w:val="en-US"/>
        </w:rPr>
        <w:t>Safe practices within all aspects of port business;</w:t>
      </w:r>
    </w:p>
    <w:p w14:paraId="2B9FD39F" w14:textId="77777777" w:rsidR="00320C68" w:rsidRDefault="00320C68" w:rsidP="00320C68">
      <w:pPr>
        <w:pStyle w:val="ListParagraph"/>
        <w:numPr>
          <w:ilvl w:val="0"/>
          <w:numId w:val="11"/>
        </w:numPr>
        <w:rPr>
          <w:lang w:val="en-US"/>
        </w:rPr>
      </w:pPr>
      <w:r>
        <w:rPr>
          <w:lang w:val="en-US"/>
        </w:rPr>
        <w:t>Project management including environmental protection and safeguarding of the marine environment;</w:t>
      </w:r>
    </w:p>
    <w:p w14:paraId="2D863356" w14:textId="77777777" w:rsidR="00320C68" w:rsidRDefault="00320C68" w:rsidP="00320C68">
      <w:pPr>
        <w:pStyle w:val="ListParagraph"/>
        <w:numPr>
          <w:ilvl w:val="0"/>
          <w:numId w:val="11"/>
        </w:numPr>
        <w:rPr>
          <w:lang w:val="en-US"/>
        </w:rPr>
      </w:pPr>
      <w:r>
        <w:rPr>
          <w:lang w:val="en-US"/>
        </w:rPr>
        <w:t>Efficient port operations including the management of land side road and rail access corridors; and</w:t>
      </w:r>
    </w:p>
    <w:p w14:paraId="106C230B" w14:textId="77777777" w:rsidR="00C76D36" w:rsidRPr="00C76D36" w:rsidRDefault="00320C68" w:rsidP="00C76D36">
      <w:pPr>
        <w:pStyle w:val="ListParagraph"/>
        <w:numPr>
          <w:ilvl w:val="0"/>
          <w:numId w:val="11"/>
        </w:numPr>
        <w:rPr>
          <w:lang w:val="en-US"/>
        </w:rPr>
      </w:pPr>
      <w:r>
        <w:rPr>
          <w:lang w:val="en-US"/>
        </w:rPr>
        <w:t>The prevention of land use conflicts around ports and their freight precincts.</w:t>
      </w:r>
    </w:p>
    <w:p w14:paraId="1F890456" w14:textId="77777777" w:rsidR="00320C68" w:rsidRDefault="00320C68" w:rsidP="00320C68">
      <w:pPr>
        <w:rPr>
          <w:lang w:val="en-US"/>
        </w:rPr>
      </w:pPr>
      <w:r>
        <w:rPr>
          <w:lang w:val="en-US"/>
        </w:rPr>
        <w:t xml:space="preserve">With assistance of key people within our constituency Ports Australia carries out these functions on a budget of </w:t>
      </w:r>
      <w:r w:rsidR="001F353F">
        <w:rPr>
          <w:lang w:val="en-US"/>
        </w:rPr>
        <w:t>approximately</w:t>
      </w:r>
      <w:r>
        <w:rPr>
          <w:lang w:val="en-US"/>
        </w:rPr>
        <w:t xml:space="preserve"> $1 million per annum.  Our assertion is that our activities generate a very substantial community benefit and very small cost to the taxpayer by virtue of our tax free status and limited utilization of concessional FBT arrangements.</w:t>
      </w:r>
    </w:p>
    <w:p w14:paraId="66781894" w14:textId="77777777" w:rsidR="00320C68" w:rsidRDefault="00320C68" w:rsidP="00320C68">
      <w:pPr>
        <w:rPr>
          <w:lang w:val="en-US"/>
        </w:rPr>
      </w:pPr>
    </w:p>
    <w:p w14:paraId="2853CE98" w14:textId="77777777" w:rsidR="00320C68" w:rsidRDefault="00320C68" w:rsidP="00320C68">
      <w:pPr>
        <w:rPr>
          <w:lang w:val="en-US"/>
        </w:rPr>
      </w:pPr>
      <w:r>
        <w:rPr>
          <w:lang w:val="en-US"/>
        </w:rPr>
        <w:t>The message that we would wish to con</w:t>
      </w:r>
      <w:r w:rsidR="00C76D36">
        <w:rPr>
          <w:lang w:val="en-US"/>
        </w:rPr>
        <w:t>vey is that the taxation regimes under which we operate are</w:t>
      </w:r>
      <w:r>
        <w:rPr>
          <w:lang w:val="en-US"/>
        </w:rPr>
        <w:t xml:space="preserve"> sufficiently predictable and simple to enable us to carry out core business functions without the di</w:t>
      </w:r>
      <w:r w:rsidR="001F353F">
        <w:rPr>
          <w:lang w:val="en-US"/>
        </w:rPr>
        <w:t>straction of complex procedures.</w:t>
      </w:r>
    </w:p>
    <w:p w14:paraId="3229551E" w14:textId="77777777" w:rsidR="00C76D36" w:rsidRDefault="00C76D36" w:rsidP="00C76D36">
      <w:pPr>
        <w:rPr>
          <w:b/>
          <w:lang w:val="en-US"/>
        </w:rPr>
      </w:pPr>
    </w:p>
    <w:p w14:paraId="76B326B4" w14:textId="77777777" w:rsidR="00C76D36" w:rsidRPr="00C76D36" w:rsidRDefault="00C76D36" w:rsidP="00C76D36">
      <w:pPr>
        <w:rPr>
          <w:i/>
          <w:lang w:val="en-US"/>
        </w:rPr>
      </w:pPr>
      <w:r w:rsidRPr="00C76D36">
        <w:rPr>
          <w:lang w:val="en-US"/>
        </w:rPr>
        <w:t xml:space="preserve">We do not speak for other industry bodies and indeed recognize that there are many of them that vary in their effectiveness and capacity to extend their reach to the full extent of their potential constituencies.  Accordingly this suggests a wide variation in the net community benefit that individual peak bodies actually generate or have the ability to generate.  In this respect we would support a position that there is merit in organisations having to establish their respective bona fides in providing net community benefit that outweighs the concessions that may be made available to them. We also support the principles of simplicity and ease of compliance as these are consistent with the Government’s deregulation agenda.  </w:t>
      </w:r>
    </w:p>
    <w:p w14:paraId="51E0BA2E" w14:textId="77777777" w:rsidR="00C76D36" w:rsidRDefault="00C76D36" w:rsidP="00C76D36">
      <w:pPr>
        <w:rPr>
          <w:lang w:val="en-US"/>
        </w:rPr>
      </w:pPr>
    </w:p>
    <w:p w14:paraId="35535B0A" w14:textId="77777777" w:rsidR="00C76D36" w:rsidRDefault="00C76D36" w:rsidP="00C76D36">
      <w:pPr>
        <w:rPr>
          <w:lang w:val="en-US"/>
        </w:rPr>
      </w:pPr>
      <w:r>
        <w:rPr>
          <w:lang w:val="en-US"/>
        </w:rPr>
        <w:t xml:space="preserve">We support the goal of rigorous review of taxation concessions for bodies who categorize themselves as NFP where there is no real public interest case to provide them and where very real and demonstrable distortions are evident.  However we do not support their removal in the cases </w:t>
      </w:r>
      <w:r>
        <w:rPr>
          <w:lang w:val="en-US"/>
        </w:rPr>
        <w:lastRenderedPageBreak/>
        <w:t>such as Ports Australia where very substantial benefit is provided at small costs even if this means added or more rigorous requirements on organisations such as ours to substantiate the case that such benefits are real.</w:t>
      </w:r>
    </w:p>
    <w:p w14:paraId="59D870CA" w14:textId="77777777" w:rsidR="00C76D36" w:rsidRDefault="00C76D36" w:rsidP="00C76D36">
      <w:pPr>
        <w:rPr>
          <w:lang w:val="en-US"/>
        </w:rPr>
      </w:pPr>
    </w:p>
    <w:p w14:paraId="5F6BCD46" w14:textId="77777777" w:rsidR="00C76D36" w:rsidRDefault="00C76D36" w:rsidP="00C76D36">
      <w:pPr>
        <w:rPr>
          <w:lang w:val="en-US"/>
        </w:rPr>
      </w:pPr>
      <w:r>
        <w:rPr>
          <w:lang w:val="en-US"/>
        </w:rPr>
        <w:t xml:space="preserve">Further, the costs to the public purse is minimal particularly when compared to the potential costs  to the tax payer in the absence of the benefits that our activities provide which, for example, are in part directed to disseminating best environmental practice .  Thirdly the question of competitive neutrality is moot – some would argue that they were established in the first place to provide competitive neutrality with high paying corporations. </w:t>
      </w:r>
    </w:p>
    <w:p w14:paraId="45AED2BE" w14:textId="77777777" w:rsidR="00C76D36" w:rsidRPr="00C76D36" w:rsidRDefault="00C76D36" w:rsidP="00C76D36">
      <w:pPr>
        <w:rPr>
          <w:lang w:val="en-US"/>
        </w:rPr>
      </w:pPr>
    </w:p>
    <w:p w14:paraId="5ED79478" w14:textId="77777777" w:rsidR="00C76D36" w:rsidRDefault="00C76D36" w:rsidP="00C76D36">
      <w:pPr>
        <w:rPr>
          <w:lang w:val="en-US"/>
        </w:rPr>
      </w:pPr>
      <w:r w:rsidRPr="00C76D36">
        <w:rPr>
          <w:lang w:val="en-US"/>
        </w:rPr>
        <w:t>Ports Australia is subject to the Corporation’s law and the requirements of the ATO.  These processes and requirements are well defined and clear and for organisations with good governance and systems, and who can point to a very useful purpose by virtue of their existence and activities, compliance is straight forward and uncomplicated.</w:t>
      </w:r>
      <w:r>
        <w:rPr>
          <w:lang w:val="en-US"/>
        </w:rPr>
        <w:t xml:space="preserve">  </w:t>
      </w:r>
      <w:r w:rsidRPr="00C76D36">
        <w:rPr>
          <w:lang w:val="en-US"/>
        </w:rPr>
        <w:t>Ports Australia is one such organization.  While, at this point at least, we would not be able to provide a precise empirical measure of the community benefit that we generate we are confident that it is present and that it is substantial.</w:t>
      </w:r>
    </w:p>
    <w:p w14:paraId="0F67AA72" w14:textId="77777777" w:rsidR="00836DCE" w:rsidRDefault="00836DCE" w:rsidP="00320C68">
      <w:pPr>
        <w:rPr>
          <w:lang w:val="en-US"/>
        </w:rPr>
      </w:pPr>
    </w:p>
    <w:p w14:paraId="17028BA4" w14:textId="77777777" w:rsidR="00320C68" w:rsidRDefault="00320C68" w:rsidP="00320C68">
      <w:pPr>
        <w:rPr>
          <w:lang w:val="en-US"/>
        </w:rPr>
      </w:pPr>
      <w:r>
        <w:rPr>
          <w:lang w:val="en-US"/>
        </w:rPr>
        <w:t>We would be happy to elaborate on the points made in this submission.</w:t>
      </w:r>
    </w:p>
    <w:p w14:paraId="57B3DD35" w14:textId="77777777" w:rsidR="00836DCE" w:rsidRDefault="00836DCE" w:rsidP="00320C68">
      <w:pPr>
        <w:rPr>
          <w:b/>
          <w:lang w:val="en-US"/>
        </w:rPr>
      </w:pPr>
    </w:p>
    <w:p w14:paraId="2A3A10CC" w14:textId="77777777" w:rsidR="00F436FC" w:rsidRDefault="001F353F" w:rsidP="00B1467F">
      <w:r>
        <w:t>Yours faithfully,</w:t>
      </w:r>
    </w:p>
    <w:p w14:paraId="10A33416" w14:textId="77777777" w:rsidR="001F353F" w:rsidRDefault="001F353F" w:rsidP="00B1467F"/>
    <w:p w14:paraId="6011D887" w14:textId="77777777" w:rsidR="001F353F" w:rsidRDefault="001F353F" w:rsidP="00B1467F"/>
    <w:p w14:paraId="27AC9726" w14:textId="77777777" w:rsidR="001F353F" w:rsidRDefault="001F353F" w:rsidP="00B1467F"/>
    <w:p w14:paraId="232F5A0F" w14:textId="77777777" w:rsidR="001F353F" w:rsidRDefault="001F353F" w:rsidP="00B1467F"/>
    <w:p w14:paraId="6A9EAF56" w14:textId="77777777" w:rsidR="001F353F" w:rsidRPr="001F353F" w:rsidRDefault="001F353F" w:rsidP="00B1467F">
      <w:pPr>
        <w:rPr>
          <w:b/>
        </w:rPr>
      </w:pPr>
      <w:r w:rsidRPr="001F353F">
        <w:rPr>
          <w:b/>
        </w:rPr>
        <w:t>David Anderson</w:t>
      </w:r>
    </w:p>
    <w:p w14:paraId="64B977CB" w14:textId="77777777" w:rsidR="001F353F" w:rsidRPr="001F353F" w:rsidRDefault="001F353F" w:rsidP="00B1467F">
      <w:pPr>
        <w:rPr>
          <w:b/>
        </w:rPr>
      </w:pPr>
      <w:r w:rsidRPr="001F353F">
        <w:rPr>
          <w:b/>
        </w:rPr>
        <w:t xml:space="preserve">Chief Executive Officer </w:t>
      </w:r>
    </w:p>
    <w:sectPr w:rsidR="001F353F" w:rsidRPr="001F353F" w:rsidSect="00134946">
      <w:headerReference w:type="default" r:id="rId14"/>
      <w:footerReference w:type="default" r:id="rId15"/>
      <w:headerReference w:type="first" r:id="rId16"/>
      <w:pgSz w:w="11907" w:h="16840" w:code="9"/>
      <w:pgMar w:top="1633" w:right="1440" w:bottom="1077" w:left="1418" w:header="0" w:footer="1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B708DC" w14:textId="77777777" w:rsidR="00F436FC" w:rsidRDefault="00F436FC">
      <w:r>
        <w:separator/>
      </w:r>
    </w:p>
  </w:endnote>
  <w:endnote w:type="continuationSeparator" w:id="0">
    <w:p w14:paraId="1ACE3B60" w14:textId="77777777" w:rsidR="00F436FC" w:rsidRDefault="00F43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DA13B" w14:textId="77777777" w:rsidR="00F436FC" w:rsidRPr="00431752" w:rsidRDefault="00F436FC" w:rsidP="005C70CF">
    <w:pPr>
      <w:pStyle w:val="Footer"/>
      <w:tabs>
        <w:tab w:val="clear" w:pos="4320"/>
        <w:tab w:val="clear" w:pos="8640"/>
        <w:tab w:val="right" w:pos="9720"/>
      </w:tabs>
      <w:ind w:left="-540" w:right="-695"/>
      <w:rPr>
        <w:rFonts w:asciiTheme="minorHAnsi" w:hAnsiTheme="minorHAnsi" w:cstheme="minorHAnsi"/>
      </w:rPr>
    </w:pPr>
    <w:r>
      <w:rPr>
        <w:rFonts w:ascii="Arial" w:hAnsi="Arial" w:cs="Arial"/>
        <w:noProof/>
        <w:lang w:eastAsia="en-AU"/>
      </w:rPr>
      <w:drawing>
        <wp:inline distT="0" distB="0" distL="0" distR="0" wp14:anchorId="79F88993" wp14:editId="4EC2C6AF">
          <wp:extent cx="1438275" cy="161925"/>
          <wp:effectExtent l="0" t="0" r="9525" b="9525"/>
          <wp:docPr id="1" name="Picture 1" descr="ports_log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rts_logo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161925"/>
                  </a:xfrm>
                  <a:prstGeom prst="rect">
                    <a:avLst/>
                  </a:prstGeom>
                  <a:noFill/>
                  <a:ln>
                    <a:noFill/>
                  </a:ln>
                </pic:spPr>
              </pic:pic>
            </a:graphicData>
          </a:graphic>
        </wp:inline>
      </w:drawing>
    </w:r>
    <w:r>
      <w:rPr>
        <w:rStyle w:val="PageNumber"/>
        <w:rFonts w:ascii="Arial" w:hAnsi="Arial" w:cs="Arial"/>
      </w:rPr>
      <w:tab/>
    </w:r>
    <w:r w:rsidRPr="00431752">
      <w:rPr>
        <w:rStyle w:val="PageNumber"/>
        <w:rFonts w:asciiTheme="minorHAnsi" w:hAnsiTheme="minorHAnsi" w:cstheme="minorHAnsi"/>
      </w:rPr>
      <w:t xml:space="preserve">Page </w:t>
    </w:r>
    <w:r w:rsidRPr="00431752">
      <w:rPr>
        <w:rStyle w:val="PageNumber"/>
        <w:rFonts w:asciiTheme="minorHAnsi" w:hAnsiTheme="minorHAnsi" w:cstheme="minorHAnsi"/>
      </w:rPr>
      <w:fldChar w:fldCharType="begin"/>
    </w:r>
    <w:r w:rsidRPr="00431752">
      <w:rPr>
        <w:rStyle w:val="PageNumber"/>
        <w:rFonts w:asciiTheme="minorHAnsi" w:hAnsiTheme="minorHAnsi" w:cstheme="minorHAnsi"/>
      </w:rPr>
      <w:instrText xml:space="preserve"> PAGE </w:instrText>
    </w:r>
    <w:r w:rsidRPr="00431752">
      <w:rPr>
        <w:rStyle w:val="PageNumber"/>
        <w:rFonts w:asciiTheme="minorHAnsi" w:hAnsiTheme="minorHAnsi" w:cstheme="minorHAnsi"/>
      </w:rPr>
      <w:fldChar w:fldCharType="separate"/>
    </w:r>
    <w:r w:rsidR="00961254">
      <w:rPr>
        <w:rStyle w:val="PageNumber"/>
        <w:rFonts w:asciiTheme="minorHAnsi" w:hAnsiTheme="minorHAnsi" w:cstheme="minorHAnsi"/>
        <w:noProof/>
      </w:rPr>
      <w:t>3</w:t>
    </w:r>
    <w:r w:rsidRPr="00431752">
      <w:rPr>
        <w:rStyle w:val="PageNumber"/>
        <w:rFonts w:asciiTheme="minorHAnsi" w:hAnsiTheme="minorHAnsi" w:cstheme="minorHAnsi"/>
      </w:rPr>
      <w:fldChar w:fldCharType="end"/>
    </w:r>
    <w:r w:rsidRPr="00431752">
      <w:rPr>
        <w:rStyle w:val="PageNumber"/>
        <w:rFonts w:asciiTheme="minorHAnsi" w:hAnsiTheme="minorHAnsi" w:cstheme="minorHAnsi"/>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3582C2" w14:textId="77777777" w:rsidR="00F436FC" w:rsidRDefault="00F436FC">
      <w:r>
        <w:separator/>
      </w:r>
    </w:p>
  </w:footnote>
  <w:footnote w:type="continuationSeparator" w:id="0">
    <w:p w14:paraId="65A93F79" w14:textId="77777777" w:rsidR="00F436FC" w:rsidRDefault="00F436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B3AE6" w14:textId="77777777" w:rsidR="00F436FC" w:rsidRPr="00A322E7" w:rsidRDefault="00F436FC">
    <w:pPr>
      <w:pStyle w:val="Header"/>
      <w:rPr>
        <w:rFonts w:ascii="Arial" w:hAnsi="Arial" w:cs="Arial"/>
      </w:rPr>
    </w:pPr>
  </w:p>
  <w:p w14:paraId="4B6F57B4" w14:textId="77777777" w:rsidR="00F436FC" w:rsidRPr="00A322E7" w:rsidRDefault="00F436FC">
    <w:pPr>
      <w:pStyle w:val="Head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ED998" w14:textId="77777777" w:rsidR="00F436FC" w:rsidRDefault="00F436FC" w:rsidP="003E4E94">
    <w:pPr>
      <w:pStyle w:val="Header"/>
      <w:jc w:val="center"/>
    </w:pPr>
    <w:r>
      <w:rPr>
        <w:noProof/>
        <w:lang w:eastAsia="en-AU"/>
      </w:rPr>
      <w:drawing>
        <wp:anchor distT="0" distB="0" distL="114300" distR="114300" simplePos="0" relativeHeight="251657728" behindDoc="1" locked="1" layoutInCell="1" allowOverlap="1" wp14:anchorId="214D1233" wp14:editId="24BFF436">
          <wp:simplePos x="0" y="0"/>
          <wp:positionH relativeFrom="page">
            <wp:align>center</wp:align>
          </wp:positionH>
          <wp:positionV relativeFrom="page">
            <wp:posOffset>0</wp:posOffset>
          </wp:positionV>
          <wp:extent cx="6840220" cy="1031875"/>
          <wp:effectExtent l="0" t="0" r="0" b="0"/>
          <wp:wrapTight wrapText="bothSides">
            <wp:wrapPolygon edited="0">
              <wp:start x="0" y="0"/>
              <wp:lineTo x="0" y="21135"/>
              <wp:lineTo x="21536" y="21135"/>
              <wp:lineTo x="2153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1031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71014"/>
    <w:multiLevelType w:val="hybridMultilevel"/>
    <w:tmpl w:val="641AD984"/>
    <w:lvl w:ilvl="0" w:tplc="35DA7E78">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A6F41FD"/>
    <w:multiLevelType w:val="hybridMultilevel"/>
    <w:tmpl w:val="9C0E65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4316AF"/>
    <w:multiLevelType w:val="hybridMultilevel"/>
    <w:tmpl w:val="4ECE9B3E"/>
    <w:lvl w:ilvl="0" w:tplc="E074802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4EC2C26"/>
    <w:multiLevelType w:val="hybridMultilevel"/>
    <w:tmpl w:val="DBC00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261719A"/>
    <w:multiLevelType w:val="hybridMultilevel"/>
    <w:tmpl w:val="63D698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4970D95"/>
    <w:multiLevelType w:val="hybridMultilevel"/>
    <w:tmpl w:val="1E7030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D8118BF"/>
    <w:multiLevelType w:val="hybridMultilevel"/>
    <w:tmpl w:val="401E54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F42344D"/>
    <w:multiLevelType w:val="hybridMultilevel"/>
    <w:tmpl w:val="72EC54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3E75350"/>
    <w:multiLevelType w:val="hybridMultilevel"/>
    <w:tmpl w:val="BB8464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518160D"/>
    <w:multiLevelType w:val="hybridMultilevel"/>
    <w:tmpl w:val="4C20F5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8C6086D"/>
    <w:multiLevelType w:val="multilevel"/>
    <w:tmpl w:val="C1EE44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B2D482C"/>
    <w:multiLevelType w:val="hybridMultilevel"/>
    <w:tmpl w:val="0D4A3EF6"/>
    <w:lvl w:ilvl="0" w:tplc="04090001">
      <w:start w:val="1"/>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7E82175E"/>
    <w:multiLevelType w:val="hybridMultilevel"/>
    <w:tmpl w:val="37F4D6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1"/>
  </w:num>
  <w:num w:numId="4">
    <w:abstractNumId w:val="6"/>
  </w:num>
  <w:num w:numId="5">
    <w:abstractNumId w:val="0"/>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12"/>
  </w:num>
  <w:num w:numId="10">
    <w:abstractNumId w:val="4"/>
  </w:num>
  <w:num w:numId="11">
    <w:abstractNumId w:val="8"/>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2D9"/>
    <w:rsid w:val="000044C1"/>
    <w:rsid w:val="000443C8"/>
    <w:rsid w:val="0005427E"/>
    <w:rsid w:val="000A3EDF"/>
    <w:rsid w:val="000B6C8E"/>
    <w:rsid w:val="00121CEC"/>
    <w:rsid w:val="00134946"/>
    <w:rsid w:val="00152270"/>
    <w:rsid w:val="00166697"/>
    <w:rsid w:val="001F353F"/>
    <w:rsid w:val="00204125"/>
    <w:rsid w:val="002D2458"/>
    <w:rsid w:val="00320C68"/>
    <w:rsid w:val="003853D9"/>
    <w:rsid w:val="003978BB"/>
    <w:rsid w:val="003C27D3"/>
    <w:rsid w:val="003E1AF7"/>
    <w:rsid w:val="003E4E94"/>
    <w:rsid w:val="003F28FD"/>
    <w:rsid w:val="00431752"/>
    <w:rsid w:val="00440A06"/>
    <w:rsid w:val="004424E1"/>
    <w:rsid w:val="004C61C6"/>
    <w:rsid w:val="004E68F0"/>
    <w:rsid w:val="00581AD0"/>
    <w:rsid w:val="005A3F7C"/>
    <w:rsid w:val="005C70CF"/>
    <w:rsid w:val="0060506B"/>
    <w:rsid w:val="006066A0"/>
    <w:rsid w:val="00631301"/>
    <w:rsid w:val="00633D99"/>
    <w:rsid w:val="006432C9"/>
    <w:rsid w:val="00675744"/>
    <w:rsid w:val="00703421"/>
    <w:rsid w:val="00727567"/>
    <w:rsid w:val="007400C5"/>
    <w:rsid w:val="0078504B"/>
    <w:rsid w:val="00790FCA"/>
    <w:rsid w:val="007D6901"/>
    <w:rsid w:val="0081134D"/>
    <w:rsid w:val="00836DCE"/>
    <w:rsid w:val="008407AC"/>
    <w:rsid w:val="00865178"/>
    <w:rsid w:val="00880908"/>
    <w:rsid w:val="008C2183"/>
    <w:rsid w:val="008C570B"/>
    <w:rsid w:val="008F2CB0"/>
    <w:rsid w:val="0095534B"/>
    <w:rsid w:val="00957200"/>
    <w:rsid w:val="00961254"/>
    <w:rsid w:val="009C68EF"/>
    <w:rsid w:val="00A322E7"/>
    <w:rsid w:val="00AC3F66"/>
    <w:rsid w:val="00AD268A"/>
    <w:rsid w:val="00B05330"/>
    <w:rsid w:val="00B1467F"/>
    <w:rsid w:val="00B362D9"/>
    <w:rsid w:val="00B43471"/>
    <w:rsid w:val="00B46C9A"/>
    <w:rsid w:val="00B82D98"/>
    <w:rsid w:val="00BA5E84"/>
    <w:rsid w:val="00C76D36"/>
    <w:rsid w:val="00C93539"/>
    <w:rsid w:val="00CC36E4"/>
    <w:rsid w:val="00DC3ED0"/>
    <w:rsid w:val="00DD4914"/>
    <w:rsid w:val="00E20EE6"/>
    <w:rsid w:val="00E4483F"/>
    <w:rsid w:val="00E833A6"/>
    <w:rsid w:val="00EB14E0"/>
    <w:rsid w:val="00EE1CA4"/>
    <w:rsid w:val="00EF5B4E"/>
    <w:rsid w:val="00F13E9C"/>
    <w:rsid w:val="00F24766"/>
    <w:rsid w:val="00F436FC"/>
    <w:rsid w:val="00F77827"/>
    <w:rsid w:val="00F8424C"/>
    <w:rsid w:val="00F84F44"/>
    <w:rsid w:val="00FB41CA"/>
    <w:rsid w:val="00FE1E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2AED4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41CA"/>
    <w:pPr>
      <w:spacing w:line="276" w:lineRule="auto"/>
    </w:pPr>
    <w:rPr>
      <w:rFonts w:ascii="Calibri" w:hAnsi="Calibri"/>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362D9"/>
    <w:pPr>
      <w:tabs>
        <w:tab w:val="center" w:pos="4320"/>
        <w:tab w:val="right" w:pos="8640"/>
      </w:tabs>
    </w:pPr>
  </w:style>
  <w:style w:type="paragraph" w:styleId="Footer">
    <w:name w:val="footer"/>
    <w:basedOn w:val="Normal"/>
    <w:rsid w:val="00B362D9"/>
    <w:pPr>
      <w:tabs>
        <w:tab w:val="center" w:pos="4320"/>
        <w:tab w:val="right" w:pos="8640"/>
      </w:tabs>
    </w:pPr>
  </w:style>
  <w:style w:type="character" w:styleId="PageNumber">
    <w:name w:val="page number"/>
    <w:basedOn w:val="DefaultParagraphFont"/>
    <w:rsid w:val="00B46C9A"/>
  </w:style>
  <w:style w:type="character" w:styleId="Hyperlink">
    <w:name w:val="Hyperlink"/>
    <w:rsid w:val="00581AD0"/>
    <w:rPr>
      <w:color w:val="0000FF"/>
      <w:u w:val="single"/>
    </w:rPr>
  </w:style>
  <w:style w:type="paragraph" w:styleId="NormalWeb">
    <w:name w:val="Normal (Web)"/>
    <w:basedOn w:val="Normal"/>
    <w:uiPriority w:val="99"/>
    <w:rsid w:val="007400C5"/>
    <w:pPr>
      <w:spacing w:before="100" w:beforeAutospacing="1" w:after="100" w:afterAutospacing="1"/>
    </w:pPr>
    <w:rPr>
      <w:color w:val="000000"/>
      <w:sz w:val="24"/>
      <w:szCs w:val="24"/>
      <w:lang w:val="en-US"/>
    </w:rPr>
  </w:style>
  <w:style w:type="character" w:styleId="Strong">
    <w:name w:val="Strong"/>
    <w:qFormat/>
    <w:rsid w:val="007400C5"/>
    <w:rPr>
      <w:b/>
      <w:bCs/>
    </w:rPr>
  </w:style>
  <w:style w:type="character" w:styleId="Emphasis">
    <w:name w:val="Emphasis"/>
    <w:qFormat/>
    <w:rsid w:val="007400C5"/>
    <w:rPr>
      <w:i/>
      <w:iCs/>
    </w:rPr>
  </w:style>
  <w:style w:type="character" w:styleId="FollowedHyperlink">
    <w:name w:val="FollowedHyperlink"/>
    <w:rsid w:val="007400C5"/>
    <w:rPr>
      <w:color w:val="800080"/>
      <w:u w:val="single"/>
    </w:rPr>
  </w:style>
  <w:style w:type="paragraph" w:styleId="BalloonText">
    <w:name w:val="Balloon Text"/>
    <w:basedOn w:val="Normal"/>
    <w:semiHidden/>
    <w:rsid w:val="00675744"/>
    <w:rPr>
      <w:rFonts w:ascii="Tahoma" w:hAnsi="Tahoma" w:cs="Tahoma"/>
      <w:sz w:val="16"/>
      <w:szCs w:val="16"/>
    </w:rPr>
  </w:style>
  <w:style w:type="paragraph" w:styleId="ListParagraph">
    <w:name w:val="List Paragraph"/>
    <w:basedOn w:val="Normal"/>
    <w:uiPriority w:val="34"/>
    <w:qFormat/>
    <w:rsid w:val="00320C68"/>
    <w:pPr>
      <w:spacing w:after="200"/>
      <w:ind w:left="720"/>
      <w:contextualSpacing/>
    </w:pPr>
    <w:rPr>
      <w:rFonts w:asciiTheme="minorHAnsi" w:eastAsiaTheme="minorHAnsi"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41CA"/>
    <w:pPr>
      <w:spacing w:line="276" w:lineRule="auto"/>
    </w:pPr>
    <w:rPr>
      <w:rFonts w:ascii="Calibri" w:hAnsi="Calibri"/>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362D9"/>
    <w:pPr>
      <w:tabs>
        <w:tab w:val="center" w:pos="4320"/>
        <w:tab w:val="right" w:pos="8640"/>
      </w:tabs>
    </w:pPr>
  </w:style>
  <w:style w:type="paragraph" w:styleId="Footer">
    <w:name w:val="footer"/>
    <w:basedOn w:val="Normal"/>
    <w:rsid w:val="00B362D9"/>
    <w:pPr>
      <w:tabs>
        <w:tab w:val="center" w:pos="4320"/>
        <w:tab w:val="right" w:pos="8640"/>
      </w:tabs>
    </w:pPr>
  </w:style>
  <w:style w:type="character" w:styleId="PageNumber">
    <w:name w:val="page number"/>
    <w:basedOn w:val="DefaultParagraphFont"/>
    <w:rsid w:val="00B46C9A"/>
  </w:style>
  <w:style w:type="character" w:styleId="Hyperlink">
    <w:name w:val="Hyperlink"/>
    <w:rsid w:val="00581AD0"/>
    <w:rPr>
      <w:color w:val="0000FF"/>
      <w:u w:val="single"/>
    </w:rPr>
  </w:style>
  <w:style w:type="paragraph" w:styleId="NormalWeb">
    <w:name w:val="Normal (Web)"/>
    <w:basedOn w:val="Normal"/>
    <w:uiPriority w:val="99"/>
    <w:rsid w:val="007400C5"/>
    <w:pPr>
      <w:spacing w:before="100" w:beforeAutospacing="1" w:after="100" w:afterAutospacing="1"/>
    </w:pPr>
    <w:rPr>
      <w:color w:val="000000"/>
      <w:sz w:val="24"/>
      <w:szCs w:val="24"/>
      <w:lang w:val="en-US"/>
    </w:rPr>
  </w:style>
  <w:style w:type="character" w:styleId="Strong">
    <w:name w:val="Strong"/>
    <w:qFormat/>
    <w:rsid w:val="007400C5"/>
    <w:rPr>
      <w:b/>
      <w:bCs/>
    </w:rPr>
  </w:style>
  <w:style w:type="character" w:styleId="Emphasis">
    <w:name w:val="Emphasis"/>
    <w:qFormat/>
    <w:rsid w:val="007400C5"/>
    <w:rPr>
      <w:i/>
      <w:iCs/>
    </w:rPr>
  </w:style>
  <w:style w:type="character" w:styleId="FollowedHyperlink">
    <w:name w:val="FollowedHyperlink"/>
    <w:rsid w:val="007400C5"/>
    <w:rPr>
      <w:color w:val="800080"/>
      <w:u w:val="single"/>
    </w:rPr>
  </w:style>
  <w:style w:type="paragraph" w:styleId="BalloonText">
    <w:name w:val="Balloon Text"/>
    <w:basedOn w:val="Normal"/>
    <w:semiHidden/>
    <w:rsid w:val="00675744"/>
    <w:rPr>
      <w:rFonts w:ascii="Tahoma" w:hAnsi="Tahoma" w:cs="Tahoma"/>
      <w:sz w:val="16"/>
      <w:szCs w:val="16"/>
    </w:rPr>
  </w:style>
  <w:style w:type="paragraph" w:styleId="ListParagraph">
    <w:name w:val="List Paragraph"/>
    <w:basedOn w:val="Normal"/>
    <w:uiPriority w:val="34"/>
    <w:qFormat/>
    <w:rsid w:val="00320C68"/>
    <w:pPr>
      <w:spacing w:after="200"/>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225771">
      <w:bodyDiv w:val="1"/>
      <w:marLeft w:val="0"/>
      <w:marRight w:val="0"/>
      <w:marTop w:val="0"/>
      <w:marBottom w:val="0"/>
      <w:divBdr>
        <w:top w:val="none" w:sz="0" w:space="0" w:color="auto"/>
        <w:left w:val="none" w:sz="0" w:space="0" w:color="auto"/>
        <w:bottom w:val="none" w:sz="0" w:space="0" w:color="auto"/>
        <w:right w:val="none" w:sz="0" w:space="0" w:color="auto"/>
      </w:divBdr>
      <w:divsChild>
        <w:div w:id="30762577">
          <w:marLeft w:val="0"/>
          <w:marRight w:val="0"/>
          <w:marTop w:val="0"/>
          <w:marBottom w:val="0"/>
          <w:divBdr>
            <w:top w:val="none" w:sz="0" w:space="0" w:color="auto"/>
            <w:left w:val="none" w:sz="0" w:space="0" w:color="auto"/>
            <w:bottom w:val="none" w:sz="0" w:space="0" w:color="auto"/>
            <w:right w:val="none" w:sz="0" w:space="0" w:color="auto"/>
          </w:divBdr>
          <w:divsChild>
            <w:div w:id="242381015">
              <w:marLeft w:val="-225"/>
              <w:marRight w:val="-225"/>
              <w:marTop w:val="0"/>
              <w:marBottom w:val="0"/>
              <w:divBdr>
                <w:top w:val="none" w:sz="0" w:space="0" w:color="auto"/>
                <w:left w:val="none" w:sz="0" w:space="0" w:color="auto"/>
                <w:bottom w:val="none" w:sz="0" w:space="0" w:color="auto"/>
                <w:right w:val="none" w:sz="0" w:space="0" w:color="auto"/>
              </w:divBdr>
              <w:divsChild>
                <w:div w:id="575088006">
                  <w:marLeft w:val="0"/>
                  <w:marRight w:val="0"/>
                  <w:marTop w:val="0"/>
                  <w:marBottom w:val="0"/>
                  <w:divBdr>
                    <w:top w:val="none" w:sz="0" w:space="0" w:color="auto"/>
                    <w:left w:val="none" w:sz="0" w:space="0" w:color="auto"/>
                    <w:bottom w:val="none" w:sz="0" w:space="0" w:color="auto"/>
                    <w:right w:val="none" w:sz="0" w:space="0" w:color="auto"/>
                  </w:divBdr>
                  <w:divsChild>
                    <w:div w:id="1317606509">
                      <w:marLeft w:val="0"/>
                      <w:marRight w:val="0"/>
                      <w:marTop w:val="0"/>
                      <w:marBottom w:val="0"/>
                      <w:divBdr>
                        <w:top w:val="none" w:sz="0" w:space="0" w:color="auto"/>
                        <w:left w:val="none" w:sz="0" w:space="0" w:color="auto"/>
                        <w:bottom w:val="none" w:sz="0" w:space="0" w:color="auto"/>
                        <w:right w:val="none" w:sz="0" w:space="0" w:color="auto"/>
                      </w:divBdr>
                      <w:divsChild>
                        <w:div w:id="360517905">
                          <w:marLeft w:val="0"/>
                          <w:marRight w:val="0"/>
                          <w:marTop w:val="300"/>
                          <w:marBottom w:val="300"/>
                          <w:divBdr>
                            <w:top w:val="single" w:sz="6" w:space="15" w:color="0485AA"/>
                            <w:left w:val="single" w:sz="36" w:space="15" w:color="0485AA"/>
                            <w:bottom w:val="single" w:sz="6" w:space="15" w:color="0485AA"/>
                            <w:right w:val="single" w:sz="6" w:space="15" w:color="0485AA"/>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ortsaustralia.com.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bettertax@treasury.gov.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2014RG-82-8021</_dlc_DocId>
    <_dlc_DocIdUrl xmlns="9f7bc583-7cbe-45b9-a2bd-8bbb6543b37e">
      <Url>http://tweb/sites/rg/project/twptf/_layouts/15/DocIdRedir.aspx?ID=2014RG-82-8021</Url>
      <Description>2014RG-82-8021</Description>
    </_dlc_DocIdUrl>
  </documentManagement>
</p:properties>
</file>

<file path=customXml/itemProps1.xml><?xml version="1.0" encoding="utf-8"?>
<ds:datastoreItem xmlns:ds="http://schemas.openxmlformats.org/officeDocument/2006/customXml" ds:itemID="{B8A731CA-CDB6-42E0-B3F3-E980BAD766C6}"/>
</file>

<file path=customXml/itemProps2.xml><?xml version="1.0" encoding="utf-8"?>
<ds:datastoreItem xmlns:ds="http://schemas.openxmlformats.org/officeDocument/2006/customXml" ds:itemID="{B7C3EF97-5027-4C70-AFED-298B82628637}"/>
</file>

<file path=customXml/itemProps3.xml><?xml version="1.0" encoding="utf-8"?>
<ds:datastoreItem xmlns:ds="http://schemas.openxmlformats.org/officeDocument/2006/customXml" ds:itemID="{EF5DF763-ADA4-433B-B71B-A06B1E1C2A3F}"/>
</file>

<file path=customXml/itemProps4.xml><?xml version="1.0" encoding="utf-8"?>
<ds:datastoreItem xmlns:ds="http://schemas.openxmlformats.org/officeDocument/2006/customXml" ds:itemID="{33DEDC4A-5622-4948-940A-34E678ADC2F1}"/>
</file>

<file path=docProps/app.xml><?xml version="1.0" encoding="utf-8"?>
<Properties xmlns="http://schemas.openxmlformats.org/officeDocument/2006/extended-properties" xmlns:vt="http://schemas.openxmlformats.org/officeDocument/2006/docPropsVTypes">
  <Template>Normal.dotm</Template>
  <TotalTime>1</TotalTime>
  <Pages>3</Pages>
  <Words>985</Words>
  <Characters>5566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silvana</dc:creator>
  <cp:lastModifiedBy>McLeod, Caitlin</cp:lastModifiedBy>
  <cp:revision>2</cp:revision>
  <cp:lastPrinted>2015-04-09T05:19:00Z</cp:lastPrinted>
  <dcterms:created xsi:type="dcterms:W3CDTF">2015-05-29T04:59:00Z</dcterms:created>
  <dcterms:modified xsi:type="dcterms:W3CDTF">2015-05-29T04:59:00Z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fdee5547-7c01-4148-ba82-e2a782b6a3cd</vt:lpwstr>
  </property>
</Properties>
</file>