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38AE8" w14:textId="593124CC" w:rsidR="00CB4396" w:rsidRPr="0010380E" w:rsidRDefault="00C1263C" w:rsidP="00CB4396">
      <w:bookmarkStart w:id="0" w:name="_GoBack"/>
      <w:bookmarkEnd w:id="0"/>
      <w:r>
        <w:t>1 June 2015</w:t>
      </w:r>
    </w:p>
    <w:p w14:paraId="0D74C49F" w14:textId="77777777" w:rsidR="00CB4396" w:rsidRDefault="00CB4396" w:rsidP="00CB4396">
      <w:pPr>
        <w:tabs>
          <w:tab w:val="left" w:pos="5865"/>
        </w:tabs>
      </w:pPr>
    </w:p>
    <w:p w14:paraId="53A7AF40" w14:textId="77777777" w:rsidR="00CB4396" w:rsidRPr="0010380E" w:rsidRDefault="00CB4396" w:rsidP="00CB4396">
      <w:pPr>
        <w:tabs>
          <w:tab w:val="left" w:pos="5865"/>
        </w:tabs>
      </w:pPr>
    </w:p>
    <w:p w14:paraId="56D850CF" w14:textId="77777777" w:rsidR="00CD6BD7" w:rsidRDefault="00CD6BD7" w:rsidP="00CD6BD7">
      <w:r>
        <w:t>Tax White Paper Task Force</w:t>
      </w:r>
    </w:p>
    <w:p w14:paraId="43A10884" w14:textId="77777777" w:rsidR="00CD6BD7" w:rsidRDefault="00CD6BD7" w:rsidP="00CD6BD7">
      <w:r>
        <w:t>The Treasury</w:t>
      </w:r>
    </w:p>
    <w:p w14:paraId="13D07856" w14:textId="77777777" w:rsidR="00CD6BD7" w:rsidRDefault="00CD6BD7" w:rsidP="00CD6BD7">
      <w:r>
        <w:t>Langton Crescent</w:t>
      </w:r>
    </w:p>
    <w:p w14:paraId="150EC87F" w14:textId="3FA5408D" w:rsidR="00FC538F" w:rsidRDefault="00CD6BD7" w:rsidP="00CD6BD7">
      <w:r>
        <w:t>PARKES ACT 2600</w:t>
      </w:r>
    </w:p>
    <w:p w14:paraId="41AA3BBC" w14:textId="77777777" w:rsidR="00CD6BD7" w:rsidRDefault="00CD6BD7" w:rsidP="00CD6BD7"/>
    <w:p w14:paraId="732E5FB7" w14:textId="63767D4C" w:rsidR="00FC538F" w:rsidRDefault="00FC538F" w:rsidP="007645B4">
      <w:r>
        <w:t xml:space="preserve">By email: </w:t>
      </w:r>
      <w:hyperlink r:id="rId13" w:history="1">
        <w:r w:rsidR="00CD6BD7" w:rsidRPr="00247DEF">
          <w:rPr>
            <w:rStyle w:val="Hyperlink"/>
          </w:rPr>
          <w:t>bettertax@treasury.gov.au</w:t>
        </w:r>
      </w:hyperlink>
    </w:p>
    <w:p w14:paraId="551AD66E" w14:textId="77777777" w:rsidR="00CB4396" w:rsidRDefault="00CB4396" w:rsidP="00CB4396"/>
    <w:p w14:paraId="01A129FC" w14:textId="77777777" w:rsidR="00CB4396" w:rsidRDefault="00CB4396" w:rsidP="00CB4396"/>
    <w:p w14:paraId="653699C7" w14:textId="77777777" w:rsidR="00CD6BD7" w:rsidRDefault="00CB4396" w:rsidP="00CD6BD7">
      <w:r>
        <w:t xml:space="preserve">Dear </w:t>
      </w:r>
      <w:r w:rsidR="00CD6BD7">
        <w:t>Tax White Paper Task Force</w:t>
      </w:r>
    </w:p>
    <w:p w14:paraId="5148E178" w14:textId="77777777" w:rsidR="00FC538F" w:rsidRDefault="00FC538F" w:rsidP="00CB4396"/>
    <w:p w14:paraId="7BBF413C" w14:textId="77777777" w:rsidR="00CD6BD7" w:rsidRDefault="00CD6BD7" w:rsidP="004B45DD">
      <w:pPr>
        <w:jc w:val="center"/>
        <w:rPr>
          <w:rFonts w:ascii="Arial Black" w:hAnsi="Arial Black"/>
          <w:sz w:val="24"/>
        </w:rPr>
      </w:pPr>
      <w:proofErr w:type="spellStart"/>
      <w:r>
        <w:rPr>
          <w:rFonts w:ascii="Arial Black" w:hAnsi="Arial Black"/>
          <w:sz w:val="24"/>
        </w:rPr>
        <w:t>Re</w:t>
      </w:r>
      <w:proofErr w:type="gramStart"/>
      <w:r>
        <w:rPr>
          <w:rFonts w:ascii="Arial Black" w:hAnsi="Arial Black"/>
          <w:sz w:val="24"/>
        </w:rPr>
        <w:t>:think</w:t>
      </w:r>
      <w:proofErr w:type="spellEnd"/>
      <w:proofErr w:type="gramEnd"/>
      <w:r>
        <w:rPr>
          <w:rFonts w:ascii="Arial Black" w:hAnsi="Arial Black"/>
          <w:sz w:val="24"/>
        </w:rPr>
        <w:t xml:space="preserve"> — Tax discussion paper</w:t>
      </w:r>
    </w:p>
    <w:p w14:paraId="65656354" w14:textId="7336929B" w:rsidR="004B45DD" w:rsidRDefault="00CD6BD7" w:rsidP="004B45DD">
      <w:pPr>
        <w:jc w:val="center"/>
        <w:rPr>
          <w:rFonts w:ascii="Arial Black" w:hAnsi="Arial Black"/>
          <w:sz w:val="24"/>
        </w:rPr>
      </w:pPr>
      <w:r>
        <w:rPr>
          <w:rFonts w:ascii="Arial Black" w:hAnsi="Arial Black"/>
          <w:sz w:val="24"/>
        </w:rPr>
        <w:t>Not-for-profit sector</w:t>
      </w:r>
    </w:p>
    <w:p w14:paraId="606B2609" w14:textId="77777777" w:rsidR="004B45DD" w:rsidRDefault="004B45DD" w:rsidP="004B45DD">
      <w:pPr>
        <w:rPr>
          <w:rFonts w:cs="Arial"/>
          <w:szCs w:val="20"/>
        </w:rPr>
      </w:pPr>
    </w:p>
    <w:p w14:paraId="1B2745FD" w14:textId="267D8115" w:rsidR="004B45DD" w:rsidRDefault="004B45DD" w:rsidP="008D12EB">
      <w:pPr>
        <w:autoSpaceDE w:val="0"/>
        <w:autoSpaceDN w:val="0"/>
        <w:adjustRightInd w:val="0"/>
        <w:jc w:val="both"/>
        <w:rPr>
          <w:lang w:eastAsia="en-AU"/>
        </w:rPr>
      </w:pPr>
      <w:r w:rsidRPr="004B45DD">
        <w:rPr>
          <w:lang w:eastAsia="en-AU"/>
        </w:rPr>
        <w:t>Governance Institute of Australia is the only independent professional association with a sole focus on whole-of-</w:t>
      </w:r>
      <w:r>
        <w:rPr>
          <w:lang w:eastAsia="en-AU"/>
        </w:rPr>
        <w:t xml:space="preserve">organisation </w:t>
      </w:r>
      <w:r w:rsidRPr="004B45DD">
        <w:rPr>
          <w:lang w:eastAsia="en-AU"/>
        </w:rPr>
        <w:t>governance. Our education, support and networking opportunities for directors, company secretaries, governance advisers and risk managers are second to none.</w:t>
      </w:r>
    </w:p>
    <w:p w14:paraId="4CB4BBF3" w14:textId="77777777" w:rsidR="004B45DD" w:rsidRDefault="004B45DD" w:rsidP="008D12EB">
      <w:pPr>
        <w:autoSpaceDE w:val="0"/>
        <w:autoSpaceDN w:val="0"/>
        <w:adjustRightInd w:val="0"/>
        <w:jc w:val="both"/>
        <w:rPr>
          <w:lang w:eastAsia="en-AU"/>
        </w:rPr>
      </w:pPr>
    </w:p>
    <w:p w14:paraId="4C9B263A" w14:textId="7EDAE408" w:rsidR="004B45DD" w:rsidRDefault="004B45DD" w:rsidP="008D12EB">
      <w:pPr>
        <w:autoSpaceDE w:val="0"/>
        <w:autoSpaceDN w:val="0"/>
        <w:adjustRightInd w:val="0"/>
        <w:jc w:val="both"/>
        <w:rPr>
          <w:lang w:eastAsia="en-AU"/>
        </w:rPr>
      </w:pPr>
      <w:r>
        <w:rPr>
          <w:lang w:eastAsia="en-AU"/>
        </w:rPr>
        <w:t xml:space="preserve">Our </w:t>
      </w:r>
      <w:r w:rsidR="00EB7700">
        <w:rPr>
          <w:lang w:eastAsia="en-AU"/>
        </w:rPr>
        <w:t>m</w:t>
      </w:r>
      <w:r>
        <w:rPr>
          <w:lang w:eastAsia="en-AU"/>
        </w:rPr>
        <w:t xml:space="preserve">embers are all involved in governance, </w:t>
      </w:r>
      <w:r w:rsidR="00104D56">
        <w:rPr>
          <w:lang w:eastAsia="en-AU"/>
        </w:rPr>
        <w:t xml:space="preserve">risk management and </w:t>
      </w:r>
      <w:r>
        <w:rPr>
          <w:lang w:eastAsia="en-AU"/>
        </w:rPr>
        <w:t xml:space="preserve">corporate administration. Furthermore, many of our </w:t>
      </w:r>
      <w:r w:rsidR="00104D56">
        <w:rPr>
          <w:lang w:eastAsia="en-AU"/>
        </w:rPr>
        <w:t>m</w:t>
      </w:r>
      <w:r>
        <w:rPr>
          <w:lang w:eastAsia="en-AU"/>
        </w:rPr>
        <w:t xml:space="preserve">embers serve as officers of charities, or work for, or are involved with charities, many of which are companies limited by guarantee and </w:t>
      </w:r>
      <w:r w:rsidR="00252D26">
        <w:rPr>
          <w:lang w:eastAsia="en-AU"/>
        </w:rPr>
        <w:t>some</w:t>
      </w:r>
      <w:r>
        <w:rPr>
          <w:lang w:eastAsia="en-AU"/>
        </w:rPr>
        <w:t xml:space="preserve"> of which are entitled to tax concessions. As a result, they are also involved in the governance of charities and compliance with the Australian Charities and Not-for-profits Commission (ACNC)</w:t>
      </w:r>
      <w:r w:rsidR="00252D26">
        <w:rPr>
          <w:lang w:eastAsia="en-AU"/>
        </w:rPr>
        <w:t xml:space="preserve"> regulations</w:t>
      </w:r>
      <w:r>
        <w:rPr>
          <w:lang w:eastAsia="en-AU"/>
        </w:rPr>
        <w:t>.</w:t>
      </w:r>
    </w:p>
    <w:p w14:paraId="77166DD0" w14:textId="77777777" w:rsidR="004B45DD" w:rsidRDefault="004B45DD" w:rsidP="008D12EB">
      <w:pPr>
        <w:autoSpaceDE w:val="0"/>
        <w:autoSpaceDN w:val="0"/>
        <w:adjustRightInd w:val="0"/>
        <w:jc w:val="both"/>
        <w:rPr>
          <w:lang w:eastAsia="en-AU"/>
        </w:rPr>
      </w:pPr>
    </w:p>
    <w:p w14:paraId="327FB03C" w14:textId="114F920C" w:rsidR="004B45DD" w:rsidRDefault="004B45DD" w:rsidP="008D12EB">
      <w:pPr>
        <w:autoSpaceDE w:val="0"/>
        <w:autoSpaceDN w:val="0"/>
        <w:adjustRightInd w:val="0"/>
        <w:jc w:val="both"/>
        <w:rPr>
          <w:lang w:eastAsia="en-AU"/>
        </w:rPr>
      </w:pPr>
      <w:r>
        <w:rPr>
          <w:lang w:eastAsia="en-AU"/>
        </w:rPr>
        <w:t xml:space="preserve">Governance Institute of Australia (Governance Institute) is itself a charity operating in the legal form of a company limited by guarantee, established to promote and advance the efficient governance, management and administration of commerce, industry and public affairs and the development of secretaryship of organisations through education and the dissemination of information. Our </w:t>
      </w:r>
      <w:r w:rsidR="00EB7700">
        <w:rPr>
          <w:lang w:eastAsia="en-AU"/>
        </w:rPr>
        <w:t>m</w:t>
      </w:r>
      <w:r>
        <w:rPr>
          <w:lang w:eastAsia="en-AU"/>
        </w:rPr>
        <w:t xml:space="preserve">embers therefore </w:t>
      </w:r>
      <w:r w:rsidR="00CC700F">
        <w:rPr>
          <w:lang w:eastAsia="en-AU"/>
        </w:rPr>
        <w:t>possess</w:t>
      </w:r>
      <w:r>
        <w:rPr>
          <w:lang w:eastAsia="en-AU"/>
        </w:rPr>
        <w:t xml:space="preserve"> extensive knowledge of administration, governance and regulatory frameworks in the charity sector to </w:t>
      </w:r>
      <w:r w:rsidR="00CC700F">
        <w:rPr>
          <w:lang w:eastAsia="en-AU"/>
        </w:rPr>
        <w:t xml:space="preserve">support </w:t>
      </w:r>
      <w:r>
        <w:rPr>
          <w:lang w:eastAsia="en-AU"/>
        </w:rPr>
        <w:t xml:space="preserve">our comments in this submission. </w:t>
      </w:r>
    </w:p>
    <w:p w14:paraId="54351BA9" w14:textId="77777777" w:rsidR="002D6AF4" w:rsidRDefault="002D6AF4" w:rsidP="008D12EB">
      <w:pPr>
        <w:jc w:val="both"/>
        <w:rPr>
          <w:rFonts w:cs="Arial"/>
          <w:szCs w:val="20"/>
        </w:rPr>
      </w:pPr>
    </w:p>
    <w:p w14:paraId="450462A1" w14:textId="7E723791" w:rsidR="00CC537B" w:rsidRPr="00CC537B" w:rsidRDefault="00CC537B" w:rsidP="008D12EB">
      <w:pPr>
        <w:jc w:val="both"/>
        <w:rPr>
          <w:rFonts w:ascii="Arial Black" w:hAnsi="Arial Black" w:cs="Arial"/>
          <w:sz w:val="22"/>
          <w:szCs w:val="22"/>
        </w:rPr>
      </w:pPr>
      <w:r w:rsidRPr="00CC537B">
        <w:rPr>
          <w:rFonts w:ascii="Arial Black" w:hAnsi="Arial Black" w:cs="Arial"/>
          <w:sz w:val="22"/>
          <w:szCs w:val="22"/>
        </w:rPr>
        <w:t>General comments</w:t>
      </w:r>
    </w:p>
    <w:p w14:paraId="54488DBC" w14:textId="77777777" w:rsidR="00CC537B" w:rsidRDefault="00CC537B" w:rsidP="008D12EB">
      <w:pPr>
        <w:jc w:val="both"/>
        <w:rPr>
          <w:rFonts w:cs="Arial"/>
          <w:szCs w:val="20"/>
        </w:rPr>
      </w:pPr>
    </w:p>
    <w:p w14:paraId="79393EC8" w14:textId="5A73CD39" w:rsidR="004B45DD" w:rsidRDefault="004B45DD" w:rsidP="00EB7700">
      <w:pPr>
        <w:jc w:val="both"/>
        <w:rPr>
          <w:rFonts w:cs="Arial"/>
          <w:szCs w:val="20"/>
        </w:rPr>
      </w:pPr>
      <w:r w:rsidRPr="004B45DD">
        <w:rPr>
          <w:rFonts w:cs="Arial"/>
          <w:szCs w:val="20"/>
        </w:rPr>
        <w:t xml:space="preserve">The Federal Government’s discussion paper on tax reform specifically targets the </w:t>
      </w:r>
      <w:r w:rsidR="00EB7700">
        <w:rPr>
          <w:rFonts w:cs="Arial"/>
          <w:szCs w:val="20"/>
        </w:rPr>
        <w:t>not-for-profit</w:t>
      </w:r>
      <w:r w:rsidRPr="004B45DD">
        <w:rPr>
          <w:rFonts w:cs="Arial"/>
          <w:szCs w:val="20"/>
        </w:rPr>
        <w:t xml:space="preserve"> </w:t>
      </w:r>
      <w:proofErr w:type="gramStart"/>
      <w:r w:rsidR="00EB7700">
        <w:rPr>
          <w:rFonts w:cs="Arial"/>
          <w:szCs w:val="20"/>
        </w:rPr>
        <w:t xml:space="preserve">(NFP) </w:t>
      </w:r>
      <w:r w:rsidRPr="004B45DD">
        <w:rPr>
          <w:rFonts w:cs="Arial"/>
          <w:szCs w:val="20"/>
        </w:rPr>
        <w:t>sector</w:t>
      </w:r>
      <w:r w:rsidR="00EB7700">
        <w:rPr>
          <w:rFonts w:cs="Arial"/>
          <w:szCs w:val="20"/>
        </w:rPr>
        <w:t>,</w:t>
      </w:r>
      <w:r w:rsidRPr="004B45DD">
        <w:rPr>
          <w:rFonts w:cs="Arial"/>
          <w:szCs w:val="20"/>
        </w:rPr>
        <w:t xml:space="preserve"> asking if the current tax arrangements are appropriate</w:t>
      </w:r>
      <w:r w:rsidR="00EB7700">
        <w:rPr>
          <w:rFonts w:cs="Arial"/>
          <w:szCs w:val="20"/>
        </w:rPr>
        <w:t>.</w:t>
      </w:r>
      <w:proofErr w:type="gramEnd"/>
      <w:r w:rsidR="00EB7700">
        <w:rPr>
          <w:rFonts w:cs="Arial"/>
          <w:szCs w:val="20"/>
        </w:rPr>
        <w:t xml:space="preserve"> It raises</w:t>
      </w:r>
      <w:r w:rsidRPr="004B45DD">
        <w:rPr>
          <w:rFonts w:cs="Arial"/>
          <w:szCs w:val="20"/>
        </w:rPr>
        <w:t xml:space="preserve"> issues </w:t>
      </w:r>
      <w:r w:rsidR="00EB7700">
        <w:rPr>
          <w:rFonts w:cs="Arial"/>
          <w:szCs w:val="20"/>
        </w:rPr>
        <w:t>in relation to</w:t>
      </w:r>
      <w:r w:rsidRPr="004B45DD">
        <w:rPr>
          <w:rFonts w:cs="Arial"/>
          <w:szCs w:val="20"/>
        </w:rPr>
        <w:t xml:space="preserve"> the ongoing availability of Fringe Benefits Tax </w:t>
      </w:r>
      <w:r w:rsidR="00FD1AED">
        <w:rPr>
          <w:rFonts w:cs="Arial"/>
          <w:szCs w:val="20"/>
        </w:rPr>
        <w:t xml:space="preserve">(FBT) </w:t>
      </w:r>
      <w:r w:rsidRPr="004B45DD">
        <w:rPr>
          <w:rFonts w:cs="Arial"/>
          <w:szCs w:val="20"/>
        </w:rPr>
        <w:t>concessions and other forgone tax revenue.</w:t>
      </w:r>
      <w:r w:rsidR="00EB7700">
        <w:rPr>
          <w:rFonts w:cs="Arial"/>
          <w:szCs w:val="20"/>
        </w:rPr>
        <w:t xml:space="preserve"> It</w:t>
      </w:r>
      <w:r w:rsidRPr="004B45DD">
        <w:rPr>
          <w:rFonts w:cs="Arial"/>
          <w:szCs w:val="20"/>
        </w:rPr>
        <w:t xml:space="preserve"> points out that while existing tax concessions help increase the level of activity in the NFP sector, the value of revenue forgone from the concessions is significant and growing steadily.</w:t>
      </w:r>
    </w:p>
    <w:p w14:paraId="0CF58E8A" w14:textId="77777777" w:rsidR="00AE4459" w:rsidRDefault="00AE4459" w:rsidP="008D12EB">
      <w:pPr>
        <w:jc w:val="both"/>
        <w:rPr>
          <w:rFonts w:cs="Arial"/>
          <w:szCs w:val="20"/>
        </w:rPr>
      </w:pPr>
    </w:p>
    <w:p w14:paraId="5C1EBBE2" w14:textId="34A28F3B" w:rsidR="00FD1AED" w:rsidRDefault="00AE4459" w:rsidP="001307C7">
      <w:pPr>
        <w:jc w:val="both"/>
        <w:rPr>
          <w:rFonts w:cs="Arial"/>
          <w:szCs w:val="20"/>
        </w:rPr>
      </w:pPr>
      <w:r>
        <w:rPr>
          <w:rFonts w:cs="Arial"/>
          <w:szCs w:val="20"/>
        </w:rPr>
        <w:t xml:space="preserve">Governance Institute strongly supports </w:t>
      </w:r>
      <w:r w:rsidR="00FF2C59">
        <w:rPr>
          <w:rFonts w:cs="Arial"/>
          <w:szCs w:val="20"/>
        </w:rPr>
        <w:t xml:space="preserve">the important and intrinsic role that the NFP sector plays in Australian society. Our members are also of the opinion that </w:t>
      </w:r>
      <w:r>
        <w:rPr>
          <w:rFonts w:cs="Arial"/>
          <w:szCs w:val="20"/>
        </w:rPr>
        <w:t>tax concessions for the NFP sector</w:t>
      </w:r>
      <w:r w:rsidR="00FF2C59">
        <w:rPr>
          <w:rFonts w:cs="Arial"/>
          <w:szCs w:val="20"/>
        </w:rPr>
        <w:t xml:space="preserve"> are integral </w:t>
      </w:r>
      <w:r w:rsidR="00EB7700">
        <w:rPr>
          <w:rFonts w:cs="Arial"/>
          <w:szCs w:val="20"/>
        </w:rPr>
        <w:t>to</w:t>
      </w:r>
      <w:r w:rsidR="00FF2C59">
        <w:rPr>
          <w:rFonts w:cs="Arial"/>
          <w:szCs w:val="20"/>
        </w:rPr>
        <w:t xml:space="preserve"> the continuation of the</w:t>
      </w:r>
      <w:r w:rsidR="00FD1AED">
        <w:rPr>
          <w:rFonts w:cs="Arial"/>
          <w:szCs w:val="20"/>
        </w:rPr>
        <w:t xml:space="preserve"> provision of the</w:t>
      </w:r>
      <w:r w:rsidR="00FF2C59">
        <w:rPr>
          <w:rFonts w:cs="Arial"/>
          <w:szCs w:val="20"/>
        </w:rPr>
        <w:t>se substantial social and economic benefits</w:t>
      </w:r>
      <w:r>
        <w:rPr>
          <w:rFonts w:cs="Arial"/>
          <w:szCs w:val="20"/>
        </w:rPr>
        <w:t xml:space="preserve">. </w:t>
      </w:r>
    </w:p>
    <w:p w14:paraId="745DB364" w14:textId="77777777" w:rsidR="00FD1AED" w:rsidRDefault="00FD1AED" w:rsidP="001307C7">
      <w:pPr>
        <w:jc w:val="both"/>
        <w:rPr>
          <w:rFonts w:cs="Arial"/>
          <w:szCs w:val="20"/>
        </w:rPr>
      </w:pPr>
    </w:p>
    <w:p w14:paraId="56925DB8" w14:textId="17A4605E" w:rsidR="001307C7" w:rsidRDefault="00AE4459" w:rsidP="001307C7">
      <w:pPr>
        <w:jc w:val="both"/>
        <w:rPr>
          <w:rFonts w:cs="Arial"/>
          <w:szCs w:val="20"/>
        </w:rPr>
      </w:pPr>
      <w:r w:rsidRPr="00AE4459">
        <w:rPr>
          <w:rFonts w:cs="Arial"/>
          <w:szCs w:val="20"/>
        </w:rPr>
        <w:t xml:space="preserve">The discussion paper </w:t>
      </w:r>
      <w:r w:rsidR="00EB7700">
        <w:rPr>
          <w:rFonts w:cs="Arial"/>
          <w:szCs w:val="20"/>
        </w:rPr>
        <w:t>notes that</w:t>
      </w:r>
      <w:r w:rsidRPr="00AE4459">
        <w:rPr>
          <w:rFonts w:cs="Arial"/>
          <w:szCs w:val="20"/>
        </w:rPr>
        <w:t xml:space="preserve"> ‘</w:t>
      </w:r>
      <w:r w:rsidRPr="00EB7700">
        <w:rPr>
          <w:rFonts w:cs="Arial"/>
          <w:szCs w:val="20"/>
        </w:rPr>
        <w:t xml:space="preserve">tax concessions </w:t>
      </w:r>
      <w:r w:rsidRPr="00603844">
        <w:rPr>
          <w:rFonts w:cs="Arial"/>
          <w:i/>
          <w:szCs w:val="20"/>
        </w:rPr>
        <w:t>arguably</w:t>
      </w:r>
      <w:r w:rsidRPr="00EB7700">
        <w:rPr>
          <w:rFonts w:cs="Arial"/>
          <w:szCs w:val="20"/>
        </w:rPr>
        <w:t xml:space="preserve"> help to improve both societal outcomes and ensure that the overall level of activity in the NFP sector is closer to optimal’</w:t>
      </w:r>
      <w:r w:rsidR="00603844">
        <w:rPr>
          <w:rFonts w:cs="Arial"/>
          <w:szCs w:val="20"/>
        </w:rPr>
        <w:t xml:space="preserve"> [our </w:t>
      </w:r>
      <w:r w:rsidR="00603844">
        <w:rPr>
          <w:rFonts w:cs="Arial"/>
          <w:szCs w:val="20"/>
        </w:rPr>
        <w:lastRenderedPageBreak/>
        <w:t>italics]</w:t>
      </w:r>
      <w:r w:rsidRPr="00EB7700">
        <w:rPr>
          <w:rFonts w:cs="Arial"/>
          <w:szCs w:val="20"/>
        </w:rPr>
        <w:t>.</w:t>
      </w:r>
      <w:r w:rsidRPr="00AE4459">
        <w:rPr>
          <w:rFonts w:cs="Arial"/>
          <w:szCs w:val="20"/>
        </w:rPr>
        <w:t xml:space="preserve"> Governance Institute </w:t>
      </w:r>
      <w:r w:rsidR="00EB7700">
        <w:rPr>
          <w:rFonts w:cs="Arial"/>
          <w:szCs w:val="20"/>
        </w:rPr>
        <w:t xml:space="preserve">is of the view that this is not an arguable issue. We are firmly of the view </w:t>
      </w:r>
      <w:r w:rsidRPr="00AE4459">
        <w:rPr>
          <w:rFonts w:cs="Arial"/>
          <w:szCs w:val="20"/>
        </w:rPr>
        <w:t xml:space="preserve">that </w:t>
      </w:r>
      <w:r w:rsidR="0047695D">
        <w:rPr>
          <w:rFonts w:cs="Arial"/>
          <w:szCs w:val="20"/>
        </w:rPr>
        <w:t xml:space="preserve">tax concessions do assist </w:t>
      </w:r>
      <w:r w:rsidRPr="00AE4459">
        <w:rPr>
          <w:rFonts w:cs="Arial"/>
          <w:szCs w:val="20"/>
        </w:rPr>
        <w:t xml:space="preserve">the sector </w:t>
      </w:r>
      <w:r w:rsidR="00603844">
        <w:rPr>
          <w:rFonts w:cs="Arial"/>
          <w:szCs w:val="20"/>
        </w:rPr>
        <w:t xml:space="preserve">not only </w:t>
      </w:r>
      <w:r w:rsidRPr="00AE4459">
        <w:rPr>
          <w:rFonts w:cs="Arial"/>
          <w:szCs w:val="20"/>
        </w:rPr>
        <w:t>to improve societal outc</w:t>
      </w:r>
      <w:r w:rsidR="00904D79">
        <w:rPr>
          <w:rFonts w:cs="Arial"/>
          <w:szCs w:val="20"/>
        </w:rPr>
        <w:t>omes but also econo</w:t>
      </w:r>
      <w:r w:rsidR="00167774">
        <w:rPr>
          <w:rFonts w:cs="Arial"/>
          <w:szCs w:val="20"/>
        </w:rPr>
        <w:t>mic outcomes</w:t>
      </w:r>
      <w:r w:rsidR="00603844">
        <w:rPr>
          <w:rFonts w:cs="Arial"/>
          <w:szCs w:val="20"/>
        </w:rPr>
        <w:t>.</w:t>
      </w:r>
      <w:r w:rsidR="001307C7">
        <w:rPr>
          <w:rFonts w:cs="Arial"/>
          <w:szCs w:val="20"/>
        </w:rPr>
        <w:t xml:space="preserve"> </w:t>
      </w:r>
    </w:p>
    <w:p w14:paraId="2390DFE3" w14:textId="77777777" w:rsidR="00603844" w:rsidRDefault="00603844" w:rsidP="008D12EB">
      <w:pPr>
        <w:jc w:val="both"/>
        <w:rPr>
          <w:rFonts w:cs="Arial"/>
          <w:szCs w:val="20"/>
        </w:rPr>
      </w:pPr>
    </w:p>
    <w:p w14:paraId="612FED7F" w14:textId="2E6B053D" w:rsidR="00603844" w:rsidRPr="00AE4459" w:rsidRDefault="00603844" w:rsidP="00603844">
      <w:pPr>
        <w:jc w:val="both"/>
        <w:rPr>
          <w:rFonts w:cs="Arial"/>
          <w:szCs w:val="20"/>
        </w:rPr>
      </w:pPr>
      <w:r>
        <w:rPr>
          <w:rFonts w:cs="Arial"/>
          <w:szCs w:val="20"/>
        </w:rPr>
        <w:t xml:space="preserve">A measurement of the benefits of the NFP sector to the economy was undertaken when </w:t>
      </w:r>
      <w:r w:rsidRPr="00AE4459">
        <w:rPr>
          <w:rFonts w:cs="Arial"/>
          <w:szCs w:val="20"/>
        </w:rPr>
        <w:t xml:space="preserve">Curtin University partnered with the ACNC to analyse data from the Annual Information Statements (AISs) of more than 38,000 registered charities in their first year of reporting to the ACNC. The </w:t>
      </w:r>
      <w:r w:rsidRPr="00603844">
        <w:rPr>
          <w:rFonts w:cs="Arial"/>
          <w:i/>
          <w:szCs w:val="20"/>
        </w:rPr>
        <w:t>Curtin Charities 2013 Report</w:t>
      </w:r>
      <w:r w:rsidRPr="00AE4459">
        <w:rPr>
          <w:rFonts w:cs="Arial"/>
          <w:szCs w:val="20"/>
        </w:rPr>
        <w:t xml:space="preserve"> was the first comprehensive, evidence-based research of the </w:t>
      </w:r>
      <w:r w:rsidR="00252D26">
        <w:rPr>
          <w:rFonts w:cs="Arial"/>
          <w:szCs w:val="20"/>
        </w:rPr>
        <w:t xml:space="preserve">Australian </w:t>
      </w:r>
      <w:r w:rsidRPr="00AE4459">
        <w:rPr>
          <w:rFonts w:cs="Arial"/>
          <w:szCs w:val="20"/>
        </w:rPr>
        <w:t>charity sector of its kind and found that:</w:t>
      </w:r>
    </w:p>
    <w:p w14:paraId="61D9C1E3" w14:textId="57A2AFA0" w:rsidR="00603844" w:rsidRPr="00603844" w:rsidRDefault="00603844" w:rsidP="00603844">
      <w:pPr>
        <w:pStyle w:val="ListParagraph"/>
        <w:numPr>
          <w:ilvl w:val="0"/>
          <w:numId w:val="10"/>
        </w:numPr>
        <w:rPr>
          <w:rFonts w:cs="Arial"/>
          <w:szCs w:val="20"/>
        </w:rPr>
      </w:pPr>
      <w:r w:rsidRPr="00603844">
        <w:rPr>
          <w:rFonts w:cs="Arial"/>
          <w:szCs w:val="20"/>
        </w:rPr>
        <w:t>charities employ nearly one million people across Australia</w:t>
      </w:r>
      <w:r>
        <w:rPr>
          <w:rFonts w:cs="Arial"/>
          <w:szCs w:val="20"/>
        </w:rPr>
        <w:t>,</w:t>
      </w:r>
      <w:r w:rsidRPr="00603844">
        <w:rPr>
          <w:rFonts w:cs="Arial"/>
          <w:szCs w:val="20"/>
        </w:rPr>
        <w:t xml:space="preserve"> equating to eight per cent of Australia's workforce</w:t>
      </w:r>
    </w:p>
    <w:p w14:paraId="3D027884" w14:textId="77777777" w:rsidR="00603844" w:rsidRPr="00603844" w:rsidRDefault="00603844" w:rsidP="00603844">
      <w:pPr>
        <w:pStyle w:val="ListParagraph"/>
        <w:numPr>
          <w:ilvl w:val="0"/>
          <w:numId w:val="10"/>
        </w:numPr>
        <w:rPr>
          <w:rFonts w:cs="Arial"/>
          <w:szCs w:val="20"/>
        </w:rPr>
      </w:pPr>
      <w:r w:rsidRPr="00603844">
        <w:rPr>
          <w:rFonts w:cs="Arial"/>
          <w:szCs w:val="20"/>
        </w:rPr>
        <w:t>they manage around two million volunteers, equating to 36 per cent of Australia's adult population</w:t>
      </w:r>
    </w:p>
    <w:p w14:paraId="64B3804A" w14:textId="4E85EFE2" w:rsidR="00603844" w:rsidRPr="00603844" w:rsidRDefault="00603844" w:rsidP="00603844">
      <w:pPr>
        <w:pStyle w:val="ListParagraph"/>
        <w:numPr>
          <w:ilvl w:val="0"/>
          <w:numId w:val="10"/>
        </w:numPr>
        <w:jc w:val="both"/>
        <w:rPr>
          <w:rFonts w:cs="Arial"/>
          <w:szCs w:val="20"/>
        </w:rPr>
      </w:pPr>
      <w:r w:rsidRPr="00603844">
        <w:rPr>
          <w:rFonts w:cs="Arial"/>
          <w:szCs w:val="20"/>
        </w:rPr>
        <w:t>the sector has a combined total income of more than $100 billion</w:t>
      </w:r>
    </w:p>
    <w:p w14:paraId="554D760A" w14:textId="1755D965" w:rsidR="00603844" w:rsidRPr="00603844" w:rsidRDefault="00603844" w:rsidP="00603844">
      <w:pPr>
        <w:pStyle w:val="ListParagraph"/>
        <w:numPr>
          <w:ilvl w:val="0"/>
          <w:numId w:val="10"/>
        </w:numPr>
        <w:jc w:val="both"/>
        <w:rPr>
          <w:rFonts w:cs="Arial"/>
          <w:szCs w:val="20"/>
        </w:rPr>
      </w:pPr>
      <w:proofErr w:type="gramStart"/>
      <w:r w:rsidRPr="00603844">
        <w:rPr>
          <w:rFonts w:cs="Arial"/>
          <w:szCs w:val="20"/>
        </w:rPr>
        <w:t>the</w:t>
      </w:r>
      <w:proofErr w:type="gramEnd"/>
      <w:r w:rsidRPr="00603844">
        <w:rPr>
          <w:rFonts w:cs="Arial"/>
          <w:szCs w:val="20"/>
        </w:rPr>
        <w:t xml:space="preserve"> sector has grown by two per cent annually since 1990</w:t>
      </w:r>
      <w:r>
        <w:rPr>
          <w:rFonts w:cs="Arial"/>
          <w:szCs w:val="20"/>
        </w:rPr>
        <w:t>.</w:t>
      </w:r>
    </w:p>
    <w:p w14:paraId="2A401E23" w14:textId="77777777" w:rsidR="00603844" w:rsidRDefault="00603844" w:rsidP="008D12EB">
      <w:pPr>
        <w:jc w:val="both"/>
        <w:rPr>
          <w:rFonts w:cs="Arial"/>
          <w:szCs w:val="20"/>
        </w:rPr>
      </w:pPr>
    </w:p>
    <w:p w14:paraId="76BCBBF4" w14:textId="65AF762F" w:rsidR="00603844" w:rsidRDefault="00603844" w:rsidP="00603844">
      <w:r>
        <w:t>Its contribution to Australia’s economy, as well as its social cohesion, is demonstrated by the fact that the agriculture, forestry and fishing industries have a combined total income of $75 billion and employ 500,000 people; the mining industry has a combined total income of $217 billion and employs 50,000. In further evidence of how the sector is a ‘lifter’, not a ‘leaner, t</w:t>
      </w:r>
      <w:r w:rsidRPr="005411CD">
        <w:t>he ABS Satellite Account analysis also showed that the charities and NFP sector continues to outperform most other parts of the economy with above eight per cent growth.</w:t>
      </w:r>
    </w:p>
    <w:p w14:paraId="5381B5E2" w14:textId="77777777" w:rsidR="00603844" w:rsidRDefault="00603844" w:rsidP="00603844"/>
    <w:p w14:paraId="711B1258" w14:textId="7D7E109D" w:rsidR="00603844" w:rsidRDefault="00603844" w:rsidP="00603844">
      <w:r>
        <w:t xml:space="preserve">The NFP sector is considerably larger than </w:t>
      </w:r>
      <w:r w:rsidR="0047695D">
        <w:t xml:space="preserve">just </w:t>
      </w:r>
      <w:r>
        <w:t>the charities sector.</w:t>
      </w:r>
      <w:r w:rsidR="0047695D">
        <w:t xml:space="preserve"> </w:t>
      </w:r>
      <w:r w:rsidR="0047695D" w:rsidRPr="00FD1AED">
        <w:rPr>
          <w:i/>
        </w:rPr>
        <w:t>Th</w:t>
      </w:r>
      <w:r w:rsidRPr="00FD1AED">
        <w:rPr>
          <w:i/>
        </w:rPr>
        <w:t>e Productivity Commission Research Report</w:t>
      </w:r>
      <w:r w:rsidR="00FD1AED" w:rsidRPr="00FD1AED">
        <w:rPr>
          <w:i/>
        </w:rPr>
        <w:t>: Contribution of the Not-for-Profit Sector</w:t>
      </w:r>
      <w:r>
        <w:t xml:space="preserve"> </w:t>
      </w:r>
      <w:r w:rsidR="0047695D">
        <w:t xml:space="preserve">sets out </w:t>
      </w:r>
      <w:r w:rsidR="00FD1AED">
        <w:t>the</w:t>
      </w:r>
      <w:r w:rsidR="0047695D">
        <w:t xml:space="preserve"> extent </w:t>
      </w:r>
      <w:r w:rsidR="00FD1AED">
        <w:t xml:space="preserve">of the sector </w:t>
      </w:r>
      <w:r w:rsidR="004C0D9B">
        <w:t>(around 600,000 organisations, contributing $43 billion to Australia’s GDP and eight per cent of employment in 2006-07)</w:t>
      </w:r>
      <w:r w:rsidR="004C0D9B">
        <w:rPr>
          <w:rStyle w:val="FootnoteReference"/>
        </w:rPr>
        <w:footnoteReference w:id="1"/>
      </w:r>
      <w:r w:rsidR="004C0D9B">
        <w:t xml:space="preserve"> </w:t>
      </w:r>
      <w:r w:rsidR="0047695D">
        <w:t xml:space="preserve">and </w:t>
      </w:r>
      <w:r w:rsidR="00FD1AED">
        <w:t xml:space="preserve">its </w:t>
      </w:r>
      <w:r w:rsidR="0047695D">
        <w:t>social impact compellingly:</w:t>
      </w:r>
    </w:p>
    <w:p w14:paraId="53E2CF7A" w14:textId="77777777" w:rsidR="00603844" w:rsidRDefault="00603844" w:rsidP="00603844"/>
    <w:p w14:paraId="322B6FCD" w14:textId="083EF5E7" w:rsidR="00603844" w:rsidRDefault="00603844" w:rsidP="0047695D">
      <w:pPr>
        <w:ind w:left="851"/>
      </w:pPr>
      <w:r>
        <w:t>Community (not</w:t>
      </w:r>
      <w:r w:rsidR="0047695D">
        <w:t>-</w:t>
      </w:r>
      <w:r>
        <w:t>for</w:t>
      </w:r>
      <w:r w:rsidR="0047695D">
        <w:t>-</w:t>
      </w:r>
      <w:r>
        <w:t>profit) organisations play an important role in combating social exclusion and enhancing the economic, social, cultural and environmental wellbeing of society</w:t>
      </w:r>
      <w:r w:rsidR="0047695D">
        <w:t>.</w:t>
      </w:r>
      <w:r w:rsidR="0047695D">
        <w:rPr>
          <w:rStyle w:val="FootnoteReference"/>
        </w:rPr>
        <w:footnoteReference w:id="2"/>
      </w:r>
    </w:p>
    <w:p w14:paraId="299DE0F9" w14:textId="77777777" w:rsidR="0047695D" w:rsidRDefault="0047695D" w:rsidP="00603844"/>
    <w:p w14:paraId="28CC71DF" w14:textId="3C90AA52" w:rsidR="0047695D" w:rsidRDefault="0047695D" w:rsidP="0047695D">
      <w:pPr>
        <w:ind w:left="851"/>
      </w:pPr>
      <w:r>
        <w:t>Many do not operate in the market (or economic) sector, and only a relatively small number (around 20 000), mainly in the human services area, rely heavily on government as their main source of funding. NFPs deliver services to their members, to their clients or to the community more broadly, such as welfare, education, sports, arts, worship, culture and emergency services. Some NFPs build or maintain community endowments such as biodiversity, cultural heritage and artistic creations. Some engage in educative, advocacy and political activities, while for others the focus is on activities that create fellowship. Many offer their participants opportunities to build a sense of self worth and for connection and influence that form an important part of the foundations of an active civil society.</w:t>
      </w:r>
      <w:r>
        <w:rPr>
          <w:rStyle w:val="FootnoteReference"/>
        </w:rPr>
        <w:footnoteReference w:id="3"/>
      </w:r>
    </w:p>
    <w:p w14:paraId="0776E1AF" w14:textId="77777777" w:rsidR="00603844" w:rsidRDefault="00603844" w:rsidP="008D12EB">
      <w:pPr>
        <w:jc w:val="both"/>
        <w:rPr>
          <w:rFonts w:cs="Arial"/>
          <w:szCs w:val="20"/>
        </w:rPr>
      </w:pPr>
    </w:p>
    <w:p w14:paraId="6229676E" w14:textId="77777777" w:rsidR="00FD1AED" w:rsidRDefault="00FD1AED" w:rsidP="00FD1AED">
      <w:pPr>
        <w:jc w:val="both"/>
        <w:rPr>
          <w:rFonts w:cs="Arial"/>
          <w:szCs w:val="20"/>
        </w:rPr>
      </w:pPr>
      <w:r>
        <w:rPr>
          <w:rFonts w:cs="Arial"/>
          <w:szCs w:val="20"/>
        </w:rPr>
        <w:t>Our m</w:t>
      </w:r>
      <w:r w:rsidRPr="00572DB0">
        <w:rPr>
          <w:rFonts w:cs="Arial"/>
          <w:szCs w:val="20"/>
        </w:rPr>
        <w:t xml:space="preserve">embers </w:t>
      </w:r>
      <w:r>
        <w:rPr>
          <w:rFonts w:cs="Arial"/>
          <w:szCs w:val="20"/>
        </w:rPr>
        <w:t>are of the view</w:t>
      </w:r>
      <w:r w:rsidRPr="00572DB0">
        <w:rPr>
          <w:rFonts w:cs="Arial"/>
          <w:szCs w:val="20"/>
        </w:rPr>
        <w:t xml:space="preserve"> that the </w:t>
      </w:r>
      <w:r>
        <w:rPr>
          <w:rFonts w:cs="Arial"/>
          <w:szCs w:val="20"/>
        </w:rPr>
        <w:t>NFP</w:t>
      </w:r>
      <w:r w:rsidRPr="00572DB0">
        <w:rPr>
          <w:rFonts w:cs="Arial"/>
          <w:szCs w:val="20"/>
        </w:rPr>
        <w:t xml:space="preserve"> sector is well overdue for tax reform</w:t>
      </w:r>
      <w:r>
        <w:rPr>
          <w:rStyle w:val="FootnoteReference"/>
          <w:rFonts w:cs="Arial"/>
          <w:szCs w:val="20"/>
        </w:rPr>
        <w:footnoteReference w:id="4"/>
      </w:r>
      <w:r>
        <w:rPr>
          <w:rFonts w:cs="Arial"/>
          <w:szCs w:val="20"/>
        </w:rPr>
        <w:t>. We welcome the Government’s commitment</w:t>
      </w:r>
      <w:r w:rsidRPr="00572DB0">
        <w:rPr>
          <w:rFonts w:cs="Arial"/>
          <w:szCs w:val="20"/>
        </w:rPr>
        <w:t xml:space="preserve"> to simplify and streamline</w:t>
      </w:r>
      <w:r>
        <w:rPr>
          <w:rFonts w:cs="Arial"/>
          <w:szCs w:val="20"/>
        </w:rPr>
        <w:t xml:space="preserve"> burdensome regulation and increase productivity </w:t>
      </w:r>
      <w:r w:rsidRPr="00572DB0">
        <w:rPr>
          <w:rFonts w:cs="Arial"/>
          <w:szCs w:val="20"/>
        </w:rPr>
        <w:t xml:space="preserve">as </w:t>
      </w:r>
      <w:r>
        <w:rPr>
          <w:rFonts w:cs="Arial"/>
          <w:szCs w:val="20"/>
        </w:rPr>
        <w:t>a whole-of-government approach to</w:t>
      </w:r>
      <w:r w:rsidRPr="00572DB0">
        <w:rPr>
          <w:rFonts w:cs="Arial"/>
          <w:szCs w:val="20"/>
        </w:rPr>
        <w:t xml:space="preserve"> </w:t>
      </w:r>
      <w:r>
        <w:rPr>
          <w:rFonts w:cs="Arial"/>
          <w:szCs w:val="20"/>
        </w:rPr>
        <w:t xml:space="preserve">the </w:t>
      </w:r>
      <w:r w:rsidRPr="00572DB0">
        <w:rPr>
          <w:rFonts w:cs="Arial"/>
          <w:szCs w:val="20"/>
        </w:rPr>
        <w:t>reduction of red tape</w:t>
      </w:r>
      <w:r>
        <w:rPr>
          <w:rFonts w:cs="Arial"/>
          <w:i/>
          <w:szCs w:val="20"/>
        </w:rPr>
        <w:t xml:space="preserve">. </w:t>
      </w:r>
      <w:r w:rsidRPr="00BE69D7">
        <w:rPr>
          <w:rFonts w:cs="Arial"/>
          <w:szCs w:val="20"/>
        </w:rPr>
        <w:t>However, as always</w:t>
      </w:r>
      <w:r w:rsidRPr="00572DB0">
        <w:rPr>
          <w:rFonts w:cs="Arial"/>
          <w:szCs w:val="20"/>
        </w:rPr>
        <w:t xml:space="preserve">, the public good should guide the public policy position – public good outcomes should be the basis on which reform proceeds. </w:t>
      </w:r>
      <w:r>
        <w:rPr>
          <w:rFonts w:cs="Arial"/>
          <w:szCs w:val="20"/>
        </w:rPr>
        <w:t xml:space="preserve">It is our view that there is a concentration on tax </w:t>
      </w:r>
      <w:r>
        <w:rPr>
          <w:rFonts w:cs="Arial"/>
          <w:szCs w:val="20"/>
        </w:rPr>
        <w:lastRenderedPageBreak/>
        <w:t>arrangements, when the focus needs to expand to include Australian Governmen</w:t>
      </w:r>
      <w:r w:rsidRPr="00572DB0">
        <w:rPr>
          <w:rFonts w:cs="Arial"/>
          <w:szCs w:val="20"/>
        </w:rPr>
        <w:t>t funding arrangements</w:t>
      </w:r>
      <w:r>
        <w:rPr>
          <w:rFonts w:cs="Arial"/>
          <w:szCs w:val="20"/>
        </w:rPr>
        <w:t>,</w:t>
      </w:r>
      <w:r w:rsidRPr="00572DB0">
        <w:rPr>
          <w:rFonts w:cs="Arial"/>
          <w:szCs w:val="20"/>
        </w:rPr>
        <w:t xml:space="preserve"> </w:t>
      </w:r>
      <w:r>
        <w:rPr>
          <w:rFonts w:cs="Arial"/>
          <w:szCs w:val="20"/>
        </w:rPr>
        <w:t>as these too</w:t>
      </w:r>
      <w:r w:rsidRPr="00572DB0">
        <w:rPr>
          <w:rFonts w:cs="Arial"/>
          <w:szCs w:val="20"/>
        </w:rPr>
        <w:t xml:space="preserve"> </w:t>
      </w:r>
      <w:r>
        <w:rPr>
          <w:rFonts w:cs="Arial"/>
          <w:szCs w:val="20"/>
        </w:rPr>
        <w:t>need to be simplified. Any change to public policy of tax concessions for NFPs also needs to take account of the fact that the structure of government funding is changing — the proposals to change the heavily funded model need to be reviewed in terms of implications for tax arrangements.</w:t>
      </w:r>
    </w:p>
    <w:p w14:paraId="4536CB7E" w14:textId="77777777" w:rsidR="00FD1AED" w:rsidRDefault="00FD1AED" w:rsidP="008D12EB">
      <w:pPr>
        <w:jc w:val="both"/>
        <w:rPr>
          <w:rFonts w:cs="Arial"/>
          <w:szCs w:val="20"/>
        </w:rPr>
      </w:pPr>
    </w:p>
    <w:p w14:paraId="175915F8" w14:textId="62094112" w:rsidR="008564AA" w:rsidRPr="00FD1AED" w:rsidRDefault="008564AA" w:rsidP="008D12EB">
      <w:pPr>
        <w:jc w:val="both"/>
        <w:rPr>
          <w:rFonts w:ascii="Arial Black" w:hAnsi="Arial Black" w:cs="Arial"/>
          <w:sz w:val="22"/>
          <w:szCs w:val="22"/>
        </w:rPr>
      </w:pPr>
      <w:r w:rsidRPr="00FD1AED">
        <w:rPr>
          <w:rFonts w:ascii="Arial Black" w:hAnsi="Arial Black" w:cs="Arial"/>
          <w:sz w:val="22"/>
          <w:szCs w:val="22"/>
        </w:rPr>
        <w:t>Are the current tax arrangements for the</w:t>
      </w:r>
      <w:r w:rsidR="001A1123" w:rsidRPr="00FD1AED">
        <w:rPr>
          <w:rFonts w:ascii="Arial Black" w:hAnsi="Arial Black" w:cs="Arial"/>
          <w:sz w:val="22"/>
          <w:szCs w:val="22"/>
        </w:rPr>
        <w:t xml:space="preserve"> NFP sector appropriate? Why or </w:t>
      </w:r>
      <w:r w:rsidRPr="00FD1AED">
        <w:rPr>
          <w:rFonts w:ascii="Arial Black" w:hAnsi="Arial Black" w:cs="Arial"/>
          <w:sz w:val="22"/>
          <w:szCs w:val="22"/>
        </w:rPr>
        <w:t>why not?</w:t>
      </w:r>
    </w:p>
    <w:p w14:paraId="0B1DB54F" w14:textId="77777777" w:rsidR="00BD0AB3" w:rsidRDefault="00BD0AB3" w:rsidP="008D12EB">
      <w:pPr>
        <w:jc w:val="both"/>
        <w:rPr>
          <w:rFonts w:cs="Arial"/>
          <w:szCs w:val="20"/>
        </w:rPr>
      </w:pPr>
    </w:p>
    <w:p w14:paraId="197517B5" w14:textId="426C518E" w:rsidR="00D4701A" w:rsidRDefault="00501904" w:rsidP="008D12EB">
      <w:pPr>
        <w:jc w:val="both"/>
        <w:rPr>
          <w:rFonts w:cs="Arial"/>
          <w:szCs w:val="20"/>
        </w:rPr>
      </w:pPr>
      <w:r w:rsidRPr="00501904">
        <w:rPr>
          <w:rFonts w:cs="Arial"/>
          <w:szCs w:val="20"/>
        </w:rPr>
        <w:t xml:space="preserve">Governance Institute </w:t>
      </w:r>
      <w:r w:rsidR="00AB3AF6" w:rsidRPr="00FD1AED">
        <w:rPr>
          <w:rFonts w:cs="Arial"/>
          <w:szCs w:val="20"/>
        </w:rPr>
        <w:t>strongly support</w:t>
      </w:r>
      <w:r w:rsidR="0047695D" w:rsidRPr="00FD1AED">
        <w:rPr>
          <w:rFonts w:cs="Arial"/>
          <w:szCs w:val="20"/>
        </w:rPr>
        <w:t>s</w:t>
      </w:r>
      <w:r w:rsidR="0047695D">
        <w:rPr>
          <w:rFonts w:cs="Arial"/>
          <w:b/>
          <w:szCs w:val="20"/>
        </w:rPr>
        <w:t xml:space="preserve"> </w:t>
      </w:r>
      <w:r w:rsidR="0047695D" w:rsidRPr="00FD1AED">
        <w:rPr>
          <w:rFonts w:cs="Arial"/>
          <w:szCs w:val="20"/>
        </w:rPr>
        <w:t>appropriate</w:t>
      </w:r>
      <w:r w:rsidR="00AB3AF6" w:rsidRPr="00FD1AED">
        <w:rPr>
          <w:rFonts w:cs="Arial"/>
          <w:szCs w:val="20"/>
        </w:rPr>
        <w:t xml:space="preserve"> tax concessions</w:t>
      </w:r>
      <w:r w:rsidR="00AB3AF6">
        <w:rPr>
          <w:rFonts w:cs="Arial"/>
          <w:szCs w:val="20"/>
        </w:rPr>
        <w:t xml:space="preserve"> </w:t>
      </w:r>
      <w:r w:rsidR="0047695D">
        <w:rPr>
          <w:rFonts w:cs="Arial"/>
          <w:szCs w:val="20"/>
        </w:rPr>
        <w:t>for the sector that effectively assist</w:t>
      </w:r>
      <w:r w:rsidR="00FF2C59">
        <w:rPr>
          <w:rFonts w:cs="Arial"/>
          <w:szCs w:val="20"/>
        </w:rPr>
        <w:t xml:space="preserve"> the sector </w:t>
      </w:r>
      <w:r w:rsidR="00E4525C">
        <w:rPr>
          <w:rFonts w:cs="Arial"/>
          <w:szCs w:val="20"/>
        </w:rPr>
        <w:t>to</w:t>
      </w:r>
      <w:r w:rsidR="0047695D">
        <w:rPr>
          <w:rFonts w:cs="Arial"/>
          <w:szCs w:val="20"/>
        </w:rPr>
        <w:t xml:space="preserve"> </w:t>
      </w:r>
      <w:r w:rsidR="00FF2C59">
        <w:rPr>
          <w:rFonts w:cs="Arial"/>
          <w:szCs w:val="20"/>
        </w:rPr>
        <w:t xml:space="preserve">fulfil </w:t>
      </w:r>
      <w:r w:rsidR="001A1123">
        <w:rPr>
          <w:rFonts w:cs="Arial"/>
          <w:szCs w:val="20"/>
        </w:rPr>
        <w:t>its</w:t>
      </w:r>
      <w:r w:rsidR="00FF2C59">
        <w:rPr>
          <w:rFonts w:cs="Arial"/>
          <w:szCs w:val="20"/>
        </w:rPr>
        <w:t xml:space="preserve"> role. </w:t>
      </w:r>
      <w:r w:rsidR="00D4701A">
        <w:rPr>
          <w:rFonts w:cs="Arial"/>
          <w:szCs w:val="20"/>
        </w:rPr>
        <w:t xml:space="preserve">We are not opposed to either simplification or change to the public policy concerning tax concessions, but </w:t>
      </w:r>
      <w:r w:rsidR="00D4701A" w:rsidRPr="00D4701A">
        <w:rPr>
          <w:rFonts w:cs="Arial"/>
          <w:b/>
          <w:szCs w:val="20"/>
        </w:rPr>
        <w:t>recommend strongly</w:t>
      </w:r>
      <w:r w:rsidR="00D4701A">
        <w:rPr>
          <w:rFonts w:cs="Arial"/>
          <w:szCs w:val="20"/>
        </w:rPr>
        <w:t xml:space="preserve"> that any simplification or change must be made on the basis of:</w:t>
      </w:r>
    </w:p>
    <w:p w14:paraId="7DF6AEFE" w14:textId="6C072F26" w:rsidR="00D4701A" w:rsidRDefault="00D4701A" w:rsidP="00D4701A">
      <w:pPr>
        <w:pStyle w:val="ListParagraph"/>
        <w:numPr>
          <w:ilvl w:val="0"/>
          <w:numId w:val="11"/>
        </w:numPr>
        <w:jc w:val="both"/>
        <w:rPr>
          <w:rFonts w:cs="Arial"/>
          <w:szCs w:val="20"/>
        </w:rPr>
      </w:pPr>
      <w:r>
        <w:rPr>
          <w:rFonts w:cs="Arial"/>
          <w:szCs w:val="20"/>
        </w:rPr>
        <w:t xml:space="preserve">supporting the sector to achieve its </w:t>
      </w:r>
      <w:r w:rsidRPr="00D4701A">
        <w:rPr>
          <w:rFonts w:cs="Arial"/>
          <w:szCs w:val="20"/>
        </w:rPr>
        <w:t>outcomes</w:t>
      </w:r>
      <w:r w:rsidR="004415F8">
        <w:rPr>
          <w:rFonts w:cs="Arial"/>
          <w:szCs w:val="20"/>
        </w:rPr>
        <w:t>, which are of benefit socially and economically to society</w:t>
      </w:r>
    </w:p>
    <w:p w14:paraId="05E18359" w14:textId="7937C215" w:rsidR="00D4701A" w:rsidRDefault="00D4701A" w:rsidP="00D4701A">
      <w:pPr>
        <w:pStyle w:val="ListParagraph"/>
        <w:numPr>
          <w:ilvl w:val="0"/>
          <w:numId w:val="11"/>
        </w:numPr>
        <w:jc w:val="both"/>
        <w:rPr>
          <w:rFonts w:cs="Arial"/>
          <w:szCs w:val="20"/>
        </w:rPr>
      </w:pPr>
      <w:r>
        <w:rPr>
          <w:rFonts w:cs="Arial"/>
          <w:szCs w:val="20"/>
        </w:rPr>
        <w:t>not hindering the sector to achieve its outcomes</w:t>
      </w:r>
      <w:r w:rsidR="004415F8">
        <w:rPr>
          <w:rFonts w:cs="Arial"/>
          <w:szCs w:val="20"/>
        </w:rPr>
        <w:t>, with a commensurate decline in benefit to society</w:t>
      </w:r>
    </w:p>
    <w:p w14:paraId="3778993E" w14:textId="4EB59144" w:rsidR="00D4701A" w:rsidRPr="00D4701A" w:rsidRDefault="00D4701A" w:rsidP="00D4701A">
      <w:pPr>
        <w:pStyle w:val="ListParagraph"/>
        <w:numPr>
          <w:ilvl w:val="0"/>
          <w:numId w:val="11"/>
        </w:numPr>
        <w:jc w:val="both"/>
        <w:rPr>
          <w:rFonts w:cs="Arial"/>
          <w:szCs w:val="20"/>
        </w:rPr>
      </w:pPr>
      <w:proofErr w:type="gramStart"/>
      <w:r>
        <w:rPr>
          <w:rFonts w:cs="Arial"/>
          <w:szCs w:val="20"/>
        </w:rPr>
        <w:t>making</w:t>
      </w:r>
      <w:proofErr w:type="gramEnd"/>
      <w:r>
        <w:rPr>
          <w:rFonts w:cs="Arial"/>
          <w:szCs w:val="20"/>
        </w:rPr>
        <w:t xml:space="preserve"> the policy and procedures attached to the policy more equitable and efficient.</w:t>
      </w:r>
    </w:p>
    <w:p w14:paraId="197D52F7" w14:textId="77777777" w:rsidR="00D4701A" w:rsidRDefault="00D4701A" w:rsidP="008D12EB">
      <w:pPr>
        <w:jc w:val="both"/>
        <w:rPr>
          <w:rFonts w:cs="Arial"/>
          <w:szCs w:val="20"/>
        </w:rPr>
      </w:pPr>
    </w:p>
    <w:p w14:paraId="6BB558CB" w14:textId="117882FB" w:rsidR="00E4525C" w:rsidRDefault="00E4525C" w:rsidP="00E4525C">
      <w:pPr>
        <w:jc w:val="both"/>
        <w:rPr>
          <w:rFonts w:cs="Arial"/>
          <w:szCs w:val="20"/>
        </w:rPr>
      </w:pPr>
      <w:r>
        <w:rPr>
          <w:rFonts w:cs="Arial"/>
          <w:szCs w:val="20"/>
        </w:rPr>
        <w:t xml:space="preserve">Our support for the tax concessions </w:t>
      </w:r>
      <w:r w:rsidR="00CC700F">
        <w:rPr>
          <w:rFonts w:cs="Arial"/>
          <w:szCs w:val="20"/>
        </w:rPr>
        <w:t>is</w:t>
      </w:r>
      <w:r>
        <w:rPr>
          <w:rFonts w:cs="Arial"/>
          <w:szCs w:val="20"/>
        </w:rPr>
        <w:t xml:space="preserve"> based on the fact that, as shown in the Productivity Commission report, many NFPs </w:t>
      </w:r>
      <w:r w:rsidRPr="00D4701A">
        <w:rPr>
          <w:rFonts w:cs="Arial"/>
          <w:szCs w:val="20"/>
        </w:rPr>
        <w:t>do not operate in the market (or economic) sector</w:t>
      </w:r>
      <w:r>
        <w:rPr>
          <w:rFonts w:cs="Arial"/>
          <w:szCs w:val="20"/>
        </w:rPr>
        <w:t>, because:</w:t>
      </w:r>
    </w:p>
    <w:p w14:paraId="271C4CDF" w14:textId="77777777" w:rsidR="00E4525C" w:rsidRDefault="00E4525C" w:rsidP="00E4525C">
      <w:pPr>
        <w:pStyle w:val="ListParagraph"/>
        <w:numPr>
          <w:ilvl w:val="0"/>
          <w:numId w:val="12"/>
        </w:numPr>
        <w:jc w:val="both"/>
        <w:rPr>
          <w:rFonts w:cs="Arial"/>
          <w:szCs w:val="20"/>
        </w:rPr>
      </w:pPr>
      <w:r>
        <w:rPr>
          <w:rFonts w:cs="Arial"/>
          <w:szCs w:val="20"/>
        </w:rPr>
        <w:t>they provide much-needed services that the for-profit sector is unwilling to undertake, as they are unlikely to provide any financial return on investment</w:t>
      </w:r>
    </w:p>
    <w:p w14:paraId="03BDDADC" w14:textId="533CAB76" w:rsidR="00E4525C" w:rsidRPr="006438C5" w:rsidRDefault="00E4525C" w:rsidP="006438C5">
      <w:pPr>
        <w:pStyle w:val="ListParagraph"/>
        <w:numPr>
          <w:ilvl w:val="0"/>
          <w:numId w:val="11"/>
        </w:numPr>
        <w:jc w:val="both"/>
        <w:rPr>
          <w:rFonts w:cs="Arial"/>
          <w:szCs w:val="20"/>
        </w:rPr>
      </w:pPr>
      <w:proofErr w:type="gramStart"/>
      <w:r>
        <w:rPr>
          <w:rFonts w:cs="Arial"/>
          <w:szCs w:val="20"/>
        </w:rPr>
        <w:t>they</w:t>
      </w:r>
      <w:proofErr w:type="gramEnd"/>
      <w:r>
        <w:rPr>
          <w:rFonts w:cs="Arial"/>
          <w:szCs w:val="20"/>
        </w:rPr>
        <w:t xml:space="preserve"> provide much-needed services more cheaply and efficiently than the government is able to provide</w:t>
      </w:r>
      <w:r w:rsidRPr="006438C5">
        <w:rPr>
          <w:rFonts w:cs="Arial"/>
          <w:szCs w:val="20"/>
        </w:rPr>
        <w:t>.</w:t>
      </w:r>
    </w:p>
    <w:p w14:paraId="5595B7B4" w14:textId="77777777" w:rsidR="00E4525C" w:rsidRDefault="00E4525C" w:rsidP="008D12EB">
      <w:pPr>
        <w:jc w:val="both"/>
        <w:rPr>
          <w:rFonts w:cs="Arial"/>
          <w:szCs w:val="20"/>
        </w:rPr>
      </w:pPr>
    </w:p>
    <w:p w14:paraId="6A7C2172" w14:textId="1998C2D9" w:rsidR="00CC537B" w:rsidRDefault="00CC537B" w:rsidP="004415F8">
      <w:pPr>
        <w:jc w:val="both"/>
        <w:rPr>
          <w:rFonts w:cs="Arial"/>
          <w:szCs w:val="20"/>
        </w:rPr>
      </w:pPr>
      <w:r>
        <w:rPr>
          <w:rFonts w:cs="Arial"/>
          <w:szCs w:val="20"/>
        </w:rPr>
        <w:t>Should NFPs not receive tax concessions</w:t>
      </w:r>
      <w:r w:rsidR="006438C5">
        <w:rPr>
          <w:rFonts w:cs="Arial"/>
          <w:szCs w:val="20"/>
        </w:rPr>
        <w:t>,</w:t>
      </w:r>
      <w:r w:rsidR="004415F8">
        <w:rPr>
          <w:rFonts w:cs="Arial"/>
          <w:szCs w:val="20"/>
        </w:rPr>
        <w:t xml:space="preserve"> </w:t>
      </w:r>
      <w:r>
        <w:rPr>
          <w:rFonts w:cs="Arial"/>
          <w:szCs w:val="20"/>
        </w:rPr>
        <w:t xml:space="preserve">there would be a greatly increased call on the government’s budget to provide the services for </w:t>
      </w:r>
      <w:r w:rsidR="004415F8" w:rsidRPr="004415F8">
        <w:rPr>
          <w:rFonts w:cs="Arial"/>
          <w:szCs w:val="20"/>
        </w:rPr>
        <w:t>combating social exclusion and enhancing the economic, social, cultural and environmental</w:t>
      </w:r>
      <w:r w:rsidR="004415F8">
        <w:rPr>
          <w:rFonts w:cs="Arial"/>
          <w:szCs w:val="20"/>
        </w:rPr>
        <w:t xml:space="preserve"> wellbeing of society. Currently the Australian Government subcontracts a great many services to the disadvantaged to the NFP sector, and it does so as the sector is able to produce outcomes more cheaply than can the government.</w:t>
      </w:r>
      <w:r w:rsidR="006438C5">
        <w:rPr>
          <w:rFonts w:cs="Arial"/>
          <w:szCs w:val="20"/>
        </w:rPr>
        <w:t xml:space="preserve"> This</w:t>
      </w:r>
      <w:r w:rsidR="006438C5" w:rsidRPr="00904D79">
        <w:rPr>
          <w:rFonts w:cs="Arial"/>
          <w:szCs w:val="20"/>
        </w:rPr>
        <w:t xml:space="preserve"> reduc</w:t>
      </w:r>
      <w:r w:rsidR="006438C5">
        <w:rPr>
          <w:rFonts w:cs="Arial"/>
          <w:szCs w:val="20"/>
        </w:rPr>
        <w:t>es</w:t>
      </w:r>
      <w:r w:rsidR="006438C5" w:rsidRPr="00904D79">
        <w:rPr>
          <w:rFonts w:cs="Arial"/>
          <w:szCs w:val="20"/>
        </w:rPr>
        <w:t xml:space="preserve"> </w:t>
      </w:r>
      <w:r w:rsidR="006438C5">
        <w:rPr>
          <w:rFonts w:cs="Arial"/>
          <w:szCs w:val="20"/>
        </w:rPr>
        <w:t xml:space="preserve">the </w:t>
      </w:r>
      <w:r w:rsidR="006438C5" w:rsidRPr="00904D79">
        <w:rPr>
          <w:rFonts w:cs="Arial"/>
          <w:szCs w:val="20"/>
        </w:rPr>
        <w:t>cost</w:t>
      </w:r>
      <w:r w:rsidR="006438C5">
        <w:rPr>
          <w:rFonts w:cs="Arial"/>
          <w:szCs w:val="20"/>
        </w:rPr>
        <w:t xml:space="preserve"> to government, with the additional benefit of outcomes being achieved more efficiently and q</w:t>
      </w:r>
      <w:r w:rsidR="006438C5" w:rsidRPr="00904D79">
        <w:rPr>
          <w:rFonts w:cs="Arial"/>
          <w:szCs w:val="20"/>
        </w:rPr>
        <w:t>uickly</w:t>
      </w:r>
      <w:r w:rsidR="006438C5">
        <w:rPr>
          <w:rFonts w:cs="Arial"/>
          <w:szCs w:val="20"/>
        </w:rPr>
        <w:t>, which is of benefit to society as a whole.</w:t>
      </w:r>
    </w:p>
    <w:p w14:paraId="32AC1288" w14:textId="77777777" w:rsidR="004415F8" w:rsidRPr="00CC537B" w:rsidRDefault="004415F8" w:rsidP="004415F8">
      <w:pPr>
        <w:jc w:val="both"/>
        <w:rPr>
          <w:rFonts w:cs="Arial"/>
          <w:szCs w:val="20"/>
        </w:rPr>
      </w:pPr>
    </w:p>
    <w:p w14:paraId="364E4484" w14:textId="65618F16" w:rsidR="00D4701A" w:rsidRPr="00572DB0" w:rsidRDefault="00E4525C" w:rsidP="00D4701A">
      <w:pPr>
        <w:jc w:val="both"/>
        <w:rPr>
          <w:rFonts w:cs="Arial"/>
          <w:szCs w:val="20"/>
        </w:rPr>
      </w:pPr>
      <w:r>
        <w:rPr>
          <w:rFonts w:cs="Arial"/>
          <w:szCs w:val="20"/>
        </w:rPr>
        <w:t xml:space="preserve">The focus should always be on ensuring that any tax concessions </w:t>
      </w:r>
      <w:r w:rsidR="00D4701A">
        <w:rPr>
          <w:rFonts w:cs="Arial"/>
          <w:szCs w:val="20"/>
        </w:rPr>
        <w:t>produce better outcomes</w:t>
      </w:r>
      <w:r>
        <w:rPr>
          <w:rFonts w:cs="Arial"/>
          <w:szCs w:val="20"/>
        </w:rPr>
        <w:t>. Currently, the tax arrangements in relation to concessions for the sector are piecemeal and unduly complicated. It is for this reason that we recommend</w:t>
      </w:r>
      <w:r w:rsidR="00D4701A" w:rsidRPr="00BD0AB3">
        <w:rPr>
          <w:rFonts w:cs="Arial"/>
          <w:szCs w:val="20"/>
        </w:rPr>
        <w:t xml:space="preserve"> that the focus be on simplifying and streamlining the tax concessions</w:t>
      </w:r>
      <w:r>
        <w:rPr>
          <w:rFonts w:cs="Arial"/>
          <w:szCs w:val="20"/>
        </w:rPr>
        <w:t xml:space="preserve">. A simplified policy and process would bring greater certainty to the sector, with a commensurate benefit to outcomes. Where there are </w:t>
      </w:r>
      <w:r w:rsidR="00D4701A" w:rsidRPr="00BD0AB3">
        <w:rPr>
          <w:rFonts w:cs="Arial"/>
          <w:szCs w:val="20"/>
        </w:rPr>
        <w:t xml:space="preserve">loopholes </w:t>
      </w:r>
      <w:r>
        <w:rPr>
          <w:rFonts w:cs="Arial"/>
          <w:szCs w:val="20"/>
        </w:rPr>
        <w:t xml:space="preserve">in the current tax arrangements that are being abused, those loopholes should be addressed </w:t>
      </w:r>
      <w:r w:rsidR="00D4701A" w:rsidRPr="00BD0AB3">
        <w:rPr>
          <w:rFonts w:cs="Arial"/>
          <w:szCs w:val="20"/>
        </w:rPr>
        <w:t>rather than removing tax concessions</w:t>
      </w:r>
      <w:r w:rsidR="00D4701A">
        <w:rPr>
          <w:rFonts w:cs="Arial"/>
          <w:szCs w:val="20"/>
        </w:rPr>
        <w:t xml:space="preserve"> </w:t>
      </w:r>
      <w:r>
        <w:rPr>
          <w:rFonts w:cs="Arial"/>
          <w:szCs w:val="20"/>
        </w:rPr>
        <w:t>for</w:t>
      </w:r>
      <w:r w:rsidR="00D4701A" w:rsidRPr="0039611D">
        <w:rPr>
          <w:rFonts w:cs="Arial"/>
          <w:szCs w:val="20"/>
        </w:rPr>
        <w:t xml:space="preserve"> </w:t>
      </w:r>
      <w:r w:rsidR="00D4701A">
        <w:rPr>
          <w:rFonts w:cs="Arial"/>
          <w:szCs w:val="20"/>
        </w:rPr>
        <w:t>the NFP sector</w:t>
      </w:r>
      <w:r>
        <w:rPr>
          <w:rFonts w:cs="Arial"/>
          <w:szCs w:val="20"/>
        </w:rPr>
        <w:t xml:space="preserve"> as a whole</w:t>
      </w:r>
      <w:r w:rsidR="00D4701A">
        <w:rPr>
          <w:rFonts w:cs="Arial"/>
          <w:szCs w:val="20"/>
        </w:rPr>
        <w:t xml:space="preserve">. </w:t>
      </w:r>
      <w:r w:rsidR="00405D03">
        <w:rPr>
          <w:rFonts w:cs="Arial"/>
          <w:szCs w:val="20"/>
        </w:rPr>
        <w:t>Governance Institute is of the belief that it is short-sighted to reduce tax concessions to the NFP sector, the majority of which are well managed and provide substantial benefits to the community, in order to penalise those few that might have misused t</w:t>
      </w:r>
      <w:r w:rsidR="00252D26">
        <w:rPr>
          <w:rFonts w:cs="Arial"/>
          <w:szCs w:val="20"/>
        </w:rPr>
        <w:t>he</w:t>
      </w:r>
      <w:r w:rsidR="00405D03">
        <w:rPr>
          <w:rFonts w:cs="Arial"/>
          <w:szCs w:val="20"/>
        </w:rPr>
        <w:t xml:space="preserve"> system to their advantage.</w:t>
      </w:r>
    </w:p>
    <w:p w14:paraId="161ECA94" w14:textId="77777777" w:rsidR="00D4701A" w:rsidRDefault="00D4701A" w:rsidP="008D12EB">
      <w:pPr>
        <w:jc w:val="both"/>
        <w:rPr>
          <w:rFonts w:cs="Arial"/>
          <w:szCs w:val="20"/>
        </w:rPr>
      </w:pPr>
    </w:p>
    <w:p w14:paraId="4805B1A8" w14:textId="4C1E1D51" w:rsidR="00E4525C" w:rsidRDefault="00CC537B" w:rsidP="00E4525C">
      <w:pPr>
        <w:jc w:val="both"/>
        <w:rPr>
          <w:rFonts w:cs="Arial"/>
          <w:szCs w:val="20"/>
        </w:rPr>
      </w:pPr>
      <w:r>
        <w:rPr>
          <w:rFonts w:cs="Arial"/>
          <w:szCs w:val="20"/>
        </w:rPr>
        <w:t xml:space="preserve">Governance Institute is </w:t>
      </w:r>
      <w:r w:rsidR="00E4525C">
        <w:rPr>
          <w:rFonts w:cs="Arial"/>
          <w:szCs w:val="20"/>
        </w:rPr>
        <w:t>concern</w:t>
      </w:r>
      <w:r>
        <w:rPr>
          <w:rFonts w:cs="Arial"/>
          <w:szCs w:val="20"/>
        </w:rPr>
        <w:t xml:space="preserve">ed </w:t>
      </w:r>
      <w:r w:rsidR="00E4525C">
        <w:rPr>
          <w:rFonts w:cs="Arial"/>
          <w:szCs w:val="20"/>
        </w:rPr>
        <w:t xml:space="preserve">that, while the discussion paper provides quantification of the revenue forgone as a result of tax concessions to the sector, it provides no quantification of the impact on the sector and outcomes should the tax concessions to the sector cease. </w:t>
      </w:r>
      <w:r w:rsidR="00CC700F">
        <w:rPr>
          <w:rFonts w:cs="Arial"/>
          <w:szCs w:val="20"/>
        </w:rPr>
        <w:t xml:space="preserve">Nor does it place any estimate on the aggregate value of contribution to the economy by volunteers and other support provided by the sector. </w:t>
      </w:r>
      <w:r w:rsidR="00E4525C">
        <w:rPr>
          <w:rFonts w:cs="Arial"/>
          <w:szCs w:val="20"/>
        </w:rPr>
        <w:t xml:space="preserve">We are of the opinion that government funding to </w:t>
      </w:r>
      <w:r w:rsidR="00CC700F">
        <w:rPr>
          <w:rFonts w:cs="Arial"/>
          <w:szCs w:val="20"/>
        </w:rPr>
        <w:t>replace</w:t>
      </w:r>
      <w:r w:rsidR="00E4525C">
        <w:rPr>
          <w:rFonts w:cs="Arial"/>
          <w:szCs w:val="20"/>
        </w:rPr>
        <w:t xml:space="preserve"> the services currently provided by the sector would not </w:t>
      </w:r>
      <w:r w:rsidR="00252D26">
        <w:rPr>
          <w:rFonts w:cs="Arial"/>
          <w:szCs w:val="20"/>
        </w:rPr>
        <w:t xml:space="preserve">necessarily </w:t>
      </w:r>
      <w:r w:rsidR="00E4525C">
        <w:rPr>
          <w:rFonts w:cs="Arial"/>
          <w:szCs w:val="20"/>
        </w:rPr>
        <w:t>increase, and therefore there would be significant social and economic impact. This should be quantified before any move is made to remove tax concessions.</w:t>
      </w:r>
    </w:p>
    <w:p w14:paraId="6DF5CD70" w14:textId="77777777" w:rsidR="00E4525C" w:rsidRDefault="00E4525C" w:rsidP="00E4525C">
      <w:pPr>
        <w:jc w:val="both"/>
        <w:rPr>
          <w:rFonts w:cs="Arial"/>
          <w:szCs w:val="20"/>
        </w:rPr>
      </w:pPr>
    </w:p>
    <w:p w14:paraId="5B802265" w14:textId="77777777" w:rsidR="00CC537B" w:rsidRDefault="00CC537B" w:rsidP="00CC537B">
      <w:pPr>
        <w:jc w:val="both"/>
        <w:rPr>
          <w:rFonts w:cs="Arial"/>
          <w:szCs w:val="20"/>
        </w:rPr>
      </w:pPr>
      <w:r>
        <w:lastRenderedPageBreak/>
        <w:t>Importantly, t</w:t>
      </w:r>
      <w:r>
        <w:rPr>
          <w:rFonts w:cs="Arial"/>
          <w:szCs w:val="20"/>
        </w:rPr>
        <w:t>he Productivity Commission report notes that less than 10 per cent of NFP organisations access tax concessions:</w:t>
      </w:r>
    </w:p>
    <w:p w14:paraId="5DB46930" w14:textId="77777777" w:rsidR="00CC537B" w:rsidRDefault="00CC537B" w:rsidP="00CC537B">
      <w:pPr>
        <w:jc w:val="both"/>
        <w:rPr>
          <w:rFonts w:cs="Arial"/>
          <w:szCs w:val="20"/>
        </w:rPr>
      </w:pPr>
    </w:p>
    <w:p w14:paraId="6D3430E0" w14:textId="77777777" w:rsidR="00CC537B" w:rsidRDefault="00CC537B" w:rsidP="00CC537B">
      <w:pPr>
        <w:ind w:left="851"/>
        <w:jc w:val="both"/>
        <w:rPr>
          <w:rFonts w:cs="Arial"/>
          <w:szCs w:val="20"/>
        </w:rPr>
      </w:pPr>
      <w:r w:rsidRPr="0047695D">
        <w:rPr>
          <w:rFonts w:cs="Arial"/>
          <w:szCs w:val="20"/>
        </w:rPr>
        <w:t>On a rough estimate, there are some 600 000 NFPs (excluding body corporates</w:t>
      </w:r>
      <w:r>
        <w:rPr>
          <w:rFonts w:cs="Arial"/>
          <w:szCs w:val="20"/>
        </w:rPr>
        <w:t xml:space="preserve"> </w:t>
      </w:r>
      <w:r w:rsidRPr="0047695D">
        <w:rPr>
          <w:rFonts w:cs="Arial"/>
          <w:szCs w:val="20"/>
        </w:rPr>
        <w:t>such as for strata titles). The majority, some 440 000, are small unincorporated</w:t>
      </w:r>
      <w:r>
        <w:rPr>
          <w:rFonts w:cs="Arial"/>
          <w:szCs w:val="20"/>
        </w:rPr>
        <w:t xml:space="preserve"> </w:t>
      </w:r>
      <w:r w:rsidRPr="0047695D">
        <w:rPr>
          <w:rFonts w:cs="Arial"/>
          <w:szCs w:val="20"/>
        </w:rPr>
        <w:t>organisations (such as neighbourhood tennis, babysitting, or card clubs).</w:t>
      </w:r>
      <w:r>
        <w:rPr>
          <w:rFonts w:cs="Arial"/>
          <w:szCs w:val="20"/>
        </w:rPr>
        <w:t xml:space="preserve"> </w:t>
      </w:r>
      <w:r w:rsidRPr="0047695D">
        <w:rPr>
          <w:rFonts w:cs="Arial"/>
          <w:szCs w:val="20"/>
        </w:rPr>
        <w:t>Of the remainder, the ABS classifies 58 779 as ‘having an active tax role’ (on</w:t>
      </w:r>
      <w:r>
        <w:rPr>
          <w:rFonts w:cs="Arial"/>
          <w:szCs w:val="20"/>
        </w:rPr>
        <w:t xml:space="preserve"> </w:t>
      </w:r>
      <w:r w:rsidRPr="0047695D">
        <w:rPr>
          <w:rFonts w:cs="Arial"/>
          <w:szCs w:val="20"/>
        </w:rPr>
        <w:t>the basis that they employ staff or access tax concessions). These ‘economically</w:t>
      </w:r>
      <w:r>
        <w:rPr>
          <w:rFonts w:cs="Arial"/>
          <w:szCs w:val="20"/>
        </w:rPr>
        <w:t xml:space="preserve"> </w:t>
      </w:r>
      <w:r w:rsidRPr="0047695D">
        <w:rPr>
          <w:rFonts w:cs="Arial"/>
          <w:szCs w:val="20"/>
        </w:rPr>
        <w:t>significant’ NFPs employed 889 900 staff, around 8 per cent of employment, and</w:t>
      </w:r>
      <w:r>
        <w:rPr>
          <w:rFonts w:cs="Arial"/>
          <w:szCs w:val="20"/>
        </w:rPr>
        <w:t xml:space="preserve"> </w:t>
      </w:r>
      <w:r w:rsidRPr="0047695D">
        <w:rPr>
          <w:rFonts w:cs="Arial"/>
          <w:szCs w:val="20"/>
        </w:rPr>
        <w:t>contributed just under $43 billion to Australia’s GDP in 2006-07.</w:t>
      </w:r>
      <w:r>
        <w:rPr>
          <w:rStyle w:val="FootnoteReference"/>
          <w:rFonts w:cs="Arial"/>
          <w:szCs w:val="20"/>
        </w:rPr>
        <w:footnoteReference w:id="5"/>
      </w:r>
    </w:p>
    <w:p w14:paraId="2F6BF419" w14:textId="77777777" w:rsidR="00CC537B" w:rsidRDefault="00CC537B" w:rsidP="00E4525C">
      <w:pPr>
        <w:jc w:val="both"/>
        <w:rPr>
          <w:rFonts w:cs="Arial"/>
          <w:szCs w:val="20"/>
        </w:rPr>
      </w:pPr>
    </w:p>
    <w:p w14:paraId="50C3049D" w14:textId="040FBE64" w:rsidR="00CC537B" w:rsidRDefault="00CC537B" w:rsidP="008D12EB">
      <w:pPr>
        <w:jc w:val="both"/>
        <w:rPr>
          <w:rFonts w:cs="Arial"/>
          <w:szCs w:val="20"/>
        </w:rPr>
      </w:pPr>
      <w:r>
        <w:rPr>
          <w:rFonts w:cs="Arial"/>
          <w:szCs w:val="20"/>
        </w:rPr>
        <w:t>This needs to be borne in mind</w:t>
      </w:r>
      <w:r w:rsidR="006438C5">
        <w:rPr>
          <w:rFonts w:cs="Arial"/>
          <w:szCs w:val="20"/>
        </w:rPr>
        <w:t xml:space="preserve"> — the majority of NFPs are self-funding and not </w:t>
      </w:r>
      <w:r>
        <w:rPr>
          <w:rFonts w:cs="Arial"/>
          <w:szCs w:val="20"/>
        </w:rPr>
        <w:t xml:space="preserve">accessing tax concessions. </w:t>
      </w:r>
    </w:p>
    <w:p w14:paraId="3EB15049" w14:textId="77777777" w:rsidR="00CC537B" w:rsidRDefault="00CC537B" w:rsidP="008D12EB">
      <w:pPr>
        <w:jc w:val="both"/>
        <w:rPr>
          <w:rFonts w:cs="Arial"/>
          <w:szCs w:val="20"/>
        </w:rPr>
      </w:pPr>
    </w:p>
    <w:p w14:paraId="42919999" w14:textId="6494E20F" w:rsidR="008D12EB" w:rsidRDefault="00FF2C59" w:rsidP="008D12EB">
      <w:pPr>
        <w:jc w:val="both"/>
        <w:rPr>
          <w:rFonts w:cs="Arial"/>
          <w:szCs w:val="20"/>
        </w:rPr>
      </w:pPr>
      <w:r>
        <w:rPr>
          <w:rFonts w:cs="Arial"/>
          <w:szCs w:val="20"/>
        </w:rPr>
        <w:t xml:space="preserve">We are also </w:t>
      </w:r>
      <w:r w:rsidR="00572DB0">
        <w:rPr>
          <w:rFonts w:cs="Arial"/>
          <w:szCs w:val="20"/>
        </w:rPr>
        <w:t>cognisant of the fact</w:t>
      </w:r>
      <w:r w:rsidR="00501904" w:rsidRPr="00501904">
        <w:rPr>
          <w:rFonts w:cs="Arial"/>
          <w:szCs w:val="20"/>
        </w:rPr>
        <w:t xml:space="preserve"> that </w:t>
      </w:r>
      <w:r w:rsidR="00AE7005">
        <w:rPr>
          <w:rFonts w:cs="Arial"/>
          <w:szCs w:val="20"/>
        </w:rPr>
        <w:t xml:space="preserve">any </w:t>
      </w:r>
      <w:r w:rsidR="00E4525C">
        <w:rPr>
          <w:rFonts w:cs="Arial"/>
          <w:szCs w:val="20"/>
        </w:rPr>
        <w:t xml:space="preserve">changes to </w:t>
      </w:r>
      <w:r w:rsidR="00AE7005">
        <w:rPr>
          <w:rFonts w:cs="Arial"/>
          <w:szCs w:val="20"/>
        </w:rPr>
        <w:t xml:space="preserve">tax </w:t>
      </w:r>
      <w:r w:rsidR="00501904" w:rsidRPr="00501904">
        <w:rPr>
          <w:rFonts w:cs="Arial"/>
          <w:szCs w:val="20"/>
        </w:rPr>
        <w:t>conc</w:t>
      </w:r>
      <w:r w:rsidR="007620C1">
        <w:rPr>
          <w:rFonts w:cs="Arial"/>
          <w:szCs w:val="20"/>
        </w:rPr>
        <w:t>ession</w:t>
      </w:r>
      <w:r w:rsidR="00E4525C">
        <w:rPr>
          <w:rFonts w:cs="Arial"/>
          <w:szCs w:val="20"/>
        </w:rPr>
        <w:t>s</w:t>
      </w:r>
      <w:r w:rsidR="00D97245">
        <w:rPr>
          <w:rFonts w:cs="Arial"/>
          <w:szCs w:val="20"/>
        </w:rPr>
        <w:t xml:space="preserve"> </w:t>
      </w:r>
      <w:r w:rsidR="00AE7005">
        <w:rPr>
          <w:rFonts w:cs="Arial"/>
          <w:szCs w:val="20"/>
        </w:rPr>
        <w:t>w</w:t>
      </w:r>
      <w:r w:rsidR="003718A2">
        <w:rPr>
          <w:rFonts w:cs="Arial"/>
          <w:szCs w:val="20"/>
        </w:rPr>
        <w:t>ould</w:t>
      </w:r>
      <w:r w:rsidR="00AE7005">
        <w:rPr>
          <w:rFonts w:cs="Arial"/>
          <w:szCs w:val="20"/>
        </w:rPr>
        <w:t xml:space="preserve"> </w:t>
      </w:r>
      <w:r w:rsidR="00D97245">
        <w:rPr>
          <w:rFonts w:cs="Arial"/>
          <w:szCs w:val="20"/>
        </w:rPr>
        <w:t>i</w:t>
      </w:r>
      <w:r w:rsidR="00AE7005">
        <w:rPr>
          <w:rFonts w:cs="Arial"/>
          <w:szCs w:val="20"/>
        </w:rPr>
        <w:t>mpact the s</w:t>
      </w:r>
      <w:r w:rsidR="00501904" w:rsidRPr="00501904">
        <w:rPr>
          <w:rFonts w:cs="Arial"/>
          <w:szCs w:val="20"/>
        </w:rPr>
        <w:t>ector’s capacity to serve the community in future years</w:t>
      </w:r>
      <w:r w:rsidR="00E4525C">
        <w:rPr>
          <w:rFonts w:cs="Arial"/>
          <w:szCs w:val="20"/>
        </w:rPr>
        <w:t>, and this also needs to be considered in the formulation of public policy</w:t>
      </w:r>
      <w:r w:rsidR="00AE7005">
        <w:rPr>
          <w:rFonts w:cs="Arial"/>
          <w:szCs w:val="20"/>
        </w:rPr>
        <w:t>.</w:t>
      </w:r>
    </w:p>
    <w:p w14:paraId="274E82D9" w14:textId="77777777" w:rsidR="00AB3AF6" w:rsidRDefault="00AB3AF6" w:rsidP="008D12EB">
      <w:pPr>
        <w:jc w:val="both"/>
      </w:pPr>
    </w:p>
    <w:p w14:paraId="226004E2" w14:textId="387FCF63" w:rsidR="008564AA" w:rsidRPr="00FD1AED" w:rsidRDefault="008564AA" w:rsidP="008D12EB">
      <w:pPr>
        <w:jc w:val="both"/>
        <w:rPr>
          <w:rFonts w:ascii="Arial Black" w:hAnsi="Arial Black" w:cs="Arial"/>
          <w:sz w:val="22"/>
          <w:szCs w:val="22"/>
        </w:rPr>
      </w:pPr>
      <w:r w:rsidRPr="00FD1AED">
        <w:rPr>
          <w:rFonts w:ascii="Arial Black" w:hAnsi="Arial Black" w:cs="Arial"/>
          <w:sz w:val="22"/>
          <w:szCs w:val="22"/>
        </w:rPr>
        <w:t>To what extent do the tax arrangements for the NFP sector raise particular concerns about competitive advantage compared with the tax arrangements for for-profit organisations?</w:t>
      </w:r>
    </w:p>
    <w:p w14:paraId="42C51B19" w14:textId="77777777" w:rsidR="008564AA" w:rsidRDefault="008564AA" w:rsidP="008D12EB">
      <w:pPr>
        <w:jc w:val="both"/>
        <w:rPr>
          <w:rFonts w:cs="Arial"/>
          <w:szCs w:val="20"/>
        </w:rPr>
      </w:pPr>
    </w:p>
    <w:p w14:paraId="7851FE23" w14:textId="600F95A0" w:rsidR="004415F8" w:rsidRDefault="00A40778" w:rsidP="008D12EB">
      <w:pPr>
        <w:jc w:val="both"/>
        <w:rPr>
          <w:rFonts w:cs="Arial"/>
          <w:szCs w:val="20"/>
        </w:rPr>
      </w:pPr>
      <w:r>
        <w:rPr>
          <w:rFonts w:cs="Arial"/>
          <w:szCs w:val="20"/>
        </w:rPr>
        <w:t xml:space="preserve">Governance Institute </w:t>
      </w:r>
      <w:r w:rsidR="004415F8">
        <w:rPr>
          <w:rFonts w:cs="Arial"/>
          <w:szCs w:val="20"/>
        </w:rPr>
        <w:t>is</w:t>
      </w:r>
      <w:r w:rsidR="003C23E2">
        <w:rPr>
          <w:rFonts w:cs="Arial"/>
          <w:szCs w:val="20"/>
        </w:rPr>
        <w:t xml:space="preserve"> strongly </w:t>
      </w:r>
      <w:r w:rsidR="004415F8">
        <w:rPr>
          <w:rFonts w:cs="Arial"/>
          <w:szCs w:val="20"/>
        </w:rPr>
        <w:t>of the view</w:t>
      </w:r>
      <w:r w:rsidR="00501904">
        <w:rPr>
          <w:rFonts w:cs="Arial"/>
          <w:szCs w:val="20"/>
        </w:rPr>
        <w:t xml:space="preserve"> that </w:t>
      </w:r>
      <w:r w:rsidR="00BD0AB3" w:rsidRPr="00BD0AB3">
        <w:rPr>
          <w:rFonts w:cs="Arial"/>
          <w:szCs w:val="20"/>
        </w:rPr>
        <w:t xml:space="preserve">it is not valid </w:t>
      </w:r>
      <w:r w:rsidR="00501904">
        <w:rPr>
          <w:rFonts w:cs="Arial"/>
          <w:szCs w:val="20"/>
        </w:rPr>
        <w:t xml:space="preserve">to suggest </w:t>
      </w:r>
      <w:r w:rsidR="00DE1C54" w:rsidRPr="00DE1C54">
        <w:rPr>
          <w:rFonts w:cs="Arial"/>
          <w:szCs w:val="20"/>
        </w:rPr>
        <w:t xml:space="preserve">that there </w:t>
      </w:r>
      <w:r w:rsidR="003718A2">
        <w:rPr>
          <w:rFonts w:cs="Arial"/>
          <w:szCs w:val="20"/>
        </w:rPr>
        <w:t xml:space="preserve">is a </w:t>
      </w:r>
      <w:r w:rsidR="003718A2" w:rsidRPr="003718A2">
        <w:rPr>
          <w:rFonts w:cs="Arial"/>
          <w:szCs w:val="20"/>
        </w:rPr>
        <w:t xml:space="preserve">competitive advantage </w:t>
      </w:r>
      <w:r w:rsidR="004415F8">
        <w:rPr>
          <w:rFonts w:cs="Arial"/>
          <w:szCs w:val="20"/>
        </w:rPr>
        <w:t>for</w:t>
      </w:r>
      <w:r w:rsidR="003718A2">
        <w:rPr>
          <w:rFonts w:cs="Arial"/>
          <w:szCs w:val="20"/>
        </w:rPr>
        <w:t xml:space="preserve"> the NFP sector </w:t>
      </w:r>
      <w:r w:rsidR="004415F8">
        <w:rPr>
          <w:rFonts w:cs="Arial"/>
          <w:szCs w:val="20"/>
        </w:rPr>
        <w:t xml:space="preserve">when in receipt of tax concessions, </w:t>
      </w:r>
      <w:r w:rsidR="003718A2" w:rsidRPr="003718A2">
        <w:rPr>
          <w:rFonts w:cs="Arial"/>
          <w:szCs w:val="20"/>
        </w:rPr>
        <w:t xml:space="preserve">compared </w:t>
      </w:r>
      <w:r w:rsidR="004415F8">
        <w:rPr>
          <w:rFonts w:cs="Arial"/>
          <w:szCs w:val="20"/>
        </w:rPr>
        <w:t>to</w:t>
      </w:r>
      <w:r w:rsidR="003718A2" w:rsidRPr="003718A2">
        <w:rPr>
          <w:rFonts w:cs="Arial"/>
          <w:szCs w:val="20"/>
        </w:rPr>
        <w:t xml:space="preserve"> the tax arrangemen</w:t>
      </w:r>
      <w:r w:rsidR="003718A2">
        <w:rPr>
          <w:rFonts w:cs="Arial"/>
          <w:szCs w:val="20"/>
        </w:rPr>
        <w:t xml:space="preserve">ts for for-profit organisations. </w:t>
      </w:r>
      <w:r w:rsidR="006438C5">
        <w:rPr>
          <w:rFonts w:cs="Arial"/>
          <w:szCs w:val="20"/>
        </w:rPr>
        <w:t>W</w:t>
      </w:r>
      <w:r w:rsidR="004415F8">
        <w:rPr>
          <w:rFonts w:cs="Arial"/>
          <w:szCs w:val="20"/>
        </w:rPr>
        <w:t xml:space="preserve">e do not agree with the assumption that there should be </w:t>
      </w:r>
      <w:r w:rsidR="006438C5">
        <w:rPr>
          <w:rFonts w:cs="Arial"/>
          <w:szCs w:val="20"/>
        </w:rPr>
        <w:t xml:space="preserve">reform </w:t>
      </w:r>
      <w:r w:rsidR="004415F8">
        <w:rPr>
          <w:rFonts w:cs="Arial"/>
          <w:szCs w:val="20"/>
        </w:rPr>
        <w:t>based on a</w:t>
      </w:r>
      <w:r w:rsidR="00DE1C54" w:rsidRPr="00DE1C54">
        <w:rPr>
          <w:rFonts w:cs="Arial"/>
          <w:szCs w:val="20"/>
        </w:rPr>
        <w:t xml:space="preserve"> need to ‘level the playing field’. </w:t>
      </w:r>
      <w:r w:rsidR="004415F8">
        <w:rPr>
          <w:rFonts w:cs="Arial"/>
          <w:szCs w:val="20"/>
        </w:rPr>
        <w:t>We contend</w:t>
      </w:r>
      <w:r w:rsidR="00DE1C54" w:rsidRPr="00DE1C54">
        <w:rPr>
          <w:rFonts w:cs="Arial"/>
          <w:szCs w:val="20"/>
        </w:rPr>
        <w:t xml:space="preserve"> that th</w:t>
      </w:r>
      <w:r w:rsidR="006438C5">
        <w:rPr>
          <w:rFonts w:cs="Arial"/>
          <w:szCs w:val="20"/>
        </w:rPr>
        <w:t>is</w:t>
      </w:r>
      <w:r w:rsidR="00DE1C54" w:rsidRPr="00DE1C54">
        <w:rPr>
          <w:rFonts w:cs="Arial"/>
          <w:szCs w:val="20"/>
        </w:rPr>
        <w:t xml:space="preserve"> argument is flawed, given that for-profit organisations are free to distribute their profits as they see fit, whereas NFP organisations are not. </w:t>
      </w:r>
      <w:r w:rsidR="004415F8">
        <w:rPr>
          <w:rFonts w:cs="Arial"/>
          <w:szCs w:val="20"/>
        </w:rPr>
        <w:t>In NFPs, the profit is returned to the provision of</w:t>
      </w:r>
      <w:r w:rsidR="004415F8" w:rsidRPr="00BD0AB3">
        <w:rPr>
          <w:rFonts w:cs="Arial"/>
          <w:szCs w:val="20"/>
        </w:rPr>
        <w:t xml:space="preserve"> services, </w:t>
      </w:r>
      <w:r w:rsidR="006438C5">
        <w:rPr>
          <w:rFonts w:cs="Arial"/>
          <w:szCs w:val="20"/>
        </w:rPr>
        <w:t xml:space="preserve">unlike in for-profit organisations where it </w:t>
      </w:r>
      <w:r w:rsidR="004415F8">
        <w:rPr>
          <w:rFonts w:cs="Arial"/>
          <w:szCs w:val="20"/>
        </w:rPr>
        <w:t xml:space="preserve">is returned to the providers of financial capital — the </w:t>
      </w:r>
      <w:r w:rsidR="006438C5">
        <w:rPr>
          <w:rFonts w:cs="Arial"/>
          <w:szCs w:val="20"/>
        </w:rPr>
        <w:t xml:space="preserve">benefit is the </w:t>
      </w:r>
      <w:r w:rsidR="004415F8">
        <w:rPr>
          <w:rFonts w:cs="Arial"/>
          <w:szCs w:val="20"/>
        </w:rPr>
        <w:t>wealth maximisation of investors.</w:t>
      </w:r>
    </w:p>
    <w:p w14:paraId="28E53D61" w14:textId="77777777" w:rsidR="004415F8" w:rsidRDefault="004415F8" w:rsidP="008D12EB">
      <w:pPr>
        <w:jc w:val="both"/>
        <w:rPr>
          <w:rFonts w:cs="Arial"/>
          <w:szCs w:val="20"/>
        </w:rPr>
      </w:pPr>
    </w:p>
    <w:p w14:paraId="03DF8C3D" w14:textId="5FB4ECE1" w:rsidR="004415F8" w:rsidRDefault="00DE1C54" w:rsidP="008D12EB">
      <w:pPr>
        <w:jc w:val="both"/>
        <w:rPr>
          <w:rFonts w:cs="Arial"/>
          <w:szCs w:val="20"/>
        </w:rPr>
      </w:pPr>
      <w:r w:rsidRPr="00DE1C54">
        <w:rPr>
          <w:rFonts w:cs="Arial"/>
          <w:szCs w:val="20"/>
        </w:rPr>
        <w:t>To base reform of the NFP sector on a misapprehension that the private and NFP sectors can and should be treated in similar fashion defeats the objectives of providing a regulatory framework for the NFP sector that takes into account its specific characteristics and needs</w:t>
      </w:r>
      <w:r w:rsidR="004415F8">
        <w:rPr>
          <w:rFonts w:cs="Arial"/>
          <w:szCs w:val="20"/>
        </w:rPr>
        <w:t>.</w:t>
      </w:r>
    </w:p>
    <w:p w14:paraId="376996B3" w14:textId="77777777" w:rsidR="004415F8" w:rsidRDefault="004415F8" w:rsidP="008D12EB">
      <w:pPr>
        <w:jc w:val="both"/>
        <w:rPr>
          <w:rFonts w:cs="Arial"/>
          <w:szCs w:val="20"/>
        </w:rPr>
      </w:pPr>
    </w:p>
    <w:p w14:paraId="68C72911" w14:textId="3A57836B" w:rsidR="004415F8" w:rsidRDefault="004415F8" w:rsidP="004415F8">
      <w:pPr>
        <w:jc w:val="both"/>
        <w:rPr>
          <w:rFonts w:cs="Arial"/>
          <w:szCs w:val="20"/>
        </w:rPr>
      </w:pPr>
      <w:r>
        <w:rPr>
          <w:rFonts w:cs="Arial"/>
          <w:szCs w:val="20"/>
        </w:rPr>
        <w:t xml:space="preserve">We also note that the NFP sector is not the only sector to receive tax concessions. For example, benefits are made available to the for-profit sector, in the form of </w:t>
      </w:r>
      <w:r w:rsidRPr="00D060B0">
        <w:rPr>
          <w:rFonts w:cs="Arial"/>
          <w:szCs w:val="20"/>
        </w:rPr>
        <w:t xml:space="preserve">subsidies to mining </w:t>
      </w:r>
      <w:r>
        <w:rPr>
          <w:rFonts w:cs="Arial"/>
          <w:szCs w:val="20"/>
        </w:rPr>
        <w:t xml:space="preserve">companies; state government </w:t>
      </w:r>
      <w:r w:rsidRPr="00D060B0">
        <w:rPr>
          <w:rFonts w:cs="Arial"/>
          <w:szCs w:val="20"/>
        </w:rPr>
        <w:t xml:space="preserve">tax concessions on payroll tax </w:t>
      </w:r>
      <w:r w:rsidR="00CC700F">
        <w:rPr>
          <w:rFonts w:cs="Arial"/>
          <w:szCs w:val="20"/>
        </w:rPr>
        <w:t xml:space="preserve">and stamp duties </w:t>
      </w:r>
      <w:r w:rsidRPr="00D060B0">
        <w:rPr>
          <w:rFonts w:cs="Arial"/>
          <w:szCs w:val="20"/>
        </w:rPr>
        <w:t xml:space="preserve">to attract business to the </w:t>
      </w:r>
      <w:r>
        <w:rPr>
          <w:rFonts w:cs="Arial"/>
          <w:szCs w:val="20"/>
        </w:rPr>
        <w:t>s</w:t>
      </w:r>
      <w:r w:rsidRPr="00D060B0">
        <w:rPr>
          <w:rFonts w:cs="Arial"/>
          <w:szCs w:val="20"/>
        </w:rPr>
        <w:t>tate</w:t>
      </w:r>
      <w:r>
        <w:rPr>
          <w:rFonts w:cs="Arial"/>
          <w:szCs w:val="20"/>
        </w:rPr>
        <w:t xml:space="preserve">; </w:t>
      </w:r>
      <w:r w:rsidRPr="00D060B0">
        <w:rPr>
          <w:rFonts w:cs="Arial"/>
          <w:szCs w:val="20"/>
        </w:rPr>
        <w:t xml:space="preserve">or </w:t>
      </w:r>
      <w:r>
        <w:rPr>
          <w:rFonts w:cs="Arial"/>
          <w:szCs w:val="20"/>
        </w:rPr>
        <w:t xml:space="preserve">the </w:t>
      </w:r>
      <w:r w:rsidRPr="00D060B0">
        <w:rPr>
          <w:rFonts w:cs="Arial"/>
          <w:szCs w:val="20"/>
        </w:rPr>
        <w:t xml:space="preserve">funding </w:t>
      </w:r>
      <w:r>
        <w:rPr>
          <w:rFonts w:cs="Arial"/>
          <w:szCs w:val="20"/>
        </w:rPr>
        <w:t xml:space="preserve">by government of </w:t>
      </w:r>
      <w:r w:rsidRPr="00D060B0">
        <w:rPr>
          <w:rFonts w:cs="Arial"/>
          <w:szCs w:val="20"/>
        </w:rPr>
        <w:t xml:space="preserve">apprenticeships to support </w:t>
      </w:r>
      <w:r>
        <w:rPr>
          <w:rFonts w:cs="Arial"/>
          <w:szCs w:val="20"/>
        </w:rPr>
        <w:t xml:space="preserve">the </w:t>
      </w:r>
      <w:r w:rsidRPr="00D060B0">
        <w:rPr>
          <w:rFonts w:cs="Arial"/>
          <w:szCs w:val="20"/>
        </w:rPr>
        <w:t xml:space="preserve">labour force in the for-profit sector. </w:t>
      </w:r>
      <w:r w:rsidR="00405D03">
        <w:rPr>
          <w:rFonts w:cs="Arial"/>
          <w:szCs w:val="20"/>
        </w:rPr>
        <w:t xml:space="preserve">This </w:t>
      </w:r>
      <w:proofErr w:type="gramStart"/>
      <w:r w:rsidR="00405D03">
        <w:rPr>
          <w:rFonts w:cs="Arial"/>
          <w:szCs w:val="20"/>
        </w:rPr>
        <w:t>raises</w:t>
      </w:r>
      <w:proofErr w:type="gramEnd"/>
      <w:r w:rsidR="00405D03">
        <w:rPr>
          <w:rFonts w:cs="Arial"/>
          <w:szCs w:val="20"/>
        </w:rPr>
        <w:t xml:space="preserve"> questions as to whether there can be any competitive advantage provided to NFP organisations, given that tax concessions are also available to the for-profit sector.</w:t>
      </w:r>
    </w:p>
    <w:p w14:paraId="3AF0688D" w14:textId="77777777" w:rsidR="00FD1AED" w:rsidRDefault="00FD1AED" w:rsidP="004415F8">
      <w:pPr>
        <w:jc w:val="both"/>
        <w:rPr>
          <w:rFonts w:cs="Arial"/>
          <w:szCs w:val="20"/>
        </w:rPr>
      </w:pPr>
    </w:p>
    <w:p w14:paraId="5E38A2B7" w14:textId="05328D58" w:rsidR="00FD1AED" w:rsidRDefault="00FD1AED" w:rsidP="00FD1AED">
      <w:pPr>
        <w:jc w:val="both"/>
        <w:rPr>
          <w:rFonts w:cs="Arial"/>
          <w:szCs w:val="20"/>
        </w:rPr>
      </w:pPr>
      <w:r>
        <w:rPr>
          <w:rFonts w:cs="Arial"/>
          <w:szCs w:val="20"/>
        </w:rPr>
        <w:t>Moreover, many of the larger NFPs receive grants from the government, but frequently the grants are insufficient to deliver services. It is entirely appropriate that such organisations be able to access tax concessions.</w:t>
      </w:r>
    </w:p>
    <w:p w14:paraId="33E7C9E2" w14:textId="77777777" w:rsidR="00FD1AED" w:rsidRDefault="00FD1AED" w:rsidP="004415F8">
      <w:pPr>
        <w:jc w:val="both"/>
        <w:rPr>
          <w:rFonts w:cs="Arial"/>
          <w:szCs w:val="20"/>
        </w:rPr>
      </w:pPr>
    </w:p>
    <w:p w14:paraId="0760C549" w14:textId="37801339" w:rsidR="001307C7" w:rsidRDefault="001307C7" w:rsidP="004415F8">
      <w:pPr>
        <w:jc w:val="both"/>
        <w:rPr>
          <w:rFonts w:cs="Arial"/>
          <w:szCs w:val="20"/>
        </w:rPr>
      </w:pPr>
      <w:r>
        <w:rPr>
          <w:rFonts w:cs="Arial"/>
          <w:szCs w:val="20"/>
        </w:rPr>
        <w:t xml:space="preserve">Specifically on the FBT tax concessions, it is worth revisiting the public policy rationale for introducing them. They were introduced as NFP organisations could not afford to recruit and retain employees at the same level as for-profit organisations. They were offered the tax concession as a means of attracting a </w:t>
      </w:r>
      <w:r w:rsidR="00CC700F">
        <w:rPr>
          <w:rFonts w:cs="Arial"/>
          <w:szCs w:val="20"/>
        </w:rPr>
        <w:t xml:space="preserve">competent </w:t>
      </w:r>
      <w:r>
        <w:rPr>
          <w:rFonts w:cs="Arial"/>
          <w:szCs w:val="20"/>
        </w:rPr>
        <w:t>labour force. This issue has not abated. The Productivity Commission report noted that:</w:t>
      </w:r>
    </w:p>
    <w:p w14:paraId="213E482D" w14:textId="77777777" w:rsidR="001307C7" w:rsidRDefault="001307C7" w:rsidP="004415F8">
      <w:pPr>
        <w:jc w:val="both"/>
        <w:rPr>
          <w:rFonts w:cs="Arial"/>
          <w:szCs w:val="20"/>
        </w:rPr>
      </w:pPr>
    </w:p>
    <w:p w14:paraId="4BAB7D6E" w14:textId="257F62FA" w:rsidR="001307C7" w:rsidRDefault="001307C7" w:rsidP="001307C7">
      <w:pPr>
        <w:ind w:left="851"/>
        <w:jc w:val="both"/>
        <w:rPr>
          <w:rFonts w:cs="Arial"/>
          <w:szCs w:val="20"/>
        </w:rPr>
      </w:pPr>
      <w:r w:rsidRPr="0047695D">
        <w:rPr>
          <w:rFonts w:cs="Arial"/>
          <w:szCs w:val="20"/>
        </w:rPr>
        <w:t>For NFPs, less than full cost funding of many services has resulted in substantial</w:t>
      </w:r>
      <w:r>
        <w:rPr>
          <w:rFonts w:cs="Arial"/>
          <w:szCs w:val="20"/>
        </w:rPr>
        <w:t xml:space="preserve"> </w:t>
      </w:r>
      <w:r w:rsidRPr="0047695D">
        <w:rPr>
          <w:rFonts w:cs="Arial"/>
          <w:szCs w:val="20"/>
        </w:rPr>
        <w:t>wage gaps for NFP staff. The challenges in retaining staff threaten the</w:t>
      </w:r>
      <w:r>
        <w:rPr>
          <w:rFonts w:cs="Arial"/>
          <w:szCs w:val="20"/>
        </w:rPr>
        <w:t xml:space="preserve"> </w:t>
      </w:r>
      <w:r w:rsidRPr="0047695D">
        <w:rPr>
          <w:rFonts w:cs="Arial"/>
          <w:szCs w:val="20"/>
        </w:rPr>
        <w:t>sustainability and quality of services.</w:t>
      </w:r>
      <w:r>
        <w:rPr>
          <w:rStyle w:val="FootnoteReference"/>
          <w:rFonts w:cs="Arial"/>
          <w:szCs w:val="20"/>
        </w:rPr>
        <w:footnoteReference w:id="6"/>
      </w:r>
    </w:p>
    <w:p w14:paraId="2580723E" w14:textId="77777777" w:rsidR="001307C7" w:rsidRDefault="001307C7" w:rsidP="004415F8">
      <w:pPr>
        <w:jc w:val="both"/>
        <w:rPr>
          <w:rFonts w:cs="Arial"/>
          <w:szCs w:val="20"/>
        </w:rPr>
      </w:pPr>
    </w:p>
    <w:p w14:paraId="193FD148" w14:textId="77777777" w:rsidR="00FD1AED" w:rsidRDefault="00FD1AED" w:rsidP="00FD1AED">
      <w:pPr>
        <w:jc w:val="both"/>
        <w:rPr>
          <w:rFonts w:cs="Arial"/>
          <w:szCs w:val="20"/>
        </w:rPr>
      </w:pPr>
      <w:r>
        <w:rPr>
          <w:rFonts w:cs="Arial"/>
          <w:szCs w:val="20"/>
        </w:rPr>
        <w:t>The rationale of attracting people with the right skills and qualifications to work for NFP organisations continues to justify the FBT concession. The focus on good governance in the NFP sector further emphasises the need to attract suitably skilled employees.</w:t>
      </w:r>
    </w:p>
    <w:p w14:paraId="4FE2AC2B" w14:textId="77777777" w:rsidR="00FD1AED" w:rsidRDefault="00FD1AED" w:rsidP="00FD1AED">
      <w:pPr>
        <w:jc w:val="both"/>
        <w:rPr>
          <w:rFonts w:cs="Arial"/>
          <w:szCs w:val="20"/>
        </w:rPr>
      </w:pPr>
    </w:p>
    <w:p w14:paraId="212281FF" w14:textId="476E5031" w:rsidR="002B0F2A" w:rsidRDefault="00FD1AED" w:rsidP="002B0F2A">
      <w:pPr>
        <w:jc w:val="both"/>
        <w:rPr>
          <w:rFonts w:cs="Arial"/>
          <w:szCs w:val="20"/>
        </w:rPr>
      </w:pPr>
      <w:r>
        <w:rPr>
          <w:rFonts w:cs="Arial"/>
          <w:szCs w:val="20"/>
        </w:rPr>
        <w:t xml:space="preserve">However, tax concessions are most usually only available to the employees on higher levels of income in an organisation. Due to the processes involved, they are generally not accessed by employees on lower levels of income. Governance Institute is of the view that the tax concessions should operate equitably for all employees. </w:t>
      </w:r>
      <w:r w:rsidR="002B0F2A">
        <w:rPr>
          <w:rFonts w:cs="Arial"/>
          <w:szCs w:val="20"/>
        </w:rPr>
        <w:t>Our view is that it would be preferable to introduce an</w:t>
      </w:r>
      <w:r w:rsidR="002B0F2A" w:rsidRPr="002B0F2A">
        <w:rPr>
          <w:rFonts w:cs="Arial"/>
          <w:szCs w:val="20"/>
        </w:rPr>
        <w:t xml:space="preserve"> annual limit that would stop the purported abuse by the handful of high income earners as noted in the </w:t>
      </w:r>
      <w:r w:rsidR="002B0F2A">
        <w:rPr>
          <w:rFonts w:cs="Arial"/>
          <w:szCs w:val="20"/>
        </w:rPr>
        <w:t xml:space="preserve">discussion </w:t>
      </w:r>
      <w:r w:rsidR="002B0F2A" w:rsidRPr="002B0F2A">
        <w:rPr>
          <w:rFonts w:cs="Arial"/>
          <w:szCs w:val="20"/>
        </w:rPr>
        <w:t xml:space="preserve">paper, </w:t>
      </w:r>
      <w:r w:rsidR="002B0F2A">
        <w:rPr>
          <w:rFonts w:cs="Arial"/>
          <w:szCs w:val="20"/>
        </w:rPr>
        <w:t>to close any loopholes, rather than to restrict access to the concessions by all employees, with commensurate impact on recruitment</w:t>
      </w:r>
      <w:r w:rsidR="00CC700F">
        <w:rPr>
          <w:rFonts w:cs="Arial"/>
          <w:szCs w:val="20"/>
        </w:rPr>
        <w:t>, retention</w:t>
      </w:r>
      <w:r w:rsidR="002B0F2A">
        <w:rPr>
          <w:rFonts w:cs="Arial"/>
          <w:szCs w:val="20"/>
        </w:rPr>
        <w:t xml:space="preserve"> and remuneration strategies of NFP organisations. </w:t>
      </w:r>
    </w:p>
    <w:p w14:paraId="4B214CDB" w14:textId="77777777" w:rsidR="002B0F2A" w:rsidRDefault="002B0F2A" w:rsidP="002B0F2A">
      <w:pPr>
        <w:jc w:val="both"/>
        <w:rPr>
          <w:rFonts w:cs="Arial"/>
          <w:szCs w:val="20"/>
        </w:rPr>
      </w:pPr>
    </w:p>
    <w:p w14:paraId="5B9E6FCE" w14:textId="7375D1F2" w:rsidR="002B0F2A" w:rsidRDefault="002B0F2A" w:rsidP="002B0F2A">
      <w:pPr>
        <w:jc w:val="both"/>
        <w:rPr>
          <w:rFonts w:cs="Arial"/>
          <w:szCs w:val="20"/>
        </w:rPr>
      </w:pPr>
      <w:r>
        <w:rPr>
          <w:rFonts w:cs="Arial"/>
          <w:szCs w:val="20"/>
        </w:rPr>
        <w:t xml:space="preserve">We note that, following the release of </w:t>
      </w:r>
      <w:r w:rsidRPr="00F00F27">
        <w:rPr>
          <w:rFonts w:cs="Arial"/>
          <w:szCs w:val="20"/>
        </w:rPr>
        <w:t xml:space="preserve">the Federal Budget, the previously uncapped exemption to the fringe benefits tax (FBT) of meals and entertainment expenses for employees </w:t>
      </w:r>
      <w:r>
        <w:rPr>
          <w:rFonts w:cs="Arial"/>
          <w:szCs w:val="20"/>
        </w:rPr>
        <w:t xml:space="preserve">in NFP organisations </w:t>
      </w:r>
      <w:r w:rsidRPr="00F00F27">
        <w:rPr>
          <w:rFonts w:cs="Arial"/>
          <w:szCs w:val="20"/>
        </w:rPr>
        <w:t>will now be subject to a cap of $5,000 per annum from 1 July 2016.</w:t>
      </w:r>
      <w:r>
        <w:rPr>
          <w:rFonts w:cs="Arial"/>
          <w:szCs w:val="20"/>
        </w:rPr>
        <w:t xml:space="preserve"> On this front, we are very disappointed to see that </w:t>
      </w:r>
      <w:r w:rsidRPr="002B0F2A">
        <w:rPr>
          <w:rFonts w:cs="Arial"/>
          <w:szCs w:val="20"/>
        </w:rPr>
        <w:t xml:space="preserve">the </w:t>
      </w:r>
      <w:r>
        <w:rPr>
          <w:rFonts w:cs="Arial"/>
          <w:szCs w:val="20"/>
        </w:rPr>
        <w:t xml:space="preserve">Federal </w:t>
      </w:r>
      <w:r w:rsidRPr="002B0F2A">
        <w:rPr>
          <w:rFonts w:cs="Arial"/>
          <w:szCs w:val="20"/>
        </w:rPr>
        <w:t xml:space="preserve">Budget introduced specific tax reforms aimed at the NFP sector that </w:t>
      </w:r>
      <w:r>
        <w:rPr>
          <w:rFonts w:cs="Arial"/>
          <w:szCs w:val="20"/>
        </w:rPr>
        <w:t>are</w:t>
      </w:r>
      <w:r w:rsidRPr="002B0F2A">
        <w:rPr>
          <w:rFonts w:cs="Arial"/>
          <w:szCs w:val="20"/>
        </w:rPr>
        <w:t xml:space="preserve"> covered in the tax discussion paper, which our members reviewed and to which they </w:t>
      </w:r>
      <w:r>
        <w:rPr>
          <w:rFonts w:cs="Arial"/>
          <w:szCs w:val="20"/>
        </w:rPr>
        <w:t xml:space="preserve">have </w:t>
      </w:r>
      <w:r w:rsidRPr="002B0F2A">
        <w:rPr>
          <w:rFonts w:cs="Arial"/>
          <w:szCs w:val="20"/>
        </w:rPr>
        <w:t xml:space="preserve">developed a response </w:t>
      </w:r>
      <w:r>
        <w:rPr>
          <w:rFonts w:cs="Arial"/>
          <w:szCs w:val="20"/>
        </w:rPr>
        <w:t>i</w:t>
      </w:r>
      <w:r w:rsidRPr="002B0F2A">
        <w:rPr>
          <w:rFonts w:cs="Arial"/>
          <w:szCs w:val="20"/>
        </w:rPr>
        <w:t xml:space="preserve">n good faith on the basis that </w:t>
      </w:r>
      <w:r>
        <w:rPr>
          <w:rFonts w:cs="Arial"/>
          <w:szCs w:val="20"/>
        </w:rPr>
        <w:t xml:space="preserve">the government announced that </w:t>
      </w:r>
      <w:r w:rsidRPr="002B0F2A">
        <w:rPr>
          <w:rFonts w:cs="Arial"/>
          <w:szCs w:val="20"/>
        </w:rPr>
        <w:t xml:space="preserve">no changes or reforms would be introduced until after the consultation period on the paper had concluded. </w:t>
      </w:r>
      <w:r>
        <w:rPr>
          <w:rFonts w:cs="Arial"/>
          <w:szCs w:val="20"/>
        </w:rPr>
        <w:t xml:space="preserve">We are of the view that it is poor </w:t>
      </w:r>
      <w:r w:rsidRPr="002B0F2A">
        <w:rPr>
          <w:rFonts w:cs="Arial"/>
          <w:szCs w:val="20"/>
        </w:rPr>
        <w:t xml:space="preserve">governance and </w:t>
      </w:r>
      <w:r w:rsidR="00C42ED7">
        <w:rPr>
          <w:rFonts w:cs="Arial"/>
          <w:szCs w:val="20"/>
        </w:rPr>
        <w:t>poor</w:t>
      </w:r>
      <w:r>
        <w:rPr>
          <w:rFonts w:cs="Arial"/>
          <w:szCs w:val="20"/>
        </w:rPr>
        <w:t xml:space="preserve"> </w:t>
      </w:r>
      <w:r w:rsidRPr="002B0F2A">
        <w:rPr>
          <w:rFonts w:cs="Arial"/>
          <w:szCs w:val="20"/>
        </w:rPr>
        <w:t xml:space="preserve">public policy </w:t>
      </w:r>
      <w:r w:rsidR="00C42ED7">
        <w:rPr>
          <w:rFonts w:cs="Arial"/>
          <w:szCs w:val="20"/>
        </w:rPr>
        <w:t xml:space="preserve">formulation </w:t>
      </w:r>
      <w:r>
        <w:rPr>
          <w:rFonts w:cs="Arial"/>
          <w:szCs w:val="20"/>
        </w:rPr>
        <w:t xml:space="preserve">to </w:t>
      </w:r>
      <w:r w:rsidRPr="002B0F2A">
        <w:rPr>
          <w:rFonts w:cs="Arial"/>
          <w:szCs w:val="20"/>
        </w:rPr>
        <w:t xml:space="preserve">issue a discussion paper seeking input </w:t>
      </w:r>
      <w:r>
        <w:rPr>
          <w:rFonts w:cs="Arial"/>
          <w:szCs w:val="20"/>
        </w:rPr>
        <w:t>from stakeholders and then to introduce tax</w:t>
      </w:r>
      <w:r w:rsidRPr="002B0F2A">
        <w:rPr>
          <w:rFonts w:cs="Arial"/>
          <w:szCs w:val="20"/>
        </w:rPr>
        <w:t xml:space="preserve"> reform </w:t>
      </w:r>
      <w:r>
        <w:rPr>
          <w:rFonts w:cs="Arial"/>
          <w:szCs w:val="20"/>
        </w:rPr>
        <w:t>on o</w:t>
      </w:r>
      <w:r w:rsidRPr="002B0F2A">
        <w:rPr>
          <w:rFonts w:cs="Arial"/>
          <w:szCs w:val="20"/>
        </w:rPr>
        <w:t>ne of the topics set out in the paper before the consultation has concluded.</w:t>
      </w:r>
    </w:p>
    <w:p w14:paraId="599F9EDD" w14:textId="77777777" w:rsidR="002B0F2A" w:rsidRDefault="002B0F2A" w:rsidP="002B0F2A">
      <w:pPr>
        <w:jc w:val="both"/>
        <w:rPr>
          <w:rFonts w:cs="Arial"/>
          <w:szCs w:val="20"/>
        </w:rPr>
      </w:pPr>
    </w:p>
    <w:p w14:paraId="2934B652" w14:textId="0A643FF7" w:rsidR="002B0F2A" w:rsidRDefault="002B0F2A" w:rsidP="002B0F2A">
      <w:pPr>
        <w:jc w:val="both"/>
        <w:rPr>
          <w:rFonts w:cs="Arial"/>
          <w:szCs w:val="20"/>
        </w:rPr>
      </w:pPr>
      <w:r>
        <w:rPr>
          <w:rFonts w:cs="Arial"/>
          <w:szCs w:val="20"/>
        </w:rPr>
        <w:t>We would therefore recommend that a preferable option to explore in order to ensure that tax concessions operate equitably for all employees could include reviewing the capping of the concessions, at a reasonable level, closing the loophole of being able to claim the same FBT and meal benefits from more than one employer</w:t>
      </w:r>
      <w:r w:rsidRPr="00252D26">
        <w:rPr>
          <w:rFonts w:cs="Arial"/>
          <w:szCs w:val="20"/>
        </w:rPr>
        <w:t xml:space="preserve">, and </w:t>
      </w:r>
      <w:r>
        <w:rPr>
          <w:rFonts w:cs="Arial"/>
          <w:szCs w:val="20"/>
        </w:rPr>
        <w:t xml:space="preserve">undertaking audits to identify misuse of the system. </w:t>
      </w:r>
    </w:p>
    <w:p w14:paraId="3B7F5B6D" w14:textId="77777777" w:rsidR="004415F8" w:rsidRDefault="004415F8" w:rsidP="004415F8">
      <w:pPr>
        <w:jc w:val="both"/>
        <w:rPr>
          <w:rFonts w:cs="Arial"/>
          <w:szCs w:val="20"/>
        </w:rPr>
      </w:pPr>
    </w:p>
    <w:p w14:paraId="6C4BD816" w14:textId="1A22924C" w:rsidR="00BA3770" w:rsidRPr="00FD1AED" w:rsidRDefault="00BA3770" w:rsidP="008D12EB">
      <w:pPr>
        <w:jc w:val="both"/>
        <w:rPr>
          <w:rFonts w:ascii="Arial Black" w:hAnsi="Arial Black" w:cs="Arial"/>
          <w:sz w:val="22"/>
          <w:szCs w:val="22"/>
        </w:rPr>
      </w:pPr>
      <w:r w:rsidRPr="00FD1AED">
        <w:rPr>
          <w:rFonts w:ascii="Arial Black" w:hAnsi="Arial Black" w:cs="Arial"/>
          <w:sz w:val="22"/>
          <w:szCs w:val="22"/>
        </w:rPr>
        <w:t>What, if any, administrative arrangements could be simplified that would result in similar outcomes, but with reduced compliance costs.</w:t>
      </w:r>
    </w:p>
    <w:p w14:paraId="4A39F7E1" w14:textId="77777777" w:rsidR="003F36F6" w:rsidRDefault="003F36F6" w:rsidP="008D12EB">
      <w:pPr>
        <w:jc w:val="both"/>
        <w:rPr>
          <w:rFonts w:cs="Arial"/>
          <w:szCs w:val="20"/>
        </w:rPr>
      </w:pPr>
    </w:p>
    <w:p w14:paraId="730A7BC3" w14:textId="0B36F471" w:rsidR="008E6405" w:rsidRDefault="005C149F" w:rsidP="00405D03">
      <w:pPr>
        <w:jc w:val="both"/>
        <w:rPr>
          <w:rFonts w:cs="Arial"/>
          <w:szCs w:val="20"/>
        </w:rPr>
      </w:pPr>
      <w:r>
        <w:rPr>
          <w:rFonts w:cs="Arial"/>
          <w:szCs w:val="20"/>
        </w:rPr>
        <w:t>Deductible gift recipient (</w:t>
      </w:r>
      <w:r w:rsidR="00A05A4B">
        <w:rPr>
          <w:rFonts w:cs="Arial"/>
          <w:szCs w:val="20"/>
        </w:rPr>
        <w:t>DGR</w:t>
      </w:r>
      <w:r>
        <w:rPr>
          <w:rFonts w:cs="Arial"/>
          <w:szCs w:val="20"/>
        </w:rPr>
        <w:t>)</w:t>
      </w:r>
      <w:r w:rsidR="00A05A4B">
        <w:rPr>
          <w:rFonts w:cs="Arial"/>
          <w:szCs w:val="20"/>
        </w:rPr>
        <w:t xml:space="preserve"> status i</w:t>
      </w:r>
      <w:r w:rsidR="008E6405">
        <w:rPr>
          <w:rFonts w:cs="Arial"/>
          <w:szCs w:val="20"/>
        </w:rPr>
        <w:t xml:space="preserve">s highly desirable for NFP </w:t>
      </w:r>
      <w:r w:rsidR="00252D26">
        <w:rPr>
          <w:rFonts w:cs="Arial"/>
          <w:szCs w:val="20"/>
        </w:rPr>
        <w:t>o</w:t>
      </w:r>
      <w:r w:rsidR="008E6405">
        <w:rPr>
          <w:rFonts w:cs="Arial"/>
          <w:szCs w:val="20"/>
        </w:rPr>
        <w:t>rganisations seeking to fund their purposes (fully or partially) through receipt of donations. Th</w:t>
      </w:r>
      <w:r w:rsidR="00A05A4B">
        <w:rPr>
          <w:rFonts w:cs="Arial"/>
          <w:szCs w:val="20"/>
        </w:rPr>
        <w:t xml:space="preserve">e benefit </w:t>
      </w:r>
      <w:r w:rsidR="00252D26">
        <w:rPr>
          <w:rFonts w:cs="Arial"/>
          <w:szCs w:val="20"/>
        </w:rPr>
        <w:t>is</w:t>
      </w:r>
      <w:r w:rsidR="00A05A4B">
        <w:rPr>
          <w:rFonts w:cs="Arial"/>
          <w:szCs w:val="20"/>
        </w:rPr>
        <w:t xml:space="preserve"> the tax deducti</w:t>
      </w:r>
      <w:r w:rsidR="008E6405">
        <w:rPr>
          <w:rFonts w:cs="Arial"/>
          <w:szCs w:val="20"/>
        </w:rPr>
        <w:t xml:space="preserve">ble nature of the value of the donation to the </w:t>
      </w:r>
      <w:r w:rsidR="00252D26">
        <w:rPr>
          <w:rFonts w:cs="Arial"/>
          <w:szCs w:val="20"/>
        </w:rPr>
        <w:t>donor</w:t>
      </w:r>
      <w:r w:rsidR="008E6405">
        <w:rPr>
          <w:rFonts w:cs="Arial"/>
          <w:szCs w:val="20"/>
        </w:rPr>
        <w:t>.</w:t>
      </w:r>
    </w:p>
    <w:p w14:paraId="67E755B8" w14:textId="77777777" w:rsidR="00A05A4B" w:rsidRDefault="00A05A4B" w:rsidP="00405D03">
      <w:pPr>
        <w:jc w:val="both"/>
        <w:rPr>
          <w:rFonts w:cs="Arial"/>
          <w:szCs w:val="20"/>
        </w:rPr>
      </w:pPr>
    </w:p>
    <w:p w14:paraId="04AF6F64" w14:textId="43F9642F" w:rsidR="008E6405" w:rsidRDefault="00405D03" w:rsidP="00405D03">
      <w:pPr>
        <w:jc w:val="both"/>
        <w:rPr>
          <w:rFonts w:cs="Arial"/>
          <w:szCs w:val="20"/>
        </w:rPr>
      </w:pPr>
      <w:r>
        <w:rPr>
          <w:rFonts w:cs="Arial"/>
          <w:szCs w:val="20"/>
        </w:rPr>
        <w:t xml:space="preserve">The </w:t>
      </w:r>
      <w:r w:rsidRPr="00A40778">
        <w:rPr>
          <w:rFonts w:cs="Arial"/>
          <w:szCs w:val="20"/>
        </w:rPr>
        <w:t xml:space="preserve">current </w:t>
      </w:r>
      <w:r>
        <w:rPr>
          <w:rFonts w:cs="Arial"/>
          <w:szCs w:val="20"/>
        </w:rPr>
        <w:t xml:space="preserve">policy and administrative </w:t>
      </w:r>
      <w:r w:rsidRPr="00A40778">
        <w:rPr>
          <w:rFonts w:cs="Arial"/>
          <w:szCs w:val="20"/>
        </w:rPr>
        <w:t xml:space="preserve">processes </w:t>
      </w:r>
      <w:r>
        <w:rPr>
          <w:rFonts w:cs="Arial"/>
          <w:szCs w:val="20"/>
        </w:rPr>
        <w:t>in relation to</w:t>
      </w:r>
      <w:r w:rsidR="008E6405">
        <w:rPr>
          <w:rFonts w:cs="Arial"/>
          <w:szCs w:val="20"/>
        </w:rPr>
        <w:t xml:space="preserve"> obtaining</w:t>
      </w:r>
      <w:r>
        <w:rPr>
          <w:rFonts w:cs="Arial"/>
          <w:szCs w:val="20"/>
        </w:rPr>
        <w:t xml:space="preserve"> DGR status </w:t>
      </w:r>
      <w:r w:rsidRPr="00A40778">
        <w:rPr>
          <w:rFonts w:cs="Arial"/>
          <w:szCs w:val="20"/>
        </w:rPr>
        <w:t xml:space="preserve">are </w:t>
      </w:r>
      <w:r>
        <w:rPr>
          <w:rFonts w:cs="Arial"/>
          <w:szCs w:val="20"/>
        </w:rPr>
        <w:t>unduly complicated.</w:t>
      </w:r>
    </w:p>
    <w:p w14:paraId="30D05D1F" w14:textId="77777777" w:rsidR="00A05A4B" w:rsidRDefault="00A05A4B" w:rsidP="00405D03">
      <w:pPr>
        <w:jc w:val="both"/>
        <w:rPr>
          <w:rFonts w:cs="Arial"/>
          <w:szCs w:val="20"/>
        </w:rPr>
      </w:pPr>
    </w:p>
    <w:p w14:paraId="14EAFEBE" w14:textId="4F9016C2" w:rsidR="008E6405" w:rsidRDefault="008E6405" w:rsidP="00405D03">
      <w:pPr>
        <w:jc w:val="both"/>
        <w:rPr>
          <w:rFonts w:cs="Arial"/>
          <w:szCs w:val="20"/>
        </w:rPr>
      </w:pPr>
      <w:r>
        <w:rPr>
          <w:rFonts w:cs="Arial"/>
          <w:szCs w:val="20"/>
        </w:rPr>
        <w:t xml:space="preserve">While the ATO is the sole determiner of DGR status it does not administer all </w:t>
      </w:r>
      <w:r w:rsidR="00252D26">
        <w:rPr>
          <w:rFonts w:cs="Arial"/>
          <w:szCs w:val="20"/>
        </w:rPr>
        <w:t xml:space="preserve">of </w:t>
      </w:r>
      <w:r>
        <w:rPr>
          <w:rFonts w:cs="Arial"/>
          <w:szCs w:val="20"/>
        </w:rPr>
        <w:t>the categories. There are at present in excess of 40 categories of eligibility for DGR status. These categories are administered by a range of different government departments or st</w:t>
      </w:r>
      <w:r w:rsidR="00A05A4B">
        <w:rPr>
          <w:rFonts w:cs="Arial"/>
          <w:szCs w:val="20"/>
        </w:rPr>
        <w:t>at</w:t>
      </w:r>
      <w:r>
        <w:rPr>
          <w:rFonts w:cs="Arial"/>
          <w:szCs w:val="20"/>
        </w:rPr>
        <w:t xml:space="preserve">utory </w:t>
      </w:r>
      <w:r w:rsidR="00A05A4B">
        <w:rPr>
          <w:rFonts w:cs="Arial"/>
          <w:szCs w:val="20"/>
        </w:rPr>
        <w:t xml:space="preserve">bodies, each of which </w:t>
      </w:r>
      <w:r>
        <w:rPr>
          <w:rFonts w:cs="Arial"/>
          <w:szCs w:val="20"/>
        </w:rPr>
        <w:t>has its own requir</w:t>
      </w:r>
      <w:r w:rsidR="00A05A4B">
        <w:rPr>
          <w:rFonts w:cs="Arial"/>
          <w:szCs w:val="20"/>
        </w:rPr>
        <w:t>e</w:t>
      </w:r>
      <w:r>
        <w:rPr>
          <w:rFonts w:cs="Arial"/>
          <w:szCs w:val="20"/>
        </w:rPr>
        <w:t xml:space="preserve">ments for determining DGR eligibility. </w:t>
      </w:r>
      <w:r w:rsidR="0023720D">
        <w:rPr>
          <w:rFonts w:cs="Arial"/>
          <w:szCs w:val="20"/>
        </w:rPr>
        <w:t>Further</w:t>
      </w:r>
      <w:r w:rsidR="00252D26">
        <w:rPr>
          <w:rFonts w:cs="Arial"/>
          <w:szCs w:val="20"/>
        </w:rPr>
        <w:t>more,</w:t>
      </w:r>
      <w:r w:rsidR="0023720D">
        <w:rPr>
          <w:rFonts w:cs="Arial"/>
          <w:szCs w:val="20"/>
        </w:rPr>
        <w:t xml:space="preserve"> there is the option for a NFP </w:t>
      </w:r>
      <w:r w:rsidR="00252D26">
        <w:rPr>
          <w:rFonts w:cs="Arial"/>
          <w:szCs w:val="20"/>
        </w:rPr>
        <w:t>o</w:t>
      </w:r>
      <w:r w:rsidR="0023720D">
        <w:rPr>
          <w:rFonts w:cs="Arial"/>
          <w:szCs w:val="20"/>
        </w:rPr>
        <w:t xml:space="preserve">rganisation to </w:t>
      </w:r>
      <w:r w:rsidR="00A05A4B">
        <w:rPr>
          <w:rFonts w:cs="Arial"/>
          <w:szCs w:val="20"/>
        </w:rPr>
        <w:t xml:space="preserve">seek </w:t>
      </w:r>
      <w:r w:rsidR="0023720D">
        <w:rPr>
          <w:rFonts w:cs="Arial"/>
          <w:szCs w:val="20"/>
        </w:rPr>
        <w:t xml:space="preserve">an individual </w:t>
      </w:r>
      <w:r w:rsidR="00A05A4B">
        <w:rPr>
          <w:rFonts w:cs="Arial"/>
          <w:szCs w:val="20"/>
        </w:rPr>
        <w:t xml:space="preserve">listing in the </w:t>
      </w:r>
      <w:r w:rsidR="00252D26">
        <w:rPr>
          <w:rFonts w:cs="Arial"/>
          <w:szCs w:val="20"/>
        </w:rPr>
        <w:t>t</w:t>
      </w:r>
      <w:r w:rsidR="00A05A4B">
        <w:rPr>
          <w:rFonts w:cs="Arial"/>
          <w:szCs w:val="20"/>
        </w:rPr>
        <w:t>ax</w:t>
      </w:r>
      <w:r w:rsidR="0023720D">
        <w:rPr>
          <w:rFonts w:cs="Arial"/>
          <w:szCs w:val="20"/>
        </w:rPr>
        <w:t>ation</w:t>
      </w:r>
      <w:r w:rsidR="00A05A4B">
        <w:rPr>
          <w:rFonts w:cs="Arial"/>
          <w:szCs w:val="20"/>
        </w:rPr>
        <w:t xml:space="preserve"> legislation if there is</w:t>
      </w:r>
      <w:r w:rsidR="0023720D">
        <w:rPr>
          <w:rFonts w:cs="Arial"/>
          <w:szCs w:val="20"/>
        </w:rPr>
        <w:t xml:space="preserve"> not a clear category in which the </w:t>
      </w:r>
      <w:r w:rsidR="00A05A4B">
        <w:rPr>
          <w:rFonts w:cs="Arial"/>
          <w:szCs w:val="20"/>
        </w:rPr>
        <w:t>NFP organisation can apply.</w:t>
      </w:r>
    </w:p>
    <w:p w14:paraId="146A136D" w14:textId="77777777" w:rsidR="008E6405" w:rsidRDefault="008E6405" w:rsidP="00405D03">
      <w:pPr>
        <w:jc w:val="both"/>
        <w:rPr>
          <w:rFonts w:cs="Arial"/>
          <w:szCs w:val="20"/>
        </w:rPr>
      </w:pPr>
    </w:p>
    <w:p w14:paraId="4772E3E3" w14:textId="4D433F1F" w:rsidR="008E6405" w:rsidRDefault="008E6405" w:rsidP="00405D03">
      <w:pPr>
        <w:jc w:val="both"/>
        <w:rPr>
          <w:rFonts w:cs="Arial"/>
          <w:szCs w:val="20"/>
        </w:rPr>
      </w:pPr>
      <w:r>
        <w:rPr>
          <w:rFonts w:cs="Arial"/>
          <w:szCs w:val="20"/>
        </w:rPr>
        <w:lastRenderedPageBreak/>
        <w:t xml:space="preserve">Under the current system the onus is on the NFP </w:t>
      </w:r>
      <w:r w:rsidR="00252D26">
        <w:rPr>
          <w:rFonts w:cs="Arial"/>
          <w:szCs w:val="20"/>
        </w:rPr>
        <w:t>o</w:t>
      </w:r>
      <w:r>
        <w:rPr>
          <w:rFonts w:cs="Arial"/>
          <w:szCs w:val="20"/>
        </w:rPr>
        <w:t xml:space="preserve">rganisation to select the correct category. Only once category selection occurs can the NFP </w:t>
      </w:r>
      <w:r w:rsidR="00252D26">
        <w:rPr>
          <w:rFonts w:cs="Arial"/>
          <w:szCs w:val="20"/>
        </w:rPr>
        <w:t>o</w:t>
      </w:r>
      <w:r w:rsidR="00E63E15">
        <w:rPr>
          <w:rFonts w:cs="Arial"/>
          <w:szCs w:val="20"/>
        </w:rPr>
        <w:t xml:space="preserve">rganisation </w:t>
      </w:r>
      <w:r>
        <w:rPr>
          <w:rFonts w:cs="Arial"/>
          <w:szCs w:val="20"/>
        </w:rPr>
        <w:t xml:space="preserve">work out which body they should apply to and what forms are required. Often </w:t>
      </w:r>
      <w:r w:rsidR="0023720D">
        <w:rPr>
          <w:rFonts w:cs="Arial"/>
          <w:szCs w:val="20"/>
        </w:rPr>
        <w:t xml:space="preserve">selecting the correct </w:t>
      </w:r>
      <w:r>
        <w:rPr>
          <w:rFonts w:cs="Arial"/>
          <w:szCs w:val="20"/>
        </w:rPr>
        <w:t>category requires more tha</w:t>
      </w:r>
      <w:r w:rsidR="00252D26">
        <w:rPr>
          <w:rFonts w:cs="Arial"/>
          <w:szCs w:val="20"/>
        </w:rPr>
        <w:t>n</w:t>
      </w:r>
      <w:r>
        <w:rPr>
          <w:rFonts w:cs="Arial"/>
          <w:szCs w:val="20"/>
        </w:rPr>
        <w:t xml:space="preserve"> a rudimentary understanding of tax law. In support of this point we refer to the comment on the</w:t>
      </w:r>
      <w:r w:rsidR="00970DAD">
        <w:rPr>
          <w:rFonts w:cs="Arial"/>
          <w:szCs w:val="20"/>
        </w:rPr>
        <w:t xml:space="preserve"> website of the Funding centre </w:t>
      </w:r>
      <w:r>
        <w:rPr>
          <w:rFonts w:cs="Arial"/>
          <w:szCs w:val="20"/>
        </w:rPr>
        <w:t xml:space="preserve">under the heading </w:t>
      </w:r>
      <w:r w:rsidR="00252D26">
        <w:rPr>
          <w:rFonts w:cs="Arial"/>
          <w:szCs w:val="20"/>
        </w:rPr>
        <w:t>‘</w:t>
      </w:r>
      <w:r>
        <w:rPr>
          <w:rFonts w:cs="Arial"/>
          <w:szCs w:val="20"/>
        </w:rPr>
        <w:t>DGR Status</w:t>
      </w:r>
      <w:r w:rsidR="00252D26">
        <w:rPr>
          <w:rFonts w:cs="Arial"/>
          <w:szCs w:val="20"/>
        </w:rPr>
        <w:t>’</w:t>
      </w:r>
      <w:r>
        <w:rPr>
          <w:rFonts w:cs="Arial"/>
          <w:szCs w:val="20"/>
        </w:rPr>
        <w:t xml:space="preserve"> which states</w:t>
      </w:r>
      <w:r w:rsidR="00252D26">
        <w:rPr>
          <w:rFonts w:cs="Arial"/>
          <w:szCs w:val="20"/>
        </w:rPr>
        <w:t>:</w:t>
      </w:r>
    </w:p>
    <w:p w14:paraId="27D9621A" w14:textId="77777777" w:rsidR="00252D26" w:rsidRDefault="00252D26" w:rsidP="00405D03">
      <w:pPr>
        <w:jc w:val="both"/>
        <w:rPr>
          <w:rFonts w:cs="Arial"/>
          <w:szCs w:val="20"/>
        </w:rPr>
      </w:pPr>
    </w:p>
    <w:p w14:paraId="4AE2749D" w14:textId="299166C7" w:rsidR="00A05A4B" w:rsidRPr="00252D26" w:rsidRDefault="00A05A4B" w:rsidP="00252D26">
      <w:pPr>
        <w:ind w:left="709"/>
        <w:jc w:val="both"/>
        <w:rPr>
          <w:rFonts w:eastAsiaTheme="minorHAnsi" w:cs="Arial"/>
          <w:iCs/>
          <w:szCs w:val="20"/>
          <w:lang w:val="en-US"/>
        </w:rPr>
      </w:pPr>
      <w:r w:rsidRPr="00252D26">
        <w:rPr>
          <w:rFonts w:eastAsiaTheme="minorHAnsi" w:cs="Arial"/>
          <w:iCs/>
          <w:szCs w:val="20"/>
          <w:lang w:val="en-US"/>
        </w:rPr>
        <w:t xml:space="preserve">OUR TIP: The laws governing deductible gift recipient status are really complicated. Equip yourself with the basic information you need using the ATO’s </w:t>
      </w:r>
      <w:hyperlink r:id="rId14" w:history="1">
        <w:proofErr w:type="spellStart"/>
        <w:r w:rsidRPr="00252D26">
          <w:rPr>
            <w:rFonts w:eastAsiaTheme="minorHAnsi" w:cs="Arial"/>
            <w:iCs/>
            <w:szCs w:val="20"/>
            <w:lang w:val="en-US"/>
          </w:rPr>
          <w:t>GiftPack</w:t>
        </w:r>
        <w:proofErr w:type="spellEnd"/>
      </w:hyperlink>
      <w:r w:rsidRPr="00252D26">
        <w:rPr>
          <w:rFonts w:eastAsiaTheme="minorHAnsi" w:cs="Arial"/>
          <w:iCs/>
          <w:szCs w:val="20"/>
          <w:lang w:val="en-US"/>
        </w:rPr>
        <w:t xml:space="preserve">, but then see if you can find yourself a (preferably pro bono) lawyer to guide your </w:t>
      </w:r>
      <w:proofErr w:type="spellStart"/>
      <w:r w:rsidRPr="00252D26">
        <w:rPr>
          <w:rFonts w:eastAsiaTheme="minorHAnsi" w:cs="Arial"/>
          <w:iCs/>
          <w:szCs w:val="20"/>
          <w:lang w:val="en-US"/>
        </w:rPr>
        <w:t>organisation</w:t>
      </w:r>
      <w:proofErr w:type="spellEnd"/>
      <w:r w:rsidRPr="00252D26">
        <w:rPr>
          <w:rFonts w:eastAsiaTheme="minorHAnsi" w:cs="Arial"/>
          <w:iCs/>
          <w:szCs w:val="20"/>
          <w:lang w:val="en-US"/>
        </w:rPr>
        <w:t xml:space="preserve"> through the process.</w:t>
      </w:r>
    </w:p>
    <w:p w14:paraId="41C92496" w14:textId="77777777" w:rsidR="0023720D" w:rsidRDefault="0023720D" w:rsidP="00A05A4B">
      <w:pPr>
        <w:jc w:val="both"/>
        <w:rPr>
          <w:rFonts w:cs="Arial"/>
          <w:szCs w:val="20"/>
        </w:rPr>
      </w:pPr>
    </w:p>
    <w:p w14:paraId="70B92AF5" w14:textId="3D2A04D2" w:rsidR="00A05A4B" w:rsidRDefault="0023720D" w:rsidP="00A05A4B">
      <w:pPr>
        <w:jc w:val="both"/>
        <w:rPr>
          <w:rFonts w:cs="Arial"/>
          <w:szCs w:val="20"/>
        </w:rPr>
      </w:pPr>
      <w:r>
        <w:rPr>
          <w:rFonts w:cs="Arial"/>
          <w:szCs w:val="20"/>
        </w:rPr>
        <w:t>Failure</w:t>
      </w:r>
      <w:r w:rsidR="00A05A4B">
        <w:rPr>
          <w:rFonts w:cs="Arial"/>
          <w:szCs w:val="20"/>
        </w:rPr>
        <w:t xml:space="preserve"> </w:t>
      </w:r>
      <w:r>
        <w:rPr>
          <w:rFonts w:cs="Arial"/>
          <w:szCs w:val="20"/>
        </w:rPr>
        <w:t xml:space="preserve">by a NFP </w:t>
      </w:r>
      <w:r w:rsidR="00252D26">
        <w:rPr>
          <w:rFonts w:cs="Arial"/>
          <w:szCs w:val="20"/>
        </w:rPr>
        <w:t>o</w:t>
      </w:r>
      <w:r>
        <w:rPr>
          <w:rFonts w:cs="Arial"/>
          <w:szCs w:val="20"/>
        </w:rPr>
        <w:t xml:space="preserve">rganisation </w:t>
      </w:r>
      <w:r w:rsidR="00A05A4B">
        <w:rPr>
          <w:rFonts w:cs="Arial"/>
          <w:szCs w:val="20"/>
        </w:rPr>
        <w:t xml:space="preserve">to select the correct category will result </w:t>
      </w:r>
      <w:r w:rsidR="00252D26">
        <w:rPr>
          <w:rFonts w:cs="Arial"/>
          <w:szCs w:val="20"/>
        </w:rPr>
        <w:t>in failure of the application.</w:t>
      </w:r>
    </w:p>
    <w:p w14:paraId="10942E22" w14:textId="77777777" w:rsidR="0023720D" w:rsidRDefault="0023720D" w:rsidP="00A05A4B">
      <w:pPr>
        <w:jc w:val="both"/>
        <w:rPr>
          <w:rFonts w:cs="Arial"/>
          <w:szCs w:val="20"/>
        </w:rPr>
      </w:pPr>
    </w:p>
    <w:p w14:paraId="395128D4" w14:textId="16A892E3" w:rsidR="00970DAD" w:rsidRDefault="0023720D" w:rsidP="00A05A4B">
      <w:pPr>
        <w:jc w:val="both"/>
        <w:rPr>
          <w:rFonts w:cs="Arial"/>
          <w:szCs w:val="20"/>
        </w:rPr>
      </w:pPr>
      <w:r>
        <w:rPr>
          <w:rFonts w:cs="Arial"/>
          <w:szCs w:val="20"/>
        </w:rPr>
        <w:t xml:space="preserve">The applications themselves require detailed information about the NFP </w:t>
      </w:r>
      <w:r w:rsidR="00252D26">
        <w:rPr>
          <w:rFonts w:cs="Arial"/>
          <w:szCs w:val="20"/>
        </w:rPr>
        <w:t>o</w:t>
      </w:r>
      <w:r>
        <w:rPr>
          <w:rFonts w:cs="Arial"/>
          <w:szCs w:val="20"/>
        </w:rPr>
        <w:t>rganisation</w:t>
      </w:r>
      <w:r w:rsidR="00252D26">
        <w:rPr>
          <w:rFonts w:cs="Arial"/>
          <w:szCs w:val="20"/>
        </w:rPr>
        <w:t>,</w:t>
      </w:r>
      <w:r>
        <w:rPr>
          <w:rFonts w:cs="Arial"/>
          <w:szCs w:val="20"/>
        </w:rPr>
        <w:t xml:space="preserve"> its structure, activities and purposes (for registered charities this information is now available on the ACNC website) and how this applies to the DGR endorsement </w:t>
      </w:r>
      <w:r w:rsidR="00970DAD">
        <w:rPr>
          <w:rFonts w:cs="Arial"/>
          <w:szCs w:val="20"/>
        </w:rPr>
        <w:t>category under which endorsement is sought. This can require the need to include references to applicable legislation, case law, taxation rulings</w:t>
      </w:r>
      <w:r w:rsidR="00252D26">
        <w:rPr>
          <w:rFonts w:cs="Arial"/>
          <w:szCs w:val="20"/>
        </w:rPr>
        <w:t>,</w:t>
      </w:r>
      <w:r w:rsidR="00970DAD">
        <w:rPr>
          <w:rFonts w:cs="Arial"/>
          <w:szCs w:val="20"/>
        </w:rPr>
        <w:t xml:space="preserve"> ATO and other relevant government department guides and policies.</w:t>
      </w:r>
    </w:p>
    <w:p w14:paraId="5D930BAB" w14:textId="77777777" w:rsidR="00970DAD" w:rsidRDefault="00970DAD" w:rsidP="00A05A4B">
      <w:pPr>
        <w:jc w:val="both"/>
        <w:rPr>
          <w:rFonts w:cs="Arial"/>
          <w:szCs w:val="20"/>
        </w:rPr>
      </w:pPr>
    </w:p>
    <w:p w14:paraId="1FBA8593" w14:textId="5A2553B4" w:rsidR="0023720D" w:rsidRDefault="00970DAD" w:rsidP="00A05A4B">
      <w:pPr>
        <w:jc w:val="both"/>
        <w:rPr>
          <w:rFonts w:cs="Arial"/>
          <w:szCs w:val="20"/>
        </w:rPr>
      </w:pPr>
      <w:r>
        <w:rPr>
          <w:rFonts w:cs="Arial"/>
          <w:szCs w:val="20"/>
        </w:rPr>
        <w:t xml:space="preserve">The complex nature of </w:t>
      </w:r>
      <w:r w:rsidR="003F36F6">
        <w:rPr>
          <w:rFonts w:cs="Arial"/>
          <w:szCs w:val="20"/>
        </w:rPr>
        <w:t xml:space="preserve">the current </w:t>
      </w:r>
      <w:r>
        <w:rPr>
          <w:rFonts w:cs="Arial"/>
          <w:szCs w:val="20"/>
        </w:rPr>
        <w:t>DGR endorsement</w:t>
      </w:r>
      <w:r w:rsidR="003F36F6">
        <w:rPr>
          <w:rFonts w:cs="Arial"/>
          <w:szCs w:val="20"/>
        </w:rPr>
        <w:t xml:space="preserve"> system</w:t>
      </w:r>
      <w:r>
        <w:rPr>
          <w:rFonts w:cs="Arial"/>
          <w:szCs w:val="20"/>
        </w:rPr>
        <w:t xml:space="preserve"> limits accessibility </w:t>
      </w:r>
      <w:r w:rsidR="003F36F6">
        <w:rPr>
          <w:rFonts w:cs="Arial"/>
          <w:szCs w:val="20"/>
        </w:rPr>
        <w:t xml:space="preserve">to those NFP </w:t>
      </w:r>
      <w:r w:rsidR="00252D26">
        <w:rPr>
          <w:rFonts w:cs="Arial"/>
          <w:szCs w:val="20"/>
        </w:rPr>
        <w:t>o</w:t>
      </w:r>
      <w:r w:rsidR="003F36F6">
        <w:rPr>
          <w:rFonts w:cs="Arial"/>
          <w:szCs w:val="20"/>
        </w:rPr>
        <w:t>rganisations that either have the time and skills to go through the lengthy and complex process or f</w:t>
      </w:r>
      <w:r w:rsidR="00CC700F">
        <w:rPr>
          <w:rFonts w:cs="Arial"/>
          <w:szCs w:val="20"/>
        </w:rPr>
        <w:t>inancial resources</w:t>
      </w:r>
      <w:r w:rsidR="003F36F6">
        <w:rPr>
          <w:rFonts w:cs="Arial"/>
          <w:szCs w:val="20"/>
        </w:rPr>
        <w:t xml:space="preserve"> available to purchase access to the required skill set. We suggest it would be a much fairer system if policy was more clearly articulated</w:t>
      </w:r>
      <w:r w:rsidR="00E63E15">
        <w:rPr>
          <w:rFonts w:cs="Arial"/>
          <w:szCs w:val="20"/>
        </w:rPr>
        <w:t xml:space="preserve"> and made accessible to all NFP </w:t>
      </w:r>
      <w:r w:rsidR="00252D26">
        <w:rPr>
          <w:rFonts w:cs="Arial"/>
          <w:szCs w:val="20"/>
        </w:rPr>
        <w:t>o</w:t>
      </w:r>
      <w:r w:rsidR="00E63E15">
        <w:rPr>
          <w:rFonts w:cs="Arial"/>
          <w:szCs w:val="20"/>
        </w:rPr>
        <w:t>rganisations</w:t>
      </w:r>
      <w:r w:rsidR="00252D26">
        <w:rPr>
          <w:rFonts w:cs="Arial"/>
          <w:szCs w:val="20"/>
        </w:rPr>
        <w:t xml:space="preserve"> —</w:t>
      </w:r>
      <w:r w:rsidR="00E63E15">
        <w:rPr>
          <w:rFonts w:cs="Arial"/>
          <w:szCs w:val="20"/>
        </w:rPr>
        <w:t xml:space="preserve"> not just the large and well</w:t>
      </w:r>
      <w:r w:rsidR="00252D26">
        <w:rPr>
          <w:rFonts w:cs="Arial"/>
          <w:szCs w:val="20"/>
        </w:rPr>
        <w:t>-f</w:t>
      </w:r>
      <w:r w:rsidR="00E63E15">
        <w:rPr>
          <w:rFonts w:cs="Arial"/>
          <w:szCs w:val="20"/>
        </w:rPr>
        <w:t>unded</w:t>
      </w:r>
      <w:r w:rsidR="00252D26">
        <w:rPr>
          <w:rFonts w:cs="Arial"/>
          <w:szCs w:val="20"/>
        </w:rPr>
        <w:t xml:space="preserve"> ones</w:t>
      </w:r>
      <w:r w:rsidR="00E63E15">
        <w:rPr>
          <w:rFonts w:cs="Arial"/>
          <w:szCs w:val="20"/>
        </w:rPr>
        <w:t>.</w:t>
      </w:r>
      <w:r w:rsidR="003F36F6">
        <w:rPr>
          <w:rFonts w:cs="Arial"/>
          <w:szCs w:val="20"/>
        </w:rPr>
        <w:t xml:space="preserve"> </w:t>
      </w:r>
    </w:p>
    <w:p w14:paraId="3CE7C414" w14:textId="39CCE54F" w:rsidR="00A05A4B" w:rsidRPr="00252D26" w:rsidRDefault="00A05A4B" w:rsidP="00405D03">
      <w:pPr>
        <w:jc w:val="both"/>
        <w:rPr>
          <w:rFonts w:cs="Arial"/>
          <w:iCs/>
          <w:szCs w:val="20"/>
        </w:rPr>
      </w:pPr>
    </w:p>
    <w:p w14:paraId="0FA7CDA5" w14:textId="7F8B431C" w:rsidR="00405D03" w:rsidRDefault="00405D03" w:rsidP="00405D03">
      <w:pPr>
        <w:jc w:val="both"/>
        <w:rPr>
          <w:rFonts w:cs="Arial"/>
          <w:szCs w:val="20"/>
        </w:rPr>
      </w:pPr>
      <w:r>
        <w:rPr>
          <w:rFonts w:cs="Arial"/>
          <w:szCs w:val="20"/>
        </w:rPr>
        <w:t>Streamlining is required for both:</w:t>
      </w:r>
    </w:p>
    <w:p w14:paraId="2E64E70E" w14:textId="77777777" w:rsidR="00405D03" w:rsidRPr="00405D03" w:rsidRDefault="00405D03" w:rsidP="00405D03">
      <w:pPr>
        <w:pStyle w:val="ListParagraph"/>
        <w:numPr>
          <w:ilvl w:val="0"/>
          <w:numId w:val="14"/>
        </w:numPr>
        <w:jc w:val="both"/>
        <w:rPr>
          <w:rFonts w:cs="Arial"/>
          <w:szCs w:val="20"/>
        </w:rPr>
      </w:pPr>
      <w:r w:rsidRPr="00405D03">
        <w:rPr>
          <w:rFonts w:cs="Arial"/>
          <w:szCs w:val="20"/>
        </w:rPr>
        <w:t>the policy for granting DGR status and</w:t>
      </w:r>
    </w:p>
    <w:p w14:paraId="52F017B9" w14:textId="77777777" w:rsidR="00405D03" w:rsidRPr="00405D03" w:rsidRDefault="00405D03" w:rsidP="00405D03">
      <w:pPr>
        <w:pStyle w:val="ListParagraph"/>
        <w:numPr>
          <w:ilvl w:val="0"/>
          <w:numId w:val="14"/>
        </w:numPr>
        <w:jc w:val="both"/>
        <w:rPr>
          <w:rFonts w:cs="Arial"/>
          <w:szCs w:val="20"/>
        </w:rPr>
      </w:pPr>
      <w:proofErr w:type="gramStart"/>
      <w:r w:rsidRPr="00405D03">
        <w:rPr>
          <w:rFonts w:cs="Arial"/>
          <w:szCs w:val="20"/>
        </w:rPr>
        <w:t>the</w:t>
      </w:r>
      <w:proofErr w:type="gramEnd"/>
      <w:r w:rsidRPr="00405D03">
        <w:rPr>
          <w:rFonts w:cs="Arial"/>
          <w:szCs w:val="20"/>
        </w:rPr>
        <w:t xml:space="preserve"> process by which it is administered.</w:t>
      </w:r>
    </w:p>
    <w:p w14:paraId="551E65C7" w14:textId="34CBFDF1" w:rsidR="00405D03" w:rsidRDefault="00405D03" w:rsidP="00405D03">
      <w:pPr>
        <w:jc w:val="both"/>
        <w:rPr>
          <w:rFonts w:cs="Arial"/>
          <w:szCs w:val="20"/>
        </w:rPr>
      </w:pPr>
    </w:p>
    <w:p w14:paraId="27914A34" w14:textId="705671AF" w:rsidR="005E4B1C" w:rsidRDefault="00405D03" w:rsidP="00056986">
      <w:pPr>
        <w:jc w:val="both"/>
        <w:rPr>
          <w:rFonts w:cs="Arial"/>
          <w:szCs w:val="20"/>
        </w:rPr>
      </w:pPr>
      <w:r>
        <w:rPr>
          <w:rFonts w:cs="Arial"/>
          <w:szCs w:val="20"/>
        </w:rPr>
        <w:t>There is a great opportunity to</w:t>
      </w:r>
      <w:r w:rsidR="005E4B1C">
        <w:rPr>
          <w:rFonts w:cs="Arial"/>
          <w:szCs w:val="20"/>
        </w:rPr>
        <w:t xml:space="preserve"> </w:t>
      </w:r>
      <w:r w:rsidRPr="005E4B1C">
        <w:rPr>
          <w:rFonts w:cs="Arial"/>
          <w:szCs w:val="20"/>
        </w:rPr>
        <w:t>clarify the basis on which DGR status is granted</w:t>
      </w:r>
      <w:r w:rsidR="00E63E15" w:rsidRPr="005E4B1C">
        <w:rPr>
          <w:rFonts w:cs="Arial"/>
          <w:szCs w:val="20"/>
        </w:rPr>
        <w:t xml:space="preserve"> and re</w:t>
      </w:r>
      <w:r w:rsidR="00252D26">
        <w:rPr>
          <w:rFonts w:cs="Arial"/>
          <w:szCs w:val="20"/>
        </w:rPr>
        <w:t>-</w:t>
      </w:r>
      <w:r w:rsidR="00E63E15" w:rsidRPr="005E4B1C">
        <w:rPr>
          <w:rFonts w:cs="Arial"/>
          <w:szCs w:val="20"/>
        </w:rPr>
        <w:t>state the basis for eligibility in a form that is clear, readily accessible to all inter</w:t>
      </w:r>
      <w:r w:rsidR="005E4B1C" w:rsidRPr="005E4B1C">
        <w:rPr>
          <w:rFonts w:cs="Arial"/>
          <w:szCs w:val="20"/>
        </w:rPr>
        <w:t>ested parties and located in on</w:t>
      </w:r>
      <w:r w:rsidR="00E63E15" w:rsidRPr="00D12CF8">
        <w:rPr>
          <w:rFonts w:cs="Arial"/>
          <w:szCs w:val="20"/>
        </w:rPr>
        <w:t xml:space="preserve">e central </w:t>
      </w:r>
      <w:r w:rsidR="00CC700F">
        <w:rPr>
          <w:rFonts w:cs="Arial"/>
          <w:szCs w:val="20"/>
        </w:rPr>
        <w:t>source</w:t>
      </w:r>
      <w:r w:rsidR="00252D26">
        <w:rPr>
          <w:rFonts w:cs="Arial"/>
          <w:szCs w:val="20"/>
        </w:rPr>
        <w:t>.</w:t>
      </w:r>
    </w:p>
    <w:p w14:paraId="0C9E86A5" w14:textId="77777777" w:rsidR="005E4B1C" w:rsidRDefault="005E4B1C" w:rsidP="00056986">
      <w:pPr>
        <w:jc w:val="both"/>
        <w:rPr>
          <w:rFonts w:cs="Arial"/>
          <w:szCs w:val="20"/>
        </w:rPr>
      </w:pPr>
    </w:p>
    <w:p w14:paraId="2A5C97F5" w14:textId="641EC34E" w:rsidR="005E4B1C" w:rsidRPr="005E4B1C" w:rsidRDefault="005E4B1C" w:rsidP="00056986">
      <w:pPr>
        <w:jc w:val="both"/>
        <w:rPr>
          <w:rFonts w:cs="Arial"/>
          <w:szCs w:val="20"/>
        </w:rPr>
      </w:pPr>
      <w:r w:rsidRPr="005E4B1C">
        <w:rPr>
          <w:rFonts w:cs="Arial"/>
          <w:szCs w:val="20"/>
        </w:rPr>
        <w:t>In considering the basis on which DGR status is granted</w:t>
      </w:r>
      <w:r w:rsidR="00252D26">
        <w:rPr>
          <w:rFonts w:cs="Arial"/>
          <w:szCs w:val="20"/>
        </w:rPr>
        <w:t>,</w:t>
      </w:r>
      <w:r w:rsidRPr="005E4B1C">
        <w:rPr>
          <w:rFonts w:cs="Arial"/>
          <w:szCs w:val="20"/>
        </w:rPr>
        <w:t xml:space="preserve"> the following suggestions are made:</w:t>
      </w:r>
    </w:p>
    <w:p w14:paraId="696E1771" w14:textId="28A071AA" w:rsidR="00405D03" w:rsidRPr="00405D03" w:rsidRDefault="00405D03" w:rsidP="00405D03">
      <w:pPr>
        <w:pStyle w:val="ListParagraph"/>
        <w:numPr>
          <w:ilvl w:val="0"/>
          <w:numId w:val="15"/>
        </w:numPr>
        <w:jc w:val="both"/>
        <w:rPr>
          <w:rFonts w:cs="Arial"/>
          <w:szCs w:val="20"/>
        </w:rPr>
      </w:pPr>
      <w:r w:rsidRPr="00405D03">
        <w:rPr>
          <w:rFonts w:cs="Arial"/>
          <w:szCs w:val="20"/>
        </w:rPr>
        <w:t xml:space="preserve">provide a link </w:t>
      </w:r>
      <w:r w:rsidR="00252D26">
        <w:rPr>
          <w:rFonts w:cs="Arial"/>
          <w:szCs w:val="20"/>
        </w:rPr>
        <w:t>between</w:t>
      </w:r>
      <w:r w:rsidRPr="00405D03">
        <w:rPr>
          <w:rFonts w:cs="Arial"/>
          <w:szCs w:val="20"/>
        </w:rPr>
        <w:t xml:space="preserve"> the type of charities that are eligible </w:t>
      </w:r>
      <w:r w:rsidR="00252D26">
        <w:rPr>
          <w:rFonts w:cs="Arial"/>
          <w:szCs w:val="20"/>
        </w:rPr>
        <w:t>and</w:t>
      </w:r>
      <w:r w:rsidRPr="00405D03">
        <w:rPr>
          <w:rFonts w:cs="Arial"/>
          <w:szCs w:val="20"/>
        </w:rPr>
        <w:t xml:space="preserve"> the definition of charity in the </w:t>
      </w:r>
      <w:r w:rsidRPr="00405D03">
        <w:rPr>
          <w:rFonts w:cs="Arial"/>
          <w:i/>
          <w:szCs w:val="20"/>
        </w:rPr>
        <w:t>Charity Act</w:t>
      </w:r>
      <w:r w:rsidRPr="00405D03">
        <w:rPr>
          <w:rFonts w:cs="Arial"/>
          <w:szCs w:val="20"/>
        </w:rPr>
        <w:t>, as this will provide clarity on which organisation is worthy</w:t>
      </w:r>
      <w:r w:rsidR="00252D26">
        <w:rPr>
          <w:rFonts w:cs="Arial"/>
          <w:szCs w:val="20"/>
        </w:rPr>
        <w:t>,</w:t>
      </w:r>
      <w:r w:rsidR="005E4B1C">
        <w:rPr>
          <w:rFonts w:cs="Arial"/>
          <w:szCs w:val="20"/>
        </w:rPr>
        <w:t xml:space="preserve"> and</w:t>
      </w:r>
    </w:p>
    <w:p w14:paraId="3421323B" w14:textId="24AEC449" w:rsidR="005E4B1C" w:rsidRDefault="00405D03" w:rsidP="00D12CF8">
      <w:pPr>
        <w:pStyle w:val="ListParagraph"/>
        <w:numPr>
          <w:ilvl w:val="0"/>
          <w:numId w:val="15"/>
        </w:numPr>
        <w:jc w:val="both"/>
        <w:rPr>
          <w:rFonts w:cs="Arial"/>
          <w:szCs w:val="20"/>
        </w:rPr>
      </w:pPr>
      <w:proofErr w:type="gramStart"/>
      <w:r w:rsidRPr="00405D03">
        <w:rPr>
          <w:rFonts w:cs="Arial"/>
          <w:szCs w:val="20"/>
        </w:rPr>
        <w:t>provide</w:t>
      </w:r>
      <w:proofErr w:type="gramEnd"/>
      <w:r w:rsidRPr="00405D03">
        <w:rPr>
          <w:rFonts w:cs="Arial"/>
          <w:szCs w:val="20"/>
        </w:rPr>
        <w:t xml:space="preserve"> a broader way to express and grant status that is more in line with other jurisdictions — Australia has a very limited view compared to other jurisdictions</w:t>
      </w:r>
      <w:r w:rsidR="005E4B1C">
        <w:rPr>
          <w:rFonts w:cs="Arial"/>
          <w:szCs w:val="20"/>
        </w:rPr>
        <w:t>.</w:t>
      </w:r>
    </w:p>
    <w:p w14:paraId="36A0F7EE" w14:textId="77777777" w:rsidR="005E4B1C" w:rsidRPr="00252D26" w:rsidRDefault="005E4B1C" w:rsidP="00252D26">
      <w:pPr>
        <w:ind w:left="360"/>
        <w:jc w:val="both"/>
        <w:rPr>
          <w:rFonts w:cs="Arial"/>
          <w:szCs w:val="20"/>
        </w:rPr>
      </w:pPr>
    </w:p>
    <w:p w14:paraId="3ED30E75" w14:textId="285CD48C" w:rsidR="00405D03" w:rsidRPr="005E4B1C" w:rsidRDefault="005E4B1C" w:rsidP="00056986">
      <w:pPr>
        <w:jc w:val="both"/>
        <w:rPr>
          <w:rFonts w:cs="Arial"/>
          <w:szCs w:val="20"/>
        </w:rPr>
      </w:pPr>
      <w:r>
        <w:rPr>
          <w:rFonts w:cs="Arial"/>
          <w:szCs w:val="20"/>
        </w:rPr>
        <w:t>Once the policy issues are determined</w:t>
      </w:r>
      <w:r w:rsidR="00252D26">
        <w:rPr>
          <w:rFonts w:cs="Arial"/>
          <w:szCs w:val="20"/>
        </w:rPr>
        <w:t>,</w:t>
      </w:r>
      <w:r>
        <w:rPr>
          <w:rFonts w:cs="Arial"/>
          <w:szCs w:val="20"/>
        </w:rPr>
        <w:t xml:space="preserve"> s</w:t>
      </w:r>
      <w:r w:rsidR="00405D03" w:rsidRPr="005E4B1C">
        <w:rPr>
          <w:rFonts w:cs="Arial"/>
          <w:szCs w:val="20"/>
        </w:rPr>
        <w:t>implif</w:t>
      </w:r>
      <w:r>
        <w:rPr>
          <w:rFonts w:cs="Arial"/>
          <w:szCs w:val="20"/>
        </w:rPr>
        <w:t>ication of the</w:t>
      </w:r>
      <w:r w:rsidR="00405D03" w:rsidRPr="005E4B1C">
        <w:rPr>
          <w:rFonts w:cs="Arial"/>
          <w:szCs w:val="20"/>
        </w:rPr>
        <w:t xml:space="preserve"> administrative process</w:t>
      </w:r>
      <w:r>
        <w:rPr>
          <w:rFonts w:cs="Arial"/>
          <w:szCs w:val="20"/>
        </w:rPr>
        <w:t xml:space="preserve"> can occur and at the </w:t>
      </w:r>
      <w:r w:rsidR="00D12CF8">
        <w:rPr>
          <w:rFonts w:cs="Arial"/>
          <w:szCs w:val="20"/>
        </w:rPr>
        <w:t xml:space="preserve">very least </w:t>
      </w:r>
      <w:r w:rsidR="00252D26">
        <w:rPr>
          <w:rFonts w:cs="Arial"/>
          <w:szCs w:val="20"/>
        </w:rPr>
        <w:t>there can be</w:t>
      </w:r>
      <w:r w:rsidR="00D12CF8">
        <w:rPr>
          <w:rFonts w:cs="Arial"/>
          <w:szCs w:val="20"/>
        </w:rPr>
        <w:t xml:space="preserve"> the objective </w:t>
      </w:r>
      <w:r w:rsidR="00252D26">
        <w:rPr>
          <w:rFonts w:cs="Arial"/>
          <w:szCs w:val="20"/>
        </w:rPr>
        <w:t>of</w:t>
      </w:r>
      <w:r w:rsidR="00D12CF8">
        <w:rPr>
          <w:rFonts w:cs="Arial"/>
          <w:szCs w:val="20"/>
        </w:rPr>
        <w:t xml:space="preserve"> designat</w:t>
      </w:r>
      <w:r w:rsidR="00252D26">
        <w:rPr>
          <w:rFonts w:cs="Arial"/>
          <w:szCs w:val="20"/>
        </w:rPr>
        <w:t>ing</w:t>
      </w:r>
      <w:r>
        <w:rPr>
          <w:rFonts w:cs="Arial"/>
          <w:szCs w:val="20"/>
        </w:rPr>
        <w:t xml:space="preserve"> one department to manage all DGR endorsements.</w:t>
      </w:r>
      <w:r w:rsidR="00405D03" w:rsidRPr="005E4B1C">
        <w:rPr>
          <w:rFonts w:cs="Arial"/>
          <w:szCs w:val="20"/>
        </w:rPr>
        <w:t xml:space="preserve"> </w:t>
      </w:r>
    </w:p>
    <w:p w14:paraId="0351543A" w14:textId="77777777" w:rsidR="00405D03" w:rsidRDefault="00405D03" w:rsidP="00405D03">
      <w:pPr>
        <w:jc w:val="both"/>
        <w:rPr>
          <w:rFonts w:cs="Arial"/>
          <w:szCs w:val="20"/>
        </w:rPr>
      </w:pPr>
    </w:p>
    <w:p w14:paraId="09655D7E" w14:textId="39DA2188" w:rsidR="00405D03" w:rsidRDefault="00405D03" w:rsidP="00405D03">
      <w:pPr>
        <w:jc w:val="both"/>
        <w:rPr>
          <w:rFonts w:cs="Arial"/>
          <w:szCs w:val="20"/>
        </w:rPr>
      </w:pPr>
      <w:r>
        <w:rPr>
          <w:rFonts w:cs="Arial"/>
          <w:szCs w:val="20"/>
        </w:rPr>
        <w:t>Making the process more accessible, and bringing greater clarity to eligibility and status will make donations more attractive</w:t>
      </w:r>
      <w:r w:rsidR="0052605B">
        <w:rPr>
          <w:rFonts w:cs="Arial"/>
          <w:szCs w:val="20"/>
        </w:rPr>
        <w:t>, which will encourage donations, thus</w:t>
      </w:r>
      <w:r>
        <w:rPr>
          <w:rFonts w:cs="Arial"/>
          <w:szCs w:val="20"/>
        </w:rPr>
        <w:t xml:space="preserve"> increas</w:t>
      </w:r>
      <w:r w:rsidR="0052605B">
        <w:rPr>
          <w:rFonts w:cs="Arial"/>
          <w:szCs w:val="20"/>
        </w:rPr>
        <w:t>ing</w:t>
      </w:r>
      <w:r>
        <w:rPr>
          <w:rFonts w:cs="Arial"/>
          <w:szCs w:val="20"/>
        </w:rPr>
        <w:t xml:space="preserve"> the pool of funds</w:t>
      </w:r>
      <w:r w:rsidR="0052605B">
        <w:rPr>
          <w:rFonts w:cs="Arial"/>
          <w:szCs w:val="20"/>
        </w:rPr>
        <w:t xml:space="preserve"> </w:t>
      </w:r>
      <w:r w:rsidR="0052605B" w:rsidRPr="0052605B">
        <w:rPr>
          <w:rFonts w:cs="Arial"/>
          <w:szCs w:val="20"/>
        </w:rPr>
        <w:t>available for a wide range of socially desirable activities</w:t>
      </w:r>
      <w:r>
        <w:rPr>
          <w:rFonts w:cs="Arial"/>
          <w:szCs w:val="20"/>
        </w:rPr>
        <w:t>. In turn, this will decrease the call on government funding. This brings clear benefits to both the charities and the government.</w:t>
      </w:r>
    </w:p>
    <w:p w14:paraId="70CF49D1" w14:textId="77777777" w:rsidR="00AE4459" w:rsidRDefault="00AE4459" w:rsidP="008D12EB">
      <w:pPr>
        <w:jc w:val="both"/>
        <w:rPr>
          <w:rFonts w:cs="Arial"/>
          <w:szCs w:val="20"/>
        </w:rPr>
      </w:pPr>
    </w:p>
    <w:p w14:paraId="5B4FC033" w14:textId="1F56420E" w:rsidR="00AE4459" w:rsidRPr="00FD1AED" w:rsidRDefault="00FD1AED" w:rsidP="008D12EB">
      <w:pPr>
        <w:jc w:val="both"/>
        <w:rPr>
          <w:rFonts w:ascii="Arial Black" w:hAnsi="Arial Black" w:cs="Arial"/>
          <w:sz w:val="22"/>
          <w:szCs w:val="22"/>
        </w:rPr>
      </w:pPr>
      <w:r w:rsidRPr="00FD1AED">
        <w:rPr>
          <w:rFonts w:ascii="Arial Black" w:hAnsi="Arial Black" w:cs="Arial"/>
          <w:sz w:val="22"/>
          <w:szCs w:val="22"/>
        </w:rPr>
        <w:t>Conclusion</w:t>
      </w:r>
    </w:p>
    <w:p w14:paraId="7EC9D0A5" w14:textId="77777777" w:rsidR="00FD1AED" w:rsidRPr="00151142" w:rsidRDefault="00FD1AED" w:rsidP="008D12EB">
      <w:pPr>
        <w:jc w:val="both"/>
        <w:rPr>
          <w:rFonts w:cs="Arial"/>
          <w:szCs w:val="20"/>
        </w:rPr>
      </w:pPr>
    </w:p>
    <w:p w14:paraId="059630B8" w14:textId="35D32DD4" w:rsidR="004C0D9B" w:rsidRDefault="006438C5" w:rsidP="008D12EB">
      <w:pPr>
        <w:jc w:val="both"/>
        <w:rPr>
          <w:rFonts w:cs="Arial"/>
          <w:szCs w:val="20"/>
        </w:rPr>
      </w:pPr>
      <w:r>
        <w:rPr>
          <w:rFonts w:cs="Arial"/>
          <w:szCs w:val="20"/>
        </w:rPr>
        <w:t>We welcome the Australian Government’s commitment</w:t>
      </w:r>
      <w:r w:rsidRPr="00572DB0">
        <w:rPr>
          <w:rFonts w:cs="Arial"/>
          <w:szCs w:val="20"/>
        </w:rPr>
        <w:t xml:space="preserve"> to simplify</w:t>
      </w:r>
      <w:r w:rsidR="00CC700F">
        <w:rPr>
          <w:rFonts w:cs="Arial"/>
          <w:szCs w:val="20"/>
        </w:rPr>
        <w:t>ing</w:t>
      </w:r>
      <w:r w:rsidRPr="00572DB0">
        <w:rPr>
          <w:rFonts w:cs="Arial"/>
          <w:szCs w:val="20"/>
        </w:rPr>
        <w:t xml:space="preserve"> and streamlin</w:t>
      </w:r>
      <w:r w:rsidR="00CC700F">
        <w:rPr>
          <w:rFonts w:cs="Arial"/>
          <w:szCs w:val="20"/>
        </w:rPr>
        <w:t>ing</w:t>
      </w:r>
      <w:r>
        <w:rPr>
          <w:rFonts w:cs="Arial"/>
          <w:szCs w:val="20"/>
        </w:rPr>
        <w:t xml:space="preserve"> burdensome regulation and increas</w:t>
      </w:r>
      <w:r w:rsidR="00CC700F">
        <w:rPr>
          <w:rFonts w:cs="Arial"/>
          <w:szCs w:val="20"/>
        </w:rPr>
        <w:t>ing</w:t>
      </w:r>
      <w:r>
        <w:rPr>
          <w:rFonts w:cs="Arial"/>
          <w:szCs w:val="20"/>
        </w:rPr>
        <w:t xml:space="preserve"> productivity </w:t>
      </w:r>
      <w:r w:rsidRPr="00572DB0">
        <w:rPr>
          <w:rFonts w:cs="Arial"/>
          <w:szCs w:val="20"/>
        </w:rPr>
        <w:t xml:space="preserve">as </w:t>
      </w:r>
      <w:r>
        <w:rPr>
          <w:rFonts w:cs="Arial"/>
          <w:szCs w:val="20"/>
        </w:rPr>
        <w:t>a whole-of-government approach to</w:t>
      </w:r>
      <w:r w:rsidRPr="00572DB0">
        <w:rPr>
          <w:rFonts w:cs="Arial"/>
          <w:szCs w:val="20"/>
        </w:rPr>
        <w:t xml:space="preserve"> </w:t>
      </w:r>
      <w:r>
        <w:rPr>
          <w:rFonts w:cs="Arial"/>
          <w:szCs w:val="20"/>
        </w:rPr>
        <w:t xml:space="preserve">the </w:t>
      </w:r>
      <w:r w:rsidRPr="00572DB0">
        <w:rPr>
          <w:rFonts w:cs="Arial"/>
          <w:szCs w:val="20"/>
        </w:rPr>
        <w:t>reduction of red tape</w:t>
      </w:r>
      <w:r>
        <w:rPr>
          <w:rFonts w:cs="Arial"/>
          <w:i/>
          <w:szCs w:val="20"/>
        </w:rPr>
        <w:t xml:space="preserve">. </w:t>
      </w:r>
      <w:r w:rsidRPr="00BE69D7">
        <w:rPr>
          <w:rFonts w:cs="Arial"/>
          <w:szCs w:val="20"/>
        </w:rPr>
        <w:t>However, as always</w:t>
      </w:r>
      <w:r w:rsidRPr="00572DB0">
        <w:rPr>
          <w:rFonts w:cs="Arial"/>
          <w:szCs w:val="20"/>
        </w:rPr>
        <w:t>, the public good should guide the public policy position – public good outcomes should be the basis on which reform proceeds.</w:t>
      </w:r>
      <w:r>
        <w:rPr>
          <w:rFonts w:cs="Arial"/>
          <w:szCs w:val="20"/>
        </w:rPr>
        <w:t xml:space="preserve"> </w:t>
      </w:r>
      <w:r w:rsidR="00AE4459" w:rsidRPr="003718A2">
        <w:rPr>
          <w:rFonts w:cs="Arial"/>
          <w:szCs w:val="20"/>
        </w:rPr>
        <w:t xml:space="preserve">We </w:t>
      </w:r>
      <w:r>
        <w:rPr>
          <w:rFonts w:cs="Arial"/>
          <w:szCs w:val="20"/>
        </w:rPr>
        <w:t xml:space="preserve">strongly </w:t>
      </w:r>
      <w:r>
        <w:rPr>
          <w:rFonts w:cs="Arial"/>
          <w:szCs w:val="20"/>
        </w:rPr>
        <w:lastRenderedPageBreak/>
        <w:t>recommend targeted consultation with the NFP sector in relation to any proposed reforms — stakeholder roundtables will assist in securing all the views to ensure any unintended consequences have been considered</w:t>
      </w:r>
      <w:r w:rsidR="00CC700F">
        <w:rPr>
          <w:rFonts w:cs="Arial"/>
          <w:szCs w:val="20"/>
        </w:rPr>
        <w:t xml:space="preserve"> and avoided</w:t>
      </w:r>
      <w:r>
        <w:rPr>
          <w:rFonts w:cs="Arial"/>
          <w:szCs w:val="20"/>
        </w:rPr>
        <w:t xml:space="preserve">. </w:t>
      </w:r>
    </w:p>
    <w:p w14:paraId="4AEA25BF" w14:textId="77777777" w:rsidR="004C0D9B" w:rsidRDefault="004C0D9B" w:rsidP="008D12EB">
      <w:pPr>
        <w:jc w:val="both"/>
        <w:rPr>
          <w:rFonts w:cs="Arial"/>
          <w:szCs w:val="20"/>
        </w:rPr>
      </w:pPr>
    </w:p>
    <w:p w14:paraId="45F0C0C8" w14:textId="6DD7BA37" w:rsidR="006438C5" w:rsidRDefault="006438C5" w:rsidP="008D12EB">
      <w:pPr>
        <w:jc w:val="both"/>
        <w:rPr>
          <w:rFonts w:cs="Arial"/>
          <w:szCs w:val="20"/>
        </w:rPr>
      </w:pPr>
      <w:r>
        <w:rPr>
          <w:rFonts w:cs="Arial"/>
          <w:szCs w:val="20"/>
        </w:rPr>
        <w:t>We further recommend that, following stakeholder consultation in the form of roundtables, any proposals be released as consultation papers, to provide the opportunity for the sector to consider how each proposal would be implemented. At no point should any reform proceed directly to an exposure draft of legislation prior to such consultation.</w:t>
      </w:r>
    </w:p>
    <w:p w14:paraId="3A875BFE" w14:textId="77777777" w:rsidR="006438C5" w:rsidRDefault="006438C5" w:rsidP="008D12EB">
      <w:pPr>
        <w:jc w:val="both"/>
        <w:rPr>
          <w:rFonts w:cs="Arial"/>
          <w:szCs w:val="20"/>
        </w:rPr>
      </w:pPr>
    </w:p>
    <w:p w14:paraId="5331BA2A" w14:textId="004543A3" w:rsidR="006438C5" w:rsidRDefault="006438C5" w:rsidP="008D12EB">
      <w:pPr>
        <w:jc w:val="both"/>
        <w:rPr>
          <w:rFonts w:cs="Arial"/>
          <w:szCs w:val="20"/>
        </w:rPr>
      </w:pPr>
      <w:r>
        <w:rPr>
          <w:rFonts w:cs="Arial"/>
          <w:szCs w:val="20"/>
        </w:rPr>
        <w:t>Your</w:t>
      </w:r>
      <w:r w:rsidR="0052605B">
        <w:rPr>
          <w:rFonts w:cs="Arial"/>
          <w:szCs w:val="20"/>
        </w:rPr>
        <w:t>s</w:t>
      </w:r>
      <w:r>
        <w:rPr>
          <w:rFonts w:cs="Arial"/>
          <w:szCs w:val="20"/>
        </w:rPr>
        <w:t xml:space="preserve"> sincerely</w:t>
      </w:r>
    </w:p>
    <w:p w14:paraId="35BFAF75" w14:textId="77777777" w:rsidR="006438C5" w:rsidRDefault="006438C5" w:rsidP="008D12EB">
      <w:pPr>
        <w:jc w:val="both"/>
        <w:rPr>
          <w:rFonts w:cs="Arial"/>
          <w:szCs w:val="20"/>
        </w:rPr>
      </w:pPr>
    </w:p>
    <w:p w14:paraId="3C2193A8" w14:textId="213AD82C" w:rsidR="006438C5" w:rsidRDefault="00C1263C" w:rsidP="008D12EB">
      <w:pPr>
        <w:jc w:val="both"/>
        <w:rPr>
          <w:rFonts w:cs="Arial"/>
          <w:szCs w:val="20"/>
        </w:rPr>
      </w:pPr>
      <w:r>
        <w:rPr>
          <w:rFonts w:cs="Arial"/>
          <w:noProof/>
          <w:szCs w:val="20"/>
          <w:lang w:eastAsia="en-AU"/>
        </w:rPr>
        <w:drawing>
          <wp:inline distT="0" distB="0" distL="0" distR="0" wp14:anchorId="6983E16E" wp14:editId="3FDF1BD3">
            <wp:extent cx="2276475" cy="110366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_sheehy_sig.tif"/>
                    <pic:cNvPicPr/>
                  </pic:nvPicPr>
                  <pic:blipFill>
                    <a:blip r:embed="rId15">
                      <a:extLst>
                        <a:ext uri="{28A0092B-C50C-407E-A947-70E740481C1C}">
                          <a14:useLocalDpi xmlns:a14="http://schemas.microsoft.com/office/drawing/2010/main" val="0"/>
                        </a:ext>
                      </a:extLst>
                    </a:blip>
                    <a:stretch>
                      <a:fillRect/>
                    </a:stretch>
                  </pic:blipFill>
                  <pic:spPr>
                    <a:xfrm>
                      <a:off x="0" y="0"/>
                      <a:ext cx="2275810" cy="1103342"/>
                    </a:xfrm>
                    <a:prstGeom prst="rect">
                      <a:avLst/>
                    </a:prstGeom>
                  </pic:spPr>
                </pic:pic>
              </a:graphicData>
            </a:graphic>
          </wp:inline>
        </w:drawing>
      </w:r>
    </w:p>
    <w:p w14:paraId="320B89CE" w14:textId="43874EA1" w:rsidR="006438C5" w:rsidRDefault="006438C5" w:rsidP="008D12EB">
      <w:pPr>
        <w:jc w:val="both"/>
        <w:rPr>
          <w:rFonts w:cs="Arial"/>
          <w:szCs w:val="20"/>
        </w:rPr>
      </w:pPr>
      <w:r>
        <w:rPr>
          <w:rFonts w:cs="Arial"/>
          <w:szCs w:val="20"/>
        </w:rPr>
        <w:t>Tim Sheehy</w:t>
      </w:r>
    </w:p>
    <w:p w14:paraId="22DAEB73" w14:textId="0ECB3D5E" w:rsidR="006438C5" w:rsidRDefault="006438C5" w:rsidP="008D12EB">
      <w:pPr>
        <w:jc w:val="both"/>
        <w:rPr>
          <w:rFonts w:cs="Arial"/>
          <w:szCs w:val="20"/>
        </w:rPr>
      </w:pPr>
      <w:r>
        <w:rPr>
          <w:rFonts w:cs="Arial"/>
          <w:szCs w:val="20"/>
        </w:rPr>
        <w:t>Chief Executive</w:t>
      </w:r>
    </w:p>
    <w:p w14:paraId="4D5D9CB8" w14:textId="77777777" w:rsidR="00C1263C" w:rsidRDefault="00C1263C">
      <w:pPr>
        <w:jc w:val="both"/>
        <w:rPr>
          <w:rFonts w:cs="Arial"/>
          <w:szCs w:val="20"/>
        </w:rPr>
      </w:pPr>
    </w:p>
    <w:sectPr w:rsidR="00C1263C" w:rsidSect="0010380E">
      <w:headerReference w:type="even" r:id="rId16"/>
      <w:headerReference w:type="default" r:id="rId17"/>
      <w:footerReference w:type="even" r:id="rId18"/>
      <w:footerReference w:type="default" r:id="rId19"/>
      <w:headerReference w:type="first" r:id="rId20"/>
      <w:footerReference w:type="first" r:id="rId21"/>
      <w:pgSz w:w="11906" w:h="16838" w:code="9"/>
      <w:pgMar w:top="1701" w:right="1701" w:bottom="1701" w:left="1701"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9B8AAC" w15:done="0"/>
  <w15:commentEx w15:paraId="52531F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5542A" w14:textId="77777777" w:rsidR="005C149F" w:rsidRDefault="005C149F" w:rsidP="0010380E">
      <w:pPr>
        <w:spacing w:line="240" w:lineRule="auto"/>
      </w:pPr>
      <w:r>
        <w:separator/>
      </w:r>
    </w:p>
  </w:endnote>
  <w:endnote w:type="continuationSeparator" w:id="0">
    <w:p w14:paraId="2620F49C" w14:textId="77777777" w:rsidR="005C149F" w:rsidRDefault="005C149F" w:rsidP="0010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aud">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C7AD4" w14:textId="77777777" w:rsidR="005C149F" w:rsidRDefault="005C14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68ED5" w14:textId="77777777" w:rsidR="005C149F" w:rsidRDefault="005C14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502E2" w14:textId="77777777" w:rsidR="005C149F" w:rsidRPr="004874BB" w:rsidRDefault="005C149F" w:rsidP="00524A93">
    <w:pPr>
      <w:pStyle w:val="Footer"/>
      <w:tabs>
        <w:tab w:val="clear" w:pos="4513"/>
        <w:tab w:val="clear" w:pos="9026"/>
      </w:tabs>
      <w:spacing w:line="160" w:lineRule="atLeast"/>
      <w:ind w:right="-709"/>
      <w:jc w:val="right"/>
      <w:rPr>
        <w:rFonts w:ascii="Vaud" w:hAnsi="Vaud"/>
        <w:color w:val="0094D9"/>
        <w:sz w:val="14"/>
        <w:szCs w:val="14"/>
      </w:rPr>
    </w:pPr>
    <w:proofErr w:type="gramStart"/>
    <w:r w:rsidRPr="004874BB">
      <w:rPr>
        <w:rFonts w:ascii="Vaud" w:hAnsi="Vaud"/>
        <w:color w:val="0094D9"/>
        <w:sz w:val="14"/>
        <w:szCs w:val="14"/>
      </w:rPr>
      <w:t>Sydney  |</w:t>
    </w:r>
    <w:proofErr w:type="gramEnd"/>
    <w:r w:rsidRPr="004874BB">
      <w:rPr>
        <w:rFonts w:ascii="Vaud" w:hAnsi="Vaud"/>
        <w:color w:val="0094D9"/>
        <w:sz w:val="14"/>
        <w:szCs w:val="14"/>
      </w:rPr>
      <w:t xml:space="preserve">  Melbourne  |  Bris</w:t>
    </w:r>
    <w:r>
      <w:rPr>
        <w:rFonts w:ascii="Vaud" w:hAnsi="Vaud"/>
        <w:color w:val="0094D9"/>
        <w:sz w:val="14"/>
        <w:szCs w:val="14"/>
      </w:rPr>
      <w:t xml:space="preserve">bane  |  Adelaide  |  Perth  </w:t>
    </w:r>
  </w:p>
  <w:p w14:paraId="02BC7BC3" w14:textId="77777777" w:rsidR="005C149F" w:rsidRPr="004874BB" w:rsidRDefault="005C149F" w:rsidP="00524A93">
    <w:pPr>
      <w:pStyle w:val="Footer"/>
      <w:tabs>
        <w:tab w:val="clear" w:pos="9026"/>
      </w:tabs>
      <w:spacing w:line="160" w:lineRule="atLeast"/>
      <w:ind w:right="-709"/>
      <w:jc w:val="right"/>
      <w:rPr>
        <w:rFonts w:ascii="Vaud" w:hAnsi="Vaud"/>
        <w:sz w:val="12"/>
        <w:szCs w:val="12"/>
      </w:rPr>
    </w:pPr>
    <w:r w:rsidRPr="004874BB">
      <w:rPr>
        <w:rFonts w:ascii="Vaud" w:hAnsi="Vaud"/>
        <w:sz w:val="12"/>
        <w:szCs w:val="12"/>
      </w:rPr>
      <w:t>Governance Institute of Australia Ltd ABN 49 008 615 950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4DC04" w14:textId="77777777" w:rsidR="005C149F" w:rsidRDefault="005C149F" w:rsidP="0010380E">
      <w:pPr>
        <w:spacing w:line="240" w:lineRule="auto"/>
      </w:pPr>
      <w:r>
        <w:separator/>
      </w:r>
    </w:p>
  </w:footnote>
  <w:footnote w:type="continuationSeparator" w:id="0">
    <w:p w14:paraId="690EF4A3" w14:textId="77777777" w:rsidR="005C149F" w:rsidRDefault="005C149F" w:rsidP="0010380E">
      <w:pPr>
        <w:spacing w:line="240" w:lineRule="auto"/>
      </w:pPr>
      <w:r>
        <w:continuationSeparator/>
      </w:r>
    </w:p>
  </w:footnote>
  <w:footnote w:id="1">
    <w:p w14:paraId="6850463A" w14:textId="7A8619BC" w:rsidR="005C149F" w:rsidRDefault="005C149F">
      <w:pPr>
        <w:pStyle w:val="FootnoteText"/>
      </w:pPr>
      <w:r>
        <w:rPr>
          <w:rStyle w:val="FootnoteReference"/>
        </w:rPr>
        <w:footnoteRef/>
      </w:r>
      <w:r>
        <w:t xml:space="preserve"> </w:t>
      </w:r>
      <w:r w:rsidRPr="00FD1AED">
        <w:rPr>
          <w:i/>
        </w:rPr>
        <w:t>Productivity Commission Research Report: Contribution of the Not-for-Profit Sector</w:t>
      </w:r>
      <w:r>
        <w:t xml:space="preserve">, January 2010, </w:t>
      </w:r>
      <w:proofErr w:type="spellStart"/>
      <w:r>
        <w:t>pxxiii</w:t>
      </w:r>
      <w:proofErr w:type="spellEnd"/>
    </w:p>
  </w:footnote>
  <w:footnote w:id="2">
    <w:p w14:paraId="726C4C8C" w14:textId="41760872" w:rsidR="005C149F" w:rsidRDefault="005C149F">
      <w:pPr>
        <w:pStyle w:val="FootnoteText"/>
      </w:pPr>
      <w:r>
        <w:rPr>
          <w:rStyle w:val="FootnoteReference"/>
        </w:rPr>
        <w:footnoteRef/>
      </w:r>
      <w:r>
        <w:t xml:space="preserve"> Ibid, p iv</w:t>
      </w:r>
    </w:p>
  </w:footnote>
  <w:footnote w:id="3">
    <w:p w14:paraId="13B94C2B" w14:textId="682ED5FA" w:rsidR="005C149F" w:rsidRDefault="005C149F" w:rsidP="0047695D">
      <w:pPr>
        <w:pStyle w:val="FootnoteText"/>
      </w:pPr>
      <w:r>
        <w:rPr>
          <w:rStyle w:val="FootnoteReference"/>
        </w:rPr>
        <w:footnoteRef/>
      </w:r>
      <w:r>
        <w:t>, Ibid, p xxv</w:t>
      </w:r>
    </w:p>
  </w:footnote>
  <w:footnote w:id="4">
    <w:p w14:paraId="6971CBD0" w14:textId="64B286F3" w:rsidR="005C149F" w:rsidRDefault="005C149F" w:rsidP="00FD1AED">
      <w:pPr>
        <w:pStyle w:val="FootnoteText"/>
      </w:pPr>
      <w:r>
        <w:rPr>
          <w:rStyle w:val="FootnoteReference"/>
        </w:rPr>
        <w:footnoteRef/>
      </w:r>
      <w:r>
        <w:t xml:space="preserve"> </w:t>
      </w:r>
      <w:r w:rsidRPr="00BE69D7">
        <w:t xml:space="preserve">Senator Arthur </w:t>
      </w:r>
      <w:proofErr w:type="spellStart"/>
      <w:r w:rsidRPr="00BE69D7">
        <w:t>Sinodinos</w:t>
      </w:r>
      <w:proofErr w:type="spellEnd"/>
      <w:r w:rsidRPr="00BE69D7">
        <w:t>, 'Integrity restored to Australia's taxation system'</w:t>
      </w:r>
      <w:r>
        <w:t xml:space="preserve">, </w:t>
      </w:r>
      <w:r w:rsidRPr="00BE69D7">
        <w:t>Media Release, No. 8, 14 December 2013</w:t>
      </w:r>
    </w:p>
  </w:footnote>
  <w:footnote w:id="5">
    <w:p w14:paraId="0643E46F" w14:textId="435883C5" w:rsidR="005C149F" w:rsidRDefault="005C149F" w:rsidP="00CC537B">
      <w:pPr>
        <w:pStyle w:val="FootnoteText"/>
      </w:pPr>
      <w:r>
        <w:rPr>
          <w:rStyle w:val="FootnoteReference"/>
        </w:rPr>
        <w:footnoteRef/>
      </w:r>
      <w:r>
        <w:t xml:space="preserve"> </w:t>
      </w:r>
      <w:r w:rsidRPr="00FD1AED">
        <w:rPr>
          <w:i/>
        </w:rPr>
        <w:t>Productivity Commission Research Report: Contribution of the Not-for-Profit Sector</w:t>
      </w:r>
      <w:r>
        <w:t>, January 2010, p xxv1</w:t>
      </w:r>
    </w:p>
  </w:footnote>
  <w:footnote w:id="6">
    <w:p w14:paraId="2304E3EB" w14:textId="0910A6A8" w:rsidR="005C149F" w:rsidRDefault="005C149F">
      <w:pPr>
        <w:pStyle w:val="FootnoteText"/>
      </w:pPr>
      <w:r>
        <w:rPr>
          <w:rStyle w:val="FootnoteReference"/>
        </w:rPr>
        <w:footnoteRef/>
      </w:r>
      <w:r>
        <w:t xml:space="preserve"> xxiv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8CE8C" w14:textId="77777777" w:rsidR="005C149F" w:rsidRDefault="005C14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3D89F" w14:textId="77777777" w:rsidR="005C149F" w:rsidRPr="002A18DB" w:rsidRDefault="005C149F" w:rsidP="002A18DB">
    <w:pPr>
      <w:pStyle w:val="Header"/>
    </w:pPr>
    <w:r>
      <w:tab/>
    </w:r>
    <w:r>
      <w:tab/>
    </w:r>
    <w:r>
      <w:fldChar w:fldCharType="begin"/>
    </w:r>
    <w:r>
      <w:instrText xml:space="preserve"> PAGE   \* MERGEFORMAT </w:instrText>
    </w:r>
    <w:r>
      <w:fldChar w:fldCharType="separate"/>
    </w:r>
    <w:r w:rsidR="00B039E3">
      <w:rPr>
        <w:noProof/>
      </w:rPr>
      <w:t>7</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0AEC6" w14:textId="77777777" w:rsidR="005C149F" w:rsidRDefault="005C149F" w:rsidP="00690A24">
    <w:pPr>
      <w:pStyle w:val="Header"/>
      <w:tabs>
        <w:tab w:val="clear" w:pos="4513"/>
        <w:tab w:val="clear" w:pos="9026"/>
        <w:tab w:val="right" w:pos="9639"/>
      </w:tabs>
      <w:ind w:right="-1135"/>
      <w:jc w:val="right"/>
    </w:pPr>
    <w:r>
      <w:rPr>
        <w:noProof/>
        <w:lang w:eastAsia="en-AU"/>
      </w:rPr>
      <w:drawing>
        <wp:inline distT="0" distB="0" distL="0" distR="0" wp14:anchorId="5F1CB2A7" wp14:editId="6AFE997E">
          <wp:extent cx="1769445" cy="9562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3266" cy="969173"/>
                  </a:xfrm>
                  <a:prstGeom prst="rect">
                    <a:avLst/>
                  </a:prstGeom>
                </pic:spPr>
              </pic:pic>
            </a:graphicData>
          </a:graphic>
        </wp:inline>
      </w:drawing>
    </w:r>
  </w:p>
  <w:p w14:paraId="3BCDA90A" w14:textId="77777777" w:rsidR="005C149F" w:rsidRDefault="005C149F" w:rsidP="00690A24">
    <w:pPr>
      <w:pStyle w:val="Header"/>
      <w:tabs>
        <w:tab w:val="clear" w:pos="4513"/>
        <w:tab w:val="clear" w:pos="9026"/>
        <w:tab w:val="right" w:pos="9639"/>
      </w:tabs>
      <w:ind w:right="-1135"/>
      <w:jc w:val="right"/>
    </w:pPr>
    <w:r>
      <w:rPr>
        <w:noProof/>
        <w:lang w:eastAsia="en-AU"/>
      </w:rPr>
      <mc:AlternateContent>
        <mc:Choice Requires="wps">
          <w:drawing>
            <wp:anchor distT="0" distB="0" distL="114300" distR="114300" simplePos="0" relativeHeight="251659264" behindDoc="0" locked="0" layoutInCell="1" allowOverlap="1" wp14:anchorId="44535509" wp14:editId="4BF2013A">
              <wp:simplePos x="0" y="0"/>
              <wp:positionH relativeFrom="column">
                <wp:posOffset>3848735</wp:posOffset>
              </wp:positionH>
              <wp:positionV relativeFrom="paragraph">
                <wp:posOffset>89535</wp:posOffset>
              </wp:positionV>
              <wp:extent cx="2061210" cy="89281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61210" cy="8928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5E870" w14:textId="77777777" w:rsidR="005C149F" w:rsidRPr="004874BB" w:rsidRDefault="005C149F" w:rsidP="00524A93">
                          <w:pPr>
                            <w:spacing w:line="160" w:lineRule="atLeast"/>
                            <w:jc w:val="right"/>
                            <w:rPr>
                              <w:rFonts w:ascii="Vaud" w:hAnsi="Vaud"/>
                              <w:sz w:val="14"/>
                              <w:szCs w:val="14"/>
                            </w:rPr>
                          </w:pPr>
                          <w:r w:rsidRPr="004874BB">
                            <w:rPr>
                              <w:rFonts w:ascii="Vaud" w:hAnsi="Vaud"/>
                              <w:b/>
                              <w:sz w:val="14"/>
                              <w:szCs w:val="14"/>
                            </w:rPr>
                            <w:t>T</w:t>
                          </w:r>
                          <w:r w:rsidRPr="004874BB">
                            <w:rPr>
                              <w:rFonts w:ascii="Vaud" w:hAnsi="Vaud"/>
                              <w:sz w:val="14"/>
                              <w:szCs w:val="14"/>
                            </w:rPr>
                            <w:t xml:space="preserve"> +61 </w:t>
                          </w:r>
                          <w:r>
                            <w:rPr>
                              <w:rFonts w:ascii="Vaud" w:hAnsi="Vaud"/>
                              <w:sz w:val="14"/>
                              <w:szCs w:val="14"/>
                            </w:rPr>
                            <w:t xml:space="preserve">2 </w:t>
                          </w:r>
                          <w:r w:rsidRPr="004874BB">
                            <w:rPr>
                              <w:rFonts w:ascii="Vaud" w:hAnsi="Vaud"/>
                              <w:sz w:val="14"/>
                              <w:szCs w:val="14"/>
                            </w:rPr>
                            <w:t xml:space="preserve">9223 5744 </w:t>
                          </w:r>
                          <w:r w:rsidRPr="004874BB">
                            <w:rPr>
                              <w:rFonts w:ascii="Vaud" w:hAnsi="Vaud"/>
                              <w:b/>
                              <w:sz w:val="14"/>
                              <w:szCs w:val="14"/>
                            </w:rPr>
                            <w:t>F</w:t>
                          </w:r>
                          <w:r w:rsidRPr="004874BB">
                            <w:rPr>
                              <w:rFonts w:ascii="Vaud" w:hAnsi="Vaud"/>
                              <w:sz w:val="14"/>
                              <w:szCs w:val="14"/>
                            </w:rPr>
                            <w:t xml:space="preserve"> +61</w:t>
                          </w:r>
                          <w:r>
                            <w:rPr>
                              <w:rFonts w:ascii="Vaud" w:hAnsi="Vaud"/>
                              <w:sz w:val="14"/>
                              <w:szCs w:val="14"/>
                            </w:rPr>
                            <w:t xml:space="preserve"> 2</w:t>
                          </w:r>
                          <w:r w:rsidRPr="004874BB">
                            <w:rPr>
                              <w:rFonts w:ascii="Vaud" w:hAnsi="Vaud"/>
                              <w:sz w:val="14"/>
                              <w:szCs w:val="14"/>
                            </w:rPr>
                            <w:t xml:space="preserve"> 9232 7174</w:t>
                          </w:r>
                        </w:p>
                        <w:p w14:paraId="2F52C66A" w14:textId="77777777" w:rsidR="005C149F" w:rsidRPr="004874BB" w:rsidRDefault="005C149F" w:rsidP="00524A93">
                          <w:pPr>
                            <w:spacing w:line="160" w:lineRule="atLeast"/>
                            <w:jc w:val="right"/>
                            <w:rPr>
                              <w:rFonts w:ascii="Vaud" w:hAnsi="Vaud"/>
                              <w:sz w:val="14"/>
                              <w:szCs w:val="14"/>
                            </w:rPr>
                          </w:pPr>
                          <w:r w:rsidRPr="004874BB">
                            <w:rPr>
                              <w:rFonts w:ascii="Vaud" w:hAnsi="Vaud"/>
                              <w:b/>
                              <w:sz w:val="14"/>
                              <w:szCs w:val="14"/>
                            </w:rPr>
                            <w:t>E</w:t>
                          </w:r>
                          <w:r w:rsidRPr="004874BB">
                            <w:rPr>
                              <w:rFonts w:ascii="Vaud" w:hAnsi="Vaud"/>
                              <w:sz w:val="14"/>
                              <w:szCs w:val="14"/>
                            </w:rPr>
                            <w:t xml:space="preserve"> </w:t>
                          </w:r>
                          <w:hyperlink r:id="rId2" w:history="1">
                            <w:r w:rsidRPr="00CC36C5">
                              <w:rPr>
                                <w:rStyle w:val="Hyperlink"/>
                                <w:rFonts w:ascii="Vaud" w:hAnsi="Vaud"/>
                                <w:color w:val="auto"/>
                                <w:sz w:val="14"/>
                                <w:szCs w:val="14"/>
                                <w:u w:val="none"/>
                              </w:rPr>
                              <w:t>info@governanceinstitute.com.au</w:t>
                            </w:r>
                          </w:hyperlink>
                        </w:p>
                        <w:p w14:paraId="15928D0E" w14:textId="77777777" w:rsidR="005C149F" w:rsidRPr="004874BB" w:rsidRDefault="005C149F" w:rsidP="00524A93">
                          <w:pPr>
                            <w:spacing w:line="160" w:lineRule="atLeast"/>
                            <w:jc w:val="right"/>
                            <w:rPr>
                              <w:rFonts w:ascii="Vaud" w:hAnsi="Vaud"/>
                              <w:sz w:val="14"/>
                              <w:szCs w:val="14"/>
                            </w:rPr>
                          </w:pPr>
                          <w:r w:rsidRPr="004874BB">
                            <w:rPr>
                              <w:rFonts w:ascii="Vaud" w:hAnsi="Vaud"/>
                              <w:sz w:val="14"/>
                              <w:szCs w:val="14"/>
                            </w:rPr>
                            <w:t>Level 10, 5 Hunter Street, Sydney NSW 2000</w:t>
                          </w:r>
                        </w:p>
                        <w:p w14:paraId="3239FC92" w14:textId="77777777" w:rsidR="005C149F" w:rsidRPr="004874BB" w:rsidRDefault="005C149F" w:rsidP="00524A93">
                          <w:pPr>
                            <w:spacing w:line="160" w:lineRule="atLeast"/>
                            <w:jc w:val="right"/>
                            <w:rPr>
                              <w:rFonts w:ascii="Vaud" w:hAnsi="Vaud"/>
                              <w:sz w:val="14"/>
                              <w:szCs w:val="14"/>
                            </w:rPr>
                          </w:pPr>
                          <w:r w:rsidRPr="004874BB">
                            <w:rPr>
                              <w:rFonts w:ascii="Vaud" w:hAnsi="Vaud"/>
                              <w:sz w:val="14"/>
                              <w:szCs w:val="14"/>
                            </w:rPr>
                            <w:t>GPO Box 1594, Sydney NSW 2001</w:t>
                          </w:r>
                        </w:p>
                        <w:p w14:paraId="759B4680" w14:textId="77777777" w:rsidR="005C149F" w:rsidRPr="004874BB" w:rsidRDefault="005C149F" w:rsidP="00524A93">
                          <w:pPr>
                            <w:spacing w:line="160" w:lineRule="atLeast"/>
                            <w:jc w:val="right"/>
                            <w:rPr>
                              <w:rFonts w:ascii="Vaud" w:hAnsi="Vaud"/>
                              <w:sz w:val="14"/>
                              <w:szCs w:val="14"/>
                            </w:rPr>
                          </w:pPr>
                          <w:r w:rsidRPr="004874BB">
                            <w:rPr>
                              <w:rFonts w:ascii="Vaud" w:hAnsi="Vaud"/>
                              <w:b/>
                              <w:sz w:val="14"/>
                              <w:szCs w:val="14"/>
                            </w:rPr>
                            <w:t>W</w:t>
                          </w:r>
                          <w:r w:rsidRPr="004874BB">
                            <w:rPr>
                              <w:rFonts w:ascii="Vaud" w:hAnsi="Vaud"/>
                              <w:sz w:val="14"/>
                              <w:szCs w:val="14"/>
                            </w:rPr>
                            <w:t xml:space="preserve"> governanceinstitute.com.au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 Box 2" o:spid="_x0000_s1026" type="#_x0000_t202" style="position:absolute;left:0;text-align:left;margin-left:303.05pt;margin-top:7.05pt;width:162.3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" fillcolor="white [3201]" stroked="f" strokeweight=".5pt">
              <v:path arrowok="t"/>
              <v:textbox>
                <w:txbxContent>
                  <w:p w14:paraId="1E25E870" w14:textId="77777777" w:rsidR="00501904" w:rsidRPr="004874BB" w:rsidRDefault="00501904" w:rsidP="00524A93">
                    <w:pPr>
                      <w:spacing w:line="160" w:lineRule="atLeast"/>
                      <w:jc w:val="right"/>
                      <w:rPr>
                        <w:rFonts w:ascii="Vaud" w:hAnsi="Vaud"/>
                        <w:sz w:val="14"/>
                        <w:szCs w:val="14"/>
                      </w:rPr>
                    </w:pPr>
                    <w:r w:rsidRPr="004874BB">
                      <w:rPr>
                        <w:rFonts w:ascii="Vaud" w:hAnsi="Vaud"/>
                        <w:b/>
                        <w:sz w:val="14"/>
                        <w:szCs w:val="14"/>
                      </w:rPr>
                      <w:t>T</w:t>
                    </w:r>
                    <w:r w:rsidRPr="004874BB">
                      <w:rPr>
                        <w:rFonts w:ascii="Vaud" w:hAnsi="Vaud"/>
                        <w:sz w:val="14"/>
                        <w:szCs w:val="14"/>
                      </w:rPr>
                      <w:t xml:space="preserve"> +61 </w:t>
                    </w:r>
                    <w:r>
                      <w:rPr>
                        <w:rFonts w:ascii="Vaud" w:hAnsi="Vaud"/>
                        <w:sz w:val="14"/>
                        <w:szCs w:val="14"/>
                      </w:rPr>
                      <w:t xml:space="preserve">2 </w:t>
                    </w:r>
                    <w:r w:rsidRPr="004874BB">
                      <w:rPr>
                        <w:rFonts w:ascii="Vaud" w:hAnsi="Vaud"/>
                        <w:sz w:val="14"/>
                        <w:szCs w:val="14"/>
                      </w:rPr>
                      <w:t xml:space="preserve">9223 5744 </w:t>
                    </w:r>
                    <w:r w:rsidRPr="004874BB">
                      <w:rPr>
                        <w:rFonts w:ascii="Vaud" w:hAnsi="Vaud"/>
                        <w:b/>
                        <w:sz w:val="14"/>
                        <w:szCs w:val="14"/>
                      </w:rPr>
                      <w:t>F</w:t>
                    </w:r>
                    <w:r w:rsidRPr="004874BB">
                      <w:rPr>
                        <w:rFonts w:ascii="Vaud" w:hAnsi="Vaud"/>
                        <w:sz w:val="14"/>
                        <w:szCs w:val="14"/>
                      </w:rPr>
                      <w:t xml:space="preserve"> +61</w:t>
                    </w:r>
                    <w:r>
                      <w:rPr>
                        <w:rFonts w:ascii="Vaud" w:hAnsi="Vaud"/>
                        <w:sz w:val="14"/>
                        <w:szCs w:val="14"/>
                      </w:rPr>
                      <w:t xml:space="preserve"> 2</w:t>
                    </w:r>
                    <w:r w:rsidRPr="004874BB">
                      <w:rPr>
                        <w:rFonts w:ascii="Vaud" w:hAnsi="Vaud"/>
                        <w:sz w:val="14"/>
                        <w:szCs w:val="14"/>
                      </w:rPr>
                      <w:t xml:space="preserve"> 9232 7174</w:t>
                    </w:r>
                  </w:p>
                  <w:p w14:paraId="2F52C66A" w14:textId="77777777" w:rsidR="00501904" w:rsidRPr="004874BB" w:rsidRDefault="00501904" w:rsidP="00524A93">
                    <w:pPr>
                      <w:spacing w:line="160" w:lineRule="atLeast"/>
                      <w:jc w:val="right"/>
                      <w:rPr>
                        <w:rFonts w:ascii="Vaud" w:hAnsi="Vaud"/>
                        <w:sz w:val="14"/>
                        <w:szCs w:val="14"/>
                      </w:rPr>
                    </w:pPr>
                    <w:r w:rsidRPr="004874BB">
                      <w:rPr>
                        <w:rFonts w:ascii="Vaud" w:hAnsi="Vaud"/>
                        <w:b/>
                        <w:sz w:val="14"/>
                        <w:szCs w:val="14"/>
                      </w:rPr>
                      <w:t>E</w:t>
                    </w:r>
                    <w:r w:rsidRPr="004874BB">
                      <w:rPr>
                        <w:rFonts w:ascii="Vaud" w:hAnsi="Vaud"/>
                        <w:sz w:val="14"/>
                        <w:szCs w:val="14"/>
                      </w:rPr>
                      <w:t xml:space="preserve"> </w:t>
                    </w:r>
                    <w:hyperlink r:id="rId3" w:history="1">
                      <w:r w:rsidRPr="00CC36C5">
                        <w:rPr>
                          <w:rStyle w:val="Hyperlink"/>
                          <w:rFonts w:ascii="Vaud" w:hAnsi="Vaud"/>
                          <w:color w:val="auto"/>
                          <w:sz w:val="14"/>
                          <w:szCs w:val="14"/>
                          <w:u w:val="none"/>
                        </w:rPr>
                        <w:t>info@governanceinstitute.com.au</w:t>
                      </w:r>
                    </w:hyperlink>
                  </w:p>
                  <w:p w14:paraId="15928D0E" w14:textId="77777777" w:rsidR="00501904" w:rsidRPr="004874BB" w:rsidRDefault="00501904" w:rsidP="00524A93">
                    <w:pPr>
                      <w:spacing w:line="160" w:lineRule="atLeast"/>
                      <w:jc w:val="right"/>
                      <w:rPr>
                        <w:rFonts w:ascii="Vaud" w:hAnsi="Vaud"/>
                        <w:sz w:val="14"/>
                        <w:szCs w:val="14"/>
                      </w:rPr>
                    </w:pPr>
                    <w:r w:rsidRPr="004874BB">
                      <w:rPr>
                        <w:rFonts w:ascii="Vaud" w:hAnsi="Vaud"/>
                        <w:sz w:val="14"/>
                        <w:szCs w:val="14"/>
                      </w:rPr>
                      <w:t>Level 10, 5 Hunter Street, Sydney NSW 2000</w:t>
                    </w:r>
                  </w:p>
                  <w:p w14:paraId="3239FC92" w14:textId="77777777" w:rsidR="00501904" w:rsidRPr="004874BB" w:rsidRDefault="00501904" w:rsidP="00524A93">
                    <w:pPr>
                      <w:spacing w:line="160" w:lineRule="atLeast"/>
                      <w:jc w:val="right"/>
                      <w:rPr>
                        <w:rFonts w:ascii="Vaud" w:hAnsi="Vaud"/>
                        <w:sz w:val="14"/>
                        <w:szCs w:val="14"/>
                      </w:rPr>
                    </w:pPr>
                    <w:r w:rsidRPr="004874BB">
                      <w:rPr>
                        <w:rFonts w:ascii="Vaud" w:hAnsi="Vaud"/>
                        <w:sz w:val="14"/>
                        <w:szCs w:val="14"/>
                      </w:rPr>
                      <w:t>GPO Box 1594, Sydney NSW 2001</w:t>
                    </w:r>
                  </w:p>
                  <w:p w14:paraId="759B4680" w14:textId="77777777" w:rsidR="00501904" w:rsidRPr="004874BB" w:rsidRDefault="00501904" w:rsidP="00524A93">
                    <w:pPr>
                      <w:spacing w:line="160" w:lineRule="atLeast"/>
                      <w:jc w:val="right"/>
                      <w:rPr>
                        <w:rFonts w:ascii="Vaud" w:hAnsi="Vaud"/>
                        <w:sz w:val="14"/>
                        <w:szCs w:val="14"/>
                      </w:rPr>
                    </w:pPr>
                    <w:r w:rsidRPr="004874BB">
                      <w:rPr>
                        <w:rFonts w:ascii="Vaud" w:hAnsi="Vaud"/>
                        <w:b/>
                        <w:sz w:val="14"/>
                        <w:szCs w:val="14"/>
                      </w:rPr>
                      <w:t>W</w:t>
                    </w:r>
                    <w:r w:rsidRPr="004874BB">
                      <w:rPr>
                        <w:rFonts w:ascii="Vaud" w:hAnsi="Vaud"/>
                        <w:sz w:val="14"/>
                        <w:szCs w:val="14"/>
                      </w:rPr>
                      <w:t xml:space="preserve"> governanceinstitute.com.au</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1D12"/>
    <w:multiLevelType w:val="hybridMultilevel"/>
    <w:tmpl w:val="628854D2"/>
    <w:lvl w:ilvl="0" w:tplc="64A6A688">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
    <w:nsid w:val="06360313"/>
    <w:multiLevelType w:val="hybridMultilevel"/>
    <w:tmpl w:val="20D022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76068E"/>
    <w:multiLevelType w:val="multilevel"/>
    <w:tmpl w:val="46720C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153DBE"/>
    <w:multiLevelType w:val="hybridMultilevel"/>
    <w:tmpl w:val="AE2AF5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0BA0275"/>
    <w:multiLevelType w:val="hybridMultilevel"/>
    <w:tmpl w:val="E8D4B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71B4700"/>
    <w:multiLevelType w:val="hybridMultilevel"/>
    <w:tmpl w:val="0C9CF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E1E5541"/>
    <w:multiLevelType w:val="hybridMultilevel"/>
    <w:tmpl w:val="C26647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B1226EB"/>
    <w:multiLevelType w:val="hybridMultilevel"/>
    <w:tmpl w:val="A1C47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D0168D1"/>
    <w:multiLevelType w:val="hybridMultilevel"/>
    <w:tmpl w:val="AC3864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D173147"/>
    <w:multiLevelType w:val="hybridMultilevel"/>
    <w:tmpl w:val="6916D5BE"/>
    <w:lvl w:ilvl="0" w:tplc="0C090017">
      <w:start w:val="1"/>
      <w:numFmt w:val="lowerLetter"/>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533A0F6D"/>
    <w:multiLevelType w:val="hybridMultilevel"/>
    <w:tmpl w:val="D8303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A3407DE"/>
    <w:multiLevelType w:val="hybridMultilevel"/>
    <w:tmpl w:val="0A64167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BFD2686"/>
    <w:multiLevelType w:val="hybridMultilevel"/>
    <w:tmpl w:val="532AF9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53662DC"/>
    <w:multiLevelType w:val="hybridMultilevel"/>
    <w:tmpl w:val="A21CA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8D00518"/>
    <w:multiLevelType w:val="hybridMultilevel"/>
    <w:tmpl w:val="381AA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10"/>
  </w:num>
  <w:num w:numId="5">
    <w:abstractNumId w:val="11"/>
  </w:num>
  <w:num w:numId="6">
    <w:abstractNumId w:val="0"/>
  </w:num>
  <w:num w:numId="7">
    <w:abstractNumId w:val="6"/>
  </w:num>
  <w:num w:numId="8">
    <w:abstractNumId w:val="2"/>
  </w:num>
  <w:num w:numId="9">
    <w:abstractNumId w:val="7"/>
  </w:num>
  <w:num w:numId="10">
    <w:abstractNumId w:val="14"/>
  </w:num>
  <w:num w:numId="11">
    <w:abstractNumId w:val="4"/>
  </w:num>
  <w:num w:numId="12">
    <w:abstractNumId w:val="13"/>
  </w:num>
  <w:num w:numId="13">
    <w:abstractNumId w:val="5"/>
  </w:num>
  <w:num w:numId="14">
    <w:abstractNumId w:val="3"/>
  </w:num>
  <w:num w:numId="15">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Studd">
    <w15:presenceInfo w15:providerId="Windows Live" w15:userId="f49e37d22c17d6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A2A"/>
    <w:rsid w:val="000137AE"/>
    <w:rsid w:val="000222EC"/>
    <w:rsid w:val="00056986"/>
    <w:rsid w:val="000602C7"/>
    <w:rsid w:val="00082929"/>
    <w:rsid w:val="00094504"/>
    <w:rsid w:val="000A7DEE"/>
    <w:rsid w:val="000B6FA2"/>
    <w:rsid w:val="000E5D5F"/>
    <w:rsid w:val="000E6C86"/>
    <w:rsid w:val="0010380E"/>
    <w:rsid w:val="00104D56"/>
    <w:rsid w:val="00121DB2"/>
    <w:rsid w:val="0012480E"/>
    <w:rsid w:val="001307C7"/>
    <w:rsid w:val="00144DC0"/>
    <w:rsid w:val="00151142"/>
    <w:rsid w:val="00157E92"/>
    <w:rsid w:val="00161061"/>
    <w:rsid w:val="00167774"/>
    <w:rsid w:val="001A1123"/>
    <w:rsid w:val="001A53C9"/>
    <w:rsid w:val="001B322B"/>
    <w:rsid w:val="001C0D69"/>
    <w:rsid w:val="001E4FB1"/>
    <w:rsid w:val="001F265A"/>
    <w:rsid w:val="0023720D"/>
    <w:rsid w:val="00241098"/>
    <w:rsid w:val="00252D26"/>
    <w:rsid w:val="0028571D"/>
    <w:rsid w:val="00297865"/>
    <w:rsid w:val="002A18DB"/>
    <w:rsid w:val="002B0F2A"/>
    <w:rsid w:val="002B20BE"/>
    <w:rsid w:val="002B2FAA"/>
    <w:rsid w:val="002C062A"/>
    <w:rsid w:val="002D6AF4"/>
    <w:rsid w:val="002E781F"/>
    <w:rsid w:val="002F1713"/>
    <w:rsid w:val="003144A4"/>
    <w:rsid w:val="003212B3"/>
    <w:rsid w:val="00322DFD"/>
    <w:rsid w:val="00331C69"/>
    <w:rsid w:val="0033335C"/>
    <w:rsid w:val="00344AC7"/>
    <w:rsid w:val="00347E55"/>
    <w:rsid w:val="003570A1"/>
    <w:rsid w:val="003718A2"/>
    <w:rsid w:val="0039611D"/>
    <w:rsid w:val="003A2051"/>
    <w:rsid w:val="003C23E2"/>
    <w:rsid w:val="003E46F4"/>
    <w:rsid w:val="003F36F6"/>
    <w:rsid w:val="003F3B58"/>
    <w:rsid w:val="003F48D6"/>
    <w:rsid w:val="00405D03"/>
    <w:rsid w:val="00413139"/>
    <w:rsid w:val="00424D42"/>
    <w:rsid w:val="00426067"/>
    <w:rsid w:val="004415F8"/>
    <w:rsid w:val="0044598F"/>
    <w:rsid w:val="00456176"/>
    <w:rsid w:val="004576FE"/>
    <w:rsid w:val="0047695D"/>
    <w:rsid w:val="00481AE9"/>
    <w:rsid w:val="004874BB"/>
    <w:rsid w:val="004B2C6F"/>
    <w:rsid w:val="004B45DD"/>
    <w:rsid w:val="004C0D9B"/>
    <w:rsid w:val="004C343F"/>
    <w:rsid w:val="004C4A8D"/>
    <w:rsid w:val="004C655A"/>
    <w:rsid w:val="004D0429"/>
    <w:rsid w:val="004E5863"/>
    <w:rsid w:val="00501904"/>
    <w:rsid w:val="0050507D"/>
    <w:rsid w:val="00514713"/>
    <w:rsid w:val="00514997"/>
    <w:rsid w:val="00520D9A"/>
    <w:rsid w:val="00524A93"/>
    <w:rsid w:val="0052605B"/>
    <w:rsid w:val="00531947"/>
    <w:rsid w:val="00545B1D"/>
    <w:rsid w:val="00552EEE"/>
    <w:rsid w:val="0056002E"/>
    <w:rsid w:val="005657C2"/>
    <w:rsid w:val="00572DB0"/>
    <w:rsid w:val="00573E63"/>
    <w:rsid w:val="00587116"/>
    <w:rsid w:val="00597B19"/>
    <w:rsid w:val="005A3A76"/>
    <w:rsid w:val="005B0062"/>
    <w:rsid w:val="005B1C01"/>
    <w:rsid w:val="005C149F"/>
    <w:rsid w:val="005E352D"/>
    <w:rsid w:val="005E3CCC"/>
    <w:rsid w:val="005E4B1C"/>
    <w:rsid w:val="005F3609"/>
    <w:rsid w:val="00603844"/>
    <w:rsid w:val="00611550"/>
    <w:rsid w:val="0062414B"/>
    <w:rsid w:val="00634D65"/>
    <w:rsid w:val="006418DF"/>
    <w:rsid w:val="006438C5"/>
    <w:rsid w:val="00647564"/>
    <w:rsid w:val="00652273"/>
    <w:rsid w:val="00677FEE"/>
    <w:rsid w:val="00690A24"/>
    <w:rsid w:val="00696B1E"/>
    <w:rsid w:val="006A2CFF"/>
    <w:rsid w:val="006A6AF2"/>
    <w:rsid w:val="006B025D"/>
    <w:rsid w:val="006D57A8"/>
    <w:rsid w:val="006E1182"/>
    <w:rsid w:val="006E66DF"/>
    <w:rsid w:val="0070123E"/>
    <w:rsid w:val="00704495"/>
    <w:rsid w:val="00706A5A"/>
    <w:rsid w:val="00706A5F"/>
    <w:rsid w:val="00710285"/>
    <w:rsid w:val="00710E73"/>
    <w:rsid w:val="007157E1"/>
    <w:rsid w:val="0073035E"/>
    <w:rsid w:val="007620C1"/>
    <w:rsid w:val="007643DC"/>
    <w:rsid w:val="007645B4"/>
    <w:rsid w:val="00770650"/>
    <w:rsid w:val="00772EB0"/>
    <w:rsid w:val="00773488"/>
    <w:rsid w:val="00775BDD"/>
    <w:rsid w:val="00781BCA"/>
    <w:rsid w:val="00783B6C"/>
    <w:rsid w:val="00796FCA"/>
    <w:rsid w:val="00797847"/>
    <w:rsid w:val="007B6050"/>
    <w:rsid w:val="007D0225"/>
    <w:rsid w:val="007D570B"/>
    <w:rsid w:val="00814289"/>
    <w:rsid w:val="00834B2F"/>
    <w:rsid w:val="008564AA"/>
    <w:rsid w:val="00861693"/>
    <w:rsid w:val="00875DB6"/>
    <w:rsid w:val="008A0590"/>
    <w:rsid w:val="008A3F0E"/>
    <w:rsid w:val="008B3776"/>
    <w:rsid w:val="008C0378"/>
    <w:rsid w:val="008D12EB"/>
    <w:rsid w:val="008D5FF9"/>
    <w:rsid w:val="008D6204"/>
    <w:rsid w:val="008E6405"/>
    <w:rsid w:val="008E6647"/>
    <w:rsid w:val="008E788B"/>
    <w:rsid w:val="008F4154"/>
    <w:rsid w:val="00904D79"/>
    <w:rsid w:val="0091490E"/>
    <w:rsid w:val="009209CF"/>
    <w:rsid w:val="00935355"/>
    <w:rsid w:val="009407EA"/>
    <w:rsid w:val="0096420D"/>
    <w:rsid w:val="00967221"/>
    <w:rsid w:val="00970DAD"/>
    <w:rsid w:val="00976240"/>
    <w:rsid w:val="009776AD"/>
    <w:rsid w:val="009820FE"/>
    <w:rsid w:val="00990539"/>
    <w:rsid w:val="009B2AFD"/>
    <w:rsid w:val="009D19BD"/>
    <w:rsid w:val="009D4B28"/>
    <w:rsid w:val="009D62A0"/>
    <w:rsid w:val="009D7219"/>
    <w:rsid w:val="00A056CF"/>
    <w:rsid w:val="00A05A4B"/>
    <w:rsid w:val="00A06270"/>
    <w:rsid w:val="00A11F77"/>
    <w:rsid w:val="00A159E8"/>
    <w:rsid w:val="00A40778"/>
    <w:rsid w:val="00A4635D"/>
    <w:rsid w:val="00A70323"/>
    <w:rsid w:val="00A75F86"/>
    <w:rsid w:val="00A77C6D"/>
    <w:rsid w:val="00A921EE"/>
    <w:rsid w:val="00AA1204"/>
    <w:rsid w:val="00AA4C1F"/>
    <w:rsid w:val="00AB3AF6"/>
    <w:rsid w:val="00AB4614"/>
    <w:rsid w:val="00AB643A"/>
    <w:rsid w:val="00AC468D"/>
    <w:rsid w:val="00AE4459"/>
    <w:rsid w:val="00AE7005"/>
    <w:rsid w:val="00AF7721"/>
    <w:rsid w:val="00B039E3"/>
    <w:rsid w:val="00B04C7A"/>
    <w:rsid w:val="00B12C55"/>
    <w:rsid w:val="00B14751"/>
    <w:rsid w:val="00B303D9"/>
    <w:rsid w:val="00B433C6"/>
    <w:rsid w:val="00B4449A"/>
    <w:rsid w:val="00B6050E"/>
    <w:rsid w:val="00B65D71"/>
    <w:rsid w:val="00B67189"/>
    <w:rsid w:val="00BA3770"/>
    <w:rsid w:val="00BD0AB3"/>
    <w:rsid w:val="00BD0D3B"/>
    <w:rsid w:val="00BD56B5"/>
    <w:rsid w:val="00BD60E2"/>
    <w:rsid w:val="00BE69D7"/>
    <w:rsid w:val="00BE6FD8"/>
    <w:rsid w:val="00C05FEB"/>
    <w:rsid w:val="00C1263C"/>
    <w:rsid w:val="00C40D04"/>
    <w:rsid w:val="00C42ED7"/>
    <w:rsid w:val="00C4739F"/>
    <w:rsid w:val="00C54A56"/>
    <w:rsid w:val="00C8113D"/>
    <w:rsid w:val="00C951D6"/>
    <w:rsid w:val="00CB4396"/>
    <w:rsid w:val="00CC36C5"/>
    <w:rsid w:val="00CC3FF3"/>
    <w:rsid w:val="00CC537B"/>
    <w:rsid w:val="00CC700F"/>
    <w:rsid w:val="00CD25C6"/>
    <w:rsid w:val="00CD2A76"/>
    <w:rsid w:val="00CD516E"/>
    <w:rsid w:val="00CD6BD7"/>
    <w:rsid w:val="00D0428B"/>
    <w:rsid w:val="00D060B0"/>
    <w:rsid w:val="00D12CF8"/>
    <w:rsid w:val="00D46688"/>
    <w:rsid w:val="00D4701A"/>
    <w:rsid w:val="00D6418C"/>
    <w:rsid w:val="00D701DF"/>
    <w:rsid w:val="00D97245"/>
    <w:rsid w:val="00DC1999"/>
    <w:rsid w:val="00DE18B1"/>
    <w:rsid w:val="00DE1C54"/>
    <w:rsid w:val="00DE2A2A"/>
    <w:rsid w:val="00DE56C6"/>
    <w:rsid w:val="00DE5F4B"/>
    <w:rsid w:val="00E066B8"/>
    <w:rsid w:val="00E070BF"/>
    <w:rsid w:val="00E4525C"/>
    <w:rsid w:val="00E46BBE"/>
    <w:rsid w:val="00E63E15"/>
    <w:rsid w:val="00E64169"/>
    <w:rsid w:val="00E8750D"/>
    <w:rsid w:val="00E950D2"/>
    <w:rsid w:val="00EB1B38"/>
    <w:rsid w:val="00EB7700"/>
    <w:rsid w:val="00EC0CFD"/>
    <w:rsid w:val="00ED2063"/>
    <w:rsid w:val="00ED6621"/>
    <w:rsid w:val="00EF7DE4"/>
    <w:rsid w:val="00F00DFE"/>
    <w:rsid w:val="00F00F27"/>
    <w:rsid w:val="00F23DCC"/>
    <w:rsid w:val="00F34212"/>
    <w:rsid w:val="00F37C82"/>
    <w:rsid w:val="00F43491"/>
    <w:rsid w:val="00F57DF8"/>
    <w:rsid w:val="00F60C15"/>
    <w:rsid w:val="00F61EEC"/>
    <w:rsid w:val="00F657DA"/>
    <w:rsid w:val="00F70FE0"/>
    <w:rsid w:val="00F77370"/>
    <w:rsid w:val="00F83BE9"/>
    <w:rsid w:val="00F87663"/>
    <w:rsid w:val="00F96058"/>
    <w:rsid w:val="00F9699E"/>
    <w:rsid w:val="00FA1507"/>
    <w:rsid w:val="00FA243C"/>
    <w:rsid w:val="00FC538F"/>
    <w:rsid w:val="00FD1AED"/>
    <w:rsid w:val="00FD251C"/>
    <w:rsid w:val="00FD6585"/>
    <w:rsid w:val="00FD6F42"/>
    <w:rsid w:val="00FF1CC7"/>
    <w:rsid w:val="00FF2C59"/>
    <w:rsid w:val="00FF4119"/>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4F5FE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061"/>
    <w:pPr>
      <w:spacing w:after="0" w:line="240" w:lineRule="atLeast"/>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
    <w:name w:val="tt"/>
    <w:rsid w:val="000602C7"/>
    <w:pPr>
      <w:spacing w:after="0" w:line="240" w:lineRule="auto"/>
    </w:pPr>
    <w:rPr>
      <w:rFonts w:ascii="Arial" w:eastAsia="Times New Roman" w:hAnsi="Arial" w:cs="Times New Roman"/>
      <w:color w:val="000000"/>
      <w:sz w:val="18"/>
      <w:szCs w:val="20"/>
      <w:lang w:val="en-US"/>
    </w:rPr>
  </w:style>
  <w:style w:type="paragraph" w:styleId="Header">
    <w:name w:val="header"/>
    <w:basedOn w:val="Normal"/>
    <w:link w:val="HeaderChar"/>
    <w:uiPriority w:val="99"/>
    <w:unhideWhenUsed/>
    <w:rsid w:val="0010380E"/>
    <w:pPr>
      <w:tabs>
        <w:tab w:val="center" w:pos="4513"/>
        <w:tab w:val="right" w:pos="9026"/>
      </w:tabs>
      <w:spacing w:line="240" w:lineRule="auto"/>
    </w:pPr>
  </w:style>
  <w:style w:type="character" w:customStyle="1" w:styleId="HeaderChar">
    <w:name w:val="Header Char"/>
    <w:basedOn w:val="DefaultParagraphFont"/>
    <w:link w:val="Header"/>
    <w:uiPriority w:val="99"/>
    <w:rsid w:val="0010380E"/>
  </w:style>
  <w:style w:type="paragraph" w:styleId="Footer">
    <w:name w:val="footer"/>
    <w:basedOn w:val="Normal"/>
    <w:link w:val="FooterChar"/>
    <w:uiPriority w:val="99"/>
    <w:unhideWhenUsed/>
    <w:rsid w:val="0010380E"/>
    <w:pPr>
      <w:tabs>
        <w:tab w:val="center" w:pos="4513"/>
        <w:tab w:val="right" w:pos="9026"/>
      </w:tabs>
      <w:spacing w:line="240" w:lineRule="auto"/>
    </w:pPr>
  </w:style>
  <w:style w:type="character" w:customStyle="1" w:styleId="FooterChar">
    <w:name w:val="Footer Char"/>
    <w:basedOn w:val="DefaultParagraphFont"/>
    <w:link w:val="Footer"/>
    <w:uiPriority w:val="99"/>
    <w:rsid w:val="0010380E"/>
  </w:style>
  <w:style w:type="paragraph" w:styleId="BalloonText">
    <w:name w:val="Balloon Text"/>
    <w:basedOn w:val="Normal"/>
    <w:link w:val="BalloonTextChar"/>
    <w:uiPriority w:val="99"/>
    <w:semiHidden/>
    <w:unhideWhenUsed/>
    <w:rsid w:val="001038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80E"/>
    <w:rPr>
      <w:rFonts w:ascii="Tahoma" w:hAnsi="Tahoma" w:cs="Tahoma"/>
      <w:sz w:val="16"/>
      <w:szCs w:val="16"/>
    </w:rPr>
  </w:style>
  <w:style w:type="paragraph" w:styleId="Subtitle">
    <w:name w:val="Subtitle"/>
    <w:basedOn w:val="Normal"/>
    <w:next w:val="Normal"/>
    <w:link w:val="SubtitleChar"/>
    <w:uiPriority w:val="11"/>
    <w:qFormat/>
    <w:rsid w:val="0010380E"/>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10380E"/>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552EEE"/>
    <w:pPr>
      <w:widowControl w:val="0"/>
      <w:autoSpaceDE w:val="0"/>
      <w:autoSpaceDN w:val="0"/>
      <w:adjustRightInd w:val="0"/>
      <w:spacing w:after="0" w:line="240" w:lineRule="auto"/>
    </w:pPr>
    <w:rPr>
      <w:rFonts w:ascii="Vaud" w:eastAsiaTheme="minorEastAsia" w:hAnsi="Vaud" w:cs="Vaud"/>
      <w:color w:val="000000"/>
      <w:sz w:val="24"/>
      <w:szCs w:val="24"/>
      <w:lang w:eastAsia="en-AU"/>
    </w:rPr>
  </w:style>
  <w:style w:type="paragraph" w:customStyle="1" w:styleId="Pa1">
    <w:name w:val="Pa1"/>
    <w:basedOn w:val="Default"/>
    <w:next w:val="Default"/>
    <w:uiPriority w:val="99"/>
    <w:rsid w:val="00552EEE"/>
    <w:pPr>
      <w:spacing w:line="241" w:lineRule="atLeast"/>
    </w:pPr>
    <w:rPr>
      <w:rFonts w:cstheme="minorBidi"/>
      <w:color w:val="auto"/>
    </w:rPr>
  </w:style>
  <w:style w:type="character" w:styleId="Hyperlink">
    <w:name w:val="Hyperlink"/>
    <w:basedOn w:val="DefaultParagraphFont"/>
    <w:uiPriority w:val="99"/>
    <w:unhideWhenUsed/>
    <w:rsid w:val="00552EEE"/>
    <w:rPr>
      <w:color w:val="0000FF" w:themeColor="hyperlink"/>
      <w:u w:val="single"/>
    </w:rPr>
  </w:style>
  <w:style w:type="paragraph" w:styleId="BodyText">
    <w:name w:val="Body Text"/>
    <w:basedOn w:val="Normal"/>
    <w:link w:val="BodyTextChar"/>
    <w:rsid w:val="00161061"/>
    <w:rPr>
      <w:szCs w:val="20"/>
      <w:lang w:val="en-US" w:eastAsia="en-AU"/>
    </w:rPr>
  </w:style>
  <w:style w:type="character" w:customStyle="1" w:styleId="BodyTextChar">
    <w:name w:val="Body Text Char"/>
    <w:basedOn w:val="DefaultParagraphFont"/>
    <w:link w:val="BodyText"/>
    <w:rsid w:val="00161061"/>
    <w:rPr>
      <w:rFonts w:ascii="Arial" w:eastAsia="Times New Roman" w:hAnsi="Arial" w:cs="Times New Roman"/>
      <w:sz w:val="20"/>
      <w:szCs w:val="20"/>
      <w:lang w:val="en-US" w:eastAsia="en-AU"/>
    </w:rPr>
  </w:style>
  <w:style w:type="paragraph" w:styleId="FootnoteText">
    <w:name w:val="footnote text"/>
    <w:basedOn w:val="Normal"/>
    <w:link w:val="FootnoteTextChar"/>
    <w:rsid w:val="00161061"/>
    <w:rPr>
      <w:szCs w:val="20"/>
    </w:rPr>
  </w:style>
  <w:style w:type="character" w:customStyle="1" w:styleId="FootnoteTextChar">
    <w:name w:val="Footnote Text Char"/>
    <w:basedOn w:val="DefaultParagraphFont"/>
    <w:link w:val="FootnoteText"/>
    <w:rsid w:val="00161061"/>
    <w:rPr>
      <w:rFonts w:ascii="Arial" w:eastAsia="Times New Roman" w:hAnsi="Arial" w:cs="Times New Roman"/>
      <w:sz w:val="20"/>
      <w:szCs w:val="20"/>
    </w:rPr>
  </w:style>
  <w:style w:type="character" w:styleId="FootnoteReference">
    <w:name w:val="footnote reference"/>
    <w:uiPriority w:val="99"/>
    <w:semiHidden/>
    <w:rsid w:val="00161061"/>
    <w:rPr>
      <w:vertAlign w:val="superscript"/>
    </w:rPr>
  </w:style>
  <w:style w:type="character" w:styleId="FollowedHyperlink">
    <w:name w:val="FollowedHyperlink"/>
    <w:basedOn w:val="DefaultParagraphFont"/>
    <w:uiPriority w:val="99"/>
    <w:semiHidden/>
    <w:unhideWhenUsed/>
    <w:rsid w:val="00B6050E"/>
    <w:rPr>
      <w:color w:val="800080" w:themeColor="followedHyperlink"/>
      <w:u w:val="single"/>
    </w:rPr>
  </w:style>
  <w:style w:type="paragraph" w:styleId="ListParagraph">
    <w:name w:val="List Paragraph"/>
    <w:basedOn w:val="Normal"/>
    <w:uiPriority w:val="34"/>
    <w:qFormat/>
    <w:rsid w:val="00CB4396"/>
    <w:pPr>
      <w:ind w:left="720"/>
      <w:contextualSpacing/>
    </w:pPr>
    <w:rPr>
      <w:rFonts w:eastAsiaTheme="minorHAnsi" w:cstheme="minorBidi"/>
      <w:szCs w:val="22"/>
    </w:rPr>
  </w:style>
  <w:style w:type="paragraph" w:styleId="EndnoteText">
    <w:name w:val="endnote text"/>
    <w:basedOn w:val="Normal"/>
    <w:link w:val="EndnoteTextChar"/>
    <w:unhideWhenUsed/>
    <w:rsid w:val="009776AD"/>
    <w:pPr>
      <w:spacing w:line="240" w:lineRule="auto"/>
    </w:pPr>
    <w:rPr>
      <w:szCs w:val="20"/>
    </w:rPr>
  </w:style>
  <w:style w:type="character" w:customStyle="1" w:styleId="EndnoteTextChar">
    <w:name w:val="Endnote Text Char"/>
    <w:basedOn w:val="DefaultParagraphFont"/>
    <w:link w:val="EndnoteText"/>
    <w:rsid w:val="009776AD"/>
    <w:rPr>
      <w:rFonts w:ascii="Arial" w:eastAsia="Times New Roman" w:hAnsi="Arial" w:cs="Times New Roman"/>
      <w:sz w:val="20"/>
      <w:szCs w:val="20"/>
    </w:rPr>
  </w:style>
  <w:style w:type="character" w:styleId="EndnoteReference">
    <w:name w:val="endnote reference"/>
    <w:basedOn w:val="DefaultParagraphFont"/>
    <w:unhideWhenUsed/>
    <w:rsid w:val="009776AD"/>
    <w:rPr>
      <w:vertAlign w:val="superscript"/>
    </w:rPr>
  </w:style>
  <w:style w:type="character" w:styleId="CommentReference">
    <w:name w:val="annotation reference"/>
    <w:basedOn w:val="DefaultParagraphFont"/>
    <w:uiPriority w:val="99"/>
    <w:semiHidden/>
    <w:unhideWhenUsed/>
    <w:rsid w:val="00331C69"/>
    <w:rPr>
      <w:sz w:val="16"/>
      <w:szCs w:val="16"/>
    </w:rPr>
  </w:style>
  <w:style w:type="paragraph" w:styleId="CommentText">
    <w:name w:val="annotation text"/>
    <w:basedOn w:val="Normal"/>
    <w:link w:val="CommentTextChar"/>
    <w:uiPriority w:val="99"/>
    <w:semiHidden/>
    <w:unhideWhenUsed/>
    <w:rsid w:val="00331C69"/>
    <w:pPr>
      <w:spacing w:line="240" w:lineRule="auto"/>
    </w:pPr>
    <w:rPr>
      <w:szCs w:val="20"/>
    </w:rPr>
  </w:style>
  <w:style w:type="character" w:customStyle="1" w:styleId="CommentTextChar">
    <w:name w:val="Comment Text Char"/>
    <w:basedOn w:val="DefaultParagraphFont"/>
    <w:link w:val="CommentText"/>
    <w:uiPriority w:val="99"/>
    <w:semiHidden/>
    <w:rsid w:val="00331C6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31C69"/>
    <w:rPr>
      <w:b/>
      <w:bCs/>
    </w:rPr>
  </w:style>
  <w:style w:type="character" w:customStyle="1" w:styleId="CommentSubjectChar">
    <w:name w:val="Comment Subject Char"/>
    <w:basedOn w:val="CommentTextChar"/>
    <w:link w:val="CommentSubject"/>
    <w:uiPriority w:val="99"/>
    <w:semiHidden/>
    <w:rsid w:val="00331C69"/>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061"/>
    <w:pPr>
      <w:spacing w:after="0" w:line="240" w:lineRule="atLeast"/>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
    <w:name w:val="tt"/>
    <w:rsid w:val="000602C7"/>
    <w:pPr>
      <w:spacing w:after="0" w:line="240" w:lineRule="auto"/>
    </w:pPr>
    <w:rPr>
      <w:rFonts w:ascii="Arial" w:eastAsia="Times New Roman" w:hAnsi="Arial" w:cs="Times New Roman"/>
      <w:color w:val="000000"/>
      <w:sz w:val="18"/>
      <w:szCs w:val="20"/>
      <w:lang w:val="en-US"/>
    </w:rPr>
  </w:style>
  <w:style w:type="paragraph" w:styleId="Header">
    <w:name w:val="header"/>
    <w:basedOn w:val="Normal"/>
    <w:link w:val="HeaderChar"/>
    <w:uiPriority w:val="99"/>
    <w:unhideWhenUsed/>
    <w:rsid w:val="0010380E"/>
    <w:pPr>
      <w:tabs>
        <w:tab w:val="center" w:pos="4513"/>
        <w:tab w:val="right" w:pos="9026"/>
      </w:tabs>
      <w:spacing w:line="240" w:lineRule="auto"/>
    </w:pPr>
  </w:style>
  <w:style w:type="character" w:customStyle="1" w:styleId="HeaderChar">
    <w:name w:val="Header Char"/>
    <w:basedOn w:val="DefaultParagraphFont"/>
    <w:link w:val="Header"/>
    <w:uiPriority w:val="99"/>
    <w:rsid w:val="0010380E"/>
  </w:style>
  <w:style w:type="paragraph" w:styleId="Footer">
    <w:name w:val="footer"/>
    <w:basedOn w:val="Normal"/>
    <w:link w:val="FooterChar"/>
    <w:uiPriority w:val="99"/>
    <w:unhideWhenUsed/>
    <w:rsid w:val="0010380E"/>
    <w:pPr>
      <w:tabs>
        <w:tab w:val="center" w:pos="4513"/>
        <w:tab w:val="right" w:pos="9026"/>
      </w:tabs>
      <w:spacing w:line="240" w:lineRule="auto"/>
    </w:pPr>
  </w:style>
  <w:style w:type="character" w:customStyle="1" w:styleId="FooterChar">
    <w:name w:val="Footer Char"/>
    <w:basedOn w:val="DefaultParagraphFont"/>
    <w:link w:val="Footer"/>
    <w:uiPriority w:val="99"/>
    <w:rsid w:val="0010380E"/>
  </w:style>
  <w:style w:type="paragraph" w:styleId="BalloonText">
    <w:name w:val="Balloon Text"/>
    <w:basedOn w:val="Normal"/>
    <w:link w:val="BalloonTextChar"/>
    <w:uiPriority w:val="99"/>
    <w:semiHidden/>
    <w:unhideWhenUsed/>
    <w:rsid w:val="001038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80E"/>
    <w:rPr>
      <w:rFonts w:ascii="Tahoma" w:hAnsi="Tahoma" w:cs="Tahoma"/>
      <w:sz w:val="16"/>
      <w:szCs w:val="16"/>
    </w:rPr>
  </w:style>
  <w:style w:type="paragraph" w:styleId="Subtitle">
    <w:name w:val="Subtitle"/>
    <w:basedOn w:val="Normal"/>
    <w:next w:val="Normal"/>
    <w:link w:val="SubtitleChar"/>
    <w:uiPriority w:val="11"/>
    <w:qFormat/>
    <w:rsid w:val="0010380E"/>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10380E"/>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552EEE"/>
    <w:pPr>
      <w:widowControl w:val="0"/>
      <w:autoSpaceDE w:val="0"/>
      <w:autoSpaceDN w:val="0"/>
      <w:adjustRightInd w:val="0"/>
      <w:spacing w:after="0" w:line="240" w:lineRule="auto"/>
    </w:pPr>
    <w:rPr>
      <w:rFonts w:ascii="Vaud" w:eastAsiaTheme="minorEastAsia" w:hAnsi="Vaud" w:cs="Vaud"/>
      <w:color w:val="000000"/>
      <w:sz w:val="24"/>
      <w:szCs w:val="24"/>
      <w:lang w:eastAsia="en-AU"/>
    </w:rPr>
  </w:style>
  <w:style w:type="paragraph" w:customStyle="1" w:styleId="Pa1">
    <w:name w:val="Pa1"/>
    <w:basedOn w:val="Default"/>
    <w:next w:val="Default"/>
    <w:uiPriority w:val="99"/>
    <w:rsid w:val="00552EEE"/>
    <w:pPr>
      <w:spacing w:line="241" w:lineRule="atLeast"/>
    </w:pPr>
    <w:rPr>
      <w:rFonts w:cstheme="minorBidi"/>
      <w:color w:val="auto"/>
    </w:rPr>
  </w:style>
  <w:style w:type="character" w:styleId="Hyperlink">
    <w:name w:val="Hyperlink"/>
    <w:basedOn w:val="DefaultParagraphFont"/>
    <w:uiPriority w:val="99"/>
    <w:unhideWhenUsed/>
    <w:rsid w:val="00552EEE"/>
    <w:rPr>
      <w:color w:val="0000FF" w:themeColor="hyperlink"/>
      <w:u w:val="single"/>
    </w:rPr>
  </w:style>
  <w:style w:type="paragraph" w:styleId="BodyText">
    <w:name w:val="Body Text"/>
    <w:basedOn w:val="Normal"/>
    <w:link w:val="BodyTextChar"/>
    <w:rsid w:val="00161061"/>
    <w:rPr>
      <w:szCs w:val="20"/>
      <w:lang w:val="en-US" w:eastAsia="en-AU"/>
    </w:rPr>
  </w:style>
  <w:style w:type="character" w:customStyle="1" w:styleId="BodyTextChar">
    <w:name w:val="Body Text Char"/>
    <w:basedOn w:val="DefaultParagraphFont"/>
    <w:link w:val="BodyText"/>
    <w:rsid w:val="00161061"/>
    <w:rPr>
      <w:rFonts w:ascii="Arial" w:eastAsia="Times New Roman" w:hAnsi="Arial" w:cs="Times New Roman"/>
      <w:sz w:val="20"/>
      <w:szCs w:val="20"/>
      <w:lang w:val="en-US" w:eastAsia="en-AU"/>
    </w:rPr>
  </w:style>
  <w:style w:type="paragraph" w:styleId="FootnoteText">
    <w:name w:val="footnote text"/>
    <w:basedOn w:val="Normal"/>
    <w:link w:val="FootnoteTextChar"/>
    <w:rsid w:val="00161061"/>
    <w:rPr>
      <w:szCs w:val="20"/>
    </w:rPr>
  </w:style>
  <w:style w:type="character" w:customStyle="1" w:styleId="FootnoteTextChar">
    <w:name w:val="Footnote Text Char"/>
    <w:basedOn w:val="DefaultParagraphFont"/>
    <w:link w:val="FootnoteText"/>
    <w:rsid w:val="00161061"/>
    <w:rPr>
      <w:rFonts w:ascii="Arial" w:eastAsia="Times New Roman" w:hAnsi="Arial" w:cs="Times New Roman"/>
      <w:sz w:val="20"/>
      <w:szCs w:val="20"/>
    </w:rPr>
  </w:style>
  <w:style w:type="character" w:styleId="FootnoteReference">
    <w:name w:val="footnote reference"/>
    <w:uiPriority w:val="99"/>
    <w:semiHidden/>
    <w:rsid w:val="00161061"/>
    <w:rPr>
      <w:vertAlign w:val="superscript"/>
    </w:rPr>
  </w:style>
  <w:style w:type="character" w:styleId="FollowedHyperlink">
    <w:name w:val="FollowedHyperlink"/>
    <w:basedOn w:val="DefaultParagraphFont"/>
    <w:uiPriority w:val="99"/>
    <w:semiHidden/>
    <w:unhideWhenUsed/>
    <w:rsid w:val="00B6050E"/>
    <w:rPr>
      <w:color w:val="800080" w:themeColor="followedHyperlink"/>
      <w:u w:val="single"/>
    </w:rPr>
  </w:style>
  <w:style w:type="paragraph" w:styleId="ListParagraph">
    <w:name w:val="List Paragraph"/>
    <w:basedOn w:val="Normal"/>
    <w:uiPriority w:val="34"/>
    <w:qFormat/>
    <w:rsid w:val="00CB4396"/>
    <w:pPr>
      <w:ind w:left="720"/>
      <w:contextualSpacing/>
    </w:pPr>
    <w:rPr>
      <w:rFonts w:eastAsiaTheme="minorHAnsi" w:cstheme="minorBidi"/>
      <w:szCs w:val="22"/>
    </w:rPr>
  </w:style>
  <w:style w:type="paragraph" w:styleId="EndnoteText">
    <w:name w:val="endnote text"/>
    <w:basedOn w:val="Normal"/>
    <w:link w:val="EndnoteTextChar"/>
    <w:unhideWhenUsed/>
    <w:rsid w:val="009776AD"/>
    <w:pPr>
      <w:spacing w:line="240" w:lineRule="auto"/>
    </w:pPr>
    <w:rPr>
      <w:szCs w:val="20"/>
    </w:rPr>
  </w:style>
  <w:style w:type="character" w:customStyle="1" w:styleId="EndnoteTextChar">
    <w:name w:val="Endnote Text Char"/>
    <w:basedOn w:val="DefaultParagraphFont"/>
    <w:link w:val="EndnoteText"/>
    <w:rsid w:val="009776AD"/>
    <w:rPr>
      <w:rFonts w:ascii="Arial" w:eastAsia="Times New Roman" w:hAnsi="Arial" w:cs="Times New Roman"/>
      <w:sz w:val="20"/>
      <w:szCs w:val="20"/>
    </w:rPr>
  </w:style>
  <w:style w:type="character" w:styleId="EndnoteReference">
    <w:name w:val="endnote reference"/>
    <w:basedOn w:val="DefaultParagraphFont"/>
    <w:unhideWhenUsed/>
    <w:rsid w:val="009776AD"/>
    <w:rPr>
      <w:vertAlign w:val="superscript"/>
    </w:rPr>
  </w:style>
  <w:style w:type="character" w:styleId="CommentReference">
    <w:name w:val="annotation reference"/>
    <w:basedOn w:val="DefaultParagraphFont"/>
    <w:uiPriority w:val="99"/>
    <w:semiHidden/>
    <w:unhideWhenUsed/>
    <w:rsid w:val="00331C69"/>
    <w:rPr>
      <w:sz w:val="16"/>
      <w:szCs w:val="16"/>
    </w:rPr>
  </w:style>
  <w:style w:type="paragraph" w:styleId="CommentText">
    <w:name w:val="annotation text"/>
    <w:basedOn w:val="Normal"/>
    <w:link w:val="CommentTextChar"/>
    <w:uiPriority w:val="99"/>
    <w:semiHidden/>
    <w:unhideWhenUsed/>
    <w:rsid w:val="00331C69"/>
    <w:pPr>
      <w:spacing w:line="240" w:lineRule="auto"/>
    </w:pPr>
    <w:rPr>
      <w:szCs w:val="20"/>
    </w:rPr>
  </w:style>
  <w:style w:type="character" w:customStyle="1" w:styleId="CommentTextChar">
    <w:name w:val="Comment Text Char"/>
    <w:basedOn w:val="DefaultParagraphFont"/>
    <w:link w:val="CommentText"/>
    <w:uiPriority w:val="99"/>
    <w:semiHidden/>
    <w:rsid w:val="00331C6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31C69"/>
    <w:rPr>
      <w:b/>
      <w:bCs/>
    </w:rPr>
  </w:style>
  <w:style w:type="character" w:customStyle="1" w:styleId="CommentSubjectChar">
    <w:name w:val="Comment Subject Char"/>
    <w:basedOn w:val="CommentTextChar"/>
    <w:link w:val="CommentSubject"/>
    <w:uiPriority w:val="99"/>
    <w:semiHidden/>
    <w:rsid w:val="00331C69"/>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30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bettertax@treasury.gov.a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1.tif"/><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to.gov.au/Non-profit/Guides/In-detail/Guides---booklets/Gifts---fundraising/GiftPack/"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mailto:info@governanceinstitute.com.au" TargetMode="External"/><Relationship Id="rId2" Type="http://schemas.openxmlformats.org/officeDocument/2006/relationships/hyperlink" Target="mailto:info@governanceinstitute.com.au"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2" ma:contentTypeDescription=" " ma:contentTypeScope="" ma:versionID="0c5f72f2b581d15c3685701b4a6c59ef">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9c3835a0255350864dfa36d6c357d514"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IconOverlay xmlns="http://schemas.microsoft.com/sharepoint/v4" xsi:nil="true"/>
    <TaxCatchAll xmlns="9f7bc583-7cbe-45b9-a2bd-8bbb6543b37e">
      <Value>20</Value>
    </TaxCatchAll>
    <_dlc_DocId xmlns="9f7bc583-7cbe-45b9-a2bd-8bbb6543b37e">2014RG-82-8197</_dlc_DocId>
    <_dlc_DocIdUrl xmlns="9f7bc583-7cbe-45b9-a2bd-8bbb6543b37e">
      <Url>http://tweb/sites/rg/project/twptf/_layouts/15/DocIdRedir.aspx?ID=2014RG-82-8197</Url>
      <Description>2014RG-82-8197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E96EC-AD6B-4F72-83EE-357AC074F1EC}"/>
</file>

<file path=customXml/itemProps2.xml><?xml version="1.0" encoding="utf-8"?>
<ds:datastoreItem xmlns:ds="http://schemas.openxmlformats.org/officeDocument/2006/customXml" ds:itemID="{DD31CF6B-3C5B-492F-9F2F-1984DA95E7D9}"/>
</file>

<file path=customXml/itemProps3.xml><?xml version="1.0" encoding="utf-8"?>
<ds:datastoreItem xmlns:ds="http://schemas.openxmlformats.org/officeDocument/2006/customXml" ds:itemID="{1997DA8D-9107-4C52-906B-22C5732060B2}"/>
</file>

<file path=customXml/itemProps4.xml><?xml version="1.0" encoding="utf-8"?>
<ds:datastoreItem xmlns:ds="http://schemas.openxmlformats.org/officeDocument/2006/customXml" ds:itemID="{769610D2-0B4E-4550-8517-E13C4D2D4616}"/>
</file>

<file path=customXml/itemProps5.xml><?xml version="1.0" encoding="utf-8"?>
<ds:datastoreItem xmlns:ds="http://schemas.openxmlformats.org/officeDocument/2006/customXml" ds:itemID="{8E9D94D3-4336-427C-9DE3-9338B4EEDA49}"/>
</file>

<file path=docProps/app.xml><?xml version="1.0" encoding="utf-8"?>
<Properties xmlns="http://schemas.openxmlformats.org/officeDocument/2006/extended-properties" xmlns:vt="http://schemas.openxmlformats.org/officeDocument/2006/docPropsVTypes">
  <Template>Normal.dotm</Template>
  <TotalTime>0</TotalTime>
  <Pages>7</Pages>
  <Words>3095</Words>
  <Characters>17646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Fox</dc:creator>
  <cp:lastModifiedBy>McLeod, Caitlin</cp:lastModifiedBy>
  <cp:revision>2</cp:revision>
  <cp:lastPrinted>2015-01-05T05:54:00Z</cp:lastPrinted>
  <dcterms:created xsi:type="dcterms:W3CDTF">2015-06-03T06:24:00Z</dcterms:created>
  <dcterms:modified xsi:type="dcterms:W3CDTF">2015-06-03T06:24:00Z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61c4c3c0-eb99-4624-884d-b4bc755d4644</vt:lpwstr>
  </property>
  <property fmtid="{D5CDD505-2E9C-101B-9397-08002B2CF9AE}" pid="5" name="RecordPoint_WorkflowType">
    <vt:lpwstr>ActiveSubmitStub</vt:lpwstr>
  </property>
  <property fmtid="{D5CDD505-2E9C-101B-9397-08002B2CF9AE}" pid="6" name="RecordPoint_ActiveItemSiteId">
    <vt:lpwstr>{5b52b9a5-e5b2-4521-8814-a1e24ca2869d}</vt:lpwstr>
  </property>
  <property fmtid="{D5CDD505-2E9C-101B-9397-08002B2CF9AE}" pid="7" name="RecordPoint_ActiveItemListId">
    <vt:lpwstr>{f6245b0d-ae88-49e0-bc00-d1fbade64493}</vt:lpwstr>
  </property>
  <property fmtid="{D5CDD505-2E9C-101B-9397-08002B2CF9AE}" pid="8" name="RecordPoint_ActiveItemUniqueId">
    <vt:lpwstr>{61c4c3c0-eb99-4624-884d-b4bc755d4644}</vt:lpwstr>
  </property>
  <property fmtid="{D5CDD505-2E9C-101B-9397-08002B2CF9AE}" pid="9" name="RecordPoint_ActiveItemWebId">
    <vt:lpwstr>{7d4836be-88c9-4147-bbde-5f4d346060a5}</vt:lpwstr>
  </property>
</Properties>
</file>