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35C61" w14:textId="77777777" w:rsidR="003D26FC" w:rsidRDefault="003D26FC" w:rsidP="003D26FC">
      <w:bookmarkStart w:id="0" w:name="_GoBack"/>
      <w:bookmarkEnd w:id="0"/>
      <w:r>
        <w:t>Tax White Paper Task Force</w:t>
      </w:r>
    </w:p>
    <w:p w14:paraId="590BCE1A" w14:textId="77777777" w:rsidR="003D26FC" w:rsidRDefault="003D26FC" w:rsidP="003D26FC"/>
    <w:p w14:paraId="34EEA59F" w14:textId="77777777" w:rsidR="003D26FC" w:rsidRDefault="003D26FC" w:rsidP="003D26FC">
      <w:r>
        <w:t xml:space="preserve">Make A Submission, email to </w:t>
      </w:r>
      <w:hyperlink r:id="rId13" w:history="1">
        <w:r w:rsidRPr="00AB1418">
          <w:rPr>
            <w:rStyle w:val="Hyperlink"/>
          </w:rPr>
          <w:t>bettertax@treasury.gov.au</w:t>
        </w:r>
      </w:hyperlink>
    </w:p>
    <w:p w14:paraId="42548700" w14:textId="77777777" w:rsidR="003D26FC" w:rsidRDefault="003D26FC" w:rsidP="003D26FC"/>
    <w:p w14:paraId="3FCBD45B" w14:textId="77777777" w:rsidR="003D26FC" w:rsidRDefault="003D26FC" w:rsidP="003D26FC">
      <w:r>
        <w:t>Submission of 4 pages</w:t>
      </w:r>
    </w:p>
    <w:p w14:paraId="099E7A3C" w14:textId="77777777" w:rsidR="003D26FC" w:rsidRDefault="003D26FC" w:rsidP="003D26FC">
      <w:r>
        <w:tab/>
        <w:t>Page 1 – This Coversheet</w:t>
      </w:r>
    </w:p>
    <w:p w14:paraId="1FC3F4BD" w14:textId="77777777" w:rsidR="003D26FC" w:rsidRDefault="003D26FC" w:rsidP="003D26FC">
      <w:r>
        <w:tab/>
        <w:t>Pages 2 – 4 – Submission Attached</w:t>
      </w:r>
    </w:p>
    <w:p w14:paraId="3B90BF31" w14:textId="77777777" w:rsidR="003D26FC" w:rsidRDefault="003D26FC" w:rsidP="003D26FC"/>
    <w:p w14:paraId="3B038E0C" w14:textId="77777777" w:rsidR="003D26FC" w:rsidRDefault="003D26FC" w:rsidP="003D26FC">
      <w:r>
        <w:t>Sender</w:t>
      </w:r>
    </w:p>
    <w:p w14:paraId="126D34A2" w14:textId="77777777" w:rsidR="003D26FC" w:rsidRDefault="003D26FC" w:rsidP="003D26FC">
      <w:r>
        <w:tab/>
        <w:t>Mr Neil Duncan</w:t>
      </w:r>
    </w:p>
    <w:p w14:paraId="0288EF44" w14:textId="77777777" w:rsidR="003D26FC" w:rsidRDefault="003D26FC" w:rsidP="003D26FC">
      <w:r>
        <w:tab/>
        <w:t>19 Wheeler Road</w:t>
      </w:r>
    </w:p>
    <w:p w14:paraId="5A4FB0F5" w14:textId="77777777" w:rsidR="003D26FC" w:rsidRDefault="003D26FC" w:rsidP="003D26FC">
      <w:r>
        <w:tab/>
        <w:t>Cape Paterson</w:t>
      </w:r>
    </w:p>
    <w:p w14:paraId="3E449C1F" w14:textId="77777777" w:rsidR="003D26FC" w:rsidRDefault="003D26FC" w:rsidP="003D26FC">
      <w:r>
        <w:tab/>
        <w:t>Victoria 3995</w:t>
      </w:r>
    </w:p>
    <w:p w14:paraId="69261811" w14:textId="77777777" w:rsidR="003D26FC" w:rsidRDefault="003D26FC" w:rsidP="003D26FC"/>
    <w:p w14:paraId="757636F7" w14:textId="77777777" w:rsidR="003D26FC" w:rsidRDefault="003D26FC" w:rsidP="003D26FC"/>
    <w:p w14:paraId="5327860F" w14:textId="77777777" w:rsidR="0046662C" w:rsidRDefault="0046662C" w:rsidP="005345ED">
      <w:pPr>
        <w:rPr>
          <w:b/>
        </w:rPr>
      </w:pPr>
    </w:p>
    <w:p w14:paraId="2E4ECFAE" w14:textId="77777777" w:rsidR="003D26FC" w:rsidRDefault="003D26FC" w:rsidP="005345ED">
      <w:pPr>
        <w:rPr>
          <w:b/>
        </w:rPr>
      </w:pPr>
    </w:p>
    <w:p w14:paraId="20822513" w14:textId="77777777" w:rsidR="003D26FC" w:rsidRDefault="003D26FC" w:rsidP="005345ED">
      <w:pPr>
        <w:rPr>
          <w:b/>
        </w:rPr>
      </w:pPr>
    </w:p>
    <w:p w14:paraId="3BD4FBBB" w14:textId="77777777" w:rsidR="003D26FC" w:rsidRDefault="003D26FC" w:rsidP="005345ED">
      <w:pPr>
        <w:rPr>
          <w:b/>
        </w:rPr>
      </w:pPr>
    </w:p>
    <w:p w14:paraId="74CA06C1" w14:textId="77777777" w:rsidR="003D26FC" w:rsidRDefault="003D26FC" w:rsidP="005345ED">
      <w:pPr>
        <w:rPr>
          <w:b/>
        </w:rPr>
      </w:pPr>
    </w:p>
    <w:p w14:paraId="05720171" w14:textId="77777777" w:rsidR="003D26FC" w:rsidRDefault="003D26FC" w:rsidP="005345ED">
      <w:pPr>
        <w:rPr>
          <w:b/>
        </w:rPr>
      </w:pPr>
    </w:p>
    <w:p w14:paraId="01AE121D" w14:textId="77777777" w:rsidR="003D26FC" w:rsidRDefault="003D26FC" w:rsidP="005345ED">
      <w:pPr>
        <w:rPr>
          <w:b/>
        </w:rPr>
      </w:pPr>
    </w:p>
    <w:p w14:paraId="0DF98FA5" w14:textId="77777777" w:rsidR="003D26FC" w:rsidRDefault="003D26FC" w:rsidP="005345ED">
      <w:pPr>
        <w:rPr>
          <w:b/>
        </w:rPr>
      </w:pPr>
    </w:p>
    <w:p w14:paraId="3A086DC2" w14:textId="77777777" w:rsidR="003D26FC" w:rsidRDefault="003D26FC" w:rsidP="005345ED">
      <w:pPr>
        <w:rPr>
          <w:b/>
        </w:rPr>
      </w:pPr>
    </w:p>
    <w:p w14:paraId="70677A86" w14:textId="77777777" w:rsidR="003D26FC" w:rsidRPr="003D26FC" w:rsidRDefault="003D26FC" w:rsidP="005345ED">
      <w:pPr>
        <w:rPr>
          <w:b/>
        </w:rPr>
      </w:pPr>
    </w:p>
    <w:p w14:paraId="4CD458B8" w14:textId="77777777" w:rsidR="0046662C" w:rsidRDefault="0046662C" w:rsidP="002A0593">
      <w:pPr>
        <w:ind w:left="7200"/>
      </w:pPr>
    </w:p>
    <w:p w14:paraId="095C7638" w14:textId="77777777" w:rsidR="0046662C" w:rsidRDefault="0046662C" w:rsidP="002A0593">
      <w:pPr>
        <w:ind w:left="7200"/>
      </w:pPr>
    </w:p>
    <w:p w14:paraId="3B3000FC" w14:textId="77777777" w:rsidR="00BF1B05" w:rsidRDefault="002A0593" w:rsidP="0046662C">
      <w:pPr>
        <w:ind w:left="6480" w:firstLine="720"/>
      </w:pPr>
      <w:r>
        <w:lastRenderedPageBreak/>
        <w:t>Postal  address:</w:t>
      </w:r>
    </w:p>
    <w:p w14:paraId="3BA297B1" w14:textId="77777777" w:rsidR="002A0593" w:rsidRDefault="002A0593" w:rsidP="002A0593">
      <w:pPr>
        <w:ind w:left="7200"/>
      </w:pPr>
      <w:r>
        <w:t>PO Box 638</w:t>
      </w:r>
    </w:p>
    <w:p w14:paraId="67A23A77" w14:textId="77777777" w:rsidR="002A0593" w:rsidRDefault="002A0593" w:rsidP="002A0593">
      <w:pPr>
        <w:ind w:left="7200"/>
      </w:pPr>
      <w:r>
        <w:t>Wonthaggi</w:t>
      </w:r>
    </w:p>
    <w:p w14:paraId="55A9C6EA" w14:textId="77777777" w:rsidR="002A0593" w:rsidRDefault="002A0593" w:rsidP="002A0593">
      <w:pPr>
        <w:ind w:left="7200"/>
      </w:pPr>
      <w:r>
        <w:t>Vic 3995</w:t>
      </w:r>
    </w:p>
    <w:p w14:paraId="6D40D71F" w14:textId="77777777" w:rsidR="002A0593" w:rsidRDefault="005345ED" w:rsidP="002A0593">
      <w:pPr>
        <w:ind w:left="7200"/>
      </w:pPr>
      <w:r>
        <w:t>25th</w:t>
      </w:r>
      <w:r w:rsidR="002A0593">
        <w:t xml:space="preserve"> May, 2015</w:t>
      </w:r>
    </w:p>
    <w:p w14:paraId="6B89B17A" w14:textId="77777777" w:rsidR="002A0593" w:rsidRDefault="002A0593">
      <w:r>
        <w:t>Tax White Paper Task Force</w:t>
      </w:r>
    </w:p>
    <w:p w14:paraId="1C6A80D8" w14:textId="77777777" w:rsidR="002A0593" w:rsidRDefault="002A0593">
      <w:r>
        <w:t>The Treasury</w:t>
      </w:r>
    </w:p>
    <w:p w14:paraId="3CDDAB1F" w14:textId="77777777" w:rsidR="002A0593" w:rsidRDefault="002A0593">
      <w:r>
        <w:t>Langton Crescent</w:t>
      </w:r>
    </w:p>
    <w:p w14:paraId="1EFA9722" w14:textId="77777777" w:rsidR="002A0593" w:rsidRDefault="002A0593">
      <w:r>
        <w:t>Parkes</w:t>
      </w:r>
    </w:p>
    <w:p w14:paraId="0E84C926" w14:textId="77777777" w:rsidR="002A0593" w:rsidRDefault="002A0593">
      <w:r>
        <w:t>ACT 2600</w:t>
      </w:r>
    </w:p>
    <w:p w14:paraId="17256976" w14:textId="77777777" w:rsidR="002A0593" w:rsidRDefault="002A0593"/>
    <w:p w14:paraId="114B7F41" w14:textId="77777777" w:rsidR="002A0593" w:rsidRDefault="002A0593">
      <w:r>
        <w:t>Dear Sirs,</w:t>
      </w:r>
    </w:p>
    <w:p w14:paraId="185D9A9C" w14:textId="77777777" w:rsidR="002A0593" w:rsidRDefault="002A0593">
      <w:r>
        <w:tab/>
      </w:r>
      <w:r>
        <w:tab/>
        <w:t>Make a submission for Better Tax</w:t>
      </w:r>
    </w:p>
    <w:p w14:paraId="5A011CC6" w14:textId="77777777" w:rsidR="002A0593" w:rsidRDefault="002A0593">
      <w:r>
        <w:tab/>
      </w:r>
      <w:r>
        <w:tab/>
        <w:t>Tax White Paper Task Force</w:t>
      </w:r>
      <w:r w:rsidR="009A5563">
        <w:t xml:space="preserve"> – Have Your Say</w:t>
      </w:r>
    </w:p>
    <w:p w14:paraId="77B9CA6B" w14:textId="77777777" w:rsidR="002A0593" w:rsidRDefault="002A0593"/>
    <w:p w14:paraId="2D9759B1" w14:textId="77777777" w:rsidR="002A0593" w:rsidRDefault="002A0593">
      <w:r>
        <w:t xml:space="preserve">I hereby make a submission on </w:t>
      </w:r>
      <w:r w:rsidR="0046662C">
        <w:t>one taxation issue</w:t>
      </w:r>
      <w:r>
        <w:t>, as follows:</w:t>
      </w:r>
    </w:p>
    <w:p w14:paraId="2258A7A8" w14:textId="77777777" w:rsidR="002A0593" w:rsidRDefault="002A0593">
      <w:r>
        <w:t>Submission Matter</w:t>
      </w:r>
      <w:r w:rsidR="0046662C">
        <w:t>:</w:t>
      </w:r>
    </w:p>
    <w:p w14:paraId="3E248F07" w14:textId="77777777" w:rsidR="002A0593" w:rsidRDefault="00552E7C">
      <w:r>
        <w:t>Removal of e</w:t>
      </w:r>
      <w:r w:rsidR="002A0593">
        <w:t xml:space="preserve">xemption of </w:t>
      </w:r>
      <w:r w:rsidR="001808C9">
        <w:t>individual taxpayer’s</w:t>
      </w:r>
      <w:r w:rsidR="002A0593">
        <w:t xml:space="preserve"> capital gain on disposal of their main principal place of residence.</w:t>
      </w:r>
    </w:p>
    <w:p w14:paraId="1B8FE5D3" w14:textId="77777777" w:rsidR="002A0593" w:rsidRDefault="002A0593">
      <w:r>
        <w:t>Rationale:</w:t>
      </w:r>
    </w:p>
    <w:p w14:paraId="7A7080CD" w14:textId="77777777" w:rsidR="00552E7C" w:rsidRDefault="00552E7C">
      <w:r>
        <w:t>The main residence has become the preferred</w:t>
      </w:r>
      <w:r w:rsidR="009A5563">
        <w:t xml:space="preserve"> individual</w:t>
      </w:r>
      <w:r>
        <w:t xml:space="preserve"> financial investment in Australia.</w:t>
      </w:r>
    </w:p>
    <w:p w14:paraId="490A3EAB" w14:textId="77777777" w:rsidR="002A0593" w:rsidRDefault="002A0593">
      <w:r>
        <w:t>The main residence is the optimum tax shelter for Australian income tax purposes. Any gain on disposal</w:t>
      </w:r>
      <w:r w:rsidR="0046662C">
        <w:t xml:space="preserve"> of the main residence</w:t>
      </w:r>
      <w:r>
        <w:t xml:space="preserve"> is tax </w:t>
      </w:r>
      <w:r w:rsidR="001808C9">
        <w:t>free;</w:t>
      </w:r>
      <w:r>
        <w:t xml:space="preserve"> </w:t>
      </w:r>
      <w:r w:rsidR="001808C9">
        <w:t>it</w:t>
      </w:r>
      <w:r>
        <w:t xml:space="preserve"> is not subject to income tax.</w:t>
      </w:r>
    </w:p>
    <w:p w14:paraId="29130C40" w14:textId="77777777" w:rsidR="002A0593" w:rsidRDefault="002A0593">
      <w:r>
        <w:t>The main residence is also upgraded, improved as a tax free investment over the time of ownership, done to produce further</w:t>
      </w:r>
      <w:r w:rsidR="009A5563">
        <w:t xml:space="preserve"> tax</w:t>
      </w:r>
      <w:r>
        <w:t xml:space="preserve"> exempt capital gain.</w:t>
      </w:r>
    </w:p>
    <w:p w14:paraId="5AC9BCD4" w14:textId="77777777" w:rsidR="009A5563" w:rsidRDefault="002A0593">
      <w:r>
        <w:t>The main residence is an asset not asset-tested for the age pension, so individuals deliberately invest monies into their main residence</w:t>
      </w:r>
      <w:r w:rsidR="00552E7C">
        <w:t xml:space="preserve"> acquisition</w:t>
      </w:r>
      <w:r>
        <w:t>,</w:t>
      </w:r>
      <w:r w:rsidR="0046662C">
        <w:t xml:space="preserve"> plus</w:t>
      </w:r>
      <w:r>
        <w:t xml:space="preserve"> by adding capital improvements and</w:t>
      </w:r>
      <w:r w:rsidR="009A5563">
        <w:t xml:space="preserve"> overall</w:t>
      </w:r>
      <w:r>
        <w:t xml:space="preserve"> reducing age pension assessable assets, thus qualifying themselves for age pension, an age pension that would not otherwise be re</w:t>
      </w:r>
      <w:r w:rsidR="0046662C">
        <w:t xml:space="preserve">ceived save and except for </w:t>
      </w:r>
      <w:r w:rsidR="009A5563">
        <w:t>diversion of monies, for non-asset test of the main residence</w:t>
      </w:r>
    </w:p>
    <w:p w14:paraId="085DF918" w14:textId="77777777" w:rsidR="00552E7C" w:rsidRDefault="00552E7C">
      <w:r>
        <w:lastRenderedPageBreak/>
        <w:t xml:space="preserve">The taxpayer </w:t>
      </w:r>
      <w:r w:rsidR="009A5563">
        <w:t>or</w:t>
      </w:r>
      <w:r>
        <w:t xml:space="preserve"> pensioner never contributes income tax nor suffers any social service loss during their lifetime, nor at time of death, an ‘inheritance’ saver, without any redistribution of</w:t>
      </w:r>
      <w:r w:rsidR="009A5563">
        <w:t xml:space="preserve"> a portion of</w:t>
      </w:r>
      <w:r>
        <w:t xml:space="preserve"> their residence wealth back to Australia.</w:t>
      </w:r>
    </w:p>
    <w:p w14:paraId="1829CCA9" w14:textId="77777777" w:rsidR="007B1A74" w:rsidRDefault="0046662C">
      <w:r>
        <w:t>Submission Issue One</w:t>
      </w:r>
    </w:p>
    <w:p w14:paraId="169D390D" w14:textId="77777777" w:rsidR="004965B3" w:rsidRDefault="0046662C" w:rsidP="007B1A74">
      <w:pPr>
        <w:ind w:firstLine="720"/>
      </w:pPr>
      <w:r>
        <w:t xml:space="preserve"> That </w:t>
      </w:r>
      <w:r w:rsidR="004965B3">
        <w:t>Capital gain exemption</w:t>
      </w:r>
      <w:r>
        <w:t xml:space="preserve"> be</w:t>
      </w:r>
      <w:r w:rsidR="009A5563">
        <w:t xml:space="preserve"> changed to tax the </w:t>
      </w:r>
      <w:r w:rsidR="004965B3">
        <w:t>capital gain on disposal of a taxpayer’s main residence.</w:t>
      </w:r>
    </w:p>
    <w:p w14:paraId="28A27068" w14:textId="77777777" w:rsidR="007B1A74" w:rsidRDefault="004965B3">
      <w:r>
        <w:t>Submission</w:t>
      </w:r>
      <w:r w:rsidR="0046662C">
        <w:t xml:space="preserve"> Issue Two</w:t>
      </w:r>
    </w:p>
    <w:p w14:paraId="7ABF0099" w14:textId="77777777" w:rsidR="004965B3" w:rsidRDefault="004965B3" w:rsidP="007B1A74">
      <w:pPr>
        <w:ind w:firstLine="720"/>
      </w:pPr>
      <w:r>
        <w:t xml:space="preserve"> That</w:t>
      </w:r>
      <w:r w:rsidR="00552E7C">
        <w:t xml:space="preserve"> 50%</w:t>
      </w:r>
      <w:r>
        <w:t xml:space="preserve"> part of</w:t>
      </w:r>
      <w:r w:rsidR="007B1A74">
        <w:t xml:space="preserve"> said</w:t>
      </w:r>
      <w:r>
        <w:t xml:space="preserve"> capital gain on sale of the main residence be subject to personal income tax.</w:t>
      </w:r>
    </w:p>
    <w:p w14:paraId="0C86DDFA" w14:textId="77777777" w:rsidR="004965B3" w:rsidRDefault="007B1A74">
      <w:r>
        <w:t>Assessment</w:t>
      </w:r>
    </w:p>
    <w:p w14:paraId="2CFE84FB" w14:textId="77777777" w:rsidR="004965B3" w:rsidRDefault="004965B3">
      <w:r>
        <w:t>I propose that all sales of</w:t>
      </w:r>
      <w:r w:rsidR="009A5563">
        <w:t xml:space="preserve"> residential</w:t>
      </w:r>
      <w:r>
        <w:t xml:space="preserve"> residence for gross sale price of one and a half million dollars</w:t>
      </w:r>
      <w:r w:rsidR="00552E7C">
        <w:t xml:space="preserve"> </w:t>
      </w:r>
      <w:r>
        <w:t>$1,500,000 (or such sum Government sets) be taxed as follows.</w:t>
      </w:r>
    </w:p>
    <w:p w14:paraId="3B405DC3" w14:textId="77777777" w:rsidR="004965B3" w:rsidRDefault="004965B3" w:rsidP="00A12C89">
      <w:pPr>
        <w:ind w:left="720"/>
      </w:pPr>
      <w:r>
        <w:t>Property purchased after commencement (announcement date) for a cost of $1,500,000 and sold for a sale price of more than $1,500,000 will have the capital gain calculated.</w:t>
      </w:r>
    </w:p>
    <w:p w14:paraId="2F59CDBE" w14:textId="77777777" w:rsidR="004965B3" w:rsidRDefault="004965B3" w:rsidP="00A12C89">
      <w:pPr>
        <w:ind w:left="720"/>
      </w:pPr>
      <w:r>
        <w:t xml:space="preserve">50% (fifty per centum) of the resulting gain on sale will be included in the assessable income of the individual. </w:t>
      </w:r>
      <w:r w:rsidR="00552E7C">
        <w:t>Retain</w:t>
      </w:r>
      <w:r>
        <w:t xml:space="preserve"> the current CGT 50% exemption.</w:t>
      </w:r>
    </w:p>
    <w:p w14:paraId="2336CBF1" w14:textId="77777777" w:rsidR="004965B3" w:rsidRDefault="004965B3" w:rsidP="00A12C89">
      <w:pPr>
        <w:ind w:left="720"/>
      </w:pPr>
      <w:r>
        <w:t>Cost of residence does not include council rates or water rates or residence insurance which are a living cost of the individual.</w:t>
      </w:r>
    </w:p>
    <w:p w14:paraId="083A8ED5" w14:textId="77777777" w:rsidR="004965B3" w:rsidRDefault="004965B3" w:rsidP="00A12C89">
      <w:pPr>
        <w:ind w:left="720"/>
      </w:pPr>
      <w:r>
        <w:t>Cost of residence s</w:t>
      </w:r>
      <w:r w:rsidR="007B1A74">
        <w:t>old will include any non-deducti</w:t>
      </w:r>
      <w:r>
        <w:t>ble interest cost for funds used to purchase the main residence.</w:t>
      </w:r>
    </w:p>
    <w:p w14:paraId="49863049" w14:textId="77777777" w:rsidR="004965B3" w:rsidRDefault="004965B3" w:rsidP="00A12C89">
      <w:pPr>
        <w:ind w:left="720"/>
      </w:pPr>
      <w:r>
        <w:t xml:space="preserve">Any capital residence loss is carried forward to be offset against any future capital gain on sale of a </w:t>
      </w:r>
      <w:r w:rsidR="007B1A74">
        <w:t xml:space="preserve">subsequent </w:t>
      </w:r>
      <w:r>
        <w:t>future main residence.</w:t>
      </w:r>
      <w:r w:rsidR="009A5563">
        <w:t xml:space="preserve"> The loss is quarantined.</w:t>
      </w:r>
    </w:p>
    <w:p w14:paraId="3BF72F1F" w14:textId="77777777" w:rsidR="00552E7C" w:rsidRDefault="00552E7C" w:rsidP="00A12C89">
      <w:pPr>
        <w:ind w:left="720"/>
      </w:pPr>
      <w:r>
        <w:t xml:space="preserve">The taxation of gains extends to all </w:t>
      </w:r>
      <w:r w:rsidR="009A5563">
        <w:t xml:space="preserve">residence </w:t>
      </w:r>
      <w:r>
        <w:t>owners irrespective of their percentage share of ownership in the residence. All owners are assessed on their proportionate share of residence gain.</w:t>
      </w:r>
    </w:p>
    <w:p w14:paraId="14D7807F" w14:textId="77777777" w:rsidR="00A12C89" w:rsidRDefault="00A12C89" w:rsidP="00A12C89">
      <w:r>
        <w:t>Transition</w:t>
      </w:r>
    </w:p>
    <w:p w14:paraId="2A693F83" w14:textId="77777777" w:rsidR="00A12C89" w:rsidRDefault="00A12C89" w:rsidP="00A12C89">
      <w:r>
        <w:t>For residences owned as at commencement announcement date, any main residence that is subsequently sold for $1,500,000 or greater is subject to tax, but the</w:t>
      </w:r>
      <w:r w:rsidR="007B1A74">
        <w:t xml:space="preserve"> deemed</w:t>
      </w:r>
      <w:r>
        <w:t xml:space="preserve"> cost is the greater of either:</w:t>
      </w:r>
    </w:p>
    <w:p w14:paraId="22B640FC" w14:textId="77777777" w:rsidR="00A12C89" w:rsidRDefault="00A12C89" w:rsidP="00A12C89">
      <w:pPr>
        <w:pStyle w:val="ListParagraph"/>
        <w:numPr>
          <w:ilvl w:val="0"/>
          <w:numId w:val="2"/>
        </w:numPr>
      </w:pPr>
      <w:r>
        <w:t xml:space="preserve">The original </w:t>
      </w:r>
      <w:r w:rsidR="007B1A74">
        <w:t>cost plus allowable co</w:t>
      </w:r>
      <w:r>
        <w:t xml:space="preserve">st add-ons such as interest </w:t>
      </w:r>
      <w:r w:rsidR="007B1A74">
        <w:t>expense or capital improvements, or</w:t>
      </w:r>
    </w:p>
    <w:p w14:paraId="44E7C675" w14:textId="77777777" w:rsidR="00A12C89" w:rsidRDefault="00A12C89" w:rsidP="00A12C89">
      <w:pPr>
        <w:pStyle w:val="ListParagraph"/>
        <w:numPr>
          <w:ilvl w:val="0"/>
          <w:numId w:val="2"/>
        </w:numPr>
      </w:pPr>
      <w:r>
        <w:t>The capital improved value of the main res</w:t>
      </w:r>
      <w:r w:rsidR="009F1758">
        <w:t>idence determined by the</w:t>
      </w:r>
      <w:r w:rsidR="007B1A74">
        <w:t xml:space="preserve"> State or</w:t>
      </w:r>
      <w:r w:rsidR="009F1758">
        <w:t xml:space="preserve"> local C</w:t>
      </w:r>
      <w:r>
        <w:t>ouncil for rates purposes, notified in the</w:t>
      </w:r>
      <w:r w:rsidR="009A5563">
        <w:t xml:space="preserve"> residence</w:t>
      </w:r>
      <w:r>
        <w:t xml:space="preserve"> rate notice immediately preceding the commencement announced date.</w:t>
      </w:r>
    </w:p>
    <w:p w14:paraId="0AB55837" w14:textId="77777777" w:rsidR="006622E5" w:rsidRDefault="00A12C89" w:rsidP="00A12C89">
      <w:r>
        <w:lastRenderedPageBreak/>
        <w:t>For residences sold for more than $1,500,000 that were owned as at commencement announcement date, that have a deemed cost price less than $1,500,000 as at comm</w:t>
      </w:r>
      <w:r w:rsidR="009F1758">
        <w:t>encement date, that the first st</w:t>
      </w:r>
      <w:r>
        <w:t>ep calculation of capital gain is to deduct the deemed cost from the sale price</w:t>
      </w:r>
      <w:r w:rsidR="007B1A74">
        <w:t>.</w:t>
      </w:r>
    </w:p>
    <w:p w14:paraId="6A05E40F" w14:textId="77777777" w:rsidR="00A12C89" w:rsidRDefault="00A12C89" w:rsidP="00A12C89">
      <w:r>
        <w:t xml:space="preserve"> </w:t>
      </w:r>
      <w:r w:rsidR="007B1A74">
        <w:t>T</w:t>
      </w:r>
      <w:r>
        <w:t xml:space="preserve">his notional capital gain is </w:t>
      </w:r>
      <w:r w:rsidR="006622E5">
        <w:t xml:space="preserve">then </w:t>
      </w:r>
      <w:r>
        <w:t>subject to a second step capital gain calculation. The notional capital gain is time apportioned. The notional gain for the number of days from commencement announcement date is the assessable gain subject to income tax.</w:t>
      </w:r>
    </w:p>
    <w:p w14:paraId="7F0B087C" w14:textId="77777777" w:rsidR="00A12C89" w:rsidRDefault="00A12C89" w:rsidP="00A12C89">
      <w:r>
        <w:t>Example:</w:t>
      </w:r>
      <w:r>
        <w:tab/>
        <w:t xml:space="preserve"> $600,000 original cost in year 2000</w:t>
      </w:r>
      <w:r w:rsidR="007B1A74">
        <w:t>.</w:t>
      </w:r>
    </w:p>
    <w:p w14:paraId="6551729B" w14:textId="77777777" w:rsidR="00A12C89" w:rsidRDefault="00A12C89" w:rsidP="00A12C89">
      <w:r>
        <w:tab/>
      </w:r>
      <w:r>
        <w:tab/>
      </w:r>
      <w:r w:rsidR="009F1758">
        <w:t>$100,000 add-on-costs</w:t>
      </w:r>
      <w:r w:rsidR="007B1A74">
        <w:t>.</w:t>
      </w:r>
    </w:p>
    <w:p w14:paraId="00A6A45D" w14:textId="77777777" w:rsidR="00AA498D" w:rsidRDefault="009F1758" w:rsidP="00AA498D">
      <w:pPr>
        <w:pStyle w:val="ListParagraph"/>
        <w:numPr>
          <w:ilvl w:val="0"/>
          <w:numId w:val="4"/>
        </w:numPr>
      </w:pPr>
      <w:r>
        <w:t>$700,000 owner cost</w:t>
      </w:r>
      <w:r w:rsidR="007B1A74">
        <w:t>, deemed cost.</w:t>
      </w:r>
    </w:p>
    <w:p w14:paraId="13FC4786" w14:textId="77777777" w:rsidR="00AA498D" w:rsidRDefault="00AA498D" w:rsidP="00AA498D">
      <w:pPr>
        <w:pStyle w:val="ListParagraph"/>
        <w:ind w:left="1440"/>
      </w:pPr>
    </w:p>
    <w:p w14:paraId="50509AF3" w14:textId="77777777" w:rsidR="009F1758" w:rsidRDefault="009F1758" w:rsidP="00AA498D">
      <w:pPr>
        <w:pStyle w:val="ListParagraph"/>
        <w:numPr>
          <w:ilvl w:val="0"/>
          <w:numId w:val="4"/>
        </w:numPr>
      </w:pPr>
      <w:r>
        <w:t>$1,200,000 Council CIV in year 2015</w:t>
      </w:r>
      <w:r w:rsidR="007B1A74">
        <w:t>, deemed cost.</w:t>
      </w:r>
    </w:p>
    <w:p w14:paraId="3F553541" w14:textId="77777777" w:rsidR="00AA498D" w:rsidRDefault="00AA498D" w:rsidP="00AA498D">
      <w:pPr>
        <w:pStyle w:val="ListParagraph"/>
      </w:pPr>
    </w:p>
    <w:p w14:paraId="42E8E018" w14:textId="77777777" w:rsidR="007B1A74" w:rsidRDefault="009F1758" w:rsidP="00A12C89">
      <w:pPr>
        <w:pStyle w:val="ListParagraph"/>
        <w:numPr>
          <w:ilvl w:val="0"/>
          <w:numId w:val="4"/>
        </w:numPr>
      </w:pPr>
      <w:r>
        <w:t>$1,700,000 Net Sale price in year 2017</w:t>
      </w:r>
      <w:r w:rsidR="007B1A74">
        <w:t>.</w:t>
      </w:r>
    </w:p>
    <w:p w14:paraId="7AE9DE9E" w14:textId="77777777" w:rsidR="009F1758" w:rsidRDefault="009F1758" w:rsidP="00A12C89">
      <w:r>
        <w:tab/>
      </w:r>
      <w:r>
        <w:tab/>
      </w:r>
      <w:r>
        <w:tab/>
        <w:t>Actual Gain:</w:t>
      </w:r>
      <w:r>
        <w:tab/>
      </w:r>
      <w:r>
        <w:tab/>
        <w:t>$1,000,000</w:t>
      </w:r>
      <w:r w:rsidR="00AA498D">
        <w:t>...C minus A</w:t>
      </w:r>
    </w:p>
    <w:p w14:paraId="790E54CC" w14:textId="77777777" w:rsidR="009F1758" w:rsidRDefault="009F1758" w:rsidP="00A12C89">
      <w:r>
        <w:tab/>
      </w:r>
      <w:r>
        <w:tab/>
      </w:r>
      <w:r>
        <w:tab/>
        <w:t xml:space="preserve">Notional Gain </w:t>
      </w:r>
      <w:r w:rsidR="00AA498D">
        <w:t>2nd</w:t>
      </w:r>
      <w:r>
        <w:t xml:space="preserve"> step:</w:t>
      </w:r>
      <w:r>
        <w:tab/>
        <w:t>$50</w:t>
      </w:r>
      <w:r w:rsidR="007B1A74">
        <w:t>0</w:t>
      </w:r>
      <w:r>
        <w:t>,000</w:t>
      </w:r>
      <w:r w:rsidR="00AA498D">
        <w:t>...C minus B</w:t>
      </w:r>
    </w:p>
    <w:p w14:paraId="35D80AA0" w14:textId="77777777" w:rsidR="009F1758" w:rsidRDefault="009F1758" w:rsidP="00A12C89">
      <w:r>
        <w:tab/>
      </w:r>
      <w:r>
        <w:tab/>
      </w:r>
      <w:r>
        <w:tab/>
        <w:t>Assessable Gain:</w:t>
      </w:r>
      <w:r>
        <w:tab/>
        <w:t>$58,823 = 2/17 x $500,000</w:t>
      </w:r>
    </w:p>
    <w:p w14:paraId="3C1C60FC" w14:textId="77777777" w:rsidR="007B1A74" w:rsidRDefault="007B1A74" w:rsidP="00A12C89">
      <w:r>
        <w:t>Summary</w:t>
      </w:r>
    </w:p>
    <w:p w14:paraId="27C17A9E" w14:textId="77777777" w:rsidR="009F1758" w:rsidRDefault="009F1758" w:rsidP="00A12C89">
      <w:r>
        <w:t>The current capital gain exemption of the principal place of residence is the result of outmoded</w:t>
      </w:r>
      <w:r w:rsidR="009A5563">
        <w:t>, obsolete</w:t>
      </w:r>
      <w:r w:rsidR="007B1A74">
        <w:t xml:space="preserve"> tax</w:t>
      </w:r>
      <w:r>
        <w:t xml:space="preserve"> rev</w:t>
      </w:r>
      <w:r w:rsidR="007B1A74">
        <w:t>enue logic. I</w:t>
      </w:r>
      <w:r>
        <w:t>t i</w:t>
      </w:r>
      <w:r w:rsidR="007B1A74">
        <w:t>s a stupid, senseless tax law</w:t>
      </w:r>
      <w:r w:rsidR="00AA498D">
        <w:t xml:space="preserve"> in today’s modern financial investment climate</w:t>
      </w:r>
      <w:r w:rsidR="007B1A74">
        <w:t>. I</w:t>
      </w:r>
      <w:r>
        <w:t>t favours every taxpayer to arrange their tax affairs to capitalise their residence to avoid income tax and for some to gain t</w:t>
      </w:r>
      <w:r w:rsidR="007B1A74">
        <w:t>he age pension by devious means by reduction of assessable assets transferred and capitalised in the exempt residence.</w:t>
      </w:r>
    </w:p>
    <w:p w14:paraId="4489B56C" w14:textId="77777777" w:rsidR="007B1A74" w:rsidRDefault="007B1A74" w:rsidP="00A12C89">
      <w:r>
        <w:t xml:space="preserve">High net worth taxpayers particularly, deliberately invest and buy and sell main residences without any income tax liability. Surely the Government and Opposition parties and the people of Australia deplore this </w:t>
      </w:r>
      <w:r w:rsidR="009A5563">
        <w:t>Government-</w:t>
      </w:r>
      <w:r>
        <w:t>sponsored tax shelter, aided and abetted by the irresponsible income tax laws providing</w:t>
      </w:r>
      <w:r w:rsidR="00AA498D">
        <w:t xml:space="preserve"> tax</w:t>
      </w:r>
      <w:r>
        <w:t xml:space="preserve"> exemption of </w:t>
      </w:r>
      <w:r w:rsidR="00AA498D">
        <w:t xml:space="preserve">gains on </w:t>
      </w:r>
      <w:r>
        <w:t>the principal place of residence.</w:t>
      </w:r>
    </w:p>
    <w:p w14:paraId="7201C8A6" w14:textId="77777777" w:rsidR="009F1758" w:rsidRDefault="009F1758" w:rsidP="00A12C89">
      <w:r>
        <w:t>I commend this submission to the Government to implement.</w:t>
      </w:r>
    </w:p>
    <w:p w14:paraId="497B6F08" w14:textId="77777777" w:rsidR="009F1758" w:rsidRDefault="009F1758" w:rsidP="00A12C89"/>
    <w:p w14:paraId="1F5F60F2" w14:textId="77777777" w:rsidR="009F1758" w:rsidRDefault="009F1758" w:rsidP="00A12C89">
      <w:r>
        <w:t>________________________________________________</w:t>
      </w:r>
    </w:p>
    <w:p w14:paraId="2916F1FE" w14:textId="77777777" w:rsidR="009F1758" w:rsidRDefault="009F1758" w:rsidP="00A12C89">
      <w:r>
        <w:t>Neil Duncan</w:t>
      </w:r>
    </w:p>
    <w:p w14:paraId="704E5B16" w14:textId="77777777" w:rsidR="002A0593" w:rsidRDefault="002A0593"/>
    <w:sectPr w:rsidR="002A0593" w:rsidSect="00BF1B05">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9C7D9" w14:textId="77777777" w:rsidR="00C8733F" w:rsidRDefault="00C8733F" w:rsidP="00552E7C">
      <w:pPr>
        <w:spacing w:after="0" w:line="240" w:lineRule="auto"/>
      </w:pPr>
      <w:r>
        <w:separator/>
      </w:r>
    </w:p>
  </w:endnote>
  <w:endnote w:type="continuationSeparator" w:id="0">
    <w:p w14:paraId="51BB448C" w14:textId="77777777" w:rsidR="00C8733F" w:rsidRDefault="00C8733F" w:rsidP="00552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95594" w14:textId="77777777" w:rsidR="00C8733F" w:rsidRDefault="00C8733F" w:rsidP="00552E7C">
      <w:pPr>
        <w:spacing w:after="0" w:line="240" w:lineRule="auto"/>
      </w:pPr>
      <w:r>
        <w:separator/>
      </w:r>
    </w:p>
  </w:footnote>
  <w:footnote w:type="continuationSeparator" w:id="0">
    <w:p w14:paraId="0C2E0B56" w14:textId="77777777" w:rsidR="00C8733F" w:rsidRDefault="00C8733F" w:rsidP="00552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90239"/>
      <w:docPartObj>
        <w:docPartGallery w:val="Page Numbers (Top of Page)"/>
        <w:docPartUnique/>
      </w:docPartObj>
    </w:sdtPr>
    <w:sdtEndPr/>
    <w:sdtContent>
      <w:p w14:paraId="247C7455" w14:textId="77777777" w:rsidR="00552E7C" w:rsidRDefault="005953AF">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5587A0DE" w14:textId="77777777" w:rsidR="00552E7C" w:rsidRDefault="00552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41A7B"/>
    <w:multiLevelType w:val="hybridMultilevel"/>
    <w:tmpl w:val="1402C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CC458D2"/>
    <w:multiLevelType w:val="hybridMultilevel"/>
    <w:tmpl w:val="9AA6507A"/>
    <w:lvl w:ilvl="0" w:tplc="0C090015">
      <w:start w:val="1"/>
      <w:numFmt w:val="upp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696B7F87"/>
    <w:multiLevelType w:val="hybridMultilevel"/>
    <w:tmpl w:val="583A17AA"/>
    <w:lvl w:ilvl="0" w:tplc="0C090015">
      <w:start w:val="1"/>
      <w:numFmt w:val="upp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C453219"/>
    <w:multiLevelType w:val="hybridMultilevel"/>
    <w:tmpl w:val="46EEAF1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593"/>
    <w:rsid w:val="00001846"/>
    <w:rsid w:val="0002090F"/>
    <w:rsid w:val="0002634B"/>
    <w:rsid w:val="0002736B"/>
    <w:rsid w:val="00036760"/>
    <w:rsid w:val="00040205"/>
    <w:rsid w:val="000402D5"/>
    <w:rsid w:val="0006679E"/>
    <w:rsid w:val="00071E70"/>
    <w:rsid w:val="00077B5C"/>
    <w:rsid w:val="0008450E"/>
    <w:rsid w:val="00084E18"/>
    <w:rsid w:val="00090B5C"/>
    <w:rsid w:val="00090D0F"/>
    <w:rsid w:val="00090DA0"/>
    <w:rsid w:val="0009547D"/>
    <w:rsid w:val="000A3F12"/>
    <w:rsid w:val="000C20B6"/>
    <w:rsid w:val="000C3343"/>
    <w:rsid w:val="000E2781"/>
    <w:rsid w:val="000E5B74"/>
    <w:rsid w:val="000F0F1F"/>
    <w:rsid w:val="000F471F"/>
    <w:rsid w:val="00112C9D"/>
    <w:rsid w:val="001266C7"/>
    <w:rsid w:val="001267CE"/>
    <w:rsid w:val="00127661"/>
    <w:rsid w:val="00157C8D"/>
    <w:rsid w:val="00160602"/>
    <w:rsid w:val="001749B3"/>
    <w:rsid w:val="001808C9"/>
    <w:rsid w:val="001829D1"/>
    <w:rsid w:val="00185D8C"/>
    <w:rsid w:val="0018648F"/>
    <w:rsid w:val="0018649B"/>
    <w:rsid w:val="00187B7A"/>
    <w:rsid w:val="00191555"/>
    <w:rsid w:val="00191E5F"/>
    <w:rsid w:val="001A6EBD"/>
    <w:rsid w:val="001B6BA8"/>
    <w:rsid w:val="001E33AE"/>
    <w:rsid w:val="00205F2D"/>
    <w:rsid w:val="00214FB6"/>
    <w:rsid w:val="00230A36"/>
    <w:rsid w:val="00232F98"/>
    <w:rsid w:val="0024131A"/>
    <w:rsid w:val="0024596A"/>
    <w:rsid w:val="00263155"/>
    <w:rsid w:val="002662AA"/>
    <w:rsid w:val="002706F0"/>
    <w:rsid w:val="0027139F"/>
    <w:rsid w:val="00271D43"/>
    <w:rsid w:val="0027798F"/>
    <w:rsid w:val="0028716F"/>
    <w:rsid w:val="00287171"/>
    <w:rsid w:val="002A0593"/>
    <w:rsid w:val="002A493C"/>
    <w:rsid w:val="002B0105"/>
    <w:rsid w:val="002B1599"/>
    <w:rsid w:val="002B5127"/>
    <w:rsid w:val="002C096D"/>
    <w:rsid w:val="002D14C1"/>
    <w:rsid w:val="002D221C"/>
    <w:rsid w:val="002D5BC6"/>
    <w:rsid w:val="002F116F"/>
    <w:rsid w:val="00314263"/>
    <w:rsid w:val="003203BE"/>
    <w:rsid w:val="003323A5"/>
    <w:rsid w:val="00335348"/>
    <w:rsid w:val="00350D74"/>
    <w:rsid w:val="00354009"/>
    <w:rsid w:val="00356F96"/>
    <w:rsid w:val="00360588"/>
    <w:rsid w:val="00361FD0"/>
    <w:rsid w:val="00363636"/>
    <w:rsid w:val="00363649"/>
    <w:rsid w:val="00372E20"/>
    <w:rsid w:val="00376573"/>
    <w:rsid w:val="00376D5B"/>
    <w:rsid w:val="003A470C"/>
    <w:rsid w:val="003A5737"/>
    <w:rsid w:val="003A5E12"/>
    <w:rsid w:val="003A7635"/>
    <w:rsid w:val="003B7582"/>
    <w:rsid w:val="003D26FC"/>
    <w:rsid w:val="00401C1A"/>
    <w:rsid w:val="00411A74"/>
    <w:rsid w:val="0041366F"/>
    <w:rsid w:val="004374AD"/>
    <w:rsid w:val="004514C6"/>
    <w:rsid w:val="00452095"/>
    <w:rsid w:val="00457FF3"/>
    <w:rsid w:val="00464D4F"/>
    <w:rsid w:val="00465368"/>
    <w:rsid w:val="0046662C"/>
    <w:rsid w:val="00481C12"/>
    <w:rsid w:val="004965B3"/>
    <w:rsid w:val="004A47D0"/>
    <w:rsid w:val="004A5416"/>
    <w:rsid w:val="004B08C7"/>
    <w:rsid w:val="004B615C"/>
    <w:rsid w:val="00502C30"/>
    <w:rsid w:val="00510B9E"/>
    <w:rsid w:val="00510F32"/>
    <w:rsid w:val="005173A6"/>
    <w:rsid w:val="00525299"/>
    <w:rsid w:val="00534157"/>
    <w:rsid w:val="005345ED"/>
    <w:rsid w:val="005511D7"/>
    <w:rsid w:val="0055218B"/>
    <w:rsid w:val="00552E7C"/>
    <w:rsid w:val="00560F09"/>
    <w:rsid w:val="00571E69"/>
    <w:rsid w:val="00574D67"/>
    <w:rsid w:val="00580816"/>
    <w:rsid w:val="005845F5"/>
    <w:rsid w:val="0059082A"/>
    <w:rsid w:val="005953AF"/>
    <w:rsid w:val="005A3792"/>
    <w:rsid w:val="005B186A"/>
    <w:rsid w:val="005C4B5B"/>
    <w:rsid w:val="006019F5"/>
    <w:rsid w:val="00602808"/>
    <w:rsid w:val="0060682E"/>
    <w:rsid w:val="00610DF9"/>
    <w:rsid w:val="00623B69"/>
    <w:rsid w:val="00633E7B"/>
    <w:rsid w:val="00637D18"/>
    <w:rsid w:val="006471E6"/>
    <w:rsid w:val="006544AD"/>
    <w:rsid w:val="00655A6A"/>
    <w:rsid w:val="00660259"/>
    <w:rsid w:val="006622E5"/>
    <w:rsid w:val="006624CD"/>
    <w:rsid w:val="006718A1"/>
    <w:rsid w:val="006A4C2A"/>
    <w:rsid w:val="006B40D5"/>
    <w:rsid w:val="006C2E72"/>
    <w:rsid w:val="006D6627"/>
    <w:rsid w:val="006F53D6"/>
    <w:rsid w:val="006F7B63"/>
    <w:rsid w:val="0070206A"/>
    <w:rsid w:val="00706D77"/>
    <w:rsid w:val="00734ED0"/>
    <w:rsid w:val="007374DE"/>
    <w:rsid w:val="00763C71"/>
    <w:rsid w:val="007A3C8D"/>
    <w:rsid w:val="007B1A74"/>
    <w:rsid w:val="007B7ED3"/>
    <w:rsid w:val="007D023D"/>
    <w:rsid w:val="007D0B90"/>
    <w:rsid w:val="007E21F1"/>
    <w:rsid w:val="007F64AB"/>
    <w:rsid w:val="00800512"/>
    <w:rsid w:val="008041BB"/>
    <w:rsid w:val="00806591"/>
    <w:rsid w:val="008066DF"/>
    <w:rsid w:val="00811564"/>
    <w:rsid w:val="00812ED2"/>
    <w:rsid w:val="00825981"/>
    <w:rsid w:val="00846003"/>
    <w:rsid w:val="008642F1"/>
    <w:rsid w:val="008662F0"/>
    <w:rsid w:val="00882FD4"/>
    <w:rsid w:val="0089274F"/>
    <w:rsid w:val="008C1247"/>
    <w:rsid w:val="008C49D7"/>
    <w:rsid w:val="008C4E83"/>
    <w:rsid w:val="008C6BE9"/>
    <w:rsid w:val="008E57E8"/>
    <w:rsid w:val="008E6056"/>
    <w:rsid w:val="009160B5"/>
    <w:rsid w:val="00921336"/>
    <w:rsid w:val="00927D2C"/>
    <w:rsid w:val="0095257A"/>
    <w:rsid w:val="0096056B"/>
    <w:rsid w:val="0096150D"/>
    <w:rsid w:val="00973E0F"/>
    <w:rsid w:val="0097648E"/>
    <w:rsid w:val="0098058C"/>
    <w:rsid w:val="00982CE4"/>
    <w:rsid w:val="009A05D8"/>
    <w:rsid w:val="009A0A55"/>
    <w:rsid w:val="009A4A56"/>
    <w:rsid w:val="009A5563"/>
    <w:rsid w:val="009A6EE1"/>
    <w:rsid w:val="009B27B8"/>
    <w:rsid w:val="009C7FA3"/>
    <w:rsid w:val="009D759A"/>
    <w:rsid w:val="009E6706"/>
    <w:rsid w:val="009F1758"/>
    <w:rsid w:val="009F3CC7"/>
    <w:rsid w:val="00A01FD2"/>
    <w:rsid w:val="00A03B68"/>
    <w:rsid w:val="00A12C89"/>
    <w:rsid w:val="00A16DD4"/>
    <w:rsid w:val="00A34131"/>
    <w:rsid w:val="00A4067F"/>
    <w:rsid w:val="00A47317"/>
    <w:rsid w:val="00A507D6"/>
    <w:rsid w:val="00A664FD"/>
    <w:rsid w:val="00A701D8"/>
    <w:rsid w:val="00A71463"/>
    <w:rsid w:val="00A75D9A"/>
    <w:rsid w:val="00A82CFC"/>
    <w:rsid w:val="00A8558D"/>
    <w:rsid w:val="00A95B0A"/>
    <w:rsid w:val="00AA498D"/>
    <w:rsid w:val="00AA56FC"/>
    <w:rsid w:val="00AA711F"/>
    <w:rsid w:val="00AD49BE"/>
    <w:rsid w:val="00AD7A6E"/>
    <w:rsid w:val="00AE0131"/>
    <w:rsid w:val="00AE13C5"/>
    <w:rsid w:val="00AE1D1F"/>
    <w:rsid w:val="00B20C44"/>
    <w:rsid w:val="00B326E3"/>
    <w:rsid w:val="00B45BF4"/>
    <w:rsid w:val="00B50A49"/>
    <w:rsid w:val="00B54BB7"/>
    <w:rsid w:val="00B565F0"/>
    <w:rsid w:val="00B577EB"/>
    <w:rsid w:val="00B602C4"/>
    <w:rsid w:val="00B759E2"/>
    <w:rsid w:val="00B77102"/>
    <w:rsid w:val="00B7713A"/>
    <w:rsid w:val="00B85FA1"/>
    <w:rsid w:val="00B87C71"/>
    <w:rsid w:val="00BA05DA"/>
    <w:rsid w:val="00BA0E23"/>
    <w:rsid w:val="00BB0219"/>
    <w:rsid w:val="00BB4933"/>
    <w:rsid w:val="00BC0F8E"/>
    <w:rsid w:val="00BC7478"/>
    <w:rsid w:val="00BE0861"/>
    <w:rsid w:val="00BF1B05"/>
    <w:rsid w:val="00C0116E"/>
    <w:rsid w:val="00C01AD8"/>
    <w:rsid w:val="00C039F6"/>
    <w:rsid w:val="00C1050F"/>
    <w:rsid w:val="00C22A3B"/>
    <w:rsid w:val="00C36DD1"/>
    <w:rsid w:val="00C428C2"/>
    <w:rsid w:val="00C53695"/>
    <w:rsid w:val="00C5515E"/>
    <w:rsid w:val="00C5521F"/>
    <w:rsid w:val="00C61D94"/>
    <w:rsid w:val="00C6652E"/>
    <w:rsid w:val="00C73C84"/>
    <w:rsid w:val="00C75A93"/>
    <w:rsid w:val="00C840B0"/>
    <w:rsid w:val="00C84B97"/>
    <w:rsid w:val="00C8733F"/>
    <w:rsid w:val="00C9221A"/>
    <w:rsid w:val="00CA5828"/>
    <w:rsid w:val="00CA66D3"/>
    <w:rsid w:val="00CB4A7E"/>
    <w:rsid w:val="00CD3B5F"/>
    <w:rsid w:val="00CD3EEC"/>
    <w:rsid w:val="00CE3377"/>
    <w:rsid w:val="00CE43FE"/>
    <w:rsid w:val="00D040CF"/>
    <w:rsid w:val="00D10A77"/>
    <w:rsid w:val="00D31BBE"/>
    <w:rsid w:val="00D31CE5"/>
    <w:rsid w:val="00D365A7"/>
    <w:rsid w:val="00D4166B"/>
    <w:rsid w:val="00D464D6"/>
    <w:rsid w:val="00D51A11"/>
    <w:rsid w:val="00D53A0E"/>
    <w:rsid w:val="00D54B84"/>
    <w:rsid w:val="00D66A59"/>
    <w:rsid w:val="00D7318C"/>
    <w:rsid w:val="00D81D9A"/>
    <w:rsid w:val="00D86225"/>
    <w:rsid w:val="00D935B1"/>
    <w:rsid w:val="00DA2013"/>
    <w:rsid w:val="00DA627F"/>
    <w:rsid w:val="00DB3DA4"/>
    <w:rsid w:val="00DB4205"/>
    <w:rsid w:val="00DD729C"/>
    <w:rsid w:val="00DE29CE"/>
    <w:rsid w:val="00DE6566"/>
    <w:rsid w:val="00DF0993"/>
    <w:rsid w:val="00E02614"/>
    <w:rsid w:val="00E03617"/>
    <w:rsid w:val="00E16C74"/>
    <w:rsid w:val="00E247C9"/>
    <w:rsid w:val="00E35135"/>
    <w:rsid w:val="00E52FAE"/>
    <w:rsid w:val="00E60937"/>
    <w:rsid w:val="00E710D9"/>
    <w:rsid w:val="00E72A8C"/>
    <w:rsid w:val="00E73CD8"/>
    <w:rsid w:val="00E75001"/>
    <w:rsid w:val="00E75A52"/>
    <w:rsid w:val="00E87384"/>
    <w:rsid w:val="00EA6E29"/>
    <w:rsid w:val="00EC1BD4"/>
    <w:rsid w:val="00ED15FD"/>
    <w:rsid w:val="00ED23DA"/>
    <w:rsid w:val="00EE7271"/>
    <w:rsid w:val="00EF2039"/>
    <w:rsid w:val="00EF4657"/>
    <w:rsid w:val="00F17F72"/>
    <w:rsid w:val="00F20AFF"/>
    <w:rsid w:val="00F20C8F"/>
    <w:rsid w:val="00F42908"/>
    <w:rsid w:val="00F45B00"/>
    <w:rsid w:val="00F45B45"/>
    <w:rsid w:val="00F469C4"/>
    <w:rsid w:val="00F56D53"/>
    <w:rsid w:val="00F746F7"/>
    <w:rsid w:val="00F8129D"/>
    <w:rsid w:val="00F86677"/>
    <w:rsid w:val="00F8743D"/>
    <w:rsid w:val="00F90369"/>
    <w:rsid w:val="00F9595F"/>
    <w:rsid w:val="00F96B1B"/>
    <w:rsid w:val="00F971A7"/>
    <w:rsid w:val="00FA075C"/>
    <w:rsid w:val="00FB13F5"/>
    <w:rsid w:val="00FB1B86"/>
    <w:rsid w:val="00FB2E96"/>
    <w:rsid w:val="00FC20D2"/>
    <w:rsid w:val="00FC5E12"/>
    <w:rsid w:val="00FC70F1"/>
    <w:rsid w:val="00FD69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C89"/>
    <w:pPr>
      <w:ind w:left="720"/>
      <w:contextualSpacing/>
    </w:pPr>
  </w:style>
  <w:style w:type="paragraph" w:styleId="BalloonText">
    <w:name w:val="Balloon Text"/>
    <w:basedOn w:val="Normal"/>
    <w:link w:val="BalloonTextChar"/>
    <w:uiPriority w:val="99"/>
    <w:semiHidden/>
    <w:unhideWhenUsed/>
    <w:rsid w:val="009F1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758"/>
    <w:rPr>
      <w:rFonts w:ascii="Tahoma" w:hAnsi="Tahoma" w:cs="Tahoma"/>
      <w:sz w:val="16"/>
      <w:szCs w:val="16"/>
    </w:rPr>
  </w:style>
  <w:style w:type="character" w:styleId="Hyperlink">
    <w:name w:val="Hyperlink"/>
    <w:basedOn w:val="DefaultParagraphFont"/>
    <w:uiPriority w:val="99"/>
    <w:unhideWhenUsed/>
    <w:rsid w:val="00552E7C"/>
    <w:rPr>
      <w:color w:val="0000FF" w:themeColor="hyperlink"/>
      <w:u w:val="single"/>
    </w:rPr>
  </w:style>
  <w:style w:type="paragraph" w:styleId="Header">
    <w:name w:val="header"/>
    <w:basedOn w:val="Normal"/>
    <w:link w:val="HeaderChar"/>
    <w:uiPriority w:val="99"/>
    <w:unhideWhenUsed/>
    <w:rsid w:val="00552E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2E7C"/>
  </w:style>
  <w:style w:type="paragraph" w:styleId="Footer">
    <w:name w:val="footer"/>
    <w:basedOn w:val="Normal"/>
    <w:link w:val="FooterChar"/>
    <w:uiPriority w:val="99"/>
    <w:semiHidden/>
    <w:unhideWhenUsed/>
    <w:rsid w:val="00552E7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52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C89"/>
    <w:pPr>
      <w:ind w:left="720"/>
      <w:contextualSpacing/>
    </w:pPr>
  </w:style>
  <w:style w:type="paragraph" w:styleId="BalloonText">
    <w:name w:val="Balloon Text"/>
    <w:basedOn w:val="Normal"/>
    <w:link w:val="BalloonTextChar"/>
    <w:uiPriority w:val="99"/>
    <w:semiHidden/>
    <w:unhideWhenUsed/>
    <w:rsid w:val="009F1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758"/>
    <w:rPr>
      <w:rFonts w:ascii="Tahoma" w:hAnsi="Tahoma" w:cs="Tahoma"/>
      <w:sz w:val="16"/>
      <w:szCs w:val="16"/>
    </w:rPr>
  </w:style>
  <w:style w:type="character" w:styleId="Hyperlink">
    <w:name w:val="Hyperlink"/>
    <w:basedOn w:val="DefaultParagraphFont"/>
    <w:uiPriority w:val="99"/>
    <w:unhideWhenUsed/>
    <w:rsid w:val="00552E7C"/>
    <w:rPr>
      <w:color w:val="0000FF" w:themeColor="hyperlink"/>
      <w:u w:val="single"/>
    </w:rPr>
  </w:style>
  <w:style w:type="paragraph" w:styleId="Header">
    <w:name w:val="header"/>
    <w:basedOn w:val="Normal"/>
    <w:link w:val="HeaderChar"/>
    <w:uiPriority w:val="99"/>
    <w:unhideWhenUsed/>
    <w:rsid w:val="00552E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2E7C"/>
  </w:style>
  <w:style w:type="paragraph" w:styleId="Footer">
    <w:name w:val="footer"/>
    <w:basedOn w:val="Normal"/>
    <w:link w:val="FooterChar"/>
    <w:uiPriority w:val="99"/>
    <w:semiHidden/>
    <w:unhideWhenUsed/>
    <w:rsid w:val="00552E7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52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bettertax@treasury.gov.au/haveyoursa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2014RG-82-7992</_dlc_DocId>
    <_dlc_DocIdUrl xmlns="9f7bc583-7cbe-45b9-a2bd-8bbb6543b37e">
      <Url>http://tweb/sites/rg/project/twptf/_layouts/15/DocIdRedir.aspx?ID=2014RG-82-7992</Url>
      <Description>2014RG-82-7992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75C77-3187-467B-8AAE-7DD25B387EA5}"/>
</file>

<file path=customXml/itemProps2.xml><?xml version="1.0" encoding="utf-8"?>
<ds:datastoreItem xmlns:ds="http://schemas.openxmlformats.org/officeDocument/2006/customXml" ds:itemID="{894F71A1-7A78-4139-8950-9208B2F8FFE1}"/>
</file>

<file path=customXml/itemProps3.xml><?xml version="1.0" encoding="utf-8"?>
<ds:datastoreItem xmlns:ds="http://schemas.openxmlformats.org/officeDocument/2006/customXml" ds:itemID="{2CE6FB0E-1DDA-40DE-8818-C28385251ED6}"/>
</file>

<file path=customXml/itemProps4.xml><?xml version="1.0" encoding="utf-8"?>
<ds:datastoreItem xmlns:ds="http://schemas.openxmlformats.org/officeDocument/2006/customXml" ds:itemID="{A6F5ABF8-C47F-4A6D-9B39-FCA56D07A78A}"/>
</file>

<file path=customXml/itemProps5.xml><?xml version="1.0" encoding="utf-8"?>
<ds:datastoreItem xmlns:ds="http://schemas.openxmlformats.org/officeDocument/2006/customXml" ds:itemID="{91926FF4-CE35-43C3-BFA9-2F5649270B62}"/>
</file>

<file path=docProps/app.xml><?xml version="1.0" encoding="utf-8"?>
<Properties xmlns="http://schemas.openxmlformats.org/officeDocument/2006/extended-properties" xmlns:vt="http://schemas.openxmlformats.org/officeDocument/2006/docPropsVTypes">
  <Template>Normal.dotm</Template>
  <TotalTime>1</TotalTime>
  <Pages>4</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Duncan, Neil - Submission to the Tax White Paper</vt:lpstr>
    </vt:vector>
  </TitlesOfParts>
  <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Duncan, Neil - Submission to the Tax White Paper</dc:title>
  <dc:creator>Duncan, Neil</dc:creator>
  <cp:lastModifiedBy>McLeod, Caitlin</cp:lastModifiedBy>
  <cp:revision>3</cp:revision>
  <cp:lastPrinted>2015-05-23T06:42:00Z</cp:lastPrinted>
  <dcterms:created xsi:type="dcterms:W3CDTF">2015-05-28T06:46:00Z</dcterms:created>
  <dcterms:modified xsi:type="dcterms:W3CDTF">2015-05-28T06:47:00Z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e82d3ebf-70a7-4ddd-850d-3ef90f96769e</vt:lpwstr>
  </property>
  <property fmtid="{D5CDD505-2E9C-101B-9397-08002B2CF9AE}" pid="6" name="ContentTypeId">
    <vt:lpwstr>0x01010036BB8DE7EC542E42A8B2E98CC20CB69700AA356CCBB2B4204EB1CD923E8E69F50F</vt:lpwstr>
  </property>
</Properties>
</file>