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1E6C2" w14:textId="77777777" w:rsidR="009B110C" w:rsidRPr="00AD46AC" w:rsidRDefault="009B110C" w:rsidP="00D14FC6">
      <w:pPr>
        <w:rPr>
          <w:rFonts w:cs="Times New Roman"/>
          <w:b/>
          <w:sz w:val="24"/>
          <w:szCs w:val="24"/>
        </w:rPr>
      </w:pPr>
    </w:p>
    <w:p w14:paraId="684E7A63" w14:textId="77777777" w:rsidR="00A63E67" w:rsidRPr="00AD46AC" w:rsidRDefault="00FA1EC8" w:rsidP="00D14FC6">
      <w:pPr>
        <w:pStyle w:val="Firstlevelheading"/>
        <w:rPr>
          <w:rFonts w:asciiTheme="minorHAnsi" w:eastAsiaTheme="minorHAnsi" w:hAnsiTheme="minorHAnsi"/>
          <w:b w:val="0"/>
          <w:bCs w:val="0"/>
          <w:lang w:bidi="ar-SA"/>
        </w:rPr>
      </w:pPr>
      <w:r>
        <w:rPr>
          <w:b w:val="0"/>
          <w:noProof/>
          <w:color w:val="FF0000"/>
          <w:lang w:bidi="ar-SA"/>
        </w:rPr>
        <w:drawing>
          <wp:inline distT="0" distB="0" distL="0" distR="0" wp14:anchorId="747875C3" wp14:editId="4C4AC0A3">
            <wp:extent cx="2190750" cy="1013343"/>
            <wp:effectExtent l="19050" t="0" r="0" b="0"/>
            <wp:docPr id="3" name="Picture 1" descr="DAA logo(outline)PMS_348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A logo(outline)PMS_348 copy"/>
                    <pic:cNvPicPr>
                      <a:picLocks noChangeAspect="1" noChangeArrowheads="1"/>
                    </pic:cNvPicPr>
                  </pic:nvPicPr>
                  <pic:blipFill>
                    <a:blip r:embed="rId13" cstate="print"/>
                    <a:srcRect/>
                    <a:stretch>
                      <a:fillRect/>
                    </a:stretch>
                  </pic:blipFill>
                  <pic:spPr bwMode="auto">
                    <a:xfrm>
                      <a:off x="0" y="0"/>
                      <a:ext cx="2190750" cy="1013343"/>
                    </a:xfrm>
                    <a:prstGeom prst="rect">
                      <a:avLst/>
                    </a:prstGeom>
                    <a:noFill/>
                    <a:ln w="9525">
                      <a:noFill/>
                      <a:miter lim="800000"/>
                      <a:headEnd/>
                      <a:tailEnd/>
                    </a:ln>
                  </pic:spPr>
                </pic:pic>
              </a:graphicData>
            </a:graphic>
          </wp:inline>
        </w:drawing>
      </w:r>
    </w:p>
    <w:p w14:paraId="25BA26F8" w14:textId="77777777" w:rsidR="00AD46AC" w:rsidRPr="00AD46AC" w:rsidRDefault="00AD46AC" w:rsidP="00D14FC6">
      <w:pPr>
        <w:pStyle w:val="Firstlevelheading"/>
        <w:rPr>
          <w:rFonts w:asciiTheme="minorHAnsi" w:eastAsiaTheme="minorHAnsi" w:hAnsiTheme="minorHAnsi"/>
          <w:bCs w:val="0"/>
          <w:lang w:bidi="ar-SA"/>
        </w:rPr>
      </w:pPr>
    </w:p>
    <w:p w14:paraId="7175CD5C" w14:textId="77777777" w:rsidR="00D14FC6" w:rsidRPr="00AD46AC" w:rsidRDefault="00FA1EC8" w:rsidP="00D14FC6">
      <w:pPr>
        <w:pStyle w:val="Firstlevelheading"/>
        <w:rPr>
          <w:rFonts w:asciiTheme="minorHAnsi" w:eastAsiaTheme="minorHAnsi" w:hAnsiTheme="minorHAnsi"/>
          <w:bCs w:val="0"/>
          <w:lang w:bidi="ar-SA"/>
        </w:rPr>
      </w:pPr>
      <w:proofErr w:type="spellStart"/>
      <w:r>
        <w:rPr>
          <w:rFonts w:asciiTheme="minorHAnsi" w:eastAsiaTheme="minorHAnsi" w:hAnsiTheme="minorHAnsi"/>
          <w:bCs w:val="0"/>
          <w:lang w:bidi="ar-SA"/>
        </w:rPr>
        <w:t>Re</w:t>
      </w:r>
      <w:proofErr w:type="gramStart"/>
      <w:r>
        <w:rPr>
          <w:rFonts w:asciiTheme="minorHAnsi" w:eastAsiaTheme="minorHAnsi" w:hAnsiTheme="minorHAnsi"/>
          <w:bCs w:val="0"/>
          <w:lang w:bidi="ar-SA"/>
        </w:rPr>
        <w:t>:think</w:t>
      </w:r>
      <w:proofErr w:type="spellEnd"/>
      <w:proofErr w:type="gramEnd"/>
      <w:r>
        <w:rPr>
          <w:rFonts w:asciiTheme="minorHAnsi" w:eastAsiaTheme="minorHAnsi" w:hAnsiTheme="minorHAnsi"/>
          <w:bCs w:val="0"/>
          <w:lang w:bidi="ar-SA"/>
        </w:rPr>
        <w:t>. Better tax, better Australia</w:t>
      </w:r>
    </w:p>
    <w:p w14:paraId="4F543762" w14:textId="77777777" w:rsidR="00D14FC6" w:rsidRPr="00AD46AC" w:rsidRDefault="00FA1EC8" w:rsidP="00D14FC6">
      <w:pPr>
        <w:rPr>
          <w:rFonts w:cs="Times New Roman"/>
          <w:b/>
          <w:sz w:val="24"/>
          <w:szCs w:val="24"/>
        </w:rPr>
      </w:pPr>
      <w:r>
        <w:rPr>
          <w:rFonts w:cs="Times New Roman"/>
          <w:b/>
          <w:sz w:val="24"/>
          <w:szCs w:val="24"/>
        </w:rPr>
        <w:t>June 2015</w:t>
      </w:r>
    </w:p>
    <w:p w14:paraId="6CDD9945" w14:textId="77777777" w:rsidR="00A63E67" w:rsidRPr="00AD46AC" w:rsidRDefault="00A63E67" w:rsidP="00D14FC6">
      <w:pPr>
        <w:pStyle w:val="Firstlevelheading"/>
        <w:rPr>
          <w:rFonts w:asciiTheme="minorHAnsi" w:eastAsiaTheme="minorHAnsi" w:hAnsiTheme="minorHAnsi"/>
          <w:b w:val="0"/>
          <w:bCs w:val="0"/>
          <w:lang w:bidi="ar-SA"/>
        </w:rPr>
      </w:pPr>
    </w:p>
    <w:p w14:paraId="0C4DD0C6" w14:textId="77777777" w:rsidR="00D14FC6" w:rsidRPr="00AD46AC" w:rsidRDefault="00D14FC6" w:rsidP="00D14FC6">
      <w:pPr>
        <w:pStyle w:val="Firstlevelheading"/>
        <w:rPr>
          <w:rFonts w:asciiTheme="minorHAnsi" w:eastAsiaTheme="minorHAnsi" w:hAnsiTheme="minorHAnsi"/>
          <w:b w:val="0"/>
          <w:bCs w:val="0"/>
          <w:lang w:bidi="ar-SA"/>
        </w:rPr>
      </w:pPr>
    </w:p>
    <w:p w14:paraId="204EF434" w14:textId="77777777" w:rsidR="00D14FC6" w:rsidRPr="00AD46AC" w:rsidRDefault="00D14FC6" w:rsidP="00D14FC6">
      <w:pPr>
        <w:pStyle w:val="Firstlevelheading"/>
        <w:rPr>
          <w:rFonts w:asciiTheme="minorHAnsi" w:eastAsiaTheme="minorHAnsi" w:hAnsiTheme="minorHAnsi"/>
          <w:b w:val="0"/>
          <w:bCs w:val="0"/>
          <w:lang w:bidi="ar-SA"/>
        </w:rPr>
      </w:pPr>
    </w:p>
    <w:p w14:paraId="0FFB322E" w14:textId="77777777" w:rsidR="00D14FC6" w:rsidRPr="00AD46AC" w:rsidRDefault="00D14FC6" w:rsidP="00D14FC6">
      <w:pPr>
        <w:pStyle w:val="Firstlevelheading"/>
        <w:rPr>
          <w:rFonts w:asciiTheme="minorHAnsi" w:eastAsiaTheme="minorHAnsi" w:hAnsiTheme="minorHAnsi"/>
          <w:b w:val="0"/>
          <w:bCs w:val="0"/>
          <w:lang w:bidi="ar-SA"/>
        </w:rPr>
      </w:pPr>
    </w:p>
    <w:p w14:paraId="32C0C689" w14:textId="77777777" w:rsidR="00D14FC6" w:rsidRPr="00AD46AC" w:rsidRDefault="00D14FC6" w:rsidP="00D14FC6">
      <w:pPr>
        <w:pStyle w:val="Firstlevelheading"/>
        <w:rPr>
          <w:rFonts w:asciiTheme="minorHAnsi" w:eastAsiaTheme="minorHAnsi" w:hAnsiTheme="minorHAnsi"/>
          <w:b w:val="0"/>
          <w:bCs w:val="0"/>
          <w:lang w:bidi="ar-SA"/>
        </w:rPr>
      </w:pPr>
    </w:p>
    <w:p w14:paraId="288D359C" w14:textId="77777777" w:rsidR="00D14FC6" w:rsidRPr="00AD46AC" w:rsidRDefault="00D14FC6" w:rsidP="00D14FC6">
      <w:pPr>
        <w:pStyle w:val="Firstlevelheading"/>
        <w:rPr>
          <w:rFonts w:asciiTheme="minorHAnsi" w:eastAsiaTheme="minorHAnsi" w:hAnsiTheme="minorHAnsi"/>
          <w:b w:val="0"/>
          <w:bCs w:val="0"/>
          <w:lang w:bidi="ar-SA"/>
        </w:rPr>
      </w:pPr>
    </w:p>
    <w:p w14:paraId="4C4E7238" w14:textId="77777777" w:rsidR="00D14FC6" w:rsidRPr="00AD46AC" w:rsidRDefault="00D14FC6" w:rsidP="00D14FC6">
      <w:pPr>
        <w:pStyle w:val="Firstlevelheading"/>
        <w:rPr>
          <w:rFonts w:asciiTheme="minorHAnsi" w:eastAsiaTheme="minorHAnsi" w:hAnsiTheme="minorHAnsi"/>
          <w:b w:val="0"/>
          <w:bCs w:val="0"/>
          <w:lang w:bidi="ar-SA"/>
        </w:rPr>
      </w:pPr>
    </w:p>
    <w:p w14:paraId="7880B24C" w14:textId="77777777" w:rsidR="00D14FC6" w:rsidRPr="00AD46AC" w:rsidRDefault="00D14FC6" w:rsidP="00D14FC6">
      <w:pPr>
        <w:pStyle w:val="Firstlevelheading"/>
        <w:rPr>
          <w:rFonts w:asciiTheme="minorHAnsi" w:eastAsiaTheme="minorHAnsi" w:hAnsiTheme="minorHAnsi"/>
          <w:b w:val="0"/>
          <w:bCs w:val="0"/>
          <w:lang w:bidi="ar-SA"/>
        </w:rPr>
      </w:pPr>
    </w:p>
    <w:p w14:paraId="7C44F349" w14:textId="77777777" w:rsidR="00D14FC6" w:rsidRPr="00AD46AC" w:rsidRDefault="00D14FC6" w:rsidP="00D14FC6">
      <w:pPr>
        <w:pStyle w:val="Firstlevelheading"/>
        <w:rPr>
          <w:rFonts w:asciiTheme="minorHAnsi" w:eastAsiaTheme="minorHAnsi" w:hAnsiTheme="minorHAnsi"/>
          <w:b w:val="0"/>
          <w:bCs w:val="0"/>
          <w:lang w:bidi="ar-SA"/>
        </w:rPr>
      </w:pPr>
    </w:p>
    <w:p w14:paraId="7C362416" w14:textId="77777777" w:rsidR="00D14FC6" w:rsidRPr="00AD46AC" w:rsidRDefault="00D14FC6" w:rsidP="00D14FC6">
      <w:pPr>
        <w:pStyle w:val="Firstlevelheading"/>
        <w:rPr>
          <w:rFonts w:asciiTheme="minorHAnsi" w:eastAsiaTheme="minorHAnsi" w:hAnsiTheme="minorHAnsi"/>
          <w:b w:val="0"/>
          <w:bCs w:val="0"/>
          <w:lang w:bidi="ar-SA"/>
        </w:rPr>
      </w:pPr>
    </w:p>
    <w:p w14:paraId="441367D6" w14:textId="77777777" w:rsidR="00D14FC6" w:rsidRPr="00AD46AC" w:rsidRDefault="00D14FC6" w:rsidP="00D14FC6">
      <w:pPr>
        <w:pStyle w:val="Firstlevelheading"/>
        <w:rPr>
          <w:rFonts w:asciiTheme="minorHAnsi" w:eastAsiaTheme="minorHAnsi" w:hAnsiTheme="minorHAnsi"/>
          <w:b w:val="0"/>
          <w:bCs w:val="0"/>
          <w:lang w:bidi="ar-SA"/>
        </w:rPr>
      </w:pPr>
    </w:p>
    <w:p w14:paraId="378362B8" w14:textId="77777777" w:rsidR="00A63E67" w:rsidRPr="00AD46AC" w:rsidRDefault="00A63E67" w:rsidP="00D14FC6">
      <w:pPr>
        <w:spacing w:after="0"/>
        <w:rPr>
          <w:rFonts w:cs="Times New Roman"/>
          <w:sz w:val="24"/>
          <w:szCs w:val="24"/>
        </w:rPr>
      </w:pPr>
      <w:r w:rsidRPr="00AD46AC">
        <w:rPr>
          <w:rFonts w:cs="Times New Roman"/>
          <w:sz w:val="24"/>
          <w:szCs w:val="24"/>
        </w:rPr>
        <w:t xml:space="preserve">The </w:t>
      </w:r>
      <w:bookmarkStart w:id="0" w:name="_GoBack"/>
      <w:r w:rsidRPr="00AD46AC">
        <w:rPr>
          <w:rFonts w:cs="Times New Roman"/>
          <w:sz w:val="24"/>
          <w:szCs w:val="24"/>
        </w:rPr>
        <w:t>Dietitians Association of Australia</w:t>
      </w:r>
      <w:bookmarkEnd w:id="0"/>
      <w:r w:rsidRPr="00AD46AC">
        <w:rPr>
          <w:rFonts w:cs="Times New Roman"/>
          <w:sz w:val="24"/>
          <w:szCs w:val="24"/>
        </w:rPr>
        <w:t xml:space="preserve"> (DAA) is the national association of the </w:t>
      </w:r>
      <w:r w:rsidR="00C252CB">
        <w:rPr>
          <w:rFonts w:cs="Times New Roman"/>
          <w:sz w:val="24"/>
          <w:szCs w:val="24"/>
        </w:rPr>
        <w:t>dietetic profession with over 58</w:t>
      </w:r>
      <w:r w:rsidRPr="00AD46AC">
        <w:rPr>
          <w:rFonts w:cs="Times New Roman"/>
          <w:sz w:val="24"/>
          <w:szCs w:val="24"/>
        </w:rPr>
        <w:t xml:space="preserve">00 members, and branches in each state and territory. DAA is a leader in nutrition and advocates for </w:t>
      </w:r>
      <w:r w:rsidR="00863356">
        <w:rPr>
          <w:rFonts w:cs="Times New Roman"/>
          <w:sz w:val="24"/>
          <w:szCs w:val="24"/>
        </w:rPr>
        <w:t>food and nutrition for healthier people and healthier nations</w:t>
      </w:r>
      <w:r w:rsidR="00FA1EC8">
        <w:rPr>
          <w:rFonts w:cs="Times New Roman"/>
          <w:sz w:val="24"/>
          <w:szCs w:val="24"/>
        </w:rPr>
        <w:t xml:space="preserve">. </w:t>
      </w:r>
      <w:r w:rsidRPr="00AD46AC">
        <w:rPr>
          <w:rFonts w:cs="Times New Roman"/>
          <w:sz w:val="24"/>
          <w:szCs w:val="24"/>
        </w:rPr>
        <w:t xml:space="preserve">DAA appreciates the opportunity to provide feedback on </w:t>
      </w:r>
      <w:proofErr w:type="spellStart"/>
      <w:r w:rsidR="00FA1EC8" w:rsidRPr="00FA1EC8">
        <w:rPr>
          <w:rFonts w:cs="Times New Roman"/>
          <w:i/>
          <w:sz w:val="24"/>
          <w:szCs w:val="24"/>
        </w:rPr>
        <w:t>Re</w:t>
      </w:r>
      <w:proofErr w:type="gramStart"/>
      <w:r w:rsidR="00FA1EC8" w:rsidRPr="00FA1EC8">
        <w:rPr>
          <w:rFonts w:cs="Times New Roman"/>
          <w:i/>
          <w:sz w:val="24"/>
          <w:szCs w:val="24"/>
        </w:rPr>
        <w:t>:think</w:t>
      </w:r>
      <w:proofErr w:type="spellEnd"/>
      <w:proofErr w:type="gramEnd"/>
      <w:r w:rsidR="00FA1EC8" w:rsidRPr="00FA1EC8">
        <w:rPr>
          <w:rFonts w:cs="Times New Roman"/>
          <w:i/>
          <w:sz w:val="24"/>
          <w:szCs w:val="24"/>
        </w:rPr>
        <w:t xml:space="preserve">. Better tax, better Australia </w:t>
      </w:r>
      <w:r w:rsidR="00FA1EC8">
        <w:rPr>
          <w:rFonts w:cs="Times New Roman"/>
          <w:sz w:val="24"/>
          <w:szCs w:val="24"/>
        </w:rPr>
        <w:t xml:space="preserve">by The Treasurer. </w:t>
      </w:r>
    </w:p>
    <w:p w14:paraId="466F0EDA" w14:textId="77777777" w:rsidR="00A63E67" w:rsidRPr="00AD46AC" w:rsidRDefault="00A63E67" w:rsidP="00D14FC6">
      <w:pPr>
        <w:spacing w:after="0"/>
        <w:rPr>
          <w:rFonts w:cs="Times New Roman"/>
          <w:sz w:val="24"/>
          <w:szCs w:val="24"/>
        </w:rPr>
      </w:pPr>
    </w:p>
    <w:p w14:paraId="2D998B27" w14:textId="77777777" w:rsidR="00A63E67" w:rsidRPr="00AD46AC" w:rsidRDefault="00AD46AC" w:rsidP="00D14FC6">
      <w:pPr>
        <w:spacing w:after="0"/>
        <w:rPr>
          <w:rFonts w:cs="Times New Roman"/>
          <w:sz w:val="24"/>
          <w:szCs w:val="24"/>
        </w:rPr>
      </w:pPr>
      <w:r>
        <w:rPr>
          <w:rFonts w:cs="Times New Roman"/>
          <w:sz w:val="24"/>
          <w:szCs w:val="24"/>
        </w:rPr>
        <w:t>Contact Person:</w:t>
      </w:r>
      <w:r>
        <w:rPr>
          <w:rFonts w:cs="Times New Roman"/>
          <w:sz w:val="24"/>
          <w:szCs w:val="24"/>
        </w:rPr>
        <w:tab/>
      </w:r>
      <w:r w:rsidR="00A63E67" w:rsidRPr="00AD46AC">
        <w:rPr>
          <w:rFonts w:cs="Times New Roman"/>
          <w:sz w:val="24"/>
          <w:szCs w:val="24"/>
        </w:rPr>
        <w:t>Annette Byron</w:t>
      </w:r>
    </w:p>
    <w:p w14:paraId="767C155B" w14:textId="77777777" w:rsidR="00A63E67" w:rsidRPr="00AD46AC" w:rsidRDefault="00A63E67" w:rsidP="00D14FC6">
      <w:pPr>
        <w:spacing w:after="0"/>
        <w:rPr>
          <w:rFonts w:cs="Times New Roman"/>
          <w:sz w:val="24"/>
          <w:szCs w:val="24"/>
        </w:rPr>
      </w:pPr>
      <w:r w:rsidRPr="00AD46AC">
        <w:rPr>
          <w:rFonts w:cs="Times New Roman"/>
          <w:sz w:val="24"/>
          <w:szCs w:val="24"/>
        </w:rPr>
        <w:t>Position:</w:t>
      </w:r>
      <w:r w:rsidRPr="00AD46AC">
        <w:rPr>
          <w:rFonts w:cs="Times New Roman"/>
          <w:sz w:val="24"/>
          <w:szCs w:val="24"/>
        </w:rPr>
        <w:tab/>
      </w:r>
      <w:r w:rsidRPr="00AD46AC">
        <w:rPr>
          <w:rFonts w:cs="Times New Roman"/>
          <w:sz w:val="24"/>
          <w:szCs w:val="24"/>
        </w:rPr>
        <w:tab/>
      </w:r>
      <w:r w:rsidR="006501F4" w:rsidRPr="00AD46AC">
        <w:rPr>
          <w:rFonts w:cs="Times New Roman"/>
          <w:sz w:val="24"/>
          <w:szCs w:val="24"/>
        </w:rPr>
        <w:t>Senior Policy Officer</w:t>
      </w:r>
    </w:p>
    <w:p w14:paraId="114C3B1F" w14:textId="77777777" w:rsidR="00A63E67" w:rsidRPr="00AD46AC" w:rsidRDefault="00A63E67" w:rsidP="00D14FC6">
      <w:pPr>
        <w:spacing w:after="0"/>
        <w:rPr>
          <w:rFonts w:cs="Times New Roman"/>
          <w:sz w:val="24"/>
          <w:szCs w:val="24"/>
        </w:rPr>
      </w:pPr>
      <w:r w:rsidRPr="00AD46AC">
        <w:rPr>
          <w:rFonts w:cs="Times New Roman"/>
          <w:sz w:val="24"/>
          <w:szCs w:val="24"/>
        </w:rPr>
        <w:t>Organisation:</w:t>
      </w:r>
      <w:r w:rsidRPr="00AD46AC">
        <w:rPr>
          <w:rFonts w:cs="Times New Roman"/>
          <w:sz w:val="24"/>
          <w:szCs w:val="24"/>
        </w:rPr>
        <w:tab/>
      </w:r>
      <w:r w:rsidRPr="00AD46AC">
        <w:rPr>
          <w:rFonts w:cs="Times New Roman"/>
          <w:sz w:val="24"/>
          <w:szCs w:val="24"/>
        </w:rPr>
        <w:tab/>
        <w:t>Dietitians Association of Australia</w:t>
      </w:r>
    </w:p>
    <w:p w14:paraId="3484DFDE" w14:textId="77777777" w:rsidR="00A63E67" w:rsidRPr="00AD46AC" w:rsidRDefault="00A63E67" w:rsidP="00D14FC6">
      <w:pPr>
        <w:spacing w:after="0"/>
        <w:rPr>
          <w:rFonts w:cs="Times New Roman"/>
          <w:sz w:val="24"/>
          <w:szCs w:val="24"/>
        </w:rPr>
      </w:pPr>
      <w:r w:rsidRPr="00AD46AC">
        <w:rPr>
          <w:rFonts w:cs="Times New Roman"/>
          <w:sz w:val="24"/>
          <w:szCs w:val="24"/>
        </w:rPr>
        <w:t>Address:</w:t>
      </w:r>
      <w:r w:rsidRPr="00AD46AC">
        <w:rPr>
          <w:rFonts w:cs="Times New Roman"/>
          <w:sz w:val="24"/>
          <w:szCs w:val="24"/>
        </w:rPr>
        <w:tab/>
      </w:r>
      <w:r w:rsidRPr="00AD46AC">
        <w:rPr>
          <w:rFonts w:cs="Times New Roman"/>
          <w:sz w:val="24"/>
          <w:szCs w:val="24"/>
        </w:rPr>
        <w:tab/>
        <w:t>1/8 Phipps Close, Deakin ACT 2600</w:t>
      </w:r>
    </w:p>
    <w:p w14:paraId="688D05B0" w14:textId="77777777" w:rsidR="00A63E67" w:rsidRPr="00AD46AC" w:rsidRDefault="00F9337E" w:rsidP="00D14FC6">
      <w:pPr>
        <w:spacing w:after="0"/>
        <w:rPr>
          <w:rFonts w:cs="Times New Roman"/>
          <w:sz w:val="24"/>
          <w:szCs w:val="24"/>
        </w:rPr>
      </w:pPr>
      <w:r w:rsidRPr="00AD46AC">
        <w:rPr>
          <w:rFonts w:cs="Times New Roman"/>
          <w:sz w:val="24"/>
          <w:szCs w:val="24"/>
        </w:rPr>
        <w:t>Telephone:</w:t>
      </w:r>
      <w:r w:rsidRPr="00AD46AC">
        <w:rPr>
          <w:rFonts w:cs="Times New Roman"/>
          <w:sz w:val="24"/>
          <w:szCs w:val="24"/>
        </w:rPr>
        <w:tab/>
      </w:r>
      <w:r w:rsidRPr="00AD46AC">
        <w:rPr>
          <w:rFonts w:cs="Times New Roman"/>
          <w:sz w:val="24"/>
          <w:szCs w:val="24"/>
        </w:rPr>
        <w:tab/>
        <w:t>02 6163 5202</w:t>
      </w:r>
    </w:p>
    <w:p w14:paraId="05201A11" w14:textId="77777777" w:rsidR="00A63E67" w:rsidRPr="00AD46AC" w:rsidRDefault="00A63E67" w:rsidP="00D14FC6">
      <w:pPr>
        <w:spacing w:after="0"/>
        <w:rPr>
          <w:rFonts w:cs="Times New Roman"/>
          <w:sz w:val="24"/>
          <w:szCs w:val="24"/>
        </w:rPr>
      </w:pPr>
      <w:r w:rsidRPr="00AD46AC">
        <w:rPr>
          <w:rFonts w:cs="Times New Roman"/>
          <w:sz w:val="24"/>
          <w:szCs w:val="24"/>
        </w:rPr>
        <w:t>Facsimile:</w:t>
      </w:r>
      <w:r w:rsidRPr="00AD46AC">
        <w:rPr>
          <w:rFonts w:cs="Times New Roman"/>
          <w:sz w:val="24"/>
          <w:szCs w:val="24"/>
        </w:rPr>
        <w:tab/>
      </w:r>
      <w:r w:rsidRPr="00AD46AC">
        <w:rPr>
          <w:rFonts w:cs="Times New Roman"/>
          <w:sz w:val="24"/>
          <w:szCs w:val="24"/>
        </w:rPr>
        <w:tab/>
        <w:t>02 6282 9888</w:t>
      </w:r>
    </w:p>
    <w:p w14:paraId="3B94AB95" w14:textId="77777777" w:rsidR="00A63E67" w:rsidRPr="00AD46AC" w:rsidRDefault="00A63E67" w:rsidP="00D14FC6">
      <w:pPr>
        <w:spacing w:after="0"/>
        <w:rPr>
          <w:rFonts w:cs="Times New Roman"/>
          <w:sz w:val="24"/>
          <w:szCs w:val="24"/>
        </w:rPr>
      </w:pPr>
      <w:r w:rsidRPr="00AD46AC">
        <w:rPr>
          <w:rFonts w:cs="Times New Roman"/>
          <w:sz w:val="24"/>
          <w:szCs w:val="24"/>
        </w:rPr>
        <w:t>Email:</w:t>
      </w:r>
      <w:r w:rsidRPr="00AD46AC">
        <w:rPr>
          <w:rFonts w:cs="Times New Roman"/>
          <w:sz w:val="24"/>
          <w:szCs w:val="24"/>
        </w:rPr>
        <w:tab/>
      </w:r>
      <w:r w:rsidRPr="00AD46AC">
        <w:rPr>
          <w:rFonts w:cs="Times New Roman"/>
          <w:sz w:val="24"/>
          <w:szCs w:val="24"/>
        </w:rPr>
        <w:tab/>
      </w:r>
      <w:r w:rsidRPr="00AD46AC">
        <w:rPr>
          <w:rFonts w:cs="Times New Roman"/>
          <w:sz w:val="24"/>
          <w:szCs w:val="24"/>
        </w:rPr>
        <w:tab/>
      </w:r>
      <w:hyperlink r:id="rId14" w:history="1">
        <w:r w:rsidRPr="00AD46AC">
          <w:rPr>
            <w:sz w:val="24"/>
            <w:szCs w:val="24"/>
          </w:rPr>
          <w:t>abyron@daa.asn.au</w:t>
        </w:r>
      </w:hyperlink>
    </w:p>
    <w:p w14:paraId="51874FD1" w14:textId="77777777" w:rsidR="00FA1EC8" w:rsidRDefault="00FA1EC8">
      <w:pPr>
        <w:rPr>
          <w:rFonts w:cs="Times New Roman"/>
          <w:b/>
          <w:sz w:val="24"/>
          <w:szCs w:val="24"/>
        </w:rPr>
      </w:pPr>
      <w:r>
        <w:rPr>
          <w:rFonts w:cs="Times New Roman"/>
          <w:b/>
          <w:sz w:val="24"/>
          <w:szCs w:val="24"/>
        </w:rPr>
        <w:br w:type="page"/>
      </w:r>
    </w:p>
    <w:p w14:paraId="4F0DD2DA" w14:textId="77777777" w:rsidR="00A63E67" w:rsidRPr="006D3EEF" w:rsidRDefault="00665369">
      <w:pPr>
        <w:rPr>
          <w:rFonts w:cs="Times New Roman"/>
          <w:b/>
          <w:sz w:val="24"/>
          <w:szCs w:val="24"/>
        </w:rPr>
      </w:pPr>
      <w:r w:rsidRPr="006D3EEF">
        <w:rPr>
          <w:rFonts w:cs="Times New Roman"/>
          <w:b/>
          <w:sz w:val="24"/>
          <w:szCs w:val="24"/>
        </w:rPr>
        <w:lastRenderedPageBreak/>
        <w:t>DA</w:t>
      </w:r>
      <w:r w:rsidR="00380B1C" w:rsidRPr="006D3EEF">
        <w:rPr>
          <w:rFonts w:cs="Times New Roman"/>
          <w:b/>
          <w:sz w:val="24"/>
          <w:szCs w:val="24"/>
        </w:rPr>
        <w:t>A</w:t>
      </w:r>
      <w:r w:rsidR="00062B92">
        <w:rPr>
          <w:rFonts w:cs="Times New Roman"/>
          <w:b/>
          <w:sz w:val="24"/>
          <w:szCs w:val="24"/>
        </w:rPr>
        <w:t xml:space="preserve"> interest in this consultation</w:t>
      </w:r>
    </w:p>
    <w:p w14:paraId="605ECB70" w14:textId="77777777" w:rsidR="00F32D14" w:rsidRDefault="00FA1EC8" w:rsidP="00380B1C">
      <w:pPr>
        <w:ind w:left="720"/>
        <w:rPr>
          <w:sz w:val="24"/>
          <w:szCs w:val="24"/>
        </w:rPr>
      </w:pPr>
      <w:r>
        <w:rPr>
          <w:rFonts w:cs="Times New Roman"/>
          <w:sz w:val="24"/>
          <w:szCs w:val="24"/>
        </w:rPr>
        <w:t>As Australia’s leading body of nutrition professionals, the Dietitians Association of Australia (DAA)</w:t>
      </w:r>
      <w:r w:rsidR="00380B1C" w:rsidRPr="00AD46AC">
        <w:rPr>
          <w:rFonts w:cs="Times New Roman"/>
          <w:sz w:val="24"/>
          <w:szCs w:val="24"/>
        </w:rPr>
        <w:t xml:space="preserve"> </w:t>
      </w:r>
      <w:r w:rsidRPr="00FA1EC8">
        <w:rPr>
          <w:rFonts w:cs="Times New Roman"/>
          <w:sz w:val="24"/>
          <w:szCs w:val="24"/>
        </w:rPr>
        <w:t>advocate</w:t>
      </w:r>
      <w:r>
        <w:rPr>
          <w:rFonts w:cs="Times New Roman"/>
          <w:sz w:val="24"/>
          <w:szCs w:val="24"/>
        </w:rPr>
        <w:t>s</w:t>
      </w:r>
      <w:r w:rsidRPr="00FA1EC8">
        <w:rPr>
          <w:rFonts w:cs="Times New Roman"/>
          <w:sz w:val="24"/>
          <w:szCs w:val="24"/>
        </w:rPr>
        <w:t xml:space="preserve"> for a safe and nutritious food supply in whi</w:t>
      </w:r>
      <w:r>
        <w:rPr>
          <w:rFonts w:cs="Times New Roman"/>
          <w:sz w:val="24"/>
          <w:szCs w:val="24"/>
        </w:rPr>
        <w:t>ch the community has confidence. DAA considers that a</w:t>
      </w:r>
      <w:r w:rsidRPr="00595C0F">
        <w:rPr>
          <w:sz w:val="24"/>
          <w:szCs w:val="24"/>
        </w:rPr>
        <w:t>ccess to</w:t>
      </w:r>
      <w:r>
        <w:rPr>
          <w:sz w:val="24"/>
          <w:szCs w:val="24"/>
        </w:rPr>
        <w:t xml:space="preserve"> adequate food is a human right, consistent with the description </w:t>
      </w:r>
      <w:r w:rsidRPr="00595C0F">
        <w:rPr>
          <w:sz w:val="24"/>
          <w:szCs w:val="24"/>
        </w:rPr>
        <w:t xml:space="preserve">in </w:t>
      </w:r>
      <w:r>
        <w:rPr>
          <w:sz w:val="24"/>
          <w:szCs w:val="24"/>
        </w:rPr>
        <w:t xml:space="preserve">Article 25 of </w:t>
      </w:r>
      <w:r w:rsidRPr="00595C0F">
        <w:rPr>
          <w:sz w:val="24"/>
          <w:szCs w:val="24"/>
        </w:rPr>
        <w:t>the United Nations Universal Declaration of Human Rights</w:t>
      </w:r>
      <w:r>
        <w:rPr>
          <w:sz w:val="24"/>
          <w:szCs w:val="24"/>
        </w:rPr>
        <w:t xml:space="preserve"> and in Article 24 of the United Nations </w:t>
      </w:r>
      <w:r w:rsidRPr="009A2417">
        <w:rPr>
          <w:sz w:val="24"/>
          <w:szCs w:val="24"/>
        </w:rPr>
        <w:t>Convention on the Rights of the Child</w:t>
      </w:r>
      <w:r>
        <w:rPr>
          <w:sz w:val="24"/>
          <w:szCs w:val="24"/>
        </w:rPr>
        <w:t>.</w:t>
      </w:r>
      <w:r w:rsidR="00E77265">
        <w:rPr>
          <w:sz w:val="24"/>
          <w:szCs w:val="24"/>
          <w:vertAlign w:val="superscript"/>
        </w:rPr>
        <w:t>1,2</w:t>
      </w:r>
    </w:p>
    <w:p w14:paraId="2FAF6426" w14:textId="77777777" w:rsidR="00665369" w:rsidRPr="006D3EEF" w:rsidRDefault="00665369" w:rsidP="00FA1EC8">
      <w:pPr>
        <w:rPr>
          <w:rFonts w:cs="Times New Roman"/>
          <w:b/>
          <w:sz w:val="24"/>
          <w:szCs w:val="24"/>
        </w:rPr>
      </w:pPr>
      <w:r w:rsidRPr="006D3EEF">
        <w:rPr>
          <w:rFonts w:cs="Times New Roman"/>
          <w:b/>
          <w:sz w:val="24"/>
          <w:szCs w:val="24"/>
        </w:rPr>
        <w:t>Recommendations</w:t>
      </w:r>
    </w:p>
    <w:p w14:paraId="76A1E52F" w14:textId="77777777" w:rsidR="00FA1EC8" w:rsidRDefault="00FA1EC8" w:rsidP="00FA1EC8">
      <w:pPr>
        <w:ind w:left="720"/>
      </w:pPr>
      <w:r>
        <w:rPr>
          <w:rFonts w:cs="Times New Roman"/>
          <w:sz w:val="24"/>
          <w:szCs w:val="24"/>
        </w:rPr>
        <w:t>DAA</w:t>
      </w:r>
      <w:r w:rsidRPr="00FA1EC8">
        <w:rPr>
          <w:rFonts w:cs="Times New Roman"/>
          <w:sz w:val="24"/>
          <w:szCs w:val="24"/>
        </w:rPr>
        <w:t xml:space="preserve"> does not support a Goods and Services Tax (GST) on fresh food</w:t>
      </w:r>
      <w:r>
        <w:rPr>
          <w:rFonts w:cs="Times New Roman"/>
          <w:sz w:val="24"/>
          <w:szCs w:val="24"/>
        </w:rPr>
        <w:t xml:space="preserve"> which would </w:t>
      </w:r>
      <w:r w:rsidR="00E95924">
        <w:rPr>
          <w:rFonts w:cs="Times New Roman"/>
          <w:sz w:val="24"/>
          <w:szCs w:val="24"/>
        </w:rPr>
        <w:t>limit</w:t>
      </w:r>
      <w:r>
        <w:rPr>
          <w:rFonts w:cs="Times New Roman"/>
          <w:sz w:val="24"/>
          <w:szCs w:val="24"/>
        </w:rPr>
        <w:t xml:space="preserve"> the ability of vulnerable groups in the community to access healthy food</w:t>
      </w:r>
      <w:r w:rsidRPr="00FA1EC8">
        <w:rPr>
          <w:rFonts w:cs="Times New Roman"/>
          <w:sz w:val="24"/>
          <w:szCs w:val="24"/>
        </w:rPr>
        <w:t>. Poor diet contributes significantly to the burden of chronic disease.</w:t>
      </w:r>
      <w:r w:rsidR="00E77265">
        <w:rPr>
          <w:rFonts w:cs="Times New Roman"/>
          <w:sz w:val="24"/>
          <w:szCs w:val="24"/>
          <w:vertAlign w:val="superscript"/>
        </w:rPr>
        <w:t>3</w:t>
      </w:r>
      <w:proofErr w:type="gramStart"/>
      <w:r w:rsidR="00E77265">
        <w:rPr>
          <w:rFonts w:cs="Times New Roman"/>
          <w:sz w:val="24"/>
          <w:szCs w:val="24"/>
          <w:vertAlign w:val="superscript"/>
        </w:rPr>
        <w:t>,4</w:t>
      </w:r>
      <w:proofErr w:type="gramEnd"/>
      <w:r w:rsidRPr="00FA1EC8">
        <w:rPr>
          <w:rFonts w:cs="Times New Roman"/>
          <w:sz w:val="24"/>
          <w:szCs w:val="24"/>
          <w:vertAlign w:val="superscript"/>
        </w:rPr>
        <w:t xml:space="preserve"> </w:t>
      </w:r>
      <w:r w:rsidRPr="00FA1EC8">
        <w:rPr>
          <w:rFonts w:cs="Times New Roman"/>
          <w:sz w:val="24"/>
          <w:szCs w:val="24"/>
        </w:rPr>
        <w:t>Australians who can least afford the increased prices on fresh foods stand to lose the most by the addition of a GST, particularly on fruits and vegetables.</w:t>
      </w:r>
      <w:r>
        <w:t xml:space="preserve"> </w:t>
      </w:r>
    </w:p>
    <w:p w14:paraId="3BE2450B" w14:textId="77777777" w:rsidR="00665369" w:rsidRPr="006D3EEF" w:rsidRDefault="00665369" w:rsidP="00665369">
      <w:pPr>
        <w:rPr>
          <w:rFonts w:cs="Times New Roman"/>
          <w:b/>
          <w:sz w:val="24"/>
          <w:szCs w:val="24"/>
        </w:rPr>
      </w:pPr>
      <w:r w:rsidRPr="006D3EEF">
        <w:rPr>
          <w:rFonts w:cs="Times New Roman"/>
          <w:b/>
          <w:sz w:val="24"/>
          <w:szCs w:val="24"/>
        </w:rPr>
        <w:t xml:space="preserve">Discussion </w:t>
      </w:r>
    </w:p>
    <w:p w14:paraId="727F9255" w14:textId="77777777" w:rsidR="005147E1" w:rsidRPr="00E77265" w:rsidRDefault="005147E1" w:rsidP="00FA1EC8">
      <w:pPr>
        <w:ind w:left="720"/>
        <w:rPr>
          <w:rFonts w:cs="Times New Roman"/>
          <w:i/>
          <w:sz w:val="24"/>
          <w:szCs w:val="24"/>
        </w:rPr>
      </w:pPr>
      <w:r w:rsidRPr="00E77265">
        <w:rPr>
          <w:rFonts w:cs="Times New Roman"/>
          <w:i/>
          <w:sz w:val="24"/>
          <w:szCs w:val="24"/>
        </w:rPr>
        <w:t xml:space="preserve">Negative impact on health </w:t>
      </w:r>
    </w:p>
    <w:p w14:paraId="231DB0D4" w14:textId="77777777" w:rsidR="00FA1EC8" w:rsidRDefault="00FA1EC8" w:rsidP="00FA1EC8">
      <w:pPr>
        <w:ind w:left="720"/>
        <w:rPr>
          <w:rFonts w:cs="Times New Roman"/>
          <w:sz w:val="24"/>
          <w:szCs w:val="24"/>
          <w:vertAlign w:val="superscript"/>
        </w:rPr>
      </w:pPr>
      <w:r w:rsidRPr="00FA1EC8">
        <w:rPr>
          <w:rFonts w:cs="Times New Roman"/>
          <w:sz w:val="24"/>
          <w:szCs w:val="24"/>
        </w:rPr>
        <w:t>Eating according to the Australian Dietary Guidelines</w:t>
      </w:r>
      <w:r w:rsidR="00E77265">
        <w:rPr>
          <w:rFonts w:cs="Times New Roman"/>
          <w:sz w:val="24"/>
          <w:szCs w:val="24"/>
          <w:vertAlign w:val="superscript"/>
        </w:rPr>
        <w:t>5</w:t>
      </w:r>
      <w:r w:rsidRPr="005147E1">
        <w:rPr>
          <w:rFonts w:cs="Times New Roman"/>
          <w:sz w:val="24"/>
          <w:szCs w:val="24"/>
          <w:vertAlign w:val="superscript"/>
        </w:rPr>
        <w:t xml:space="preserve"> </w:t>
      </w:r>
      <w:r w:rsidRPr="00FA1EC8">
        <w:rPr>
          <w:rFonts w:cs="Times New Roman"/>
          <w:sz w:val="24"/>
          <w:szCs w:val="24"/>
        </w:rPr>
        <w:t xml:space="preserve">and </w:t>
      </w:r>
      <w:r w:rsidR="00E95924">
        <w:rPr>
          <w:rFonts w:cs="Times New Roman"/>
          <w:sz w:val="24"/>
          <w:szCs w:val="24"/>
        </w:rPr>
        <w:t>physical activity</w:t>
      </w:r>
      <w:r w:rsidRPr="00FA1EC8">
        <w:rPr>
          <w:rFonts w:cs="Times New Roman"/>
          <w:sz w:val="24"/>
          <w:szCs w:val="24"/>
        </w:rPr>
        <w:t xml:space="preserve"> are </w:t>
      </w:r>
      <w:r w:rsidR="00E95924">
        <w:rPr>
          <w:rFonts w:cs="Times New Roman"/>
          <w:sz w:val="24"/>
          <w:szCs w:val="24"/>
        </w:rPr>
        <w:t>essential</w:t>
      </w:r>
      <w:r w:rsidRPr="00FA1EC8">
        <w:rPr>
          <w:rFonts w:cs="Times New Roman"/>
          <w:sz w:val="24"/>
          <w:szCs w:val="24"/>
        </w:rPr>
        <w:t xml:space="preserve"> for Australians to </w:t>
      </w:r>
      <w:r w:rsidR="00E95924">
        <w:rPr>
          <w:rFonts w:cs="Times New Roman"/>
          <w:sz w:val="24"/>
          <w:szCs w:val="24"/>
        </w:rPr>
        <w:t>reduce</w:t>
      </w:r>
      <w:r w:rsidRPr="00FA1EC8">
        <w:rPr>
          <w:rFonts w:cs="Times New Roman"/>
          <w:sz w:val="24"/>
          <w:szCs w:val="24"/>
        </w:rPr>
        <w:t xml:space="preserve"> their risk of chronic disease or </w:t>
      </w:r>
      <w:r w:rsidR="00E95924">
        <w:rPr>
          <w:rFonts w:cs="Times New Roman"/>
          <w:sz w:val="24"/>
          <w:szCs w:val="24"/>
        </w:rPr>
        <w:t xml:space="preserve">to </w:t>
      </w:r>
      <w:r w:rsidRPr="00FA1EC8">
        <w:rPr>
          <w:rFonts w:cs="Times New Roman"/>
          <w:sz w:val="24"/>
          <w:szCs w:val="24"/>
        </w:rPr>
        <w:t xml:space="preserve">self manage </w:t>
      </w:r>
      <w:r w:rsidR="00E95924">
        <w:rPr>
          <w:rFonts w:cs="Times New Roman"/>
          <w:sz w:val="24"/>
          <w:szCs w:val="24"/>
        </w:rPr>
        <w:t>diagnosed</w:t>
      </w:r>
      <w:r w:rsidRPr="00FA1EC8">
        <w:rPr>
          <w:rFonts w:cs="Times New Roman"/>
          <w:sz w:val="24"/>
          <w:szCs w:val="24"/>
        </w:rPr>
        <w:t xml:space="preserve"> chronic disease. The 2011-12 National Nutrition and Physical Activity Survey demonstrated that only 54% of Australians are eating the recommended amounts of fruits and just 6.8% met the recommended usual intake of vegetables.</w:t>
      </w:r>
      <w:r w:rsidR="00E77265">
        <w:rPr>
          <w:rFonts w:cs="Times New Roman"/>
          <w:sz w:val="24"/>
          <w:szCs w:val="24"/>
          <w:vertAlign w:val="superscript"/>
        </w:rPr>
        <w:t>6</w:t>
      </w:r>
      <w:r w:rsidRPr="00FA1EC8">
        <w:rPr>
          <w:rFonts w:cs="Times New Roman"/>
          <w:sz w:val="24"/>
          <w:szCs w:val="24"/>
        </w:rPr>
        <w:t xml:space="preserve"> Increasing the price of fresh fruit and vegetables would be a disincentive</w:t>
      </w:r>
      <w:r w:rsidR="00E77265">
        <w:rPr>
          <w:rFonts w:cs="Times New Roman"/>
          <w:sz w:val="24"/>
          <w:szCs w:val="24"/>
          <w:vertAlign w:val="superscript"/>
        </w:rPr>
        <w:t>7</w:t>
      </w:r>
      <w:r w:rsidRPr="00FA1EC8">
        <w:rPr>
          <w:rFonts w:cs="Times New Roman"/>
          <w:sz w:val="24"/>
          <w:szCs w:val="24"/>
        </w:rPr>
        <w:t xml:space="preserve"> for Australians to consume foods which have a protective effect against cancer, cardiovascular disease and mental illness.</w:t>
      </w:r>
      <w:r w:rsidR="00E77265">
        <w:rPr>
          <w:rFonts w:cs="Times New Roman"/>
          <w:sz w:val="24"/>
          <w:szCs w:val="24"/>
          <w:vertAlign w:val="superscript"/>
        </w:rPr>
        <w:t>8</w:t>
      </w:r>
      <w:proofErr w:type="gramStart"/>
      <w:r w:rsidR="00E77265">
        <w:rPr>
          <w:rFonts w:cs="Times New Roman"/>
          <w:sz w:val="24"/>
          <w:szCs w:val="24"/>
          <w:vertAlign w:val="superscript"/>
        </w:rPr>
        <w:t>,9</w:t>
      </w:r>
      <w:proofErr w:type="gramEnd"/>
    </w:p>
    <w:p w14:paraId="451588B6" w14:textId="77777777" w:rsidR="00F61AFA" w:rsidRPr="005147E1" w:rsidRDefault="00F61AFA" w:rsidP="00F61AFA">
      <w:pPr>
        <w:ind w:left="720"/>
        <w:rPr>
          <w:rFonts w:cs="Times New Roman"/>
          <w:sz w:val="24"/>
          <w:szCs w:val="24"/>
        </w:rPr>
      </w:pPr>
      <w:r>
        <w:rPr>
          <w:rFonts w:cs="Times New Roman"/>
          <w:sz w:val="24"/>
          <w:szCs w:val="24"/>
        </w:rPr>
        <w:t xml:space="preserve">The statement on page 136 that lower-income households may be more likely to spend comparatively more of their total spending on GST-exempt food seems to suggest that this is a bad thing. In fact, individuals and the community would be healthier if they did buy more GST-exempt </w:t>
      </w:r>
      <w:r w:rsidR="00D33F21">
        <w:rPr>
          <w:rFonts w:cs="Times New Roman"/>
          <w:sz w:val="24"/>
          <w:szCs w:val="24"/>
        </w:rPr>
        <w:t>fresh fruit and vegetables</w:t>
      </w:r>
      <w:r>
        <w:rPr>
          <w:rFonts w:cs="Times New Roman"/>
          <w:sz w:val="24"/>
          <w:szCs w:val="24"/>
        </w:rPr>
        <w:t xml:space="preserve">, a situation which would indicate success in terms of public health campaigns.  </w:t>
      </w:r>
    </w:p>
    <w:p w14:paraId="662A83D5" w14:textId="77777777" w:rsidR="005147E1" w:rsidRPr="00E77265" w:rsidRDefault="005147E1" w:rsidP="005147E1">
      <w:pPr>
        <w:ind w:left="720"/>
        <w:rPr>
          <w:rFonts w:cs="Times New Roman"/>
          <w:i/>
          <w:sz w:val="24"/>
          <w:szCs w:val="24"/>
        </w:rPr>
      </w:pPr>
      <w:r w:rsidRPr="00E77265">
        <w:rPr>
          <w:rFonts w:cs="Times New Roman"/>
          <w:i/>
          <w:sz w:val="24"/>
          <w:szCs w:val="24"/>
        </w:rPr>
        <w:t>Vulnerable groups most at risk</w:t>
      </w:r>
    </w:p>
    <w:p w14:paraId="08107ACB" w14:textId="77777777" w:rsidR="005147E1" w:rsidRDefault="005147E1" w:rsidP="005147E1">
      <w:pPr>
        <w:ind w:left="720"/>
        <w:rPr>
          <w:rFonts w:cs="Times New Roman"/>
          <w:sz w:val="24"/>
          <w:szCs w:val="24"/>
        </w:rPr>
      </w:pPr>
      <w:r w:rsidRPr="005147E1">
        <w:rPr>
          <w:rFonts w:cs="Times New Roman"/>
          <w:sz w:val="24"/>
          <w:szCs w:val="24"/>
        </w:rPr>
        <w:t xml:space="preserve">There is </w:t>
      </w:r>
      <w:r w:rsidR="00E95924">
        <w:rPr>
          <w:rFonts w:cs="Times New Roman"/>
          <w:sz w:val="24"/>
          <w:szCs w:val="24"/>
        </w:rPr>
        <w:t>strong</w:t>
      </w:r>
      <w:r w:rsidRPr="005147E1">
        <w:rPr>
          <w:rFonts w:cs="Times New Roman"/>
          <w:sz w:val="24"/>
          <w:szCs w:val="24"/>
        </w:rPr>
        <w:t xml:space="preserve"> evidence that it costs more to consume a healthy diet. Cost and affordability are important determinants in influencing people’s food choices</w:t>
      </w:r>
      <w:r>
        <w:rPr>
          <w:rFonts w:cs="Times New Roman"/>
          <w:sz w:val="24"/>
          <w:szCs w:val="24"/>
        </w:rPr>
        <w:t>.</w:t>
      </w:r>
      <w:r w:rsidR="00E77265">
        <w:rPr>
          <w:rFonts w:cs="Times New Roman"/>
          <w:sz w:val="24"/>
          <w:szCs w:val="24"/>
          <w:vertAlign w:val="superscript"/>
        </w:rPr>
        <w:t>10</w:t>
      </w:r>
      <w:r w:rsidR="00F61AFA">
        <w:rPr>
          <w:rFonts w:cs="Times New Roman"/>
          <w:sz w:val="24"/>
          <w:szCs w:val="24"/>
          <w:vertAlign w:val="superscript"/>
        </w:rPr>
        <w:t>-12</w:t>
      </w:r>
      <w:r w:rsidR="00E95924">
        <w:rPr>
          <w:rFonts w:cs="Times New Roman"/>
          <w:sz w:val="24"/>
          <w:szCs w:val="24"/>
          <w:vertAlign w:val="superscript"/>
        </w:rPr>
        <w:t xml:space="preserve"> </w:t>
      </w:r>
      <w:proofErr w:type="gramStart"/>
      <w:r w:rsidRPr="005147E1">
        <w:rPr>
          <w:rFonts w:cs="Times New Roman"/>
          <w:sz w:val="24"/>
          <w:szCs w:val="24"/>
        </w:rPr>
        <w:t>The</w:t>
      </w:r>
      <w:proofErr w:type="gramEnd"/>
      <w:r w:rsidRPr="005147E1">
        <w:rPr>
          <w:rFonts w:cs="Times New Roman"/>
          <w:sz w:val="24"/>
          <w:szCs w:val="24"/>
          <w:vertAlign w:val="superscript"/>
        </w:rPr>
        <w:t xml:space="preserve"> </w:t>
      </w:r>
      <w:r w:rsidR="00E95924">
        <w:rPr>
          <w:rFonts w:cs="Times New Roman"/>
          <w:sz w:val="24"/>
          <w:szCs w:val="24"/>
        </w:rPr>
        <w:t>impact</w:t>
      </w:r>
      <w:r w:rsidRPr="005147E1">
        <w:rPr>
          <w:rFonts w:cs="Times New Roman"/>
          <w:sz w:val="24"/>
          <w:szCs w:val="24"/>
        </w:rPr>
        <w:t xml:space="preserve"> of such a step would be even more pronounced in remote areas. Higher prices are likely to be a barrier to good health among people of low socioeconomic status and other vulnerable groups, including Aboriginal and Torres Strait Islander people, who carry a disproportionate burden of disease.</w:t>
      </w:r>
      <w:r w:rsidR="00E77265">
        <w:rPr>
          <w:rFonts w:cs="Times New Roman"/>
          <w:sz w:val="24"/>
          <w:szCs w:val="24"/>
          <w:vertAlign w:val="superscript"/>
        </w:rPr>
        <w:t>1</w:t>
      </w:r>
      <w:r w:rsidR="00F61AFA">
        <w:rPr>
          <w:rFonts w:cs="Times New Roman"/>
          <w:sz w:val="24"/>
          <w:szCs w:val="24"/>
          <w:vertAlign w:val="superscript"/>
        </w:rPr>
        <w:t>3</w:t>
      </w:r>
      <w:proofErr w:type="gramStart"/>
      <w:r w:rsidR="00E77265">
        <w:rPr>
          <w:rFonts w:cs="Times New Roman"/>
          <w:sz w:val="24"/>
          <w:szCs w:val="24"/>
          <w:vertAlign w:val="superscript"/>
        </w:rPr>
        <w:t>,1</w:t>
      </w:r>
      <w:r w:rsidR="00F61AFA">
        <w:rPr>
          <w:rFonts w:cs="Times New Roman"/>
          <w:sz w:val="24"/>
          <w:szCs w:val="24"/>
          <w:vertAlign w:val="superscript"/>
        </w:rPr>
        <w:t>4</w:t>
      </w:r>
      <w:proofErr w:type="gramEnd"/>
      <w:r w:rsidRPr="005147E1">
        <w:rPr>
          <w:rFonts w:cs="Times New Roman"/>
          <w:sz w:val="24"/>
          <w:szCs w:val="24"/>
          <w:vertAlign w:val="superscript"/>
        </w:rPr>
        <w:t xml:space="preserve"> </w:t>
      </w:r>
    </w:p>
    <w:p w14:paraId="7B436D3F" w14:textId="77777777" w:rsidR="005147E1" w:rsidRPr="00E77265" w:rsidRDefault="005147E1" w:rsidP="005147E1">
      <w:pPr>
        <w:ind w:left="720"/>
        <w:rPr>
          <w:rFonts w:cs="Times New Roman"/>
          <w:i/>
          <w:sz w:val="24"/>
          <w:szCs w:val="24"/>
        </w:rPr>
      </w:pPr>
      <w:r w:rsidRPr="00E77265">
        <w:rPr>
          <w:rFonts w:cs="Times New Roman"/>
          <w:i/>
          <w:sz w:val="24"/>
          <w:szCs w:val="24"/>
        </w:rPr>
        <w:lastRenderedPageBreak/>
        <w:t>Equity</w:t>
      </w:r>
    </w:p>
    <w:p w14:paraId="64C3103B" w14:textId="77777777" w:rsidR="00E77265" w:rsidRPr="005147E1" w:rsidRDefault="005147E1" w:rsidP="00E77265">
      <w:pPr>
        <w:ind w:left="720"/>
        <w:rPr>
          <w:rFonts w:cs="Times New Roman"/>
          <w:sz w:val="24"/>
          <w:szCs w:val="24"/>
        </w:rPr>
      </w:pPr>
      <w:r w:rsidRPr="005147E1">
        <w:rPr>
          <w:rFonts w:cs="Times New Roman"/>
          <w:sz w:val="24"/>
          <w:szCs w:val="24"/>
        </w:rPr>
        <w:t xml:space="preserve">Applying GST to </w:t>
      </w:r>
      <w:r w:rsidR="00D33F21">
        <w:rPr>
          <w:rFonts w:cs="Times New Roman"/>
          <w:sz w:val="24"/>
          <w:szCs w:val="24"/>
        </w:rPr>
        <w:t>fresh foods</w:t>
      </w:r>
      <w:r w:rsidRPr="005147E1">
        <w:rPr>
          <w:rFonts w:cs="Times New Roman"/>
          <w:sz w:val="24"/>
          <w:szCs w:val="24"/>
        </w:rPr>
        <w:t xml:space="preserve"> is an equity problem because of the greater proportional cost of food to income for low income earners as opposed to high income earners. Given the necessity of food expenditure a GST would be regressive. An Australian Bureau of Statistics survey shows that low income earners spend five times as much of their income on food as people in the highest income quintile.</w:t>
      </w:r>
      <w:r w:rsidR="00E77265">
        <w:rPr>
          <w:rFonts w:cs="Times New Roman"/>
          <w:sz w:val="24"/>
          <w:szCs w:val="24"/>
          <w:vertAlign w:val="superscript"/>
        </w:rPr>
        <w:t>1</w:t>
      </w:r>
      <w:r w:rsidR="00F61AFA">
        <w:rPr>
          <w:rFonts w:cs="Times New Roman"/>
          <w:sz w:val="24"/>
          <w:szCs w:val="24"/>
          <w:vertAlign w:val="superscript"/>
        </w:rPr>
        <w:t xml:space="preserve">5 </w:t>
      </w:r>
      <w:proofErr w:type="gramStart"/>
      <w:r w:rsidRPr="005147E1">
        <w:rPr>
          <w:rFonts w:cs="Times New Roman"/>
          <w:sz w:val="24"/>
          <w:szCs w:val="24"/>
        </w:rPr>
        <w:t>The</w:t>
      </w:r>
      <w:proofErr w:type="gramEnd"/>
      <w:r w:rsidRPr="005147E1">
        <w:rPr>
          <w:rFonts w:cs="Times New Roman"/>
          <w:sz w:val="24"/>
          <w:szCs w:val="24"/>
        </w:rPr>
        <w:t xml:space="preserve"> argument offered on page 137 of the Rethink Tax discussion paper that highest-income households spend more in absolute dollar terms works against the principle of equity.</w:t>
      </w:r>
      <w:r>
        <w:rPr>
          <w:rFonts w:cs="Times New Roman"/>
          <w:sz w:val="24"/>
          <w:szCs w:val="24"/>
        </w:rPr>
        <w:t xml:space="preserve"> </w:t>
      </w:r>
      <w:r w:rsidR="00F61AFA">
        <w:rPr>
          <w:rFonts w:cs="Times New Roman"/>
          <w:sz w:val="24"/>
          <w:szCs w:val="24"/>
        </w:rPr>
        <w:t>The Australian Council of Social Service</w:t>
      </w:r>
      <w:r w:rsidR="00E77265" w:rsidRPr="005147E1">
        <w:rPr>
          <w:rFonts w:cs="Times New Roman"/>
          <w:sz w:val="24"/>
          <w:szCs w:val="24"/>
        </w:rPr>
        <w:t xml:space="preserve"> </w:t>
      </w:r>
      <w:r w:rsidR="00F61AFA">
        <w:rPr>
          <w:rFonts w:cs="Times New Roman"/>
          <w:sz w:val="24"/>
          <w:szCs w:val="24"/>
        </w:rPr>
        <w:t>report</w:t>
      </w:r>
      <w:r w:rsidR="00E77265" w:rsidRPr="005147E1">
        <w:rPr>
          <w:rFonts w:cs="Times New Roman"/>
          <w:sz w:val="24"/>
          <w:szCs w:val="24"/>
        </w:rPr>
        <w:t xml:space="preserve"> the bottom 20% </w:t>
      </w:r>
      <w:r w:rsidR="00F61AFA">
        <w:rPr>
          <w:rFonts w:cs="Times New Roman"/>
          <w:sz w:val="24"/>
          <w:szCs w:val="24"/>
        </w:rPr>
        <w:t xml:space="preserve">of the population </w:t>
      </w:r>
      <w:r w:rsidR="00E77265" w:rsidRPr="005147E1">
        <w:rPr>
          <w:rFonts w:cs="Times New Roman"/>
          <w:sz w:val="24"/>
          <w:szCs w:val="24"/>
        </w:rPr>
        <w:t>pays an average of $38pw in GST, or 7% or their income whereas the top 20% pays an average of $103pw in GST, or 3% of their income.</w:t>
      </w:r>
      <w:r w:rsidR="000F3BBC">
        <w:rPr>
          <w:rFonts w:cs="Times New Roman"/>
          <w:sz w:val="24"/>
          <w:szCs w:val="24"/>
          <w:vertAlign w:val="superscript"/>
        </w:rPr>
        <w:t>1</w:t>
      </w:r>
      <w:r w:rsidR="00F61AFA">
        <w:rPr>
          <w:rFonts w:cs="Times New Roman"/>
          <w:sz w:val="24"/>
          <w:szCs w:val="24"/>
          <w:vertAlign w:val="superscript"/>
        </w:rPr>
        <w:t>6</w:t>
      </w:r>
    </w:p>
    <w:p w14:paraId="2A529B80" w14:textId="77777777" w:rsidR="005147E1" w:rsidRPr="005147E1" w:rsidRDefault="005147E1" w:rsidP="005147E1">
      <w:pPr>
        <w:ind w:left="720"/>
        <w:rPr>
          <w:rFonts w:cs="Times New Roman"/>
          <w:sz w:val="24"/>
          <w:szCs w:val="24"/>
        </w:rPr>
      </w:pPr>
      <w:r w:rsidRPr="005147E1">
        <w:rPr>
          <w:rFonts w:cs="Times New Roman"/>
          <w:sz w:val="24"/>
          <w:szCs w:val="24"/>
        </w:rPr>
        <w:t>Actual expenditures on food and beverages by Australian households in the lowest quintiles of income is around 21%.</w:t>
      </w:r>
      <w:r w:rsidR="000F3BBC">
        <w:rPr>
          <w:rFonts w:cs="Times New Roman"/>
          <w:sz w:val="24"/>
          <w:szCs w:val="24"/>
          <w:vertAlign w:val="superscript"/>
        </w:rPr>
        <w:t>1</w:t>
      </w:r>
      <w:r w:rsidR="00F61AFA">
        <w:rPr>
          <w:rFonts w:cs="Times New Roman"/>
          <w:sz w:val="24"/>
          <w:szCs w:val="24"/>
          <w:vertAlign w:val="superscript"/>
        </w:rPr>
        <w:t>7</w:t>
      </w:r>
      <w:r w:rsidRPr="005147E1">
        <w:rPr>
          <w:rFonts w:cs="Times New Roman"/>
          <w:sz w:val="24"/>
          <w:szCs w:val="24"/>
          <w:vertAlign w:val="superscript"/>
        </w:rPr>
        <w:t xml:space="preserve"> </w:t>
      </w:r>
      <w:r w:rsidR="00F61AFA" w:rsidRPr="00F61AFA">
        <w:rPr>
          <w:rFonts w:cs="Times New Roman"/>
          <w:sz w:val="24"/>
          <w:szCs w:val="24"/>
        </w:rPr>
        <w:t>In 2011</w:t>
      </w:r>
      <w:r w:rsidR="00F61AFA">
        <w:rPr>
          <w:rFonts w:cs="Times New Roman"/>
          <w:sz w:val="24"/>
          <w:szCs w:val="24"/>
          <w:vertAlign w:val="superscript"/>
        </w:rPr>
        <w:t xml:space="preserve"> </w:t>
      </w:r>
      <w:r w:rsidR="00F61AFA">
        <w:rPr>
          <w:rFonts w:cs="Times New Roman"/>
          <w:sz w:val="24"/>
          <w:szCs w:val="24"/>
        </w:rPr>
        <w:t xml:space="preserve">Wong and colleagues </w:t>
      </w:r>
      <w:r w:rsidRPr="005147E1">
        <w:rPr>
          <w:rFonts w:cs="Times New Roman"/>
          <w:sz w:val="24"/>
          <w:szCs w:val="24"/>
        </w:rPr>
        <w:t>found that low income families are significantly worse off regarding the affordability of healthy food. The typical family of two adults and two children, relying entirely on welfare support, was estimated to need to spend 33% of household income to purchase an adequate healthy food basket, compared with only 9% in families with the higher average disposable income.</w:t>
      </w:r>
      <w:r w:rsidR="00F61AFA" w:rsidRPr="00F61AFA">
        <w:rPr>
          <w:rFonts w:cs="Times New Roman"/>
          <w:sz w:val="24"/>
          <w:szCs w:val="24"/>
          <w:vertAlign w:val="superscript"/>
        </w:rPr>
        <w:t>1</w:t>
      </w:r>
      <w:r w:rsidR="00F61AFA">
        <w:rPr>
          <w:rFonts w:cs="Times New Roman"/>
          <w:sz w:val="24"/>
          <w:szCs w:val="24"/>
          <w:vertAlign w:val="superscript"/>
        </w:rPr>
        <w:t>8</w:t>
      </w:r>
      <w:r w:rsidRPr="005147E1">
        <w:rPr>
          <w:rFonts w:cs="Times New Roman"/>
          <w:sz w:val="24"/>
          <w:szCs w:val="24"/>
        </w:rPr>
        <w:t xml:space="preserve"> This figure</w:t>
      </w:r>
      <w:r w:rsidR="0048208E">
        <w:rPr>
          <w:rFonts w:cs="Times New Roman"/>
          <w:sz w:val="24"/>
          <w:szCs w:val="24"/>
        </w:rPr>
        <w:t xml:space="preserve"> is</w:t>
      </w:r>
      <w:r w:rsidRPr="005147E1">
        <w:rPr>
          <w:rFonts w:cs="Times New Roman"/>
          <w:sz w:val="24"/>
          <w:szCs w:val="24"/>
        </w:rPr>
        <w:t xml:space="preserve"> similar to that reported by other similar studies in Australia and overseas.</w:t>
      </w:r>
      <w:r w:rsidR="000F3BBC" w:rsidRPr="000F3BBC">
        <w:rPr>
          <w:rFonts w:cs="Times New Roman"/>
          <w:sz w:val="24"/>
          <w:szCs w:val="24"/>
          <w:vertAlign w:val="superscript"/>
        </w:rPr>
        <w:t>10</w:t>
      </w:r>
      <w:proofErr w:type="gramStart"/>
      <w:r w:rsidR="000F3BBC" w:rsidRPr="000F3BBC">
        <w:rPr>
          <w:rFonts w:cs="Times New Roman"/>
          <w:sz w:val="24"/>
          <w:szCs w:val="24"/>
          <w:vertAlign w:val="superscript"/>
        </w:rPr>
        <w:t>,</w:t>
      </w:r>
      <w:r w:rsidR="000F3BBC">
        <w:rPr>
          <w:rFonts w:cs="Times New Roman"/>
          <w:sz w:val="24"/>
          <w:szCs w:val="24"/>
          <w:vertAlign w:val="superscript"/>
        </w:rPr>
        <w:t>1</w:t>
      </w:r>
      <w:r w:rsidR="00F61AFA">
        <w:rPr>
          <w:rFonts w:cs="Times New Roman"/>
          <w:sz w:val="24"/>
          <w:szCs w:val="24"/>
          <w:vertAlign w:val="superscript"/>
        </w:rPr>
        <w:t>9</w:t>
      </w:r>
      <w:r w:rsidR="000F3BBC">
        <w:rPr>
          <w:rFonts w:cs="Times New Roman"/>
          <w:sz w:val="24"/>
          <w:szCs w:val="24"/>
          <w:vertAlign w:val="superscript"/>
        </w:rPr>
        <w:t>,</w:t>
      </w:r>
      <w:r w:rsidR="00F61AFA">
        <w:rPr>
          <w:rFonts w:cs="Times New Roman"/>
          <w:sz w:val="24"/>
          <w:szCs w:val="24"/>
          <w:vertAlign w:val="superscript"/>
        </w:rPr>
        <w:t>20</w:t>
      </w:r>
      <w:proofErr w:type="gramEnd"/>
    </w:p>
    <w:p w14:paraId="3E243ED7" w14:textId="77777777" w:rsidR="005147E1" w:rsidRPr="000F3BBC" w:rsidRDefault="000F3BBC" w:rsidP="005147E1">
      <w:pPr>
        <w:ind w:left="720"/>
        <w:rPr>
          <w:rFonts w:cs="Times New Roman"/>
          <w:i/>
          <w:sz w:val="24"/>
          <w:szCs w:val="24"/>
        </w:rPr>
      </w:pPr>
      <w:r w:rsidRPr="000F3BBC">
        <w:rPr>
          <w:rFonts w:cs="Times New Roman"/>
          <w:i/>
          <w:sz w:val="24"/>
          <w:szCs w:val="24"/>
        </w:rPr>
        <w:t>Complexity</w:t>
      </w:r>
    </w:p>
    <w:p w14:paraId="0F8B8092" w14:textId="77777777" w:rsidR="005147E1" w:rsidRDefault="00FC57E8" w:rsidP="00FA1EC8">
      <w:pPr>
        <w:ind w:left="720"/>
        <w:rPr>
          <w:rFonts w:cs="Times New Roman"/>
          <w:sz w:val="24"/>
          <w:szCs w:val="24"/>
        </w:rPr>
      </w:pPr>
      <w:r>
        <w:rPr>
          <w:rFonts w:cs="Times New Roman"/>
          <w:sz w:val="24"/>
          <w:szCs w:val="24"/>
        </w:rPr>
        <w:t>A proportion</w:t>
      </w:r>
      <w:r w:rsidR="005147E1" w:rsidRPr="005147E1">
        <w:rPr>
          <w:rFonts w:cs="Times New Roman"/>
          <w:sz w:val="24"/>
          <w:szCs w:val="24"/>
        </w:rPr>
        <w:t xml:space="preserve"> of the population pay no income tax at all because their income is below the threshold for the lowest level of income tax. If a GST was to be placed on fruits and vegetables, then </w:t>
      </w:r>
      <w:r w:rsidR="005147E1">
        <w:rPr>
          <w:rFonts w:cs="Times New Roman"/>
          <w:sz w:val="24"/>
          <w:szCs w:val="24"/>
        </w:rPr>
        <w:t xml:space="preserve">income </w:t>
      </w:r>
      <w:r w:rsidR="005147E1" w:rsidRPr="005147E1">
        <w:rPr>
          <w:rFonts w:cs="Times New Roman"/>
          <w:sz w:val="24"/>
          <w:szCs w:val="24"/>
        </w:rPr>
        <w:t xml:space="preserve">tax measures would </w:t>
      </w:r>
      <w:r w:rsidR="005147E1">
        <w:rPr>
          <w:rFonts w:cs="Times New Roman"/>
          <w:sz w:val="24"/>
          <w:szCs w:val="24"/>
        </w:rPr>
        <w:t>provide no relief</w:t>
      </w:r>
      <w:r w:rsidR="000F3BBC">
        <w:rPr>
          <w:rFonts w:cs="Times New Roman"/>
          <w:sz w:val="24"/>
          <w:szCs w:val="24"/>
        </w:rPr>
        <w:t xml:space="preserve">. Adding a GST to fresh food on the basis of reducing complexity would fail, as other </w:t>
      </w:r>
      <w:r>
        <w:rPr>
          <w:rFonts w:cs="Times New Roman"/>
          <w:sz w:val="24"/>
          <w:szCs w:val="24"/>
        </w:rPr>
        <w:t>provisions</w:t>
      </w:r>
      <w:r w:rsidR="000F3BBC">
        <w:rPr>
          <w:rFonts w:cs="Times New Roman"/>
          <w:sz w:val="24"/>
          <w:szCs w:val="24"/>
        </w:rPr>
        <w:t xml:space="preserve"> would be needed to compensate for the reduced buying power on healthy foods by vulnerable groups.</w:t>
      </w:r>
    </w:p>
    <w:p w14:paraId="75D018EF" w14:textId="77777777" w:rsidR="000F3BBC" w:rsidRPr="00FA1EC8" w:rsidRDefault="000F3BBC" w:rsidP="00FA1EC8">
      <w:pPr>
        <w:ind w:left="720"/>
        <w:rPr>
          <w:rFonts w:cs="Times New Roman"/>
          <w:sz w:val="24"/>
          <w:szCs w:val="24"/>
        </w:rPr>
      </w:pPr>
    </w:p>
    <w:p w14:paraId="4B5975FF" w14:textId="77777777" w:rsidR="00062B92" w:rsidRPr="00062B92" w:rsidRDefault="00062B92" w:rsidP="00062B92">
      <w:pPr>
        <w:rPr>
          <w:rFonts w:cs="Times New Roman"/>
          <w:b/>
          <w:sz w:val="24"/>
          <w:szCs w:val="24"/>
        </w:rPr>
      </w:pPr>
      <w:r w:rsidRPr="00062B92">
        <w:rPr>
          <w:rFonts w:cs="Times New Roman"/>
          <w:b/>
          <w:sz w:val="24"/>
          <w:szCs w:val="24"/>
        </w:rPr>
        <w:t>References</w:t>
      </w:r>
    </w:p>
    <w:p w14:paraId="42108424" w14:textId="77777777" w:rsidR="000C6A95" w:rsidRDefault="000C6A95" w:rsidP="00E77265">
      <w:pPr>
        <w:pStyle w:val="ListParagraph"/>
        <w:numPr>
          <w:ilvl w:val="0"/>
          <w:numId w:val="7"/>
        </w:numPr>
      </w:pPr>
      <w:r>
        <w:t xml:space="preserve">United Nations. The universal declaration of human rights. </w:t>
      </w:r>
      <w:r w:rsidR="00993392">
        <w:br/>
      </w:r>
      <w:hyperlink r:id="rId15" w:history="1">
        <w:r w:rsidRPr="00C46DA9">
          <w:rPr>
            <w:rStyle w:val="Hyperlink"/>
          </w:rPr>
          <w:t>http://www.un.org/en/documents/udhr/</w:t>
        </w:r>
      </w:hyperlink>
      <w:r>
        <w:t xml:space="preserve">  </w:t>
      </w:r>
      <w:r w:rsidR="00E77265">
        <w:rPr>
          <w:rFonts w:cs="Times New Roman"/>
          <w:sz w:val="24"/>
          <w:szCs w:val="24"/>
        </w:rPr>
        <w:t>View</w:t>
      </w:r>
      <w:r w:rsidRPr="00E77265">
        <w:rPr>
          <w:rFonts w:cs="Times New Roman"/>
          <w:sz w:val="24"/>
          <w:szCs w:val="24"/>
        </w:rPr>
        <w:t>ed 1 June 2015</w:t>
      </w:r>
    </w:p>
    <w:p w14:paraId="0EAA1E04" w14:textId="77777777" w:rsidR="000C6A95" w:rsidRPr="00E77265" w:rsidRDefault="000C6A95" w:rsidP="00E77265">
      <w:pPr>
        <w:pStyle w:val="ListParagraph"/>
        <w:numPr>
          <w:ilvl w:val="0"/>
          <w:numId w:val="7"/>
        </w:numPr>
        <w:rPr>
          <w:rFonts w:cs="Times New Roman"/>
          <w:sz w:val="24"/>
          <w:szCs w:val="24"/>
        </w:rPr>
      </w:pPr>
      <w:r w:rsidRPr="00E77265">
        <w:rPr>
          <w:rFonts w:cs="Times New Roman"/>
          <w:sz w:val="24"/>
          <w:szCs w:val="24"/>
        </w:rPr>
        <w:t>United Nations. Convention on the rights of the child.</w:t>
      </w:r>
      <w:r w:rsidRPr="000C6A95">
        <w:t xml:space="preserve"> </w:t>
      </w:r>
      <w:hyperlink r:id="rId16" w:history="1">
        <w:r w:rsidR="00E95924" w:rsidRPr="00C46DA9">
          <w:rPr>
            <w:rStyle w:val="Hyperlink"/>
            <w:rFonts w:cs="Times New Roman"/>
            <w:sz w:val="24"/>
            <w:szCs w:val="24"/>
          </w:rPr>
          <w:t>http://www.ohchr.org/en/professionalinterest/pages/crc.aspx</w:t>
        </w:r>
        <w:r w:rsidR="00E95924" w:rsidRPr="00E95924">
          <w:rPr>
            <w:rStyle w:val="Hyperlink"/>
            <w:rFonts w:cs="Times New Roman"/>
            <w:color w:val="auto"/>
            <w:sz w:val="24"/>
            <w:szCs w:val="24"/>
            <w:u w:val="none"/>
          </w:rPr>
          <w:t xml:space="preserve"> Viewed 1 June 2015</w:t>
        </w:r>
      </w:hyperlink>
    </w:p>
    <w:p w14:paraId="2F4E3720"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 xml:space="preserve">Crowley S, Antioch K, Carter R, Waters AM, Conway L &amp; </w:t>
      </w:r>
      <w:proofErr w:type="spellStart"/>
      <w:r w:rsidRPr="00E77265">
        <w:rPr>
          <w:rFonts w:cs="Times New Roman"/>
          <w:sz w:val="24"/>
          <w:szCs w:val="24"/>
        </w:rPr>
        <w:t>Mathers</w:t>
      </w:r>
      <w:proofErr w:type="spellEnd"/>
      <w:r w:rsidRPr="00E77265">
        <w:rPr>
          <w:rFonts w:cs="Times New Roman"/>
          <w:sz w:val="24"/>
          <w:szCs w:val="24"/>
        </w:rPr>
        <w:t xml:space="preserve"> C 1992. The cost of diet-related disease in Australia. Cat. </w:t>
      </w:r>
      <w:proofErr w:type="gramStart"/>
      <w:r w:rsidRPr="00E77265">
        <w:rPr>
          <w:rFonts w:cs="Times New Roman"/>
          <w:sz w:val="24"/>
          <w:szCs w:val="24"/>
        </w:rPr>
        <w:t>no</w:t>
      </w:r>
      <w:proofErr w:type="gramEnd"/>
      <w:r w:rsidRPr="00E77265">
        <w:rPr>
          <w:rFonts w:cs="Times New Roman"/>
          <w:sz w:val="24"/>
          <w:szCs w:val="24"/>
        </w:rPr>
        <w:t>. AIHW 297. Canberra: AIHW. Viewed 1 June 2015 &lt;http://www.aihw.gov.au/publication-detail/?id=6442466545&gt;</w:t>
      </w:r>
    </w:p>
    <w:p w14:paraId="66A59EE3"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lastRenderedPageBreak/>
        <w:t xml:space="preserve">AIHW, </w:t>
      </w:r>
      <w:proofErr w:type="spellStart"/>
      <w:r w:rsidRPr="00E77265">
        <w:rPr>
          <w:rFonts w:cs="Times New Roman"/>
          <w:sz w:val="24"/>
          <w:szCs w:val="24"/>
        </w:rPr>
        <w:t>Begg</w:t>
      </w:r>
      <w:proofErr w:type="spellEnd"/>
      <w:r w:rsidRPr="00E77265">
        <w:rPr>
          <w:rFonts w:cs="Times New Roman"/>
          <w:sz w:val="24"/>
          <w:szCs w:val="24"/>
        </w:rPr>
        <w:t xml:space="preserve"> S, </w:t>
      </w:r>
      <w:proofErr w:type="spellStart"/>
      <w:r w:rsidRPr="00E77265">
        <w:rPr>
          <w:rFonts w:cs="Times New Roman"/>
          <w:sz w:val="24"/>
          <w:szCs w:val="24"/>
        </w:rPr>
        <w:t>Vos</w:t>
      </w:r>
      <w:proofErr w:type="spellEnd"/>
      <w:r w:rsidRPr="00E77265">
        <w:rPr>
          <w:rFonts w:cs="Times New Roman"/>
          <w:sz w:val="24"/>
          <w:szCs w:val="24"/>
        </w:rPr>
        <w:t xml:space="preserve"> T, Barker B, Stevenson C, Stanley L &amp; Lopez A 2007. The burden of disease and injury in Australia 2003. Cat. </w:t>
      </w:r>
      <w:proofErr w:type="gramStart"/>
      <w:r w:rsidRPr="00E77265">
        <w:rPr>
          <w:rFonts w:cs="Times New Roman"/>
          <w:sz w:val="24"/>
          <w:szCs w:val="24"/>
        </w:rPr>
        <w:t>no</w:t>
      </w:r>
      <w:proofErr w:type="gramEnd"/>
      <w:r w:rsidRPr="00E77265">
        <w:rPr>
          <w:rFonts w:cs="Times New Roman"/>
          <w:sz w:val="24"/>
          <w:szCs w:val="24"/>
        </w:rPr>
        <w:t>. PHE 82. Canberra: AIHW. Viewed 19 September 2014 &lt;http://www.aihw.gov.au/publication-detail/?id=6442467990&gt;</w:t>
      </w:r>
    </w:p>
    <w:p w14:paraId="7ACD699D"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 xml:space="preserve">NHMRC. Australian Dietary Guidelines. 2013 </w:t>
      </w:r>
      <w:hyperlink r:id="rId17" w:history="1">
        <w:r w:rsidRPr="00E77265">
          <w:rPr>
            <w:rFonts w:cs="Times New Roman"/>
            <w:sz w:val="24"/>
            <w:szCs w:val="24"/>
          </w:rPr>
          <w:t>http://www.eatforhealth.gov.au/guidelines</w:t>
        </w:r>
      </w:hyperlink>
      <w:r w:rsidRPr="00E77265">
        <w:rPr>
          <w:rFonts w:cs="Times New Roman"/>
          <w:sz w:val="24"/>
          <w:szCs w:val="24"/>
        </w:rPr>
        <w:t xml:space="preserve">  Accessed 1 June 2015</w:t>
      </w:r>
    </w:p>
    <w:p w14:paraId="3559B59B"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Australian Bureau of Statistics. Australian Health Survey: Nutrition First Results - Foods and Nutrients, 2011-12 Cat No 4364.0.55.007</w:t>
      </w:r>
    </w:p>
    <w:p w14:paraId="4D98C1AA"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 xml:space="preserve">Campbell DJT, </w:t>
      </w:r>
      <w:proofErr w:type="spellStart"/>
      <w:r w:rsidRPr="00E77265">
        <w:rPr>
          <w:rFonts w:cs="Times New Roman"/>
          <w:sz w:val="24"/>
          <w:szCs w:val="24"/>
        </w:rPr>
        <w:t>Ronksley</w:t>
      </w:r>
      <w:proofErr w:type="spellEnd"/>
      <w:r w:rsidRPr="00E77265">
        <w:rPr>
          <w:rFonts w:cs="Times New Roman"/>
          <w:sz w:val="24"/>
          <w:szCs w:val="24"/>
        </w:rPr>
        <w:t xml:space="preserve"> PE, </w:t>
      </w:r>
      <w:proofErr w:type="spellStart"/>
      <w:r w:rsidRPr="00E77265">
        <w:rPr>
          <w:rFonts w:cs="Times New Roman"/>
          <w:sz w:val="24"/>
          <w:szCs w:val="24"/>
        </w:rPr>
        <w:t>Manns</w:t>
      </w:r>
      <w:proofErr w:type="spellEnd"/>
      <w:r w:rsidRPr="00E77265">
        <w:rPr>
          <w:rFonts w:cs="Times New Roman"/>
          <w:sz w:val="24"/>
          <w:szCs w:val="24"/>
        </w:rPr>
        <w:t xml:space="preserve"> BJ, </w:t>
      </w:r>
      <w:proofErr w:type="spellStart"/>
      <w:r w:rsidRPr="00E77265">
        <w:rPr>
          <w:rFonts w:cs="Times New Roman"/>
          <w:sz w:val="24"/>
          <w:szCs w:val="24"/>
        </w:rPr>
        <w:t>Tonelli</w:t>
      </w:r>
      <w:proofErr w:type="spellEnd"/>
      <w:r w:rsidRPr="00E77265">
        <w:rPr>
          <w:rFonts w:cs="Times New Roman"/>
          <w:sz w:val="24"/>
          <w:szCs w:val="24"/>
        </w:rPr>
        <w:t xml:space="preserve"> M, </w:t>
      </w:r>
      <w:proofErr w:type="spellStart"/>
      <w:r w:rsidRPr="00E77265">
        <w:rPr>
          <w:rFonts w:cs="Times New Roman"/>
          <w:sz w:val="24"/>
          <w:szCs w:val="24"/>
        </w:rPr>
        <w:t>Sanmartin</w:t>
      </w:r>
      <w:proofErr w:type="spellEnd"/>
      <w:r w:rsidRPr="00E77265">
        <w:rPr>
          <w:rFonts w:cs="Times New Roman"/>
          <w:sz w:val="24"/>
          <w:szCs w:val="24"/>
        </w:rPr>
        <w:t xml:space="preserve"> C, Weaver RG, Hennessy D, King-Shier K, Campbell T, </w:t>
      </w:r>
      <w:proofErr w:type="spellStart"/>
      <w:r w:rsidRPr="00E77265">
        <w:rPr>
          <w:rFonts w:cs="Times New Roman"/>
          <w:sz w:val="24"/>
          <w:szCs w:val="24"/>
        </w:rPr>
        <w:t>Hemmelgarn</w:t>
      </w:r>
      <w:proofErr w:type="spellEnd"/>
      <w:r w:rsidRPr="00E77265">
        <w:rPr>
          <w:rFonts w:cs="Times New Roman"/>
          <w:sz w:val="24"/>
          <w:szCs w:val="24"/>
        </w:rPr>
        <w:t xml:space="preserve"> BR. The association of income with health </w:t>
      </w:r>
      <w:proofErr w:type="spellStart"/>
      <w:r w:rsidRPr="00E77265">
        <w:rPr>
          <w:rFonts w:cs="Times New Roman"/>
          <w:sz w:val="24"/>
          <w:szCs w:val="24"/>
        </w:rPr>
        <w:t>behavior</w:t>
      </w:r>
      <w:proofErr w:type="spellEnd"/>
      <w:r w:rsidRPr="00E77265">
        <w:rPr>
          <w:rFonts w:cs="Times New Roman"/>
          <w:sz w:val="24"/>
          <w:szCs w:val="24"/>
        </w:rPr>
        <w:t xml:space="preserve"> change and disease monitoring among patients with chronic disease. PLOS one 2014; 9: e94007 </w:t>
      </w:r>
    </w:p>
    <w:p w14:paraId="784A8619"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National Health and Medical Research Council. A review of the evidence to address targeted questions to inform the revision of the Australian Dietary Guidelines. National Health and Medical Research Council Canberra. 2011</w:t>
      </w:r>
    </w:p>
    <w:p w14:paraId="5E076A23" w14:textId="77777777" w:rsidR="00E77265" w:rsidRPr="00E77265" w:rsidRDefault="00E77265" w:rsidP="00E77265">
      <w:pPr>
        <w:pStyle w:val="ListParagraph"/>
        <w:numPr>
          <w:ilvl w:val="0"/>
          <w:numId w:val="7"/>
        </w:numPr>
        <w:rPr>
          <w:rFonts w:cs="Times New Roman"/>
          <w:sz w:val="24"/>
          <w:szCs w:val="24"/>
        </w:rPr>
      </w:pPr>
      <w:proofErr w:type="spellStart"/>
      <w:r w:rsidRPr="00E77265">
        <w:rPr>
          <w:rFonts w:cs="Times New Roman"/>
          <w:sz w:val="24"/>
          <w:szCs w:val="24"/>
        </w:rPr>
        <w:t>Jacka</w:t>
      </w:r>
      <w:proofErr w:type="spellEnd"/>
      <w:r w:rsidRPr="00E77265">
        <w:rPr>
          <w:rFonts w:cs="Times New Roman"/>
          <w:sz w:val="24"/>
          <w:szCs w:val="24"/>
        </w:rPr>
        <w:t xml:space="preserve"> FN, Sacks G, Berk M, </w:t>
      </w:r>
      <w:proofErr w:type="spellStart"/>
      <w:r w:rsidRPr="00E77265">
        <w:rPr>
          <w:rFonts w:cs="Times New Roman"/>
          <w:sz w:val="24"/>
          <w:szCs w:val="24"/>
        </w:rPr>
        <w:t>Allender</w:t>
      </w:r>
      <w:proofErr w:type="spellEnd"/>
      <w:r w:rsidRPr="00E77265">
        <w:rPr>
          <w:rFonts w:cs="Times New Roman"/>
          <w:sz w:val="24"/>
          <w:szCs w:val="24"/>
        </w:rPr>
        <w:t xml:space="preserve"> S. Food policies for physical and mental health. BMC Psychiatry 2014; 14: 132. http://www.biomedcentral.com/1471-244X/14/132</w:t>
      </w:r>
    </w:p>
    <w:p w14:paraId="5D7FA0B2" w14:textId="77777777" w:rsidR="00E77265" w:rsidRPr="00E77265" w:rsidRDefault="00E77265" w:rsidP="00E77265">
      <w:pPr>
        <w:pStyle w:val="ListParagraph"/>
        <w:numPr>
          <w:ilvl w:val="0"/>
          <w:numId w:val="7"/>
        </w:numPr>
        <w:rPr>
          <w:rFonts w:cs="Times New Roman"/>
          <w:sz w:val="24"/>
          <w:szCs w:val="24"/>
        </w:rPr>
      </w:pPr>
      <w:proofErr w:type="spellStart"/>
      <w:r w:rsidRPr="00E77265">
        <w:rPr>
          <w:rFonts w:cs="Times New Roman"/>
          <w:sz w:val="24"/>
          <w:szCs w:val="24"/>
        </w:rPr>
        <w:t>Barosh</w:t>
      </w:r>
      <w:proofErr w:type="spellEnd"/>
      <w:r w:rsidRPr="00E77265">
        <w:rPr>
          <w:rFonts w:cs="Times New Roman"/>
          <w:sz w:val="24"/>
          <w:szCs w:val="24"/>
        </w:rPr>
        <w:t xml:space="preserve"> L, </w:t>
      </w:r>
      <w:proofErr w:type="spellStart"/>
      <w:r w:rsidRPr="00E77265">
        <w:rPr>
          <w:rFonts w:cs="Times New Roman"/>
          <w:sz w:val="24"/>
          <w:szCs w:val="24"/>
        </w:rPr>
        <w:t>Friel</w:t>
      </w:r>
      <w:proofErr w:type="spellEnd"/>
      <w:r w:rsidRPr="00E77265">
        <w:rPr>
          <w:rFonts w:cs="Times New Roman"/>
          <w:sz w:val="24"/>
          <w:szCs w:val="24"/>
        </w:rPr>
        <w:t xml:space="preserve"> S, </w:t>
      </w:r>
      <w:proofErr w:type="spellStart"/>
      <w:r w:rsidRPr="00E77265">
        <w:rPr>
          <w:rFonts w:cs="Times New Roman"/>
          <w:sz w:val="24"/>
          <w:szCs w:val="24"/>
        </w:rPr>
        <w:t>Engelhardt</w:t>
      </w:r>
      <w:proofErr w:type="spellEnd"/>
      <w:r w:rsidRPr="00E77265">
        <w:rPr>
          <w:rFonts w:cs="Times New Roman"/>
          <w:sz w:val="24"/>
          <w:szCs w:val="24"/>
        </w:rPr>
        <w:t xml:space="preserve"> K, Chan L. The cost of a healthy and sustainable diet – who can afford it? Aust NZ J Public Health. 2014; 38: 7-12</w:t>
      </w:r>
    </w:p>
    <w:p w14:paraId="0444C0A8" w14:textId="77777777" w:rsidR="00E77265" w:rsidRPr="00E77265" w:rsidRDefault="00E77265" w:rsidP="00E77265">
      <w:pPr>
        <w:pStyle w:val="ListParagraph"/>
        <w:numPr>
          <w:ilvl w:val="0"/>
          <w:numId w:val="7"/>
        </w:numPr>
        <w:rPr>
          <w:rFonts w:cs="Times New Roman"/>
          <w:sz w:val="24"/>
          <w:szCs w:val="24"/>
        </w:rPr>
      </w:pPr>
      <w:proofErr w:type="spellStart"/>
      <w:r w:rsidRPr="00E77265">
        <w:rPr>
          <w:rFonts w:cs="Times New Roman"/>
          <w:sz w:val="24"/>
          <w:szCs w:val="24"/>
        </w:rPr>
        <w:t>Monsivais</w:t>
      </w:r>
      <w:proofErr w:type="spellEnd"/>
      <w:r w:rsidRPr="00E77265">
        <w:rPr>
          <w:rFonts w:cs="Times New Roman"/>
          <w:sz w:val="24"/>
          <w:szCs w:val="24"/>
        </w:rPr>
        <w:t xml:space="preserve"> P, Aggarwal A, </w:t>
      </w:r>
      <w:proofErr w:type="spellStart"/>
      <w:r w:rsidRPr="00E77265">
        <w:rPr>
          <w:rFonts w:cs="Times New Roman"/>
          <w:sz w:val="24"/>
          <w:szCs w:val="24"/>
        </w:rPr>
        <w:t>Drewnowski</w:t>
      </w:r>
      <w:proofErr w:type="spellEnd"/>
      <w:r w:rsidRPr="00E77265">
        <w:rPr>
          <w:rFonts w:cs="Times New Roman"/>
          <w:sz w:val="24"/>
          <w:szCs w:val="24"/>
        </w:rPr>
        <w:t xml:space="preserve"> A. Are socioeconomic </w:t>
      </w:r>
      <w:proofErr w:type="spellStart"/>
      <w:r w:rsidRPr="00E77265">
        <w:rPr>
          <w:rFonts w:cs="Times New Roman"/>
          <w:sz w:val="24"/>
          <w:szCs w:val="24"/>
        </w:rPr>
        <w:t>disparaites</w:t>
      </w:r>
      <w:proofErr w:type="spellEnd"/>
      <w:r w:rsidRPr="00E77265">
        <w:rPr>
          <w:rFonts w:cs="Times New Roman"/>
          <w:sz w:val="24"/>
          <w:szCs w:val="24"/>
        </w:rPr>
        <w:t xml:space="preserve"> in diet quality explained by diet cost</w:t>
      </w:r>
      <w:proofErr w:type="gramStart"/>
      <w:r w:rsidRPr="00E77265">
        <w:rPr>
          <w:rFonts w:cs="Times New Roman"/>
          <w:sz w:val="24"/>
          <w:szCs w:val="24"/>
        </w:rPr>
        <w:t>?.</w:t>
      </w:r>
      <w:proofErr w:type="gramEnd"/>
      <w:r w:rsidRPr="00E77265">
        <w:rPr>
          <w:rFonts w:cs="Times New Roman"/>
          <w:sz w:val="24"/>
          <w:szCs w:val="24"/>
        </w:rPr>
        <w:t xml:space="preserve"> Journal of Epidemiology and Community Health. 2012; 66: 530-535</w:t>
      </w:r>
    </w:p>
    <w:p w14:paraId="5C9FA766" w14:textId="77777777" w:rsidR="00F61AFA" w:rsidRPr="00E77265" w:rsidRDefault="00F61AFA" w:rsidP="00F61AFA">
      <w:pPr>
        <w:pStyle w:val="ListParagraph"/>
        <w:numPr>
          <w:ilvl w:val="0"/>
          <w:numId w:val="7"/>
        </w:numPr>
        <w:rPr>
          <w:rFonts w:cs="Times New Roman"/>
          <w:sz w:val="24"/>
          <w:szCs w:val="24"/>
        </w:rPr>
      </w:pPr>
      <w:r w:rsidRPr="00E77265">
        <w:rPr>
          <w:rFonts w:cs="Times New Roman"/>
          <w:sz w:val="24"/>
          <w:szCs w:val="24"/>
        </w:rPr>
        <w:t xml:space="preserve">Ward PR, Verity F, Carter P, </w:t>
      </w:r>
      <w:proofErr w:type="spellStart"/>
      <w:r w:rsidRPr="00E77265">
        <w:rPr>
          <w:rFonts w:cs="Times New Roman"/>
          <w:sz w:val="24"/>
          <w:szCs w:val="24"/>
        </w:rPr>
        <w:t>Tsourtos</w:t>
      </w:r>
      <w:proofErr w:type="spellEnd"/>
      <w:r w:rsidRPr="00E77265">
        <w:rPr>
          <w:rFonts w:cs="Times New Roman"/>
          <w:sz w:val="24"/>
          <w:szCs w:val="24"/>
        </w:rPr>
        <w:t xml:space="preserve"> G, </w:t>
      </w:r>
      <w:proofErr w:type="spellStart"/>
      <w:r w:rsidRPr="00E77265">
        <w:rPr>
          <w:rFonts w:cs="Times New Roman"/>
          <w:sz w:val="24"/>
          <w:szCs w:val="24"/>
        </w:rPr>
        <w:t>Coveney</w:t>
      </w:r>
      <w:proofErr w:type="spellEnd"/>
      <w:r w:rsidRPr="00E77265">
        <w:rPr>
          <w:rFonts w:cs="Times New Roman"/>
          <w:sz w:val="24"/>
          <w:szCs w:val="24"/>
        </w:rPr>
        <w:t xml:space="preserve"> J, Wong </w:t>
      </w:r>
      <w:proofErr w:type="spellStart"/>
      <w:r w:rsidRPr="00E77265">
        <w:rPr>
          <w:rFonts w:cs="Times New Roman"/>
          <w:sz w:val="24"/>
          <w:szCs w:val="24"/>
        </w:rPr>
        <w:t>KCFood</w:t>
      </w:r>
      <w:proofErr w:type="spellEnd"/>
      <w:r w:rsidRPr="00E77265">
        <w:rPr>
          <w:rFonts w:cs="Times New Roman"/>
          <w:sz w:val="24"/>
          <w:szCs w:val="24"/>
        </w:rPr>
        <w:t xml:space="preserve"> stress in Adelaide: The relationship between low income and the affordability of healthy food. J Environ Public Health. 2013. http://dx.doi.org/10.1155/2013/968078</w:t>
      </w:r>
    </w:p>
    <w:p w14:paraId="73E5E0FF"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 xml:space="preserve">Harrison MS, Coyne T, Lee AJ, Leonard D, </w:t>
      </w:r>
      <w:proofErr w:type="spellStart"/>
      <w:r w:rsidRPr="00E77265">
        <w:rPr>
          <w:rFonts w:cs="Times New Roman"/>
          <w:sz w:val="24"/>
          <w:szCs w:val="24"/>
        </w:rPr>
        <w:t>Lowson</w:t>
      </w:r>
      <w:proofErr w:type="spellEnd"/>
      <w:r w:rsidRPr="00E77265">
        <w:rPr>
          <w:rFonts w:cs="Times New Roman"/>
          <w:sz w:val="24"/>
          <w:szCs w:val="24"/>
        </w:rPr>
        <w:t xml:space="preserve"> S, </w:t>
      </w:r>
      <w:proofErr w:type="spellStart"/>
      <w:r w:rsidRPr="00E77265">
        <w:rPr>
          <w:rFonts w:cs="Times New Roman"/>
          <w:sz w:val="24"/>
          <w:szCs w:val="24"/>
        </w:rPr>
        <w:t>Groos</w:t>
      </w:r>
      <w:proofErr w:type="spellEnd"/>
      <w:r w:rsidRPr="00E77265">
        <w:rPr>
          <w:rFonts w:cs="Times New Roman"/>
          <w:sz w:val="24"/>
          <w:szCs w:val="24"/>
        </w:rPr>
        <w:t xml:space="preserve"> A, Ashton BA. The increasing cost of the basic foods required to promote health in Queensland. MJA 2007; 186: 9-14</w:t>
      </w:r>
    </w:p>
    <w:p w14:paraId="54F59AE2"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 xml:space="preserve">Australian Council of Social Service. Tax: Are we paying our fair share? January 2015. </w:t>
      </w:r>
    </w:p>
    <w:p w14:paraId="6D43C0DE"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Northern Territory Council of Social Services. 6th NT Cost of Living Report. 2014</w:t>
      </w:r>
    </w:p>
    <w:p w14:paraId="5B4AECA6"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 xml:space="preserve">Australian Bureau of Statistics Household Expenditure Survey: Detailed Expenditure Items Australia 1993-94, ABS Cat No 6535.0 Later? </w:t>
      </w:r>
    </w:p>
    <w:p w14:paraId="64657AA3"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 xml:space="preserve">ABS Household Expenditure Survey, Australia: Summary of Results 2003-2004. Cat No 6530.0 Canberra: Australian Government Publishing Service, 2006 </w:t>
      </w:r>
    </w:p>
    <w:p w14:paraId="241EB35B"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lastRenderedPageBreak/>
        <w:t xml:space="preserve">Wong KC, </w:t>
      </w:r>
      <w:proofErr w:type="spellStart"/>
      <w:r w:rsidRPr="00E77265">
        <w:rPr>
          <w:rFonts w:cs="Times New Roman"/>
          <w:sz w:val="24"/>
          <w:szCs w:val="24"/>
        </w:rPr>
        <w:t>Coveney</w:t>
      </w:r>
      <w:proofErr w:type="spellEnd"/>
      <w:r w:rsidRPr="00E77265">
        <w:rPr>
          <w:rFonts w:cs="Times New Roman"/>
          <w:sz w:val="24"/>
          <w:szCs w:val="24"/>
        </w:rPr>
        <w:t xml:space="preserve"> J, Ward P, Muller R, Carter P, Verity F, </w:t>
      </w:r>
      <w:proofErr w:type="spellStart"/>
      <w:r w:rsidRPr="00E77265">
        <w:rPr>
          <w:rFonts w:cs="Times New Roman"/>
          <w:sz w:val="24"/>
          <w:szCs w:val="24"/>
        </w:rPr>
        <w:t>Tsourtos</w:t>
      </w:r>
      <w:proofErr w:type="spellEnd"/>
      <w:r w:rsidRPr="00E77265">
        <w:rPr>
          <w:rFonts w:cs="Times New Roman"/>
          <w:sz w:val="24"/>
          <w:szCs w:val="24"/>
        </w:rPr>
        <w:t xml:space="preserve"> G. Availability, affordability and quality of a healthy food basket in Adelaide, South Australia. Nutrition &amp; Dietetics 2011; 68: 8–14 </w:t>
      </w:r>
    </w:p>
    <w:p w14:paraId="48D3725D"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Williams P. Monitoring the affordability of healthy eating: a case study of 10 years of the Illawarra Healthy Food Basket. Nutrients 2010; 2: 1132-40</w:t>
      </w:r>
    </w:p>
    <w:p w14:paraId="72D73E7C" w14:textId="77777777" w:rsidR="00E77265" w:rsidRPr="00E77265" w:rsidRDefault="00E77265" w:rsidP="00E77265">
      <w:pPr>
        <w:pStyle w:val="ListParagraph"/>
        <w:numPr>
          <w:ilvl w:val="0"/>
          <w:numId w:val="7"/>
        </w:numPr>
        <w:rPr>
          <w:rFonts w:cs="Times New Roman"/>
          <w:sz w:val="24"/>
          <w:szCs w:val="24"/>
        </w:rPr>
      </w:pPr>
      <w:r w:rsidRPr="00E77265">
        <w:rPr>
          <w:rFonts w:cs="Times New Roman"/>
          <w:sz w:val="24"/>
          <w:szCs w:val="24"/>
        </w:rPr>
        <w:t xml:space="preserve">Rao M, </w:t>
      </w:r>
      <w:proofErr w:type="spellStart"/>
      <w:r w:rsidRPr="00E77265">
        <w:rPr>
          <w:rFonts w:cs="Times New Roman"/>
          <w:sz w:val="24"/>
          <w:szCs w:val="24"/>
        </w:rPr>
        <w:t>Afshin</w:t>
      </w:r>
      <w:proofErr w:type="spellEnd"/>
      <w:r w:rsidRPr="00E77265">
        <w:rPr>
          <w:rFonts w:cs="Times New Roman"/>
          <w:sz w:val="24"/>
          <w:szCs w:val="24"/>
        </w:rPr>
        <w:t xml:space="preserve"> A, Singh G, </w:t>
      </w:r>
      <w:proofErr w:type="spellStart"/>
      <w:r w:rsidRPr="00E77265">
        <w:rPr>
          <w:rFonts w:cs="Times New Roman"/>
          <w:sz w:val="24"/>
          <w:szCs w:val="24"/>
        </w:rPr>
        <w:t>Mozaffarian</w:t>
      </w:r>
      <w:proofErr w:type="spellEnd"/>
      <w:r w:rsidRPr="00E77265">
        <w:rPr>
          <w:rFonts w:cs="Times New Roman"/>
          <w:sz w:val="24"/>
          <w:szCs w:val="24"/>
        </w:rPr>
        <w:t xml:space="preserve"> D. Do healthier foods and diet </w:t>
      </w:r>
      <w:proofErr w:type="spellStart"/>
      <w:r w:rsidRPr="00E77265">
        <w:rPr>
          <w:rFonts w:cs="Times New Roman"/>
          <w:sz w:val="24"/>
          <w:szCs w:val="24"/>
        </w:rPr>
        <w:t>pattens</w:t>
      </w:r>
      <w:proofErr w:type="spellEnd"/>
      <w:r w:rsidRPr="00E77265">
        <w:rPr>
          <w:rFonts w:cs="Times New Roman"/>
          <w:sz w:val="24"/>
          <w:szCs w:val="24"/>
        </w:rPr>
        <w:t xml:space="preserve"> </w:t>
      </w:r>
      <w:proofErr w:type="spellStart"/>
      <w:r w:rsidRPr="00E77265">
        <w:rPr>
          <w:rFonts w:cs="Times New Roman"/>
          <w:sz w:val="24"/>
          <w:szCs w:val="24"/>
        </w:rPr>
        <w:t>ost</w:t>
      </w:r>
      <w:proofErr w:type="spellEnd"/>
      <w:r w:rsidRPr="00E77265">
        <w:rPr>
          <w:rFonts w:cs="Times New Roman"/>
          <w:sz w:val="24"/>
          <w:szCs w:val="24"/>
        </w:rPr>
        <w:t xml:space="preserve"> more than less healthy options? A systematic review and meta-analysis. BMJ Open. 2013; 3: e004277. Doi:10.1136/bmjopen-2013-004277</w:t>
      </w:r>
    </w:p>
    <w:p w14:paraId="4685200B" w14:textId="77777777" w:rsidR="00E77265" w:rsidRDefault="00E77265" w:rsidP="003530B8">
      <w:pPr>
        <w:ind w:left="720"/>
        <w:rPr>
          <w:rFonts w:cs="Times New Roman"/>
          <w:sz w:val="24"/>
          <w:szCs w:val="24"/>
        </w:rPr>
      </w:pPr>
    </w:p>
    <w:p w14:paraId="7C2B2FB7" w14:textId="77777777" w:rsidR="00062B92" w:rsidRPr="00AD46AC" w:rsidRDefault="00993392" w:rsidP="003530B8">
      <w:pPr>
        <w:ind w:left="720"/>
        <w:rPr>
          <w:rFonts w:cs="Times New Roman"/>
          <w:sz w:val="24"/>
          <w:szCs w:val="24"/>
        </w:rPr>
      </w:pPr>
      <w:r>
        <w:rPr>
          <w:rFonts w:cs="Times New Roman"/>
          <w:sz w:val="24"/>
          <w:szCs w:val="24"/>
        </w:rPr>
        <w:br/>
      </w:r>
    </w:p>
    <w:p w14:paraId="1FD28B00" w14:textId="77777777" w:rsidR="00117A5E" w:rsidRDefault="00117A5E" w:rsidP="00062B92">
      <w:pPr>
        <w:rPr>
          <w:rFonts w:cs="Times New Roman"/>
          <w:b/>
          <w:sz w:val="24"/>
          <w:szCs w:val="24"/>
        </w:rPr>
      </w:pPr>
    </w:p>
    <w:p w14:paraId="6B2B3AB7" w14:textId="77777777" w:rsidR="003530B8" w:rsidRPr="003530B8" w:rsidRDefault="003530B8" w:rsidP="003530B8">
      <w:pPr>
        <w:rPr>
          <w:rFonts w:cs="Times New Roman"/>
          <w:sz w:val="24"/>
          <w:szCs w:val="24"/>
        </w:rPr>
      </w:pPr>
    </w:p>
    <w:sectPr w:rsidR="003530B8" w:rsidRPr="003530B8" w:rsidSect="00FA1EC8">
      <w:footerReference w:type="defaul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C1C54" w14:textId="77777777" w:rsidR="00A03C97" w:rsidRDefault="00A03C97" w:rsidP="00A63E67">
      <w:pPr>
        <w:spacing w:after="0" w:line="240" w:lineRule="auto"/>
      </w:pPr>
      <w:r>
        <w:separator/>
      </w:r>
    </w:p>
  </w:endnote>
  <w:endnote w:type="continuationSeparator" w:id="0">
    <w:p w14:paraId="3C7306B2" w14:textId="77777777" w:rsidR="00A03C97" w:rsidRDefault="00A03C97" w:rsidP="00A63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347094"/>
      <w:docPartObj>
        <w:docPartGallery w:val="Page Numbers (Bottom of Page)"/>
        <w:docPartUnique/>
      </w:docPartObj>
    </w:sdtPr>
    <w:sdtEndPr/>
    <w:sdtContent>
      <w:p w14:paraId="32B5E3AF" w14:textId="77777777" w:rsidR="000C6A95" w:rsidRDefault="00E66891">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06EC6F5E" w14:textId="77777777" w:rsidR="000C6A95" w:rsidRDefault="000C6A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CFE5C" w14:textId="77777777" w:rsidR="00A03C97" w:rsidRDefault="00A03C97" w:rsidP="00A63E67">
      <w:pPr>
        <w:spacing w:after="0" w:line="240" w:lineRule="auto"/>
      </w:pPr>
      <w:r>
        <w:separator/>
      </w:r>
    </w:p>
  </w:footnote>
  <w:footnote w:type="continuationSeparator" w:id="0">
    <w:p w14:paraId="208E718D" w14:textId="77777777" w:rsidR="00A03C97" w:rsidRDefault="00A03C97" w:rsidP="00A63E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F642B"/>
    <w:multiLevelType w:val="hybridMultilevel"/>
    <w:tmpl w:val="19C2B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9D37B0C"/>
    <w:multiLevelType w:val="hybridMultilevel"/>
    <w:tmpl w:val="8D986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3856EFC"/>
    <w:multiLevelType w:val="hybridMultilevel"/>
    <w:tmpl w:val="172438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34671D04"/>
    <w:multiLevelType w:val="hybridMultilevel"/>
    <w:tmpl w:val="C4AEC9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8611769"/>
    <w:multiLevelType w:val="hybridMultilevel"/>
    <w:tmpl w:val="BAF61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9A11CB0"/>
    <w:multiLevelType w:val="hybridMultilevel"/>
    <w:tmpl w:val="A232CEE2"/>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7B9F5091"/>
    <w:multiLevelType w:val="hybridMultilevel"/>
    <w:tmpl w:val="978C7D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E67"/>
    <w:rsid w:val="00062B92"/>
    <w:rsid w:val="000C6A95"/>
    <w:rsid w:val="000F3BBC"/>
    <w:rsid w:val="00117A5E"/>
    <w:rsid w:val="0012139C"/>
    <w:rsid w:val="00133986"/>
    <w:rsid w:val="00190C23"/>
    <w:rsid w:val="001943A4"/>
    <w:rsid w:val="0019656F"/>
    <w:rsid w:val="00235C72"/>
    <w:rsid w:val="00252C69"/>
    <w:rsid w:val="00304CFD"/>
    <w:rsid w:val="003530B8"/>
    <w:rsid w:val="00380B1C"/>
    <w:rsid w:val="003B14E3"/>
    <w:rsid w:val="003C6E45"/>
    <w:rsid w:val="003E3C6C"/>
    <w:rsid w:val="003F4A3F"/>
    <w:rsid w:val="004171AC"/>
    <w:rsid w:val="0048208E"/>
    <w:rsid w:val="004F0831"/>
    <w:rsid w:val="005147E1"/>
    <w:rsid w:val="005266BE"/>
    <w:rsid w:val="00543924"/>
    <w:rsid w:val="00554096"/>
    <w:rsid w:val="00557561"/>
    <w:rsid w:val="00606222"/>
    <w:rsid w:val="006501F4"/>
    <w:rsid w:val="00665369"/>
    <w:rsid w:val="006B7441"/>
    <w:rsid w:val="006D3EEF"/>
    <w:rsid w:val="0074667B"/>
    <w:rsid w:val="00796369"/>
    <w:rsid w:val="007E048E"/>
    <w:rsid w:val="00861F3A"/>
    <w:rsid w:val="00863356"/>
    <w:rsid w:val="008E1BE0"/>
    <w:rsid w:val="00954D62"/>
    <w:rsid w:val="0096413C"/>
    <w:rsid w:val="00993392"/>
    <w:rsid w:val="009B110C"/>
    <w:rsid w:val="00A03C97"/>
    <w:rsid w:val="00A34783"/>
    <w:rsid w:val="00A63E67"/>
    <w:rsid w:val="00AD46AC"/>
    <w:rsid w:val="00AE0BED"/>
    <w:rsid w:val="00B00448"/>
    <w:rsid w:val="00B33FA0"/>
    <w:rsid w:val="00B340AF"/>
    <w:rsid w:val="00B67EC0"/>
    <w:rsid w:val="00B87C66"/>
    <w:rsid w:val="00BE3F92"/>
    <w:rsid w:val="00BE646F"/>
    <w:rsid w:val="00BE79B1"/>
    <w:rsid w:val="00BF7235"/>
    <w:rsid w:val="00C01C3A"/>
    <w:rsid w:val="00C252CB"/>
    <w:rsid w:val="00D14FC6"/>
    <w:rsid w:val="00D33F21"/>
    <w:rsid w:val="00D47A7E"/>
    <w:rsid w:val="00D67DCD"/>
    <w:rsid w:val="00D7143D"/>
    <w:rsid w:val="00D72541"/>
    <w:rsid w:val="00E631C5"/>
    <w:rsid w:val="00E66891"/>
    <w:rsid w:val="00E77265"/>
    <w:rsid w:val="00E836B4"/>
    <w:rsid w:val="00E95924"/>
    <w:rsid w:val="00F32D14"/>
    <w:rsid w:val="00F61AFA"/>
    <w:rsid w:val="00F8776B"/>
    <w:rsid w:val="00F9337E"/>
    <w:rsid w:val="00FA1EC8"/>
    <w:rsid w:val="00FA6408"/>
    <w:rsid w:val="00FC57E8"/>
    <w:rsid w:val="00FE42DC"/>
    <w:rsid w:val="00FE57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0C924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levelheading">
    <w:name w:val="First level heading"/>
    <w:basedOn w:val="Normal"/>
    <w:link w:val="FirstlevelheadingChar"/>
    <w:autoRedefine/>
    <w:qFormat/>
    <w:rsid w:val="00A63E67"/>
    <w:pPr>
      <w:keepNext/>
      <w:widowControl w:val="0"/>
      <w:spacing w:line="240" w:lineRule="auto"/>
      <w:outlineLvl w:val="0"/>
    </w:pPr>
    <w:rPr>
      <w:rFonts w:ascii="Times New Roman" w:eastAsia="Times New Roman" w:hAnsi="Times New Roman" w:cs="Times New Roman"/>
      <w:b/>
      <w:bCs/>
      <w:sz w:val="24"/>
      <w:szCs w:val="24"/>
      <w:lang w:bidi="en-US"/>
    </w:rPr>
  </w:style>
  <w:style w:type="character" w:customStyle="1" w:styleId="FirstlevelheadingChar">
    <w:name w:val="First level heading Char"/>
    <w:link w:val="Firstlevelheading"/>
    <w:rsid w:val="00A63E67"/>
    <w:rPr>
      <w:rFonts w:ascii="Times New Roman" w:eastAsia="Times New Roman" w:hAnsi="Times New Roman" w:cs="Times New Roman"/>
      <w:b/>
      <w:bCs/>
      <w:sz w:val="24"/>
      <w:szCs w:val="24"/>
      <w:lang w:bidi="en-US"/>
    </w:rPr>
  </w:style>
  <w:style w:type="character" w:styleId="Hyperlink">
    <w:name w:val="Hyperlink"/>
    <w:unhideWhenUsed/>
    <w:rsid w:val="00A63E67"/>
    <w:rPr>
      <w:color w:val="0000FF"/>
      <w:u w:val="single"/>
    </w:rPr>
  </w:style>
  <w:style w:type="paragraph" w:styleId="ListParagraph">
    <w:name w:val="List Paragraph"/>
    <w:basedOn w:val="Normal"/>
    <w:uiPriority w:val="34"/>
    <w:qFormat/>
    <w:rsid w:val="00A63E67"/>
    <w:pPr>
      <w:ind w:left="720"/>
      <w:contextualSpacing/>
    </w:pPr>
  </w:style>
  <w:style w:type="paragraph" w:styleId="BalloonText">
    <w:name w:val="Balloon Text"/>
    <w:basedOn w:val="Normal"/>
    <w:link w:val="BalloonTextChar"/>
    <w:uiPriority w:val="99"/>
    <w:semiHidden/>
    <w:unhideWhenUsed/>
    <w:rsid w:val="00A63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E67"/>
    <w:rPr>
      <w:rFonts w:ascii="Tahoma" w:hAnsi="Tahoma" w:cs="Tahoma"/>
      <w:sz w:val="16"/>
      <w:szCs w:val="16"/>
    </w:rPr>
  </w:style>
  <w:style w:type="paragraph" w:styleId="Header">
    <w:name w:val="header"/>
    <w:basedOn w:val="Normal"/>
    <w:link w:val="HeaderChar"/>
    <w:uiPriority w:val="99"/>
    <w:semiHidden/>
    <w:unhideWhenUsed/>
    <w:rsid w:val="00A63E6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63E67"/>
  </w:style>
  <w:style w:type="paragraph" w:styleId="Footer">
    <w:name w:val="footer"/>
    <w:basedOn w:val="Normal"/>
    <w:link w:val="FooterChar"/>
    <w:uiPriority w:val="99"/>
    <w:unhideWhenUsed/>
    <w:rsid w:val="00A63E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3E67"/>
  </w:style>
  <w:style w:type="character" w:styleId="CommentReference">
    <w:name w:val="annotation reference"/>
    <w:basedOn w:val="DefaultParagraphFont"/>
    <w:uiPriority w:val="99"/>
    <w:semiHidden/>
    <w:unhideWhenUsed/>
    <w:rsid w:val="00A63E67"/>
    <w:rPr>
      <w:sz w:val="16"/>
      <w:szCs w:val="16"/>
    </w:rPr>
  </w:style>
  <w:style w:type="paragraph" w:styleId="CommentText">
    <w:name w:val="annotation text"/>
    <w:basedOn w:val="Normal"/>
    <w:link w:val="CommentTextChar"/>
    <w:uiPriority w:val="99"/>
    <w:semiHidden/>
    <w:unhideWhenUsed/>
    <w:rsid w:val="00A63E67"/>
    <w:pPr>
      <w:spacing w:line="240" w:lineRule="auto"/>
    </w:pPr>
    <w:rPr>
      <w:sz w:val="20"/>
      <w:szCs w:val="20"/>
    </w:rPr>
  </w:style>
  <w:style w:type="character" w:customStyle="1" w:styleId="CommentTextChar">
    <w:name w:val="Comment Text Char"/>
    <w:basedOn w:val="DefaultParagraphFont"/>
    <w:link w:val="CommentText"/>
    <w:uiPriority w:val="99"/>
    <w:semiHidden/>
    <w:rsid w:val="00A63E67"/>
    <w:rPr>
      <w:sz w:val="20"/>
      <w:szCs w:val="20"/>
    </w:rPr>
  </w:style>
  <w:style w:type="paragraph" w:styleId="CommentSubject">
    <w:name w:val="annotation subject"/>
    <w:basedOn w:val="CommentText"/>
    <w:next w:val="CommentText"/>
    <w:link w:val="CommentSubjectChar"/>
    <w:uiPriority w:val="99"/>
    <w:semiHidden/>
    <w:unhideWhenUsed/>
    <w:rsid w:val="00A63E67"/>
    <w:rPr>
      <w:b/>
      <w:bCs/>
    </w:rPr>
  </w:style>
  <w:style w:type="character" w:customStyle="1" w:styleId="CommentSubjectChar">
    <w:name w:val="Comment Subject Char"/>
    <w:basedOn w:val="CommentTextChar"/>
    <w:link w:val="CommentSubject"/>
    <w:uiPriority w:val="99"/>
    <w:semiHidden/>
    <w:rsid w:val="00A63E67"/>
    <w:rPr>
      <w:b/>
      <w:bCs/>
      <w:sz w:val="20"/>
      <w:szCs w:val="20"/>
    </w:rPr>
  </w:style>
  <w:style w:type="character" w:styleId="FollowedHyperlink">
    <w:name w:val="FollowedHyperlink"/>
    <w:basedOn w:val="DefaultParagraphFont"/>
    <w:uiPriority w:val="99"/>
    <w:semiHidden/>
    <w:unhideWhenUsed/>
    <w:rsid w:val="00E9592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levelheading">
    <w:name w:val="First level heading"/>
    <w:basedOn w:val="Normal"/>
    <w:link w:val="FirstlevelheadingChar"/>
    <w:autoRedefine/>
    <w:qFormat/>
    <w:rsid w:val="00A63E67"/>
    <w:pPr>
      <w:keepNext/>
      <w:widowControl w:val="0"/>
      <w:spacing w:line="240" w:lineRule="auto"/>
      <w:outlineLvl w:val="0"/>
    </w:pPr>
    <w:rPr>
      <w:rFonts w:ascii="Times New Roman" w:eastAsia="Times New Roman" w:hAnsi="Times New Roman" w:cs="Times New Roman"/>
      <w:b/>
      <w:bCs/>
      <w:sz w:val="24"/>
      <w:szCs w:val="24"/>
      <w:lang w:bidi="en-US"/>
    </w:rPr>
  </w:style>
  <w:style w:type="character" w:customStyle="1" w:styleId="FirstlevelheadingChar">
    <w:name w:val="First level heading Char"/>
    <w:link w:val="Firstlevelheading"/>
    <w:rsid w:val="00A63E67"/>
    <w:rPr>
      <w:rFonts w:ascii="Times New Roman" w:eastAsia="Times New Roman" w:hAnsi="Times New Roman" w:cs="Times New Roman"/>
      <w:b/>
      <w:bCs/>
      <w:sz w:val="24"/>
      <w:szCs w:val="24"/>
      <w:lang w:bidi="en-US"/>
    </w:rPr>
  </w:style>
  <w:style w:type="character" w:styleId="Hyperlink">
    <w:name w:val="Hyperlink"/>
    <w:unhideWhenUsed/>
    <w:rsid w:val="00A63E67"/>
    <w:rPr>
      <w:color w:val="0000FF"/>
      <w:u w:val="single"/>
    </w:rPr>
  </w:style>
  <w:style w:type="paragraph" w:styleId="ListParagraph">
    <w:name w:val="List Paragraph"/>
    <w:basedOn w:val="Normal"/>
    <w:uiPriority w:val="34"/>
    <w:qFormat/>
    <w:rsid w:val="00A63E67"/>
    <w:pPr>
      <w:ind w:left="720"/>
      <w:contextualSpacing/>
    </w:pPr>
  </w:style>
  <w:style w:type="paragraph" w:styleId="BalloonText">
    <w:name w:val="Balloon Text"/>
    <w:basedOn w:val="Normal"/>
    <w:link w:val="BalloonTextChar"/>
    <w:uiPriority w:val="99"/>
    <w:semiHidden/>
    <w:unhideWhenUsed/>
    <w:rsid w:val="00A63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E67"/>
    <w:rPr>
      <w:rFonts w:ascii="Tahoma" w:hAnsi="Tahoma" w:cs="Tahoma"/>
      <w:sz w:val="16"/>
      <w:szCs w:val="16"/>
    </w:rPr>
  </w:style>
  <w:style w:type="paragraph" w:styleId="Header">
    <w:name w:val="header"/>
    <w:basedOn w:val="Normal"/>
    <w:link w:val="HeaderChar"/>
    <w:uiPriority w:val="99"/>
    <w:semiHidden/>
    <w:unhideWhenUsed/>
    <w:rsid w:val="00A63E6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63E67"/>
  </w:style>
  <w:style w:type="paragraph" w:styleId="Footer">
    <w:name w:val="footer"/>
    <w:basedOn w:val="Normal"/>
    <w:link w:val="FooterChar"/>
    <w:uiPriority w:val="99"/>
    <w:unhideWhenUsed/>
    <w:rsid w:val="00A63E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3E67"/>
  </w:style>
  <w:style w:type="character" w:styleId="CommentReference">
    <w:name w:val="annotation reference"/>
    <w:basedOn w:val="DefaultParagraphFont"/>
    <w:uiPriority w:val="99"/>
    <w:semiHidden/>
    <w:unhideWhenUsed/>
    <w:rsid w:val="00A63E67"/>
    <w:rPr>
      <w:sz w:val="16"/>
      <w:szCs w:val="16"/>
    </w:rPr>
  </w:style>
  <w:style w:type="paragraph" w:styleId="CommentText">
    <w:name w:val="annotation text"/>
    <w:basedOn w:val="Normal"/>
    <w:link w:val="CommentTextChar"/>
    <w:uiPriority w:val="99"/>
    <w:semiHidden/>
    <w:unhideWhenUsed/>
    <w:rsid w:val="00A63E67"/>
    <w:pPr>
      <w:spacing w:line="240" w:lineRule="auto"/>
    </w:pPr>
    <w:rPr>
      <w:sz w:val="20"/>
      <w:szCs w:val="20"/>
    </w:rPr>
  </w:style>
  <w:style w:type="character" w:customStyle="1" w:styleId="CommentTextChar">
    <w:name w:val="Comment Text Char"/>
    <w:basedOn w:val="DefaultParagraphFont"/>
    <w:link w:val="CommentText"/>
    <w:uiPriority w:val="99"/>
    <w:semiHidden/>
    <w:rsid w:val="00A63E67"/>
    <w:rPr>
      <w:sz w:val="20"/>
      <w:szCs w:val="20"/>
    </w:rPr>
  </w:style>
  <w:style w:type="paragraph" w:styleId="CommentSubject">
    <w:name w:val="annotation subject"/>
    <w:basedOn w:val="CommentText"/>
    <w:next w:val="CommentText"/>
    <w:link w:val="CommentSubjectChar"/>
    <w:uiPriority w:val="99"/>
    <w:semiHidden/>
    <w:unhideWhenUsed/>
    <w:rsid w:val="00A63E67"/>
    <w:rPr>
      <w:b/>
      <w:bCs/>
    </w:rPr>
  </w:style>
  <w:style w:type="character" w:customStyle="1" w:styleId="CommentSubjectChar">
    <w:name w:val="Comment Subject Char"/>
    <w:basedOn w:val="CommentTextChar"/>
    <w:link w:val="CommentSubject"/>
    <w:uiPriority w:val="99"/>
    <w:semiHidden/>
    <w:rsid w:val="00A63E67"/>
    <w:rPr>
      <w:b/>
      <w:bCs/>
      <w:sz w:val="20"/>
      <w:szCs w:val="20"/>
    </w:rPr>
  </w:style>
  <w:style w:type="character" w:styleId="FollowedHyperlink">
    <w:name w:val="FollowedHyperlink"/>
    <w:basedOn w:val="DefaultParagraphFont"/>
    <w:uiPriority w:val="99"/>
    <w:semiHidden/>
    <w:unhideWhenUsed/>
    <w:rsid w:val="00E959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eatforhealth.gov.au/guidelines" TargetMode="External"/><Relationship Id="rId2" Type="http://schemas.openxmlformats.org/officeDocument/2006/relationships/customXml" Target="../customXml/item2.xml"/><Relationship Id="rId16" Type="http://schemas.openxmlformats.org/officeDocument/2006/relationships/hyperlink" Target="http://www.ohchr.org/en/professionalinterest/pages/crc.aspx%20Viewed%201%20June%2020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org/en/documents/udhr/"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byron@daa.asn.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2014RG-82-8153</_dlc_DocId>
    <_dlc_DocIdUrl xmlns="9f7bc583-7cbe-45b9-a2bd-8bbb6543b37e">
      <Url>http://tweb/sites/rg/project/twptf/_layouts/15/DocIdRedir.aspx?ID=2014RG-82-8153</Url>
      <Description>2014RG-82-8153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04FAE-81DC-49BE-8737-A3B5D11AE9E5}"/>
</file>

<file path=customXml/itemProps2.xml><?xml version="1.0" encoding="utf-8"?>
<ds:datastoreItem xmlns:ds="http://schemas.openxmlformats.org/officeDocument/2006/customXml" ds:itemID="{42C4CA62-4413-4C5D-AFB4-A909392592EE}"/>
</file>

<file path=customXml/itemProps3.xml><?xml version="1.0" encoding="utf-8"?>
<ds:datastoreItem xmlns:ds="http://schemas.openxmlformats.org/officeDocument/2006/customXml" ds:itemID="{B7CD43B6-3949-408F-81CC-EFF84C101EA3}"/>
</file>

<file path=customXml/itemProps4.xml><?xml version="1.0" encoding="utf-8"?>
<ds:datastoreItem xmlns:ds="http://schemas.openxmlformats.org/officeDocument/2006/customXml" ds:itemID="{A19E3C85-A512-4424-8D3A-0AAECF91114B}"/>
</file>

<file path=customXml/itemProps5.xml><?xml version="1.0" encoding="utf-8"?>
<ds:datastoreItem xmlns:ds="http://schemas.openxmlformats.org/officeDocument/2006/customXml" ds:itemID="{3083BD0B-2864-4030-894A-D3D921C09C31}"/>
</file>

<file path=docProps/app.xml><?xml version="1.0" encoding="utf-8"?>
<Properties xmlns="http://schemas.openxmlformats.org/officeDocument/2006/extended-properties" xmlns:vt="http://schemas.openxmlformats.org/officeDocument/2006/docPropsVTypes">
  <Template>Normal.dotm</Template>
  <TotalTime>2</TotalTime>
  <Pages>5</Pages>
  <Words>1279</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Dietitians Association of Australia - Submission to the Tas Discussion Paper</vt:lpstr>
    </vt:vector>
  </TitlesOfParts>
  <Company/>
  <LinksUpToDate>false</LinksUpToDate>
  <CharactersWithSpaces>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Dietitians Association of Australia - Submission to the Tas Discussion Paper</dc:title>
  <dc:creator>Dietitians Association of Australia</dc:creator>
  <cp:lastModifiedBy>McLeod, Caitlin</cp:lastModifiedBy>
  <cp:revision>3</cp:revision>
  <cp:lastPrinted>2015-06-01T06:56:00Z</cp:lastPrinted>
  <dcterms:created xsi:type="dcterms:W3CDTF">2015-06-02T06:14:00Z</dcterms:created>
  <dcterms:modified xsi:type="dcterms:W3CDTF">2015-06-02T06:15:00Z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3f2ea61e-b775-4f8a-ba18-994fc71f0a8a</vt:lpwstr>
  </property>
  <property fmtid="{D5CDD505-2E9C-101B-9397-08002B2CF9AE}" pid="6" name="ContentTypeId">
    <vt:lpwstr>0x01010036BB8DE7EC542E42A8B2E98CC20CB69700AA356CCBB2B4204EB1CD923E8E69F50F</vt:lpwstr>
  </property>
</Properties>
</file>