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DA1E7" w14:textId="77777777" w:rsidR="00A00189" w:rsidRDefault="00A00189" w:rsidP="00A00189">
      <w:pPr>
        <w:spacing w:after="200" w:line="276" w:lineRule="auto"/>
      </w:pPr>
      <w:bookmarkStart w:id="0" w:name="_Toc110399096"/>
      <w:bookmarkStart w:id="1" w:name="_Toc111020644"/>
    </w:p>
    <w:p w14:paraId="7068D7E8" w14:textId="77777777" w:rsidR="00A00189" w:rsidRPr="008F25E6" w:rsidRDefault="00A00189" w:rsidP="00A00189">
      <w:pPr>
        <w:jc w:val="center"/>
        <w:rPr>
          <w:rFonts w:cs="Arial"/>
          <w:b/>
        </w:rPr>
      </w:pPr>
    </w:p>
    <w:p w14:paraId="012FD9F1" w14:textId="77777777" w:rsidR="00A00189" w:rsidRPr="008F25E6" w:rsidRDefault="00A00189" w:rsidP="00A00189">
      <w:pPr>
        <w:jc w:val="center"/>
        <w:rPr>
          <w:rFonts w:cs="Arial"/>
          <w:b/>
          <w:lang w:val="en-US"/>
        </w:rPr>
      </w:pPr>
      <w:r>
        <w:rPr>
          <w:rFonts w:cs="Arial"/>
          <w:b/>
          <w:noProof/>
          <w:lang w:eastAsia="en-AU"/>
        </w:rPr>
        <w:drawing>
          <wp:inline distT="0" distB="0" distL="0" distR="0" wp14:anchorId="76EEA04F" wp14:editId="3B88FA20">
            <wp:extent cx="1645920" cy="1725697"/>
            <wp:effectExtent l="0" t="0" r="0" b="0"/>
            <wp:docPr id="1" name="Picture 1" descr="ASU Full Col -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U Full Col - hi r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5920" cy="1725697"/>
                    </a:xfrm>
                    <a:prstGeom prst="rect">
                      <a:avLst/>
                    </a:prstGeom>
                    <a:noFill/>
                    <a:ln>
                      <a:noFill/>
                    </a:ln>
                  </pic:spPr>
                </pic:pic>
              </a:graphicData>
            </a:graphic>
          </wp:inline>
        </w:drawing>
      </w:r>
    </w:p>
    <w:p w14:paraId="23C8B35E" w14:textId="77777777" w:rsidR="00A00189" w:rsidRPr="008F25E6" w:rsidRDefault="00A00189" w:rsidP="00A00189">
      <w:pPr>
        <w:rPr>
          <w:rFonts w:cs="Arial"/>
          <w:b/>
          <w:lang w:val="en-US"/>
        </w:rPr>
      </w:pPr>
    </w:p>
    <w:p w14:paraId="6595D532" w14:textId="77777777" w:rsidR="00A00189" w:rsidRPr="008F25E6" w:rsidRDefault="00A00189" w:rsidP="00A00189">
      <w:pPr>
        <w:rPr>
          <w:rFonts w:cs="Arial"/>
          <w:b/>
          <w:lang w:val="en-US"/>
        </w:rPr>
      </w:pPr>
    </w:p>
    <w:p w14:paraId="4020BF69" w14:textId="77777777" w:rsidR="00A00189" w:rsidRPr="008F25E6" w:rsidRDefault="00A00189" w:rsidP="00A00189">
      <w:pPr>
        <w:rPr>
          <w:rFonts w:cs="Arial"/>
          <w:b/>
          <w:lang w:val="en-US"/>
        </w:rPr>
      </w:pPr>
    </w:p>
    <w:p w14:paraId="435BF204" w14:textId="77777777" w:rsidR="00A00189" w:rsidRPr="008F25E6" w:rsidRDefault="00A00189" w:rsidP="00A00189">
      <w:pPr>
        <w:rPr>
          <w:rFonts w:cs="Arial"/>
          <w:b/>
          <w:lang w:val="en-US"/>
        </w:rPr>
      </w:pPr>
    </w:p>
    <w:p w14:paraId="3960593F" w14:textId="77777777" w:rsidR="00A00189" w:rsidRPr="008F25E6" w:rsidRDefault="00A00189" w:rsidP="00A00189">
      <w:pPr>
        <w:rPr>
          <w:rFonts w:cs="Arial"/>
          <w:b/>
          <w:sz w:val="40"/>
          <w:szCs w:val="40"/>
          <w:lang w:val="en-US"/>
        </w:rPr>
      </w:pPr>
    </w:p>
    <w:p w14:paraId="404C9EE7" w14:textId="77777777" w:rsidR="00A00189" w:rsidRPr="00242E32" w:rsidRDefault="00A00189" w:rsidP="00A00189">
      <w:pPr>
        <w:autoSpaceDE w:val="0"/>
        <w:autoSpaceDN w:val="0"/>
        <w:adjustRightInd w:val="0"/>
        <w:jc w:val="center"/>
        <w:rPr>
          <w:rFonts w:cs="Arial"/>
          <w:b/>
          <w:bCs/>
          <w:sz w:val="40"/>
          <w:szCs w:val="40"/>
          <w:lang w:val="en-US"/>
        </w:rPr>
      </w:pPr>
      <w:r w:rsidRPr="00242E32">
        <w:rPr>
          <w:rFonts w:cs="Arial"/>
          <w:b/>
          <w:bCs/>
          <w:sz w:val="40"/>
          <w:szCs w:val="40"/>
          <w:lang w:val="en-US"/>
        </w:rPr>
        <w:t>ASU Submission</w:t>
      </w:r>
    </w:p>
    <w:p w14:paraId="5678D5AA" w14:textId="77777777" w:rsidR="00A00189" w:rsidRDefault="00A00189" w:rsidP="00A00189">
      <w:pPr>
        <w:autoSpaceDE w:val="0"/>
        <w:autoSpaceDN w:val="0"/>
        <w:adjustRightInd w:val="0"/>
        <w:jc w:val="center"/>
        <w:rPr>
          <w:rFonts w:cs="Arial"/>
          <w:b/>
          <w:bCs/>
          <w:sz w:val="40"/>
          <w:szCs w:val="40"/>
          <w:lang w:val="en-US"/>
        </w:rPr>
      </w:pPr>
    </w:p>
    <w:p w14:paraId="74A9BB1D" w14:textId="77777777" w:rsidR="00A00189" w:rsidRPr="00242E32" w:rsidRDefault="00A00189" w:rsidP="00A00189">
      <w:pPr>
        <w:autoSpaceDE w:val="0"/>
        <w:autoSpaceDN w:val="0"/>
        <w:adjustRightInd w:val="0"/>
        <w:jc w:val="center"/>
        <w:rPr>
          <w:rFonts w:cs="Arial"/>
          <w:b/>
          <w:bCs/>
          <w:sz w:val="40"/>
          <w:szCs w:val="40"/>
          <w:lang w:val="en-US"/>
        </w:rPr>
      </w:pPr>
      <w:r w:rsidRPr="00242E32">
        <w:rPr>
          <w:rFonts w:cs="Arial"/>
          <w:b/>
          <w:bCs/>
          <w:sz w:val="40"/>
          <w:szCs w:val="40"/>
          <w:lang w:val="en-US"/>
        </w:rPr>
        <w:t>to the</w:t>
      </w:r>
      <w:r w:rsidR="001968C0">
        <w:rPr>
          <w:rFonts w:cs="Arial"/>
          <w:b/>
          <w:bCs/>
          <w:sz w:val="40"/>
          <w:szCs w:val="40"/>
          <w:lang w:val="en-US"/>
        </w:rPr>
        <w:t xml:space="preserve"> </w:t>
      </w:r>
      <w:r w:rsidR="007A628A">
        <w:rPr>
          <w:rFonts w:cs="Arial"/>
          <w:b/>
          <w:bCs/>
          <w:sz w:val="40"/>
          <w:szCs w:val="40"/>
          <w:lang w:val="en-US"/>
        </w:rPr>
        <w:t xml:space="preserve">Australian </w:t>
      </w:r>
      <w:r w:rsidR="001968C0">
        <w:rPr>
          <w:rFonts w:cs="Arial"/>
          <w:b/>
          <w:bCs/>
          <w:sz w:val="40"/>
          <w:szCs w:val="40"/>
          <w:lang w:val="en-US"/>
        </w:rPr>
        <w:t>Government</w:t>
      </w:r>
      <w:r w:rsidR="007A628A">
        <w:rPr>
          <w:rFonts w:cs="Arial"/>
          <w:b/>
          <w:bCs/>
          <w:sz w:val="40"/>
          <w:szCs w:val="40"/>
          <w:lang w:val="en-US"/>
        </w:rPr>
        <w:t xml:space="preserve"> on the</w:t>
      </w:r>
    </w:p>
    <w:p w14:paraId="2E7C3801" w14:textId="77777777" w:rsidR="00A00189" w:rsidRPr="00242E32" w:rsidRDefault="00A00189" w:rsidP="00A00189">
      <w:pPr>
        <w:autoSpaceDE w:val="0"/>
        <w:autoSpaceDN w:val="0"/>
        <w:adjustRightInd w:val="0"/>
        <w:jc w:val="center"/>
        <w:rPr>
          <w:rFonts w:cs="Arial"/>
          <w:b/>
          <w:bCs/>
          <w:sz w:val="40"/>
          <w:szCs w:val="40"/>
          <w:lang w:val="en-US"/>
        </w:rPr>
      </w:pPr>
    </w:p>
    <w:p w14:paraId="6E7D4A90" w14:textId="77777777" w:rsidR="00A00189" w:rsidRPr="008F25E6" w:rsidRDefault="001968C0" w:rsidP="00A00189">
      <w:pPr>
        <w:autoSpaceDE w:val="0"/>
        <w:autoSpaceDN w:val="0"/>
        <w:adjustRightInd w:val="0"/>
        <w:jc w:val="center"/>
        <w:rPr>
          <w:rFonts w:cs="Arial"/>
          <w:b/>
          <w:bCs/>
          <w:sz w:val="40"/>
          <w:szCs w:val="40"/>
          <w:lang w:val="en-US"/>
        </w:rPr>
      </w:pPr>
      <w:r>
        <w:rPr>
          <w:rFonts w:cs="Arial"/>
          <w:b/>
          <w:sz w:val="40"/>
          <w:szCs w:val="40"/>
        </w:rPr>
        <w:t xml:space="preserve">Tax </w:t>
      </w:r>
      <w:r w:rsidR="007A628A">
        <w:rPr>
          <w:rFonts w:cs="Arial"/>
          <w:b/>
          <w:sz w:val="40"/>
          <w:szCs w:val="40"/>
        </w:rPr>
        <w:t>discussion paper</w:t>
      </w:r>
    </w:p>
    <w:p w14:paraId="57A26C19" w14:textId="77777777" w:rsidR="00A00189" w:rsidRPr="008F25E6" w:rsidRDefault="00A00189" w:rsidP="00A00189">
      <w:pPr>
        <w:autoSpaceDE w:val="0"/>
        <w:autoSpaceDN w:val="0"/>
        <w:adjustRightInd w:val="0"/>
        <w:jc w:val="center"/>
        <w:rPr>
          <w:rFonts w:cs="Arial"/>
          <w:b/>
          <w:bCs/>
          <w:lang w:val="en-US"/>
        </w:rPr>
      </w:pPr>
    </w:p>
    <w:p w14:paraId="0D19E99B" w14:textId="77777777" w:rsidR="00A00189" w:rsidRDefault="00A00189" w:rsidP="00A00189">
      <w:pPr>
        <w:autoSpaceDE w:val="0"/>
        <w:autoSpaceDN w:val="0"/>
        <w:adjustRightInd w:val="0"/>
        <w:jc w:val="center"/>
        <w:rPr>
          <w:rFonts w:cs="Arial"/>
          <w:b/>
          <w:bCs/>
          <w:lang w:val="en-US"/>
        </w:rPr>
      </w:pPr>
    </w:p>
    <w:p w14:paraId="36238FB7" w14:textId="77777777" w:rsidR="00A00189" w:rsidRDefault="00A00189" w:rsidP="00A00189">
      <w:pPr>
        <w:autoSpaceDE w:val="0"/>
        <w:autoSpaceDN w:val="0"/>
        <w:adjustRightInd w:val="0"/>
        <w:jc w:val="center"/>
        <w:rPr>
          <w:rFonts w:cs="Arial"/>
          <w:b/>
          <w:bCs/>
          <w:lang w:val="en-US"/>
        </w:rPr>
      </w:pPr>
    </w:p>
    <w:p w14:paraId="0D4D1FFF" w14:textId="77777777" w:rsidR="00A00189" w:rsidRDefault="00A00189" w:rsidP="00A00189">
      <w:pPr>
        <w:autoSpaceDE w:val="0"/>
        <w:autoSpaceDN w:val="0"/>
        <w:adjustRightInd w:val="0"/>
        <w:jc w:val="center"/>
        <w:rPr>
          <w:rFonts w:cs="Arial"/>
          <w:b/>
          <w:bCs/>
          <w:lang w:val="en-US"/>
        </w:rPr>
      </w:pPr>
    </w:p>
    <w:p w14:paraId="62D13C2C" w14:textId="77777777" w:rsidR="00A00189" w:rsidRDefault="00A00189" w:rsidP="00A00189">
      <w:pPr>
        <w:autoSpaceDE w:val="0"/>
        <w:autoSpaceDN w:val="0"/>
        <w:adjustRightInd w:val="0"/>
        <w:jc w:val="center"/>
        <w:rPr>
          <w:rFonts w:cs="Arial"/>
          <w:b/>
          <w:bCs/>
          <w:lang w:val="en-US"/>
        </w:rPr>
      </w:pPr>
    </w:p>
    <w:p w14:paraId="0FFE4937" w14:textId="77777777" w:rsidR="00A00189" w:rsidRDefault="00A00189" w:rsidP="00A00189">
      <w:pPr>
        <w:autoSpaceDE w:val="0"/>
        <w:autoSpaceDN w:val="0"/>
        <w:adjustRightInd w:val="0"/>
        <w:jc w:val="center"/>
        <w:rPr>
          <w:rFonts w:cs="Arial"/>
          <w:b/>
          <w:bCs/>
          <w:lang w:val="en-US"/>
        </w:rPr>
      </w:pPr>
    </w:p>
    <w:p w14:paraId="294B85AB" w14:textId="77777777" w:rsidR="00CB5F01" w:rsidRPr="00A8435E" w:rsidRDefault="00CB5F01" w:rsidP="00CB5F01">
      <w:pPr>
        <w:pBdr>
          <w:bottom w:val="single" w:sz="36" w:space="1" w:color="auto"/>
        </w:pBdr>
        <w:rPr>
          <w:rFonts w:cs="Arial"/>
        </w:rPr>
      </w:pPr>
    </w:p>
    <w:p w14:paraId="5153BDEC" w14:textId="77777777" w:rsidR="00CB5F01" w:rsidRPr="00A8435E" w:rsidRDefault="00CB5F01" w:rsidP="00CB5F01">
      <w:pPr>
        <w:rPr>
          <w:rFonts w:cs="Arial"/>
        </w:rPr>
      </w:pPr>
    </w:p>
    <w:tbl>
      <w:tblPr>
        <w:tblW w:w="0" w:type="auto"/>
        <w:tblInd w:w="534" w:type="dxa"/>
        <w:tblLayout w:type="fixed"/>
        <w:tblLook w:val="0000" w:firstRow="0" w:lastRow="0" w:firstColumn="0" w:lastColumn="0" w:noHBand="0" w:noVBand="0"/>
      </w:tblPr>
      <w:tblGrid>
        <w:gridCol w:w="2126"/>
        <w:gridCol w:w="5862"/>
      </w:tblGrid>
      <w:tr w:rsidR="00CB5F01" w:rsidRPr="00A8435E" w14:paraId="7643DF1F" w14:textId="77777777" w:rsidTr="00BF3706">
        <w:tc>
          <w:tcPr>
            <w:tcW w:w="2126" w:type="dxa"/>
          </w:tcPr>
          <w:p w14:paraId="14A9E78B" w14:textId="77777777" w:rsidR="00CB5F01" w:rsidRPr="00A8435E" w:rsidRDefault="00CB5F01" w:rsidP="00BF3706">
            <w:pPr>
              <w:rPr>
                <w:rFonts w:cs="Arial"/>
                <w:b/>
              </w:rPr>
            </w:pPr>
          </w:p>
        </w:tc>
        <w:tc>
          <w:tcPr>
            <w:tcW w:w="5862" w:type="dxa"/>
          </w:tcPr>
          <w:p w14:paraId="55248D0C" w14:textId="77777777" w:rsidR="00CB5F01" w:rsidRPr="00A8435E" w:rsidRDefault="00CB5F01" w:rsidP="00BF3706">
            <w:pPr>
              <w:rPr>
                <w:rFonts w:cs="Arial"/>
              </w:rPr>
            </w:pPr>
          </w:p>
        </w:tc>
      </w:tr>
      <w:tr w:rsidR="00CB5F01" w:rsidRPr="00A8435E" w14:paraId="2C109EDC" w14:textId="77777777" w:rsidTr="00BF3706">
        <w:tc>
          <w:tcPr>
            <w:tcW w:w="2126" w:type="dxa"/>
          </w:tcPr>
          <w:p w14:paraId="24D39955" w14:textId="77777777" w:rsidR="00CB5F01" w:rsidRPr="00A8435E" w:rsidRDefault="00CB5F01" w:rsidP="00BF3706">
            <w:pPr>
              <w:rPr>
                <w:rFonts w:cs="Arial"/>
                <w:b/>
              </w:rPr>
            </w:pPr>
          </w:p>
          <w:p w14:paraId="64AE0919" w14:textId="77777777" w:rsidR="00CB5F01" w:rsidRPr="00A8435E" w:rsidRDefault="00CB5F01" w:rsidP="00BF3706">
            <w:pPr>
              <w:rPr>
                <w:rFonts w:cs="Arial"/>
                <w:b/>
              </w:rPr>
            </w:pPr>
          </w:p>
        </w:tc>
        <w:tc>
          <w:tcPr>
            <w:tcW w:w="5862" w:type="dxa"/>
          </w:tcPr>
          <w:p w14:paraId="039FFF45" w14:textId="77777777" w:rsidR="00CB5F01" w:rsidRPr="00A8435E" w:rsidRDefault="00CB5F01" w:rsidP="00BF3706">
            <w:pPr>
              <w:rPr>
                <w:rFonts w:cs="Arial"/>
              </w:rPr>
            </w:pPr>
          </w:p>
        </w:tc>
      </w:tr>
      <w:tr w:rsidR="00CB5F01" w:rsidRPr="00A8435E" w14:paraId="3B8005DC" w14:textId="77777777" w:rsidTr="00BF3706">
        <w:tc>
          <w:tcPr>
            <w:tcW w:w="2126" w:type="dxa"/>
          </w:tcPr>
          <w:p w14:paraId="14AB1885" w14:textId="77777777" w:rsidR="00CB5F01" w:rsidRDefault="00CB5F01" w:rsidP="00BF3706">
            <w:pPr>
              <w:rPr>
                <w:rFonts w:cs="Arial"/>
                <w:b/>
              </w:rPr>
            </w:pPr>
            <w:r w:rsidRPr="00A8435E">
              <w:rPr>
                <w:rFonts w:cs="Arial"/>
                <w:b/>
              </w:rPr>
              <w:t>Submitter:</w:t>
            </w:r>
          </w:p>
          <w:p w14:paraId="02D85B72" w14:textId="77777777" w:rsidR="00CB5F01" w:rsidRPr="00A8435E" w:rsidRDefault="00CB5F01" w:rsidP="00BF3706">
            <w:pPr>
              <w:rPr>
                <w:rFonts w:cs="Arial"/>
                <w:b/>
              </w:rPr>
            </w:pPr>
          </w:p>
        </w:tc>
        <w:tc>
          <w:tcPr>
            <w:tcW w:w="5862" w:type="dxa"/>
          </w:tcPr>
          <w:p w14:paraId="4138CF93" w14:textId="77777777" w:rsidR="00CB5F01" w:rsidRPr="00A8435E" w:rsidRDefault="00CB5F01" w:rsidP="00CB5F01">
            <w:pPr>
              <w:rPr>
                <w:rFonts w:cs="Arial"/>
              </w:rPr>
            </w:pPr>
            <w:r>
              <w:rPr>
                <w:rFonts w:cs="Arial"/>
              </w:rPr>
              <w:t>David Smith</w:t>
            </w:r>
            <w:r w:rsidRPr="00A8435E">
              <w:rPr>
                <w:rFonts w:cs="Arial"/>
              </w:rPr>
              <w:t>,</w:t>
            </w:r>
            <w:r>
              <w:rPr>
                <w:rFonts w:cs="Arial"/>
              </w:rPr>
              <w:t xml:space="preserve"> </w:t>
            </w:r>
            <w:r w:rsidRPr="00A8435E">
              <w:rPr>
                <w:rFonts w:cs="Arial"/>
              </w:rPr>
              <w:t>National Secretary</w:t>
            </w:r>
          </w:p>
        </w:tc>
      </w:tr>
      <w:tr w:rsidR="00CB5F01" w:rsidRPr="00A8435E" w14:paraId="2EAC6EB8" w14:textId="77777777" w:rsidTr="00BF3706">
        <w:tc>
          <w:tcPr>
            <w:tcW w:w="2126" w:type="dxa"/>
          </w:tcPr>
          <w:p w14:paraId="396D9008" w14:textId="77777777" w:rsidR="00CB5F01" w:rsidRDefault="00CB5F01" w:rsidP="00BF3706">
            <w:pPr>
              <w:rPr>
                <w:rFonts w:cs="Arial"/>
                <w:b/>
              </w:rPr>
            </w:pPr>
            <w:r w:rsidRPr="00A8435E">
              <w:rPr>
                <w:rFonts w:cs="Arial"/>
                <w:b/>
              </w:rPr>
              <w:t>Organisation:</w:t>
            </w:r>
          </w:p>
          <w:p w14:paraId="3B3B44D8" w14:textId="77777777" w:rsidR="00CB5F01" w:rsidRPr="00A8435E" w:rsidRDefault="00CB5F01" w:rsidP="00BF3706">
            <w:pPr>
              <w:rPr>
                <w:rFonts w:cs="Arial"/>
                <w:b/>
              </w:rPr>
            </w:pPr>
          </w:p>
        </w:tc>
        <w:tc>
          <w:tcPr>
            <w:tcW w:w="5862" w:type="dxa"/>
          </w:tcPr>
          <w:p w14:paraId="6BCCE650" w14:textId="77777777" w:rsidR="00CB5F01" w:rsidRPr="00A8435E" w:rsidRDefault="00CB5F01" w:rsidP="00BF3706">
            <w:pPr>
              <w:rPr>
                <w:rFonts w:cs="Arial"/>
              </w:rPr>
            </w:pPr>
            <w:r w:rsidRPr="00A8435E">
              <w:rPr>
                <w:rFonts w:cs="Arial"/>
              </w:rPr>
              <w:t xml:space="preserve">Australian Services </w:t>
            </w:r>
            <w:smartTag w:uri="urn:schemas-microsoft-com:office:smarttags" w:element="place">
              <w:r w:rsidRPr="00A8435E">
                <w:rPr>
                  <w:rFonts w:cs="Arial"/>
                </w:rPr>
                <w:t>Union</w:t>
              </w:r>
            </w:smartTag>
          </w:p>
        </w:tc>
      </w:tr>
      <w:tr w:rsidR="00CB5F01" w:rsidRPr="00A8435E" w14:paraId="75681F79" w14:textId="77777777" w:rsidTr="00BF3706">
        <w:tc>
          <w:tcPr>
            <w:tcW w:w="2126" w:type="dxa"/>
          </w:tcPr>
          <w:p w14:paraId="282052A6" w14:textId="77777777" w:rsidR="00CB5F01" w:rsidRPr="00A8435E" w:rsidRDefault="00CB5F01" w:rsidP="00BF3706">
            <w:pPr>
              <w:rPr>
                <w:rFonts w:cs="Arial"/>
                <w:b/>
              </w:rPr>
            </w:pPr>
            <w:r w:rsidRPr="00A8435E">
              <w:rPr>
                <w:rFonts w:cs="Arial"/>
                <w:b/>
              </w:rPr>
              <w:t>Address:</w:t>
            </w:r>
          </w:p>
        </w:tc>
        <w:tc>
          <w:tcPr>
            <w:tcW w:w="5862" w:type="dxa"/>
          </w:tcPr>
          <w:p w14:paraId="7B0F80EB" w14:textId="77777777" w:rsidR="00CB5F01" w:rsidRDefault="00CB5F01" w:rsidP="00BF3706">
            <w:pPr>
              <w:rPr>
                <w:rFonts w:cs="Arial"/>
              </w:rPr>
            </w:pPr>
            <w:r w:rsidRPr="00A8435E">
              <w:rPr>
                <w:rFonts w:cs="Arial"/>
              </w:rPr>
              <w:t>116 Queensberry Street</w:t>
            </w:r>
          </w:p>
          <w:p w14:paraId="1CD1B6AD" w14:textId="77777777" w:rsidR="00CB5F01" w:rsidRDefault="00CB5F01" w:rsidP="00BF3706">
            <w:pPr>
              <w:rPr>
                <w:rFonts w:cs="Arial"/>
              </w:rPr>
            </w:pPr>
            <w:r w:rsidRPr="00A8435E">
              <w:rPr>
                <w:rFonts w:cs="Arial"/>
              </w:rPr>
              <w:t>Carlton South, Victoria, 3053</w:t>
            </w:r>
          </w:p>
          <w:p w14:paraId="3459D5B4" w14:textId="77777777" w:rsidR="00CB5F01" w:rsidRPr="00A8435E" w:rsidRDefault="00CB5F01" w:rsidP="00BF3706">
            <w:pPr>
              <w:rPr>
                <w:rFonts w:cs="Arial"/>
              </w:rPr>
            </w:pPr>
          </w:p>
        </w:tc>
      </w:tr>
      <w:tr w:rsidR="00CB5F01" w:rsidRPr="00A8435E" w14:paraId="5688108B" w14:textId="77777777" w:rsidTr="00BF3706">
        <w:tc>
          <w:tcPr>
            <w:tcW w:w="2126" w:type="dxa"/>
          </w:tcPr>
          <w:p w14:paraId="368C50EE" w14:textId="77777777" w:rsidR="00CB5F01" w:rsidRDefault="00CB5F01" w:rsidP="00BF3706">
            <w:pPr>
              <w:rPr>
                <w:rFonts w:cs="Arial"/>
                <w:b/>
              </w:rPr>
            </w:pPr>
            <w:r w:rsidRPr="00A8435E">
              <w:rPr>
                <w:rFonts w:cs="Arial"/>
                <w:b/>
              </w:rPr>
              <w:t>Phone:</w:t>
            </w:r>
          </w:p>
          <w:p w14:paraId="40098A8F" w14:textId="77777777" w:rsidR="00CB5F01" w:rsidRPr="00A8435E" w:rsidRDefault="00CB5F01" w:rsidP="00BF3706">
            <w:pPr>
              <w:rPr>
                <w:rFonts w:cs="Arial"/>
                <w:b/>
              </w:rPr>
            </w:pPr>
          </w:p>
        </w:tc>
        <w:tc>
          <w:tcPr>
            <w:tcW w:w="5862" w:type="dxa"/>
          </w:tcPr>
          <w:p w14:paraId="49157075" w14:textId="77777777" w:rsidR="00CB5F01" w:rsidRPr="00A8435E" w:rsidRDefault="00CB5F01" w:rsidP="00BF3706">
            <w:pPr>
              <w:rPr>
                <w:rFonts w:cs="Arial"/>
              </w:rPr>
            </w:pPr>
            <w:r w:rsidRPr="00A8435E">
              <w:rPr>
                <w:rFonts w:cs="Arial"/>
              </w:rPr>
              <w:t>03 9342 1400</w:t>
            </w:r>
          </w:p>
        </w:tc>
      </w:tr>
      <w:tr w:rsidR="00CB5F01" w:rsidRPr="00A8435E" w14:paraId="1CB87FB0" w14:textId="77777777" w:rsidTr="00BF3706">
        <w:tc>
          <w:tcPr>
            <w:tcW w:w="2126" w:type="dxa"/>
          </w:tcPr>
          <w:p w14:paraId="3CEF8EBF" w14:textId="77777777" w:rsidR="00CB5F01" w:rsidRDefault="00CB5F01" w:rsidP="00BF3706">
            <w:pPr>
              <w:rPr>
                <w:rFonts w:cs="Arial"/>
                <w:b/>
              </w:rPr>
            </w:pPr>
            <w:r w:rsidRPr="00A8435E">
              <w:rPr>
                <w:rFonts w:cs="Arial"/>
                <w:b/>
              </w:rPr>
              <w:t>Fax:</w:t>
            </w:r>
          </w:p>
          <w:p w14:paraId="4D43FE97" w14:textId="77777777" w:rsidR="00CB5F01" w:rsidRPr="00A8435E" w:rsidRDefault="00CB5F01" w:rsidP="00BF3706">
            <w:pPr>
              <w:rPr>
                <w:rFonts w:cs="Arial"/>
                <w:b/>
              </w:rPr>
            </w:pPr>
          </w:p>
        </w:tc>
        <w:tc>
          <w:tcPr>
            <w:tcW w:w="5862" w:type="dxa"/>
          </w:tcPr>
          <w:p w14:paraId="448AD274" w14:textId="77777777" w:rsidR="00CB5F01" w:rsidRPr="00A8435E" w:rsidRDefault="00CB5F01" w:rsidP="00BF3706">
            <w:pPr>
              <w:rPr>
                <w:rFonts w:cs="Arial"/>
              </w:rPr>
            </w:pPr>
            <w:r w:rsidRPr="00A8435E">
              <w:rPr>
                <w:rFonts w:cs="Arial"/>
              </w:rPr>
              <w:t>03 9342 1499</w:t>
            </w:r>
          </w:p>
        </w:tc>
      </w:tr>
      <w:tr w:rsidR="00CB5F01" w:rsidRPr="00A8435E" w14:paraId="68FDE27D" w14:textId="77777777" w:rsidTr="00BF3706">
        <w:trPr>
          <w:trHeight w:val="333"/>
        </w:trPr>
        <w:tc>
          <w:tcPr>
            <w:tcW w:w="2126" w:type="dxa"/>
          </w:tcPr>
          <w:p w14:paraId="6D074AB7" w14:textId="77777777" w:rsidR="00CB5F01" w:rsidRDefault="00CB5F01" w:rsidP="00BF3706">
            <w:pPr>
              <w:rPr>
                <w:rFonts w:cs="Arial"/>
                <w:b/>
              </w:rPr>
            </w:pPr>
            <w:r w:rsidRPr="00A8435E">
              <w:rPr>
                <w:rFonts w:cs="Arial"/>
                <w:b/>
              </w:rPr>
              <w:t>Email:</w:t>
            </w:r>
          </w:p>
          <w:p w14:paraId="4BCA4F22" w14:textId="77777777" w:rsidR="00CB5F01" w:rsidRPr="00A8435E" w:rsidRDefault="00CB5F01" w:rsidP="00BF3706">
            <w:pPr>
              <w:rPr>
                <w:rFonts w:cs="Arial"/>
                <w:b/>
              </w:rPr>
            </w:pPr>
          </w:p>
        </w:tc>
        <w:tc>
          <w:tcPr>
            <w:tcW w:w="5862" w:type="dxa"/>
          </w:tcPr>
          <w:p w14:paraId="2B4AA08C" w14:textId="77777777" w:rsidR="00CB5F01" w:rsidRPr="00A8435E" w:rsidRDefault="000F3AF7" w:rsidP="00BF3706">
            <w:pPr>
              <w:rPr>
                <w:rFonts w:cs="Arial"/>
              </w:rPr>
            </w:pPr>
            <w:hyperlink r:id="rId14" w:history="1">
              <w:r w:rsidR="00CB5F01" w:rsidRPr="00AC4D93">
                <w:rPr>
                  <w:rStyle w:val="Hyperlink"/>
                  <w:rFonts w:cs="Arial"/>
                </w:rPr>
                <w:t>dsmith@asu.asn.au</w:t>
              </w:r>
            </w:hyperlink>
            <w:r w:rsidR="00CB5F01">
              <w:rPr>
                <w:rFonts w:cs="Arial"/>
              </w:rPr>
              <w:t xml:space="preserve"> </w:t>
            </w:r>
          </w:p>
        </w:tc>
      </w:tr>
      <w:tr w:rsidR="00CB5F01" w:rsidRPr="00A8435E" w14:paraId="3C67B9D3" w14:textId="77777777" w:rsidTr="00BF3706">
        <w:tc>
          <w:tcPr>
            <w:tcW w:w="2126" w:type="dxa"/>
          </w:tcPr>
          <w:p w14:paraId="6EE6C81F" w14:textId="77777777" w:rsidR="00CB5F01" w:rsidRPr="00A8435E" w:rsidRDefault="00CB5F01" w:rsidP="00BF3706">
            <w:pPr>
              <w:rPr>
                <w:rFonts w:cs="Arial"/>
                <w:b/>
              </w:rPr>
            </w:pPr>
            <w:r>
              <w:rPr>
                <w:rFonts w:cs="Arial"/>
                <w:b/>
              </w:rPr>
              <w:t>Date:</w:t>
            </w:r>
          </w:p>
        </w:tc>
        <w:tc>
          <w:tcPr>
            <w:tcW w:w="5862" w:type="dxa"/>
          </w:tcPr>
          <w:p w14:paraId="269850FD" w14:textId="77777777" w:rsidR="00CB5F01" w:rsidRPr="00A8435E" w:rsidRDefault="00CB5F01" w:rsidP="00CB5F01">
            <w:pPr>
              <w:rPr>
                <w:rFonts w:cs="Arial"/>
              </w:rPr>
            </w:pPr>
            <w:r>
              <w:rPr>
                <w:rFonts w:cs="Arial"/>
              </w:rPr>
              <w:t>1 June 2015</w:t>
            </w:r>
          </w:p>
        </w:tc>
      </w:tr>
    </w:tbl>
    <w:p w14:paraId="7250AB2A" w14:textId="77777777" w:rsidR="00CB5F01" w:rsidRPr="00A8435E" w:rsidRDefault="00CB5F01" w:rsidP="00CB5F01">
      <w:pPr>
        <w:rPr>
          <w:rFonts w:cs="Arial"/>
        </w:rPr>
      </w:pPr>
    </w:p>
    <w:p w14:paraId="1BC37075" w14:textId="77777777" w:rsidR="00CB5F01" w:rsidRPr="00A8435E" w:rsidRDefault="00CB5F01" w:rsidP="00CB5F01">
      <w:pPr>
        <w:pBdr>
          <w:bottom w:val="single" w:sz="36" w:space="1" w:color="auto"/>
        </w:pBdr>
        <w:rPr>
          <w:rFonts w:cs="Arial"/>
        </w:rPr>
      </w:pPr>
    </w:p>
    <w:p w14:paraId="33BDF845" w14:textId="77777777" w:rsidR="00CB5F01" w:rsidRPr="00A8435E" w:rsidRDefault="00CB5F01" w:rsidP="00CB5F01">
      <w:pPr>
        <w:rPr>
          <w:rFonts w:cs="Arial"/>
        </w:rPr>
      </w:pPr>
    </w:p>
    <w:p w14:paraId="19EA38A6" w14:textId="77777777" w:rsidR="00A00189" w:rsidRPr="008F25E6" w:rsidRDefault="00A00189" w:rsidP="00A00189">
      <w:pPr>
        <w:ind w:left="567"/>
        <w:rPr>
          <w:rFonts w:cs="Arial"/>
          <w:b/>
        </w:rPr>
      </w:pPr>
    </w:p>
    <w:p w14:paraId="498BFA04" w14:textId="77777777" w:rsidR="00A00189" w:rsidRDefault="00A00189">
      <w:pPr>
        <w:spacing w:after="200" w:line="276" w:lineRule="auto"/>
        <w:rPr>
          <w:b/>
          <w:color w:val="4F81BD" w:themeColor="accent1"/>
          <w:sz w:val="28"/>
        </w:rPr>
      </w:pPr>
      <w:r>
        <w:rPr>
          <w:b/>
          <w:color w:val="4F81BD" w:themeColor="accent1"/>
          <w:sz w:val="28"/>
        </w:rPr>
        <w:br w:type="page"/>
      </w:r>
    </w:p>
    <w:p w14:paraId="1A0350C2" w14:textId="77777777" w:rsidR="004410E0" w:rsidRPr="004410E0" w:rsidRDefault="004410E0" w:rsidP="00A407E6">
      <w:pPr>
        <w:spacing w:after="200" w:line="276" w:lineRule="auto"/>
        <w:rPr>
          <w:b/>
          <w:color w:val="4F81BD" w:themeColor="accent1"/>
          <w:sz w:val="28"/>
        </w:rPr>
      </w:pPr>
      <w:r w:rsidRPr="004410E0">
        <w:rPr>
          <w:b/>
          <w:color w:val="4F81BD" w:themeColor="accent1"/>
          <w:sz w:val="28"/>
        </w:rPr>
        <w:lastRenderedPageBreak/>
        <w:t>Table of Contents</w:t>
      </w:r>
    </w:p>
    <w:sdt>
      <w:sdtPr>
        <w:rPr>
          <w:rFonts w:ascii="Arial" w:eastAsiaTheme="minorHAnsi" w:hAnsi="Arial" w:cstheme="minorBidi"/>
          <w:b w:val="0"/>
          <w:bCs w:val="0"/>
          <w:color w:val="auto"/>
          <w:sz w:val="20"/>
          <w:szCs w:val="22"/>
          <w:lang w:val="en-AU" w:eastAsia="en-US"/>
        </w:rPr>
        <w:id w:val="-1446457664"/>
        <w:docPartObj>
          <w:docPartGallery w:val="Table of Contents"/>
          <w:docPartUnique/>
        </w:docPartObj>
      </w:sdtPr>
      <w:sdtEndPr>
        <w:rPr>
          <w:noProof/>
        </w:rPr>
      </w:sdtEndPr>
      <w:sdtContent>
        <w:p w14:paraId="0C3DEC22" w14:textId="77777777" w:rsidR="004410E0" w:rsidRDefault="004410E0">
          <w:pPr>
            <w:pStyle w:val="TOCHeading"/>
          </w:pPr>
        </w:p>
        <w:p w14:paraId="3E989D08" w14:textId="77777777" w:rsidR="00175FA6" w:rsidRDefault="00354E8F">
          <w:pPr>
            <w:pStyle w:val="TOC1"/>
            <w:tabs>
              <w:tab w:val="right" w:leader="dot" w:pos="9628"/>
            </w:tabs>
            <w:rPr>
              <w:rFonts w:asciiTheme="minorHAnsi" w:eastAsiaTheme="minorEastAsia" w:hAnsiTheme="minorHAnsi"/>
              <w:noProof/>
              <w:sz w:val="22"/>
              <w:lang w:eastAsia="en-AU"/>
            </w:rPr>
          </w:pPr>
          <w:r>
            <w:fldChar w:fldCharType="begin"/>
          </w:r>
          <w:r w:rsidR="004410E0">
            <w:instrText xml:space="preserve"> TOC \o "1-3" \h \z \u </w:instrText>
          </w:r>
          <w:r>
            <w:fldChar w:fldCharType="separate"/>
          </w:r>
          <w:hyperlink w:anchor="_Toc420937955" w:history="1">
            <w:r w:rsidR="00175FA6" w:rsidRPr="00BC6F0A">
              <w:rPr>
                <w:rStyle w:val="Hyperlink"/>
                <w:noProof/>
              </w:rPr>
              <w:t>Introduction</w:t>
            </w:r>
            <w:r w:rsidR="00175FA6">
              <w:rPr>
                <w:noProof/>
                <w:webHidden/>
              </w:rPr>
              <w:tab/>
            </w:r>
            <w:r w:rsidR="00175FA6">
              <w:rPr>
                <w:noProof/>
                <w:webHidden/>
              </w:rPr>
              <w:fldChar w:fldCharType="begin"/>
            </w:r>
            <w:r w:rsidR="00175FA6">
              <w:rPr>
                <w:noProof/>
                <w:webHidden/>
              </w:rPr>
              <w:instrText xml:space="preserve"> PAGEREF _Toc420937955 \h </w:instrText>
            </w:r>
            <w:r w:rsidR="00175FA6">
              <w:rPr>
                <w:noProof/>
                <w:webHidden/>
              </w:rPr>
            </w:r>
            <w:r w:rsidR="00175FA6">
              <w:rPr>
                <w:noProof/>
                <w:webHidden/>
              </w:rPr>
              <w:fldChar w:fldCharType="separate"/>
            </w:r>
            <w:r w:rsidR="00175FA6">
              <w:rPr>
                <w:noProof/>
                <w:webHidden/>
              </w:rPr>
              <w:t>3</w:t>
            </w:r>
            <w:r w:rsidR="00175FA6">
              <w:rPr>
                <w:noProof/>
                <w:webHidden/>
              </w:rPr>
              <w:fldChar w:fldCharType="end"/>
            </w:r>
          </w:hyperlink>
        </w:p>
        <w:p w14:paraId="7FCD1D16" w14:textId="77777777" w:rsidR="00175FA6" w:rsidRDefault="000F3AF7">
          <w:pPr>
            <w:pStyle w:val="TOC1"/>
            <w:tabs>
              <w:tab w:val="right" w:leader="dot" w:pos="9628"/>
            </w:tabs>
            <w:rPr>
              <w:rFonts w:asciiTheme="minorHAnsi" w:eastAsiaTheme="minorEastAsia" w:hAnsiTheme="minorHAnsi"/>
              <w:noProof/>
              <w:sz w:val="22"/>
              <w:lang w:eastAsia="en-AU"/>
            </w:rPr>
          </w:pPr>
          <w:hyperlink w:anchor="_Toc420937956" w:history="1">
            <w:r w:rsidR="00175FA6" w:rsidRPr="00BC6F0A">
              <w:rPr>
                <w:rStyle w:val="Hyperlink"/>
                <w:rFonts w:eastAsia="Times New Roman"/>
                <w:noProof/>
                <w:lang w:eastAsia="en-AU"/>
              </w:rPr>
              <w:t>Superannuation</w:t>
            </w:r>
            <w:r w:rsidR="00175FA6">
              <w:rPr>
                <w:noProof/>
                <w:webHidden/>
              </w:rPr>
              <w:tab/>
            </w:r>
            <w:r w:rsidR="00175FA6">
              <w:rPr>
                <w:noProof/>
                <w:webHidden/>
              </w:rPr>
              <w:fldChar w:fldCharType="begin"/>
            </w:r>
            <w:r w:rsidR="00175FA6">
              <w:rPr>
                <w:noProof/>
                <w:webHidden/>
              </w:rPr>
              <w:instrText xml:space="preserve"> PAGEREF _Toc420937956 \h </w:instrText>
            </w:r>
            <w:r w:rsidR="00175FA6">
              <w:rPr>
                <w:noProof/>
                <w:webHidden/>
              </w:rPr>
            </w:r>
            <w:r w:rsidR="00175FA6">
              <w:rPr>
                <w:noProof/>
                <w:webHidden/>
              </w:rPr>
              <w:fldChar w:fldCharType="separate"/>
            </w:r>
            <w:r w:rsidR="00175FA6">
              <w:rPr>
                <w:noProof/>
                <w:webHidden/>
              </w:rPr>
              <w:t>4</w:t>
            </w:r>
            <w:r w:rsidR="00175FA6">
              <w:rPr>
                <w:noProof/>
                <w:webHidden/>
              </w:rPr>
              <w:fldChar w:fldCharType="end"/>
            </w:r>
          </w:hyperlink>
        </w:p>
        <w:p w14:paraId="7AE1C562" w14:textId="77777777" w:rsidR="00175FA6" w:rsidRDefault="000F3AF7">
          <w:pPr>
            <w:pStyle w:val="TOC2"/>
            <w:tabs>
              <w:tab w:val="right" w:leader="dot" w:pos="9628"/>
            </w:tabs>
            <w:rPr>
              <w:rFonts w:asciiTheme="minorHAnsi" w:eastAsiaTheme="minorEastAsia" w:hAnsiTheme="minorHAnsi"/>
              <w:noProof/>
              <w:sz w:val="22"/>
              <w:lang w:eastAsia="en-AU"/>
            </w:rPr>
          </w:pPr>
          <w:hyperlink w:anchor="_Toc420937957" w:history="1">
            <w:r w:rsidR="00175FA6" w:rsidRPr="00BC6F0A">
              <w:rPr>
                <w:rStyle w:val="Hyperlink"/>
                <w:i/>
                <w:noProof/>
              </w:rPr>
              <w:t>Superannuation tax concession rates</w:t>
            </w:r>
            <w:r w:rsidR="00175FA6">
              <w:rPr>
                <w:noProof/>
                <w:webHidden/>
              </w:rPr>
              <w:tab/>
            </w:r>
            <w:r w:rsidR="00175FA6">
              <w:rPr>
                <w:noProof/>
                <w:webHidden/>
              </w:rPr>
              <w:fldChar w:fldCharType="begin"/>
            </w:r>
            <w:r w:rsidR="00175FA6">
              <w:rPr>
                <w:noProof/>
                <w:webHidden/>
              </w:rPr>
              <w:instrText xml:space="preserve"> PAGEREF _Toc420937957 \h </w:instrText>
            </w:r>
            <w:r w:rsidR="00175FA6">
              <w:rPr>
                <w:noProof/>
                <w:webHidden/>
              </w:rPr>
            </w:r>
            <w:r w:rsidR="00175FA6">
              <w:rPr>
                <w:noProof/>
                <w:webHidden/>
              </w:rPr>
              <w:fldChar w:fldCharType="separate"/>
            </w:r>
            <w:r w:rsidR="00175FA6">
              <w:rPr>
                <w:noProof/>
                <w:webHidden/>
              </w:rPr>
              <w:t>4</w:t>
            </w:r>
            <w:r w:rsidR="00175FA6">
              <w:rPr>
                <w:noProof/>
                <w:webHidden/>
              </w:rPr>
              <w:fldChar w:fldCharType="end"/>
            </w:r>
          </w:hyperlink>
        </w:p>
        <w:p w14:paraId="425E2C20" w14:textId="77777777" w:rsidR="00175FA6" w:rsidRDefault="000F3AF7">
          <w:pPr>
            <w:pStyle w:val="TOC2"/>
            <w:tabs>
              <w:tab w:val="right" w:leader="dot" w:pos="9628"/>
            </w:tabs>
            <w:rPr>
              <w:rFonts w:asciiTheme="minorHAnsi" w:eastAsiaTheme="minorEastAsia" w:hAnsiTheme="minorHAnsi"/>
              <w:noProof/>
              <w:sz w:val="22"/>
              <w:lang w:eastAsia="en-AU"/>
            </w:rPr>
          </w:pPr>
          <w:hyperlink w:anchor="_Toc420937958" w:history="1">
            <w:r w:rsidR="00175FA6" w:rsidRPr="00BC6F0A">
              <w:rPr>
                <w:rStyle w:val="Hyperlink"/>
                <w:i/>
                <w:noProof/>
              </w:rPr>
              <w:t>Paid Parental Leave</w:t>
            </w:r>
            <w:r w:rsidR="00175FA6">
              <w:rPr>
                <w:noProof/>
                <w:webHidden/>
              </w:rPr>
              <w:tab/>
            </w:r>
            <w:r w:rsidR="00175FA6">
              <w:rPr>
                <w:noProof/>
                <w:webHidden/>
              </w:rPr>
              <w:fldChar w:fldCharType="begin"/>
            </w:r>
            <w:r w:rsidR="00175FA6">
              <w:rPr>
                <w:noProof/>
                <w:webHidden/>
              </w:rPr>
              <w:instrText xml:space="preserve"> PAGEREF _Toc420937958 \h </w:instrText>
            </w:r>
            <w:r w:rsidR="00175FA6">
              <w:rPr>
                <w:noProof/>
                <w:webHidden/>
              </w:rPr>
            </w:r>
            <w:r w:rsidR="00175FA6">
              <w:rPr>
                <w:noProof/>
                <w:webHidden/>
              </w:rPr>
              <w:fldChar w:fldCharType="separate"/>
            </w:r>
            <w:r w:rsidR="00175FA6">
              <w:rPr>
                <w:noProof/>
                <w:webHidden/>
              </w:rPr>
              <w:t>4</w:t>
            </w:r>
            <w:r w:rsidR="00175FA6">
              <w:rPr>
                <w:noProof/>
                <w:webHidden/>
              </w:rPr>
              <w:fldChar w:fldCharType="end"/>
            </w:r>
          </w:hyperlink>
        </w:p>
        <w:p w14:paraId="31CF9447" w14:textId="77777777" w:rsidR="00175FA6" w:rsidRDefault="000F3AF7">
          <w:pPr>
            <w:pStyle w:val="TOC2"/>
            <w:tabs>
              <w:tab w:val="right" w:leader="dot" w:pos="9628"/>
            </w:tabs>
            <w:rPr>
              <w:rFonts w:asciiTheme="minorHAnsi" w:eastAsiaTheme="minorEastAsia" w:hAnsiTheme="minorHAnsi"/>
              <w:noProof/>
              <w:sz w:val="22"/>
              <w:lang w:eastAsia="en-AU"/>
            </w:rPr>
          </w:pPr>
          <w:hyperlink w:anchor="_Toc420937959" w:history="1">
            <w:r w:rsidR="00175FA6" w:rsidRPr="00BC6F0A">
              <w:rPr>
                <w:rStyle w:val="Hyperlink"/>
                <w:i/>
                <w:noProof/>
              </w:rPr>
              <w:t>Individuals earning less than $450 a month</w:t>
            </w:r>
            <w:r w:rsidR="00175FA6">
              <w:rPr>
                <w:noProof/>
                <w:webHidden/>
              </w:rPr>
              <w:tab/>
            </w:r>
            <w:r w:rsidR="00175FA6">
              <w:rPr>
                <w:noProof/>
                <w:webHidden/>
              </w:rPr>
              <w:fldChar w:fldCharType="begin"/>
            </w:r>
            <w:r w:rsidR="00175FA6">
              <w:rPr>
                <w:noProof/>
                <w:webHidden/>
              </w:rPr>
              <w:instrText xml:space="preserve"> PAGEREF _Toc420937959 \h </w:instrText>
            </w:r>
            <w:r w:rsidR="00175FA6">
              <w:rPr>
                <w:noProof/>
                <w:webHidden/>
              </w:rPr>
            </w:r>
            <w:r w:rsidR="00175FA6">
              <w:rPr>
                <w:noProof/>
                <w:webHidden/>
              </w:rPr>
              <w:fldChar w:fldCharType="separate"/>
            </w:r>
            <w:r w:rsidR="00175FA6">
              <w:rPr>
                <w:noProof/>
                <w:webHidden/>
              </w:rPr>
              <w:t>4</w:t>
            </w:r>
            <w:r w:rsidR="00175FA6">
              <w:rPr>
                <w:noProof/>
                <w:webHidden/>
              </w:rPr>
              <w:fldChar w:fldCharType="end"/>
            </w:r>
          </w:hyperlink>
        </w:p>
        <w:p w14:paraId="03783AAB" w14:textId="77777777" w:rsidR="00175FA6" w:rsidRDefault="000F3AF7">
          <w:pPr>
            <w:pStyle w:val="TOC2"/>
            <w:tabs>
              <w:tab w:val="right" w:leader="dot" w:pos="9628"/>
            </w:tabs>
            <w:rPr>
              <w:rFonts w:asciiTheme="minorHAnsi" w:eastAsiaTheme="minorEastAsia" w:hAnsiTheme="minorHAnsi"/>
              <w:noProof/>
              <w:sz w:val="22"/>
              <w:lang w:eastAsia="en-AU"/>
            </w:rPr>
          </w:pPr>
          <w:hyperlink w:anchor="_Toc420937960" w:history="1">
            <w:r w:rsidR="00175FA6" w:rsidRPr="00BC6F0A">
              <w:rPr>
                <w:rStyle w:val="Hyperlink"/>
                <w:i/>
                <w:noProof/>
              </w:rPr>
              <w:t>Low Income Superannuation Contribution</w:t>
            </w:r>
            <w:r w:rsidR="00175FA6">
              <w:rPr>
                <w:noProof/>
                <w:webHidden/>
              </w:rPr>
              <w:tab/>
            </w:r>
            <w:r w:rsidR="00175FA6">
              <w:rPr>
                <w:noProof/>
                <w:webHidden/>
              </w:rPr>
              <w:fldChar w:fldCharType="begin"/>
            </w:r>
            <w:r w:rsidR="00175FA6">
              <w:rPr>
                <w:noProof/>
                <w:webHidden/>
              </w:rPr>
              <w:instrText xml:space="preserve"> PAGEREF _Toc420937960 \h </w:instrText>
            </w:r>
            <w:r w:rsidR="00175FA6">
              <w:rPr>
                <w:noProof/>
                <w:webHidden/>
              </w:rPr>
            </w:r>
            <w:r w:rsidR="00175FA6">
              <w:rPr>
                <w:noProof/>
                <w:webHidden/>
              </w:rPr>
              <w:fldChar w:fldCharType="separate"/>
            </w:r>
            <w:r w:rsidR="00175FA6">
              <w:rPr>
                <w:noProof/>
                <w:webHidden/>
              </w:rPr>
              <w:t>5</w:t>
            </w:r>
            <w:r w:rsidR="00175FA6">
              <w:rPr>
                <w:noProof/>
                <w:webHidden/>
              </w:rPr>
              <w:fldChar w:fldCharType="end"/>
            </w:r>
          </w:hyperlink>
        </w:p>
        <w:p w14:paraId="366F618D" w14:textId="77777777" w:rsidR="00175FA6" w:rsidRDefault="000F3AF7">
          <w:pPr>
            <w:pStyle w:val="TOC1"/>
            <w:tabs>
              <w:tab w:val="right" w:leader="dot" w:pos="9628"/>
            </w:tabs>
            <w:rPr>
              <w:rFonts w:asciiTheme="minorHAnsi" w:eastAsiaTheme="minorEastAsia" w:hAnsiTheme="minorHAnsi"/>
              <w:noProof/>
              <w:sz w:val="22"/>
              <w:lang w:eastAsia="en-AU"/>
            </w:rPr>
          </w:pPr>
          <w:hyperlink w:anchor="_Toc420937961" w:history="1">
            <w:r w:rsidR="00175FA6" w:rsidRPr="00BC6F0A">
              <w:rPr>
                <w:rStyle w:val="Hyperlink"/>
                <w:rFonts w:eastAsia="Times New Roman"/>
                <w:noProof/>
                <w:lang w:eastAsia="en-AU"/>
              </w:rPr>
              <w:t>Negative gearing and capital gains tax</w:t>
            </w:r>
            <w:r w:rsidR="00175FA6">
              <w:rPr>
                <w:noProof/>
                <w:webHidden/>
              </w:rPr>
              <w:tab/>
            </w:r>
            <w:r w:rsidR="00175FA6">
              <w:rPr>
                <w:noProof/>
                <w:webHidden/>
              </w:rPr>
              <w:fldChar w:fldCharType="begin"/>
            </w:r>
            <w:r w:rsidR="00175FA6">
              <w:rPr>
                <w:noProof/>
                <w:webHidden/>
              </w:rPr>
              <w:instrText xml:space="preserve"> PAGEREF _Toc420937961 \h </w:instrText>
            </w:r>
            <w:r w:rsidR="00175FA6">
              <w:rPr>
                <w:noProof/>
                <w:webHidden/>
              </w:rPr>
            </w:r>
            <w:r w:rsidR="00175FA6">
              <w:rPr>
                <w:noProof/>
                <w:webHidden/>
              </w:rPr>
              <w:fldChar w:fldCharType="separate"/>
            </w:r>
            <w:r w:rsidR="00175FA6">
              <w:rPr>
                <w:noProof/>
                <w:webHidden/>
              </w:rPr>
              <w:t>5</w:t>
            </w:r>
            <w:r w:rsidR="00175FA6">
              <w:rPr>
                <w:noProof/>
                <w:webHidden/>
              </w:rPr>
              <w:fldChar w:fldCharType="end"/>
            </w:r>
          </w:hyperlink>
        </w:p>
        <w:p w14:paraId="69FE373C" w14:textId="77777777" w:rsidR="00175FA6" w:rsidRDefault="000F3AF7">
          <w:pPr>
            <w:pStyle w:val="TOC1"/>
            <w:tabs>
              <w:tab w:val="right" w:leader="dot" w:pos="9628"/>
            </w:tabs>
            <w:rPr>
              <w:rFonts w:asciiTheme="minorHAnsi" w:eastAsiaTheme="minorEastAsia" w:hAnsiTheme="minorHAnsi"/>
              <w:noProof/>
              <w:sz w:val="22"/>
              <w:lang w:eastAsia="en-AU"/>
            </w:rPr>
          </w:pPr>
          <w:hyperlink w:anchor="_Toc420937962" w:history="1">
            <w:r w:rsidR="00175FA6" w:rsidRPr="00BC6F0A">
              <w:rPr>
                <w:rStyle w:val="Hyperlink"/>
                <w:rFonts w:eastAsia="Times New Roman"/>
                <w:noProof/>
                <w:lang w:eastAsia="en-AU"/>
              </w:rPr>
              <w:t>Not-for-profit sector</w:t>
            </w:r>
            <w:r w:rsidR="00175FA6">
              <w:rPr>
                <w:noProof/>
                <w:webHidden/>
              </w:rPr>
              <w:tab/>
            </w:r>
            <w:r w:rsidR="00175FA6">
              <w:rPr>
                <w:noProof/>
                <w:webHidden/>
              </w:rPr>
              <w:fldChar w:fldCharType="begin"/>
            </w:r>
            <w:r w:rsidR="00175FA6">
              <w:rPr>
                <w:noProof/>
                <w:webHidden/>
              </w:rPr>
              <w:instrText xml:space="preserve"> PAGEREF _Toc420937962 \h </w:instrText>
            </w:r>
            <w:r w:rsidR="00175FA6">
              <w:rPr>
                <w:noProof/>
                <w:webHidden/>
              </w:rPr>
            </w:r>
            <w:r w:rsidR="00175FA6">
              <w:rPr>
                <w:noProof/>
                <w:webHidden/>
              </w:rPr>
              <w:fldChar w:fldCharType="separate"/>
            </w:r>
            <w:r w:rsidR="00175FA6">
              <w:rPr>
                <w:noProof/>
                <w:webHidden/>
              </w:rPr>
              <w:t>6</w:t>
            </w:r>
            <w:r w:rsidR="00175FA6">
              <w:rPr>
                <w:noProof/>
                <w:webHidden/>
              </w:rPr>
              <w:fldChar w:fldCharType="end"/>
            </w:r>
          </w:hyperlink>
        </w:p>
        <w:p w14:paraId="5899F0E8" w14:textId="77777777" w:rsidR="00175FA6" w:rsidRDefault="000F3AF7">
          <w:pPr>
            <w:pStyle w:val="TOC2"/>
            <w:tabs>
              <w:tab w:val="right" w:leader="dot" w:pos="9628"/>
            </w:tabs>
            <w:rPr>
              <w:rFonts w:asciiTheme="minorHAnsi" w:eastAsiaTheme="minorEastAsia" w:hAnsiTheme="minorHAnsi"/>
              <w:noProof/>
              <w:sz w:val="22"/>
              <w:lang w:eastAsia="en-AU"/>
            </w:rPr>
          </w:pPr>
          <w:hyperlink w:anchor="_Toc420937963" w:history="1">
            <w:r w:rsidR="00175FA6" w:rsidRPr="00BC6F0A">
              <w:rPr>
                <w:rStyle w:val="Hyperlink"/>
                <w:i/>
                <w:noProof/>
              </w:rPr>
              <w:t>Fringe benefits tax concessions &amp; salary packaging</w:t>
            </w:r>
            <w:r w:rsidR="00175FA6">
              <w:rPr>
                <w:noProof/>
                <w:webHidden/>
              </w:rPr>
              <w:tab/>
            </w:r>
            <w:r w:rsidR="00175FA6">
              <w:rPr>
                <w:noProof/>
                <w:webHidden/>
              </w:rPr>
              <w:fldChar w:fldCharType="begin"/>
            </w:r>
            <w:r w:rsidR="00175FA6">
              <w:rPr>
                <w:noProof/>
                <w:webHidden/>
              </w:rPr>
              <w:instrText xml:space="preserve"> PAGEREF _Toc420937963 \h </w:instrText>
            </w:r>
            <w:r w:rsidR="00175FA6">
              <w:rPr>
                <w:noProof/>
                <w:webHidden/>
              </w:rPr>
            </w:r>
            <w:r w:rsidR="00175FA6">
              <w:rPr>
                <w:noProof/>
                <w:webHidden/>
              </w:rPr>
              <w:fldChar w:fldCharType="separate"/>
            </w:r>
            <w:r w:rsidR="00175FA6">
              <w:rPr>
                <w:noProof/>
                <w:webHidden/>
              </w:rPr>
              <w:t>7</w:t>
            </w:r>
            <w:r w:rsidR="00175FA6">
              <w:rPr>
                <w:noProof/>
                <w:webHidden/>
              </w:rPr>
              <w:fldChar w:fldCharType="end"/>
            </w:r>
          </w:hyperlink>
        </w:p>
        <w:p w14:paraId="24BBD4A4" w14:textId="77777777" w:rsidR="00175FA6" w:rsidRDefault="000F3AF7">
          <w:pPr>
            <w:pStyle w:val="TOC2"/>
            <w:tabs>
              <w:tab w:val="right" w:leader="dot" w:pos="9628"/>
            </w:tabs>
            <w:rPr>
              <w:rFonts w:asciiTheme="minorHAnsi" w:eastAsiaTheme="minorEastAsia" w:hAnsiTheme="minorHAnsi"/>
              <w:noProof/>
              <w:sz w:val="22"/>
              <w:lang w:eastAsia="en-AU"/>
            </w:rPr>
          </w:pPr>
          <w:hyperlink w:anchor="_Toc420937964" w:history="1">
            <w:r w:rsidR="00175FA6" w:rsidRPr="00BC6F0A">
              <w:rPr>
                <w:rStyle w:val="Hyperlink"/>
                <w:i/>
                <w:noProof/>
              </w:rPr>
              <w:t>Equal remuneration case</w:t>
            </w:r>
            <w:r w:rsidR="00175FA6">
              <w:rPr>
                <w:noProof/>
                <w:webHidden/>
              </w:rPr>
              <w:tab/>
            </w:r>
            <w:r w:rsidR="00175FA6">
              <w:rPr>
                <w:noProof/>
                <w:webHidden/>
              </w:rPr>
              <w:fldChar w:fldCharType="begin"/>
            </w:r>
            <w:r w:rsidR="00175FA6">
              <w:rPr>
                <w:noProof/>
                <w:webHidden/>
              </w:rPr>
              <w:instrText xml:space="preserve"> PAGEREF _Toc420937964 \h </w:instrText>
            </w:r>
            <w:r w:rsidR="00175FA6">
              <w:rPr>
                <w:noProof/>
                <w:webHidden/>
              </w:rPr>
            </w:r>
            <w:r w:rsidR="00175FA6">
              <w:rPr>
                <w:noProof/>
                <w:webHidden/>
              </w:rPr>
              <w:fldChar w:fldCharType="separate"/>
            </w:r>
            <w:r w:rsidR="00175FA6">
              <w:rPr>
                <w:noProof/>
                <w:webHidden/>
              </w:rPr>
              <w:t>9</w:t>
            </w:r>
            <w:r w:rsidR="00175FA6">
              <w:rPr>
                <w:noProof/>
                <w:webHidden/>
              </w:rPr>
              <w:fldChar w:fldCharType="end"/>
            </w:r>
          </w:hyperlink>
        </w:p>
        <w:p w14:paraId="54D961AE" w14:textId="77777777" w:rsidR="00175FA6" w:rsidRDefault="000F3AF7">
          <w:pPr>
            <w:pStyle w:val="TOC1"/>
            <w:tabs>
              <w:tab w:val="right" w:leader="dot" w:pos="9628"/>
            </w:tabs>
            <w:rPr>
              <w:rFonts w:asciiTheme="minorHAnsi" w:eastAsiaTheme="minorEastAsia" w:hAnsiTheme="minorHAnsi"/>
              <w:noProof/>
              <w:sz w:val="22"/>
              <w:lang w:eastAsia="en-AU"/>
            </w:rPr>
          </w:pPr>
          <w:hyperlink w:anchor="_Toc420937965" w:history="1">
            <w:r w:rsidR="00175FA6" w:rsidRPr="00BC6F0A">
              <w:rPr>
                <w:rStyle w:val="Hyperlink"/>
                <w:rFonts w:eastAsia="Times New Roman"/>
                <w:noProof/>
                <w:lang w:eastAsia="en-AU"/>
              </w:rPr>
              <w:t>Multinational tax avoidance</w:t>
            </w:r>
            <w:r w:rsidR="00175FA6">
              <w:rPr>
                <w:noProof/>
                <w:webHidden/>
              </w:rPr>
              <w:tab/>
            </w:r>
            <w:r w:rsidR="00175FA6">
              <w:rPr>
                <w:noProof/>
                <w:webHidden/>
              </w:rPr>
              <w:fldChar w:fldCharType="begin"/>
            </w:r>
            <w:r w:rsidR="00175FA6">
              <w:rPr>
                <w:noProof/>
                <w:webHidden/>
              </w:rPr>
              <w:instrText xml:space="preserve"> PAGEREF _Toc420937965 \h </w:instrText>
            </w:r>
            <w:r w:rsidR="00175FA6">
              <w:rPr>
                <w:noProof/>
                <w:webHidden/>
              </w:rPr>
            </w:r>
            <w:r w:rsidR="00175FA6">
              <w:rPr>
                <w:noProof/>
                <w:webHidden/>
              </w:rPr>
              <w:fldChar w:fldCharType="separate"/>
            </w:r>
            <w:r w:rsidR="00175FA6">
              <w:rPr>
                <w:noProof/>
                <w:webHidden/>
              </w:rPr>
              <w:t>9</w:t>
            </w:r>
            <w:r w:rsidR="00175FA6">
              <w:rPr>
                <w:noProof/>
                <w:webHidden/>
              </w:rPr>
              <w:fldChar w:fldCharType="end"/>
            </w:r>
          </w:hyperlink>
        </w:p>
        <w:p w14:paraId="328542B4" w14:textId="77777777" w:rsidR="00175FA6" w:rsidRDefault="000F3AF7">
          <w:pPr>
            <w:pStyle w:val="TOC1"/>
            <w:tabs>
              <w:tab w:val="right" w:leader="dot" w:pos="9628"/>
            </w:tabs>
            <w:rPr>
              <w:rFonts w:asciiTheme="minorHAnsi" w:eastAsiaTheme="minorEastAsia" w:hAnsiTheme="minorHAnsi"/>
              <w:noProof/>
              <w:sz w:val="22"/>
              <w:lang w:eastAsia="en-AU"/>
            </w:rPr>
          </w:pPr>
          <w:hyperlink w:anchor="_Toc420937966" w:history="1">
            <w:r w:rsidR="00175FA6" w:rsidRPr="00BC6F0A">
              <w:rPr>
                <w:rStyle w:val="Hyperlink"/>
                <w:rFonts w:eastAsia="Times New Roman"/>
                <w:noProof/>
                <w:lang w:eastAsia="en-AU"/>
              </w:rPr>
              <w:t>Features of state (including local government taxes)</w:t>
            </w:r>
            <w:r w:rsidR="00175FA6">
              <w:rPr>
                <w:noProof/>
                <w:webHidden/>
              </w:rPr>
              <w:tab/>
            </w:r>
            <w:r w:rsidR="00175FA6">
              <w:rPr>
                <w:noProof/>
                <w:webHidden/>
              </w:rPr>
              <w:fldChar w:fldCharType="begin"/>
            </w:r>
            <w:r w:rsidR="00175FA6">
              <w:rPr>
                <w:noProof/>
                <w:webHidden/>
              </w:rPr>
              <w:instrText xml:space="preserve"> PAGEREF _Toc420937966 \h </w:instrText>
            </w:r>
            <w:r w:rsidR="00175FA6">
              <w:rPr>
                <w:noProof/>
                <w:webHidden/>
              </w:rPr>
            </w:r>
            <w:r w:rsidR="00175FA6">
              <w:rPr>
                <w:noProof/>
                <w:webHidden/>
              </w:rPr>
              <w:fldChar w:fldCharType="separate"/>
            </w:r>
            <w:r w:rsidR="00175FA6">
              <w:rPr>
                <w:noProof/>
                <w:webHidden/>
              </w:rPr>
              <w:t>10</w:t>
            </w:r>
            <w:r w:rsidR="00175FA6">
              <w:rPr>
                <w:noProof/>
                <w:webHidden/>
              </w:rPr>
              <w:fldChar w:fldCharType="end"/>
            </w:r>
          </w:hyperlink>
        </w:p>
        <w:p w14:paraId="3D5CBBD9" w14:textId="77777777" w:rsidR="004410E0" w:rsidRDefault="00354E8F">
          <w:r>
            <w:rPr>
              <w:b/>
              <w:bCs/>
              <w:noProof/>
            </w:rPr>
            <w:fldChar w:fldCharType="end"/>
          </w:r>
        </w:p>
      </w:sdtContent>
    </w:sdt>
    <w:p w14:paraId="299F401C" w14:textId="77777777" w:rsidR="004410E0" w:rsidRPr="004410E0" w:rsidRDefault="004410E0" w:rsidP="004410E0"/>
    <w:p w14:paraId="5D6B4890" w14:textId="77777777" w:rsidR="004410E0" w:rsidRDefault="004410E0" w:rsidP="00B06AAC">
      <w:pPr>
        <w:pStyle w:val="Heading1"/>
        <w:spacing w:after="240"/>
        <w:rPr>
          <w:color w:val="4F81BD" w:themeColor="accent1"/>
        </w:rPr>
      </w:pPr>
      <w:r>
        <w:rPr>
          <w:color w:val="4F81BD" w:themeColor="accent1"/>
        </w:rPr>
        <w:br w:type="page"/>
      </w:r>
    </w:p>
    <w:p w14:paraId="77CBA6B5" w14:textId="77777777" w:rsidR="00F20D30" w:rsidRPr="00D50BE6" w:rsidRDefault="00F20D30" w:rsidP="00B06AAC">
      <w:pPr>
        <w:pStyle w:val="Heading1"/>
        <w:spacing w:after="240"/>
        <w:rPr>
          <w:color w:val="4F81BD" w:themeColor="accent1"/>
        </w:rPr>
      </w:pPr>
      <w:bookmarkStart w:id="2" w:name="_Toc420937955"/>
      <w:r w:rsidRPr="00D50BE6">
        <w:rPr>
          <w:color w:val="4F81BD" w:themeColor="accent1"/>
        </w:rPr>
        <w:lastRenderedPageBreak/>
        <w:t>Introduction</w:t>
      </w:r>
      <w:bookmarkEnd w:id="0"/>
      <w:bookmarkEnd w:id="1"/>
      <w:bookmarkEnd w:id="2"/>
    </w:p>
    <w:p w14:paraId="5AC76B42" w14:textId="77777777" w:rsidR="00F20D30" w:rsidRDefault="009E0E56" w:rsidP="00514A12">
      <w:pPr>
        <w:spacing w:before="120" w:after="120"/>
        <w:rPr>
          <w:rFonts w:cs="Arial"/>
        </w:rPr>
      </w:pPr>
      <w:r>
        <w:rPr>
          <w:rFonts w:cs="Arial"/>
        </w:rPr>
        <w:t xml:space="preserve">The </w:t>
      </w:r>
      <w:bookmarkStart w:id="3" w:name="_GoBack"/>
      <w:r>
        <w:rPr>
          <w:rFonts w:cs="Arial"/>
        </w:rPr>
        <w:t>Australian Services Union</w:t>
      </w:r>
      <w:bookmarkEnd w:id="3"/>
      <w:r>
        <w:rPr>
          <w:rFonts w:cs="Arial"/>
        </w:rPr>
        <w:t xml:space="preserve"> (ASU)</w:t>
      </w:r>
      <w:r w:rsidR="00F20D30">
        <w:rPr>
          <w:rFonts w:cs="Arial"/>
        </w:rPr>
        <w:t xml:space="preserve"> is one of Australia’s largest Unions, representing approximately 120,000 members. </w:t>
      </w:r>
    </w:p>
    <w:p w14:paraId="2F6AA668" w14:textId="77777777" w:rsidR="00F20D30" w:rsidRDefault="00F20D30" w:rsidP="00514A12">
      <w:pPr>
        <w:spacing w:before="120" w:after="120"/>
        <w:rPr>
          <w:rFonts w:cs="Arial"/>
        </w:rPr>
      </w:pPr>
      <w:r>
        <w:rPr>
          <w:rFonts w:cs="Arial"/>
        </w:rPr>
        <w:t>The ASU was created in 1993. It brought together three large unions – the Federated Clerks Union, the Municipal Officers Association and the Municipal Employees Union, as well as a number of smaller organisations representing social welfare workers, information technology workers and transport employees.</w:t>
      </w:r>
    </w:p>
    <w:p w14:paraId="297EBF0C" w14:textId="77777777" w:rsidR="00F20D30" w:rsidRDefault="00F20D30" w:rsidP="00514A12">
      <w:pPr>
        <w:spacing w:before="120" w:after="120"/>
        <w:rPr>
          <w:rFonts w:cs="Arial"/>
        </w:rPr>
      </w:pPr>
      <w:r>
        <w:rPr>
          <w:rFonts w:cs="Arial"/>
        </w:rPr>
        <w:t>Today, the ASU’s members work in a wide variety of industries and occupations and especially in the following industries and occupations:</w:t>
      </w:r>
    </w:p>
    <w:p w14:paraId="7E73EBF9" w14:textId="77777777" w:rsidR="00F20D30" w:rsidRPr="00E26F25" w:rsidRDefault="00F20D30" w:rsidP="00653159">
      <w:pPr>
        <w:pStyle w:val="ListParagraph"/>
        <w:numPr>
          <w:ilvl w:val="0"/>
          <w:numId w:val="17"/>
        </w:numPr>
        <w:spacing w:before="240" w:after="240"/>
        <w:ind w:left="714" w:hanging="357"/>
        <w:rPr>
          <w:rFonts w:cs="Arial"/>
        </w:rPr>
      </w:pPr>
      <w:r w:rsidRPr="00E26F25">
        <w:rPr>
          <w:rFonts w:cs="Arial"/>
        </w:rPr>
        <w:t>Local government (both blue and white collar employment)</w:t>
      </w:r>
    </w:p>
    <w:p w14:paraId="4030ADA3" w14:textId="77777777" w:rsidR="00F20D30" w:rsidRPr="00E26F25" w:rsidRDefault="00F20D30" w:rsidP="00653159">
      <w:pPr>
        <w:pStyle w:val="ListParagraph"/>
        <w:numPr>
          <w:ilvl w:val="0"/>
          <w:numId w:val="17"/>
        </w:numPr>
        <w:spacing w:after="240"/>
        <w:ind w:left="714" w:hanging="357"/>
        <w:rPr>
          <w:rFonts w:cs="Arial"/>
        </w:rPr>
      </w:pPr>
      <w:r w:rsidRPr="00E26F25">
        <w:rPr>
          <w:rFonts w:cs="Arial"/>
        </w:rPr>
        <w:t>Social and community services</w:t>
      </w:r>
      <w:r w:rsidR="00CC4325">
        <w:rPr>
          <w:rFonts w:cs="Arial"/>
        </w:rPr>
        <w:t xml:space="preserve"> (NFP sector)</w:t>
      </w:r>
    </w:p>
    <w:p w14:paraId="26821B8F" w14:textId="77777777" w:rsidR="00F20D30" w:rsidRPr="00E26F25" w:rsidRDefault="00F20D30" w:rsidP="00653159">
      <w:pPr>
        <w:pStyle w:val="ListParagraph"/>
        <w:numPr>
          <w:ilvl w:val="0"/>
          <w:numId w:val="17"/>
        </w:numPr>
        <w:spacing w:after="240"/>
        <w:ind w:left="714" w:hanging="357"/>
        <w:rPr>
          <w:rFonts w:cs="Arial"/>
        </w:rPr>
      </w:pPr>
      <w:r w:rsidRPr="00E26F25">
        <w:rPr>
          <w:rFonts w:cs="Arial"/>
        </w:rPr>
        <w:t>Transport, including passenger air and rail transport, road, rail and air freight transport</w:t>
      </w:r>
    </w:p>
    <w:p w14:paraId="68681284" w14:textId="77777777" w:rsidR="00F20D30" w:rsidRPr="00E26F25" w:rsidRDefault="00F20D30" w:rsidP="00653159">
      <w:pPr>
        <w:pStyle w:val="ListParagraph"/>
        <w:numPr>
          <w:ilvl w:val="0"/>
          <w:numId w:val="17"/>
        </w:numPr>
        <w:spacing w:after="240"/>
        <w:ind w:left="714" w:hanging="357"/>
        <w:rPr>
          <w:rFonts w:cs="Arial"/>
        </w:rPr>
      </w:pPr>
      <w:r w:rsidRPr="00E26F25">
        <w:rPr>
          <w:rFonts w:cs="Arial"/>
        </w:rPr>
        <w:t>Clerical and administrative employees in commerce and industry generally</w:t>
      </w:r>
    </w:p>
    <w:p w14:paraId="7B9B3C6C" w14:textId="77777777" w:rsidR="00F20D30" w:rsidRPr="00E26F25" w:rsidRDefault="00F20D30" w:rsidP="00653159">
      <w:pPr>
        <w:pStyle w:val="ListParagraph"/>
        <w:numPr>
          <w:ilvl w:val="0"/>
          <w:numId w:val="17"/>
        </w:numPr>
        <w:spacing w:after="240"/>
        <w:ind w:left="714" w:hanging="357"/>
        <w:rPr>
          <w:rFonts w:cs="Arial"/>
        </w:rPr>
      </w:pPr>
      <w:r w:rsidRPr="00E26F25">
        <w:rPr>
          <w:rFonts w:cs="Arial"/>
        </w:rPr>
        <w:t>Call centres</w:t>
      </w:r>
    </w:p>
    <w:p w14:paraId="0D69FFB6" w14:textId="77777777" w:rsidR="00F20D30" w:rsidRPr="00E26F25" w:rsidRDefault="00F20D30" w:rsidP="00653159">
      <w:pPr>
        <w:pStyle w:val="ListParagraph"/>
        <w:numPr>
          <w:ilvl w:val="0"/>
          <w:numId w:val="17"/>
        </w:numPr>
        <w:spacing w:after="240"/>
        <w:ind w:left="714" w:hanging="357"/>
        <w:rPr>
          <w:rFonts w:cs="Arial"/>
        </w:rPr>
      </w:pPr>
      <w:r w:rsidRPr="00E26F25">
        <w:rPr>
          <w:rFonts w:cs="Arial"/>
        </w:rPr>
        <w:t>Electricity generation, transmission and distribution</w:t>
      </w:r>
    </w:p>
    <w:p w14:paraId="3683A1FD" w14:textId="77777777" w:rsidR="00F20D30" w:rsidRPr="00E26F25" w:rsidRDefault="00F20D30" w:rsidP="00653159">
      <w:pPr>
        <w:pStyle w:val="ListParagraph"/>
        <w:numPr>
          <w:ilvl w:val="0"/>
          <w:numId w:val="17"/>
        </w:numPr>
        <w:spacing w:after="240"/>
        <w:ind w:left="714" w:hanging="357"/>
        <w:rPr>
          <w:rFonts w:cs="Arial"/>
        </w:rPr>
      </w:pPr>
      <w:r w:rsidRPr="00E26F25">
        <w:rPr>
          <w:rFonts w:cs="Arial"/>
        </w:rPr>
        <w:t>Water industry</w:t>
      </w:r>
    </w:p>
    <w:p w14:paraId="72EA3B94" w14:textId="77777777" w:rsidR="00F20D30" w:rsidRPr="00E26F25" w:rsidRDefault="00F20D30" w:rsidP="00653159">
      <w:pPr>
        <w:pStyle w:val="ListParagraph"/>
        <w:numPr>
          <w:ilvl w:val="0"/>
          <w:numId w:val="17"/>
        </w:numPr>
        <w:spacing w:before="240" w:after="240"/>
        <w:ind w:left="714" w:hanging="357"/>
        <w:rPr>
          <w:rFonts w:cs="Arial"/>
        </w:rPr>
      </w:pPr>
      <w:r w:rsidRPr="00E26F25">
        <w:rPr>
          <w:rFonts w:cs="Arial"/>
        </w:rPr>
        <w:t>Higher education (Queensland and SA)</w:t>
      </w:r>
    </w:p>
    <w:p w14:paraId="1EFC8059" w14:textId="77777777" w:rsidR="00F20D30" w:rsidRDefault="00F20D30" w:rsidP="00EE76D8">
      <w:pPr>
        <w:spacing w:after="240"/>
        <w:rPr>
          <w:rFonts w:cs="Arial"/>
        </w:rPr>
      </w:pPr>
      <w:r>
        <w:rPr>
          <w:rFonts w:cs="Arial"/>
        </w:rPr>
        <w:t xml:space="preserve">The ASU has members in every State and Territory of Australia, as well as in most regional centres as well. </w:t>
      </w:r>
    </w:p>
    <w:p w14:paraId="57D4993E" w14:textId="77777777" w:rsidR="007A3DC2" w:rsidRDefault="007A3DC2" w:rsidP="007A3DC2">
      <w:pPr>
        <w:spacing w:after="240"/>
        <w:rPr>
          <w:rFonts w:cs="Arial"/>
        </w:rPr>
      </w:pPr>
      <w:r>
        <w:rPr>
          <w:rFonts w:cs="Arial"/>
        </w:rPr>
        <w:t>The ASU welcomes the opportunity to participate in the review of Australia’s</w:t>
      </w:r>
      <w:r w:rsidR="004859B2">
        <w:rPr>
          <w:rFonts w:cs="Arial"/>
        </w:rPr>
        <w:t xml:space="preserve"> future tax system. We believe G</w:t>
      </w:r>
      <w:r>
        <w:rPr>
          <w:rFonts w:cs="Arial"/>
        </w:rPr>
        <w:t>overnment has a crucial role in delivering the services that our community relies upon through an equitable and fair tax system.</w:t>
      </w:r>
    </w:p>
    <w:p w14:paraId="1207C13C" w14:textId="77777777" w:rsidR="00804D3E" w:rsidRDefault="00C317E8" w:rsidP="007A3DC2">
      <w:pPr>
        <w:spacing w:after="240"/>
        <w:rPr>
          <w:rFonts w:cs="Arial"/>
        </w:rPr>
      </w:pPr>
      <w:r>
        <w:rPr>
          <w:rFonts w:cs="Arial"/>
        </w:rPr>
        <w:t xml:space="preserve">The primary goal of a tax reform should be about lifting Australia’s living standards and improving the nation’s long-term economic growth. </w:t>
      </w:r>
      <w:r w:rsidR="00804D3E">
        <w:rPr>
          <w:rFonts w:cs="Arial"/>
        </w:rPr>
        <w:t>An effective tax system strengthens economic capacity including workforce participation, innovation, education, infrastructure and trade. Tax should be seen as one of the policy levers to ensure Australia’s living standards continue to remain one of the highest in the world.</w:t>
      </w:r>
    </w:p>
    <w:p w14:paraId="4E8CC8E1" w14:textId="77777777" w:rsidR="00945D05" w:rsidRDefault="00E41FDF" w:rsidP="007A3DC2">
      <w:pPr>
        <w:spacing w:after="240"/>
        <w:rPr>
          <w:rFonts w:cs="Arial"/>
        </w:rPr>
      </w:pPr>
      <w:r>
        <w:rPr>
          <w:rFonts w:cs="Arial"/>
        </w:rPr>
        <w:t>Australia’s tax system should embody the values and expectations held by society. There is significant evidence that the majority of Australian’s wish to live in a fairer and more equal society</w:t>
      </w:r>
      <w:r w:rsidR="004177E0">
        <w:rPr>
          <w:rStyle w:val="FootnoteReference"/>
          <w:rFonts w:cs="Arial"/>
        </w:rPr>
        <w:footnoteReference w:id="1"/>
      </w:r>
      <w:r>
        <w:rPr>
          <w:rFonts w:cs="Arial"/>
        </w:rPr>
        <w:t xml:space="preserve">. </w:t>
      </w:r>
      <w:r w:rsidR="00B61BEE">
        <w:rPr>
          <w:rFonts w:cs="Arial"/>
        </w:rPr>
        <w:t xml:space="preserve">It is therefore vital that the revenue raised by Government </w:t>
      </w:r>
      <w:r w:rsidR="00945D05">
        <w:rPr>
          <w:rFonts w:cs="Arial"/>
        </w:rPr>
        <w:t>is sufficient to fund the provision of high quality services such as health, education, welfare and a decent social wage to the Australian community.</w:t>
      </w:r>
    </w:p>
    <w:p w14:paraId="0A032E6B" w14:textId="77777777" w:rsidR="00DB3759" w:rsidRDefault="00DB3759" w:rsidP="00836CFE">
      <w:pPr>
        <w:autoSpaceDE w:val="0"/>
        <w:autoSpaceDN w:val="0"/>
        <w:adjustRightInd w:val="0"/>
        <w:rPr>
          <w:rFonts w:cs="Arial"/>
          <w:szCs w:val="20"/>
        </w:rPr>
      </w:pPr>
      <w:r>
        <w:rPr>
          <w:rFonts w:cs="Arial"/>
          <w:szCs w:val="20"/>
        </w:rPr>
        <w:t>In the 2014 Per Capita Tax Survey</w:t>
      </w:r>
      <w:r>
        <w:rPr>
          <w:rStyle w:val="FootnoteReference"/>
          <w:rFonts w:cs="Arial"/>
          <w:szCs w:val="20"/>
        </w:rPr>
        <w:footnoteReference w:id="2"/>
      </w:r>
      <w:r>
        <w:rPr>
          <w:rFonts w:cs="Arial"/>
          <w:szCs w:val="20"/>
        </w:rPr>
        <w:t xml:space="preserve"> the share of Australian’s who support higher spending on public services increased by eight points to 85%. In addition</w:t>
      </w:r>
      <w:r w:rsidR="008348C0">
        <w:rPr>
          <w:rFonts w:cs="Arial"/>
          <w:szCs w:val="20"/>
        </w:rPr>
        <w:t xml:space="preserve"> the survey found that Australian’s want increases to public services to be funded by high income earners who they do not perceive as paying their fair share</w:t>
      </w:r>
      <w:r w:rsidR="002437A3">
        <w:rPr>
          <w:rFonts w:cs="Arial"/>
          <w:szCs w:val="20"/>
        </w:rPr>
        <w:t xml:space="preserve"> of tax</w:t>
      </w:r>
      <w:r w:rsidR="008348C0">
        <w:rPr>
          <w:rFonts w:cs="Arial"/>
          <w:szCs w:val="20"/>
        </w:rPr>
        <w:t>.</w:t>
      </w:r>
    </w:p>
    <w:p w14:paraId="371867B5" w14:textId="77777777" w:rsidR="005469CB" w:rsidRDefault="005469CB" w:rsidP="00836CFE">
      <w:pPr>
        <w:autoSpaceDE w:val="0"/>
        <w:autoSpaceDN w:val="0"/>
        <w:adjustRightInd w:val="0"/>
        <w:rPr>
          <w:rFonts w:cs="Arial"/>
          <w:szCs w:val="20"/>
        </w:rPr>
      </w:pPr>
    </w:p>
    <w:p w14:paraId="3E4F645E" w14:textId="77777777" w:rsidR="00AE60D0" w:rsidRDefault="005469CB" w:rsidP="00836CFE">
      <w:pPr>
        <w:autoSpaceDE w:val="0"/>
        <w:autoSpaceDN w:val="0"/>
        <w:adjustRightInd w:val="0"/>
        <w:rPr>
          <w:rFonts w:cs="Arial"/>
          <w:szCs w:val="20"/>
        </w:rPr>
      </w:pPr>
      <w:r>
        <w:rPr>
          <w:rFonts w:cs="Arial"/>
          <w:szCs w:val="20"/>
        </w:rPr>
        <w:t>The Survey asked what outcomes respondents would be prepared to pay higher taxes to achieve</w:t>
      </w:r>
      <w:r w:rsidR="00B673D5">
        <w:rPr>
          <w:rFonts w:cs="Arial"/>
          <w:szCs w:val="20"/>
        </w:rPr>
        <w:t>,</w:t>
      </w:r>
      <w:r w:rsidR="00AE60D0">
        <w:rPr>
          <w:rFonts w:cs="Arial"/>
          <w:szCs w:val="20"/>
        </w:rPr>
        <w:t xml:space="preserve"> with better health and age</w:t>
      </w:r>
      <w:r w:rsidR="00DA32DD">
        <w:rPr>
          <w:rFonts w:cs="Arial"/>
          <w:szCs w:val="20"/>
        </w:rPr>
        <w:t>d care services ranking number one (60.8%)</w:t>
      </w:r>
      <w:r w:rsidR="00AE60D0">
        <w:rPr>
          <w:rFonts w:cs="Arial"/>
          <w:szCs w:val="20"/>
        </w:rPr>
        <w:t>. Other popular outcomes included better schools, TAFEs and universities, better transport and long-term economic growth. Importantly the willingness of respondents to pay higher taxes to achieve these outcomes increased in all categories since the last Survey in 2012</w:t>
      </w:r>
      <w:r w:rsidR="00AE60D0">
        <w:rPr>
          <w:rStyle w:val="FootnoteReference"/>
          <w:rFonts w:cs="Arial"/>
          <w:szCs w:val="20"/>
        </w:rPr>
        <w:footnoteReference w:id="3"/>
      </w:r>
      <w:r w:rsidR="00AE60D0">
        <w:rPr>
          <w:rFonts w:cs="Arial"/>
          <w:szCs w:val="20"/>
        </w:rPr>
        <w:t>.</w:t>
      </w:r>
    </w:p>
    <w:p w14:paraId="06CA4D48" w14:textId="77777777" w:rsidR="00AE60D0" w:rsidRDefault="00AE60D0" w:rsidP="00836CFE">
      <w:pPr>
        <w:autoSpaceDE w:val="0"/>
        <w:autoSpaceDN w:val="0"/>
        <w:adjustRightInd w:val="0"/>
        <w:rPr>
          <w:rFonts w:cs="Arial"/>
          <w:szCs w:val="20"/>
        </w:rPr>
      </w:pPr>
    </w:p>
    <w:p w14:paraId="1A03828C" w14:textId="77777777" w:rsidR="00DA32DD" w:rsidRDefault="00121C20" w:rsidP="00836CFE">
      <w:pPr>
        <w:autoSpaceDE w:val="0"/>
        <w:autoSpaceDN w:val="0"/>
        <w:adjustRightInd w:val="0"/>
        <w:rPr>
          <w:rFonts w:cs="Arial"/>
          <w:szCs w:val="20"/>
        </w:rPr>
      </w:pPr>
      <w:r>
        <w:rPr>
          <w:rFonts w:cs="Arial"/>
          <w:szCs w:val="20"/>
        </w:rPr>
        <w:t xml:space="preserve">Australian’s value their high living standards and understand the importance of taxes. </w:t>
      </w:r>
      <w:r w:rsidR="00BF4612">
        <w:rPr>
          <w:rFonts w:cs="Arial"/>
          <w:szCs w:val="20"/>
        </w:rPr>
        <w:t>When a tax system is fa</w:t>
      </w:r>
      <w:r w:rsidR="002437A3">
        <w:rPr>
          <w:rFonts w:cs="Arial"/>
          <w:szCs w:val="20"/>
        </w:rPr>
        <w:t>i</w:t>
      </w:r>
      <w:r w:rsidR="00BF4612">
        <w:rPr>
          <w:rFonts w:cs="Arial"/>
          <w:szCs w:val="20"/>
        </w:rPr>
        <w:t>r and when taxes are seen to be spent in accordance with people’</w:t>
      </w:r>
      <w:r w:rsidR="001127DC">
        <w:rPr>
          <w:rFonts w:cs="Arial"/>
          <w:szCs w:val="20"/>
        </w:rPr>
        <w:t>s desi</w:t>
      </w:r>
      <w:r w:rsidR="00BF4612">
        <w:rPr>
          <w:rFonts w:cs="Arial"/>
          <w:szCs w:val="20"/>
        </w:rPr>
        <w:t>r</w:t>
      </w:r>
      <w:r w:rsidR="001127DC">
        <w:rPr>
          <w:rFonts w:cs="Arial"/>
          <w:szCs w:val="20"/>
        </w:rPr>
        <w:t>e</w:t>
      </w:r>
      <w:r w:rsidR="00BF4612">
        <w:rPr>
          <w:rFonts w:cs="Arial"/>
          <w:szCs w:val="20"/>
        </w:rPr>
        <w:t xml:space="preserve">s for public goods, there is not </w:t>
      </w:r>
      <w:r w:rsidR="001127DC">
        <w:rPr>
          <w:rFonts w:cs="Arial"/>
          <w:szCs w:val="20"/>
        </w:rPr>
        <w:t xml:space="preserve">a </w:t>
      </w:r>
      <w:r w:rsidR="00BF4612">
        <w:rPr>
          <w:rFonts w:cs="Arial"/>
          <w:szCs w:val="20"/>
        </w:rPr>
        <w:t>strong resistance to paying taxes</w:t>
      </w:r>
      <w:r w:rsidR="00BF4612">
        <w:rPr>
          <w:rStyle w:val="FootnoteReference"/>
          <w:rFonts w:cs="Arial"/>
          <w:szCs w:val="20"/>
        </w:rPr>
        <w:footnoteReference w:id="4"/>
      </w:r>
      <w:r>
        <w:rPr>
          <w:rFonts w:cs="Arial"/>
          <w:szCs w:val="20"/>
        </w:rPr>
        <w:t>.</w:t>
      </w:r>
    </w:p>
    <w:p w14:paraId="13B401F7" w14:textId="77777777" w:rsidR="005469CB" w:rsidRDefault="00AE60D0" w:rsidP="00836CFE">
      <w:pPr>
        <w:autoSpaceDE w:val="0"/>
        <w:autoSpaceDN w:val="0"/>
        <w:adjustRightInd w:val="0"/>
        <w:rPr>
          <w:rFonts w:cs="Arial"/>
          <w:szCs w:val="20"/>
        </w:rPr>
      </w:pPr>
      <w:r>
        <w:rPr>
          <w:rFonts w:cs="Arial"/>
          <w:szCs w:val="20"/>
        </w:rPr>
        <w:t xml:space="preserve"> </w:t>
      </w:r>
    </w:p>
    <w:p w14:paraId="7BBC10AE" w14:textId="77777777" w:rsidR="009E44F2" w:rsidRDefault="009E44F2" w:rsidP="009E44F2">
      <w:pPr>
        <w:spacing w:after="240"/>
        <w:rPr>
          <w:rFonts w:cs="Arial"/>
        </w:rPr>
      </w:pPr>
    </w:p>
    <w:p w14:paraId="78D8ED00" w14:textId="77777777" w:rsidR="005469CB" w:rsidRDefault="005469CB" w:rsidP="009E44F2">
      <w:pPr>
        <w:spacing w:after="240"/>
        <w:rPr>
          <w:rFonts w:cs="Arial"/>
        </w:rPr>
      </w:pPr>
    </w:p>
    <w:p w14:paraId="35091AB4" w14:textId="77777777" w:rsidR="005469CB" w:rsidRDefault="005469CB" w:rsidP="009E44F2">
      <w:pPr>
        <w:spacing w:after="240"/>
        <w:rPr>
          <w:rFonts w:cs="Arial"/>
        </w:rPr>
      </w:pPr>
    </w:p>
    <w:p w14:paraId="39522F0D" w14:textId="77777777" w:rsidR="0090768C" w:rsidRPr="0004149C" w:rsidRDefault="004177E0" w:rsidP="004D4681">
      <w:pPr>
        <w:pStyle w:val="Heading1"/>
        <w:rPr>
          <w:color w:val="4F81BD" w:themeColor="accent1"/>
          <w:sz w:val="40"/>
        </w:rPr>
      </w:pPr>
      <w:bookmarkStart w:id="4" w:name="_Toc420937956"/>
      <w:r>
        <w:rPr>
          <w:rFonts w:eastAsia="Times New Roman"/>
          <w:color w:val="4F81BD" w:themeColor="accent1"/>
          <w:lang w:eastAsia="en-AU"/>
        </w:rPr>
        <w:lastRenderedPageBreak/>
        <w:t>Superannuation</w:t>
      </w:r>
      <w:bookmarkEnd w:id="4"/>
    </w:p>
    <w:p w14:paraId="20E3E063" w14:textId="77777777" w:rsidR="0090768C" w:rsidRDefault="0090768C" w:rsidP="0090768C">
      <w:pPr>
        <w:rPr>
          <w:rFonts w:ascii="TheSans-B4SemiLight" w:hAnsi="TheSans-B4SemiLight" w:cs="TheSans-B4SemiLight"/>
          <w:sz w:val="24"/>
          <w:szCs w:val="24"/>
        </w:rPr>
      </w:pPr>
    </w:p>
    <w:p w14:paraId="6124078F" w14:textId="77777777" w:rsidR="004177E0" w:rsidRDefault="00A23CC1" w:rsidP="0090768C">
      <w:pPr>
        <w:rPr>
          <w:rFonts w:cs="Arial"/>
          <w:szCs w:val="24"/>
        </w:rPr>
      </w:pPr>
      <w:r>
        <w:rPr>
          <w:rFonts w:cs="Arial"/>
          <w:szCs w:val="24"/>
        </w:rPr>
        <w:t xml:space="preserve">Superannuation plays an important role in providing the foundations for economic activity and prosperity. It is </w:t>
      </w:r>
      <w:r w:rsidR="00DF102E">
        <w:rPr>
          <w:rFonts w:cs="Arial"/>
          <w:szCs w:val="24"/>
        </w:rPr>
        <w:t>designed to improve individuals’ retirement incomes and in doing s</w:t>
      </w:r>
      <w:r w:rsidR="00A661E4">
        <w:rPr>
          <w:rFonts w:cs="Arial"/>
          <w:szCs w:val="24"/>
        </w:rPr>
        <w:t>o, it also reduces pressure on age p</w:t>
      </w:r>
      <w:r w:rsidR="00DF102E">
        <w:rPr>
          <w:rFonts w:cs="Arial"/>
          <w:szCs w:val="24"/>
        </w:rPr>
        <w:t>ension expenditures</w:t>
      </w:r>
      <w:r w:rsidR="00DF102E">
        <w:rPr>
          <w:rStyle w:val="FootnoteReference"/>
          <w:rFonts w:cs="Arial"/>
          <w:szCs w:val="24"/>
        </w:rPr>
        <w:footnoteReference w:id="5"/>
      </w:r>
      <w:r w:rsidR="00DF102E">
        <w:rPr>
          <w:rFonts w:cs="Arial"/>
          <w:szCs w:val="24"/>
        </w:rPr>
        <w:t>.</w:t>
      </w:r>
    </w:p>
    <w:p w14:paraId="3E42F1BC" w14:textId="77777777" w:rsidR="00A661E4" w:rsidRDefault="00A661E4" w:rsidP="0090768C">
      <w:pPr>
        <w:rPr>
          <w:rFonts w:cs="Arial"/>
          <w:szCs w:val="24"/>
        </w:rPr>
      </w:pPr>
    </w:p>
    <w:p w14:paraId="29408BA5" w14:textId="77777777" w:rsidR="00A661E4" w:rsidRDefault="00A661E4" w:rsidP="0090768C">
      <w:pPr>
        <w:rPr>
          <w:rFonts w:cs="Arial"/>
          <w:szCs w:val="24"/>
        </w:rPr>
      </w:pPr>
      <w:r>
        <w:rPr>
          <w:rFonts w:cs="Arial"/>
          <w:szCs w:val="24"/>
        </w:rPr>
        <w:t xml:space="preserve">The majority of Australians desire a superannuation system that is sustainable and equitable. The current system is complex, especially as the majority of Australian’s are unsure how to view it. Is super intended to replace, complement or improve the age pension? </w:t>
      </w:r>
    </w:p>
    <w:p w14:paraId="2C3A0452" w14:textId="77777777" w:rsidR="00405CE2" w:rsidRDefault="00405CE2" w:rsidP="0090768C">
      <w:pPr>
        <w:rPr>
          <w:rFonts w:cs="Arial"/>
          <w:szCs w:val="24"/>
        </w:rPr>
      </w:pPr>
    </w:p>
    <w:p w14:paraId="48C48D4A" w14:textId="77777777" w:rsidR="00564223" w:rsidRDefault="00564223" w:rsidP="0090768C">
      <w:pPr>
        <w:rPr>
          <w:rFonts w:cs="Arial"/>
          <w:szCs w:val="24"/>
        </w:rPr>
      </w:pPr>
    </w:p>
    <w:p w14:paraId="376D1F02" w14:textId="77777777" w:rsidR="00564223" w:rsidRPr="00231C4F" w:rsidRDefault="00564223" w:rsidP="00564223">
      <w:pPr>
        <w:pStyle w:val="Heading2"/>
        <w:spacing w:before="0" w:after="0"/>
        <w:rPr>
          <w:i/>
          <w:color w:val="8DB3E2" w:themeColor="text2" w:themeTint="66"/>
        </w:rPr>
      </w:pPr>
      <w:bookmarkStart w:id="5" w:name="_Toc420937957"/>
      <w:r>
        <w:rPr>
          <w:i/>
          <w:color w:val="8DB3E2" w:themeColor="text2" w:themeTint="66"/>
        </w:rPr>
        <w:t>Superannuation tax concession rates</w:t>
      </w:r>
      <w:bookmarkEnd w:id="5"/>
    </w:p>
    <w:p w14:paraId="704B625F" w14:textId="77777777" w:rsidR="00564223" w:rsidRDefault="00564223" w:rsidP="0090768C">
      <w:pPr>
        <w:rPr>
          <w:rFonts w:cs="Arial"/>
          <w:szCs w:val="24"/>
        </w:rPr>
      </w:pPr>
    </w:p>
    <w:p w14:paraId="1709BDC4" w14:textId="77777777" w:rsidR="00A661E4" w:rsidRDefault="00BA3B2F" w:rsidP="0090768C">
      <w:pPr>
        <w:rPr>
          <w:rFonts w:cs="Arial"/>
          <w:szCs w:val="24"/>
        </w:rPr>
      </w:pPr>
      <w:r>
        <w:rPr>
          <w:rFonts w:cs="Arial"/>
          <w:szCs w:val="24"/>
        </w:rPr>
        <w:t xml:space="preserve">The ASU is concerned that the current tax treatment for superannuation on contributions and earnings is inequitable and fiscally unsustainable. </w:t>
      </w:r>
      <w:r w:rsidR="00904B93">
        <w:rPr>
          <w:rFonts w:cs="Arial"/>
          <w:szCs w:val="24"/>
        </w:rPr>
        <w:t xml:space="preserve">For example high-income earners receive a 31.5% concession while those on low incomes receive no concessions at all. </w:t>
      </w:r>
      <w:r>
        <w:rPr>
          <w:rFonts w:cs="Arial"/>
          <w:szCs w:val="24"/>
        </w:rPr>
        <w:t>The Henry Tax Review, released in 2010 acknowledged this fact and explicitly recommended making superannuation concessions more progressive:</w:t>
      </w:r>
    </w:p>
    <w:p w14:paraId="6BC1C737" w14:textId="77777777" w:rsidR="00904B93" w:rsidRDefault="00904B93" w:rsidP="0090768C">
      <w:pPr>
        <w:rPr>
          <w:rFonts w:cs="Arial"/>
          <w:szCs w:val="24"/>
        </w:rPr>
      </w:pPr>
    </w:p>
    <w:p w14:paraId="04047FF8" w14:textId="77777777" w:rsidR="00904B93" w:rsidRPr="00405CE2" w:rsidRDefault="00904B93" w:rsidP="00405CE2">
      <w:pPr>
        <w:ind w:left="567"/>
        <w:rPr>
          <w:rFonts w:cs="Arial"/>
          <w:i/>
          <w:szCs w:val="20"/>
        </w:rPr>
      </w:pPr>
      <w:r w:rsidRPr="00405CE2">
        <w:rPr>
          <w:rFonts w:cs="Arial"/>
          <w:i/>
          <w:szCs w:val="20"/>
        </w:rPr>
        <w:t>“The structure of the existing tax concessions is inequitable because high-income earners benefit much more from the superannuation tax concessions than low-income earners.”</w:t>
      </w:r>
    </w:p>
    <w:p w14:paraId="3BAE11A7" w14:textId="77777777" w:rsidR="00904B93" w:rsidRPr="00405CE2" w:rsidRDefault="00904B93" w:rsidP="00405CE2">
      <w:pPr>
        <w:ind w:left="567"/>
        <w:rPr>
          <w:rFonts w:cs="Arial"/>
          <w:i/>
          <w:szCs w:val="20"/>
        </w:rPr>
      </w:pPr>
    </w:p>
    <w:p w14:paraId="1FE8153A" w14:textId="77777777" w:rsidR="00904B93" w:rsidRPr="00405CE2" w:rsidRDefault="00904B93" w:rsidP="00405CE2">
      <w:pPr>
        <w:ind w:left="567"/>
        <w:rPr>
          <w:rFonts w:cs="Arial"/>
          <w:i/>
          <w:szCs w:val="20"/>
        </w:rPr>
      </w:pPr>
      <w:r w:rsidRPr="00405CE2">
        <w:rPr>
          <w:rFonts w:cs="Arial"/>
          <w:i/>
          <w:szCs w:val="20"/>
        </w:rPr>
        <w:t>“Based on the 2008–09 tax rates, around 1.2 million individuals do not receive a personal income tax benefit from their concessional superannuation contributions. An additional 1.2 million people receive a concession of only 1.5 percentage points (Treasury 2008). This compares with around 200,000 taxpayers (those earning more than $180,000) who receive a concession on their superannuation contributions of 31.5 per cent</w:t>
      </w:r>
      <w:r w:rsidR="00405CE2">
        <w:rPr>
          <w:rStyle w:val="FootnoteReference"/>
          <w:rFonts w:cs="Arial"/>
          <w:szCs w:val="24"/>
        </w:rPr>
        <w:footnoteReference w:id="6"/>
      </w:r>
      <w:r w:rsidRPr="00405CE2">
        <w:rPr>
          <w:rFonts w:cs="Arial"/>
          <w:i/>
          <w:szCs w:val="20"/>
        </w:rPr>
        <w:t>.”</w:t>
      </w:r>
    </w:p>
    <w:p w14:paraId="25831894" w14:textId="77777777" w:rsidR="009C6E9F" w:rsidRDefault="009C6E9F" w:rsidP="0090768C">
      <w:pPr>
        <w:rPr>
          <w:rFonts w:cs="Arial"/>
          <w:szCs w:val="24"/>
        </w:rPr>
      </w:pPr>
    </w:p>
    <w:p w14:paraId="3152BCAF" w14:textId="77777777" w:rsidR="00405CE2" w:rsidRDefault="00955E25" w:rsidP="0090768C">
      <w:pPr>
        <w:rPr>
          <w:rFonts w:cs="Arial"/>
          <w:szCs w:val="24"/>
        </w:rPr>
      </w:pPr>
      <w:r>
        <w:rPr>
          <w:rFonts w:cs="Arial"/>
          <w:szCs w:val="24"/>
        </w:rPr>
        <w:t xml:space="preserve">Furthermore the Henry Tax Review proposed that everyone who contributes into superannuation would receive the same tax benefit, thus maintaining the progressiveness of the tax system. </w:t>
      </w:r>
    </w:p>
    <w:p w14:paraId="4E1D5406" w14:textId="77777777" w:rsidR="00562037" w:rsidRDefault="00562037" w:rsidP="0090768C">
      <w:pPr>
        <w:rPr>
          <w:rFonts w:cs="Arial"/>
          <w:szCs w:val="24"/>
        </w:rPr>
      </w:pPr>
    </w:p>
    <w:p w14:paraId="562D4AD6" w14:textId="77777777" w:rsidR="00562037" w:rsidRDefault="00564223" w:rsidP="0090768C">
      <w:pPr>
        <w:rPr>
          <w:rFonts w:cs="Arial"/>
          <w:szCs w:val="24"/>
        </w:rPr>
      </w:pPr>
      <w:r>
        <w:rPr>
          <w:rFonts w:cs="Arial"/>
          <w:szCs w:val="24"/>
        </w:rPr>
        <w:t xml:space="preserve">The ASU </w:t>
      </w:r>
      <w:r w:rsidR="009C2FAD">
        <w:rPr>
          <w:rFonts w:cs="Arial"/>
          <w:szCs w:val="24"/>
        </w:rPr>
        <w:t>does not believe low-income earners should underwrite the tax concessions on superannuation enjoyed by high-income earners.</w:t>
      </w:r>
    </w:p>
    <w:p w14:paraId="229CD9B9" w14:textId="77777777" w:rsidR="00995AFA" w:rsidRDefault="00995AFA" w:rsidP="0090768C">
      <w:pPr>
        <w:rPr>
          <w:rFonts w:cs="Arial"/>
          <w:szCs w:val="24"/>
        </w:rPr>
      </w:pPr>
    </w:p>
    <w:p w14:paraId="765949D9" w14:textId="77777777" w:rsidR="006171D4" w:rsidRDefault="006171D4" w:rsidP="00564223">
      <w:pPr>
        <w:pStyle w:val="Heading2"/>
        <w:spacing w:before="0" w:after="0"/>
        <w:rPr>
          <w:i/>
          <w:color w:val="8DB3E2" w:themeColor="text2" w:themeTint="66"/>
        </w:rPr>
      </w:pPr>
    </w:p>
    <w:p w14:paraId="5A72FA26" w14:textId="77777777" w:rsidR="00564223" w:rsidRPr="00231C4F" w:rsidRDefault="00564223" w:rsidP="00564223">
      <w:pPr>
        <w:pStyle w:val="Heading2"/>
        <w:spacing w:before="0" w:after="0"/>
        <w:rPr>
          <w:i/>
          <w:color w:val="8DB3E2" w:themeColor="text2" w:themeTint="66"/>
        </w:rPr>
      </w:pPr>
      <w:bookmarkStart w:id="6" w:name="_Toc420937958"/>
      <w:r>
        <w:rPr>
          <w:i/>
          <w:color w:val="8DB3E2" w:themeColor="text2" w:themeTint="66"/>
        </w:rPr>
        <w:t>Paid Parental Leave</w:t>
      </w:r>
      <w:bookmarkEnd w:id="6"/>
    </w:p>
    <w:p w14:paraId="07F36870" w14:textId="77777777" w:rsidR="00EC7922" w:rsidRDefault="00EC7922" w:rsidP="0090768C">
      <w:pPr>
        <w:rPr>
          <w:rFonts w:cs="Arial"/>
          <w:szCs w:val="24"/>
        </w:rPr>
      </w:pPr>
    </w:p>
    <w:p w14:paraId="1FFA41FE" w14:textId="77777777" w:rsidR="003E6228" w:rsidRDefault="003E6228" w:rsidP="0090768C">
      <w:pPr>
        <w:rPr>
          <w:rFonts w:cs="Arial"/>
          <w:szCs w:val="24"/>
        </w:rPr>
      </w:pPr>
      <w:r>
        <w:rPr>
          <w:rFonts w:cs="Arial"/>
          <w:szCs w:val="24"/>
        </w:rPr>
        <w:t xml:space="preserve">The ASU supports the current </w:t>
      </w:r>
      <w:r w:rsidR="001C3317">
        <w:rPr>
          <w:rFonts w:cs="Arial"/>
          <w:szCs w:val="24"/>
        </w:rPr>
        <w:t xml:space="preserve">government funded </w:t>
      </w:r>
      <w:r>
        <w:rPr>
          <w:rFonts w:cs="Arial"/>
          <w:szCs w:val="24"/>
        </w:rPr>
        <w:t>Paid Parental Leave (PPL) scheme where a parent may receive up to 18 weeks of parental leave pay at the national minimum wage. However the scheme does not recognise the compulsory superannuation payments which apply to other forms of pay.</w:t>
      </w:r>
    </w:p>
    <w:p w14:paraId="5EC274AE" w14:textId="77777777" w:rsidR="001C3317" w:rsidRDefault="001C3317" w:rsidP="0090768C">
      <w:pPr>
        <w:rPr>
          <w:rFonts w:cs="Arial"/>
          <w:szCs w:val="24"/>
        </w:rPr>
      </w:pPr>
    </w:p>
    <w:p w14:paraId="65031505" w14:textId="77777777" w:rsidR="00A31E54" w:rsidRDefault="001C3317" w:rsidP="0090768C">
      <w:pPr>
        <w:rPr>
          <w:rFonts w:cs="Arial"/>
          <w:szCs w:val="24"/>
        </w:rPr>
      </w:pPr>
      <w:r>
        <w:rPr>
          <w:rFonts w:cs="Arial"/>
          <w:szCs w:val="24"/>
        </w:rPr>
        <w:t>One of the re</w:t>
      </w:r>
      <w:r w:rsidR="00A31E54">
        <w:rPr>
          <w:rFonts w:cs="Arial"/>
          <w:szCs w:val="24"/>
        </w:rPr>
        <w:t>asons that the average superannuation balance of women is nearly half that of men is due to time out of the paid workforce for parental leave reasons</w:t>
      </w:r>
      <w:r w:rsidR="005453EE">
        <w:rPr>
          <w:rStyle w:val="FootnoteReference"/>
          <w:rFonts w:cs="Arial"/>
          <w:szCs w:val="24"/>
        </w:rPr>
        <w:footnoteReference w:id="7"/>
      </w:r>
      <w:r w:rsidR="00A31E54">
        <w:rPr>
          <w:rFonts w:cs="Arial"/>
          <w:szCs w:val="24"/>
        </w:rPr>
        <w:t>.</w:t>
      </w:r>
    </w:p>
    <w:p w14:paraId="424A4A8A" w14:textId="77777777" w:rsidR="00A31E54" w:rsidRDefault="00A31E54" w:rsidP="0090768C">
      <w:pPr>
        <w:rPr>
          <w:rFonts w:cs="Arial"/>
          <w:szCs w:val="24"/>
        </w:rPr>
      </w:pPr>
    </w:p>
    <w:p w14:paraId="371A7549" w14:textId="77777777" w:rsidR="00564223" w:rsidRPr="003200FB" w:rsidRDefault="00A31E54" w:rsidP="00564223">
      <w:pPr>
        <w:rPr>
          <w:rFonts w:cs="Arial"/>
          <w:szCs w:val="24"/>
        </w:rPr>
      </w:pPr>
      <w:r>
        <w:rPr>
          <w:rFonts w:cs="Arial"/>
          <w:szCs w:val="24"/>
        </w:rPr>
        <w:t xml:space="preserve">The ASU believes the Government should </w:t>
      </w:r>
      <w:r w:rsidR="003200FB">
        <w:rPr>
          <w:rFonts w:cs="Arial"/>
          <w:szCs w:val="24"/>
        </w:rPr>
        <w:t>pay the superannuation guarantee on parental leave payments to help reduce the difference in superannuation entitlements and to ensure women are not disadvantaged later in life.</w:t>
      </w:r>
    </w:p>
    <w:p w14:paraId="0D12539B" w14:textId="77777777" w:rsidR="00564223" w:rsidRDefault="00564223" w:rsidP="00564223">
      <w:pPr>
        <w:rPr>
          <w:rFonts w:cs="Arial"/>
          <w:szCs w:val="24"/>
        </w:rPr>
      </w:pPr>
    </w:p>
    <w:p w14:paraId="131E0BDF" w14:textId="77777777" w:rsidR="00564223" w:rsidRDefault="00564223" w:rsidP="00564223">
      <w:pPr>
        <w:rPr>
          <w:rFonts w:cs="Arial"/>
          <w:szCs w:val="24"/>
        </w:rPr>
      </w:pPr>
    </w:p>
    <w:p w14:paraId="02BA2416" w14:textId="77777777" w:rsidR="00564223" w:rsidRPr="00231C4F" w:rsidRDefault="00564223" w:rsidP="00564223">
      <w:pPr>
        <w:pStyle w:val="Heading2"/>
        <w:spacing w:before="0" w:after="0"/>
        <w:rPr>
          <w:i/>
          <w:color w:val="8DB3E2" w:themeColor="text2" w:themeTint="66"/>
        </w:rPr>
      </w:pPr>
      <w:bookmarkStart w:id="7" w:name="_Toc420937959"/>
      <w:r>
        <w:rPr>
          <w:i/>
          <w:color w:val="8DB3E2" w:themeColor="text2" w:themeTint="66"/>
        </w:rPr>
        <w:t>Individuals earning less than $450 a month</w:t>
      </w:r>
      <w:bookmarkEnd w:id="7"/>
    </w:p>
    <w:p w14:paraId="3A070AB4" w14:textId="77777777" w:rsidR="00564223" w:rsidRDefault="00564223" w:rsidP="00564223">
      <w:pPr>
        <w:rPr>
          <w:rFonts w:cs="Arial"/>
          <w:szCs w:val="24"/>
        </w:rPr>
      </w:pPr>
    </w:p>
    <w:p w14:paraId="3B326366" w14:textId="77777777" w:rsidR="00564223" w:rsidRDefault="00E87012" w:rsidP="00564223">
      <w:pPr>
        <w:rPr>
          <w:rFonts w:cs="Arial"/>
          <w:szCs w:val="24"/>
        </w:rPr>
      </w:pPr>
      <w:r>
        <w:rPr>
          <w:rFonts w:cs="Arial"/>
          <w:szCs w:val="24"/>
        </w:rPr>
        <w:t xml:space="preserve">The current superannuation legislation does not require employees who receive less than $450 a month to receive Superannuation Guarantee (SG) payments. </w:t>
      </w:r>
    </w:p>
    <w:p w14:paraId="171C1FE4" w14:textId="77777777" w:rsidR="00E87012" w:rsidRDefault="00E87012" w:rsidP="00564223">
      <w:pPr>
        <w:rPr>
          <w:rFonts w:cs="Arial"/>
          <w:szCs w:val="24"/>
        </w:rPr>
      </w:pPr>
    </w:p>
    <w:p w14:paraId="2D002D85" w14:textId="77777777" w:rsidR="00E87012" w:rsidRDefault="003C3ECF" w:rsidP="00564223">
      <w:pPr>
        <w:rPr>
          <w:rFonts w:cs="Arial"/>
          <w:szCs w:val="24"/>
        </w:rPr>
      </w:pPr>
      <w:r>
        <w:rPr>
          <w:rFonts w:cs="Arial"/>
          <w:szCs w:val="24"/>
        </w:rPr>
        <w:lastRenderedPageBreak/>
        <w:t>This legislation impacts many part-time and casual workers</w:t>
      </w:r>
      <w:r w:rsidR="000D29E1">
        <w:rPr>
          <w:rFonts w:cs="Arial"/>
          <w:szCs w:val="24"/>
        </w:rPr>
        <w:t xml:space="preserve">, </w:t>
      </w:r>
      <w:r>
        <w:rPr>
          <w:rFonts w:cs="Arial"/>
          <w:szCs w:val="24"/>
        </w:rPr>
        <w:t>who are predominately women</w:t>
      </w:r>
      <w:r>
        <w:rPr>
          <w:rStyle w:val="FootnoteReference"/>
          <w:rFonts w:cs="Arial"/>
          <w:szCs w:val="24"/>
        </w:rPr>
        <w:footnoteReference w:id="8"/>
      </w:r>
      <w:r>
        <w:rPr>
          <w:rFonts w:cs="Arial"/>
          <w:szCs w:val="24"/>
        </w:rPr>
        <w:t>. There are many employees who work in multiple jobs but do not earn $450 per month in an individual job so do not receive the benefit of compulsory superannuation contributions.</w:t>
      </w:r>
    </w:p>
    <w:p w14:paraId="7ADF09ED" w14:textId="77777777" w:rsidR="000D29E1" w:rsidRDefault="000D29E1" w:rsidP="00564223">
      <w:pPr>
        <w:rPr>
          <w:rFonts w:cs="Arial"/>
          <w:szCs w:val="24"/>
        </w:rPr>
      </w:pPr>
    </w:p>
    <w:p w14:paraId="598CB54B" w14:textId="77777777" w:rsidR="000D29E1" w:rsidRDefault="002B3DCB" w:rsidP="00564223">
      <w:pPr>
        <w:rPr>
          <w:rFonts w:cs="Arial"/>
          <w:szCs w:val="24"/>
        </w:rPr>
      </w:pPr>
      <w:r>
        <w:rPr>
          <w:rFonts w:cs="Arial"/>
          <w:szCs w:val="24"/>
        </w:rPr>
        <w:t>In effect these workers are receiving remuneration which is 9.5% less than employees who are doing identical or similar work but who are being paid more than $450 a month by their employer.</w:t>
      </w:r>
      <w:r w:rsidR="00165A32">
        <w:rPr>
          <w:rFonts w:cs="Arial"/>
          <w:szCs w:val="24"/>
        </w:rPr>
        <w:t xml:space="preserve"> This measure only widens Australia’s retirement savings gap.</w:t>
      </w:r>
      <w:r>
        <w:rPr>
          <w:rFonts w:cs="Arial"/>
          <w:szCs w:val="24"/>
        </w:rPr>
        <w:t xml:space="preserve"> </w:t>
      </w:r>
    </w:p>
    <w:p w14:paraId="0613E32E" w14:textId="77777777" w:rsidR="002B3DCB" w:rsidRDefault="002B3DCB" w:rsidP="00564223">
      <w:pPr>
        <w:rPr>
          <w:rFonts w:cs="Arial"/>
          <w:szCs w:val="24"/>
        </w:rPr>
      </w:pPr>
    </w:p>
    <w:p w14:paraId="43FF0286" w14:textId="77777777" w:rsidR="002B3DCB" w:rsidRDefault="002B3DCB" w:rsidP="00564223">
      <w:pPr>
        <w:rPr>
          <w:rFonts w:cs="Arial"/>
          <w:szCs w:val="24"/>
        </w:rPr>
      </w:pPr>
      <w:r>
        <w:rPr>
          <w:rFonts w:cs="Arial"/>
          <w:szCs w:val="24"/>
        </w:rPr>
        <w:t>The ASU</w:t>
      </w:r>
      <w:r w:rsidR="005924FA">
        <w:rPr>
          <w:rFonts w:cs="Arial"/>
          <w:szCs w:val="24"/>
        </w:rPr>
        <w:t xml:space="preserve"> believes if you work, then you should be entitled to superannuation no matter your earnings threshold. We support</w:t>
      </w:r>
      <w:r>
        <w:rPr>
          <w:rFonts w:cs="Arial"/>
          <w:szCs w:val="24"/>
        </w:rPr>
        <w:t xml:space="preserve"> the removal of the $450 monthly income threshold for exemptions on compulsory superannuation contributions</w:t>
      </w:r>
      <w:r w:rsidR="00073576">
        <w:rPr>
          <w:rFonts w:cs="Arial"/>
          <w:szCs w:val="24"/>
        </w:rPr>
        <w:t xml:space="preserve"> as this should in the long term result in improved retirement outcomes</w:t>
      </w:r>
      <w:r>
        <w:rPr>
          <w:rFonts w:cs="Arial"/>
          <w:szCs w:val="24"/>
        </w:rPr>
        <w:t>.</w:t>
      </w:r>
    </w:p>
    <w:p w14:paraId="2910ABF8" w14:textId="77777777" w:rsidR="003C3ECF" w:rsidRDefault="003C3ECF" w:rsidP="00564223">
      <w:pPr>
        <w:rPr>
          <w:rFonts w:cs="Arial"/>
          <w:szCs w:val="24"/>
        </w:rPr>
      </w:pPr>
    </w:p>
    <w:p w14:paraId="7FA20209" w14:textId="77777777" w:rsidR="00165A32" w:rsidRDefault="00165A32" w:rsidP="00165A32">
      <w:pPr>
        <w:pStyle w:val="Heading2"/>
        <w:spacing w:before="0" w:after="0"/>
        <w:rPr>
          <w:i/>
          <w:color w:val="8DB3E2" w:themeColor="text2" w:themeTint="66"/>
        </w:rPr>
      </w:pPr>
    </w:p>
    <w:p w14:paraId="05351546" w14:textId="77777777" w:rsidR="00165A32" w:rsidRPr="00231C4F" w:rsidRDefault="00165A32" w:rsidP="00165A32">
      <w:pPr>
        <w:pStyle w:val="Heading2"/>
        <w:spacing w:before="0" w:after="0"/>
        <w:rPr>
          <w:i/>
          <w:color w:val="8DB3E2" w:themeColor="text2" w:themeTint="66"/>
        </w:rPr>
      </w:pPr>
      <w:bookmarkStart w:id="8" w:name="_Toc420937960"/>
      <w:r>
        <w:rPr>
          <w:i/>
          <w:color w:val="8DB3E2" w:themeColor="text2" w:themeTint="66"/>
        </w:rPr>
        <w:t>Low Income Superannuation Contribution</w:t>
      </w:r>
      <w:bookmarkEnd w:id="8"/>
    </w:p>
    <w:p w14:paraId="607DD799" w14:textId="77777777" w:rsidR="003C3ECF" w:rsidRDefault="003C3ECF" w:rsidP="00564223">
      <w:pPr>
        <w:rPr>
          <w:rFonts w:cs="Arial"/>
          <w:szCs w:val="24"/>
        </w:rPr>
      </w:pPr>
    </w:p>
    <w:p w14:paraId="56C4F920" w14:textId="77777777" w:rsidR="00165A32" w:rsidRDefault="00165A32" w:rsidP="00564223">
      <w:pPr>
        <w:rPr>
          <w:rFonts w:cs="Arial"/>
          <w:szCs w:val="24"/>
        </w:rPr>
      </w:pPr>
      <w:r>
        <w:rPr>
          <w:rFonts w:cs="Arial"/>
          <w:szCs w:val="24"/>
        </w:rPr>
        <w:t xml:space="preserve">The Low Income Superannuation Contribution (LISC) </w:t>
      </w:r>
      <w:r w:rsidR="007D1658">
        <w:rPr>
          <w:rFonts w:cs="Arial"/>
          <w:szCs w:val="24"/>
        </w:rPr>
        <w:t>is a Government superannuation payment of up to $500 to help low-income earners save for retirement and helps to rectify the glaring inequity by ensuring those earning $37,000 or less are not financially worse off because of the compulsory superannuation system.</w:t>
      </w:r>
    </w:p>
    <w:p w14:paraId="5D9613B8" w14:textId="77777777" w:rsidR="00C633CA" w:rsidRDefault="00C633CA" w:rsidP="00564223">
      <w:pPr>
        <w:rPr>
          <w:rFonts w:cs="Arial"/>
          <w:szCs w:val="24"/>
        </w:rPr>
      </w:pPr>
    </w:p>
    <w:p w14:paraId="617F648A" w14:textId="77777777" w:rsidR="00C633CA" w:rsidRDefault="00C633CA" w:rsidP="00564223">
      <w:pPr>
        <w:rPr>
          <w:rFonts w:cs="Arial"/>
          <w:szCs w:val="24"/>
        </w:rPr>
      </w:pPr>
      <w:r>
        <w:rPr>
          <w:rFonts w:cs="Arial"/>
          <w:szCs w:val="24"/>
        </w:rPr>
        <w:t>The LISC rebate was introduced to make superannuation tax concessions more equitable. Without LISC the lowest paid 3.6 million working Australians will receive no tax break on their compulsory superannuation contributions, whilst the highest-paid workers will continue to receive a tax break of 30 per cent</w:t>
      </w:r>
      <w:r>
        <w:rPr>
          <w:rStyle w:val="FootnoteReference"/>
          <w:rFonts w:cs="Arial"/>
          <w:szCs w:val="24"/>
        </w:rPr>
        <w:footnoteReference w:id="9"/>
      </w:r>
      <w:r>
        <w:rPr>
          <w:rFonts w:cs="Arial"/>
          <w:szCs w:val="24"/>
        </w:rPr>
        <w:t>.</w:t>
      </w:r>
    </w:p>
    <w:p w14:paraId="6F40F525" w14:textId="77777777" w:rsidR="007D1658" w:rsidRDefault="007D1658" w:rsidP="00564223">
      <w:pPr>
        <w:rPr>
          <w:rFonts w:cs="Arial"/>
          <w:szCs w:val="24"/>
        </w:rPr>
      </w:pPr>
    </w:p>
    <w:p w14:paraId="2A0985AD" w14:textId="77777777" w:rsidR="007D1658" w:rsidRDefault="007D1658" w:rsidP="00564223">
      <w:pPr>
        <w:rPr>
          <w:rFonts w:cs="Arial"/>
          <w:szCs w:val="24"/>
        </w:rPr>
      </w:pPr>
      <w:r>
        <w:rPr>
          <w:rFonts w:cs="Arial"/>
          <w:szCs w:val="24"/>
        </w:rPr>
        <w:t xml:space="preserve">The ASU condemns the government’s planned abolition of the LISC </w:t>
      </w:r>
      <w:r w:rsidR="0059549D">
        <w:rPr>
          <w:rFonts w:cs="Arial"/>
          <w:szCs w:val="24"/>
        </w:rPr>
        <w:t>rebate. This contribution is an important factor in boosting retirement savings of many low-income earners.</w:t>
      </w:r>
      <w:r w:rsidR="00505FD4">
        <w:rPr>
          <w:rFonts w:cs="Arial"/>
          <w:szCs w:val="24"/>
        </w:rPr>
        <w:t xml:space="preserve"> Over time the removal of the LISC will have a large impact on people with low income, who could be up to $27,000 worse off by the time they retire</w:t>
      </w:r>
      <w:r w:rsidR="00505FD4">
        <w:rPr>
          <w:rStyle w:val="FootnoteReference"/>
          <w:rFonts w:cs="Arial"/>
          <w:szCs w:val="24"/>
        </w:rPr>
        <w:footnoteReference w:id="10"/>
      </w:r>
      <w:r w:rsidR="00505FD4">
        <w:rPr>
          <w:rFonts w:cs="Arial"/>
          <w:szCs w:val="24"/>
        </w:rPr>
        <w:t xml:space="preserve">. </w:t>
      </w:r>
    </w:p>
    <w:p w14:paraId="4A5A13A4" w14:textId="77777777" w:rsidR="00505FD4" w:rsidRDefault="00505FD4" w:rsidP="00564223">
      <w:pPr>
        <w:rPr>
          <w:rFonts w:cs="Arial"/>
          <w:szCs w:val="24"/>
        </w:rPr>
      </w:pPr>
    </w:p>
    <w:p w14:paraId="7CB05397" w14:textId="77777777" w:rsidR="00505FD4" w:rsidRDefault="00505FD4" w:rsidP="00564223">
      <w:pPr>
        <w:rPr>
          <w:rFonts w:cs="Arial"/>
          <w:szCs w:val="24"/>
        </w:rPr>
      </w:pPr>
      <w:r>
        <w:rPr>
          <w:rFonts w:cs="Arial"/>
          <w:szCs w:val="24"/>
        </w:rPr>
        <w:t>We call on the Government to review the planned abolition of the LISC rebate and to ensure the way tax is treated in super is equitable and fair for all Australians.</w:t>
      </w:r>
    </w:p>
    <w:p w14:paraId="1383BFF8" w14:textId="77777777" w:rsidR="00A661E4" w:rsidRDefault="00A661E4" w:rsidP="0090768C">
      <w:pPr>
        <w:rPr>
          <w:rFonts w:cs="Arial"/>
          <w:szCs w:val="24"/>
        </w:rPr>
      </w:pPr>
    </w:p>
    <w:p w14:paraId="4068472A" w14:textId="77777777" w:rsidR="00CF51FB" w:rsidRPr="0004149C" w:rsidRDefault="004177E0" w:rsidP="00CF51FB">
      <w:pPr>
        <w:pStyle w:val="Heading1"/>
        <w:rPr>
          <w:color w:val="4F81BD" w:themeColor="accent1"/>
          <w:sz w:val="40"/>
        </w:rPr>
      </w:pPr>
      <w:bookmarkStart w:id="9" w:name="_Toc420937961"/>
      <w:r>
        <w:rPr>
          <w:rFonts w:eastAsia="Times New Roman"/>
          <w:color w:val="4F81BD" w:themeColor="accent1"/>
          <w:lang w:eastAsia="en-AU"/>
        </w:rPr>
        <w:t>Negative gearing</w:t>
      </w:r>
      <w:r w:rsidR="000516DA">
        <w:rPr>
          <w:rFonts w:eastAsia="Times New Roman"/>
          <w:color w:val="4F81BD" w:themeColor="accent1"/>
          <w:lang w:eastAsia="en-AU"/>
        </w:rPr>
        <w:t xml:space="preserve"> and capital gains tax</w:t>
      </w:r>
      <w:bookmarkEnd w:id="9"/>
    </w:p>
    <w:p w14:paraId="7B7EE754" w14:textId="77777777" w:rsidR="00CF51FB" w:rsidRDefault="00CF51FB" w:rsidP="00CF51FB">
      <w:pPr>
        <w:rPr>
          <w:rFonts w:cs="Arial"/>
          <w:szCs w:val="24"/>
        </w:rPr>
      </w:pPr>
    </w:p>
    <w:p w14:paraId="4E7D6FE2" w14:textId="77777777" w:rsidR="000726C8" w:rsidRDefault="000726C8" w:rsidP="00CF51FB">
      <w:pPr>
        <w:rPr>
          <w:rFonts w:ascii="TheSans-B4SemiLight" w:hAnsi="TheSans-B4SemiLight" w:cs="TheSans-B4SemiLight"/>
          <w:sz w:val="24"/>
          <w:szCs w:val="24"/>
        </w:rPr>
      </w:pPr>
      <w:r>
        <w:rPr>
          <w:rFonts w:cs="Arial"/>
          <w:szCs w:val="24"/>
        </w:rPr>
        <w:t>Negative gearing has been around for many years</w:t>
      </w:r>
      <w:r w:rsidR="000516DA">
        <w:rPr>
          <w:rFonts w:cs="Arial"/>
          <w:szCs w:val="24"/>
        </w:rPr>
        <w:t xml:space="preserve"> and in its most simplistic form allows investors to deduct their losses against their personal taxable income. In recent years negative gearing</w:t>
      </w:r>
      <w:r w:rsidR="00480EBB">
        <w:rPr>
          <w:rFonts w:cs="Arial"/>
          <w:szCs w:val="24"/>
        </w:rPr>
        <w:t>, the concessional taxation of capital gains and how land is presently taxed</w:t>
      </w:r>
      <w:r w:rsidR="000516DA">
        <w:rPr>
          <w:rFonts w:cs="Arial"/>
          <w:szCs w:val="24"/>
        </w:rPr>
        <w:t xml:space="preserve"> </w:t>
      </w:r>
      <w:r w:rsidR="00480EBB">
        <w:rPr>
          <w:rFonts w:cs="Arial"/>
          <w:szCs w:val="24"/>
        </w:rPr>
        <w:t>have all contributed to</w:t>
      </w:r>
      <w:r w:rsidR="00B02D00">
        <w:rPr>
          <w:rFonts w:cs="Arial"/>
          <w:szCs w:val="24"/>
        </w:rPr>
        <w:t xml:space="preserve"> </w:t>
      </w:r>
      <w:r w:rsidR="000516DA">
        <w:rPr>
          <w:rFonts w:cs="Arial"/>
          <w:szCs w:val="24"/>
        </w:rPr>
        <w:t xml:space="preserve">driving up housing affordability.    </w:t>
      </w:r>
    </w:p>
    <w:p w14:paraId="3D3A205F" w14:textId="77777777" w:rsidR="000726C8" w:rsidRDefault="000726C8" w:rsidP="00CF51FB">
      <w:pPr>
        <w:rPr>
          <w:rFonts w:ascii="TheSans-B4SemiLight" w:hAnsi="TheSans-B4SemiLight" w:cs="TheSans-B4SemiLight"/>
          <w:sz w:val="24"/>
          <w:szCs w:val="24"/>
        </w:rPr>
      </w:pPr>
    </w:p>
    <w:p w14:paraId="79F8AC3B" w14:textId="77777777" w:rsidR="00C34AFD" w:rsidRDefault="00C34AFD" w:rsidP="00C34AFD">
      <w:r>
        <w:t>In the decade to 2012, average house prices increased by 92 per cent. Those for flats rose by 40 per cent Home ownership rates are falling among younger workers and families. There is a national shortage of over 500,000 affordable properties for low income renters</w:t>
      </w:r>
      <w:r>
        <w:rPr>
          <w:rStyle w:val="FootnoteReference"/>
        </w:rPr>
        <w:footnoteReference w:id="11"/>
      </w:r>
      <w:r>
        <w:t xml:space="preserve">. </w:t>
      </w:r>
    </w:p>
    <w:p w14:paraId="53F45DD3" w14:textId="77777777" w:rsidR="00241506" w:rsidRDefault="00241506" w:rsidP="00C34AFD"/>
    <w:p w14:paraId="60C0545F" w14:textId="77777777" w:rsidR="00480EBB" w:rsidRDefault="000577D2" w:rsidP="00C34AFD">
      <w:r>
        <w:t xml:space="preserve">Anglicare’s </w:t>
      </w:r>
      <w:r w:rsidR="001C387C">
        <w:t xml:space="preserve">2015 </w:t>
      </w:r>
      <w:r>
        <w:t>housing affordability snapshot</w:t>
      </w:r>
      <w:r>
        <w:rPr>
          <w:rStyle w:val="FootnoteReference"/>
        </w:rPr>
        <w:footnoteReference w:id="12"/>
      </w:r>
      <w:r w:rsidR="00930EAE">
        <w:t xml:space="preserve"> </w:t>
      </w:r>
      <w:r w:rsidR="005C5BEB">
        <w:t>shows</w:t>
      </w:r>
      <w:r w:rsidR="00930EAE">
        <w:t xml:space="preserve"> skyro</w:t>
      </w:r>
      <w:r w:rsidR="005C5BEB">
        <w:t xml:space="preserve">cketing rents are squeezing low </w:t>
      </w:r>
      <w:r w:rsidR="00930EAE">
        <w:t>income earners out of the market. The report highlights the scarcity of affordable homes for people on the minimum wage and welfare recipients</w:t>
      </w:r>
      <w:r w:rsidR="00917E6F">
        <w:t xml:space="preserve"> with calls for a review of housing taxes and concessions</w:t>
      </w:r>
      <w:r w:rsidR="005C5BEB">
        <w:t>,</w:t>
      </w:r>
      <w:r w:rsidR="00917E6F">
        <w:t xml:space="preserve"> including negative gearing</w:t>
      </w:r>
      <w:r w:rsidR="00930EAE">
        <w:t xml:space="preserve">. </w:t>
      </w:r>
    </w:p>
    <w:p w14:paraId="4D71AFDB" w14:textId="77777777" w:rsidR="000577D2" w:rsidRDefault="000577D2" w:rsidP="00C34AFD"/>
    <w:p w14:paraId="1D743B41" w14:textId="77777777" w:rsidR="003D58A3" w:rsidRDefault="00506192" w:rsidP="00C34AFD">
      <w:r>
        <w:t>Negative gearing alone is not the only issue. Together with capital gains tax it means investors can buy and run an investment property at a loss and claim that loss off their taxable income, then the sell the property later for a profit and pay only half the tax on that profit than on your other income.</w:t>
      </w:r>
    </w:p>
    <w:p w14:paraId="0F11E629" w14:textId="77777777" w:rsidR="00B66D2F" w:rsidRDefault="00B66D2F" w:rsidP="00C34AFD"/>
    <w:p w14:paraId="3CB7798D" w14:textId="77777777" w:rsidR="00B66D2F" w:rsidRDefault="005C5BEB" w:rsidP="00C34AFD">
      <w:r>
        <w:lastRenderedPageBreak/>
        <w:t xml:space="preserve">The benefits of negative gearing and the capital gains tax discount overwhelmingly flow to Australia’s highest income earners. </w:t>
      </w:r>
      <w:r w:rsidR="00365E7A">
        <w:t>A recent ACOSS report from April 2015</w:t>
      </w:r>
      <w:r w:rsidR="00264251">
        <w:rPr>
          <w:rStyle w:val="FootnoteReference"/>
        </w:rPr>
        <w:footnoteReference w:id="13"/>
      </w:r>
      <w:r w:rsidR="00365E7A">
        <w:t xml:space="preserve"> </w:t>
      </w:r>
      <w:r w:rsidR="00264251">
        <w:t xml:space="preserve">said that over </w:t>
      </w:r>
      <w:r w:rsidR="00022BE2">
        <w:t xml:space="preserve">half of the benefit of negative </w:t>
      </w:r>
      <w:r w:rsidR="00264251">
        <w:t>gearing deductions go to the top 10 per cent of personal taxpayers, earning more than $100,000 a year.</w:t>
      </w:r>
      <w:r w:rsidR="009A7DF7">
        <w:t xml:space="preserve"> The report also pointed out that over 90% of investor borrowing is for existing rental properties (not new ones), so in effect investors are bidding up home prices without adding much to the supply of housing.</w:t>
      </w:r>
    </w:p>
    <w:p w14:paraId="65BEFB13" w14:textId="77777777" w:rsidR="000C2375" w:rsidRDefault="000C2375" w:rsidP="00C34AFD"/>
    <w:p w14:paraId="6AB2F479" w14:textId="77777777" w:rsidR="005C5BEB" w:rsidRDefault="005C5BEB" w:rsidP="00022BE2">
      <w:r>
        <w:t>The ASU agrees with the ACTU’s Congress policy</w:t>
      </w:r>
      <w:r w:rsidR="00B62E28">
        <w:rPr>
          <w:rStyle w:val="FootnoteReference"/>
        </w:rPr>
        <w:footnoteReference w:id="14"/>
      </w:r>
      <w:r>
        <w:t xml:space="preserve"> to adopt the following measures:</w:t>
      </w:r>
    </w:p>
    <w:p w14:paraId="6E59A75C" w14:textId="77777777" w:rsidR="005C5BEB" w:rsidRDefault="005C5BEB" w:rsidP="005C5BEB"/>
    <w:p w14:paraId="007679B9" w14:textId="77777777" w:rsidR="005C5BEB" w:rsidRDefault="005C5BEB" w:rsidP="005C5BEB">
      <w:pPr>
        <w:ind w:left="709" w:hanging="283"/>
      </w:pPr>
      <w:r>
        <w:t xml:space="preserve">a) </w:t>
      </w:r>
      <w:r>
        <w:tab/>
        <w:t>Reform negative gearing. Tax deductions associated with an investment property should only be deductable from income received from that property. This new rule should be applied to new investments from a specified future date and to existing investments when they are sold after that date;</w:t>
      </w:r>
    </w:p>
    <w:p w14:paraId="5C286714" w14:textId="77777777" w:rsidR="005C5BEB" w:rsidRDefault="005C5BEB" w:rsidP="005C5BEB">
      <w:pPr>
        <w:ind w:left="709" w:hanging="283"/>
      </w:pPr>
    </w:p>
    <w:p w14:paraId="15073EF0" w14:textId="77777777" w:rsidR="005C5BEB" w:rsidRDefault="005C5BEB" w:rsidP="005C5BEB">
      <w:pPr>
        <w:ind w:left="709" w:hanging="283"/>
      </w:pPr>
      <w:r>
        <w:t xml:space="preserve">b) </w:t>
      </w:r>
      <w:r>
        <w:tab/>
        <w:t>Increase taxation of capital gains to generate additional revenues for government while reducing incentives for speculative investment in residential property; and</w:t>
      </w:r>
    </w:p>
    <w:p w14:paraId="520645DE" w14:textId="77777777" w:rsidR="005C5BEB" w:rsidRDefault="005C5BEB" w:rsidP="005C5BEB">
      <w:pPr>
        <w:ind w:left="709" w:hanging="283"/>
      </w:pPr>
    </w:p>
    <w:p w14:paraId="55B336D4" w14:textId="77777777" w:rsidR="005C5BEB" w:rsidRDefault="005C5BEB" w:rsidP="005C5BEB">
      <w:pPr>
        <w:ind w:left="709" w:hanging="283"/>
      </w:pPr>
      <w:r>
        <w:t xml:space="preserve">c) </w:t>
      </w:r>
      <w:r>
        <w:tab/>
        <w:t>Replace stamp duties with a broad-based annual land tax that will dampen house price inflation, stimulate more building of housing for rental purposes, and incentivis</w:t>
      </w:r>
      <w:r w:rsidR="00B62E28">
        <w:t>e the development of idle land.</w:t>
      </w:r>
    </w:p>
    <w:p w14:paraId="574B5368" w14:textId="77777777" w:rsidR="005C5BEB" w:rsidRDefault="005C5BEB" w:rsidP="00C34AFD"/>
    <w:p w14:paraId="7FCBA84D" w14:textId="77777777" w:rsidR="00506192" w:rsidRDefault="00506192" w:rsidP="00C34AFD"/>
    <w:p w14:paraId="430484EA" w14:textId="77777777" w:rsidR="00CF51FB" w:rsidRPr="0004149C" w:rsidRDefault="00CF51FB" w:rsidP="00CF51FB">
      <w:pPr>
        <w:pStyle w:val="Heading1"/>
        <w:rPr>
          <w:color w:val="4F81BD" w:themeColor="accent1"/>
          <w:sz w:val="40"/>
        </w:rPr>
      </w:pPr>
      <w:bookmarkStart w:id="10" w:name="_Toc420937962"/>
      <w:r>
        <w:rPr>
          <w:rFonts w:eastAsia="Times New Roman"/>
          <w:color w:val="4F81BD" w:themeColor="accent1"/>
          <w:lang w:eastAsia="en-AU"/>
        </w:rPr>
        <w:t>Not-for-profit sector</w:t>
      </w:r>
      <w:bookmarkEnd w:id="10"/>
    </w:p>
    <w:p w14:paraId="1F6BD0EA" w14:textId="77777777" w:rsidR="008D48D1" w:rsidRDefault="008D48D1" w:rsidP="00CF51FB">
      <w:pPr>
        <w:rPr>
          <w:szCs w:val="20"/>
        </w:rPr>
      </w:pPr>
    </w:p>
    <w:p w14:paraId="063A5490" w14:textId="77777777" w:rsidR="00BC3F33" w:rsidRPr="002553F9" w:rsidRDefault="00BC3F33" w:rsidP="00BC3F33">
      <w:pPr>
        <w:pStyle w:val="Default"/>
        <w:rPr>
          <w:sz w:val="20"/>
          <w:szCs w:val="20"/>
        </w:rPr>
      </w:pPr>
      <w:r w:rsidRPr="002553F9">
        <w:rPr>
          <w:sz w:val="20"/>
          <w:szCs w:val="20"/>
        </w:rPr>
        <w:t>The ASU is the largest union of workers in the</w:t>
      </w:r>
      <w:r>
        <w:rPr>
          <w:sz w:val="20"/>
          <w:szCs w:val="20"/>
        </w:rPr>
        <w:t xml:space="preserve"> Social and Community </w:t>
      </w:r>
      <w:r w:rsidR="003512E6">
        <w:rPr>
          <w:sz w:val="20"/>
          <w:szCs w:val="20"/>
        </w:rPr>
        <w:t>Services (</w:t>
      </w:r>
      <w:r w:rsidR="003512E6" w:rsidRPr="002553F9">
        <w:rPr>
          <w:sz w:val="20"/>
          <w:szCs w:val="20"/>
        </w:rPr>
        <w:t>SACS</w:t>
      </w:r>
      <w:r>
        <w:rPr>
          <w:sz w:val="20"/>
          <w:szCs w:val="20"/>
        </w:rPr>
        <w:t>)</w:t>
      </w:r>
      <w:r w:rsidRPr="002553F9">
        <w:rPr>
          <w:sz w:val="20"/>
          <w:szCs w:val="20"/>
        </w:rPr>
        <w:t xml:space="preserve"> sector</w:t>
      </w:r>
      <w:r>
        <w:rPr>
          <w:sz w:val="20"/>
          <w:szCs w:val="20"/>
        </w:rPr>
        <w:t xml:space="preserve"> with approximately 70% of our SACS membership being female.</w:t>
      </w:r>
      <w:r w:rsidRPr="002553F9">
        <w:rPr>
          <w:sz w:val="20"/>
          <w:szCs w:val="20"/>
        </w:rPr>
        <w:t xml:space="preserve"> SACS members of the ASU work in services such as: youth refuges, women's refuges, family support services, disability services, community legal centres, employment and training services, employment services like Job Futures, aboriginal organisations, community or neighbourhood centres, family day care centres, community transport services, home and community care services, environmental organisations, aged pensioners and superannuants associating community sector peak bodies, migrant or ethnic services and aid agencies. </w:t>
      </w:r>
    </w:p>
    <w:p w14:paraId="06CACA98" w14:textId="77777777" w:rsidR="00BC3F33" w:rsidRDefault="00BC3F33" w:rsidP="00BC3F33">
      <w:pPr>
        <w:pStyle w:val="Default"/>
        <w:rPr>
          <w:sz w:val="20"/>
          <w:szCs w:val="20"/>
        </w:rPr>
      </w:pPr>
    </w:p>
    <w:p w14:paraId="2CCAD820" w14:textId="77777777" w:rsidR="00BC3F33" w:rsidRPr="002553F9" w:rsidRDefault="00BC3F33" w:rsidP="00BC3F33">
      <w:pPr>
        <w:pStyle w:val="Default"/>
        <w:rPr>
          <w:sz w:val="20"/>
          <w:szCs w:val="20"/>
        </w:rPr>
      </w:pPr>
      <w:r w:rsidRPr="002553F9">
        <w:rPr>
          <w:sz w:val="20"/>
          <w:szCs w:val="20"/>
        </w:rPr>
        <w:t xml:space="preserve">Large employers in the SACS industry include the Catholic Church (including St Vincent de Paul), Anglicare, The Smith Family, Mission Australia, Uniting Church, Relationships Australia, Max Employment Services, Amnesty International, Oxfam, ACF and Greenpeace. </w:t>
      </w:r>
    </w:p>
    <w:p w14:paraId="7CD21239" w14:textId="77777777" w:rsidR="00BC3F33" w:rsidRDefault="00BC3F33" w:rsidP="00BC3F33">
      <w:pPr>
        <w:pStyle w:val="Default"/>
        <w:rPr>
          <w:sz w:val="20"/>
          <w:szCs w:val="20"/>
        </w:rPr>
      </w:pPr>
    </w:p>
    <w:p w14:paraId="2212034E" w14:textId="77777777" w:rsidR="00BC3F33" w:rsidRDefault="00BC3F33" w:rsidP="00BC3F33">
      <w:pPr>
        <w:rPr>
          <w:color w:val="000000"/>
          <w:szCs w:val="20"/>
        </w:rPr>
      </w:pPr>
      <w:r w:rsidRPr="002553F9">
        <w:rPr>
          <w:szCs w:val="20"/>
        </w:rPr>
        <w:t>ASU members in the SACS industry work for both not-for-profit and for-profit providers, so we have a unique perspective of the operation of both models of service provision in this sector. That said, the majority of employers are not-for-profit organisations, some of which have PBI status and many who do not.</w:t>
      </w:r>
    </w:p>
    <w:p w14:paraId="28157EB6" w14:textId="77777777" w:rsidR="00BC3F33" w:rsidRDefault="00BC3F33" w:rsidP="002D6E2B">
      <w:pPr>
        <w:rPr>
          <w:color w:val="000000"/>
          <w:szCs w:val="20"/>
        </w:rPr>
      </w:pPr>
    </w:p>
    <w:p w14:paraId="5BAAC882" w14:textId="77777777" w:rsidR="002D6E2B" w:rsidRDefault="00B84452" w:rsidP="002D6E2B">
      <w:pPr>
        <w:rPr>
          <w:color w:val="000000"/>
          <w:szCs w:val="20"/>
        </w:rPr>
      </w:pPr>
      <w:r>
        <w:rPr>
          <w:color w:val="000000"/>
          <w:szCs w:val="20"/>
        </w:rPr>
        <w:t xml:space="preserve">The ASU supports </w:t>
      </w:r>
      <w:r w:rsidR="00297CD6">
        <w:rPr>
          <w:color w:val="000000"/>
          <w:szCs w:val="20"/>
        </w:rPr>
        <w:t xml:space="preserve">the current system of </w:t>
      </w:r>
      <w:r w:rsidR="002D6E2B">
        <w:rPr>
          <w:color w:val="000000"/>
          <w:szCs w:val="20"/>
        </w:rPr>
        <w:t>not-for-profit (</w:t>
      </w:r>
      <w:r w:rsidR="00297CD6">
        <w:rPr>
          <w:color w:val="000000"/>
          <w:szCs w:val="20"/>
        </w:rPr>
        <w:t>NFP</w:t>
      </w:r>
      <w:r w:rsidR="002D6E2B">
        <w:rPr>
          <w:color w:val="000000"/>
          <w:szCs w:val="20"/>
        </w:rPr>
        <w:t>)</w:t>
      </w:r>
      <w:r w:rsidR="00297CD6">
        <w:rPr>
          <w:color w:val="000000"/>
          <w:szCs w:val="20"/>
        </w:rPr>
        <w:t xml:space="preserve"> tax concessions</w:t>
      </w:r>
      <w:r w:rsidR="002D6E2B">
        <w:rPr>
          <w:color w:val="000000"/>
          <w:szCs w:val="20"/>
        </w:rPr>
        <w:t xml:space="preserve">. </w:t>
      </w:r>
      <w:r w:rsidR="00297CD6">
        <w:rPr>
          <w:color w:val="000000"/>
          <w:szCs w:val="20"/>
        </w:rPr>
        <w:t xml:space="preserve"> </w:t>
      </w:r>
      <w:r w:rsidR="002D6E2B">
        <w:rPr>
          <w:color w:val="000000"/>
          <w:szCs w:val="20"/>
        </w:rPr>
        <w:t xml:space="preserve">We are concerned that the Tax White paper refers to the NFP sector as having a “competitive advantage” and that an unintended consequence of tax concessional treatment can be problematic where NFP competes with for-profit providers. </w:t>
      </w:r>
    </w:p>
    <w:p w14:paraId="41DB0C80" w14:textId="77777777" w:rsidR="002D6E2B" w:rsidRDefault="002D6E2B" w:rsidP="002D6E2B">
      <w:pPr>
        <w:rPr>
          <w:color w:val="000000"/>
          <w:szCs w:val="20"/>
        </w:rPr>
      </w:pPr>
    </w:p>
    <w:p w14:paraId="0B7B6C36" w14:textId="77777777" w:rsidR="002D6E2B" w:rsidRDefault="002D6E2B" w:rsidP="002D6E2B">
      <w:pPr>
        <w:rPr>
          <w:color w:val="000000"/>
          <w:szCs w:val="20"/>
        </w:rPr>
      </w:pPr>
      <w:r>
        <w:rPr>
          <w:color w:val="000000"/>
          <w:szCs w:val="20"/>
        </w:rPr>
        <w:t>Changing the tax concessions of the NFP sector to shave off any perceived advantage has the potential to diminish the quality of services provided to the community and will have a detrimental effect on civil society.</w:t>
      </w:r>
    </w:p>
    <w:p w14:paraId="18F301B3" w14:textId="77777777" w:rsidR="00B84452" w:rsidRDefault="002D6E2B" w:rsidP="00CF51FB">
      <w:pPr>
        <w:rPr>
          <w:color w:val="000000"/>
          <w:szCs w:val="20"/>
        </w:rPr>
      </w:pPr>
      <w:r>
        <w:rPr>
          <w:color w:val="000000"/>
          <w:szCs w:val="20"/>
        </w:rPr>
        <w:t>A</w:t>
      </w:r>
      <w:r w:rsidR="00AF487C">
        <w:rPr>
          <w:color w:val="000000"/>
          <w:szCs w:val="20"/>
        </w:rPr>
        <w:t xml:space="preserve"> tax overhaul should not be designed </w:t>
      </w:r>
      <w:r w:rsidR="002E4DEB">
        <w:rPr>
          <w:color w:val="000000"/>
          <w:szCs w:val="20"/>
        </w:rPr>
        <w:t>to level the playing field for private sector expansion.</w:t>
      </w:r>
    </w:p>
    <w:p w14:paraId="3D94FEB4" w14:textId="77777777" w:rsidR="00D87B8C" w:rsidRDefault="00D87B8C" w:rsidP="00CF51FB">
      <w:pPr>
        <w:rPr>
          <w:color w:val="000000"/>
          <w:szCs w:val="20"/>
        </w:rPr>
      </w:pPr>
    </w:p>
    <w:p w14:paraId="17FC0E98" w14:textId="77777777" w:rsidR="00AF487C" w:rsidRDefault="00B249FF" w:rsidP="00CF51FB">
      <w:pPr>
        <w:rPr>
          <w:color w:val="000000"/>
          <w:szCs w:val="20"/>
        </w:rPr>
      </w:pPr>
      <w:r>
        <w:rPr>
          <w:color w:val="000000"/>
          <w:szCs w:val="20"/>
        </w:rPr>
        <w:t>All</w:t>
      </w:r>
      <w:r w:rsidR="00CE6741">
        <w:rPr>
          <w:color w:val="000000"/>
          <w:szCs w:val="20"/>
        </w:rPr>
        <w:t xml:space="preserve"> tax concessions should be fair and used in a way that provides the maximum social benefit by enabling the NFP sector to achieve their community and altruistic purposes</w:t>
      </w:r>
      <w:r w:rsidR="00CE6741">
        <w:rPr>
          <w:rStyle w:val="FootnoteReference"/>
          <w:color w:val="000000"/>
          <w:szCs w:val="20"/>
        </w:rPr>
        <w:footnoteReference w:id="15"/>
      </w:r>
      <w:r w:rsidR="00CE6741">
        <w:rPr>
          <w:color w:val="000000"/>
          <w:szCs w:val="20"/>
        </w:rPr>
        <w:t xml:space="preserve">. </w:t>
      </w:r>
    </w:p>
    <w:p w14:paraId="3BC89078" w14:textId="77777777" w:rsidR="00CE6741" w:rsidRDefault="00CE6741" w:rsidP="00CF51FB">
      <w:pPr>
        <w:rPr>
          <w:color w:val="000000"/>
          <w:szCs w:val="20"/>
        </w:rPr>
      </w:pPr>
    </w:p>
    <w:p w14:paraId="185B2EBA" w14:textId="77777777" w:rsidR="00B84452" w:rsidRDefault="00B84452" w:rsidP="00CF51FB">
      <w:pPr>
        <w:rPr>
          <w:rFonts w:ascii="TheSans-B4SemiLight" w:hAnsi="TheSans-B4SemiLight" w:cs="TheSans-B4SemiLight"/>
          <w:sz w:val="24"/>
          <w:szCs w:val="24"/>
        </w:rPr>
      </w:pPr>
    </w:p>
    <w:p w14:paraId="7D1C54F5" w14:textId="77777777" w:rsidR="006F4F80" w:rsidRDefault="006F4F80">
      <w:pPr>
        <w:spacing w:after="200" w:line="276" w:lineRule="auto"/>
        <w:rPr>
          <w:rFonts w:eastAsiaTheme="majorEastAsia" w:cstheme="majorBidi"/>
          <w:b/>
          <w:bCs/>
          <w:i/>
          <w:color w:val="8DB3E2" w:themeColor="text2" w:themeTint="66"/>
          <w:sz w:val="26"/>
          <w:szCs w:val="26"/>
        </w:rPr>
      </w:pPr>
      <w:r>
        <w:rPr>
          <w:i/>
          <w:color w:val="8DB3E2" w:themeColor="text2" w:themeTint="66"/>
        </w:rPr>
        <w:br w:type="page"/>
      </w:r>
    </w:p>
    <w:p w14:paraId="42F42E78" w14:textId="77777777" w:rsidR="00CF51FB" w:rsidRPr="00231C4F" w:rsidRDefault="009C1BC7" w:rsidP="00CF51FB">
      <w:pPr>
        <w:pStyle w:val="Heading2"/>
        <w:spacing w:before="0" w:after="0"/>
        <w:rPr>
          <w:i/>
          <w:color w:val="8DB3E2" w:themeColor="text2" w:themeTint="66"/>
        </w:rPr>
      </w:pPr>
      <w:bookmarkStart w:id="11" w:name="_Toc420937963"/>
      <w:r>
        <w:rPr>
          <w:i/>
          <w:color w:val="8DB3E2" w:themeColor="text2" w:themeTint="66"/>
        </w:rPr>
        <w:lastRenderedPageBreak/>
        <w:t>Fringe benefits tax concessions</w:t>
      </w:r>
      <w:r w:rsidR="00A5182F">
        <w:rPr>
          <w:i/>
          <w:color w:val="8DB3E2" w:themeColor="text2" w:themeTint="66"/>
        </w:rPr>
        <w:t xml:space="preserve"> &amp; salary packaging</w:t>
      </w:r>
      <w:bookmarkEnd w:id="11"/>
    </w:p>
    <w:p w14:paraId="2CA787FD" w14:textId="77777777" w:rsidR="00CF51FB" w:rsidRDefault="00CF51FB" w:rsidP="00CF51FB">
      <w:pPr>
        <w:rPr>
          <w:rFonts w:cs="Arial"/>
          <w:szCs w:val="24"/>
        </w:rPr>
      </w:pPr>
    </w:p>
    <w:p w14:paraId="3218B8F2" w14:textId="77777777" w:rsidR="005C585A" w:rsidRDefault="005C585A" w:rsidP="00CF51FB">
      <w:pPr>
        <w:rPr>
          <w:rFonts w:cs="Arial"/>
          <w:szCs w:val="24"/>
        </w:rPr>
      </w:pPr>
    </w:p>
    <w:p w14:paraId="797BF30D" w14:textId="77777777" w:rsidR="00C40F74" w:rsidRDefault="00C40F74" w:rsidP="00C40F74">
      <w:pPr>
        <w:pStyle w:val="Default"/>
        <w:rPr>
          <w:sz w:val="20"/>
          <w:szCs w:val="20"/>
        </w:rPr>
      </w:pPr>
      <w:r w:rsidRPr="00C40F74">
        <w:rPr>
          <w:sz w:val="20"/>
          <w:szCs w:val="20"/>
        </w:rPr>
        <w:t>The Tax White Paper asks whether the current tax arrangements for the not-for-profit sector are appropriate and in particular raises questions around the ongoing availability of Fringe Benefits Tax (FBT) concessions and other foregone tax revenue.</w:t>
      </w:r>
    </w:p>
    <w:p w14:paraId="23284371" w14:textId="77777777" w:rsidR="00C40F74" w:rsidRDefault="00C40F74" w:rsidP="00C40F74">
      <w:pPr>
        <w:pStyle w:val="Default"/>
        <w:rPr>
          <w:sz w:val="20"/>
          <w:szCs w:val="20"/>
        </w:rPr>
      </w:pPr>
    </w:p>
    <w:p w14:paraId="5AB01A58" w14:textId="77777777" w:rsidR="00C40F74" w:rsidRPr="00C40F74" w:rsidRDefault="00C40F74" w:rsidP="00C40F74">
      <w:pPr>
        <w:pStyle w:val="Default"/>
        <w:rPr>
          <w:sz w:val="20"/>
          <w:szCs w:val="20"/>
        </w:rPr>
      </w:pPr>
      <w:r w:rsidRPr="00C40F74">
        <w:rPr>
          <w:sz w:val="20"/>
          <w:szCs w:val="20"/>
        </w:rPr>
        <w:t xml:space="preserve">The ASU believes the current tax arrangements are appropriate. The current concessions recognise the critical role that NFP organisations play in civil society. </w:t>
      </w:r>
    </w:p>
    <w:p w14:paraId="30EF8912" w14:textId="77777777" w:rsidR="00C40F74" w:rsidRDefault="00C40F74" w:rsidP="00C40F74">
      <w:pPr>
        <w:pStyle w:val="Default"/>
        <w:rPr>
          <w:sz w:val="20"/>
          <w:szCs w:val="20"/>
        </w:rPr>
      </w:pPr>
    </w:p>
    <w:p w14:paraId="706A4EFA" w14:textId="77777777" w:rsidR="00266F84" w:rsidRDefault="00266F84" w:rsidP="00266F84">
      <w:pPr>
        <w:autoSpaceDE w:val="0"/>
        <w:autoSpaceDN w:val="0"/>
        <w:adjustRightInd w:val="0"/>
        <w:rPr>
          <w:rFonts w:cs="Arial"/>
          <w:szCs w:val="20"/>
        </w:rPr>
      </w:pPr>
      <w:r>
        <w:rPr>
          <w:szCs w:val="20"/>
        </w:rPr>
        <w:t>The 2013 BDO not-for-profit tax concession survey</w:t>
      </w:r>
      <w:r>
        <w:rPr>
          <w:rStyle w:val="FootnoteReference"/>
          <w:szCs w:val="20"/>
        </w:rPr>
        <w:footnoteReference w:id="16"/>
      </w:r>
      <w:r>
        <w:rPr>
          <w:szCs w:val="20"/>
        </w:rPr>
        <w:t xml:space="preserve"> found there was a resounding lack of confidence in the Government’s ability to effectively support the sector if key tax concessions were to be removed. With one participant commenting: </w:t>
      </w:r>
      <w:r w:rsidRPr="00447F6B">
        <w:rPr>
          <w:rFonts w:cs="Arial"/>
          <w:szCs w:val="20"/>
        </w:rPr>
        <w:t>“Tax concessions are a crucial aspect that enables our business to remain viable. Removal or negative modification w</w:t>
      </w:r>
      <w:r>
        <w:rPr>
          <w:rFonts w:cs="Arial"/>
          <w:szCs w:val="20"/>
        </w:rPr>
        <w:t>ill have an impact on our longer</w:t>
      </w:r>
      <w:r w:rsidRPr="00447F6B">
        <w:rPr>
          <w:rFonts w:cs="Arial"/>
          <w:szCs w:val="20"/>
        </w:rPr>
        <w:t xml:space="preserve"> term sustainability</w:t>
      </w:r>
      <w:r>
        <w:rPr>
          <w:rStyle w:val="FootnoteReference"/>
          <w:rFonts w:cs="Arial"/>
          <w:szCs w:val="20"/>
        </w:rPr>
        <w:footnoteReference w:id="17"/>
      </w:r>
      <w:r w:rsidRPr="00447F6B">
        <w:rPr>
          <w:rFonts w:cs="Arial"/>
          <w:szCs w:val="20"/>
        </w:rPr>
        <w:t>.”</w:t>
      </w:r>
    </w:p>
    <w:p w14:paraId="3964CC0D" w14:textId="77777777" w:rsidR="00266F84" w:rsidRDefault="00266F84" w:rsidP="00266F84">
      <w:pPr>
        <w:autoSpaceDE w:val="0"/>
        <w:autoSpaceDN w:val="0"/>
        <w:adjustRightInd w:val="0"/>
        <w:rPr>
          <w:rFonts w:cs="Arial"/>
          <w:szCs w:val="20"/>
        </w:rPr>
      </w:pPr>
    </w:p>
    <w:p w14:paraId="6AF4D288" w14:textId="77777777" w:rsidR="00266F84" w:rsidRDefault="003C58F1" w:rsidP="00266F84">
      <w:pPr>
        <w:autoSpaceDE w:val="0"/>
        <w:autoSpaceDN w:val="0"/>
        <w:adjustRightInd w:val="0"/>
        <w:rPr>
          <w:rFonts w:cs="Arial"/>
          <w:szCs w:val="20"/>
        </w:rPr>
      </w:pPr>
      <w:r>
        <w:rPr>
          <w:rFonts w:cs="Arial"/>
          <w:szCs w:val="20"/>
        </w:rPr>
        <w:t xml:space="preserve">Additionally </w:t>
      </w:r>
      <w:r w:rsidR="00266F84">
        <w:rPr>
          <w:rFonts w:cs="Arial"/>
          <w:szCs w:val="20"/>
        </w:rPr>
        <w:t>73.3% of all survey participants agreed FBT concessions are an effective means of attracting and retaining people with 91.8% believing FBT concessions should continue to be provided for</w:t>
      </w:r>
      <w:r w:rsidR="00266F84">
        <w:rPr>
          <w:rStyle w:val="FootnoteReference"/>
          <w:rFonts w:cs="Arial"/>
          <w:szCs w:val="20"/>
        </w:rPr>
        <w:footnoteReference w:id="18"/>
      </w:r>
      <w:r w:rsidR="00266F84">
        <w:rPr>
          <w:rFonts w:cs="Arial"/>
          <w:szCs w:val="20"/>
        </w:rPr>
        <w:t xml:space="preserve">. </w:t>
      </w:r>
    </w:p>
    <w:p w14:paraId="4D3D9401" w14:textId="77777777" w:rsidR="00266F84" w:rsidRDefault="00266F84" w:rsidP="00C40F74">
      <w:pPr>
        <w:pStyle w:val="Default"/>
        <w:rPr>
          <w:sz w:val="20"/>
          <w:szCs w:val="20"/>
        </w:rPr>
      </w:pPr>
    </w:p>
    <w:p w14:paraId="4E63DA15" w14:textId="77777777" w:rsidR="00C40F74" w:rsidRDefault="00266F84" w:rsidP="00C40F74">
      <w:pPr>
        <w:pStyle w:val="Default"/>
        <w:rPr>
          <w:sz w:val="20"/>
          <w:szCs w:val="20"/>
        </w:rPr>
      </w:pPr>
      <w:r>
        <w:rPr>
          <w:sz w:val="20"/>
          <w:szCs w:val="20"/>
        </w:rPr>
        <w:t>The ASU</w:t>
      </w:r>
      <w:r w:rsidR="00C40F74">
        <w:rPr>
          <w:sz w:val="20"/>
          <w:szCs w:val="20"/>
        </w:rPr>
        <w:t xml:space="preserve"> believe</w:t>
      </w:r>
      <w:r>
        <w:rPr>
          <w:sz w:val="20"/>
          <w:szCs w:val="20"/>
        </w:rPr>
        <w:t>s</w:t>
      </w:r>
      <w:r w:rsidR="00C40F74">
        <w:rPr>
          <w:sz w:val="20"/>
          <w:szCs w:val="20"/>
        </w:rPr>
        <w:t xml:space="preserve"> c</w:t>
      </w:r>
      <w:r w:rsidR="00C40F74" w:rsidRPr="002553F9">
        <w:rPr>
          <w:sz w:val="20"/>
          <w:szCs w:val="20"/>
        </w:rPr>
        <w:t xml:space="preserve">hanging the FBT </w:t>
      </w:r>
      <w:r w:rsidR="00C40F74">
        <w:rPr>
          <w:sz w:val="20"/>
          <w:szCs w:val="20"/>
        </w:rPr>
        <w:t>tax concessions</w:t>
      </w:r>
      <w:r w:rsidR="00C40F74" w:rsidRPr="002553F9">
        <w:rPr>
          <w:sz w:val="20"/>
          <w:szCs w:val="20"/>
        </w:rPr>
        <w:t xml:space="preserve"> for SACS organisations </w:t>
      </w:r>
      <w:r w:rsidR="00C40F74">
        <w:rPr>
          <w:sz w:val="20"/>
          <w:szCs w:val="20"/>
        </w:rPr>
        <w:t>will</w:t>
      </w:r>
      <w:r w:rsidR="00C40F74" w:rsidRPr="002553F9">
        <w:rPr>
          <w:sz w:val="20"/>
          <w:szCs w:val="20"/>
        </w:rPr>
        <w:t xml:space="preserve"> have significant ramifications on the take home salaries of the</w:t>
      </w:r>
      <w:r w:rsidR="00C40F74">
        <w:rPr>
          <w:sz w:val="20"/>
          <w:szCs w:val="20"/>
        </w:rPr>
        <w:t xml:space="preserve"> predominately female and</w:t>
      </w:r>
      <w:r w:rsidR="00C40F74" w:rsidRPr="002553F9">
        <w:rPr>
          <w:sz w:val="20"/>
          <w:szCs w:val="20"/>
        </w:rPr>
        <w:t xml:space="preserve"> generally low paid staff in the SACS sector. </w:t>
      </w:r>
      <w:r w:rsidR="00C40F74">
        <w:rPr>
          <w:sz w:val="20"/>
          <w:szCs w:val="20"/>
        </w:rPr>
        <w:t>One of the reasons why charities and other like groups are given FBT concessions is to allow them to compete against the private sector for quality employees.</w:t>
      </w:r>
    </w:p>
    <w:p w14:paraId="67B22ACC" w14:textId="77777777" w:rsidR="00C40F74" w:rsidRDefault="00C40F74" w:rsidP="00CF51FB">
      <w:pPr>
        <w:rPr>
          <w:highlight w:val="yellow"/>
        </w:rPr>
      </w:pPr>
    </w:p>
    <w:p w14:paraId="3920C5C7" w14:textId="77777777" w:rsidR="00DA6C3F" w:rsidRDefault="00146135" w:rsidP="004668B3">
      <w:pPr>
        <w:pStyle w:val="Default"/>
        <w:rPr>
          <w:sz w:val="20"/>
          <w:szCs w:val="20"/>
        </w:rPr>
      </w:pPr>
      <w:r>
        <w:rPr>
          <w:sz w:val="20"/>
          <w:szCs w:val="20"/>
        </w:rPr>
        <w:t xml:space="preserve">Many of </w:t>
      </w:r>
      <w:r w:rsidR="00195DE0">
        <w:rPr>
          <w:sz w:val="20"/>
          <w:szCs w:val="20"/>
        </w:rPr>
        <w:t xml:space="preserve">the ASU’s </w:t>
      </w:r>
      <w:r>
        <w:rPr>
          <w:sz w:val="20"/>
          <w:szCs w:val="20"/>
        </w:rPr>
        <w:t>members enjoy salary packaging benefits</w:t>
      </w:r>
      <w:r w:rsidR="00DA6C3F">
        <w:rPr>
          <w:sz w:val="20"/>
          <w:szCs w:val="20"/>
        </w:rPr>
        <w:t xml:space="preserve">. It is </w:t>
      </w:r>
      <w:r w:rsidR="00BD2C06">
        <w:rPr>
          <w:sz w:val="20"/>
          <w:szCs w:val="20"/>
        </w:rPr>
        <w:t>h</w:t>
      </w:r>
      <w:r w:rsidR="00DA6C3F">
        <w:rPr>
          <w:sz w:val="20"/>
          <w:szCs w:val="20"/>
        </w:rPr>
        <w:t>ighly valued and is recognised as a form of compensation for working and contributing in this very important sector. For many NFP organisations the funding received by Government is not sufficient to pay staff</w:t>
      </w:r>
      <w:r w:rsidR="0012717E">
        <w:rPr>
          <w:sz w:val="20"/>
          <w:szCs w:val="20"/>
        </w:rPr>
        <w:t xml:space="preserve"> the</w:t>
      </w:r>
      <w:r w:rsidR="00DA6C3F">
        <w:rPr>
          <w:sz w:val="20"/>
          <w:szCs w:val="20"/>
        </w:rPr>
        <w:t xml:space="preserve"> full market rates</w:t>
      </w:r>
      <w:r w:rsidR="0012717E">
        <w:rPr>
          <w:sz w:val="20"/>
          <w:szCs w:val="20"/>
        </w:rPr>
        <w:t xml:space="preserve"> they would receive for equivalent jobs in the private sector or government.</w:t>
      </w:r>
      <w:r w:rsidR="00DA6C3F">
        <w:rPr>
          <w:sz w:val="20"/>
          <w:szCs w:val="20"/>
        </w:rPr>
        <w:t xml:space="preserve"> </w:t>
      </w:r>
    </w:p>
    <w:p w14:paraId="39502BD3" w14:textId="77777777" w:rsidR="00CD320C" w:rsidRDefault="00CD320C" w:rsidP="004668B3">
      <w:pPr>
        <w:pStyle w:val="Default"/>
        <w:rPr>
          <w:sz w:val="20"/>
          <w:szCs w:val="20"/>
        </w:rPr>
      </w:pPr>
    </w:p>
    <w:p w14:paraId="53AE10E6" w14:textId="77777777" w:rsidR="00CD320C" w:rsidRDefault="00CD320C" w:rsidP="00CD320C">
      <w:pPr>
        <w:pStyle w:val="Default"/>
        <w:rPr>
          <w:sz w:val="20"/>
          <w:szCs w:val="20"/>
        </w:rPr>
      </w:pPr>
      <w:r w:rsidRPr="0063155E">
        <w:rPr>
          <w:sz w:val="20"/>
          <w:szCs w:val="20"/>
        </w:rPr>
        <w:t>In 2013, median weekly earnings of full time employees in Health Care and Social Assistance were lower than the all industries median ($1050 compared with $1152 for all industries)</w:t>
      </w:r>
      <w:r w:rsidR="00195DE0" w:rsidRPr="00195DE0">
        <w:rPr>
          <w:rStyle w:val="FootnoteReference"/>
          <w:sz w:val="20"/>
          <w:szCs w:val="20"/>
        </w:rPr>
        <w:t xml:space="preserve"> </w:t>
      </w:r>
      <w:r w:rsidR="00195DE0" w:rsidRPr="0063155E">
        <w:rPr>
          <w:rStyle w:val="FootnoteReference"/>
          <w:sz w:val="20"/>
          <w:szCs w:val="20"/>
        </w:rPr>
        <w:footnoteReference w:id="19"/>
      </w:r>
      <w:r w:rsidRPr="0063155E">
        <w:rPr>
          <w:sz w:val="20"/>
          <w:szCs w:val="20"/>
        </w:rPr>
        <w:t xml:space="preserve">. </w:t>
      </w:r>
      <w:r>
        <w:rPr>
          <w:sz w:val="20"/>
          <w:szCs w:val="20"/>
        </w:rPr>
        <w:t>Salary packaging is being used as a sensible, practical and efficient way of increasing the overall remuneration compensation.</w:t>
      </w:r>
    </w:p>
    <w:p w14:paraId="57CB19D3" w14:textId="77777777" w:rsidR="00875E23" w:rsidRDefault="00875E23" w:rsidP="004668B3">
      <w:pPr>
        <w:pStyle w:val="Default"/>
        <w:rPr>
          <w:sz w:val="20"/>
          <w:szCs w:val="20"/>
        </w:rPr>
      </w:pPr>
    </w:p>
    <w:p w14:paraId="25AA9E6D" w14:textId="77777777" w:rsidR="002E1B14" w:rsidRDefault="00E000E8" w:rsidP="0012717E">
      <w:pPr>
        <w:pStyle w:val="Default"/>
        <w:rPr>
          <w:sz w:val="20"/>
          <w:szCs w:val="20"/>
          <w:highlight w:val="yellow"/>
        </w:rPr>
      </w:pPr>
      <w:r w:rsidRPr="00E000E8">
        <w:rPr>
          <w:sz w:val="20"/>
          <w:szCs w:val="20"/>
        </w:rPr>
        <w:t>Employees in the NFP sector salary sacrifice significantly larger amounts of their earnings per week</w:t>
      </w:r>
      <w:r w:rsidRPr="00E000E8">
        <w:rPr>
          <w:rStyle w:val="FootnoteReference"/>
          <w:sz w:val="20"/>
          <w:szCs w:val="20"/>
        </w:rPr>
        <w:footnoteReference w:id="20"/>
      </w:r>
      <w:r w:rsidRPr="00E000E8">
        <w:rPr>
          <w:sz w:val="20"/>
          <w:szCs w:val="20"/>
        </w:rPr>
        <w:t>. For November 2012, full-time adults in this industry salary sacrifice on average $182.50 per week, more than double the average of the next highest industry. As a proportion of full-time adult total earnings, average weekly amounts of salary sacrifice was 14.0% in the Health care and social services industry</w:t>
      </w:r>
      <w:r w:rsidR="00226E54">
        <w:rPr>
          <w:sz w:val="20"/>
          <w:szCs w:val="20"/>
        </w:rPr>
        <w:t xml:space="preserve"> (NFP)</w:t>
      </w:r>
      <w:r w:rsidRPr="00E000E8">
        <w:rPr>
          <w:sz w:val="20"/>
          <w:szCs w:val="20"/>
        </w:rPr>
        <w:t xml:space="preserve">, compared with the all industries proportion of 3.2%. </w:t>
      </w:r>
      <w:r w:rsidR="003D4293">
        <w:rPr>
          <w:sz w:val="20"/>
          <w:szCs w:val="20"/>
        </w:rPr>
        <w:t>These statistics demonstrate the importance of tax concessions in the NFP sector.</w:t>
      </w:r>
    </w:p>
    <w:p w14:paraId="1D8C8F38" w14:textId="77777777" w:rsidR="002E1B14" w:rsidRDefault="002E1B14" w:rsidP="0012717E">
      <w:pPr>
        <w:pStyle w:val="Default"/>
        <w:rPr>
          <w:sz w:val="20"/>
          <w:szCs w:val="20"/>
          <w:highlight w:val="yellow"/>
        </w:rPr>
      </w:pPr>
    </w:p>
    <w:p w14:paraId="345F2618" w14:textId="77777777" w:rsidR="006F4F80" w:rsidRDefault="00226E54" w:rsidP="004668B3">
      <w:pPr>
        <w:pStyle w:val="Default"/>
        <w:rPr>
          <w:sz w:val="20"/>
          <w:szCs w:val="20"/>
        </w:rPr>
      </w:pPr>
      <w:r>
        <w:rPr>
          <w:sz w:val="20"/>
          <w:szCs w:val="20"/>
        </w:rPr>
        <w:t>W</w:t>
      </w:r>
      <w:r w:rsidR="007B0460">
        <w:rPr>
          <w:sz w:val="20"/>
          <w:szCs w:val="20"/>
        </w:rPr>
        <w:t xml:space="preserve">hilst there are many benefits that may be salary packaged, the overwhelming majority of employees elect to salary </w:t>
      </w:r>
      <w:r>
        <w:rPr>
          <w:sz w:val="20"/>
          <w:szCs w:val="20"/>
        </w:rPr>
        <w:t>sacrifice superannuation and</w:t>
      </w:r>
      <w:r w:rsidR="007B0460">
        <w:rPr>
          <w:sz w:val="20"/>
          <w:szCs w:val="20"/>
        </w:rPr>
        <w:t xml:space="preserve"> expense benefits. These expenses are typically mor</w:t>
      </w:r>
      <w:r w:rsidR="0020703C">
        <w:rPr>
          <w:sz w:val="20"/>
          <w:szCs w:val="20"/>
        </w:rPr>
        <w:t>tgage and rental payments, loan</w:t>
      </w:r>
      <w:r w:rsidR="007B0460">
        <w:rPr>
          <w:sz w:val="20"/>
          <w:szCs w:val="20"/>
        </w:rPr>
        <w:t xml:space="preserve"> payment, credit card debts and everyday living expenses</w:t>
      </w:r>
      <w:r w:rsidR="00CD01AB">
        <w:rPr>
          <w:sz w:val="20"/>
          <w:szCs w:val="20"/>
        </w:rPr>
        <w:t xml:space="preserve"> such as school fees and child care costs</w:t>
      </w:r>
      <w:r w:rsidR="007B0460">
        <w:rPr>
          <w:sz w:val="20"/>
          <w:szCs w:val="20"/>
        </w:rPr>
        <w:t xml:space="preserve">. </w:t>
      </w:r>
    </w:p>
    <w:p w14:paraId="41453CE3" w14:textId="77777777" w:rsidR="00AC427E" w:rsidRDefault="00AC427E" w:rsidP="004668B3">
      <w:pPr>
        <w:pStyle w:val="Default"/>
        <w:rPr>
          <w:sz w:val="20"/>
          <w:szCs w:val="20"/>
        </w:rPr>
      </w:pPr>
    </w:p>
    <w:p w14:paraId="183DA5F6" w14:textId="77777777" w:rsidR="00AC427E" w:rsidRPr="00BE4D82" w:rsidRDefault="00AC427E" w:rsidP="00AC427E">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t xml:space="preserve">Case Study </w:t>
      </w:r>
    </w:p>
    <w:p w14:paraId="10148B83" w14:textId="77777777" w:rsidR="00AC427E" w:rsidRPr="00BE4D82" w:rsidRDefault="00AC427E" w:rsidP="00AC427E">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t xml:space="preserve">ASU </w:t>
      </w:r>
      <w:r w:rsidRPr="00BE4D82">
        <w:rPr>
          <w:rFonts w:cs="Arial"/>
          <w:b/>
          <w:i/>
          <w:sz w:val="21"/>
          <w:szCs w:val="21"/>
        </w:rPr>
        <w:t>Victorian &amp; Tasmanian Authorities &amp; Services Branch member</w:t>
      </w:r>
      <w:r w:rsidRPr="00BE4D82">
        <w:rPr>
          <w:b/>
          <w:i/>
          <w:szCs w:val="20"/>
        </w:rPr>
        <w:t xml:space="preserve">  </w:t>
      </w:r>
    </w:p>
    <w:p w14:paraId="7F38DC74" w14:textId="77777777" w:rsidR="00AC427E" w:rsidRDefault="00AC427E" w:rsidP="00AC427E">
      <w:pPr>
        <w:pBdr>
          <w:top w:val="single" w:sz="4" w:space="1" w:color="auto"/>
          <w:left w:val="single" w:sz="4" w:space="4" w:color="auto"/>
          <w:bottom w:val="single" w:sz="4" w:space="1" w:color="auto"/>
          <w:right w:val="single" w:sz="4" w:space="4" w:color="auto"/>
        </w:pBdr>
        <w:ind w:left="567"/>
        <w:rPr>
          <w:b/>
          <w:i/>
          <w:szCs w:val="20"/>
        </w:rPr>
      </w:pPr>
    </w:p>
    <w:p w14:paraId="436E535D" w14:textId="77777777" w:rsidR="00AC427E" w:rsidRDefault="00AC427E" w:rsidP="00AC427E">
      <w:pPr>
        <w:pBdr>
          <w:top w:val="single" w:sz="4" w:space="1" w:color="auto"/>
          <w:left w:val="single" w:sz="4" w:space="4" w:color="auto"/>
          <w:bottom w:val="single" w:sz="4" w:space="1" w:color="auto"/>
          <w:right w:val="single" w:sz="4" w:space="4" w:color="auto"/>
        </w:pBdr>
        <w:ind w:left="567"/>
        <w:rPr>
          <w:i/>
          <w:szCs w:val="20"/>
        </w:rPr>
      </w:pPr>
      <w:r>
        <w:rPr>
          <w:i/>
          <w:szCs w:val="20"/>
        </w:rPr>
        <w:t>Brent* has been working in the community services sector specialising in Mental Health for 15 years.</w:t>
      </w:r>
    </w:p>
    <w:p w14:paraId="7A80EEF9" w14:textId="77777777" w:rsidR="00AC427E" w:rsidRDefault="00AC427E" w:rsidP="00AC427E">
      <w:pPr>
        <w:pBdr>
          <w:top w:val="single" w:sz="4" w:space="1" w:color="auto"/>
          <w:left w:val="single" w:sz="4" w:space="4" w:color="auto"/>
          <w:bottom w:val="single" w:sz="4" w:space="1" w:color="auto"/>
          <w:right w:val="single" w:sz="4" w:space="4" w:color="auto"/>
        </w:pBdr>
        <w:ind w:left="567"/>
        <w:rPr>
          <w:i/>
          <w:szCs w:val="20"/>
        </w:rPr>
      </w:pPr>
    </w:p>
    <w:p w14:paraId="3F5CBEA4" w14:textId="77777777" w:rsidR="00AC427E" w:rsidRDefault="00AC427E" w:rsidP="00AC427E">
      <w:pPr>
        <w:pBdr>
          <w:top w:val="single" w:sz="4" w:space="1" w:color="auto"/>
          <w:left w:val="single" w:sz="4" w:space="4" w:color="auto"/>
          <w:bottom w:val="single" w:sz="4" w:space="1" w:color="auto"/>
          <w:right w:val="single" w:sz="4" w:space="4" w:color="auto"/>
        </w:pBdr>
        <w:ind w:left="567"/>
      </w:pPr>
      <w:r>
        <w:rPr>
          <w:i/>
          <w:szCs w:val="20"/>
        </w:rPr>
        <w:t>“The day salary packaging ceases or if it stops I will hand in my resignation and never work in this sector again. Salary packaging was one of the main reasons I have stayed in the industry. It just won’t be worth it for me and I have many qualifications in Mental Health and drug and alcohol. I believe the industry would lose a lot of experienced workers such as myself should salary packaging cease.”</w:t>
      </w:r>
      <w:r w:rsidRPr="00BE4D82">
        <w:rPr>
          <w:b/>
          <w:i/>
          <w:szCs w:val="20"/>
        </w:rPr>
        <w:t xml:space="preserve"> </w:t>
      </w:r>
    </w:p>
    <w:p w14:paraId="640A80E7" w14:textId="77777777" w:rsidR="00AC427E" w:rsidRDefault="00AC427E" w:rsidP="00AC427E">
      <w:pPr>
        <w:pBdr>
          <w:top w:val="single" w:sz="4" w:space="1" w:color="auto"/>
          <w:left w:val="single" w:sz="4" w:space="4" w:color="auto"/>
          <w:bottom w:val="single" w:sz="4" w:space="1" w:color="auto"/>
          <w:right w:val="single" w:sz="4" w:space="4" w:color="auto"/>
        </w:pBdr>
        <w:ind w:left="567"/>
      </w:pPr>
    </w:p>
    <w:p w14:paraId="02000A45" w14:textId="77777777" w:rsidR="00504D80" w:rsidRDefault="00504D80" w:rsidP="00504D80">
      <w:pPr>
        <w:pStyle w:val="Default"/>
        <w:rPr>
          <w:sz w:val="20"/>
          <w:szCs w:val="20"/>
        </w:rPr>
      </w:pPr>
    </w:p>
    <w:p w14:paraId="56969F34" w14:textId="77777777" w:rsidR="00504D80" w:rsidRPr="00BE4D82" w:rsidRDefault="00504D80" w:rsidP="00504D80">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lastRenderedPageBreak/>
        <w:t xml:space="preserve">Case Study </w:t>
      </w:r>
    </w:p>
    <w:p w14:paraId="6B667930" w14:textId="77777777" w:rsidR="00504D80" w:rsidRPr="00BE4D82" w:rsidRDefault="00504D80" w:rsidP="00504D80">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t xml:space="preserve">ASU </w:t>
      </w:r>
      <w:r w:rsidRPr="00BE4D82">
        <w:rPr>
          <w:rFonts w:cs="Arial"/>
          <w:b/>
          <w:i/>
          <w:sz w:val="21"/>
          <w:szCs w:val="21"/>
        </w:rPr>
        <w:t>Victorian &amp; Tasmanian Authorities &amp; Services Branch member</w:t>
      </w:r>
      <w:r w:rsidRPr="00BE4D82">
        <w:rPr>
          <w:b/>
          <w:i/>
          <w:szCs w:val="20"/>
        </w:rPr>
        <w:t xml:space="preserve">  </w:t>
      </w:r>
    </w:p>
    <w:p w14:paraId="55441B79" w14:textId="77777777" w:rsidR="00504D80" w:rsidRDefault="00504D80" w:rsidP="00504D80">
      <w:pPr>
        <w:pBdr>
          <w:top w:val="single" w:sz="4" w:space="1" w:color="auto"/>
          <w:left w:val="single" w:sz="4" w:space="4" w:color="auto"/>
          <w:bottom w:val="single" w:sz="4" w:space="1" w:color="auto"/>
          <w:right w:val="single" w:sz="4" w:space="4" w:color="auto"/>
        </w:pBdr>
        <w:ind w:left="567"/>
        <w:rPr>
          <w:i/>
          <w:szCs w:val="20"/>
        </w:rPr>
      </w:pPr>
    </w:p>
    <w:p w14:paraId="30DEE685" w14:textId="77777777" w:rsidR="00504D80" w:rsidRPr="00BE4D82" w:rsidRDefault="00504D80" w:rsidP="00504D80">
      <w:pPr>
        <w:pBdr>
          <w:top w:val="single" w:sz="4" w:space="1" w:color="auto"/>
          <w:left w:val="single" w:sz="4" w:space="4" w:color="auto"/>
          <w:bottom w:val="single" w:sz="4" w:space="1" w:color="auto"/>
          <w:right w:val="single" w:sz="4" w:space="4" w:color="auto"/>
        </w:pBdr>
        <w:ind w:left="567"/>
        <w:rPr>
          <w:i/>
          <w:szCs w:val="20"/>
        </w:rPr>
      </w:pPr>
      <w:r w:rsidRPr="00BE4D82">
        <w:rPr>
          <w:i/>
          <w:szCs w:val="20"/>
        </w:rPr>
        <w:t>For me, I want to work in the not-for-profit sector because it gives me huge job satisfaction. What it doesn’t give me is financial security when compared with govern</w:t>
      </w:r>
      <w:r>
        <w:rPr>
          <w:i/>
          <w:szCs w:val="20"/>
        </w:rPr>
        <w:t xml:space="preserve">ment or private sectors. I know </w:t>
      </w:r>
      <w:r w:rsidRPr="00BE4D82">
        <w:rPr>
          <w:i/>
          <w:szCs w:val="20"/>
        </w:rPr>
        <w:t>people who have left NFPs because they wanted to buy a house, grow their family or even just make ends meet. Government is always putting pressure to do more with less and the financial gap between the two worlds just seems to get bigger.</w:t>
      </w:r>
    </w:p>
    <w:p w14:paraId="723E55EE" w14:textId="77777777" w:rsidR="00504D80" w:rsidRPr="00BE4D82" w:rsidRDefault="00504D80" w:rsidP="00504D80">
      <w:pPr>
        <w:pBdr>
          <w:top w:val="single" w:sz="4" w:space="1" w:color="auto"/>
          <w:left w:val="single" w:sz="4" w:space="4" w:color="auto"/>
          <w:bottom w:val="single" w:sz="4" w:space="1" w:color="auto"/>
          <w:right w:val="single" w:sz="4" w:space="4" w:color="auto"/>
        </w:pBdr>
        <w:ind w:left="567"/>
        <w:rPr>
          <w:i/>
          <w:szCs w:val="20"/>
        </w:rPr>
      </w:pPr>
    </w:p>
    <w:p w14:paraId="5C736E97" w14:textId="77777777" w:rsidR="00504D80" w:rsidRPr="00BE4D82" w:rsidRDefault="00504D80" w:rsidP="00504D80">
      <w:pPr>
        <w:pBdr>
          <w:top w:val="single" w:sz="4" w:space="1" w:color="auto"/>
          <w:left w:val="single" w:sz="4" w:space="4" w:color="auto"/>
          <w:bottom w:val="single" w:sz="4" w:space="1" w:color="auto"/>
          <w:right w:val="single" w:sz="4" w:space="4" w:color="auto"/>
        </w:pBdr>
        <w:ind w:left="567"/>
        <w:rPr>
          <w:i/>
          <w:szCs w:val="20"/>
        </w:rPr>
      </w:pPr>
      <w:r w:rsidRPr="00BE4D82">
        <w:rPr>
          <w:i/>
          <w:szCs w:val="20"/>
        </w:rPr>
        <w:t>The one thing that makes it possible for me and nearly everyone I know is salary packaging. It takes a bit of pressure of</w:t>
      </w:r>
      <w:r>
        <w:rPr>
          <w:i/>
          <w:szCs w:val="20"/>
        </w:rPr>
        <w:t>f</w:t>
      </w:r>
      <w:r w:rsidRPr="00BE4D82">
        <w:rPr>
          <w:i/>
          <w:szCs w:val="20"/>
        </w:rPr>
        <w:t xml:space="preserve"> my employer, makes government funding go further and it gives me a modest but meaningful contribution to my financial security. Without it, I would struggle to pay my rent and to provide a home for my four-year-old son. In the end, it’s really about making ends meet. What it really means is that people stay in NFPs working for a better community and that is good for everyone. </w:t>
      </w:r>
    </w:p>
    <w:p w14:paraId="53667CAF" w14:textId="77777777" w:rsidR="00504D80" w:rsidRPr="00BE4D82" w:rsidRDefault="00504D80" w:rsidP="00504D80">
      <w:pPr>
        <w:pBdr>
          <w:top w:val="single" w:sz="4" w:space="1" w:color="auto"/>
          <w:left w:val="single" w:sz="4" w:space="4" w:color="auto"/>
          <w:bottom w:val="single" w:sz="4" w:space="1" w:color="auto"/>
          <w:right w:val="single" w:sz="4" w:space="4" w:color="auto"/>
        </w:pBdr>
        <w:ind w:left="567"/>
        <w:rPr>
          <w:i/>
          <w:szCs w:val="20"/>
        </w:rPr>
      </w:pPr>
    </w:p>
    <w:p w14:paraId="1DCA19A5" w14:textId="77777777" w:rsidR="00504D80" w:rsidRDefault="00504D80" w:rsidP="00504D80">
      <w:pPr>
        <w:pStyle w:val="Default"/>
        <w:pBdr>
          <w:top w:val="single" w:sz="4" w:space="1" w:color="auto"/>
          <w:left w:val="single" w:sz="4" w:space="4" w:color="auto"/>
          <w:bottom w:val="single" w:sz="4" w:space="1" w:color="auto"/>
          <w:right w:val="single" w:sz="4" w:space="4" w:color="auto"/>
        </w:pBdr>
        <w:ind w:left="567"/>
        <w:rPr>
          <w:i/>
          <w:color w:val="auto"/>
          <w:sz w:val="20"/>
          <w:szCs w:val="20"/>
        </w:rPr>
      </w:pPr>
      <w:r w:rsidRPr="00BE4D82">
        <w:rPr>
          <w:i/>
          <w:color w:val="auto"/>
          <w:sz w:val="20"/>
          <w:szCs w:val="20"/>
        </w:rPr>
        <w:t>If we lose these people – and their skills and passion – we just make our social support services weaker and also send a message that the stress, trauma and crises we face alongside the most vulnerable mem</w:t>
      </w:r>
      <w:r>
        <w:rPr>
          <w:i/>
          <w:color w:val="auto"/>
          <w:sz w:val="20"/>
          <w:szCs w:val="20"/>
        </w:rPr>
        <w:t>bers of our community do</w:t>
      </w:r>
      <w:r w:rsidRPr="00BE4D82">
        <w:rPr>
          <w:i/>
          <w:color w:val="auto"/>
          <w:sz w:val="20"/>
          <w:szCs w:val="20"/>
        </w:rPr>
        <w:t>n’t really matter.</w:t>
      </w:r>
    </w:p>
    <w:p w14:paraId="6D46A123" w14:textId="77777777" w:rsidR="00504D80" w:rsidRPr="00BE4D82" w:rsidRDefault="00504D80" w:rsidP="00504D80">
      <w:pPr>
        <w:pStyle w:val="Default"/>
        <w:pBdr>
          <w:top w:val="single" w:sz="4" w:space="1" w:color="auto"/>
          <w:left w:val="single" w:sz="4" w:space="4" w:color="auto"/>
          <w:bottom w:val="single" w:sz="4" w:space="1" w:color="auto"/>
          <w:right w:val="single" w:sz="4" w:space="4" w:color="auto"/>
        </w:pBdr>
        <w:ind w:left="567"/>
        <w:rPr>
          <w:i/>
          <w:color w:val="auto"/>
          <w:sz w:val="20"/>
          <w:szCs w:val="20"/>
        </w:rPr>
      </w:pPr>
    </w:p>
    <w:p w14:paraId="49A09F85" w14:textId="77777777" w:rsidR="00504D80" w:rsidRDefault="00504D80" w:rsidP="00504D80">
      <w:pPr>
        <w:pStyle w:val="Default"/>
        <w:rPr>
          <w:sz w:val="20"/>
          <w:szCs w:val="20"/>
        </w:rPr>
      </w:pPr>
    </w:p>
    <w:p w14:paraId="3214890F" w14:textId="77777777" w:rsidR="00504D80" w:rsidRDefault="00504D80" w:rsidP="004668B3">
      <w:pPr>
        <w:pStyle w:val="Default"/>
        <w:rPr>
          <w:sz w:val="20"/>
          <w:szCs w:val="20"/>
        </w:rPr>
      </w:pPr>
    </w:p>
    <w:p w14:paraId="58DAD2D3" w14:textId="77777777" w:rsidR="002C5EA3" w:rsidRDefault="002C5EA3" w:rsidP="004668B3">
      <w:pPr>
        <w:pStyle w:val="Default"/>
        <w:rPr>
          <w:sz w:val="20"/>
          <w:szCs w:val="20"/>
        </w:rPr>
      </w:pPr>
    </w:p>
    <w:p w14:paraId="5DD6C257" w14:textId="77777777" w:rsidR="008142D1" w:rsidRPr="00BE4D82" w:rsidRDefault="008142D1" w:rsidP="008142D1">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t xml:space="preserve">Case Study </w:t>
      </w:r>
    </w:p>
    <w:p w14:paraId="12EA6DB5" w14:textId="77777777" w:rsidR="008142D1" w:rsidRDefault="008142D1" w:rsidP="008142D1">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t xml:space="preserve">ASU </w:t>
      </w:r>
      <w:r w:rsidR="006912B4">
        <w:rPr>
          <w:rFonts w:cs="Arial"/>
          <w:b/>
          <w:i/>
          <w:sz w:val="21"/>
          <w:szCs w:val="21"/>
        </w:rPr>
        <w:t xml:space="preserve">New South Wales and ACT (Services) </w:t>
      </w:r>
      <w:r w:rsidRPr="00BE4D82">
        <w:rPr>
          <w:rFonts w:cs="Arial"/>
          <w:b/>
          <w:i/>
          <w:sz w:val="21"/>
          <w:szCs w:val="21"/>
        </w:rPr>
        <w:t>Branch member</w:t>
      </w:r>
      <w:r w:rsidRPr="00BE4D82">
        <w:rPr>
          <w:b/>
          <w:i/>
          <w:szCs w:val="20"/>
        </w:rPr>
        <w:t xml:space="preserve">  </w:t>
      </w:r>
    </w:p>
    <w:p w14:paraId="467F7406" w14:textId="77777777" w:rsidR="008142D1" w:rsidRDefault="008142D1" w:rsidP="008142D1">
      <w:pPr>
        <w:pBdr>
          <w:top w:val="single" w:sz="4" w:space="1" w:color="auto"/>
          <w:left w:val="single" w:sz="4" w:space="4" w:color="auto"/>
          <w:bottom w:val="single" w:sz="4" w:space="1" w:color="auto"/>
          <w:right w:val="single" w:sz="4" w:space="4" w:color="auto"/>
        </w:pBdr>
        <w:ind w:left="567"/>
      </w:pPr>
    </w:p>
    <w:p w14:paraId="2292D7A8" w14:textId="77777777" w:rsidR="008142D1" w:rsidRPr="008142D1" w:rsidRDefault="00660102" w:rsidP="008142D1">
      <w:pPr>
        <w:pBdr>
          <w:top w:val="single" w:sz="4" w:space="1" w:color="auto"/>
          <w:left w:val="single" w:sz="4" w:space="4" w:color="auto"/>
          <w:bottom w:val="single" w:sz="4" w:space="1" w:color="auto"/>
          <w:right w:val="single" w:sz="4" w:space="4" w:color="auto"/>
        </w:pBdr>
        <w:ind w:left="567"/>
        <w:rPr>
          <w:i/>
        </w:rPr>
      </w:pPr>
      <w:r>
        <w:rPr>
          <w:i/>
        </w:rPr>
        <w:t>Mary*</w:t>
      </w:r>
      <w:r w:rsidR="008142D1" w:rsidRPr="008142D1">
        <w:rPr>
          <w:i/>
        </w:rPr>
        <w:t xml:space="preserve"> is a disability support worker at House with No Steps who accesses salary packaging to increase her income. </w:t>
      </w:r>
    </w:p>
    <w:p w14:paraId="76681AD3" w14:textId="77777777" w:rsidR="008142D1" w:rsidRPr="008142D1" w:rsidRDefault="008142D1" w:rsidP="008142D1">
      <w:pPr>
        <w:pBdr>
          <w:top w:val="single" w:sz="4" w:space="1" w:color="auto"/>
          <w:left w:val="single" w:sz="4" w:space="4" w:color="auto"/>
          <w:bottom w:val="single" w:sz="4" w:space="1" w:color="auto"/>
          <w:right w:val="single" w:sz="4" w:space="4" w:color="auto"/>
        </w:pBdr>
        <w:ind w:left="567"/>
        <w:rPr>
          <w:i/>
        </w:rPr>
      </w:pPr>
    </w:p>
    <w:p w14:paraId="12DA05D8" w14:textId="77777777" w:rsidR="008142D1" w:rsidRPr="008142D1" w:rsidRDefault="008142D1" w:rsidP="008142D1">
      <w:pPr>
        <w:pBdr>
          <w:top w:val="single" w:sz="4" w:space="1" w:color="auto"/>
          <w:left w:val="single" w:sz="4" w:space="4" w:color="auto"/>
          <w:bottom w:val="single" w:sz="4" w:space="1" w:color="auto"/>
          <w:right w:val="single" w:sz="4" w:space="4" w:color="auto"/>
        </w:pBdr>
        <w:ind w:left="567"/>
        <w:rPr>
          <w:i/>
        </w:rPr>
      </w:pPr>
      <w:r w:rsidRPr="008142D1">
        <w:rPr>
          <w:i/>
        </w:rPr>
        <w:t>“If I didn’t have salary packaging I wouldn’t have a car. I use it to pay off a car loan and a personal loan. I am paid at Level 3 Pay Point 1 of the SCHADS Award. Without salary packaging I would struggle on my wage. Alongside my commitment to supporting people, the ability to salary package has kept me in the Industry. Without it I would be forced to look for better paying work elsewhere.</w:t>
      </w:r>
    </w:p>
    <w:p w14:paraId="511EE63E" w14:textId="77777777" w:rsidR="008142D1" w:rsidRDefault="008142D1" w:rsidP="008142D1">
      <w:pPr>
        <w:pBdr>
          <w:top w:val="single" w:sz="4" w:space="1" w:color="auto"/>
          <w:left w:val="single" w:sz="4" w:space="4" w:color="auto"/>
          <w:bottom w:val="single" w:sz="4" w:space="1" w:color="auto"/>
          <w:right w:val="single" w:sz="4" w:space="4" w:color="auto"/>
        </w:pBdr>
        <w:ind w:left="567"/>
      </w:pPr>
    </w:p>
    <w:p w14:paraId="2973A9E6" w14:textId="77777777" w:rsidR="008142D1" w:rsidRDefault="008142D1" w:rsidP="004668B3">
      <w:pPr>
        <w:pStyle w:val="Default"/>
        <w:rPr>
          <w:sz w:val="20"/>
          <w:szCs w:val="20"/>
        </w:rPr>
      </w:pPr>
    </w:p>
    <w:p w14:paraId="55499A12" w14:textId="77777777" w:rsidR="008142D1" w:rsidRDefault="008142D1" w:rsidP="004668B3">
      <w:pPr>
        <w:pStyle w:val="Default"/>
        <w:rPr>
          <w:sz w:val="20"/>
          <w:szCs w:val="20"/>
        </w:rPr>
      </w:pPr>
    </w:p>
    <w:p w14:paraId="03A88341" w14:textId="77777777" w:rsidR="002C5EA3" w:rsidRDefault="002C5EA3" w:rsidP="004668B3">
      <w:pPr>
        <w:pStyle w:val="Default"/>
        <w:rPr>
          <w:sz w:val="20"/>
          <w:szCs w:val="20"/>
        </w:rPr>
      </w:pPr>
    </w:p>
    <w:p w14:paraId="72BFF880" w14:textId="77777777" w:rsidR="008142D1" w:rsidRPr="00BE4D82" w:rsidRDefault="008142D1" w:rsidP="008142D1">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t xml:space="preserve">Case Study </w:t>
      </w:r>
    </w:p>
    <w:p w14:paraId="49AD46ED" w14:textId="77777777" w:rsidR="006912B4" w:rsidRDefault="006912B4" w:rsidP="006912B4">
      <w:pPr>
        <w:pBdr>
          <w:top w:val="single" w:sz="4" w:space="1" w:color="auto"/>
          <w:left w:val="single" w:sz="4" w:space="4" w:color="auto"/>
          <w:bottom w:val="single" w:sz="4" w:space="1" w:color="auto"/>
          <w:right w:val="single" w:sz="4" w:space="4" w:color="auto"/>
        </w:pBdr>
        <w:ind w:left="567"/>
        <w:rPr>
          <w:b/>
          <w:i/>
          <w:szCs w:val="20"/>
        </w:rPr>
      </w:pPr>
      <w:r w:rsidRPr="00BE4D82">
        <w:rPr>
          <w:b/>
          <w:i/>
          <w:szCs w:val="20"/>
        </w:rPr>
        <w:t xml:space="preserve">ASU </w:t>
      </w:r>
      <w:r>
        <w:rPr>
          <w:rFonts w:cs="Arial"/>
          <w:b/>
          <w:i/>
          <w:sz w:val="21"/>
          <w:szCs w:val="21"/>
        </w:rPr>
        <w:t xml:space="preserve">New South Wales and ACT (Services) </w:t>
      </w:r>
      <w:r w:rsidRPr="00BE4D82">
        <w:rPr>
          <w:rFonts w:cs="Arial"/>
          <w:b/>
          <w:i/>
          <w:sz w:val="21"/>
          <w:szCs w:val="21"/>
        </w:rPr>
        <w:t>Branch member</w:t>
      </w:r>
      <w:r w:rsidRPr="00BE4D82">
        <w:rPr>
          <w:b/>
          <w:i/>
          <w:szCs w:val="20"/>
        </w:rPr>
        <w:t xml:space="preserve">  </w:t>
      </w:r>
    </w:p>
    <w:p w14:paraId="1786D8AD" w14:textId="77777777" w:rsidR="008142D1" w:rsidRDefault="008142D1" w:rsidP="008142D1">
      <w:pPr>
        <w:pBdr>
          <w:top w:val="single" w:sz="4" w:space="1" w:color="auto"/>
          <w:left w:val="single" w:sz="4" w:space="4" w:color="auto"/>
          <w:bottom w:val="single" w:sz="4" w:space="1" w:color="auto"/>
          <w:right w:val="single" w:sz="4" w:space="4" w:color="auto"/>
        </w:pBdr>
        <w:ind w:left="567"/>
      </w:pPr>
    </w:p>
    <w:p w14:paraId="2B3331E0" w14:textId="77777777" w:rsidR="008142D1" w:rsidRPr="008142D1" w:rsidRDefault="00660102" w:rsidP="008142D1">
      <w:pPr>
        <w:pBdr>
          <w:top w:val="single" w:sz="4" w:space="1" w:color="auto"/>
          <w:left w:val="single" w:sz="4" w:space="4" w:color="auto"/>
          <w:bottom w:val="single" w:sz="4" w:space="1" w:color="auto"/>
          <w:right w:val="single" w:sz="4" w:space="4" w:color="auto"/>
        </w:pBdr>
        <w:ind w:left="567"/>
        <w:rPr>
          <w:i/>
        </w:rPr>
      </w:pPr>
      <w:r>
        <w:rPr>
          <w:i/>
        </w:rPr>
        <w:t>Dani</w:t>
      </w:r>
      <w:r w:rsidR="008142D1">
        <w:rPr>
          <w:i/>
        </w:rPr>
        <w:t>*</w:t>
      </w:r>
      <w:r w:rsidR="008142D1" w:rsidRPr="008142D1">
        <w:rPr>
          <w:i/>
        </w:rPr>
        <w:t xml:space="preserve"> is a project coordinator for social enterprises at Liverpool Neighbourhood Connections. </w:t>
      </w:r>
    </w:p>
    <w:p w14:paraId="660D2DB9" w14:textId="77777777" w:rsidR="008142D1" w:rsidRPr="008142D1" w:rsidRDefault="008142D1" w:rsidP="008142D1">
      <w:pPr>
        <w:pBdr>
          <w:top w:val="single" w:sz="4" w:space="1" w:color="auto"/>
          <w:left w:val="single" w:sz="4" w:space="4" w:color="auto"/>
          <w:bottom w:val="single" w:sz="4" w:space="1" w:color="auto"/>
          <w:right w:val="single" w:sz="4" w:space="4" w:color="auto"/>
        </w:pBdr>
        <w:ind w:left="567"/>
        <w:rPr>
          <w:i/>
        </w:rPr>
      </w:pPr>
    </w:p>
    <w:p w14:paraId="229FF9C3" w14:textId="77777777" w:rsidR="008142D1" w:rsidRPr="008142D1" w:rsidRDefault="008142D1" w:rsidP="008142D1">
      <w:pPr>
        <w:pBdr>
          <w:top w:val="single" w:sz="4" w:space="1" w:color="auto"/>
          <w:left w:val="single" w:sz="4" w:space="4" w:color="auto"/>
          <w:bottom w:val="single" w:sz="4" w:space="1" w:color="auto"/>
          <w:right w:val="single" w:sz="4" w:space="4" w:color="auto"/>
        </w:pBdr>
        <w:ind w:left="567"/>
        <w:rPr>
          <w:i/>
        </w:rPr>
      </w:pPr>
      <w:r w:rsidRPr="008142D1">
        <w:rPr>
          <w:i/>
        </w:rPr>
        <w:t>“Losing salary packaging would impact on me heaps. I have 3 young children and</w:t>
      </w:r>
      <w:r>
        <w:rPr>
          <w:i/>
        </w:rPr>
        <w:t xml:space="preserve"> have just taken out a home loan.</w:t>
      </w:r>
      <w:r w:rsidRPr="008142D1">
        <w:rPr>
          <w:i/>
        </w:rPr>
        <w:t xml:space="preserve"> I use salary packaging to assist in paying off the loan. At SCHADS Level 3 my wage isn’t that high and the salary packaging really helps</w:t>
      </w:r>
      <w:r>
        <w:rPr>
          <w:i/>
        </w:rPr>
        <w:t>,</w:t>
      </w:r>
      <w:r w:rsidRPr="008142D1">
        <w:rPr>
          <w:i/>
        </w:rPr>
        <w:t xml:space="preserve"> especially as I have to drive a long way to work and this is costly.”</w:t>
      </w:r>
    </w:p>
    <w:p w14:paraId="6E3D625D" w14:textId="77777777" w:rsidR="008142D1" w:rsidRDefault="008142D1" w:rsidP="008142D1">
      <w:pPr>
        <w:pBdr>
          <w:top w:val="single" w:sz="4" w:space="1" w:color="auto"/>
          <w:left w:val="single" w:sz="4" w:space="4" w:color="auto"/>
          <w:bottom w:val="single" w:sz="4" w:space="1" w:color="auto"/>
          <w:right w:val="single" w:sz="4" w:space="4" w:color="auto"/>
        </w:pBdr>
        <w:ind w:left="567"/>
      </w:pPr>
    </w:p>
    <w:p w14:paraId="43F3704A" w14:textId="77777777" w:rsidR="008142D1" w:rsidRDefault="008142D1" w:rsidP="004668B3">
      <w:pPr>
        <w:pStyle w:val="Default"/>
        <w:rPr>
          <w:sz w:val="20"/>
          <w:szCs w:val="20"/>
        </w:rPr>
      </w:pPr>
    </w:p>
    <w:p w14:paraId="6D278CF0" w14:textId="77777777" w:rsidR="008142D1" w:rsidRDefault="008142D1" w:rsidP="004668B3">
      <w:pPr>
        <w:pStyle w:val="Default"/>
        <w:rPr>
          <w:sz w:val="20"/>
          <w:szCs w:val="20"/>
        </w:rPr>
      </w:pPr>
    </w:p>
    <w:p w14:paraId="2156CD06" w14:textId="77777777" w:rsidR="00516F79" w:rsidRDefault="00516F79" w:rsidP="00516F79">
      <w:pPr>
        <w:pStyle w:val="Default"/>
        <w:rPr>
          <w:sz w:val="20"/>
          <w:szCs w:val="20"/>
        </w:rPr>
      </w:pPr>
      <w:r>
        <w:rPr>
          <w:sz w:val="20"/>
          <w:szCs w:val="20"/>
        </w:rPr>
        <w:t xml:space="preserve">The ASU believes all NFP employees should benefit from the fringe benefits tax concessions currently available. Without </w:t>
      </w:r>
      <w:r w:rsidR="00782F79">
        <w:rPr>
          <w:sz w:val="20"/>
          <w:szCs w:val="20"/>
        </w:rPr>
        <w:t>FBT concessions</w:t>
      </w:r>
      <w:r>
        <w:rPr>
          <w:sz w:val="20"/>
          <w:szCs w:val="20"/>
        </w:rPr>
        <w:t xml:space="preserve"> workforce shortages may threaten both the viability of the sector and the quality of the services they provide</w:t>
      </w:r>
      <w:r w:rsidR="00EA1C50">
        <w:rPr>
          <w:sz w:val="20"/>
          <w:szCs w:val="20"/>
        </w:rPr>
        <w:t xml:space="preserve"> as evidenced by our case studies above</w:t>
      </w:r>
      <w:r>
        <w:rPr>
          <w:sz w:val="20"/>
          <w:szCs w:val="20"/>
        </w:rPr>
        <w:t>.</w:t>
      </w:r>
    </w:p>
    <w:p w14:paraId="1A041FFF" w14:textId="77777777" w:rsidR="003D4293" w:rsidRDefault="003D4293" w:rsidP="00516F79">
      <w:pPr>
        <w:pStyle w:val="Default"/>
        <w:rPr>
          <w:sz w:val="20"/>
          <w:szCs w:val="20"/>
        </w:rPr>
      </w:pPr>
    </w:p>
    <w:p w14:paraId="2B4C31AF" w14:textId="77777777" w:rsidR="003D4293" w:rsidRPr="00C40F74" w:rsidRDefault="003D4293" w:rsidP="003D4293">
      <w:r>
        <w:rPr>
          <w:szCs w:val="20"/>
        </w:rPr>
        <w:t xml:space="preserve">Furthermore </w:t>
      </w:r>
      <w:r>
        <w:t>m</w:t>
      </w:r>
      <w:r w:rsidRPr="00C40F74">
        <w:t>any NFP organisations eligible for FBT concessions are covered by collective bargaining agreements. The remuneration and employment conditions in these agreements have been negotiated in good faith, taking into account the availability of FBT concessions. If these were to be reduced in some way, low-paid workers would potentially suffer a large cut in their take-home pay.</w:t>
      </w:r>
    </w:p>
    <w:p w14:paraId="251ADB52" w14:textId="77777777" w:rsidR="003D4293" w:rsidRDefault="003D4293" w:rsidP="00516F79">
      <w:pPr>
        <w:pStyle w:val="Default"/>
        <w:rPr>
          <w:sz w:val="20"/>
          <w:szCs w:val="20"/>
        </w:rPr>
      </w:pPr>
    </w:p>
    <w:p w14:paraId="125C9CFA" w14:textId="77777777" w:rsidR="00DC4D7D" w:rsidRDefault="003D4293" w:rsidP="00516F79">
      <w:pPr>
        <w:pStyle w:val="Default"/>
        <w:rPr>
          <w:sz w:val="20"/>
          <w:szCs w:val="20"/>
        </w:rPr>
      </w:pPr>
      <w:r>
        <w:rPr>
          <w:sz w:val="20"/>
          <w:szCs w:val="20"/>
        </w:rPr>
        <w:lastRenderedPageBreak/>
        <w:t xml:space="preserve">It is important to remember that the Health Care and Social Assistance industry is one of the fastest growing sectors with employment growth projected to increase by </w:t>
      </w:r>
      <w:r w:rsidRPr="003D4293">
        <w:rPr>
          <w:sz w:val="20"/>
          <w:szCs w:val="20"/>
        </w:rPr>
        <w:t>16.3 per cent (compared with 7.2 per cent for employment as a whole), equating to around 229,400 new jobs, more than any other industry</w:t>
      </w:r>
      <w:r w:rsidR="00DC4D7D">
        <w:rPr>
          <w:rStyle w:val="FootnoteReference"/>
          <w:sz w:val="20"/>
          <w:szCs w:val="20"/>
        </w:rPr>
        <w:footnoteReference w:id="21"/>
      </w:r>
      <w:r w:rsidR="00DC4D7D">
        <w:rPr>
          <w:sz w:val="20"/>
          <w:szCs w:val="20"/>
        </w:rPr>
        <w:t xml:space="preserve">. </w:t>
      </w:r>
    </w:p>
    <w:p w14:paraId="05FEE18A" w14:textId="77777777" w:rsidR="00DC4D7D" w:rsidRDefault="00DC4D7D" w:rsidP="00516F79">
      <w:pPr>
        <w:pStyle w:val="Default"/>
        <w:rPr>
          <w:sz w:val="20"/>
          <w:szCs w:val="20"/>
        </w:rPr>
      </w:pPr>
    </w:p>
    <w:p w14:paraId="1E1F1FE2" w14:textId="77777777" w:rsidR="003D4293" w:rsidRPr="003D4293" w:rsidRDefault="00DC4D7D" w:rsidP="00516F79">
      <w:pPr>
        <w:pStyle w:val="Default"/>
        <w:rPr>
          <w:sz w:val="20"/>
          <w:szCs w:val="20"/>
        </w:rPr>
      </w:pPr>
      <w:r>
        <w:rPr>
          <w:sz w:val="20"/>
          <w:szCs w:val="20"/>
        </w:rPr>
        <w:t>As the National Disability Insurance Scheme (NDIS) is rolled out it is expected the need for disability support workers to double in size to meet demand. An important factor in attracting and retaining the skilled and qualified staff needed to deliver the NDIS is salary packaging.</w:t>
      </w:r>
    </w:p>
    <w:p w14:paraId="2B16F626" w14:textId="77777777" w:rsidR="003D4293" w:rsidRDefault="003D4293" w:rsidP="00516F79">
      <w:pPr>
        <w:pStyle w:val="Default"/>
        <w:rPr>
          <w:sz w:val="20"/>
          <w:szCs w:val="20"/>
        </w:rPr>
      </w:pPr>
    </w:p>
    <w:p w14:paraId="2AEDC980" w14:textId="77777777" w:rsidR="002553F9" w:rsidRDefault="002553F9" w:rsidP="004668B3">
      <w:pPr>
        <w:pStyle w:val="Default"/>
        <w:rPr>
          <w:sz w:val="20"/>
          <w:szCs w:val="20"/>
        </w:rPr>
      </w:pPr>
      <w:r w:rsidRPr="002553F9">
        <w:rPr>
          <w:sz w:val="20"/>
          <w:szCs w:val="20"/>
        </w:rPr>
        <w:t xml:space="preserve">We caution the Government about making changes before there is a comprehensive consultation process with </w:t>
      </w:r>
      <w:r w:rsidR="003A6B8B">
        <w:rPr>
          <w:sz w:val="20"/>
          <w:szCs w:val="20"/>
        </w:rPr>
        <w:t xml:space="preserve">both </w:t>
      </w:r>
      <w:r w:rsidRPr="002553F9">
        <w:rPr>
          <w:sz w:val="20"/>
          <w:szCs w:val="20"/>
        </w:rPr>
        <w:t>the unions</w:t>
      </w:r>
      <w:r w:rsidR="003A6B8B">
        <w:rPr>
          <w:sz w:val="20"/>
          <w:szCs w:val="20"/>
        </w:rPr>
        <w:t xml:space="preserve"> and employers</w:t>
      </w:r>
      <w:r w:rsidRPr="002553F9">
        <w:rPr>
          <w:sz w:val="20"/>
          <w:szCs w:val="20"/>
        </w:rPr>
        <w:t xml:space="preserve"> that represent staff in the SACS sector.</w:t>
      </w:r>
      <w:r w:rsidR="007957AD">
        <w:rPr>
          <w:sz w:val="20"/>
          <w:szCs w:val="20"/>
        </w:rPr>
        <w:t xml:space="preserve"> Any proposed changes should be informed by modelling and information about alternative proposals. We believe whatever is decided upon should start from a principle that no employee should be worse off.</w:t>
      </w:r>
    </w:p>
    <w:p w14:paraId="7F580817" w14:textId="77777777" w:rsidR="003A6B8B" w:rsidRDefault="003A6B8B" w:rsidP="004668B3">
      <w:pPr>
        <w:pStyle w:val="Default"/>
        <w:rPr>
          <w:sz w:val="20"/>
          <w:szCs w:val="20"/>
        </w:rPr>
      </w:pPr>
    </w:p>
    <w:p w14:paraId="6F3B5D54" w14:textId="77777777" w:rsidR="00A81698" w:rsidRPr="002553F9" w:rsidRDefault="00A81698" w:rsidP="00A81698">
      <w:pPr>
        <w:pStyle w:val="Default"/>
        <w:rPr>
          <w:sz w:val="20"/>
          <w:szCs w:val="20"/>
        </w:rPr>
      </w:pPr>
      <w:r>
        <w:rPr>
          <w:sz w:val="20"/>
          <w:szCs w:val="20"/>
        </w:rPr>
        <w:t xml:space="preserve">In </w:t>
      </w:r>
      <w:r w:rsidR="007957AD">
        <w:rPr>
          <w:sz w:val="20"/>
          <w:szCs w:val="20"/>
        </w:rPr>
        <w:t>any alternate system we believe the issue of equity across all organisations in the SACS sector should be achieved as currently a range of organisations do not have PBI status and do not receive the FBT benefits.</w:t>
      </w:r>
      <w:r>
        <w:rPr>
          <w:sz w:val="20"/>
          <w:szCs w:val="20"/>
        </w:rPr>
        <w:t xml:space="preserve"> </w:t>
      </w:r>
      <w:r w:rsidRPr="002553F9">
        <w:rPr>
          <w:sz w:val="20"/>
          <w:szCs w:val="20"/>
        </w:rPr>
        <w:t>In the formulat</w:t>
      </w:r>
      <w:r>
        <w:rPr>
          <w:sz w:val="20"/>
          <w:szCs w:val="20"/>
        </w:rPr>
        <w:t>ion of policy in the FBT area, G</w:t>
      </w:r>
      <w:r w:rsidRPr="002553F9">
        <w:rPr>
          <w:sz w:val="20"/>
          <w:szCs w:val="20"/>
        </w:rPr>
        <w:t xml:space="preserve">overnment must consider what it would mean to the SACS sector and the delivery of the </w:t>
      </w:r>
      <w:r w:rsidR="0012717E">
        <w:rPr>
          <w:sz w:val="20"/>
          <w:szCs w:val="20"/>
        </w:rPr>
        <w:t>delivery of a comprehensive social policy directed at decreasing disadvantage</w:t>
      </w:r>
      <w:r w:rsidRPr="002553F9">
        <w:rPr>
          <w:sz w:val="20"/>
          <w:szCs w:val="20"/>
        </w:rPr>
        <w:t xml:space="preserve">. </w:t>
      </w:r>
    </w:p>
    <w:p w14:paraId="53784CD6" w14:textId="77777777" w:rsidR="00E6698F" w:rsidRPr="00E6698F" w:rsidRDefault="00E6698F" w:rsidP="00E6698F">
      <w:pPr>
        <w:pStyle w:val="Heading2"/>
        <w:rPr>
          <w:rFonts w:cs="Arial"/>
          <w:i/>
          <w:color w:val="8DB3E2" w:themeColor="text2" w:themeTint="66"/>
          <w:szCs w:val="24"/>
        </w:rPr>
      </w:pPr>
      <w:bookmarkStart w:id="12" w:name="_Toc420937964"/>
      <w:r>
        <w:rPr>
          <w:i/>
          <w:color w:val="8DB3E2" w:themeColor="text2" w:themeTint="66"/>
        </w:rPr>
        <w:t>Equal remuneration case</w:t>
      </w:r>
      <w:bookmarkEnd w:id="12"/>
    </w:p>
    <w:p w14:paraId="4928882E" w14:textId="77777777" w:rsidR="00E6698F" w:rsidRDefault="00E6698F" w:rsidP="00CF51FB">
      <w:pPr>
        <w:rPr>
          <w:rFonts w:cs="Arial"/>
          <w:szCs w:val="24"/>
        </w:rPr>
      </w:pPr>
    </w:p>
    <w:p w14:paraId="32FD2FC4" w14:textId="77777777" w:rsidR="00E6698F" w:rsidRPr="0062624E" w:rsidRDefault="00702E53" w:rsidP="00727651">
      <w:pPr>
        <w:autoSpaceDE w:val="0"/>
        <w:autoSpaceDN w:val="0"/>
        <w:adjustRightInd w:val="0"/>
        <w:rPr>
          <w:rFonts w:cs="Arial"/>
          <w:szCs w:val="20"/>
        </w:rPr>
      </w:pPr>
      <w:r w:rsidRPr="0062624E">
        <w:rPr>
          <w:rFonts w:cs="Arial"/>
          <w:szCs w:val="20"/>
        </w:rPr>
        <w:t xml:space="preserve">The ASU, together with four other applicants, </w:t>
      </w:r>
      <w:r w:rsidR="0062624E">
        <w:rPr>
          <w:rFonts w:cs="Arial"/>
          <w:szCs w:val="20"/>
        </w:rPr>
        <w:t>successful</w:t>
      </w:r>
      <w:r w:rsidR="007141DE">
        <w:rPr>
          <w:rFonts w:cs="Arial"/>
          <w:szCs w:val="20"/>
        </w:rPr>
        <w:t>ly</w:t>
      </w:r>
      <w:r w:rsidR="0062624E">
        <w:rPr>
          <w:rFonts w:cs="Arial"/>
          <w:szCs w:val="20"/>
        </w:rPr>
        <w:t xml:space="preserve"> ran</w:t>
      </w:r>
      <w:r w:rsidRPr="0062624E">
        <w:rPr>
          <w:rFonts w:cs="Arial"/>
          <w:szCs w:val="20"/>
        </w:rPr>
        <w:t xml:space="preserve"> </w:t>
      </w:r>
      <w:r w:rsidR="00727651">
        <w:rPr>
          <w:rFonts w:cs="Arial"/>
          <w:szCs w:val="20"/>
        </w:rPr>
        <w:t>an Equal R</w:t>
      </w:r>
      <w:r w:rsidR="0062624E" w:rsidRPr="0062624E">
        <w:rPr>
          <w:rFonts w:cs="Arial"/>
          <w:szCs w:val="20"/>
        </w:rPr>
        <w:t xml:space="preserve">emuneration </w:t>
      </w:r>
      <w:r w:rsidR="00727651">
        <w:rPr>
          <w:rFonts w:cs="Arial"/>
          <w:szCs w:val="20"/>
        </w:rPr>
        <w:t>C</w:t>
      </w:r>
      <w:r w:rsidRPr="0062624E">
        <w:rPr>
          <w:rFonts w:cs="Arial"/>
          <w:szCs w:val="20"/>
        </w:rPr>
        <w:t>ase in respect of workers in the social,</w:t>
      </w:r>
      <w:r w:rsidR="0062624E" w:rsidRPr="0062624E">
        <w:rPr>
          <w:rFonts w:cs="Arial"/>
          <w:szCs w:val="20"/>
        </w:rPr>
        <w:t xml:space="preserve"> </w:t>
      </w:r>
      <w:r w:rsidRPr="0062624E">
        <w:rPr>
          <w:rFonts w:cs="Arial"/>
          <w:szCs w:val="20"/>
        </w:rPr>
        <w:t>community and disability services sectors</w:t>
      </w:r>
      <w:r w:rsidR="00727651">
        <w:rPr>
          <w:rFonts w:cs="Arial"/>
          <w:szCs w:val="20"/>
        </w:rPr>
        <w:t xml:space="preserve"> </w:t>
      </w:r>
      <w:r w:rsidR="00727651">
        <w:t>on the basis that employees in that sector had been underpaid for reasons related to gender.</w:t>
      </w:r>
      <w:r w:rsidRPr="0062624E">
        <w:rPr>
          <w:rFonts w:cs="Arial"/>
          <w:szCs w:val="20"/>
        </w:rPr>
        <w:t xml:space="preserve"> </w:t>
      </w:r>
      <w:r w:rsidR="00727651">
        <w:t>The Commonwealth Government and some state governments supported the case, including through committing to increased funding of the SACS sector.</w:t>
      </w:r>
    </w:p>
    <w:p w14:paraId="361E50FD" w14:textId="77777777" w:rsidR="00727651" w:rsidRDefault="00727651" w:rsidP="00CF51FB">
      <w:pPr>
        <w:rPr>
          <w:rFonts w:cs="Arial"/>
          <w:szCs w:val="20"/>
        </w:rPr>
      </w:pPr>
    </w:p>
    <w:p w14:paraId="4415CB22" w14:textId="77777777" w:rsidR="0062624E" w:rsidRDefault="0062624E" w:rsidP="00CF51FB">
      <w:pPr>
        <w:rPr>
          <w:rFonts w:cs="Arial"/>
          <w:szCs w:val="20"/>
        </w:rPr>
      </w:pPr>
      <w:r>
        <w:rPr>
          <w:rFonts w:cs="Arial"/>
          <w:szCs w:val="20"/>
        </w:rPr>
        <w:t>Importantly th</w:t>
      </w:r>
      <w:r w:rsidR="00E6698F" w:rsidRPr="0062624E">
        <w:rPr>
          <w:rFonts w:cs="Arial"/>
          <w:szCs w:val="20"/>
        </w:rPr>
        <w:t xml:space="preserve">e Equal Remuneration Order </w:t>
      </w:r>
      <w:r>
        <w:rPr>
          <w:rFonts w:cs="Arial"/>
          <w:szCs w:val="20"/>
        </w:rPr>
        <w:t>recognises that</w:t>
      </w:r>
      <w:r w:rsidR="00E6698F" w:rsidRPr="0062624E">
        <w:rPr>
          <w:rFonts w:cs="Arial"/>
          <w:szCs w:val="20"/>
        </w:rPr>
        <w:t xml:space="preserve"> salary packaging</w:t>
      </w:r>
      <w:r>
        <w:rPr>
          <w:rFonts w:cs="Arial"/>
          <w:szCs w:val="20"/>
        </w:rPr>
        <w:t xml:space="preserve"> should be</w:t>
      </w:r>
      <w:r w:rsidR="00E6698F" w:rsidRPr="0062624E">
        <w:rPr>
          <w:rFonts w:cs="Arial"/>
          <w:szCs w:val="20"/>
        </w:rPr>
        <w:t xml:space="preserve"> explicitly provided for</w:t>
      </w:r>
      <w:r>
        <w:rPr>
          <w:rFonts w:cs="Arial"/>
          <w:szCs w:val="20"/>
        </w:rPr>
        <w:t>:</w:t>
      </w:r>
    </w:p>
    <w:p w14:paraId="131EAD4C" w14:textId="77777777" w:rsidR="0062624E" w:rsidRDefault="0062624E" w:rsidP="00CF51FB">
      <w:pPr>
        <w:rPr>
          <w:rFonts w:cs="Arial"/>
          <w:szCs w:val="20"/>
        </w:rPr>
      </w:pPr>
    </w:p>
    <w:p w14:paraId="1AEAFD33" w14:textId="77777777" w:rsidR="00E6698F" w:rsidRPr="0062624E" w:rsidRDefault="00E6698F" w:rsidP="0062624E">
      <w:pPr>
        <w:ind w:left="567"/>
        <w:rPr>
          <w:rFonts w:cs="Arial"/>
          <w:szCs w:val="20"/>
        </w:rPr>
      </w:pPr>
      <w:r w:rsidRPr="0062624E">
        <w:rPr>
          <w:rFonts w:cs="Arial"/>
          <w:b/>
          <w:szCs w:val="20"/>
        </w:rPr>
        <w:t>[</w:t>
      </w:r>
      <w:r w:rsidRPr="0062624E">
        <w:rPr>
          <w:rFonts w:cs="Arial"/>
          <w:b/>
          <w:bCs/>
          <w:szCs w:val="20"/>
        </w:rPr>
        <w:t>76]</w:t>
      </w:r>
      <w:r w:rsidRPr="0062624E">
        <w:rPr>
          <w:rFonts w:cs="Arial"/>
          <w:szCs w:val="20"/>
        </w:rPr>
        <w:t xml:space="preserve"> ... In our view, it would be appropriate to provide that any amounts payable under the equal remuneration order could be subject to salary packaging, complementing the provisions of the modern award in that respect.</w:t>
      </w:r>
      <w:r w:rsidRPr="0062624E">
        <w:rPr>
          <w:rStyle w:val="FootnoteReference"/>
          <w:rFonts w:cs="Arial"/>
          <w:szCs w:val="20"/>
        </w:rPr>
        <w:footnoteReference w:id="22"/>
      </w:r>
    </w:p>
    <w:p w14:paraId="44005708" w14:textId="77777777" w:rsidR="00ED7B34" w:rsidRDefault="00ED7B34" w:rsidP="00CF51FB">
      <w:pPr>
        <w:rPr>
          <w:rFonts w:cs="Arial"/>
          <w:szCs w:val="24"/>
        </w:rPr>
      </w:pPr>
    </w:p>
    <w:p w14:paraId="5C17AF03" w14:textId="77777777" w:rsidR="00727651" w:rsidRDefault="00727651" w:rsidP="00727651">
      <w:pPr>
        <w:rPr>
          <w:rFonts w:cs="Arial"/>
          <w:szCs w:val="24"/>
        </w:rPr>
      </w:pPr>
      <w:r>
        <w:t>The ASU believes i</w:t>
      </w:r>
      <w:r w:rsidR="005C585A">
        <w:t>t would be unjust if the increase in gross earnings awarded by FWA to remedy gender-based undervaluation were to be offset by a reduction in take-home pay stemming from reform to FBT concessions.</w:t>
      </w:r>
      <w:r>
        <w:t xml:space="preserve"> </w:t>
      </w:r>
      <w:r>
        <w:rPr>
          <w:rFonts w:cs="Arial"/>
          <w:szCs w:val="24"/>
        </w:rPr>
        <w:t>It is therefore vital that the tax concessions currently available to NFP organisations continue well into the future.</w:t>
      </w:r>
    </w:p>
    <w:p w14:paraId="13A1EF84" w14:textId="77777777" w:rsidR="005C585A" w:rsidRDefault="005C585A" w:rsidP="005C585A"/>
    <w:p w14:paraId="466E643C" w14:textId="77777777" w:rsidR="006F4F80" w:rsidRDefault="006F4F80" w:rsidP="005C585A"/>
    <w:p w14:paraId="14081E01" w14:textId="77777777" w:rsidR="005E2FA0" w:rsidRPr="0004149C" w:rsidRDefault="005E2FA0" w:rsidP="005E2FA0">
      <w:pPr>
        <w:pStyle w:val="Heading1"/>
        <w:rPr>
          <w:color w:val="4F81BD" w:themeColor="accent1"/>
          <w:sz w:val="40"/>
        </w:rPr>
      </w:pPr>
      <w:bookmarkStart w:id="13" w:name="_Toc420937965"/>
      <w:r>
        <w:rPr>
          <w:rFonts w:eastAsia="Times New Roman"/>
          <w:color w:val="4F81BD" w:themeColor="accent1"/>
          <w:lang w:eastAsia="en-AU"/>
        </w:rPr>
        <w:t>Multinational tax avoidance</w:t>
      </w:r>
      <w:bookmarkEnd w:id="13"/>
    </w:p>
    <w:p w14:paraId="1673B56D" w14:textId="77777777" w:rsidR="005E2FA0" w:rsidRDefault="005E2FA0" w:rsidP="005E2FA0">
      <w:pPr>
        <w:rPr>
          <w:rFonts w:ascii="TheSans-B4SemiLight" w:hAnsi="TheSans-B4SemiLight" w:cs="TheSans-B4SemiLight"/>
          <w:sz w:val="24"/>
          <w:szCs w:val="24"/>
        </w:rPr>
      </w:pPr>
    </w:p>
    <w:p w14:paraId="7003DEC0" w14:textId="77777777" w:rsidR="005E2FA0" w:rsidRDefault="005E2FA0" w:rsidP="005E2FA0">
      <w:pPr>
        <w:rPr>
          <w:rFonts w:cs="Arial"/>
          <w:szCs w:val="20"/>
          <w:lang w:val="en"/>
        </w:rPr>
      </w:pPr>
      <w:r w:rsidRPr="00E55992">
        <w:rPr>
          <w:rFonts w:cs="Arial"/>
          <w:szCs w:val="20"/>
          <w:lang w:val="en"/>
        </w:rPr>
        <w:t>The Tax White Paper acknowledges multinational tax avoidance as a threat to the revenue-raising capacity of tax systems</w:t>
      </w:r>
      <w:r>
        <w:rPr>
          <w:rFonts w:cs="Arial"/>
          <w:szCs w:val="20"/>
          <w:lang w:val="en"/>
        </w:rPr>
        <w:t xml:space="preserve"> and the importance of ensuring that companies that conduct business in Australia pay tax in Australia</w:t>
      </w:r>
      <w:r w:rsidRPr="00E55992">
        <w:rPr>
          <w:rFonts w:cs="Arial"/>
          <w:szCs w:val="20"/>
          <w:lang w:val="en"/>
        </w:rPr>
        <w:t>.</w:t>
      </w:r>
    </w:p>
    <w:p w14:paraId="5F8568E1" w14:textId="77777777" w:rsidR="005E2FA0" w:rsidRDefault="005E2FA0" w:rsidP="005E2FA0">
      <w:pPr>
        <w:rPr>
          <w:rFonts w:cs="Arial"/>
          <w:szCs w:val="20"/>
          <w:lang w:val="en"/>
        </w:rPr>
      </w:pPr>
    </w:p>
    <w:p w14:paraId="1C15669E" w14:textId="77777777" w:rsidR="005E2FA0" w:rsidRDefault="005E2FA0" w:rsidP="005E2FA0">
      <w:pPr>
        <w:rPr>
          <w:rFonts w:cs="Arial"/>
          <w:szCs w:val="20"/>
          <w:lang w:val="en"/>
        </w:rPr>
      </w:pPr>
      <w:r>
        <w:rPr>
          <w:rFonts w:cs="Arial"/>
          <w:szCs w:val="20"/>
          <w:lang w:val="en"/>
        </w:rPr>
        <w:t xml:space="preserve">The ASU is concerned the Tax White Paper did not focus enough on the issue of multinational tax avoidance or Base Erosion and Profit Shifting (BEPS) with the paper only citing the two year G20/OECD BEPS Action Plan currently being developed to address deficiencies in the international tax system to be finalised by December 2015. </w:t>
      </w:r>
    </w:p>
    <w:p w14:paraId="7C0E7DEE" w14:textId="77777777" w:rsidR="005E2FA0" w:rsidRDefault="005E2FA0" w:rsidP="005E2FA0">
      <w:pPr>
        <w:rPr>
          <w:rFonts w:cs="Arial"/>
          <w:szCs w:val="20"/>
          <w:lang w:val="en"/>
        </w:rPr>
      </w:pPr>
    </w:p>
    <w:p w14:paraId="53021F0D" w14:textId="77777777" w:rsidR="005E2FA0" w:rsidRDefault="005E2FA0" w:rsidP="005E2FA0">
      <w:pPr>
        <w:rPr>
          <w:rFonts w:cs="Arial"/>
          <w:szCs w:val="20"/>
          <w:lang w:val="en"/>
        </w:rPr>
      </w:pPr>
      <w:r>
        <w:rPr>
          <w:rFonts w:cs="Arial"/>
          <w:szCs w:val="20"/>
          <w:lang w:val="en"/>
        </w:rPr>
        <w:t>Associate Professor Anthony Ting questi</w:t>
      </w:r>
      <w:r w:rsidR="0027039C">
        <w:rPr>
          <w:rFonts w:cs="Arial"/>
          <w:szCs w:val="20"/>
          <w:lang w:val="en"/>
        </w:rPr>
        <w:t>ons whether Australia should re</w:t>
      </w:r>
      <w:r>
        <w:rPr>
          <w:rFonts w:cs="Arial"/>
          <w:szCs w:val="20"/>
          <w:lang w:val="en"/>
        </w:rPr>
        <w:t>ly on the G20/OECD BEPS project to deliver effective anti-BEPS tax policies given the involvement of the US in the BEPS project and its primary objective to minimise the impact of the Project on the US and its multinationals</w:t>
      </w:r>
      <w:r>
        <w:rPr>
          <w:rStyle w:val="FootnoteReference"/>
          <w:rFonts w:cs="Arial"/>
          <w:szCs w:val="20"/>
          <w:lang w:val="en"/>
        </w:rPr>
        <w:footnoteReference w:id="23"/>
      </w:r>
      <w:r>
        <w:rPr>
          <w:rFonts w:cs="Arial"/>
          <w:szCs w:val="20"/>
          <w:lang w:val="en"/>
        </w:rPr>
        <w:t>.</w:t>
      </w:r>
    </w:p>
    <w:p w14:paraId="136E1EDA" w14:textId="77777777" w:rsidR="005E2FA0" w:rsidRDefault="005E2FA0" w:rsidP="005E2FA0">
      <w:pPr>
        <w:rPr>
          <w:rFonts w:cs="Arial"/>
          <w:szCs w:val="20"/>
          <w:lang w:val="en"/>
        </w:rPr>
      </w:pPr>
    </w:p>
    <w:p w14:paraId="02A23E9B" w14:textId="77777777" w:rsidR="005E2FA0" w:rsidRPr="000B10FA" w:rsidRDefault="005E2FA0" w:rsidP="005E2FA0">
      <w:pPr>
        <w:rPr>
          <w:lang w:val="en-US"/>
        </w:rPr>
      </w:pPr>
      <w:r>
        <w:rPr>
          <w:lang w:val="en-US"/>
        </w:rPr>
        <w:t>There is very strong public support for forcing multinational companies to pay a minimum tax rate on their Australian earnings, with a recent Essential Report from 31 March 2015 showing 43% of voters “strongly supporting” it, another 33% supporting it and only 8% opposing it or strongly opposing it</w:t>
      </w:r>
      <w:r>
        <w:rPr>
          <w:rStyle w:val="FootnoteReference"/>
          <w:lang w:val="en-US"/>
        </w:rPr>
        <w:footnoteReference w:id="24"/>
      </w:r>
      <w:r>
        <w:rPr>
          <w:lang w:val="en-US"/>
        </w:rPr>
        <w:t xml:space="preserve">. </w:t>
      </w:r>
      <w:r w:rsidRPr="000B10FA">
        <w:rPr>
          <w:lang w:val="en-US"/>
        </w:rPr>
        <w:t xml:space="preserve">Furthermore </w:t>
      </w:r>
      <w:r w:rsidRPr="000B10FA">
        <w:rPr>
          <w:rFonts w:cs="Arial"/>
          <w:szCs w:val="20"/>
          <w:lang w:val="en-US"/>
        </w:rPr>
        <w:t>60% think that making big multinational corporations pay more tax would be good for the economy because it would increase Government revenue</w:t>
      </w:r>
      <w:r w:rsidRPr="000B10FA">
        <w:rPr>
          <w:rStyle w:val="FootnoteReference"/>
          <w:rFonts w:cs="Arial"/>
          <w:szCs w:val="20"/>
          <w:lang w:val="en-US"/>
        </w:rPr>
        <w:footnoteReference w:id="25"/>
      </w:r>
      <w:r w:rsidRPr="000B10FA">
        <w:rPr>
          <w:rFonts w:cs="Arial"/>
          <w:szCs w:val="20"/>
          <w:lang w:val="en-US"/>
        </w:rPr>
        <w:t>.</w:t>
      </w:r>
    </w:p>
    <w:p w14:paraId="254876A2" w14:textId="77777777" w:rsidR="005E2FA0" w:rsidRDefault="005E2FA0" w:rsidP="005E2FA0">
      <w:pPr>
        <w:rPr>
          <w:lang w:val="en-US"/>
        </w:rPr>
      </w:pPr>
    </w:p>
    <w:p w14:paraId="67FBF2C7" w14:textId="77777777" w:rsidR="005E2FA0" w:rsidRDefault="005E2FA0" w:rsidP="005E2FA0">
      <w:pPr>
        <w:rPr>
          <w:lang w:val="en-US"/>
        </w:rPr>
      </w:pPr>
      <w:r>
        <w:rPr>
          <w:lang w:val="en-US"/>
        </w:rPr>
        <w:t xml:space="preserve">The ASU would like to see the Tax White Paper tackle the issue of tax avoidance by multinational corporations as activities such as profit-shifting costs the Australian community billions of dollars in lost revenue each year. </w:t>
      </w:r>
    </w:p>
    <w:p w14:paraId="479DA98A" w14:textId="77777777" w:rsidR="005E2FA0" w:rsidRDefault="005E2FA0" w:rsidP="005E2FA0">
      <w:pPr>
        <w:rPr>
          <w:lang w:val="en-US"/>
        </w:rPr>
      </w:pPr>
    </w:p>
    <w:p w14:paraId="067DE688" w14:textId="77777777" w:rsidR="005E2FA0" w:rsidRDefault="005E2FA0" w:rsidP="005E2FA0">
      <w:pPr>
        <w:rPr>
          <w:lang w:val="en-US"/>
        </w:rPr>
      </w:pPr>
      <w:r>
        <w:rPr>
          <w:lang w:val="en-US"/>
        </w:rPr>
        <w:t>The key issue is that these profit-shifting and tax avoidance structures are perfectly legal under the current tax system. The ATO and other tax administrations are fully aware of how these structures operate but are unable to stop multinational corporations from continuing to shift their profits from Australia.</w:t>
      </w:r>
    </w:p>
    <w:p w14:paraId="2701A941" w14:textId="77777777" w:rsidR="005E2FA0" w:rsidRDefault="005E2FA0" w:rsidP="005E2FA0">
      <w:pPr>
        <w:rPr>
          <w:lang w:val="en-US"/>
        </w:rPr>
      </w:pPr>
    </w:p>
    <w:p w14:paraId="05C6DEC9" w14:textId="77777777" w:rsidR="005E2FA0" w:rsidRDefault="005E2FA0" w:rsidP="005E2FA0">
      <w:r>
        <w:t>The ASU agrees with the ACTU’s Congress policy</w:t>
      </w:r>
      <w:r>
        <w:rPr>
          <w:rStyle w:val="FootnoteReference"/>
        </w:rPr>
        <w:footnoteReference w:id="26"/>
      </w:r>
      <w:r>
        <w:t xml:space="preserve"> to adopt the following measures:</w:t>
      </w:r>
    </w:p>
    <w:p w14:paraId="395D7307" w14:textId="77777777" w:rsidR="005E2FA0" w:rsidRDefault="005E2FA0" w:rsidP="005E2FA0"/>
    <w:p w14:paraId="51129B40" w14:textId="77777777" w:rsidR="005E2FA0" w:rsidRDefault="005E2FA0" w:rsidP="005E2FA0">
      <w:pPr>
        <w:tabs>
          <w:tab w:val="left" w:pos="709"/>
        </w:tabs>
        <w:ind w:left="709" w:hanging="425"/>
      </w:pPr>
      <w:r>
        <w:t xml:space="preserve">a) </w:t>
      </w:r>
      <w:r>
        <w:tab/>
        <w:t xml:space="preserve">Halt and reverse cuts to ATO staffing and resources. A fair and effective system of taxation requires an ATO with the skills and capacity to keep pace with tax avoidance strategies and to ensure compliance; </w:t>
      </w:r>
    </w:p>
    <w:p w14:paraId="51DAB992" w14:textId="77777777" w:rsidR="005E2FA0" w:rsidRDefault="005E2FA0" w:rsidP="005E2FA0">
      <w:pPr>
        <w:tabs>
          <w:tab w:val="left" w:pos="709"/>
        </w:tabs>
        <w:ind w:left="709" w:hanging="425"/>
      </w:pPr>
    </w:p>
    <w:p w14:paraId="4F0DEF47" w14:textId="77777777" w:rsidR="005E2FA0" w:rsidRDefault="005E2FA0" w:rsidP="005E2FA0">
      <w:pPr>
        <w:tabs>
          <w:tab w:val="left" w:pos="709"/>
        </w:tabs>
        <w:ind w:left="709" w:hanging="425"/>
      </w:pPr>
      <w:r>
        <w:t xml:space="preserve">b) </w:t>
      </w:r>
      <w:r>
        <w:tab/>
        <w:t xml:space="preserve">Initiate an inquiry into the practicality and revenue-raising potential of a ‘diverted profits tax’ (or ‘Google Tax’) in an Australian context; </w:t>
      </w:r>
    </w:p>
    <w:p w14:paraId="64A15D71" w14:textId="77777777" w:rsidR="005E2FA0" w:rsidRDefault="005E2FA0" w:rsidP="005E2FA0">
      <w:pPr>
        <w:tabs>
          <w:tab w:val="left" w:pos="709"/>
        </w:tabs>
        <w:ind w:left="709" w:hanging="425"/>
      </w:pPr>
    </w:p>
    <w:p w14:paraId="1D8AB269" w14:textId="77777777" w:rsidR="005E2FA0" w:rsidRDefault="005E2FA0" w:rsidP="005E2FA0">
      <w:pPr>
        <w:tabs>
          <w:tab w:val="left" w:pos="709"/>
        </w:tabs>
        <w:ind w:left="709" w:hanging="425"/>
      </w:pPr>
      <w:r>
        <w:t xml:space="preserve">c) </w:t>
      </w:r>
      <w:r>
        <w:tab/>
        <w:t>Support coordinated international action to tax transnational corporations on a unitary basis rather than as a series of separate legal entities;</w:t>
      </w:r>
    </w:p>
    <w:p w14:paraId="6CEB315F" w14:textId="77777777" w:rsidR="005E2FA0" w:rsidRDefault="005E2FA0" w:rsidP="005E2FA0">
      <w:pPr>
        <w:tabs>
          <w:tab w:val="left" w:pos="709"/>
        </w:tabs>
        <w:ind w:left="709" w:hanging="425"/>
      </w:pPr>
    </w:p>
    <w:p w14:paraId="15D1F171" w14:textId="77777777" w:rsidR="005E2FA0" w:rsidRDefault="005E2FA0" w:rsidP="005E2FA0">
      <w:pPr>
        <w:tabs>
          <w:tab w:val="left" w:pos="709"/>
        </w:tabs>
        <w:ind w:left="709" w:hanging="425"/>
      </w:pPr>
      <w:r>
        <w:t xml:space="preserve">d) </w:t>
      </w:r>
      <w:r>
        <w:tab/>
        <w:t>Amend the thin capitalisation rules so that the deductions transnational corporations can claim for debt in Australia are assessed according to the average debt-to-equity ratio across all the corporation’s constituent operations;</w:t>
      </w:r>
    </w:p>
    <w:p w14:paraId="32282D21" w14:textId="77777777" w:rsidR="005E2FA0" w:rsidRDefault="005E2FA0" w:rsidP="005E2FA0">
      <w:pPr>
        <w:tabs>
          <w:tab w:val="left" w:pos="709"/>
        </w:tabs>
        <w:ind w:left="709" w:hanging="425"/>
      </w:pPr>
    </w:p>
    <w:p w14:paraId="4A5823DA" w14:textId="77777777" w:rsidR="005E2FA0" w:rsidRDefault="005E2FA0" w:rsidP="005E2FA0">
      <w:pPr>
        <w:tabs>
          <w:tab w:val="left" w:pos="709"/>
        </w:tabs>
        <w:ind w:left="709" w:hanging="425"/>
      </w:pPr>
      <w:r>
        <w:t xml:space="preserve">e) </w:t>
      </w:r>
      <w:r>
        <w:tab/>
        <w:t>Remove opportunities for tax avoidance by wealthy individuals by reforming the tax treatment of vehicles such as SMSFs and discretionary trusts;</w:t>
      </w:r>
    </w:p>
    <w:p w14:paraId="32644C5F" w14:textId="77777777" w:rsidR="005E2FA0" w:rsidRDefault="005E2FA0" w:rsidP="005E2FA0">
      <w:pPr>
        <w:tabs>
          <w:tab w:val="left" w:pos="709"/>
        </w:tabs>
        <w:ind w:left="709" w:hanging="425"/>
      </w:pPr>
    </w:p>
    <w:p w14:paraId="4CD29ABF" w14:textId="77777777" w:rsidR="005E2FA0" w:rsidRDefault="005E2FA0" w:rsidP="005E2FA0">
      <w:pPr>
        <w:tabs>
          <w:tab w:val="left" w:pos="709"/>
        </w:tabs>
        <w:ind w:left="709" w:hanging="425"/>
      </w:pPr>
      <w:r>
        <w:t xml:space="preserve">f) </w:t>
      </w:r>
      <w:r>
        <w:tab/>
        <w:t>Tighter targeting of tax breaks for companies, to ensure they support genuine research and development, and to help keep jobs in Australia; and</w:t>
      </w:r>
    </w:p>
    <w:p w14:paraId="4687811B" w14:textId="77777777" w:rsidR="005E2FA0" w:rsidRDefault="005E2FA0" w:rsidP="005E2FA0">
      <w:pPr>
        <w:tabs>
          <w:tab w:val="left" w:pos="709"/>
        </w:tabs>
        <w:ind w:left="709" w:hanging="425"/>
      </w:pPr>
    </w:p>
    <w:p w14:paraId="5770BBFA" w14:textId="77777777" w:rsidR="005E2FA0" w:rsidRDefault="005E2FA0" w:rsidP="005E2FA0">
      <w:pPr>
        <w:tabs>
          <w:tab w:val="left" w:pos="709"/>
        </w:tabs>
        <w:ind w:left="709" w:hanging="425"/>
      </w:pPr>
      <w:r>
        <w:t xml:space="preserve">g) </w:t>
      </w:r>
      <w:r>
        <w:tab/>
        <w:t xml:space="preserve">Ensure that sham contractors are not able to obtain a tax advantage over other employees by improving the tax law test for distinguishing between </w:t>
      </w:r>
      <w:r w:rsidR="008C0213">
        <w:t xml:space="preserve">genuine and sham contractors.  </w:t>
      </w:r>
    </w:p>
    <w:p w14:paraId="1AE8577D" w14:textId="77777777" w:rsidR="005E2FA0" w:rsidRDefault="005E2FA0" w:rsidP="005E2FA0">
      <w:pPr>
        <w:rPr>
          <w:lang w:val="en-US"/>
        </w:rPr>
      </w:pPr>
    </w:p>
    <w:p w14:paraId="5E711EF0" w14:textId="77777777" w:rsidR="005E2FA0" w:rsidRDefault="005E2FA0" w:rsidP="005E2FA0">
      <w:pPr>
        <w:rPr>
          <w:rFonts w:cs="Arial"/>
          <w:szCs w:val="20"/>
          <w:lang w:val="en"/>
        </w:rPr>
      </w:pPr>
    </w:p>
    <w:p w14:paraId="34BCD6CC" w14:textId="77777777" w:rsidR="005E2FA0" w:rsidRDefault="005E2FA0" w:rsidP="005E2FA0">
      <w:pPr>
        <w:rPr>
          <w:rFonts w:cs="Arial"/>
          <w:szCs w:val="20"/>
        </w:rPr>
      </w:pPr>
      <w:r>
        <w:rPr>
          <w:rFonts w:cs="Arial"/>
          <w:szCs w:val="20"/>
          <w:lang w:val="en"/>
        </w:rPr>
        <w:t xml:space="preserve">In the interim the Government has made a unilateral decision in regards to multinationals and in its 2015 Budget has announced the </w:t>
      </w:r>
      <w:r w:rsidRPr="00E55992">
        <w:rPr>
          <w:rFonts w:cs="Arial"/>
          <w:szCs w:val="20"/>
        </w:rPr>
        <w:t>introduction of the Multinational Anti-Avoidance Law</w:t>
      </w:r>
      <w:r>
        <w:rPr>
          <w:rFonts w:cs="Arial"/>
          <w:szCs w:val="20"/>
        </w:rPr>
        <w:t xml:space="preserve">. </w:t>
      </w:r>
      <w:r w:rsidRPr="00E55992">
        <w:rPr>
          <w:rFonts w:cs="Arial"/>
          <w:szCs w:val="20"/>
        </w:rPr>
        <w:t>The ASU is pleased to see the Government taking action on multinationals that exploit loopholes and artificially structure their business to avoid paying tax in Australia or elsewhere in the world.</w:t>
      </w:r>
    </w:p>
    <w:p w14:paraId="4B892261" w14:textId="77777777" w:rsidR="005E2FA0" w:rsidRDefault="005E2FA0" w:rsidP="005E2FA0">
      <w:pPr>
        <w:rPr>
          <w:rFonts w:ascii="Times New Roman" w:hAnsi="Times New Roman" w:cs="Times New Roman"/>
          <w:sz w:val="24"/>
          <w:szCs w:val="24"/>
        </w:rPr>
      </w:pPr>
    </w:p>
    <w:p w14:paraId="66F8CE02" w14:textId="77777777" w:rsidR="005E2FA0" w:rsidRDefault="005E2FA0" w:rsidP="00CF51FB">
      <w:pPr>
        <w:rPr>
          <w:rFonts w:cs="Arial"/>
          <w:szCs w:val="24"/>
        </w:rPr>
      </w:pPr>
    </w:p>
    <w:p w14:paraId="72041CB5" w14:textId="77777777" w:rsidR="007D4B47" w:rsidRDefault="007D4B47" w:rsidP="007D4B47">
      <w:pPr>
        <w:pStyle w:val="Heading1"/>
        <w:rPr>
          <w:rFonts w:eastAsia="Times New Roman"/>
          <w:color w:val="4F81BD" w:themeColor="accent1"/>
          <w:lang w:eastAsia="en-AU"/>
        </w:rPr>
      </w:pPr>
      <w:bookmarkStart w:id="14" w:name="_Toc420937966"/>
      <w:r>
        <w:rPr>
          <w:rFonts w:eastAsia="Times New Roman"/>
          <w:color w:val="4F81BD" w:themeColor="accent1"/>
          <w:lang w:eastAsia="en-AU"/>
        </w:rPr>
        <w:t>Features of state (including local government taxes)</w:t>
      </w:r>
      <w:bookmarkEnd w:id="14"/>
    </w:p>
    <w:p w14:paraId="22CE40DE" w14:textId="77777777" w:rsidR="007D4B47" w:rsidRDefault="007D4B47" w:rsidP="007D4B47"/>
    <w:p w14:paraId="5D9B5AE4" w14:textId="77777777" w:rsidR="00423C3A" w:rsidRPr="008E3AE2" w:rsidRDefault="00423C3A" w:rsidP="00423C3A">
      <w:r w:rsidRPr="008E3AE2">
        <w:t xml:space="preserve">Local Government plays a significant role in supporting communities and strengthening local </w:t>
      </w:r>
      <w:r>
        <w:t xml:space="preserve">community </w:t>
      </w:r>
      <w:r w:rsidRPr="008E3AE2">
        <w:t>resilience</w:t>
      </w:r>
      <w:r>
        <w:t xml:space="preserve"> and cohesion.  In addition, local government can assist in promoting the economic development of local economies</w:t>
      </w:r>
      <w:r w:rsidRPr="008E3AE2">
        <w:t>.</w:t>
      </w:r>
      <w:r>
        <w:rPr>
          <w:rStyle w:val="FootnoteReference"/>
        </w:rPr>
        <w:footnoteReference w:id="27"/>
      </w:r>
      <w:r w:rsidRPr="008E3AE2">
        <w:t xml:space="preserve"> </w:t>
      </w:r>
      <w:r w:rsidRPr="008E3AE2">
        <w:rPr>
          <w:rFonts w:eastAsia="Times New Roman"/>
        </w:rPr>
        <w:t>It is an important employer in rural and regional areas and the economic strength of these regions is increased by the capacity of local government.</w:t>
      </w:r>
    </w:p>
    <w:p w14:paraId="2BFAB94B" w14:textId="77777777" w:rsidR="00423C3A" w:rsidRDefault="00423C3A" w:rsidP="00423C3A"/>
    <w:p w14:paraId="4CA32B44" w14:textId="77777777" w:rsidR="00423C3A" w:rsidRDefault="00423C3A" w:rsidP="00423C3A">
      <w:r>
        <w:t>Local government receives funding from various sources including from municipal rates, fees and charges for services, intergovernmental grants, developer charges, income interest and other minor sources.</w:t>
      </w:r>
    </w:p>
    <w:p w14:paraId="2ABFB24F" w14:textId="77777777" w:rsidR="00423C3A" w:rsidRDefault="00423C3A" w:rsidP="00423C3A"/>
    <w:p w14:paraId="17285C0A" w14:textId="77777777" w:rsidR="00423C3A" w:rsidRDefault="00423C3A" w:rsidP="00423C3A">
      <w:r>
        <w:t xml:space="preserve">Municipal rates are a form of tax and are the sole form of local government generated tax revenue. </w:t>
      </w:r>
    </w:p>
    <w:p w14:paraId="025FAF39" w14:textId="77777777" w:rsidR="00423C3A" w:rsidRDefault="00423C3A" w:rsidP="00423C3A"/>
    <w:p w14:paraId="2BD1CB0A" w14:textId="77777777" w:rsidR="00423C3A" w:rsidRDefault="00423C3A" w:rsidP="00423C3A">
      <w:r>
        <w:t xml:space="preserve">In many cases, local governments are initiating dialogue with community members about the need to increase rates in order to improve services and ageing infrastructure. However, a rate capping regime imposed by a state government (such as in NSW) and community opposition to increases can inhibit municipal authorities from being able to increase this source of revenue to adequately meet goals for infrastructure repair and community development. Also, some fees applied by local governments are also set or capped by state governments.  In addition, cost shifting of responsibilities from </w:t>
      </w:r>
      <w:r w:rsidRPr="003C3B5D">
        <w:t>other</w:t>
      </w:r>
      <w:r>
        <w:t xml:space="preserve"> Commonwealth and state</w:t>
      </w:r>
      <w:r w:rsidRPr="003C3B5D">
        <w:t xml:space="preserve"> government</w:t>
      </w:r>
      <w:r>
        <w:t>s to local government</w:t>
      </w:r>
      <w:r w:rsidRPr="003C3B5D">
        <w:t xml:space="preserve"> without commensurate increases in funding</w:t>
      </w:r>
      <w:r>
        <w:t xml:space="preserve"> can add to the economic strain</w:t>
      </w:r>
      <w:r w:rsidRPr="003C3B5D">
        <w:t>.</w:t>
      </w:r>
      <w:r>
        <w:rPr>
          <w:rStyle w:val="FootnoteReference"/>
        </w:rPr>
        <w:footnoteReference w:id="28"/>
      </w:r>
      <w:r>
        <w:t xml:space="preserve"> Consequently the inequitable nature of relations between the different levels of government has a particularly severe impact on local government. </w:t>
      </w:r>
      <w:r>
        <w:rPr>
          <w:rStyle w:val="FootnoteReference"/>
        </w:rPr>
        <w:footnoteReference w:id="29"/>
      </w:r>
    </w:p>
    <w:p w14:paraId="2A67145B" w14:textId="77777777" w:rsidR="00423C3A" w:rsidRDefault="00423C3A" w:rsidP="00423C3A"/>
    <w:p w14:paraId="4F84A9BF" w14:textId="77777777" w:rsidR="00423C3A" w:rsidRDefault="00423C3A" w:rsidP="00423C3A">
      <w:r>
        <w:t>Local government generates a very small proportion of total taxation revenue in Australia, necessitating a flow-on of funds from other levels of government.</w:t>
      </w:r>
    </w:p>
    <w:p w14:paraId="2F70D131" w14:textId="77777777" w:rsidR="00423C3A" w:rsidRDefault="00423C3A" w:rsidP="00423C3A"/>
    <w:p w14:paraId="1615FF3F" w14:textId="77777777" w:rsidR="00423C3A" w:rsidRDefault="00423C3A" w:rsidP="00423C3A">
      <w:r>
        <w:t>However, various inquiries into local government financial sustainability found that a number of local governments were ‘financially unsustainable’ and unable to meet community demands for adequate infrastructure investment.  They tended to be municipalities which had a low capacity to increase their own sources of revenue and where typically in rural localities and with large geographic areas to serve.</w:t>
      </w:r>
      <w:r w:rsidRPr="008305DC">
        <w:t xml:space="preserve"> </w:t>
      </w:r>
      <w:r>
        <w:rPr>
          <w:rStyle w:val="FootnoteReference"/>
        </w:rPr>
        <w:footnoteReference w:id="30"/>
      </w:r>
      <w:r>
        <w:t xml:space="preserve"> </w:t>
      </w:r>
      <w:r w:rsidRPr="00DC21DB">
        <w:t xml:space="preserve"> </w:t>
      </w:r>
      <w:r>
        <w:t xml:space="preserve">By contrast, many of the well-established, high income metropolitan areas were able to generate considerable funds whilst having less demand for infrastructure investment.  </w:t>
      </w:r>
    </w:p>
    <w:p w14:paraId="64EDE170" w14:textId="77777777" w:rsidR="00423C3A" w:rsidRDefault="00423C3A" w:rsidP="00423C3A"/>
    <w:p w14:paraId="14EE5F74" w14:textId="77777777" w:rsidR="00423C3A" w:rsidRDefault="00423C3A" w:rsidP="00423C3A">
      <w:r>
        <w:t xml:space="preserve">In the absence of a direct redistributive mechanism from the wealthier councils/communities to those less resourced, there will be an ongoing requirement for federal and state governments to have an important role in the redistribution of funds to improve equity outcomes across the diverse local authorities. </w:t>
      </w:r>
    </w:p>
    <w:p w14:paraId="17D0AFD9" w14:textId="77777777" w:rsidR="00423C3A" w:rsidRDefault="00423C3A" w:rsidP="00423C3A"/>
    <w:p w14:paraId="3BF6CEFB" w14:textId="77777777" w:rsidR="00423C3A" w:rsidRDefault="00423C3A" w:rsidP="00423C3A">
      <w:r>
        <w:t>However, concerns have been raised that the level of financial support provided to local government from the Commonwealth and state governments has failed to keep pace with the expanded range of responsibilities required of local government.  In addition, the Commonwealth Government has acquired an increased proportion of the total share of tax revenue whilst local governments’ share of total taxation revenue has remained modest.  For example, the Commonwealth Government’s share of taxation revenue increased from 77.2% in 1998-99 to 80.5% in 2010-2011 while the local government share in 1998-1999 was 3.6% and 3.5% in 2010-11.</w:t>
      </w:r>
      <w:r>
        <w:rPr>
          <w:rStyle w:val="FootnoteReference"/>
        </w:rPr>
        <w:footnoteReference w:id="31"/>
      </w:r>
    </w:p>
    <w:p w14:paraId="066F410A" w14:textId="77777777" w:rsidR="00423C3A" w:rsidRDefault="00423C3A" w:rsidP="00423C3A"/>
    <w:p w14:paraId="751EC58A" w14:textId="77777777" w:rsidR="00423C3A" w:rsidRDefault="00423C3A" w:rsidP="00423C3A">
      <w:r>
        <w:t xml:space="preserve">Mechanisms such as the Financial Assistance Grants (FAGS) and the Roads to Recovery </w:t>
      </w:r>
      <w:r w:rsidRPr="000920F4">
        <w:t>program</w:t>
      </w:r>
      <w:r>
        <w:rPr>
          <w:color w:val="FF0000"/>
        </w:rPr>
        <w:t xml:space="preserve"> </w:t>
      </w:r>
      <w:r>
        <w:t>remain important but these and other grant programs require appropriate indexation on an ongoing basis to allow for effective development of services and infrastructure.</w:t>
      </w:r>
    </w:p>
    <w:p w14:paraId="388D4614" w14:textId="77777777" w:rsidR="00423C3A" w:rsidRDefault="00423C3A" w:rsidP="00423C3A"/>
    <w:p w14:paraId="1EC64C5A" w14:textId="77777777" w:rsidR="00711BB4" w:rsidRDefault="00423C3A" w:rsidP="00423C3A">
      <w:r>
        <w:t>In addition, the federal government should develop its role in tax collection and redistribution in a manner that enables local communities to enjoy more equitable access to services and infrastructure provided through local government.  This may be assisted through tightly targeted supplementary funding programs for local governments which are less able to develop financial independence.</w:t>
      </w:r>
      <w:r>
        <w:rPr>
          <w:rStyle w:val="FootnoteReference"/>
        </w:rPr>
        <w:footnoteReference w:id="32"/>
      </w:r>
      <w:r>
        <w:t xml:space="preserve">  </w:t>
      </w:r>
    </w:p>
    <w:p w14:paraId="386BDF6E" w14:textId="77777777" w:rsidR="00423C3A" w:rsidRDefault="00423C3A" w:rsidP="00423C3A">
      <w:r>
        <w:lastRenderedPageBreak/>
        <w:t>In such ways the distribution of financial assistance could further assist in reducing the resourcing disparities that exist between local authorities.</w:t>
      </w:r>
    </w:p>
    <w:p w14:paraId="1D67446C" w14:textId="77777777" w:rsidR="00423C3A" w:rsidRDefault="00423C3A" w:rsidP="00423C3A"/>
    <w:p w14:paraId="1DB8A553" w14:textId="77777777" w:rsidR="00423C3A" w:rsidRDefault="00423C3A" w:rsidP="00423C3A">
      <w:r>
        <w:t>It is the view of the ASU that other levels of government should make a greater contribution to increasing local government revenue. This is particularly important in view of the limited taxation measures available to local government; the expanded roles which it is required to perform and; the capacity that local government has to improve the economic viability of local economies – particularly in regional and rural areas.</w:t>
      </w:r>
    </w:p>
    <w:p w14:paraId="4FAB1C92" w14:textId="77777777" w:rsidR="00423C3A" w:rsidRDefault="00423C3A" w:rsidP="00423C3A"/>
    <w:p w14:paraId="7273E873" w14:textId="77777777" w:rsidR="00423C3A" w:rsidRDefault="00423C3A" w:rsidP="00423C3A">
      <w:r>
        <w:t xml:space="preserve">Given the significant role which local government has in providing a broad range of services and infrastructure to communities, increased investment in this level of government could significantly reduce future calls on Commonwealth and state budgets as a result of improvements in community </w:t>
      </w:r>
      <w:r w:rsidRPr="008E3AE2">
        <w:t>resilience</w:t>
      </w:r>
      <w:r>
        <w:t xml:space="preserve"> and social cohesion.</w:t>
      </w:r>
    </w:p>
    <w:p w14:paraId="63A974B1" w14:textId="77777777" w:rsidR="00B423E6" w:rsidRPr="00B423E6" w:rsidRDefault="00B423E6" w:rsidP="00C83E71">
      <w:pPr>
        <w:tabs>
          <w:tab w:val="left" w:pos="2124"/>
        </w:tabs>
        <w:rPr>
          <w:rFonts w:ascii="Times New Roman" w:hAnsi="Times New Roman" w:cs="Times New Roman"/>
          <w:sz w:val="24"/>
          <w:szCs w:val="24"/>
        </w:rPr>
      </w:pPr>
    </w:p>
    <w:sectPr w:rsidR="00B423E6" w:rsidRPr="00B423E6" w:rsidSect="00A407E6">
      <w:footerReference w:type="default" r:id="rId15"/>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C49B5" w14:textId="77777777" w:rsidR="005521E8" w:rsidRDefault="005521E8" w:rsidP="003861B4">
      <w:r>
        <w:separator/>
      </w:r>
    </w:p>
  </w:endnote>
  <w:endnote w:type="continuationSeparator" w:id="0">
    <w:p w14:paraId="11CC1341" w14:textId="77777777" w:rsidR="005521E8" w:rsidRDefault="005521E8" w:rsidP="0038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01" w:usb1="00000000" w:usb2="00000000" w:usb3="00000000" w:csb0="0000001B" w:csb1="00000000"/>
  </w:font>
  <w:font w:name="Franklin Gothic Book">
    <w:panose1 w:val="020B0503020102020204"/>
    <w:charset w:val="00"/>
    <w:family w:val="swiss"/>
    <w:pitch w:val="variable"/>
    <w:sig w:usb0="00000287" w:usb1="00000000" w:usb2="00000000" w:usb3="00000000" w:csb0="0000009F" w:csb1="00000000"/>
  </w:font>
  <w:font w:name="TheSans-B4Semi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90439"/>
      <w:docPartObj>
        <w:docPartGallery w:val="Page Numbers (Bottom of Page)"/>
        <w:docPartUnique/>
      </w:docPartObj>
    </w:sdtPr>
    <w:sdtEndPr>
      <w:rPr>
        <w:color w:val="808080" w:themeColor="background1" w:themeShade="80"/>
        <w:spacing w:val="60"/>
      </w:rPr>
    </w:sdtEndPr>
    <w:sdtContent>
      <w:p w14:paraId="1916A6D2" w14:textId="77777777" w:rsidR="007B0460" w:rsidRDefault="007B0460" w:rsidP="00071406">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0F3AF7" w:rsidRPr="000F3AF7">
          <w:rPr>
            <w:b/>
            <w:bCs/>
            <w:noProof/>
          </w:rPr>
          <w:t>3</w:t>
        </w:r>
        <w:r>
          <w:rPr>
            <w:b/>
            <w:bCs/>
            <w:noProof/>
          </w:rPr>
          <w:fldChar w:fldCharType="end"/>
        </w:r>
        <w:r>
          <w:rPr>
            <w:b/>
            <w:bCs/>
          </w:rPr>
          <w:t xml:space="preserve"> | </w:t>
        </w:r>
        <w:r>
          <w:rPr>
            <w:color w:val="808080" w:themeColor="background1" w:themeShade="80"/>
            <w:spacing w:val="60"/>
          </w:rPr>
          <w:t>Page</w:t>
        </w:r>
      </w:p>
    </w:sdtContent>
  </w:sdt>
  <w:p w14:paraId="150A8801" w14:textId="77777777" w:rsidR="007B0460" w:rsidRDefault="007B0460" w:rsidP="003861B4">
    <w:pPr>
      <w:pStyle w:val="Footer"/>
      <w:tabs>
        <w:tab w:val="clear" w:pos="4513"/>
        <w:tab w:val="clear" w:pos="902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06808" w14:textId="77777777" w:rsidR="005521E8" w:rsidRDefault="005521E8" w:rsidP="003861B4">
      <w:r>
        <w:separator/>
      </w:r>
    </w:p>
  </w:footnote>
  <w:footnote w:type="continuationSeparator" w:id="0">
    <w:p w14:paraId="62F4FED4" w14:textId="77777777" w:rsidR="005521E8" w:rsidRDefault="005521E8" w:rsidP="003861B4">
      <w:r>
        <w:continuationSeparator/>
      </w:r>
    </w:p>
  </w:footnote>
  <w:footnote w:id="1">
    <w:p w14:paraId="6DB242F4" w14:textId="77777777" w:rsidR="007B0460" w:rsidRPr="003A0B27" w:rsidRDefault="007B0460">
      <w:pPr>
        <w:pStyle w:val="FootnoteText"/>
        <w:rPr>
          <w:sz w:val="16"/>
          <w:szCs w:val="16"/>
          <w:lang w:val="en-US"/>
        </w:rPr>
      </w:pPr>
      <w:r w:rsidRPr="003A0B27">
        <w:rPr>
          <w:rStyle w:val="FootnoteReference"/>
          <w:sz w:val="16"/>
          <w:szCs w:val="16"/>
        </w:rPr>
        <w:footnoteRef/>
      </w:r>
      <w:r w:rsidRPr="003A0B27">
        <w:rPr>
          <w:sz w:val="16"/>
          <w:szCs w:val="16"/>
        </w:rPr>
        <w:t xml:space="preserve"> </w:t>
      </w:r>
      <w:r w:rsidR="003A0B27">
        <w:rPr>
          <w:sz w:val="16"/>
          <w:szCs w:val="16"/>
        </w:rPr>
        <w:t xml:space="preserve">Australian Attitudes Towards Wealth Inequality and Progressive Taxation (2011) [online] </w:t>
      </w:r>
      <w:r w:rsidR="006D53A7">
        <w:rPr>
          <w:sz w:val="16"/>
          <w:szCs w:val="16"/>
        </w:rPr>
        <w:t>Available</w:t>
      </w:r>
      <w:r w:rsidR="003A0B27">
        <w:rPr>
          <w:sz w:val="16"/>
          <w:szCs w:val="16"/>
        </w:rPr>
        <w:t xml:space="preserve"> at: h</w:t>
      </w:r>
      <w:r w:rsidRPr="003A0B27">
        <w:rPr>
          <w:sz w:val="16"/>
          <w:szCs w:val="16"/>
        </w:rPr>
        <w:t>ttp://www.actu.org.au/media/121429/ACTU_Report_Inequality_and_Progressive_Taxation.pdf</w:t>
      </w:r>
    </w:p>
  </w:footnote>
  <w:footnote w:id="2">
    <w:p w14:paraId="6ABF6BD2" w14:textId="77777777" w:rsidR="007B0460" w:rsidRPr="003A0B27" w:rsidRDefault="007B0460">
      <w:pPr>
        <w:pStyle w:val="FootnoteText"/>
        <w:rPr>
          <w:sz w:val="16"/>
          <w:szCs w:val="16"/>
          <w:lang w:val="en-US"/>
        </w:rPr>
      </w:pPr>
      <w:r w:rsidRPr="003A0B27">
        <w:rPr>
          <w:rStyle w:val="FootnoteReference"/>
          <w:sz w:val="16"/>
          <w:szCs w:val="16"/>
        </w:rPr>
        <w:footnoteRef/>
      </w:r>
      <w:r w:rsidRPr="003A0B27">
        <w:rPr>
          <w:sz w:val="16"/>
          <w:szCs w:val="16"/>
        </w:rPr>
        <w:t xml:space="preserve"> </w:t>
      </w:r>
      <w:r w:rsidR="003A0B27">
        <w:rPr>
          <w:sz w:val="16"/>
          <w:szCs w:val="16"/>
        </w:rPr>
        <w:t xml:space="preserve">Per Capita Tax Survey (2014) [online] </w:t>
      </w:r>
      <w:r w:rsidR="006D53A7">
        <w:rPr>
          <w:sz w:val="16"/>
          <w:szCs w:val="16"/>
        </w:rPr>
        <w:t>Available at</w:t>
      </w:r>
      <w:r w:rsidR="003A0B27">
        <w:rPr>
          <w:sz w:val="16"/>
          <w:szCs w:val="16"/>
        </w:rPr>
        <w:t xml:space="preserve">: </w:t>
      </w:r>
      <w:r w:rsidRPr="003A0B27">
        <w:rPr>
          <w:sz w:val="16"/>
          <w:szCs w:val="16"/>
        </w:rPr>
        <w:t>http://percapita.org.au/wp-content/uploads/2014/06/small_2014_Tax_Survey.pdf</w:t>
      </w:r>
    </w:p>
  </w:footnote>
  <w:footnote w:id="3">
    <w:p w14:paraId="4C9847C2" w14:textId="77777777" w:rsidR="007B0460" w:rsidRPr="003A0B27" w:rsidRDefault="007B0460">
      <w:pPr>
        <w:pStyle w:val="FootnoteText"/>
        <w:rPr>
          <w:sz w:val="16"/>
          <w:szCs w:val="16"/>
          <w:lang w:val="en-US"/>
        </w:rPr>
      </w:pPr>
      <w:r w:rsidRPr="003A0B27">
        <w:rPr>
          <w:rStyle w:val="FootnoteReference"/>
          <w:sz w:val="16"/>
          <w:szCs w:val="16"/>
        </w:rPr>
        <w:footnoteRef/>
      </w:r>
      <w:r w:rsidRPr="003A0B27">
        <w:rPr>
          <w:sz w:val="16"/>
          <w:szCs w:val="16"/>
        </w:rPr>
        <w:t xml:space="preserve"> </w:t>
      </w:r>
      <w:r w:rsidRPr="003A0B27">
        <w:rPr>
          <w:sz w:val="16"/>
          <w:szCs w:val="16"/>
          <w:lang w:val="en-US"/>
        </w:rPr>
        <w:t>Ibid.</w:t>
      </w:r>
    </w:p>
  </w:footnote>
  <w:footnote w:id="4">
    <w:p w14:paraId="0905A99B" w14:textId="77777777" w:rsidR="007B0460" w:rsidRPr="003A0B27" w:rsidRDefault="007B0460">
      <w:pPr>
        <w:pStyle w:val="FootnoteText"/>
        <w:rPr>
          <w:sz w:val="16"/>
          <w:szCs w:val="16"/>
          <w:lang w:val="en-US"/>
        </w:rPr>
      </w:pPr>
      <w:r w:rsidRPr="003A0B27">
        <w:rPr>
          <w:rStyle w:val="FootnoteReference"/>
          <w:sz w:val="16"/>
          <w:szCs w:val="16"/>
        </w:rPr>
        <w:footnoteRef/>
      </w:r>
      <w:r w:rsidRPr="003A0B27">
        <w:rPr>
          <w:sz w:val="16"/>
          <w:szCs w:val="16"/>
        </w:rPr>
        <w:t xml:space="preserve"> </w:t>
      </w:r>
      <w:r w:rsidR="00D85787">
        <w:rPr>
          <w:sz w:val="16"/>
          <w:szCs w:val="16"/>
        </w:rPr>
        <w:t xml:space="preserve">McAuley, I, 2015. </w:t>
      </w:r>
      <w:r w:rsidR="003A0B27" w:rsidRPr="00D85787">
        <w:rPr>
          <w:i/>
          <w:sz w:val="16"/>
          <w:szCs w:val="16"/>
        </w:rPr>
        <w:t>Fair Taxation: an Australian Perspective</w:t>
      </w:r>
      <w:r w:rsidR="00D85787">
        <w:rPr>
          <w:sz w:val="16"/>
          <w:szCs w:val="16"/>
        </w:rPr>
        <w:t xml:space="preserve"> [online] </w:t>
      </w:r>
      <w:r w:rsidR="006D53A7">
        <w:rPr>
          <w:sz w:val="16"/>
          <w:szCs w:val="16"/>
        </w:rPr>
        <w:t>Available</w:t>
      </w:r>
      <w:r w:rsidR="00D85787">
        <w:rPr>
          <w:sz w:val="16"/>
          <w:szCs w:val="16"/>
        </w:rPr>
        <w:t xml:space="preserve"> at: </w:t>
      </w:r>
      <w:r w:rsidRPr="003A0B27">
        <w:rPr>
          <w:sz w:val="16"/>
          <w:szCs w:val="16"/>
        </w:rPr>
        <w:t>http://www.ianmcauley.com/academic/confs/flinsymp2015.pdf</w:t>
      </w:r>
    </w:p>
  </w:footnote>
  <w:footnote w:id="5">
    <w:p w14:paraId="394867C4" w14:textId="77777777" w:rsidR="007B0460" w:rsidRPr="007D2A6B" w:rsidRDefault="007B0460">
      <w:pPr>
        <w:pStyle w:val="FootnoteText"/>
        <w:rPr>
          <w:sz w:val="16"/>
          <w:szCs w:val="16"/>
          <w:lang w:val="en-US"/>
        </w:rPr>
      </w:pPr>
      <w:r w:rsidRPr="007D2A6B">
        <w:rPr>
          <w:rStyle w:val="FootnoteReference"/>
          <w:sz w:val="16"/>
          <w:szCs w:val="16"/>
        </w:rPr>
        <w:footnoteRef/>
      </w:r>
      <w:r w:rsidRPr="007D2A6B">
        <w:rPr>
          <w:sz w:val="16"/>
          <w:szCs w:val="16"/>
        </w:rPr>
        <w:t xml:space="preserve"> </w:t>
      </w:r>
      <w:r w:rsidR="007D2A6B" w:rsidRPr="007D2A6B">
        <w:rPr>
          <w:sz w:val="16"/>
          <w:szCs w:val="16"/>
        </w:rPr>
        <w:t>Australian Government (2015)</w:t>
      </w:r>
      <w:r w:rsidR="007D2A6B">
        <w:rPr>
          <w:sz w:val="16"/>
          <w:szCs w:val="16"/>
        </w:rPr>
        <w:t xml:space="preserve"> Re:think Tax discussion paper [online] Available at: </w:t>
      </w:r>
      <w:r w:rsidR="007D2A6B" w:rsidRPr="007D2A6B">
        <w:rPr>
          <w:sz w:val="16"/>
          <w:szCs w:val="16"/>
        </w:rPr>
        <w:t xml:space="preserve"> </w:t>
      </w:r>
      <w:r w:rsidRPr="007D2A6B">
        <w:rPr>
          <w:sz w:val="16"/>
          <w:szCs w:val="16"/>
        </w:rPr>
        <w:t>http://bettertax.gov.au/files/2015/03/TWP_combined-online.pdf</w:t>
      </w:r>
    </w:p>
  </w:footnote>
  <w:footnote w:id="6">
    <w:p w14:paraId="29C1967B" w14:textId="77777777" w:rsidR="007B0460" w:rsidRPr="007D2A6B" w:rsidRDefault="007B0460" w:rsidP="00405CE2">
      <w:pPr>
        <w:pStyle w:val="FootnoteText"/>
        <w:rPr>
          <w:sz w:val="16"/>
          <w:szCs w:val="16"/>
          <w:lang w:val="en-US"/>
        </w:rPr>
      </w:pPr>
      <w:r w:rsidRPr="007D2A6B">
        <w:rPr>
          <w:rStyle w:val="FootnoteReference"/>
          <w:sz w:val="16"/>
          <w:szCs w:val="16"/>
        </w:rPr>
        <w:footnoteRef/>
      </w:r>
      <w:r w:rsidRPr="007D2A6B">
        <w:rPr>
          <w:sz w:val="16"/>
          <w:szCs w:val="16"/>
        </w:rPr>
        <w:t xml:space="preserve"> </w:t>
      </w:r>
      <w:r w:rsidR="007D2A6B">
        <w:rPr>
          <w:sz w:val="16"/>
          <w:szCs w:val="16"/>
        </w:rPr>
        <w:t xml:space="preserve">Australia’s future tax system (2009) Final Report, Chapter A: Personal Taxation [online] Available at: </w:t>
      </w:r>
      <w:r w:rsidRPr="007D2A6B">
        <w:rPr>
          <w:sz w:val="16"/>
          <w:szCs w:val="16"/>
        </w:rPr>
        <w:t>http://taxreview.treasury.gov.au/content/FinalReport.aspx?doc=html/publications/Papers/Final_Report_Part_2/chapter_a2-2.htm</w:t>
      </w:r>
    </w:p>
  </w:footnote>
  <w:footnote w:id="7">
    <w:p w14:paraId="02B6C314" w14:textId="77777777" w:rsidR="005453EE" w:rsidRPr="007D2A6B" w:rsidRDefault="005453EE" w:rsidP="005453EE">
      <w:pPr>
        <w:pStyle w:val="FootnoteText"/>
        <w:rPr>
          <w:sz w:val="16"/>
          <w:szCs w:val="16"/>
          <w:lang w:val="en-US"/>
        </w:rPr>
      </w:pPr>
      <w:r w:rsidRPr="007D2A6B">
        <w:rPr>
          <w:rStyle w:val="FootnoteReference"/>
          <w:sz w:val="16"/>
          <w:szCs w:val="16"/>
        </w:rPr>
        <w:footnoteRef/>
      </w:r>
      <w:r w:rsidRPr="007D2A6B">
        <w:rPr>
          <w:sz w:val="16"/>
          <w:szCs w:val="16"/>
        </w:rPr>
        <w:t xml:space="preserve"> </w:t>
      </w:r>
      <w:r>
        <w:rPr>
          <w:sz w:val="16"/>
          <w:szCs w:val="16"/>
        </w:rPr>
        <w:t xml:space="preserve">Women’s Super Summit Report (2014) [online] Available at: </w:t>
      </w:r>
      <w:r w:rsidRPr="007D2A6B">
        <w:rPr>
          <w:sz w:val="16"/>
          <w:szCs w:val="16"/>
        </w:rPr>
        <w:t>https://www.wgea.gov.au/sites/default/files/Womens-Super-Summit.pdf</w:t>
      </w:r>
    </w:p>
  </w:footnote>
  <w:footnote w:id="8">
    <w:p w14:paraId="38669A4D" w14:textId="77777777" w:rsidR="003C3ECF" w:rsidRPr="00664473" w:rsidRDefault="003C3ECF">
      <w:pPr>
        <w:pStyle w:val="FootnoteText"/>
        <w:rPr>
          <w:sz w:val="16"/>
          <w:szCs w:val="16"/>
          <w:lang w:val="en-US"/>
        </w:rPr>
      </w:pPr>
      <w:r w:rsidRPr="00664473">
        <w:rPr>
          <w:rStyle w:val="FootnoteReference"/>
          <w:sz w:val="16"/>
          <w:szCs w:val="16"/>
        </w:rPr>
        <w:footnoteRef/>
      </w:r>
      <w:r w:rsidRPr="00664473">
        <w:rPr>
          <w:sz w:val="16"/>
          <w:szCs w:val="16"/>
        </w:rPr>
        <w:t xml:space="preserve"> </w:t>
      </w:r>
      <w:r w:rsidR="00664473">
        <w:rPr>
          <w:sz w:val="16"/>
          <w:szCs w:val="16"/>
        </w:rPr>
        <w:t>Women in Super</w:t>
      </w:r>
      <w:r w:rsidR="001F5523">
        <w:rPr>
          <w:sz w:val="16"/>
          <w:szCs w:val="16"/>
        </w:rPr>
        <w:t xml:space="preserve"> website [online] Available at: </w:t>
      </w:r>
      <w:r w:rsidRPr="00664473">
        <w:rPr>
          <w:sz w:val="16"/>
          <w:szCs w:val="16"/>
        </w:rPr>
        <w:t>http://www.womeninsuper.com.au/resources/policy/removal-450</w:t>
      </w:r>
    </w:p>
  </w:footnote>
  <w:footnote w:id="9">
    <w:p w14:paraId="533A531E" w14:textId="77777777" w:rsidR="00C633CA" w:rsidRPr="00664473" w:rsidRDefault="00C633CA">
      <w:pPr>
        <w:pStyle w:val="FootnoteText"/>
        <w:rPr>
          <w:sz w:val="16"/>
          <w:szCs w:val="16"/>
          <w:lang w:val="en-US"/>
        </w:rPr>
      </w:pPr>
      <w:r w:rsidRPr="00664473">
        <w:rPr>
          <w:rStyle w:val="FootnoteReference"/>
          <w:sz w:val="16"/>
          <w:szCs w:val="16"/>
        </w:rPr>
        <w:footnoteRef/>
      </w:r>
      <w:r w:rsidRPr="00664473">
        <w:rPr>
          <w:sz w:val="16"/>
          <w:szCs w:val="16"/>
        </w:rPr>
        <w:t xml:space="preserve"> </w:t>
      </w:r>
      <w:r w:rsidR="001F5523">
        <w:rPr>
          <w:sz w:val="16"/>
          <w:szCs w:val="16"/>
        </w:rPr>
        <w:t xml:space="preserve">Keep Super Fair website [online] Available at: </w:t>
      </w:r>
      <w:r w:rsidRPr="00664473">
        <w:rPr>
          <w:sz w:val="16"/>
          <w:szCs w:val="16"/>
        </w:rPr>
        <w:t>http://keepsuperfair.com.au/</w:t>
      </w:r>
    </w:p>
  </w:footnote>
  <w:footnote w:id="10">
    <w:p w14:paraId="7F9379E4" w14:textId="77777777" w:rsidR="00505FD4" w:rsidRPr="00664473" w:rsidRDefault="00505FD4" w:rsidP="00505FD4">
      <w:pPr>
        <w:pStyle w:val="FootnoteText"/>
        <w:rPr>
          <w:sz w:val="16"/>
          <w:szCs w:val="16"/>
          <w:lang w:val="en-US"/>
        </w:rPr>
      </w:pPr>
      <w:r w:rsidRPr="00664473">
        <w:rPr>
          <w:rStyle w:val="FootnoteReference"/>
          <w:sz w:val="16"/>
          <w:szCs w:val="16"/>
        </w:rPr>
        <w:footnoteRef/>
      </w:r>
      <w:r w:rsidRPr="00664473">
        <w:rPr>
          <w:sz w:val="16"/>
          <w:szCs w:val="16"/>
        </w:rPr>
        <w:t xml:space="preserve"> </w:t>
      </w:r>
      <w:r w:rsidR="001F5523">
        <w:rPr>
          <w:sz w:val="16"/>
          <w:szCs w:val="16"/>
        </w:rPr>
        <w:t xml:space="preserve">Industry Super Australia website [online] Available at: </w:t>
      </w:r>
      <w:r w:rsidRPr="00664473">
        <w:rPr>
          <w:sz w:val="16"/>
          <w:szCs w:val="16"/>
        </w:rPr>
        <w:t>http://www.industrysuperaustralia.com/lisc</w:t>
      </w:r>
    </w:p>
  </w:footnote>
  <w:footnote w:id="11">
    <w:p w14:paraId="57B8116B" w14:textId="77777777" w:rsidR="007B0460" w:rsidRPr="00664473" w:rsidRDefault="007B0460">
      <w:pPr>
        <w:pStyle w:val="FootnoteText"/>
        <w:rPr>
          <w:sz w:val="16"/>
          <w:szCs w:val="16"/>
          <w:lang w:val="en-US"/>
        </w:rPr>
      </w:pPr>
      <w:r w:rsidRPr="00664473">
        <w:rPr>
          <w:rStyle w:val="FootnoteReference"/>
          <w:sz w:val="16"/>
          <w:szCs w:val="16"/>
        </w:rPr>
        <w:footnoteRef/>
      </w:r>
      <w:r w:rsidRPr="00664473">
        <w:rPr>
          <w:sz w:val="16"/>
          <w:szCs w:val="16"/>
        </w:rPr>
        <w:t xml:space="preserve"> </w:t>
      </w:r>
      <w:r w:rsidR="00864462" w:rsidRPr="007D4B47">
        <w:rPr>
          <w:rFonts w:cs="Arial"/>
          <w:sz w:val="16"/>
          <w:szCs w:val="16"/>
          <w:lang w:val="en-US"/>
        </w:rPr>
        <w:t xml:space="preserve">ACTU </w:t>
      </w:r>
      <w:r w:rsidR="00864462">
        <w:rPr>
          <w:rFonts w:cs="Arial"/>
          <w:sz w:val="16"/>
          <w:szCs w:val="16"/>
          <w:lang w:val="en-US"/>
        </w:rPr>
        <w:t>Congress</w:t>
      </w:r>
      <w:r w:rsidR="00864462" w:rsidRPr="007D4B47">
        <w:rPr>
          <w:rFonts w:cs="Arial"/>
          <w:sz w:val="16"/>
          <w:szCs w:val="16"/>
          <w:lang w:val="en-US"/>
        </w:rPr>
        <w:t xml:space="preserve"> 2015</w:t>
      </w:r>
      <w:r w:rsidR="00864462">
        <w:rPr>
          <w:rFonts w:cs="Arial"/>
          <w:sz w:val="16"/>
          <w:szCs w:val="16"/>
          <w:lang w:val="en-US"/>
        </w:rPr>
        <w:t xml:space="preserve">, </w:t>
      </w:r>
      <w:r w:rsidR="00864462" w:rsidRPr="00612F95">
        <w:rPr>
          <w:rFonts w:cs="Arial"/>
          <w:i/>
          <w:sz w:val="16"/>
          <w:szCs w:val="16"/>
          <w:lang w:val="en-US"/>
        </w:rPr>
        <w:t>A Fair Share: Tax and Revenue – Final Policy</w:t>
      </w:r>
      <w:r w:rsidR="00864462">
        <w:rPr>
          <w:rFonts w:cs="Arial"/>
          <w:sz w:val="16"/>
          <w:szCs w:val="16"/>
          <w:lang w:val="en-US"/>
        </w:rPr>
        <w:t xml:space="preserve"> [online] Available at: </w:t>
      </w:r>
      <w:r w:rsidR="00864462" w:rsidRPr="0003710E">
        <w:rPr>
          <w:rFonts w:cs="Arial"/>
          <w:sz w:val="16"/>
          <w:szCs w:val="16"/>
          <w:lang w:val="en-US"/>
        </w:rPr>
        <w:t>http://www.actu.org.au/actu-congress-2015/congress-policy-resolutions/a-fair-go-for-all-policies/a-fair-share-tax-and-revenue</w:t>
      </w:r>
    </w:p>
  </w:footnote>
  <w:footnote w:id="12">
    <w:p w14:paraId="4B811DCC" w14:textId="77777777" w:rsidR="000577D2" w:rsidRPr="00664473" w:rsidRDefault="000577D2">
      <w:pPr>
        <w:pStyle w:val="FootnoteText"/>
        <w:rPr>
          <w:sz w:val="16"/>
          <w:szCs w:val="16"/>
          <w:lang w:val="en-US"/>
        </w:rPr>
      </w:pPr>
      <w:r w:rsidRPr="00664473">
        <w:rPr>
          <w:rStyle w:val="FootnoteReference"/>
          <w:sz w:val="16"/>
          <w:szCs w:val="16"/>
        </w:rPr>
        <w:footnoteRef/>
      </w:r>
      <w:r w:rsidRPr="00664473">
        <w:rPr>
          <w:sz w:val="16"/>
          <w:szCs w:val="16"/>
        </w:rPr>
        <w:t xml:space="preserve"> </w:t>
      </w:r>
      <w:r w:rsidR="00BE2D2F">
        <w:rPr>
          <w:sz w:val="16"/>
          <w:szCs w:val="16"/>
        </w:rPr>
        <w:t xml:space="preserve">Anglicare 2015 Rental Affordability Snapshot [online] Available at: </w:t>
      </w:r>
      <w:r w:rsidRPr="00664473">
        <w:rPr>
          <w:sz w:val="16"/>
          <w:szCs w:val="16"/>
        </w:rPr>
        <w:t>http://www.anglicare.asn.au/site/rental_affordability_snapshot.php</w:t>
      </w:r>
    </w:p>
  </w:footnote>
  <w:footnote w:id="13">
    <w:p w14:paraId="3360F27A" w14:textId="77777777" w:rsidR="00264251" w:rsidRPr="00664473" w:rsidRDefault="00264251">
      <w:pPr>
        <w:pStyle w:val="FootnoteText"/>
        <w:rPr>
          <w:sz w:val="16"/>
          <w:szCs w:val="16"/>
          <w:lang w:val="en-US"/>
        </w:rPr>
      </w:pPr>
      <w:r w:rsidRPr="00664473">
        <w:rPr>
          <w:rStyle w:val="FootnoteReference"/>
          <w:sz w:val="16"/>
          <w:szCs w:val="16"/>
        </w:rPr>
        <w:footnoteRef/>
      </w:r>
      <w:r w:rsidRPr="00664473">
        <w:rPr>
          <w:sz w:val="16"/>
          <w:szCs w:val="16"/>
        </w:rPr>
        <w:t xml:space="preserve"> </w:t>
      </w:r>
      <w:r w:rsidR="00BE2D2F">
        <w:rPr>
          <w:sz w:val="16"/>
          <w:szCs w:val="16"/>
        </w:rPr>
        <w:t xml:space="preserve">ACOSS Tax Talks 2. Fuel on the fire: negative gearing, capital gains tax &amp; housing affordability (2015) [online] Available at: </w:t>
      </w:r>
      <w:r w:rsidRPr="00664473">
        <w:rPr>
          <w:sz w:val="16"/>
          <w:szCs w:val="16"/>
        </w:rPr>
        <w:t>http://acoss.org.au/papers/</w:t>
      </w:r>
    </w:p>
  </w:footnote>
  <w:footnote w:id="14">
    <w:p w14:paraId="29430438" w14:textId="77777777" w:rsidR="00B62E28" w:rsidRPr="00707A20" w:rsidRDefault="00B62E28">
      <w:pPr>
        <w:pStyle w:val="FootnoteText"/>
        <w:rPr>
          <w:sz w:val="16"/>
          <w:szCs w:val="16"/>
          <w:lang w:val="en-US"/>
        </w:rPr>
      </w:pPr>
      <w:r w:rsidRPr="00707A20">
        <w:rPr>
          <w:rStyle w:val="FootnoteReference"/>
          <w:sz w:val="16"/>
          <w:szCs w:val="16"/>
        </w:rPr>
        <w:footnoteRef/>
      </w:r>
      <w:r w:rsidRPr="00707A20">
        <w:rPr>
          <w:sz w:val="16"/>
          <w:szCs w:val="16"/>
        </w:rPr>
        <w:t xml:space="preserve"> </w:t>
      </w:r>
      <w:r w:rsidR="00864462" w:rsidRPr="007D4B47">
        <w:rPr>
          <w:rFonts w:cs="Arial"/>
          <w:sz w:val="16"/>
          <w:szCs w:val="16"/>
          <w:lang w:val="en-US"/>
        </w:rPr>
        <w:t xml:space="preserve">ACTU </w:t>
      </w:r>
      <w:r w:rsidR="00864462">
        <w:rPr>
          <w:rFonts w:cs="Arial"/>
          <w:sz w:val="16"/>
          <w:szCs w:val="16"/>
          <w:lang w:val="en-US"/>
        </w:rPr>
        <w:t>Congress</w:t>
      </w:r>
      <w:r w:rsidR="00864462" w:rsidRPr="007D4B47">
        <w:rPr>
          <w:rFonts w:cs="Arial"/>
          <w:sz w:val="16"/>
          <w:szCs w:val="16"/>
          <w:lang w:val="en-US"/>
        </w:rPr>
        <w:t xml:space="preserve"> 2015</w:t>
      </w:r>
      <w:r w:rsidR="00864462">
        <w:rPr>
          <w:rFonts w:cs="Arial"/>
          <w:sz w:val="16"/>
          <w:szCs w:val="16"/>
          <w:lang w:val="en-US"/>
        </w:rPr>
        <w:t xml:space="preserve">, </w:t>
      </w:r>
      <w:r w:rsidR="00864462" w:rsidRPr="00612F95">
        <w:rPr>
          <w:rFonts w:cs="Arial"/>
          <w:i/>
          <w:sz w:val="16"/>
          <w:szCs w:val="16"/>
          <w:lang w:val="en-US"/>
        </w:rPr>
        <w:t>A Fair Share: Tax and Revenue – Final Policy</w:t>
      </w:r>
      <w:r w:rsidR="00864462">
        <w:rPr>
          <w:rFonts w:cs="Arial"/>
          <w:sz w:val="16"/>
          <w:szCs w:val="16"/>
          <w:lang w:val="en-US"/>
        </w:rPr>
        <w:t xml:space="preserve"> [online] Available at: </w:t>
      </w:r>
      <w:r w:rsidR="00864462" w:rsidRPr="0003710E">
        <w:rPr>
          <w:rFonts w:cs="Arial"/>
          <w:sz w:val="16"/>
          <w:szCs w:val="16"/>
          <w:lang w:val="en-US"/>
        </w:rPr>
        <w:t>http://www.actu.org.au/actu-congress-2015/congress-policy-resolutions/a-fair-go-for-all-policies/a-fair-share-tax-and-revenue</w:t>
      </w:r>
    </w:p>
  </w:footnote>
  <w:footnote w:id="15">
    <w:p w14:paraId="0B05A047" w14:textId="77777777" w:rsidR="007B0460" w:rsidRPr="00707A20" w:rsidRDefault="007B0460">
      <w:pPr>
        <w:pStyle w:val="FootnoteText"/>
        <w:rPr>
          <w:sz w:val="16"/>
          <w:szCs w:val="16"/>
          <w:lang w:val="en-US"/>
        </w:rPr>
      </w:pPr>
      <w:r w:rsidRPr="00707A20">
        <w:rPr>
          <w:rStyle w:val="FootnoteReference"/>
          <w:sz w:val="16"/>
          <w:szCs w:val="16"/>
        </w:rPr>
        <w:footnoteRef/>
      </w:r>
      <w:r w:rsidRPr="00707A20">
        <w:rPr>
          <w:sz w:val="16"/>
          <w:szCs w:val="16"/>
        </w:rPr>
        <w:t xml:space="preserve"> </w:t>
      </w:r>
      <w:r w:rsidR="007F5564">
        <w:rPr>
          <w:sz w:val="16"/>
          <w:szCs w:val="16"/>
        </w:rPr>
        <w:t xml:space="preserve">Australian Government, Not-for-profit Sector Tax Concession Working Group (2013) [online] Available at: </w:t>
      </w:r>
      <w:r w:rsidRPr="00707A20">
        <w:rPr>
          <w:sz w:val="16"/>
          <w:szCs w:val="16"/>
        </w:rPr>
        <w:t>http://www.treasury.gov.au/~/media/Treasury/Access%20to%20Information/Disclosure%20Log/2014/1447/Downloads/PDF/NFP%20Sector%20WG%20Final%20Report.ashx</w:t>
      </w:r>
    </w:p>
  </w:footnote>
  <w:footnote w:id="16">
    <w:p w14:paraId="71E285A7" w14:textId="77777777" w:rsidR="00266F84" w:rsidRPr="00680FB7" w:rsidRDefault="00266F84" w:rsidP="00266F84">
      <w:pPr>
        <w:pStyle w:val="FootnoteText"/>
        <w:rPr>
          <w:sz w:val="16"/>
          <w:szCs w:val="16"/>
        </w:rPr>
      </w:pPr>
      <w:r w:rsidRPr="00680FB7">
        <w:rPr>
          <w:rStyle w:val="FootnoteReference"/>
          <w:sz w:val="16"/>
          <w:szCs w:val="16"/>
        </w:rPr>
        <w:footnoteRef/>
      </w:r>
      <w:r w:rsidRPr="00680FB7">
        <w:rPr>
          <w:sz w:val="16"/>
          <w:szCs w:val="16"/>
        </w:rPr>
        <w:t xml:space="preserve"> </w:t>
      </w:r>
      <w:r>
        <w:rPr>
          <w:sz w:val="16"/>
          <w:szCs w:val="16"/>
        </w:rPr>
        <w:t xml:space="preserve">BDO, Not-for-profit tax concession survey (2013) [online] Available at: </w:t>
      </w:r>
      <w:r w:rsidRPr="00680FB7">
        <w:rPr>
          <w:sz w:val="16"/>
          <w:szCs w:val="16"/>
        </w:rPr>
        <w:t>http://</w:t>
      </w:r>
      <w:r w:rsidRPr="00680FB7">
        <w:rPr>
          <w:rFonts w:eastAsia="Times New Roman" w:cs="Arial"/>
          <w:iCs/>
          <w:sz w:val="16"/>
          <w:szCs w:val="16"/>
          <w:lang w:eastAsia="en-AU"/>
        </w:rPr>
        <w:t xml:space="preserve"> www.bdo.com.au/__.../BDO-NFP-</w:t>
      </w:r>
      <w:r w:rsidRPr="00680FB7">
        <w:rPr>
          <w:rFonts w:eastAsia="Times New Roman" w:cs="Arial"/>
          <w:b/>
          <w:bCs/>
          <w:iCs/>
          <w:sz w:val="16"/>
          <w:szCs w:val="16"/>
          <w:lang w:eastAsia="en-AU"/>
        </w:rPr>
        <w:t>Tax</w:t>
      </w:r>
      <w:r w:rsidRPr="00680FB7">
        <w:rPr>
          <w:rFonts w:eastAsia="Times New Roman" w:cs="Arial"/>
          <w:iCs/>
          <w:sz w:val="16"/>
          <w:szCs w:val="16"/>
          <w:lang w:eastAsia="en-AU"/>
        </w:rPr>
        <w:t>-</w:t>
      </w:r>
      <w:r w:rsidRPr="00680FB7">
        <w:rPr>
          <w:rFonts w:eastAsia="Times New Roman" w:cs="Arial"/>
          <w:b/>
          <w:bCs/>
          <w:iCs/>
          <w:sz w:val="16"/>
          <w:szCs w:val="16"/>
          <w:lang w:eastAsia="en-AU"/>
        </w:rPr>
        <w:t>Concession</w:t>
      </w:r>
      <w:r w:rsidRPr="00680FB7">
        <w:rPr>
          <w:rFonts w:eastAsia="Times New Roman" w:cs="Arial"/>
          <w:iCs/>
          <w:sz w:val="16"/>
          <w:szCs w:val="16"/>
          <w:lang w:eastAsia="en-AU"/>
        </w:rPr>
        <w:t>-Survey-2013.pdf</w:t>
      </w:r>
    </w:p>
  </w:footnote>
  <w:footnote w:id="17">
    <w:p w14:paraId="1A2E4AE9" w14:textId="77777777" w:rsidR="00266F84" w:rsidRPr="00447F6B" w:rsidRDefault="00266F84" w:rsidP="00266F84">
      <w:pPr>
        <w:pStyle w:val="FootnoteText"/>
        <w:rPr>
          <w:sz w:val="16"/>
          <w:szCs w:val="16"/>
        </w:rPr>
      </w:pPr>
      <w:r w:rsidRPr="00447F6B">
        <w:rPr>
          <w:rStyle w:val="FootnoteReference"/>
          <w:sz w:val="16"/>
          <w:szCs w:val="16"/>
        </w:rPr>
        <w:footnoteRef/>
      </w:r>
      <w:r w:rsidRPr="00447F6B">
        <w:rPr>
          <w:sz w:val="16"/>
          <w:szCs w:val="16"/>
        </w:rPr>
        <w:t xml:space="preserve"> Ibid, p.4</w:t>
      </w:r>
    </w:p>
  </w:footnote>
  <w:footnote w:id="18">
    <w:p w14:paraId="7CFC8E0E" w14:textId="77777777" w:rsidR="00266F84" w:rsidRPr="00EE28C0" w:rsidRDefault="00266F84" w:rsidP="00266F84">
      <w:pPr>
        <w:pStyle w:val="FootnoteText"/>
        <w:rPr>
          <w:sz w:val="16"/>
          <w:szCs w:val="16"/>
        </w:rPr>
      </w:pPr>
      <w:r w:rsidRPr="00EE28C0">
        <w:rPr>
          <w:rStyle w:val="FootnoteReference"/>
          <w:sz w:val="16"/>
          <w:szCs w:val="16"/>
        </w:rPr>
        <w:footnoteRef/>
      </w:r>
      <w:r w:rsidRPr="00EE28C0">
        <w:rPr>
          <w:sz w:val="16"/>
          <w:szCs w:val="16"/>
        </w:rPr>
        <w:t xml:space="preserve"> Ibid.</w:t>
      </w:r>
    </w:p>
  </w:footnote>
  <w:footnote w:id="19">
    <w:p w14:paraId="7FE29EE0" w14:textId="77777777" w:rsidR="00195DE0" w:rsidRPr="00271676" w:rsidRDefault="00195DE0" w:rsidP="00195DE0">
      <w:pPr>
        <w:pStyle w:val="FootnoteText"/>
        <w:rPr>
          <w:sz w:val="16"/>
          <w:szCs w:val="16"/>
        </w:rPr>
      </w:pPr>
      <w:r w:rsidRPr="00271676">
        <w:rPr>
          <w:rStyle w:val="FootnoteReference"/>
          <w:sz w:val="16"/>
          <w:szCs w:val="16"/>
        </w:rPr>
        <w:footnoteRef/>
      </w:r>
      <w:r w:rsidRPr="00271676">
        <w:rPr>
          <w:sz w:val="16"/>
          <w:szCs w:val="16"/>
        </w:rPr>
        <w:t xml:space="preserve">  Australian Government, Industry Employment Outlook Paper, Health Care and Social Assistance [online] Available at: http://lmip.gov.au/default.aspx?LMIP/Publications/IndustryReports</w:t>
      </w:r>
    </w:p>
  </w:footnote>
  <w:footnote w:id="20">
    <w:p w14:paraId="33F5F7E1" w14:textId="77777777" w:rsidR="00E000E8" w:rsidRPr="00E000E8" w:rsidRDefault="00E000E8" w:rsidP="00E000E8">
      <w:pPr>
        <w:pStyle w:val="FootnoteText"/>
        <w:rPr>
          <w:sz w:val="16"/>
          <w:szCs w:val="16"/>
        </w:rPr>
      </w:pPr>
      <w:r w:rsidRPr="00E000E8">
        <w:rPr>
          <w:rStyle w:val="FootnoteReference"/>
          <w:sz w:val="16"/>
          <w:szCs w:val="16"/>
        </w:rPr>
        <w:footnoteRef/>
      </w:r>
      <w:r w:rsidRPr="00E000E8">
        <w:rPr>
          <w:sz w:val="16"/>
          <w:szCs w:val="16"/>
        </w:rPr>
        <w:t xml:space="preserve"> </w:t>
      </w:r>
      <w:r>
        <w:rPr>
          <w:sz w:val="16"/>
          <w:szCs w:val="16"/>
        </w:rPr>
        <w:t xml:space="preserve">Australian Bureau of Statistics, Salary Sacrifice Feature Article (2012) [online] Available at: </w:t>
      </w:r>
      <w:r w:rsidRPr="00E000E8">
        <w:rPr>
          <w:sz w:val="16"/>
          <w:szCs w:val="16"/>
        </w:rPr>
        <w:t>http://www.abs.gov.au/AUSSTATS/abs@.nsf/Lookup/6302.0Main+Features8Nov%202012?OpenDocument</w:t>
      </w:r>
    </w:p>
  </w:footnote>
  <w:footnote w:id="21">
    <w:p w14:paraId="7E3339FE" w14:textId="77777777" w:rsidR="00DC4D7D" w:rsidRPr="00271676" w:rsidRDefault="00DC4D7D" w:rsidP="00DC4D7D">
      <w:pPr>
        <w:pStyle w:val="FootnoteText"/>
        <w:rPr>
          <w:sz w:val="16"/>
          <w:szCs w:val="16"/>
        </w:rPr>
      </w:pPr>
      <w:r>
        <w:rPr>
          <w:rStyle w:val="FootnoteReference"/>
        </w:rPr>
        <w:footnoteRef/>
      </w:r>
      <w:r>
        <w:t xml:space="preserve"> </w:t>
      </w:r>
      <w:r w:rsidRPr="00271676">
        <w:rPr>
          <w:sz w:val="16"/>
          <w:szCs w:val="16"/>
        </w:rPr>
        <w:t>Australian Government, Industry Employment Outlook Paper, Health Care and Social Assistance [online] Available at: http://lmip.gov.au/default.aspx?LMIP/Publications/IndustryReports</w:t>
      </w:r>
    </w:p>
    <w:p w14:paraId="0E44BB83" w14:textId="77777777" w:rsidR="00DC4D7D" w:rsidRDefault="00DC4D7D">
      <w:pPr>
        <w:pStyle w:val="FootnoteText"/>
      </w:pPr>
    </w:p>
  </w:footnote>
  <w:footnote w:id="22">
    <w:p w14:paraId="7DDA5C30" w14:textId="77777777" w:rsidR="00E6698F" w:rsidRPr="007F5564" w:rsidRDefault="00E6698F">
      <w:pPr>
        <w:pStyle w:val="FootnoteText"/>
        <w:rPr>
          <w:sz w:val="16"/>
          <w:szCs w:val="16"/>
          <w:lang w:val="en-US"/>
        </w:rPr>
      </w:pPr>
      <w:r w:rsidRPr="007F5564">
        <w:rPr>
          <w:rStyle w:val="FootnoteReference"/>
          <w:sz w:val="16"/>
          <w:szCs w:val="16"/>
        </w:rPr>
        <w:footnoteRef/>
      </w:r>
      <w:r w:rsidRPr="007F5564">
        <w:rPr>
          <w:sz w:val="16"/>
          <w:szCs w:val="16"/>
        </w:rPr>
        <w:t xml:space="preserve"> </w:t>
      </w:r>
      <w:r w:rsidR="007F5564" w:rsidRPr="007F5564">
        <w:rPr>
          <w:sz w:val="16"/>
          <w:szCs w:val="16"/>
        </w:rPr>
        <w:t xml:space="preserve">Fair Work Australia, Decision (2012) [online] Available at: </w:t>
      </w:r>
      <w:r w:rsidRPr="007F5564">
        <w:rPr>
          <w:sz w:val="16"/>
          <w:szCs w:val="16"/>
        </w:rPr>
        <w:t>https://www.fwc.gov.au/documents/decisionssigned/html/2012fwafb5184.htm</w:t>
      </w:r>
    </w:p>
  </w:footnote>
  <w:footnote w:id="23">
    <w:p w14:paraId="3D0FA835" w14:textId="77777777" w:rsidR="005E2FA0" w:rsidRPr="007F5564" w:rsidRDefault="005E2FA0" w:rsidP="005E2FA0">
      <w:pPr>
        <w:pStyle w:val="FootnoteText"/>
        <w:rPr>
          <w:sz w:val="16"/>
          <w:szCs w:val="16"/>
          <w:lang w:val="en-US"/>
        </w:rPr>
      </w:pPr>
      <w:r w:rsidRPr="007F5564">
        <w:rPr>
          <w:rStyle w:val="FootnoteReference"/>
          <w:sz w:val="16"/>
          <w:szCs w:val="16"/>
        </w:rPr>
        <w:footnoteRef/>
      </w:r>
      <w:r w:rsidRPr="007F5564">
        <w:rPr>
          <w:sz w:val="16"/>
          <w:szCs w:val="16"/>
        </w:rPr>
        <w:t xml:space="preserve"> </w:t>
      </w:r>
      <w:r w:rsidR="00CB046A">
        <w:rPr>
          <w:sz w:val="16"/>
          <w:szCs w:val="16"/>
        </w:rPr>
        <w:t xml:space="preserve">Ting, A, 2015 Submission re: Corporate Tax Avoidance inquiry [online] Available at: </w:t>
      </w:r>
      <w:r w:rsidRPr="007F5564">
        <w:rPr>
          <w:sz w:val="16"/>
          <w:szCs w:val="16"/>
        </w:rPr>
        <w:t>http://webcache.googleusercontent.com/search?q=cache:T4JpIE_dsXgJ:www.aph.gov.au/DocumentStore.ashx%3Fid%3D4b854438-5da7-4c83-9422-7d0857ed03fc%26subId%3D303029+&amp;cd=2&amp;hl=en&amp;ct=clnk</w:t>
      </w:r>
    </w:p>
  </w:footnote>
  <w:footnote w:id="24">
    <w:p w14:paraId="1CB4BC04" w14:textId="77777777" w:rsidR="005E2FA0" w:rsidRPr="007F5564" w:rsidRDefault="005E2FA0" w:rsidP="005E2FA0">
      <w:pPr>
        <w:pStyle w:val="FootnoteText"/>
        <w:rPr>
          <w:sz w:val="16"/>
          <w:szCs w:val="16"/>
          <w:lang w:val="en-US"/>
        </w:rPr>
      </w:pPr>
      <w:r w:rsidRPr="007F5564">
        <w:rPr>
          <w:rStyle w:val="FootnoteReference"/>
          <w:sz w:val="16"/>
          <w:szCs w:val="16"/>
        </w:rPr>
        <w:footnoteRef/>
      </w:r>
      <w:r w:rsidRPr="007F5564">
        <w:rPr>
          <w:sz w:val="16"/>
          <w:szCs w:val="16"/>
        </w:rPr>
        <w:t xml:space="preserve"> </w:t>
      </w:r>
      <w:r w:rsidR="00CB046A">
        <w:rPr>
          <w:sz w:val="16"/>
          <w:szCs w:val="16"/>
        </w:rPr>
        <w:t xml:space="preserve">Essential Report Poll (2015) [online] Available at: </w:t>
      </w:r>
      <w:r w:rsidRPr="007F5564">
        <w:rPr>
          <w:sz w:val="16"/>
          <w:szCs w:val="16"/>
        </w:rPr>
        <w:t>http://www.essentialvision.com.au/tax-reforms</w:t>
      </w:r>
    </w:p>
  </w:footnote>
  <w:footnote w:id="25">
    <w:p w14:paraId="5C9DB939" w14:textId="77777777" w:rsidR="005E2FA0" w:rsidRPr="007F5564" w:rsidRDefault="005E2FA0" w:rsidP="005E2FA0">
      <w:pPr>
        <w:pStyle w:val="FootnoteText"/>
        <w:rPr>
          <w:sz w:val="16"/>
          <w:szCs w:val="16"/>
          <w:lang w:val="en-US"/>
        </w:rPr>
      </w:pPr>
      <w:r w:rsidRPr="007F5564">
        <w:rPr>
          <w:rStyle w:val="FootnoteReference"/>
          <w:sz w:val="16"/>
          <w:szCs w:val="16"/>
        </w:rPr>
        <w:footnoteRef/>
      </w:r>
      <w:r w:rsidR="00CB046A">
        <w:rPr>
          <w:sz w:val="16"/>
          <w:szCs w:val="16"/>
        </w:rPr>
        <w:t xml:space="preserve"> Essential Report Poll (2015) [online] Available at</w:t>
      </w:r>
      <w:r w:rsidR="00B54C1E">
        <w:rPr>
          <w:sz w:val="16"/>
          <w:szCs w:val="16"/>
        </w:rPr>
        <w:t>:</w:t>
      </w:r>
      <w:r w:rsidRPr="007F5564">
        <w:rPr>
          <w:sz w:val="16"/>
          <w:szCs w:val="16"/>
        </w:rPr>
        <w:t xml:space="preserve"> http://www.essentialvision.com.au/impact-of-higher-tax-on-multinational-corporations</w:t>
      </w:r>
    </w:p>
  </w:footnote>
  <w:footnote w:id="26">
    <w:p w14:paraId="29D79C65" w14:textId="77777777" w:rsidR="005E2FA0" w:rsidRPr="007D4B47" w:rsidRDefault="005E2FA0" w:rsidP="005E2FA0">
      <w:pPr>
        <w:pStyle w:val="FootnoteText"/>
        <w:rPr>
          <w:rFonts w:cs="Arial"/>
          <w:sz w:val="16"/>
          <w:szCs w:val="16"/>
          <w:lang w:val="en-US"/>
        </w:rPr>
      </w:pPr>
      <w:r w:rsidRPr="007D4B47">
        <w:rPr>
          <w:rStyle w:val="FootnoteReference"/>
          <w:rFonts w:cs="Arial"/>
          <w:sz w:val="16"/>
          <w:szCs w:val="16"/>
        </w:rPr>
        <w:footnoteRef/>
      </w:r>
      <w:r w:rsidRPr="007D4B47">
        <w:rPr>
          <w:rFonts w:cs="Arial"/>
          <w:sz w:val="16"/>
          <w:szCs w:val="16"/>
        </w:rPr>
        <w:t xml:space="preserve"> </w:t>
      </w:r>
      <w:r w:rsidR="007F5564" w:rsidRPr="007D4B47">
        <w:rPr>
          <w:rFonts w:cs="Arial"/>
          <w:sz w:val="16"/>
          <w:szCs w:val="16"/>
          <w:lang w:val="en-US"/>
        </w:rPr>
        <w:t xml:space="preserve">ACTU </w:t>
      </w:r>
      <w:r w:rsidR="0003710E">
        <w:rPr>
          <w:rFonts w:cs="Arial"/>
          <w:sz w:val="16"/>
          <w:szCs w:val="16"/>
          <w:lang w:val="en-US"/>
        </w:rPr>
        <w:t>Congress</w:t>
      </w:r>
      <w:r w:rsidR="007F5564" w:rsidRPr="007D4B47">
        <w:rPr>
          <w:rFonts w:cs="Arial"/>
          <w:sz w:val="16"/>
          <w:szCs w:val="16"/>
          <w:lang w:val="en-US"/>
        </w:rPr>
        <w:t xml:space="preserve"> 2015</w:t>
      </w:r>
      <w:r w:rsidR="0003710E">
        <w:rPr>
          <w:rFonts w:cs="Arial"/>
          <w:sz w:val="16"/>
          <w:szCs w:val="16"/>
          <w:lang w:val="en-US"/>
        </w:rPr>
        <w:t xml:space="preserve">, </w:t>
      </w:r>
      <w:r w:rsidR="0003710E" w:rsidRPr="00612F95">
        <w:rPr>
          <w:rFonts w:cs="Arial"/>
          <w:i/>
          <w:sz w:val="16"/>
          <w:szCs w:val="16"/>
          <w:lang w:val="en-US"/>
        </w:rPr>
        <w:t>A Fair Share: Tax and Revenue – Final Policy</w:t>
      </w:r>
      <w:r w:rsidR="0003710E">
        <w:rPr>
          <w:rFonts w:cs="Arial"/>
          <w:sz w:val="16"/>
          <w:szCs w:val="16"/>
          <w:lang w:val="en-US"/>
        </w:rPr>
        <w:t xml:space="preserve"> [online] Available at: </w:t>
      </w:r>
      <w:r w:rsidR="0003710E" w:rsidRPr="0003710E">
        <w:rPr>
          <w:rFonts w:cs="Arial"/>
          <w:sz w:val="16"/>
          <w:szCs w:val="16"/>
          <w:lang w:val="en-US"/>
        </w:rPr>
        <w:t>http://www.actu.org.au/actu-congress-2015/congress-policy-resolutions/a-fair-go-for-all-policies/a-fair-share-tax-and-revenue</w:t>
      </w:r>
    </w:p>
  </w:footnote>
  <w:footnote w:id="27">
    <w:p w14:paraId="4F979C9E" w14:textId="77777777" w:rsidR="00423C3A" w:rsidRPr="00423C3A" w:rsidRDefault="00423C3A" w:rsidP="00423C3A">
      <w:pPr>
        <w:pStyle w:val="FootnoteText"/>
        <w:rPr>
          <w:sz w:val="16"/>
          <w:szCs w:val="16"/>
        </w:rPr>
      </w:pPr>
      <w:r w:rsidRPr="00423C3A">
        <w:rPr>
          <w:rStyle w:val="FootnoteReference"/>
          <w:sz w:val="16"/>
          <w:szCs w:val="16"/>
        </w:rPr>
        <w:footnoteRef/>
      </w:r>
      <w:r w:rsidRPr="00423C3A">
        <w:rPr>
          <w:sz w:val="16"/>
          <w:szCs w:val="16"/>
        </w:rPr>
        <w:t xml:space="preserve"> For example see Local Government NSW “Local and Regional Economic Development”,</w:t>
      </w:r>
      <w:r>
        <w:rPr>
          <w:sz w:val="16"/>
          <w:szCs w:val="16"/>
        </w:rPr>
        <w:t xml:space="preserve"> [online] A</w:t>
      </w:r>
      <w:r w:rsidRPr="00423C3A">
        <w:rPr>
          <w:sz w:val="16"/>
          <w:szCs w:val="16"/>
        </w:rPr>
        <w:t>vailable at</w:t>
      </w:r>
      <w:r>
        <w:rPr>
          <w:sz w:val="16"/>
          <w:szCs w:val="16"/>
        </w:rPr>
        <w:t>:</w:t>
      </w:r>
      <w:r w:rsidRPr="00423C3A">
        <w:rPr>
          <w:sz w:val="16"/>
          <w:szCs w:val="16"/>
        </w:rPr>
        <w:t xml:space="preserve"> </w:t>
      </w:r>
      <w:r w:rsidRPr="00B84ACF">
        <w:rPr>
          <w:sz w:val="16"/>
          <w:szCs w:val="16"/>
        </w:rPr>
        <w:t>http://www.lgsa.org.au/policy/local-and-regional-economic-development</w:t>
      </w:r>
      <w:r w:rsidRPr="00423C3A">
        <w:rPr>
          <w:sz w:val="16"/>
          <w:szCs w:val="16"/>
        </w:rPr>
        <w:t xml:space="preserve">.  See also discussion of local government and the promotion of economic development by South Australia Centre for Economic Studies, Adelaide and Flinders Universities, </w:t>
      </w:r>
      <w:r w:rsidRPr="00423C3A">
        <w:rPr>
          <w:i/>
          <w:sz w:val="16"/>
          <w:szCs w:val="16"/>
        </w:rPr>
        <w:t>Providing Local Economic Stimulus and Promoting Local Economic Development: Possibilities for Councils in South Australia</w:t>
      </w:r>
      <w:r w:rsidRPr="00423C3A">
        <w:rPr>
          <w:sz w:val="16"/>
          <w:szCs w:val="16"/>
        </w:rPr>
        <w:t>, commissioned by Local Government A</w:t>
      </w:r>
      <w:r>
        <w:rPr>
          <w:sz w:val="16"/>
          <w:szCs w:val="16"/>
        </w:rPr>
        <w:t xml:space="preserve">ssociation of South Australia, (2013) Available at: </w:t>
      </w:r>
      <w:r w:rsidRPr="00B84ACF">
        <w:rPr>
          <w:sz w:val="16"/>
          <w:szCs w:val="16"/>
        </w:rPr>
        <w:t>https://www.lga.sa.gov.au/webdata/resources/files/Providing%20Local%20Economic%20Stimulus%20and%20Promoting%20Local%20Economic%20Development_Possibilites%20for%20Councils%20in%20South%20Australia.pdf</w:t>
      </w:r>
    </w:p>
  </w:footnote>
  <w:footnote w:id="28">
    <w:p w14:paraId="06602FA5" w14:textId="77777777" w:rsidR="00423C3A" w:rsidRPr="00423C3A" w:rsidRDefault="00423C3A" w:rsidP="00423C3A">
      <w:pPr>
        <w:pStyle w:val="FootnoteText"/>
        <w:rPr>
          <w:sz w:val="16"/>
          <w:szCs w:val="16"/>
        </w:rPr>
      </w:pPr>
      <w:r w:rsidRPr="00423C3A">
        <w:rPr>
          <w:rStyle w:val="FootnoteReference"/>
          <w:sz w:val="16"/>
          <w:szCs w:val="16"/>
        </w:rPr>
        <w:footnoteRef/>
      </w:r>
      <w:r w:rsidRPr="00423C3A">
        <w:rPr>
          <w:sz w:val="16"/>
          <w:szCs w:val="16"/>
        </w:rPr>
        <w:t xml:space="preserve"> D. Hawker, Parliament of the Commonwealth of Australia, </w:t>
      </w:r>
      <w:r w:rsidRPr="00423C3A">
        <w:rPr>
          <w:i/>
          <w:sz w:val="16"/>
          <w:szCs w:val="16"/>
        </w:rPr>
        <w:t>Rates and Taxes: A Fair Share for Responsible Local Government</w:t>
      </w:r>
      <w:r w:rsidRPr="00423C3A">
        <w:rPr>
          <w:sz w:val="16"/>
          <w:szCs w:val="16"/>
        </w:rPr>
        <w:t xml:space="preserve">, 2003. </w:t>
      </w:r>
    </w:p>
  </w:footnote>
  <w:footnote w:id="29">
    <w:p w14:paraId="3310830A" w14:textId="77777777" w:rsidR="00423C3A" w:rsidRPr="00423C3A" w:rsidRDefault="00423C3A" w:rsidP="00423C3A">
      <w:pPr>
        <w:pStyle w:val="FootnoteText"/>
        <w:rPr>
          <w:sz w:val="16"/>
          <w:szCs w:val="16"/>
        </w:rPr>
      </w:pPr>
      <w:r w:rsidRPr="00423C3A">
        <w:rPr>
          <w:rStyle w:val="FootnoteReference"/>
          <w:sz w:val="16"/>
          <w:szCs w:val="16"/>
        </w:rPr>
        <w:footnoteRef/>
      </w:r>
      <w:r w:rsidRPr="00423C3A">
        <w:rPr>
          <w:sz w:val="16"/>
          <w:szCs w:val="16"/>
        </w:rPr>
        <w:t xml:space="preserve"> For example see discussion in Andrew Worthington and Brian Dollery, </w:t>
      </w:r>
      <w:r w:rsidRPr="00423C3A">
        <w:rPr>
          <w:i/>
          <w:sz w:val="16"/>
          <w:szCs w:val="16"/>
        </w:rPr>
        <w:t>The Debate on Australian Federalism: Local Government Financial Interrelationships with State and Commonwealth Governments</w:t>
      </w:r>
      <w:r w:rsidRPr="00423C3A">
        <w:rPr>
          <w:sz w:val="16"/>
          <w:szCs w:val="16"/>
        </w:rPr>
        <w:t xml:space="preserve">, Blackwell Publishing 2000, author manuscript version, first published in Australian Journal of Public Administration 59(4): pp12-22. See also John Comrie, </w:t>
      </w:r>
      <w:r w:rsidRPr="00423C3A">
        <w:rPr>
          <w:i/>
          <w:sz w:val="16"/>
          <w:szCs w:val="16"/>
        </w:rPr>
        <w:t>Search Conference Strengthening Local Government Revenue, Background Paper</w:t>
      </w:r>
      <w:r w:rsidRPr="00423C3A">
        <w:rPr>
          <w:sz w:val="16"/>
          <w:szCs w:val="16"/>
        </w:rPr>
        <w:t xml:space="preserve">, Australian Centre of Excellence for Local Government (ACELG), </w:t>
      </w:r>
      <w:r>
        <w:rPr>
          <w:sz w:val="16"/>
          <w:szCs w:val="16"/>
        </w:rPr>
        <w:t xml:space="preserve">(2013) [online] Available at: </w:t>
      </w:r>
      <w:r w:rsidRPr="00423C3A">
        <w:rPr>
          <w:sz w:val="16"/>
          <w:szCs w:val="16"/>
        </w:rPr>
        <w:t>http://www.acelg.org.au/system/files/publication-documents/1355279530_ACELG_Background_Paper__Strengthening_Local_Govt_Revenue_updated_12_Dec_2012.pdf</w:t>
      </w:r>
    </w:p>
  </w:footnote>
  <w:footnote w:id="30">
    <w:p w14:paraId="1B7FF605" w14:textId="77777777" w:rsidR="00423C3A" w:rsidRPr="00423C3A" w:rsidRDefault="00423C3A" w:rsidP="00423C3A">
      <w:pPr>
        <w:pStyle w:val="FootnoteText"/>
        <w:rPr>
          <w:sz w:val="16"/>
          <w:szCs w:val="16"/>
        </w:rPr>
      </w:pPr>
      <w:r w:rsidRPr="00423C3A">
        <w:rPr>
          <w:rStyle w:val="FootnoteReference"/>
          <w:sz w:val="16"/>
          <w:szCs w:val="16"/>
        </w:rPr>
        <w:footnoteRef/>
      </w:r>
      <w:r w:rsidRPr="00423C3A">
        <w:rPr>
          <w:sz w:val="16"/>
          <w:szCs w:val="16"/>
        </w:rPr>
        <w:t xml:space="preserve"> For example, those conducted by the Financial Sustainability Review Board (FSRB), </w:t>
      </w:r>
      <w:r w:rsidRPr="00423C3A">
        <w:rPr>
          <w:i/>
          <w:sz w:val="16"/>
          <w:szCs w:val="16"/>
        </w:rPr>
        <w:t>Rising to the Challenge</w:t>
      </w:r>
      <w:r w:rsidRPr="00423C3A">
        <w:rPr>
          <w:sz w:val="16"/>
          <w:szCs w:val="16"/>
        </w:rPr>
        <w:t xml:space="preserve">, South Australian Local Government Association (2005) and; Independent Inquiry into Local Government (LGI) </w:t>
      </w:r>
      <w:r w:rsidRPr="00423C3A">
        <w:rPr>
          <w:i/>
          <w:sz w:val="16"/>
          <w:szCs w:val="16"/>
        </w:rPr>
        <w:t>Are Councils Sustainable? Final Report: Findings and Recommendations</w:t>
      </w:r>
      <w:r w:rsidRPr="00423C3A">
        <w:rPr>
          <w:sz w:val="16"/>
          <w:szCs w:val="16"/>
        </w:rPr>
        <w:t xml:space="preserve">, NSW Local Government and Shires Association, 2006.  See also commentary by Brian Dollery, </w:t>
      </w:r>
      <w:r w:rsidRPr="00423C3A">
        <w:rPr>
          <w:i/>
          <w:sz w:val="16"/>
          <w:szCs w:val="16"/>
        </w:rPr>
        <w:t>A Critical Evaluation of Revitalising Local Government</w:t>
      </w:r>
      <w:r w:rsidRPr="00423C3A">
        <w:rPr>
          <w:sz w:val="16"/>
          <w:szCs w:val="16"/>
        </w:rPr>
        <w:t>, prepared on behalf of New England Education and Research Proprietary Limited for the United Services Union, nd., p19.</w:t>
      </w:r>
    </w:p>
  </w:footnote>
  <w:footnote w:id="31">
    <w:p w14:paraId="170DDA10" w14:textId="77777777" w:rsidR="00423C3A" w:rsidRPr="00423C3A" w:rsidRDefault="00423C3A" w:rsidP="00423C3A">
      <w:pPr>
        <w:pStyle w:val="FootnoteText"/>
        <w:rPr>
          <w:sz w:val="16"/>
          <w:szCs w:val="16"/>
        </w:rPr>
      </w:pPr>
      <w:r w:rsidRPr="00423C3A">
        <w:rPr>
          <w:rStyle w:val="FootnoteReference"/>
          <w:sz w:val="16"/>
          <w:szCs w:val="16"/>
        </w:rPr>
        <w:footnoteRef/>
      </w:r>
      <w:r w:rsidRPr="00423C3A">
        <w:rPr>
          <w:sz w:val="16"/>
          <w:szCs w:val="16"/>
        </w:rPr>
        <w:t xml:space="preserve"> Comrie, Op. Cit, p. 10</w:t>
      </w:r>
    </w:p>
  </w:footnote>
  <w:footnote w:id="32">
    <w:p w14:paraId="09734CCA" w14:textId="77777777" w:rsidR="00423C3A" w:rsidRPr="00423C3A" w:rsidRDefault="00423C3A" w:rsidP="00423C3A">
      <w:pPr>
        <w:pStyle w:val="FootnoteText"/>
        <w:rPr>
          <w:sz w:val="16"/>
          <w:szCs w:val="16"/>
        </w:rPr>
      </w:pPr>
      <w:r w:rsidRPr="00423C3A">
        <w:rPr>
          <w:rStyle w:val="FootnoteReference"/>
          <w:sz w:val="16"/>
          <w:szCs w:val="16"/>
        </w:rPr>
        <w:footnoteRef/>
      </w:r>
      <w:r w:rsidRPr="00423C3A">
        <w:rPr>
          <w:sz w:val="16"/>
          <w:szCs w:val="16"/>
        </w:rPr>
        <w:t xml:space="preserve"> Mervyn Carter, </w:t>
      </w:r>
      <w:r w:rsidRPr="00423C3A">
        <w:rPr>
          <w:i/>
          <w:sz w:val="16"/>
          <w:szCs w:val="16"/>
        </w:rPr>
        <w:t>Briefing Paper: Australian Local Government Financial Reform – A Federal Perspective</w:t>
      </w:r>
      <w:r w:rsidRPr="00423C3A">
        <w:rPr>
          <w:sz w:val="16"/>
          <w:szCs w:val="16"/>
        </w:rPr>
        <w:t xml:space="preserve">, prepared for the ANZSOG Institute of Governance and the Australian Centre of Excellence for Local Government, </w:t>
      </w:r>
      <w:r w:rsidR="00B423E6">
        <w:rPr>
          <w:sz w:val="16"/>
          <w:szCs w:val="16"/>
        </w:rPr>
        <w:t xml:space="preserve">(2013) [online] Available at: </w:t>
      </w:r>
      <w:r w:rsidRPr="00B84ACF">
        <w:rPr>
          <w:sz w:val="16"/>
          <w:szCs w:val="16"/>
        </w:rPr>
        <w:t>www.acelg.org.au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AF866FE"/>
    <w:lvl w:ilvl="0">
      <w:start w:val="1"/>
      <w:numFmt w:val="decimal"/>
      <w:pStyle w:val="ListNumber4"/>
      <w:lvlText w:val="%1."/>
      <w:lvlJc w:val="left"/>
      <w:pPr>
        <w:tabs>
          <w:tab w:val="num" w:pos="1209"/>
        </w:tabs>
        <w:ind w:left="1209" w:hanging="360"/>
      </w:pPr>
      <w:rPr>
        <w:rFonts w:cs="Times New Roman"/>
      </w:rPr>
    </w:lvl>
  </w:abstractNum>
  <w:abstractNum w:abstractNumId="1">
    <w:nsid w:val="049A3C8A"/>
    <w:multiLevelType w:val="multilevel"/>
    <w:tmpl w:val="94C27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71321D0"/>
    <w:multiLevelType w:val="multilevel"/>
    <w:tmpl w:val="DB74A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DD28C1"/>
    <w:multiLevelType w:val="hybridMultilevel"/>
    <w:tmpl w:val="AF96B8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0A88329C"/>
    <w:multiLevelType w:val="hybridMultilevel"/>
    <w:tmpl w:val="A2284DD0"/>
    <w:lvl w:ilvl="0" w:tplc="AD7E3DA0">
      <w:start w:val="1"/>
      <w:numFmt w:val="decimal"/>
      <w:lvlText w:val="%1."/>
      <w:lvlJc w:val="left"/>
      <w:pPr>
        <w:ind w:left="64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F70AB5"/>
    <w:multiLevelType w:val="hybridMultilevel"/>
    <w:tmpl w:val="02CC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D95311"/>
    <w:multiLevelType w:val="multilevel"/>
    <w:tmpl w:val="00A4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20257F"/>
    <w:multiLevelType w:val="multilevel"/>
    <w:tmpl w:val="7D12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6C32B8"/>
    <w:multiLevelType w:val="hybridMultilevel"/>
    <w:tmpl w:val="E2601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13102E6"/>
    <w:multiLevelType w:val="hybridMultilevel"/>
    <w:tmpl w:val="C0BC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9C3830"/>
    <w:multiLevelType w:val="hybridMultilevel"/>
    <w:tmpl w:val="6CC2CF2C"/>
    <w:lvl w:ilvl="0" w:tplc="61127DE2">
      <w:start w:val="1"/>
      <w:numFmt w:val="bullet"/>
      <w:lvlText w:val="•"/>
      <w:lvlJc w:val="left"/>
      <w:pPr>
        <w:tabs>
          <w:tab w:val="num" w:pos="720"/>
        </w:tabs>
        <w:ind w:left="720" w:hanging="360"/>
      </w:pPr>
      <w:rPr>
        <w:rFonts w:ascii="Arial" w:hAnsi="Arial" w:hint="default"/>
      </w:rPr>
    </w:lvl>
    <w:lvl w:ilvl="1" w:tplc="D7489F28">
      <w:start w:val="923"/>
      <w:numFmt w:val="bullet"/>
      <w:lvlText w:val="o"/>
      <w:lvlJc w:val="left"/>
      <w:pPr>
        <w:tabs>
          <w:tab w:val="num" w:pos="1440"/>
        </w:tabs>
        <w:ind w:left="1440" w:hanging="360"/>
      </w:pPr>
      <w:rPr>
        <w:rFonts w:ascii="Courier New" w:hAnsi="Courier New" w:hint="default"/>
      </w:rPr>
    </w:lvl>
    <w:lvl w:ilvl="2" w:tplc="349A4232" w:tentative="1">
      <w:start w:val="1"/>
      <w:numFmt w:val="bullet"/>
      <w:lvlText w:val="•"/>
      <w:lvlJc w:val="left"/>
      <w:pPr>
        <w:tabs>
          <w:tab w:val="num" w:pos="2160"/>
        </w:tabs>
        <w:ind w:left="2160" w:hanging="360"/>
      </w:pPr>
      <w:rPr>
        <w:rFonts w:ascii="Arial" w:hAnsi="Arial" w:hint="default"/>
      </w:rPr>
    </w:lvl>
    <w:lvl w:ilvl="3" w:tplc="FA5E9F6E" w:tentative="1">
      <w:start w:val="1"/>
      <w:numFmt w:val="bullet"/>
      <w:lvlText w:val="•"/>
      <w:lvlJc w:val="left"/>
      <w:pPr>
        <w:tabs>
          <w:tab w:val="num" w:pos="2880"/>
        </w:tabs>
        <w:ind w:left="2880" w:hanging="360"/>
      </w:pPr>
      <w:rPr>
        <w:rFonts w:ascii="Arial" w:hAnsi="Arial" w:hint="default"/>
      </w:rPr>
    </w:lvl>
    <w:lvl w:ilvl="4" w:tplc="C492B3FC" w:tentative="1">
      <w:start w:val="1"/>
      <w:numFmt w:val="bullet"/>
      <w:lvlText w:val="•"/>
      <w:lvlJc w:val="left"/>
      <w:pPr>
        <w:tabs>
          <w:tab w:val="num" w:pos="3600"/>
        </w:tabs>
        <w:ind w:left="3600" w:hanging="360"/>
      </w:pPr>
      <w:rPr>
        <w:rFonts w:ascii="Arial" w:hAnsi="Arial" w:hint="default"/>
      </w:rPr>
    </w:lvl>
    <w:lvl w:ilvl="5" w:tplc="3E04A248" w:tentative="1">
      <w:start w:val="1"/>
      <w:numFmt w:val="bullet"/>
      <w:lvlText w:val="•"/>
      <w:lvlJc w:val="left"/>
      <w:pPr>
        <w:tabs>
          <w:tab w:val="num" w:pos="4320"/>
        </w:tabs>
        <w:ind w:left="4320" w:hanging="360"/>
      </w:pPr>
      <w:rPr>
        <w:rFonts w:ascii="Arial" w:hAnsi="Arial" w:hint="default"/>
      </w:rPr>
    </w:lvl>
    <w:lvl w:ilvl="6" w:tplc="22A68BF8" w:tentative="1">
      <w:start w:val="1"/>
      <w:numFmt w:val="bullet"/>
      <w:lvlText w:val="•"/>
      <w:lvlJc w:val="left"/>
      <w:pPr>
        <w:tabs>
          <w:tab w:val="num" w:pos="5040"/>
        </w:tabs>
        <w:ind w:left="5040" w:hanging="360"/>
      </w:pPr>
      <w:rPr>
        <w:rFonts w:ascii="Arial" w:hAnsi="Arial" w:hint="default"/>
      </w:rPr>
    </w:lvl>
    <w:lvl w:ilvl="7" w:tplc="4C248204" w:tentative="1">
      <w:start w:val="1"/>
      <w:numFmt w:val="bullet"/>
      <w:lvlText w:val="•"/>
      <w:lvlJc w:val="left"/>
      <w:pPr>
        <w:tabs>
          <w:tab w:val="num" w:pos="5760"/>
        </w:tabs>
        <w:ind w:left="5760" w:hanging="360"/>
      </w:pPr>
      <w:rPr>
        <w:rFonts w:ascii="Arial" w:hAnsi="Arial" w:hint="default"/>
      </w:rPr>
    </w:lvl>
    <w:lvl w:ilvl="8" w:tplc="63AAFF32" w:tentative="1">
      <w:start w:val="1"/>
      <w:numFmt w:val="bullet"/>
      <w:lvlText w:val="•"/>
      <w:lvlJc w:val="left"/>
      <w:pPr>
        <w:tabs>
          <w:tab w:val="num" w:pos="6480"/>
        </w:tabs>
        <w:ind w:left="6480" w:hanging="360"/>
      </w:pPr>
      <w:rPr>
        <w:rFonts w:ascii="Arial" w:hAnsi="Arial" w:hint="default"/>
      </w:rPr>
    </w:lvl>
  </w:abstractNum>
  <w:abstractNum w:abstractNumId="11">
    <w:nsid w:val="2B5807E0"/>
    <w:multiLevelType w:val="hybridMultilevel"/>
    <w:tmpl w:val="95848F1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33D52A5B"/>
    <w:multiLevelType w:val="hybridMultilevel"/>
    <w:tmpl w:val="A112CE9A"/>
    <w:lvl w:ilvl="0" w:tplc="93EA116E">
      <w:start w:val="1"/>
      <w:numFmt w:val="bullet"/>
      <w:lvlText w:val="o"/>
      <w:lvlJc w:val="left"/>
      <w:pPr>
        <w:tabs>
          <w:tab w:val="num" w:pos="1440"/>
        </w:tabs>
        <w:ind w:left="1440" w:hanging="360"/>
      </w:pPr>
      <w:rPr>
        <w:rFonts w:ascii="Courier New" w:hAnsi="Courier New" w:hint="default"/>
        <w:sz w:val="24"/>
        <w:szCs w:val="24"/>
      </w:rPr>
    </w:lvl>
    <w:lvl w:ilvl="1" w:tplc="77A47326">
      <w:numFmt w:val="bullet"/>
      <w:lvlText w:val=""/>
      <w:lvlJc w:val="left"/>
      <w:pPr>
        <w:ind w:left="2160" w:hanging="360"/>
      </w:pPr>
      <w:rPr>
        <w:rFonts w:ascii="Arial" w:eastAsia="Times New Roman" w:hAnsi="Arial" w:cs="Aria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384C0AC3"/>
    <w:multiLevelType w:val="hybridMultilevel"/>
    <w:tmpl w:val="0E74F1EC"/>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4">
    <w:nsid w:val="3D714D4B"/>
    <w:multiLevelType w:val="multilevel"/>
    <w:tmpl w:val="A316FE50"/>
    <w:styleLink w:val="ChapterList"/>
    <w:lvl w:ilvl="0">
      <w:start w:val="1"/>
      <w:numFmt w:val="decimal"/>
      <w:lvlText w:val="Chapter %1"/>
      <w:lvlJc w:val="left"/>
      <w:pPr>
        <w:tabs>
          <w:tab w:val="num" w:pos="1134"/>
        </w:tabs>
      </w:pPr>
      <w:rPr>
        <w:rFonts w:cs="Times New Roman" w:hint="default"/>
      </w:rPr>
    </w:lvl>
    <w:lvl w:ilvl="1">
      <w:start w:val="1"/>
      <w:numFmt w:val="decimal"/>
      <w:lvlText w:val="%1.%2"/>
      <w:lvlJc w:val="left"/>
      <w:pPr>
        <w:tabs>
          <w:tab w:val="num" w:pos="1985"/>
        </w:tabs>
        <w:ind w:left="1134"/>
      </w:pPr>
      <w:rPr>
        <w:rFonts w:cs="Times New Roman" w:hint="default"/>
      </w:rPr>
    </w:lvl>
    <w:lvl w:ilvl="2">
      <w:start w:val="1"/>
      <w:numFmt w:val="decimal"/>
      <w:lvlRestart w:val="0"/>
      <w:suff w:val="nothing"/>
      <w:lvlText w:val="Diagram %1.%3"/>
      <w:lvlJc w:val="left"/>
      <w:pPr>
        <w:ind w:left="1134"/>
      </w:pPr>
      <w:rPr>
        <w:rFonts w:cs="Times New Roman" w:hint="default"/>
      </w:rPr>
    </w:lvl>
    <w:lvl w:ilvl="3">
      <w:start w:val="1"/>
      <w:numFmt w:val="decimal"/>
      <w:lvlRestart w:val="0"/>
      <w:suff w:val="nothing"/>
      <w:lvlText w:val="Example %1.%4"/>
      <w:lvlJc w:val="left"/>
      <w:pPr>
        <w:ind w:left="1134"/>
      </w:pPr>
      <w:rPr>
        <w:rFonts w:cs="Times New Roman" w:hint="default"/>
      </w:rPr>
    </w:lvl>
    <w:lvl w:ilvl="4">
      <w:start w:val="1"/>
      <w:numFmt w:val="decimal"/>
      <w:lvlRestart w:val="0"/>
      <w:suff w:val="nothing"/>
      <w:lvlText w:val="Table %1.%5"/>
      <w:lvlJc w:val="left"/>
      <w:pPr>
        <w:ind w:left="1134"/>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3F5A211C"/>
    <w:multiLevelType w:val="multilevel"/>
    <w:tmpl w:val="C3B44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081604"/>
    <w:multiLevelType w:val="hybridMultilevel"/>
    <w:tmpl w:val="856868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3D7450F"/>
    <w:multiLevelType w:val="hybridMultilevel"/>
    <w:tmpl w:val="2F46059E"/>
    <w:lvl w:ilvl="0" w:tplc="0C090001">
      <w:start w:val="1"/>
      <w:numFmt w:val="bullet"/>
      <w:lvlText w:val=""/>
      <w:lvlJc w:val="left"/>
      <w:pPr>
        <w:ind w:left="720" w:hanging="360"/>
      </w:pPr>
      <w:rPr>
        <w:rFonts w:ascii="Symbol" w:hAnsi="Symbol" w:hint="default"/>
      </w:rPr>
    </w:lvl>
    <w:lvl w:ilvl="1" w:tplc="0C090003" w:tentative="1">
      <w:start w:val="1"/>
      <w:numFmt w:val="bullet"/>
      <w:pStyle w:val="base-text-paragraph"/>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6D7756B"/>
    <w:multiLevelType w:val="multilevel"/>
    <w:tmpl w:val="9D1E2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50174E14"/>
    <w:multiLevelType w:val="hybridMultilevel"/>
    <w:tmpl w:val="475615D6"/>
    <w:lvl w:ilvl="0" w:tplc="D0805FA6">
      <w:start w:val="1"/>
      <w:numFmt w:val="decimal"/>
      <w:lvlText w:val="%1."/>
      <w:lvlJc w:val="left"/>
      <w:pPr>
        <w:tabs>
          <w:tab w:val="num" w:pos="360"/>
        </w:tabs>
        <w:ind w:left="360" w:hanging="360"/>
      </w:pPr>
      <w:rPr>
        <w:rFonts w:ascii="Arial" w:hAnsi="Arial" w:cs="Arial" w:hint="default"/>
        <w:b w:val="0"/>
      </w:rPr>
    </w:lvl>
    <w:lvl w:ilvl="1" w:tplc="0C09000F">
      <w:start w:val="1"/>
      <w:numFmt w:val="decimal"/>
      <w:lvlText w:val="%2."/>
      <w:lvlJc w:val="left"/>
      <w:pPr>
        <w:tabs>
          <w:tab w:val="num" w:pos="928"/>
        </w:tabs>
        <w:ind w:left="928" w:hanging="360"/>
      </w:pPr>
      <w:rPr>
        <w:rFonts w:hint="default"/>
      </w:rPr>
    </w:lvl>
    <w:lvl w:ilvl="2" w:tplc="0409000F">
      <w:start w:val="1"/>
      <w:numFmt w:val="decimal"/>
      <w:lvlText w:val="%3."/>
      <w:lvlJc w:val="left"/>
      <w:pPr>
        <w:tabs>
          <w:tab w:val="num" w:pos="1800"/>
        </w:tabs>
        <w:ind w:left="1800" w:hanging="18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6012423"/>
    <w:multiLevelType w:val="hybridMultilevel"/>
    <w:tmpl w:val="0A5E1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66D5A9B"/>
    <w:multiLevelType w:val="hybridMultilevel"/>
    <w:tmpl w:val="7944C2A6"/>
    <w:lvl w:ilvl="0" w:tplc="0C09000F">
      <w:start w:val="1"/>
      <w:numFmt w:val="decimal"/>
      <w:lvlText w:val="%1."/>
      <w:lvlJc w:val="left"/>
      <w:pPr>
        <w:ind w:left="3600" w:hanging="360"/>
      </w:p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22">
    <w:nsid w:val="579E0CCB"/>
    <w:multiLevelType w:val="hybridMultilevel"/>
    <w:tmpl w:val="E5C69F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58B97EDE"/>
    <w:multiLevelType w:val="hybridMultilevel"/>
    <w:tmpl w:val="D0F4B5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A425BF6"/>
    <w:multiLevelType w:val="hybridMultilevel"/>
    <w:tmpl w:val="88882C7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08C2DBB"/>
    <w:multiLevelType w:val="hybridMultilevel"/>
    <w:tmpl w:val="2506D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4026C39"/>
    <w:multiLevelType w:val="hybridMultilevel"/>
    <w:tmpl w:val="10B405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4AA27E7"/>
    <w:multiLevelType w:val="hybridMultilevel"/>
    <w:tmpl w:val="E774EC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5DF6494"/>
    <w:multiLevelType w:val="multilevel"/>
    <w:tmpl w:val="A316FE50"/>
    <w:numStyleLink w:val="ChapterList"/>
  </w:abstractNum>
  <w:abstractNum w:abstractNumId="29">
    <w:nsid w:val="72101089"/>
    <w:multiLevelType w:val="hybridMultilevel"/>
    <w:tmpl w:val="F0B87E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3FA190C"/>
    <w:multiLevelType w:val="hybridMultilevel"/>
    <w:tmpl w:val="F53A408E"/>
    <w:lvl w:ilvl="0" w:tplc="DB303ACC">
      <w:start w:val="1"/>
      <w:numFmt w:val="bullet"/>
      <w:pStyle w:val="Bulletform"/>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76AD2833"/>
    <w:multiLevelType w:val="hybridMultilevel"/>
    <w:tmpl w:val="AD7E24FE"/>
    <w:lvl w:ilvl="0" w:tplc="AB7AE446">
      <w:start w:val="1"/>
      <w:numFmt w:val="decimal"/>
      <w:lvlText w:val="%1."/>
      <w:lvlJc w:val="left"/>
      <w:pPr>
        <w:ind w:left="360" w:hanging="360"/>
      </w:pPr>
      <w:rPr>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79BD2175"/>
    <w:multiLevelType w:val="hybridMultilevel"/>
    <w:tmpl w:val="6F14CEA6"/>
    <w:lvl w:ilvl="0" w:tplc="749A9D9E">
      <w:start w:val="1"/>
      <w:numFmt w:val="bullet"/>
      <w:lvlText w:val="•"/>
      <w:lvlJc w:val="left"/>
      <w:pPr>
        <w:tabs>
          <w:tab w:val="num" w:pos="720"/>
        </w:tabs>
        <w:ind w:left="720" w:hanging="360"/>
      </w:pPr>
      <w:rPr>
        <w:rFonts w:ascii="Arial" w:hAnsi="Arial" w:hint="default"/>
      </w:rPr>
    </w:lvl>
    <w:lvl w:ilvl="1" w:tplc="60D2F104" w:tentative="1">
      <w:start w:val="1"/>
      <w:numFmt w:val="bullet"/>
      <w:lvlText w:val="•"/>
      <w:lvlJc w:val="left"/>
      <w:pPr>
        <w:tabs>
          <w:tab w:val="num" w:pos="1440"/>
        </w:tabs>
        <w:ind w:left="1440" w:hanging="360"/>
      </w:pPr>
      <w:rPr>
        <w:rFonts w:ascii="Arial" w:hAnsi="Arial" w:hint="default"/>
      </w:rPr>
    </w:lvl>
    <w:lvl w:ilvl="2" w:tplc="AD1817EA" w:tentative="1">
      <w:start w:val="1"/>
      <w:numFmt w:val="bullet"/>
      <w:lvlText w:val="•"/>
      <w:lvlJc w:val="left"/>
      <w:pPr>
        <w:tabs>
          <w:tab w:val="num" w:pos="2160"/>
        </w:tabs>
        <w:ind w:left="2160" w:hanging="360"/>
      </w:pPr>
      <w:rPr>
        <w:rFonts w:ascii="Arial" w:hAnsi="Arial" w:hint="default"/>
      </w:rPr>
    </w:lvl>
    <w:lvl w:ilvl="3" w:tplc="CCBE309E" w:tentative="1">
      <w:start w:val="1"/>
      <w:numFmt w:val="bullet"/>
      <w:lvlText w:val="•"/>
      <w:lvlJc w:val="left"/>
      <w:pPr>
        <w:tabs>
          <w:tab w:val="num" w:pos="2880"/>
        </w:tabs>
        <w:ind w:left="2880" w:hanging="360"/>
      </w:pPr>
      <w:rPr>
        <w:rFonts w:ascii="Arial" w:hAnsi="Arial" w:hint="default"/>
      </w:rPr>
    </w:lvl>
    <w:lvl w:ilvl="4" w:tplc="75E2033A" w:tentative="1">
      <w:start w:val="1"/>
      <w:numFmt w:val="bullet"/>
      <w:lvlText w:val="•"/>
      <w:lvlJc w:val="left"/>
      <w:pPr>
        <w:tabs>
          <w:tab w:val="num" w:pos="3600"/>
        </w:tabs>
        <w:ind w:left="3600" w:hanging="360"/>
      </w:pPr>
      <w:rPr>
        <w:rFonts w:ascii="Arial" w:hAnsi="Arial" w:hint="default"/>
      </w:rPr>
    </w:lvl>
    <w:lvl w:ilvl="5" w:tplc="309A098C" w:tentative="1">
      <w:start w:val="1"/>
      <w:numFmt w:val="bullet"/>
      <w:lvlText w:val="•"/>
      <w:lvlJc w:val="left"/>
      <w:pPr>
        <w:tabs>
          <w:tab w:val="num" w:pos="4320"/>
        </w:tabs>
        <w:ind w:left="4320" w:hanging="360"/>
      </w:pPr>
      <w:rPr>
        <w:rFonts w:ascii="Arial" w:hAnsi="Arial" w:hint="default"/>
      </w:rPr>
    </w:lvl>
    <w:lvl w:ilvl="6" w:tplc="BAFA8230" w:tentative="1">
      <w:start w:val="1"/>
      <w:numFmt w:val="bullet"/>
      <w:lvlText w:val="•"/>
      <w:lvlJc w:val="left"/>
      <w:pPr>
        <w:tabs>
          <w:tab w:val="num" w:pos="5040"/>
        </w:tabs>
        <w:ind w:left="5040" w:hanging="360"/>
      </w:pPr>
      <w:rPr>
        <w:rFonts w:ascii="Arial" w:hAnsi="Arial" w:hint="default"/>
      </w:rPr>
    </w:lvl>
    <w:lvl w:ilvl="7" w:tplc="F580C2F6" w:tentative="1">
      <w:start w:val="1"/>
      <w:numFmt w:val="bullet"/>
      <w:lvlText w:val="•"/>
      <w:lvlJc w:val="left"/>
      <w:pPr>
        <w:tabs>
          <w:tab w:val="num" w:pos="5760"/>
        </w:tabs>
        <w:ind w:left="5760" w:hanging="360"/>
      </w:pPr>
      <w:rPr>
        <w:rFonts w:ascii="Arial" w:hAnsi="Arial" w:hint="default"/>
      </w:rPr>
    </w:lvl>
    <w:lvl w:ilvl="8" w:tplc="F640BA30" w:tentative="1">
      <w:start w:val="1"/>
      <w:numFmt w:val="bullet"/>
      <w:lvlText w:val="•"/>
      <w:lvlJc w:val="left"/>
      <w:pPr>
        <w:tabs>
          <w:tab w:val="num" w:pos="6480"/>
        </w:tabs>
        <w:ind w:left="6480" w:hanging="360"/>
      </w:pPr>
      <w:rPr>
        <w:rFonts w:ascii="Arial" w:hAnsi="Arial" w:hint="default"/>
      </w:rPr>
    </w:lvl>
  </w:abstractNum>
  <w:abstractNum w:abstractNumId="33">
    <w:nsid w:val="7B217366"/>
    <w:multiLevelType w:val="hybridMultilevel"/>
    <w:tmpl w:val="DBE0C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EF60636"/>
    <w:multiLevelType w:val="hybridMultilevel"/>
    <w:tmpl w:val="1180C0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9"/>
  </w:num>
  <w:num w:numId="2">
    <w:abstractNumId w:val="12"/>
  </w:num>
  <w:num w:numId="3">
    <w:abstractNumId w:val="3"/>
  </w:num>
  <w:num w:numId="4">
    <w:abstractNumId w:val="6"/>
  </w:num>
  <w:num w:numId="5">
    <w:abstractNumId w:val="7"/>
  </w:num>
  <w:num w:numId="6">
    <w:abstractNumId w:val="9"/>
  </w:num>
  <w:num w:numId="7">
    <w:abstractNumId w:val="13"/>
  </w:num>
  <w:num w:numId="8">
    <w:abstractNumId w:val="27"/>
  </w:num>
  <w:num w:numId="9">
    <w:abstractNumId w:val="22"/>
  </w:num>
  <w:num w:numId="10">
    <w:abstractNumId w:val="20"/>
  </w:num>
  <w:num w:numId="11">
    <w:abstractNumId w:val="33"/>
  </w:num>
  <w:num w:numId="12">
    <w:abstractNumId w:val="23"/>
  </w:num>
  <w:num w:numId="13">
    <w:abstractNumId w:val="29"/>
  </w:num>
  <w:num w:numId="14">
    <w:abstractNumId w:val="24"/>
  </w:num>
  <w:num w:numId="15">
    <w:abstractNumId w:val="34"/>
  </w:num>
  <w:num w:numId="16">
    <w:abstractNumId w:val="8"/>
  </w:num>
  <w:num w:numId="17">
    <w:abstractNumId w:val="16"/>
  </w:num>
  <w:num w:numId="18">
    <w:abstractNumId w:val="4"/>
  </w:num>
  <w:num w:numId="19">
    <w:abstractNumId w:val="17"/>
  </w:num>
  <w:num w:numId="20">
    <w:abstractNumId w:val="10"/>
  </w:num>
  <w:num w:numId="21">
    <w:abstractNumId w:val="32"/>
  </w:num>
  <w:num w:numId="22">
    <w:abstractNumId w:val="25"/>
  </w:num>
  <w:num w:numId="23">
    <w:abstractNumId w:val="11"/>
  </w:num>
  <w:num w:numId="24">
    <w:abstractNumId w:val="21"/>
  </w:num>
  <w:num w:numId="25">
    <w:abstractNumId w:val="31"/>
  </w:num>
  <w:num w:numId="26">
    <w:abstractNumId w:val="18"/>
  </w:num>
  <w:num w:numId="27">
    <w:abstractNumId w:val="30"/>
  </w:num>
  <w:num w:numId="28">
    <w:abstractNumId w:val="1"/>
  </w:num>
  <w:num w:numId="29">
    <w:abstractNumId w:val="0"/>
  </w:num>
  <w:num w:numId="30">
    <w:abstractNumId w:val="14"/>
  </w:num>
  <w:num w:numId="31">
    <w:abstractNumId w:val="28"/>
    <w:lvlOverride w:ilvl="0">
      <w:lvl w:ilvl="0">
        <w:start w:val="1"/>
        <w:numFmt w:val="decimal"/>
        <w:lvlText w:val="Chapter %1"/>
        <w:lvlJc w:val="left"/>
        <w:pPr>
          <w:tabs>
            <w:tab w:val="num" w:pos="1134"/>
          </w:tabs>
        </w:pPr>
        <w:rPr>
          <w:rFonts w:cs="Times New Roman" w:hint="default"/>
        </w:rPr>
      </w:lvl>
    </w:lvlOverride>
    <w:lvlOverride w:ilvl="1">
      <w:lvl w:ilvl="1">
        <w:start w:val="1"/>
        <w:numFmt w:val="decimal"/>
        <w:lvlText w:val="%1.%2"/>
        <w:lvlJc w:val="left"/>
        <w:pPr>
          <w:tabs>
            <w:tab w:val="num" w:pos="1985"/>
          </w:tabs>
          <w:ind w:left="1134"/>
        </w:pPr>
        <w:rPr>
          <w:rFonts w:cs="Times New Roman" w:hint="default"/>
        </w:rPr>
      </w:lvl>
    </w:lvlOverride>
    <w:lvlOverride w:ilvl="2">
      <w:lvl w:ilvl="2">
        <w:start w:val="1"/>
        <w:numFmt w:val="decimal"/>
        <w:lvlRestart w:val="0"/>
        <w:suff w:val="nothing"/>
        <w:lvlText w:val="Diagram %1.%3"/>
        <w:lvlJc w:val="left"/>
        <w:pPr>
          <w:ind w:left="1134"/>
        </w:pPr>
        <w:rPr>
          <w:rFonts w:cs="Times New Roman" w:hint="default"/>
        </w:rPr>
      </w:lvl>
    </w:lvlOverride>
    <w:lvlOverride w:ilvl="3">
      <w:lvl w:ilvl="3">
        <w:start w:val="1"/>
        <w:numFmt w:val="decimal"/>
        <w:lvlRestart w:val="0"/>
        <w:suff w:val="nothing"/>
        <w:lvlText w:val="Example %1.%4"/>
        <w:lvlJc w:val="left"/>
        <w:pPr>
          <w:ind w:left="567"/>
        </w:pPr>
        <w:rPr>
          <w:rFonts w:cs="Times New Roman" w:hint="default"/>
        </w:rPr>
      </w:lvl>
    </w:lvlOverride>
    <w:lvlOverride w:ilvl="4">
      <w:lvl w:ilvl="4">
        <w:start w:val="1"/>
        <w:numFmt w:val="decimal"/>
        <w:lvlRestart w:val="0"/>
        <w:suff w:val="nothing"/>
        <w:lvlText w:val="Table %1.%5"/>
        <w:lvlJc w:val="left"/>
        <w:pPr>
          <w:ind w:left="1134"/>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2">
    <w:abstractNumId w:val="26"/>
  </w:num>
  <w:num w:numId="33">
    <w:abstractNumId w:val="2"/>
  </w:num>
  <w:num w:numId="34">
    <w:abstractNumId w:val="5"/>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E13"/>
    <w:rsid w:val="00002227"/>
    <w:rsid w:val="00002910"/>
    <w:rsid w:val="00003646"/>
    <w:rsid w:val="00005B0E"/>
    <w:rsid w:val="00006EC1"/>
    <w:rsid w:val="00007857"/>
    <w:rsid w:val="00007CD1"/>
    <w:rsid w:val="00010798"/>
    <w:rsid w:val="00010DD3"/>
    <w:rsid w:val="00013025"/>
    <w:rsid w:val="00013698"/>
    <w:rsid w:val="00021EC9"/>
    <w:rsid w:val="00022BE2"/>
    <w:rsid w:val="000241C5"/>
    <w:rsid w:val="00030887"/>
    <w:rsid w:val="00030AD6"/>
    <w:rsid w:val="00032F35"/>
    <w:rsid w:val="0003470F"/>
    <w:rsid w:val="00034E0C"/>
    <w:rsid w:val="00036861"/>
    <w:rsid w:val="00036A49"/>
    <w:rsid w:val="0003710E"/>
    <w:rsid w:val="0003772C"/>
    <w:rsid w:val="0004149C"/>
    <w:rsid w:val="000417B4"/>
    <w:rsid w:val="00045A4E"/>
    <w:rsid w:val="00045E09"/>
    <w:rsid w:val="00046ABE"/>
    <w:rsid w:val="0004700F"/>
    <w:rsid w:val="00047510"/>
    <w:rsid w:val="000516DA"/>
    <w:rsid w:val="000517D4"/>
    <w:rsid w:val="00051800"/>
    <w:rsid w:val="0005372E"/>
    <w:rsid w:val="000548D6"/>
    <w:rsid w:val="00055EB9"/>
    <w:rsid w:val="00055F31"/>
    <w:rsid w:val="00056B98"/>
    <w:rsid w:val="000577D2"/>
    <w:rsid w:val="00060823"/>
    <w:rsid w:val="00060997"/>
    <w:rsid w:val="0006657E"/>
    <w:rsid w:val="0006790D"/>
    <w:rsid w:val="00071406"/>
    <w:rsid w:val="000724B1"/>
    <w:rsid w:val="000726C8"/>
    <w:rsid w:val="00073576"/>
    <w:rsid w:val="000746C0"/>
    <w:rsid w:val="00080200"/>
    <w:rsid w:val="00081EAD"/>
    <w:rsid w:val="0008275B"/>
    <w:rsid w:val="00082F16"/>
    <w:rsid w:val="00083E54"/>
    <w:rsid w:val="00086CC0"/>
    <w:rsid w:val="0009434E"/>
    <w:rsid w:val="00095970"/>
    <w:rsid w:val="00097876"/>
    <w:rsid w:val="000A088D"/>
    <w:rsid w:val="000A320E"/>
    <w:rsid w:val="000A66B9"/>
    <w:rsid w:val="000B10FA"/>
    <w:rsid w:val="000B1F9F"/>
    <w:rsid w:val="000B6C0A"/>
    <w:rsid w:val="000B70FC"/>
    <w:rsid w:val="000C2375"/>
    <w:rsid w:val="000C3ED8"/>
    <w:rsid w:val="000C48F7"/>
    <w:rsid w:val="000C4C0A"/>
    <w:rsid w:val="000D1104"/>
    <w:rsid w:val="000D29E1"/>
    <w:rsid w:val="000D411C"/>
    <w:rsid w:val="000D41BC"/>
    <w:rsid w:val="000D46C3"/>
    <w:rsid w:val="000D5316"/>
    <w:rsid w:val="000D696D"/>
    <w:rsid w:val="000D7828"/>
    <w:rsid w:val="000D7FC9"/>
    <w:rsid w:val="000E1482"/>
    <w:rsid w:val="000E2594"/>
    <w:rsid w:val="000E3B33"/>
    <w:rsid w:val="000E7887"/>
    <w:rsid w:val="000F297E"/>
    <w:rsid w:val="000F3AF7"/>
    <w:rsid w:val="000F6C8B"/>
    <w:rsid w:val="0010765C"/>
    <w:rsid w:val="00111050"/>
    <w:rsid w:val="001127DC"/>
    <w:rsid w:val="0011516B"/>
    <w:rsid w:val="00116B07"/>
    <w:rsid w:val="0012042D"/>
    <w:rsid w:val="00120AA6"/>
    <w:rsid w:val="00121C20"/>
    <w:rsid w:val="00121F83"/>
    <w:rsid w:val="0012444E"/>
    <w:rsid w:val="0012717E"/>
    <w:rsid w:val="00127A26"/>
    <w:rsid w:val="00130D2A"/>
    <w:rsid w:val="00132661"/>
    <w:rsid w:val="00132D3E"/>
    <w:rsid w:val="001341DD"/>
    <w:rsid w:val="00134D53"/>
    <w:rsid w:val="001359E8"/>
    <w:rsid w:val="00136294"/>
    <w:rsid w:val="00136806"/>
    <w:rsid w:val="0014498D"/>
    <w:rsid w:val="00146135"/>
    <w:rsid w:val="001476EC"/>
    <w:rsid w:val="00147BA3"/>
    <w:rsid w:val="001563B1"/>
    <w:rsid w:val="00156E01"/>
    <w:rsid w:val="001619EF"/>
    <w:rsid w:val="00161D55"/>
    <w:rsid w:val="00164DC3"/>
    <w:rsid w:val="00165A32"/>
    <w:rsid w:val="00174818"/>
    <w:rsid w:val="00175FA6"/>
    <w:rsid w:val="00180101"/>
    <w:rsid w:val="00180DE1"/>
    <w:rsid w:val="00181E5B"/>
    <w:rsid w:val="00182E57"/>
    <w:rsid w:val="00183043"/>
    <w:rsid w:val="0018785F"/>
    <w:rsid w:val="00190AE4"/>
    <w:rsid w:val="00191984"/>
    <w:rsid w:val="00191DA3"/>
    <w:rsid w:val="00192328"/>
    <w:rsid w:val="00193C85"/>
    <w:rsid w:val="00195211"/>
    <w:rsid w:val="00195DE0"/>
    <w:rsid w:val="001968C0"/>
    <w:rsid w:val="00196E82"/>
    <w:rsid w:val="001A1C2A"/>
    <w:rsid w:val="001A1E45"/>
    <w:rsid w:val="001B449A"/>
    <w:rsid w:val="001B4B1F"/>
    <w:rsid w:val="001C2F61"/>
    <w:rsid w:val="001C3317"/>
    <w:rsid w:val="001C387C"/>
    <w:rsid w:val="001C4D7A"/>
    <w:rsid w:val="001D2692"/>
    <w:rsid w:val="001D3673"/>
    <w:rsid w:val="001D5293"/>
    <w:rsid w:val="001D5677"/>
    <w:rsid w:val="001D6F6C"/>
    <w:rsid w:val="001E0DA0"/>
    <w:rsid w:val="001E14FC"/>
    <w:rsid w:val="001E199B"/>
    <w:rsid w:val="001F5523"/>
    <w:rsid w:val="0020349F"/>
    <w:rsid w:val="00203C2E"/>
    <w:rsid w:val="00206C8A"/>
    <w:rsid w:val="0020703C"/>
    <w:rsid w:val="00216E38"/>
    <w:rsid w:val="00220BBA"/>
    <w:rsid w:val="00220FE5"/>
    <w:rsid w:val="0022447B"/>
    <w:rsid w:val="0022645E"/>
    <w:rsid w:val="00226E54"/>
    <w:rsid w:val="0023005C"/>
    <w:rsid w:val="00230B48"/>
    <w:rsid w:val="0023160B"/>
    <w:rsid w:val="00231C4F"/>
    <w:rsid w:val="002320CD"/>
    <w:rsid w:val="0023245F"/>
    <w:rsid w:val="0023420B"/>
    <w:rsid w:val="00234E8F"/>
    <w:rsid w:val="00240B69"/>
    <w:rsid w:val="00240EBA"/>
    <w:rsid w:val="00241506"/>
    <w:rsid w:val="002426EB"/>
    <w:rsid w:val="002435D8"/>
    <w:rsid w:val="002437A3"/>
    <w:rsid w:val="0024564E"/>
    <w:rsid w:val="00250246"/>
    <w:rsid w:val="002553F9"/>
    <w:rsid w:val="00262F3E"/>
    <w:rsid w:val="002636CD"/>
    <w:rsid w:val="00263A8D"/>
    <w:rsid w:val="00264251"/>
    <w:rsid w:val="00266F84"/>
    <w:rsid w:val="0026716C"/>
    <w:rsid w:val="0027039C"/>
    <w:rsid w:val="00270FCD"/>
    <w:rsid w:val="00271676"/>
    <w:rsid w:val="002766E2"/>
    <w:rsid w:val="00283EFB"/>
    <w:rsid w:val="00285AE1"/>
    <w:rsid w:val="00285CA2"/>
    <w:rsid w:val="00293B17"/>
    <w:rsid w:val="002955F2"/>
    <w:rsid w:val="002956ED"/>
    <w:rsid w:val="00297CD6"/>
    <w:rsid w:val="002A2895"/>
    <w:rsid w:val="002A5229"/>
    <w:rsid w:val="002A6BA0"/>
    <w:rsid w:val="002A7486"/>
    <w:rsid w:val="002B060D"/>
    <w:rsid w:val="002B0BA0"/>
    <w:rsid w:val="002B0FC6"/>
    <w:rsid w:val="002B1C0E"/>
    <w:rsid w:val="002B2927"/>
    <w:rsid w:val="002B38E1"/>
    <w:rsid w:val="002B3B84"/>
    <w:rsid w:val="002B3DCB"/>
    <w:rsid w:val="002B44EA"/>
    <w:rsid w:val="002B4B43"/>
    <w:rsid w:val="002C0D53"/>
    <w:rsid w:val="002C37E6"/>
    <w:rsid w:val="002C5EA3"/>
    <w:rsid w:val="002C6AF5"/>
    <w:rsid w:val="002C7499"/>
    <w:rsid w:val="002D05E7"/>
    <w:rsid w:val="002D6E2B"/>
    <w:rsid w:val="002D7423"/>
    <w:rsid w:val="002D7652"/>
    <w:rsid w:val="002D7859"/>
    <w:rsid w:val="002D7D12"/>
    <w:rsid w:val="002E1B14"/>
    <w:rsid w:val="002E3AC2"/>
    <w:rsid w:val="002E4DEB"/>
    <w:rsid w:val="002E5196"/>
    <w:rsid w:val="002E6557"/>
    <w:rsid w:val="002E6845"/>
    <w:rsid w:val="002E7D1A"/>
    <w:rsid w:val="002F3881"/>
    <w:rsid w:val="002F389B"/>
    <w:rsid w:val="002F4235"/>
    <w:rsid w:val="00301673"/>
    <w:rsid w:val="00301D32"/>
    <w:rsid w:val="003038BF"/>
    <w:rsid w:val="00304ED2"/>
    <w:rsid w:val="00305CA9"/>
    <w:rsid w:val="00305EA4"/>
    <w:rsid w:val="00307541"/>
    <w:rsid w:val="00311FD0"/>
    <w:rsid w:val="003120B1"/>
    <w:rsid w:val="00312B54"/>
    <w:rsid w:val="00312E9A"/>
    <w:rsid w:val="00312FC0"/>
    <w:rsid w:val="003137E1"/>
    <w:rsid w:val="003148D4"/>
    <w:rsid w:val="00315110"/>
    <w:rsid w:val="00315687"/>
    <w:rsid w:val="0031575A"/>
    <w:rsid w:val="00316911"/>
    <w:rsid w:val="0031753A"/>
    <w:rsid w:val="003200FB"/>
    <w:rsid w:val="0032069D"/>
    <w:rsid w:val="0032249F"/>
    <w:rsid w:val="00324559"/>
    <w:rsid w:val="003259DF"/>
    <w:rsid w:val="003275C4"/>
    <w:rsid w:val="0032794A"/>
    <w:rsid w:val="00331E44"/>
    <w:rsid w:val="00332612"/>
    <w:rsid w:val="003336DA"/>
    <w:rsid w:val="003350D8"/>
    <w:rsid w:val="00336628"/>
    <w:rsid w:val="0034091B"/>
    <w:rsid w:val="003464C5"/>
    <w:rsid w:val="003500B5"/>
    <w:rsid w:val="003512E6"/>
    <w:rsid w:val="00351AD1"/>
    <w:rsid w:val="00352382"/>
    <w:rsid w:val="0035324E"/>
    <w:rsid w:val="00353CDE"/>
    <w:rsid w:val="00354E8F"/>
    <w:rsid w:val="00361106"/>
    <w:rsid w:val="00365E7A"/>
    <w:rsid w:val="00366921"/>
    <w:rsid w:val="00367505"/>
    <w:rsid w:val="00372B35"/>
    <w:rsid w:val="003744C3"/>
    <w:rsid w:val="003815D8"/>
    <w:rsid w:val="003861B4"/>
    <w:rsid w:val="00395687"/>
    <w:rsid w:val="003A0B27"/>
    <w:rsid w:val="003A2503"/>
    <w:rsid w:val="003A38F4"/>
    <w:rsid w:val="003A6879"/>
    <w:rsid w:val="003A6B56"/>
    <w:rsid w:val="003A6B8B"/>
    <w:rsid w:val="003A7477"/>
    <w:rsid w:val="003B05FD"/>
    <w:rsid w:val="003B09BE"/>
    <w:rsid w:val="003B16E7"/>
    <w:rsid w:val="003B38F8"/>
    <w:rsid w:val="003B3D8D"/>
    <w:rsid w:val="003B4C0E"/>
    <w:rsid w:val="003B538A"/>
    <w:rsid w:val="003B5FB9"/>
    <w:rsid w:val="003B7468"/>
    <w:rsid w:val="003C18A4"/>
    <w:rsid w:val="003C2AB2"/>
    <w:rsid w:val="003C3ECF"/>
    <w:rsid w:val="003C3FF3"/>
    <w:rsid w:val="003C58F1"/>
    <w:rsid w:val="003C7AF3"/>
    <w:rsid w:val="003D110F"/>
    <w:rsid w:val="003D1C18"/>
    <w:rsid w:val="003D4293"/>
    <w:rsid w:val="003D4ECB"/>
    <w:rsid w:val="003D58A3"/>
    <w:rsid w:val="003E0495"/>
    <w:rsid w:val="003E05EA"/>
    <w:rsid w:val="003E4888"/>
    <w:rsid w:val="003E6228"/>
    <w:rsid w:val="003F08D8"/>
    <w:rsid w:val="003F0C28"/>
    <w:rsid w:val="003F0FC5"/>
    <w:rsid w:val="003F12C7"/>
    <w:rsid w:val="003F3D31"/>
    <w:rsid w:val="003F6508"/>
    <w:rsid w:val="003F6AEA"/>
    <w:rsid w:val="003F7002"/>
    <w:rsid w:val="003F782A"/>
    <w:rsid w:val="00401406"/>
    <w:rsid w:val="00402162"/>
    <w:rsid w:val="004049C0"/>
    <w:rsid w:val="00405CE2"/>
    <w:rsid w:val="00407E0A"/>
    <w:rsid w:val="00411A0B"/>
    <w:rsid w:val="00414394"/>
    <w:rsid w:val="00415F64"/>
    <w:rsid w:val="0041726E"/>
    <w:rsid w:val="004177E0"/>
    <w:rsid w:val="00421204"/>
    <w:rsid w:val="00421B64"/>
    <w:rsid w:val="00423C3A"/>
    <w:rsid w:val="00425503"/>
    <w:rsid w:val="00425D2D"/>
    <w:rsid w:val="00425D2E"/>
    <w:rsid w:val="00431BD1"/>
    <w:rsid w:val="004410E0"/>
    <w:rsid w:val="00442684"/>
    <w:rsid w:val="00443525"/>
    <w:rsid w:val="00444E70"/>
    <w:rsid w:val="00445CB2"/>
    <w:rsid w:val="00447F6B"/>
    <w:rsid w:val="00450FEE"/>
    <w:rsid w:val="004529D2"/>
    <w:rsid w:val="004541A7"/>
    <w:rsid w:val="00454572"/>
    <w:rsid w:val="00460FDE"/>
    <w:rsid w:val="00461B01"/>
    <w:rsid w:val="00463504"/>
    <w:rsid w:val="0046548A"/>
    <w:rsid w:val="004668B3"/>
    <w:rsid w:val="004719F1"/>
    <w:rsid w:val="00471FE8"/>
    <w:rsid w:val="00474E06"/>
    <w:rsid w:val="0048001B"/>
    <w:rsid w:val="0048013D"/>
    <w:rsid w:val="00480EBB"/>
    <w:rsid w:val="0048191D"/>
    <w:rsid w:val="004824C5"/>
    <w:rsid w:val="004829E4"/>
    <w:rsid w:val="00482BDD"/>
    <w:rsid w:val="00483B99"/>
    <w:rsid w:val="00485470"/>
    <w:rsid w:val="004859B2"/>
    <w:rsid w:val="004866EC"/>
    <w:rsid w:val="00491C35"/>
    <w:rsid w:val="00492876"/>
    <w:rsid w:val="004935F5"/>
    <w:rsid w:val="00495820"/>
    <w:rsid w:val="0049754B"/>
    <w:rsid w:val="004A09A8"/>
    <w:rsid w:val="004A2DAA"/>
    <w:rsid w:val="004A6B2A"/>
    <w:rsid w:val="004B1DEC"/>
    <w:rsid w:val="004B2048"/>
    <w:rsid w:val="004C0CB1"/>
    <w:rsid w:val="004C3B64"/>
    <w:rsid w:val="004C4396"/>
    <w:rsid w:val="004C518D"/>
    <w:rsid w:val="004D019D"/>
    <w:rsid w:val="004D134B"/>
    <w:rsid w:val="004D4681"/>
    <w:rsid w:val="004D64E1"/>
    <w:rsid w:val="004E2FDA"/>
    <w:rsid w:val="004E54B5"/>
    <w:rsid w:val="004E5AB8"/>
    <w:rsid w:val="004F4AF5"/>
    <w:rsid w:val="004F51A5"/>
    <w:rsid w:val="004F663F"/>
    <w:rsid w:val="004F7203"/>
    <w:rsid w:val="004F7270"/>
    <w:rsid w:val="005043E3"/>
    <w:rsid w:val="00504D80"/>
    <w:rsid w:val="00505FD4"/>
    <w:rsid w:val="00506192"/>
    <w:rsid w:val="00506CC9"/>
    <w:rsid w:val="00507B38"/>
    <w:rsid w:val="005128F9"/>
    <w:rsid w:val="00514147"/>
    <w:rsid w:val="00514A12"/>
    <w:rsid w:val="00515116"/>
    <w:rsid w:val="00516F79"/>
    <w:rsid w:val="00517C11"/>
    <w:rsid w:val="00520425"/>
    <w:rsid w:val="00525B7A"/>
    <w:rsid w:val="005265C5"/>
    <w:rsid w:val="00531C53"/>
    <w:rsid w:val="00540D73"/>
    <w:rsid w:val="00540DB0"/>
    <w:rsid w:val="00541DFF"/>
    <w:rsid w:val="00543E45"/>
    <w:rsid w:val="00544B9D"/>
    <w:rsid w:val="00544C5E"/>
    <w:rsid w:val="005453EE"/>
    <w:rsid w:val="005469CB"/>
    <w:rsid w:val="00551B10"/>
    <w:rsid w:val="00551E56"/>
    <w:rsid w:val="005521E8"/>
    <w:rsid w:val="005535F4"/>
    <w:rsid w:val="0056034A"/>
    <w:rsid w:val="0056165A"/>
    <w:rsid w:val="005618ED"/>
    <w:rsid w:val="00562037"/>
    <w:rsid w:val="0056204F"/>
    <w:rsid w:val="00564223"/>
    <w:rsid w:val="00564554"/>
    <w:rsid w:val="00566ADC"/>
    <w:rsid w:val="00571D5A"/>
    <w:rsid w:val="005732FE"/>
    <w:rsid w:val="00573B03"/>
    <w:rsid w:val="00575DB0"/>
    <w:rsid w:val="00576E13"/>
    <w:rsid w:val="00576F6C"/>
    <w:rsid w:val="00580873"/>
    <w:rsid w:val="0058167F"/>
    <w:rsid w:val="00581C14"/>
    <w:rsid w:val="005832AC"/>
    <w:rsid w:val="00584635"/>
    <w:rsid w:val="00586526"/>
    <w:rsid w:val="005924FA"/>
    <w:rsid w:val="00592516"/>
    <w:rsid w:val="00593DDC"/>
    <w:rsid w:val="0059549D"/>
    <w:rsid w:val="0059669B"/>
    <w:rsid w:val="005A2528"/>
    <w:rsid w:val="005A75EC"/>
    <w:rsid w:val="005B280C"/>
    <w:rsid w:val="005B3CD6"/>
    <w:rsid w:val="005C0F22"/>
    <w:rsid w:val="005C1D4C"/>
    <w:rsid w:val="005C3FC0"/>
    <w:rsid w:val="005C5777"/>
    <w:rsid w:val="005C585A"/>
    <w:rsid w:val="005C5BEB"/>
    <w:rsid w:val="005D308C"/>
    <w:rsid w:val="005D485E"/>
    <w:rsid w:val="005D4CA7"/>
    <w:rsid w:val="005D6461"/>
    <w:rsid w:val="005D6C4C"/>
    <w:rsid w:val="005D7B8D"/>
    <w:rsid w:val="005D7DBB"/>
    <w:rsid w:val="005D7F87"/>
    <w:rsid w:val="005E056D"/>
    <w:rsid w:val="005E2FA0"/>
    <w:rsid w:val="005F1B3D"/>
    <w:rsid w:val="005F5642"/>
    <w:rsid w:val="005F5A86"/>
    <w:rsid w:val="005F671F"/>
    <w:rsid w:val="0060467C"/>
    <w:rsid w:val="00606843"/>
    <w:rsid w:val="00606D4D"/>
    <w:rsid w:val="00607530"/>
    <w:rsid w:val="006077E4"/>
    <w:rsid w:val="00607FEB"/>
    <w:rsid w:val="00612F95"/>
    <w:rsid w:val="0061404C"/>
    <w:rsid w:val="00615441"/>
    <w:rsid w:val="006171D4"/>
    <w:rsid w:val="00617EC1"/>
    <w:rsid w:val="0062040A"/>
    <w:rsid w:val="00620C72"/>
    <w:rsid w:val="00621C87"/>
    <w:rsid w:val="0062624E"/>
    <w:rsid w:val="006300FD"/>
    <w:rsid w:val="0063155E"/>
    <w:rsid w:val="00632FCB"/>
    <w:rsid w:val="006330C2"/>
    <w:rsid w:val="006332C6"/>
    <w:rsid w:val="006441E8"/>
    <w:rsid w:val="00646478"/>
    <w:rsid w:val="00650A43"/>
    <w:rsid w:val="00652958"/>
    <w:rsid w:val="00653159"/>
    <w:rsid w:val="006537F4"/>
    <w:rsid w:val="0065424C"/>
    <w:rsid w:val="00655FF1"/>
    <w:rsid w:val="00660102"/>
    <w:rsid w:val="00660B22"/>
    <w:rsid w:val="00664473"/>
    <w:rsid w:val="00666AAF"/>
    <w:rsid w:val="00675C50"/>
    <w:rsid w:val="00680FB7"/>
    <w:rsid w:val="00682F3B"/>
    <w:rsid w:val="00691125"/>
    <w:rsid w:val="006912B4"/>
    <w:rsid w:val="006957D0"/>
    <w:rsid w:val="0069583D"/>
    <w:rsid w:val="006973C0"/>
    <w:rsid w:val="006A162E"/>
    <w:rsid w:val="006A326E"/>
    <w:rsid w:val="006A7755"/>
    <w:rsid w:val="006B004F"/>
    <w:rsid w:val="006B1804"/>
    <w:rsid w:val="006B3A1D"/>
    <w:rsid w:val="006B3F19"/>
    <w:rsid w:val="006B54F5"/>
    <w:rsid w:val="006B6BB5"/>
    <w:rsid w:val="006C0988"/>
    <w:rsid w:val="006C0AB2"/>
    <w:rsid w:val="006C454F"/>
    <w:rsid w:val="006C473E"/>
    <w:rsid w:val="006C48BD"/>
    <w:rsid w:val="006C5C70"/>
    <w:rsid w:val="006C788D"/>
    <w:rsid w:val="006D0340"/>
    <w:rsid w:val="006D182A"/>
    <w:rsid w:val="006D191A"/>
    <w:rsid w:val="006D28EE"/>
    <w:rsid w:val="006D50F4"/>
    <w:rsid w:val="006D53A7"/>
    <w:rsid w:val="006D576F"/>
    <w:rsid w:val="006E18A4"/>
    <w:rsid w:val="006E3118"/>
    <w:rsid w:val="006E6DD3"/>
    <w:rsid w:val="006F345B"/>
    <w:rsid w:val="006F34E2"/>
    <w:rsid w:val="006F4F80"/>
    <w:rsid w:val="007029C5"/>
    <w:rsid w:val="00702E53"/>
    <w:rsid w:val="0070618B"/>
    <w:rsid w:val="00707A20"/>
    <w:rsid w:val="00711BB4"/>
    <w:rsid w:val="007141DE"/>
    <w:rsid w:val="007146A7"/>
    <w:rsid w:val="00717A0D"/>
    <w:rsid w:val="007218E2"/>
    <w:rsid w:val="00723019"/>
    <w:rsid w:val="00725E6A"/>
    <w:rsid w:val="0072608D"/>
    <w:rsid w:val="00727651"/>
    <w:rsid w:val="007302B2"/>
    <w:rsid w:val="007309BD"/>
    <w:rsid w:val="0073198A"/>
    <w:rsid w:val="00735D40"/>
    <w:rsid w:val="00736C3B"/>
    <w:rsid w:val="007379C3"/>
    <w:rsid w:val="00737E32"/>
    <w:rsid w:val="00743848"/>
    <w:rsid w:val="00743A6A"/>
    <w:rsid w:val="00745012"/>
    <w:rsid w:val="007462CD"/>
    <w:rsid w:val="0074640A"/>
    <w:rsid w:val="00747063"/>
    <w:rsid w:val="00751112"/>
    <w:rsid w:val="00752682"/>
    <w:rsid w:val="00754985"/>
    <w:rsid w:val="00755222"/>
    <w:rsid w:val="00763493"/>
    <w:rsid w:val="007661F5"/>
    <w:rsid w:val="00767390"/>
    <w:rsid w:val="00771D75"/>
    <w:rsid w:val="007768B2"/>
    <w:rsid w:val="00782A27"/>
    <w:rsid w:val="00782F79"/>
    <w:rsid w:val="00783C80"/>
    <w:rsid w:val="00784D35"/>
    <w:rsid w:val="007853DA"/>
    <w:rsid w:val="00785E1F"/>
    <w:rsid w:val="007866EC"/>
    <w:rsid w:val="0078714F"/>
    <w:rsid w:val="0078743D"/>
    <w:rsid w:val="007957AD"/>
    <w:rsid w:val="007961BB"/>
    <w:rsid w:val="00797CED"/>
    <w:rsid w:val="007A175B"/>
    <w:rsid w:val="007A3DC2"/>
    <w:rsid w:val="007A628A"/>
    <w:rsid w:val="007A75EF"/>
    <w:rsid w:val="007B0077"/>
    <w:rsid w:val="007B0460"/>
    <w:rsid w:val="007B059B"/>
    <w:rsid w:val="007B1AA6"/>
    <w:rsid w:val="007B5D6B"/>
    <w:rsid w:val="007C0133"/>
    <w:rsid w:val="007C2A29"/>
    <w:rsid w:val="007C78D3"/>
    <w:rsid w:val="007D12C9"/>
    <w:rsid w:val="007D1658"/>
    <w:rsid w:val="007D1AB9"/>
    <w:rsid w:val="007D2A6B"/>
    <w:rsid w:val="007D348C"/>
    <w:rsid w:val="007D34B7"/>
    <w:rsid w:val="007D4B47"/>
    <w:rsid w:val="007D533F"/>
    <w:rsid w:val="007E47F2"/>
    <w:rsid w:val="007F1286"/>
    <w:rsid w:val="007F1C99"/>
    <w:rsid w:val="007F2149"/>
    <w:rsid w:val="007F2788"/>
    <w:rsid w:val="007F5564"/>
    <w:rsid w:val="007F627B"/>
    <w:rsid w:val="0080064E"/>
    <w:rsid w:val="00802D48"/>
    <w:rsid w:val="00803A0A"/>
    <w:rsid w:val="0080462A"/>
    <w:rsid w:val="00804D3E"/>
    <w:rsid w:val="00804F9B"/>
    <w:rsid w:val="008058B7"/>
    <w:rsid w:val="008070AF"/>
    <w:rsid w:val="008104ED"/>
    <w:rsid w:val="00811FD1"/>
    <w:rsid w:val="00813D25"/>
    <w:rsid w:val="008142D1"/>
    <w:rsid w:val="008165E7"/>
    <w:rsid w:val="00817D73"/>
    <w:rsid w:val="00820641"/>
    <w:rsid w:val="0082229E"/>
    <w:rsid w:val="00822B77"/>
    <w:rsid w:val="00822D91"/>
    <w:rsid w:val="00826D83"/>
    <w:rsid w:val="0083034E"/>
    <w:rsid w:val="00831E71"/>
    <w:rsid w:val="00832082"/>
    <w:rsid w:val="0083244C"/>
    <w:rsid w:val="008338C3"/>
    <w:rsid w:val="008346F5"/>
    <w:rsid w:val="008348C0"/>
    <w:rsid w:val="008363C9"/>
    <w:rsid w:val="00836CFE"/>
    <w:rsid w:val="00836F37"/>
    <w:rsid w:val="00840210"/>
    <w:rsid w:val="00842E3C"/>
    <w:rsid w:val="00843740"/>
    <w:rsid w:val="00847B2D"/>
    <w:rsid w:val="00853E9B"/>
    <w:rsid w:val="0085710B"/>
    <w:rsid w:val="00857259"/>
    <w:rsid w:val="008607ED"/>
    <w:rsid w:val="00860824"/>
    <w:rsid w:val="00860B5B"/>
    <w:rsid w:val="00862108"/>
    <w:rsid w:val="00864462"/>
    <w:rsid w:val="00871DCB"/>
    <w:rsid w:val="00873BE3"/>
    <w:rsid w:val="00873C06"/>
    <w:rsid w:val="008757FB"/>
    <w:rsid w:val="00875E23"/>
    <w:rsid w:val="00876BE5"/>
    <w:rsid w:val="00877F1D"/>
    <w:rsid w:val="0088096B"/>
    <w:rsid w:val="00880CBF"/>
    <w:rsid w:val="0088482D"/>
    <w:rsid w:val="00887359"/>
    <w:rsid w:val="00893931"/>
    <w:rsid w:val="00895CED"/>
    <w:rsid w:val="00897012"/>
    <w:rsid w:val="008A02FA"/>
    <w:rsid w:val="008A0986"/>
    <w:rsid w:val="008A102F"/>
    <w:rsid w:val="008A4B5C"/>
    <w:rsid w:val="008A599D"/>
    <w:rsid w:val="008A7940"/>
    <w:rsid w:val="008B0C09"/>
    <w:rsid w:val="008B1D23"/>
    <w:rsid w:val="008B22C8"/>
    <w:rsid w:val="008B5B12"/>
    <w:rsid w:val="008B67DC"/>
    <w:rsid w:val="008C0213"/>
    <w:rsid w:val="008C17F4"/>
    <w:rsid w:val="008C18E8"/>
    <w:rsid w:val="008C1FD6"/>
    <w:rsid w:val="008C2C6D"/>
    <w:rsid w:val="008C4C24"/>
    <w:rsid w:val="008C6A66"/>
    <w:rsid w:val="008C74F4"/>
    <w:rsid w:val="008D48D1"/>
    <w:rsid w:val="008D53D5"/>
    <w:rsid w:val="008E03BD"/>
    <w:rsid w:val="008E1525"/>
    <w:rsid w:val="008E2394"/>
    <w:rsid w:val="008E2BFE"/>
    <w:rsid w:val="008E3416"/>
    <w:rsid w:val="008E43F2"/>
    <w:rsid w:val="008E4602"/>
    <w:rsid w:val="008E67CD"/>
    <w:rsid w:val="008F225B"/>
    <w:rsid w:val="00904B93"/>
    <w:rsid w:val="009053A0"/>
    <w:rsid w:val="0090768C"/>
    <w:rsid w:val="009159D1"/>
    <w:rsid w:val="00915F53"/>
    <w:rsid w:val="009166F2"/>
    <w:rsid w:val="00917E6F"/>
    <w:rsid w:val="00917ED7"/>
    <w:rsid w:val="00923142"/>
    <w:rsid w:val="00930EAE"/>
    <w:rsid w:val="00932922"/>
    <w:rsid w:val="00932CDB"/>
    <w:rsid w:val="00936261"/>
    <w:rsid w:val="00936954"/>
    <w:rsid w:val="0093708E"/>
    <w:rsid w:val="00937698"/>
    <w:rsid w:val="0093787D"/>
    <w:rsid w:val="00937AFD"/>
    <w:rsid w:val="00940D20"/>
    <w:rsid w:val="0094179E"/>
    <w:rsid w:val="00942842"/>
    <w:rsid w:val="00942EB0"/>
    <w:rsid w:val="00943497"/>
    <w:rsid w:val="00943B0D"/>
    <w:rsid w:val="0094543E"/>
    <w:rsid w:val="00945D05"/>
    <w:rsid w:val="00947DCC"/>
    <w:rsid w:val="009500B9"/>
    <w:rsid w:val="00950538"/>
    <w:rsid w:val="00952543"/>
    <w:rsid w:val="0095338F"/>
    <w:rsid w:val="00955E25"/>
    <w:rsid w:val="00956D2F"/>
    <w:rsid w:val="00956DC3"/>
    <w:rsid w:val="00957219"/>
    <w:rsid w:val="009578E5"/>
    <w:rsid w:val="00961921"/>
    <w:rsid w:val="00962124"/>
    <w:rsid w:val="009621FB"/>
    <w:rsid w:val="00962544"/>
    <w:rsid w:val="00963DC7"/>
    <w:rsid w:val="009661D0"/>
    <w:rsid w:val="00970D6C"/>
    <w:rsid w:val="00972A01"/>
    <w:rsid w:val="00980838"/>
    <w:rsid w:val="009851E5"/>
    <w:rsid w:val="00991182"/>
    <w:rsid w:val="00995AFA"/>
    <w:rsid w:val="00996A2E"/>
    <w:rsid w:val="009A14D4"/>
    <w:rsid w:val="009A2B9D"/>
    <w:rsid w:val="009A447C"/>
    <w:rsid w:val="009A4B26"/>
    <w:rsid w:val="009A7DF7"/>
    <w:rsid w:val="009B1923"/>
    <w:rsid w:val="009B4D3D"/>
    <w:rsid w:val="009B4EA9"/>
    <w:rsid w:val="009B4F2F"/>
    <w:rsid w:val="009B6E35"/>
    <w:rsid w:val="009B7AF1"/>
    <w:rsid w:val="009C0E2D"/>
    <w:rsid w:val="009C1BC7"/>
    <w:rsid w:val="009C2FAD"/>
    <w:rsid w:val="009C3157"/>
    <w:rsid w:val="009C4F27"/>
    <w:rsid w:val="009C6E9F"/>
    <w:rsid w:val="009C6FE8"/>
    <w:rsid w:val="009D0291"/>
    <w:rsid w:val="009D2CD9"/>
    <w:rsid w:val="009D3150"/>
    <w:rsid w:val="009D5F9D"/>
    <w:rsid w:val="009D6131"/>
    <w:rsid w:val="009D7910"/>
    <w:rsid w:val="009E0E56"/>
    <w:rsid w:val="009E1425"/>
    <w:rsid w:val="009E18D8"/>
    <w:rsid w:val="009E23DD"/>
    <w:rsid w:val="009E404F"/>
    <w:rsid w:val="009E44F2"/>
    <w:rsid w:val="009E6818"/>
    <w:rsid w:val="009E6F47"/>
    <w:rsid w:val="009F1507"/>
    <w:rsid w:val="009F15FF"/>
    <w:rsid w:val="009F6AB9"/>
    <w:rsid w:val="00A00189"/>
    <w:rsid w:val="00A01B71"/>
    <w:rsid w:val="00A13EDE"/>
    <w:rsid w:val="00A21A44"/>
    <w:rsid w:val="00A23CC1"/>
    <w:rsid w:val="00A23F61"/>
    <w:rsid w:val="00A2491E"/>
    <w:rsid w:val="00A2529F"/>
    <w:rsid w:val="00A25378"/>
    <w:rsid w:val="00A25CAF"/>
    <w:rsid w:val="00A26CDF"/>
    <w:rsid w:val="00A30253"/>
    <w:rsid w:val="00A30BF7"/>
    <w:rsid w:val="00A31E54"/>
    <w:rsid w:val="00A36334"/>
    <w:rsid w:val="00A36C41"/>
    <w:rsid w:val="00A373CA"/>
    <w:rsid w:val="00A4011B"/>
    <w:rsid w:val="00A40346"/>
    <w:rsid w:val="00A407E6"/>
    <w:rsid w:val="00A40E7C"/>
    <w:rsid w:val="00A41A66"/>
    <w:rsid w:val="00A42335"/>
    <w:rsid w:val="00A4403A"/>
    <w:rsid w:val="00A45FE8"/>
    <w:rsid w:val="00A460D4"/>
    <w:rsid w:val="00A46B87"/>
    <w:rsid w:val="00A5058B"/>
    <w:rsid w:val="00A50EC4"/>
    <w:rsid w:val="00A5182F"/>
    <w:rsid w:val="00A5196C"/>
    <w:rsid w:val="00A5281F"/>
    <w:rsid w:val="00A53B78"/>
    <w:rsid w:val="00A54633"/>
    <w:rsid w:val="00A640E6"/>
    <w:rsid w:val="00A661E4"/>
    <w:rsid w:val="00A66385"/>
    <w:rsid w:val="00A720D8"/>
    <w:rsid w:val="00A73EF1"/>
    <w:rsid w:val="00A74611"/>
    <w:rsid w:val="00A75FAB"/>
    <w:rsid w:val="00A76E31"/>
    <w:rsid w:val="00A81698"/>
    <w:rsid w:val="00A81EE7"/>
    <w:rsid w:val="00A82D5D"/>
    <w:rsid w:val="00A83DAE"/>
    <w:rsid w:val="00A868E6"/>
    <w:rsid w:val="00A905D3"/>
    <w:rsid w:val="00A91DAB"/>
    <w:rsid w:val="00A937E5"/>
    <w:rsid w:val="00A9514A"/>
    <w:rsid w:val="00AA1DFD"/>
    <w:rsid w:val="00AA1E2E"/>
    <w:rsid w:val="00AA1E43"/>
    <w:rsid w:val="00AA6866"/>
    <w:rsid w:val="00AB29BF"/>
    <w:rsid w:val="00AB5623"/>
    <w:rsid w:val="00AB5A0C"/>
    <w:rsid w:val="00AB6EC5"/>
    <w:rsid w:val="00AC427E"/>
    <w:rsid w:val="00AC70C8"/>
    <w:rsid w:val="00AC754F"/>
    <w:rsid w:val="00AD1422"/>
    <w:rsid w:val="00AD61AD"/>
    <w:rsid w:val="00AD6C6F"/>
    <w:rsid w:val="00AD6D94"/>
    <w:rsid w:val="00AE2083"/>
    <w:rsid w:val="00AE26AE"/>
    <w:rsid w:val="00AE553B"/>
    <w:rsid w:val="00AE55AD"/>
    <w:rsid w:val="00AE60D0"/>
    <w:rsid w:val="00AF084C"/>
    <w:rsid w:val="00AF0C43"/>
    <w:rsid w:val="00AF0D3D"/>
    <w:rsid w:val="00AF487C"/>
    <w:rsid w:val="00AF5FCC"/>
    <w:rsid w:val="00AF7865"/>
    <w:rsid w:val="00B02D00"/>
    <w:rsid w:val="00B04FB8"/>
    <w:rsid w:val="00B060CB"/>
    <w:rsid w:val="00B068E0"/>
    <w:rsid w:val="00B06AAC"/>
    <w:rsid w:val="00B07632"/>
    <w:rsid w:val="00B104F6"/>
    <w:rsid w:val="00B12C63"/>
    <w:rsid w:val="00B13DA8"/>
    <w:rsid w:val="00B1689B"/>
    <w:rsid w:val="00B21BCD"/>
    <w:rsid w:val="00B22458"/>
    <w:rsid w:val="00B249FF"/>
    <w:rsid w:val="00B24B8A"/>
    <w:rsid w:val="00B26B80"/>
    <w:rsid w:val="00B315C1"/>
    <w:rsid w:val="00B33B83"/>
    <w:rsid w:val="00B34D68"/>
    <w:rsid w:val="00B36614"/>
    <w:rsid w:val="00B41533"/>
    <w:rsid w:val="00B423E6"/>
    <w:rsid w:val="00B4277E"/>
    <w:rsid w:val="00B46B0A"/>
    <w:rsid w:val="00B47248"/>
    <w:rsid w:val="00B4767F"/>
    <w:rsid w:val="00B47816"/>
    <w:rsid w:val="00B54391"/>
    <w:rsid w:val="00B54C1E"/>
    <w:rsid w:val="00B57ADC"/>
    <w:rsid w:val="00B604A5"/>
    <w:rsid w:val="00B61BEE"/>
    <w:rsid w:val="00B61F59"/>
    <w:rsid w:val="00B62E28"/>
    <w:rsid w:val="00B652B9"/>
    <w:rsid w:val="00B66B78"/>
    <w:rsid w:val="00B66D2F"/>
    <w:rsid w:val="00B673D5"/>
    <w:rsid w:val="00B704E4"/>
    <w:rsid w:val="00B73022"/>
    <w:rsid w:val="00B74D9E"/>
    <w:rsid w:val="00B752D3"/>
    <w:rsid w:val="00B760FC"/>
    <w:rsid w:val="00B81E00"/>
    <w:rsid w:val="00B84449"/>
    <w:rsid w:val="00B84452"/>
    <w:rsid w:val="00B84ACF"/>
    <w:rsid w:val="00B877D9"/>
    <w:rsid w:val="00B90306"/>
    <w:rsid w:val="00B92F35"/>
    <w:rsid w:val="00B941AD"/>
    <w:rsid w:val="00B96FDE"/>
    <w:rsid w:val="00B9754A"/>
    <w:rsid w:val="00B97973"/>
    <w:rsid w:val="00BA1D01"/>
    <w:rsid w:val="00BA3185"/>
    <w:rsid w:val="00BA3B2F"/>
    <w:rsid w:val="00BA483B"/>
    <w:rsid w:val="00BA538C"/>
    <w:rsid w:val="00BA64D8"/>
    <w:rsid w:val="00BA64E5"/>
    <w:rsid w:val="00BA6A7D"/>
    <w:rsid w:val="00BB3C91"/>
    <w:rsid w:val="00BB69D8"/>
    <w:rsid w:val="00BC0A00"/>
    <w:rsid w:val="00BC3F33"/>
    <w:rsid w:val="00BC6A8A"/>
    <w:rsid w:val="00BD143C"/>
    <w:rsid w:val="00BD19C3"/>
    <w:rsid w:val="00BD23E0"/>
    <w:rsid w:val="00BD2C06"/>
    <w:rsid w:val="00BD3888"/>
    <w:rsid w:val="00BD6B5D"/>
    <w:rsid w:val="00BD7892"/>
    <w:rsid w:val="00BD7B82"/>
    <w:rsid w:val="00BE2D2F"/>
    <w:rsid w:val="00BE4D82"/>
    <w:rsid w:val="00BE7618"/>
    <w:rsid w:val="00BF0942"/>
    <w:rsid w:val="00BF4612"/>
    <w:rsid w:val="00BF4C07"/>
    <w:rsid w:val="00BF635E"/>
    <w:rsid w:val="00BF6F84"/>
    <w:rsid w:val="00BF7B9B"/>
    <w:rsid w:val="00BF7FD0"/>
    <w:rsid w:val="00C00DF9"/>
    <w:rsid w:val="00C010E4"/>
    <w:rsid w:val="00C069DE"/>
    <w:rsid w:val="00C10928"/>
    <w:rsid w:val="00C21B37"/>
    <w:rsid w:val="00C21B63"/>
    <w:rsid w:val="00C22128"/>
    <w:rsid w:val="00C2505E"/>
    <w:rsid w:val="00C302BE"/>
    <w:rsid w:val="00C30D59"/>
    <w:rsid w:val="00C312E9"/>
    <w:rsid w:val="00C317E8"/>
    <w:rsid w:val="00C33ABB"/>
    <w:rsid w:val="00C34562"/>
    <w:rsid w:val="00C34AFD"/>
    <w:rsid w:val="00C34C4B"/>
    <w:rsid w:val="00C34E07"/>
    <w:rsid w:val="00C40368"/>
    <w:rsid w:val="00C40B2D"/>
    <w:rsid w:val="00C40F74"/>
    <w:rsid w:val="00C42FB4"/>
    <w:rsid w:val="00C446EF"/>
    <w:rsid w:val="00C4492A"/>
    <w:rsid w:val="00C451FA"/>
    <w:rsid w:val="00C456DE"/>
    <w:rsid w:val="00C479A0"/>
    <w:rsid w:val="00C507C4"/>
    <w:rsid w:val="00C50FC5"/>
    <w:rsid w:val="00C51AE3"/>
    <w:rsid w:val="00C52580"/>
    <w:rsid w:val="00C52AD8"/>
    <w:rsid w:val="00C53671"/>
    <w:rsid w:val="00C6058B"/>
    <w:rsid w:val="00C615AF"/>
    <w:rsid w:val="00C61FE4"/>
    <w:rsid w:val="00C624F6"/>
    <w:rsid w:val="00C633CA"/>
    <w:rsid w:val="00C66569"/>
    <w:rsid w:val="00C67004"/>
    <w:rsid w:val="00C70F4C"/>
    <w:rsid w:val="00C762E3"/>
    <w:rsid w:val="00C81443"/>
    <w:rsid w:val="00C819DA"/>
    <w:rsid w:val="00C83CCA"/>
    <w:rsid w:val="00C83E71"/>
    <w:rsid w:val="00C87F5D"/>
    <w:rsid w:val="00C9550B"/>
    <w:rsid w:val="00CA00F1"/>
    <w:rsid w:val="00CA241F"/>
    <w:rsid w:val="00CA4D31"/>
    <w:rsid w:val="00CA7A45"/>
    <w:rsid w:val="00CB046A"/>
    <w:rsid w:val="00CB245B"/>
    <w:rsid w:val="00CB38C9"/>
    <w:rsid w:val="00CB5F01"/>
    <w:rsid w:val="00CB710E"/>
    <w:rsid w:val="00CB7166"/>
    <w:rsid w:val="00CC12A7"/>
    <w:rsid w:val="00CC348C"/>
    <w:rsid w:val="00CC4325"/>
    <w:rsid w:val="00CC43A6"/>
    <w:rsid w:val="00CD01AB"/>
    <w:rsid w:val="00CD320C"/>
    <w:rsid w:val="00CD3CAB"/>
    <w:rsid w:val="00CD75D2"/>
    <w:rsid w:val="00CE0993"/>
    <w:rsid w:val="00CE14E1"/>
    <w:rsid w:val="00CE1E58"/>
    <w:rsid w:val="00CE1FDA"/>
    <w:rsid w:val="00CE48E5"/>
    <w:rsid w:val="00CE58F1"/>
    <w:rsid w:val="00CE6741"/>
    <w:rsid w:val="00CE7958"/>
    <w:rsid w:val="00CF1E02"/>
    <w:rsid w:val="00CF3F34"/>
    <w:rsid w:val="00CF51FB"/>
    <w:rsid w:val="00CF6743"/>
    <w:rsid w:val="00D014D6"/>
    <w:rsid w:val="00D13D0D"/>
    <w:rsid w:val="00D16404"/>
    <w:rsid w:val="00D2285D"/>
    <w:rsid w:val="00D244CA"/>
    <w:rsid w:val="00D2763E"/>
    <w:rsid w:val="00D27DBC"/>
    <w:rsid w:val="00D308DB"/>
    <w:rsid w:val="00D34537"/>
    <w:rsid w:val="00D3470C"/>
    <w:rsid w:val="00D353B4"/>
    <w:rsid w:val="00D37C66"/>
    <w:rsid w:val="00D405B7"/>
    <w:rsid w:val="00D4079E"/>
    <w:rsid w:val="00D43FB5"/>
    <w:rsid w:val="00D44781"/>
    <w:rsid w:val="00D50070"/>
    <w:rsid w:val="00D50BE6"/>
    <w:rsid w:val="00D515BE"/>
    <w:rsid w:val="00D544EE"/>
    <w:rsid w:val="00D575A3"/>
    <w:rsid w:val="00D57C20"/>
    <w:rsid w:val="00D61C49"/>
    <w:rsid w:val="00D62751"/>
    <w:rsid w:val="00D65651"/>
    <w:rsid w:val="00D666B3"/>
    <w:rsid w:val="00D676F3"/>
    <w:rsid w:val="00D74D11"/>
    <w:rsid w:val="00D75748"/>
    <w:rsid w:val="00D75B56"/>
    <w:rsid w:val="00D76B46"/>
    <w:rsid w:val="00D8074E"/>
    <w:rsid w:val="00D8129B"/>
    <w:rsid w:val="00D83C66"/>
    <w:rsid w:val="00D83DB8"/>
    <w:rsid w:val="00D856F0"/>
    <w:rsid w:val="00D85787"/>
    <w:rsid w:val="00D864E7"/>
    <w:rsid w:val="00D87B8C"/>
    <w:rsid w:val="00D90F62"/>
    <w:rsid w:val="00D91788"/>
    <w:rsid w:val="00D97E50"/>
    <w:rsid w:val="00DA20CB"/>
    <w:rsid w:val="00DA32DD"/>
    <w:rsid w:val="00DA432E"/>
    <w:rsid w:val="00DA4B26"/>
    <w:rsid w:val="00DA5C61"/>
    <w:rsid w:val="00DA6C3F"/>
    <w:rsid w:val="00DA7ADA"/>
    <w:rsid w:val="00DA7C66"/>
    <w:rsid w:val="00DB3276"/>
    <w:rsid w:val="00DB3759"/>
    <w:rsid w:val="00DB553B"/>
    <w:rsid w:val="00DB6368"/>
    <w:rsid w:val="00DC3574"/>
    <w:rsid w:val="00DC3AE8"/>
    <w:rsid w:val="00DC4D7D"/>
    <w:rsid w:val="00DC7020"/>
    <w:rsid w:val="00DD3E7B"/>
    <w:rsid w:val="00DD660F"/>
    <w:rsid w:val="00DD6663"/>
    <w:rsid w:val="00DE0FCE"/>
    <w:rsid w:val="00DE52E5"/>
    <w:rsid w:val="00DE5537"/>
    <w:rsid w:val="00DE5FAA"/>
    <w:rsid w:val="00DE7E2E"/>
    <w:rsid w:val="00DF08A7"/>
    <w:rsid w:val="00DF102E"/>
    <w:rsid w:val="00DF46BF"/>
    <w:rsid w:val="00DF4807"/>
    <w:rsid w:val="00DF5BA5"/>
    <w:rsid w:val="00DF6E48"/>
    <w:rsid w:val="00DF74ED"/>
    <w:rsid w:val="00E000E8"/>
    <w:rsid w:val="00E02949"/>
    <w:rsid w:val="00E05B78"/>
    <w:rsid w:val="00E11268"/>
    <w:rsid w:val="00E13ECA"/>
    <w:rsid w:val="00E23A38"/>
    <w:rsid w:val="00E26F25"/>
    <w:rsid w:val="00E3062E"/>
    <w:rsid w:val="00E324D0"/>
    <w:rsid w:val="00E329CC"/>
    <w:rsid w:val="00E33974"/>
    <w:rsid w:val="00E35DF3"/>
    <w:rsid w:val="00E36EE6"/>
    <w:rsid w:val="00E41A0F"/>
    <w:rsid w:val="00E41BBA"/>
    <w:rsid w:val="00E41FDF"/>
    <w:rsid w:val="00E45F77"/>
    <w:rsid w:val="00E51EB2"/>
    <w:rsid w:val="00E520CC"/>
    <w:rsid w:val="00E54FB2"/>
    <w:rsid w:val="00E55992"/>
    <w:rsid w:val="00E56AD8"/>
    <w:rsid w:val="00E6136A"/>
    <w:rsid w:val="00E620FE"/>
    <w:rsid w:val="00E63333"/>
    <w:rsid w:val="00E636EF"/>
    <w:rsid w:val="00E64506"/>
    <w:rsid w:val="00E6698F"/>
    <w:rsid w:val="00E716A0"/>
    <w:rsid w:val="00E72BD3"/>
    <w:rsid w:val="00E75A6C"/>
    <w:rsid w:val="00E75D39"/>
    <w:rsid w:val="00E76948"/>
    <w:rsid w:val="00E820B6"/>
    <w:rsid w:val="00E85EC9"/>
    <w:rsid w:val="00E8632C"/>
    <w:rsid w:val="00E87012"/>
    <w:rsid w:val="00E87F95"/>
    <w:rsid w:val="00E93E9F"/>
    <w:rsid w:val="00E94136"/>
    <w:rsid w:val="00E9432E"/>
    <w:rsid w:val="00E96C62"/>
    <w:rsid w:val="00E97BF2"/>
    <w:rsid w:val="00EA073D"/>
    <w:rsid w:val="00EA07B3"/>
    <w:rsid w:val="00EA1C50"/>
    <w:rsid w:val="00EA7BA8"/>
    <w:rsid w:val="00EB0A76"/>
    <w:rsid w:val="00EB279C"/>
    <w:rsid w:val="00EB28CC"/>
    <w:rsid w:val="00EB4685"/>
    <w:rsid w:val="00EB7787"/>
    <w:rsid w:val="00EC443E"/>
    <w:rsid w:val="00EC68EA"/>
    <w:rsid w:val="00EC6FAD"/>
    <w:rsid w:val="00EC7922"/>
    <w:rsid w:val="00EC7DCF"/>
    <w:rsid w:val="00ED0618"/>
    <w:rsid w:val="00ED0BF8"/>
    <w:rsid w:val="00ED4E81"/>
    <w:rsid w:val="00ED60C8"/>
    <w:rsid w:val="00ED7B34"/>
    <w:rsid w:val="00EE1F1A"/>
    <w:rsid w:val="00EE28C0"/>
    <w:rsid w:val="00EE29A4"/>
    <w:rsid w:val="00EE55B6"/>
    <w:rsid w:val="00EE55BB"/>
    <w:rsid w:val="00EE5E9B"/>
    <w:rsid w:val="00EE6512"/>
    <w:rsid w:val="00EE689C"/>
    <w:rsid w:val="00EE76D8"/>
    <w:rsid w:val="00EE7A34"/>
    <w:rsid w:val="00EF0835"/>
    <w:rsid w:val="00EF0F9D"/>
    <w:rsid w:val="00EF28CD"/>
    <w:rsid w:val="00EF5C22"/>
    <w:rsid w:val="00EF6A16"/>
    <w:rsid w:val="00EF79FE"/>
    <w:rsid w:val="00F022B7"/>
    <w:rsid w:val="00F03194"/>
    <w:rsid w:val="00F04D1D"/>
    <w:rsid w:val="00F0525F"/>
    <w:rsid w:val="00F05963"/>
    <w:rsid w:val="00F1427B"/>
    <w:rsid w:val="00F1434D"/>
    <w:rsid w:val="00F20469"/>
    <w:rsid w:val="00F20C1D"/>
    <w:rsid w:val="00F20D30"/>
    <w:rsid w:val="00F238A5"/>
    <w:rsid w:val="00F27D9A"/>
    <w:rsid w:val="00F31717"/>
    <w:rsid w:val="00F3317E"/>
    <w:rsid w:val="00F3422F"/>
    <w:rsid w:val="00F36F12"/>
    <w:rsid w:val="00F37828"/>
    <w:rsid w:val="00F459E1"/>
    <w:rsid w:val="00F4623B"/>
    <w:rsid w:val="00F54306"/>
    <w:rsid w:val="00F56FE6"/>
    <w:rsid w:val="00F62B0A"/>
    <w:rsid w:val="00F63901"/>
    <w:rsid w:val="00F660D2"/>
    <w:rsid w:val="00F70CAD"/>
    <w:rsid w:val="00F719CE"/>
    <w:rsid w:val="00F75587"/>
    <w:rsid w:val="00F758B4"/>
    <w:rsid w:val="00F771EC"/>
    <w:rsid w:val="00F80DF3"/>
    <w:rsid w:val="00F83DCA"/>
    <w:rsid w:val="00F848A5"/>
    <w:rsid w:val="00F87146"/>
    <w:rsid w:val="00F878C0"/>
    <w:rsid w:val="00FA0B8D"/>
    <w:rsid w:val="00FA1735"/>
    <w:rsid w:val="00FA5A90"/>
    <w:rsid w:val="00FB5230"/>
    <w:rsid w:val="00FB6ECC"/>
    <w:rsid w:val="00FB7B57"/>
    <w:rsid w:val="00FC08A0"/>
    <w:rsid w:val="00FC2243"/>
    <w:rsid w:val="00FC3D34"/>
    <w:rsid w:val="00FC40E2"/>
    <w:rsid w:val="00FC54FF"/>
    <w:rsid w:val="00FC6E48"/>
    <w:rsid w:val="00FD0A3D"/>
    <w:rsid w:val="00FD10E5"/>
    <w:rsid w:val="00FD2100"/>
    <w:rsid w:val="00FD2310"/>
    <w:rsid w:val="00FD3197"/>
    <w:rsid w:val="00FD439F"/>
    <w:rsid w:val="00FD4673"/>
    <w:rsid w:val="00FD6379"/>
    <w:rsid w:val="00FE029F"/>
    <w:rsid w:val="00FE4620"/>
    <w:rsid w:val="00FE546D"/>
    <w:rsid w:val="00FF092A"/>
    <w:rsid w:val="00FF308B"/>
    <w:rsid w:val="00FF3537"/>
    <w:rsid w:val="00FF3A1D"/>
    <w:rsid w:val="00FF54A8"/>
    <w:rsid w:val="00FF5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7"/>
    <o:shapelayout v:ext="edit">
      <o:idmap v:ext="edit" data="1"/>
    </o:shapelayout>
  </w:shapeDefaults>
  <w:decimalSymbol w:val="."/>
  <w:listSeparator w:val=","/>
  <w14:docId w14:val="6033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A2"/>
    <w:pPr>
      <w:spacing w:after="0" w:line="240" w:lineRule="auto"/>
    </w:pPr>
    <w:rPr>
      <w:rFonts w:ascii="Arial" w:hAnsi="Arial"/>
      <w:sz w:val="20"/>
    </w:rPr>
  </w:style>
  <w:style w:type="paragraph" w:styleId="Heading1">
    <w:name w:val="heading 1"/>
    <w:basedOn w:val="Normal"/>
    <w:next w:val="Normal"/>
    <w:link w:val="Heading1Char"/>
    <w:qFormat/>
    <w:rsid w:val="00285CA2"/>
    <w:pPr>
      <w:keepNext/>
      <w:keepLines/>
      <w:spacing w:before="240" w:after="12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285CA2"/>
    <w:pPr>
      <w:keepNext/>
      <w:keepLines/>
      <w:spacing w:before="200" w:after="12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
    <w:unhideWhenUsed/>
    <w:qFormat/>
    <w:rsid w:val="00285CA2"/>
    <w:pPr>
      <w:keepNext/>
      <w:keepLines/>
      <w:spacing w:before="120" w:after="80"/>
      <w:outlineLvl w:val="2"/>
    </w:pPr>
    <w:rPr>
      <w:rFonts w:eastAsiaTheme="majorEastAsia" w:cstheme="majorBidi"/>
      <w:b/>
      <w:bCs/>
      <w:color w:val="000000" w:themeColor="text1"/>
      <w:sz w:val="22"/>
    </w:rPr>
  </w:style>
  <w:style w:type="paragraph" w:styleId="Heading4">
    <w:name w:val="heading 4"/>
    <w:basedOn w:val="Normal"/>
    <w:next w:val="Normal"/>
    <w:link w:val="Heading4Char"/>
    <w:semiHidden/>
    <w:unhideWhenUsed/>
    <w:qFormat/>
    <w:rsid w:val="00307541"/>
    <w:pPr>
      <w:keepNext/>
      <w:spacing w:before="240" w:after="60"/>
      <w:outlineLvl w:val="3"/>
    </w:pPr>
    <w:rPr>
      <w:rFonts w:ascii="Calibri" w:eastAsia="Times New Roman" w:hAnsi="Calibri" w:cs="Times New Roman"/>
      <w:b/>
      <w:bCs/>
      <w:sz w:val="28"/>
      <w:szCs w:val="28"/>
      <w:lang w:eastAsia="en-AU"/>
    </w:rPr>
  </w:style>
  <w:style w:type="paragraph" w:styleId="Heading5">
    <w:name w:val="heading 5"/>
    <w:basedOn w:val="Normal"/>
    <w:next w:val="Normal"/>
    <w:link w:val="Heading5Char"/>
    <w:uiPriority w:val="9"/>
    <w:unhideWhenUsed/>
    <w:qFormat/>
    <w:rsid w:val="00A3025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1B4"/>
    <w:pPr>
      <w:tabs>
        <w:tab w:val="center" w:pos="4513"/>
        <w:tab w:val="right" w:pos="9026"/>
      </w:tabs>
    </w:pPr>
  </w:style>
  <w:style w:type="character" w:customStyle="1" w:styleId="HeaderChar">
    <w:name w:val="Header Char"/>
    <w:basedOn w:val="DefaultParagraphFont"/>
    <w:link w:val="Header"/>
    <w:uiPriority w:val="99"/>
    <w:rsid w:val="003861B4"/>
  </w:style>
  <w:style w:type="paragraph" w:styleId="Footer">
    <w:name w:val="footer"/>
    <w:basedOn w:val="Normal"/>
    <w:link w:val="FooterChar"/>
    <w:uiPriority w:val="99"/>
    <w:unhideWhenUsed/>
    <w:rsid w:val="003861B4"/>
    <w:pPr>
      <w:tabs>
        <w:tab w:val="center" w:pos="4513"/>
        <w:tab w:val="right" w:pos="9026"/>
      </w:tabs>
    </w:pPr>
  </w:style>
  <w:style w:type="character" w:customStyle="1" w:styleId="FooterChar">
    <w:name w:val="Footer Char"/>
    <w:basedOn w:val="DefaultParagraphFont"/>
    <w:link w:val="Footer"/>
    <w:uiPriority w:val="99"/>
    <w:rsid w:val="003861B4"/>
  </w:style>
  <w:style w:type="character" w:customStyle="1" w:styleId="Heading1Char">
    <w:name w:val="Heading 1 Char"/>
    <w:basedOn w:val="DefaultParagraphFont"/>
    <w:link w:val="Heading1"/>
    <w:uiPriority w:val="9"/>
    <w:rsid w:val="00285CA2"/>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285CA2"/>
    <w:rPr>
      <w:rFonts w:ascii="Arial" w:eastAsiaTheme="majorEastAsia" w:hAnsi="Arial" w:cstheme="majorBidi"/>
      <w:b/>
      <w:bCs/>
      <w:color w:val="000000" w:themeColor="text1"/>
      <w:sz w:val="26"/>
      <w:szCs w:val="26"/>
    </w:rPr>
  </w:style>
  <w:style w:type="character" w:customStyle="1" w:styleId="Heading3Char">
    <w:name w:val="Heading 3 Char"/>
    <w:basedOn w:val="DefaultParagraphFont"/>
    <w:link w:val="Heading3"/>
    <w:uiPriority w:val="9"/>
    <w:rsid w:val="00285CA2"/>
    <w:rPr>
      <w:rFonts w:ascii="Arial" w:eastAsiaTheme="majorEastAsia" w:hAnsi="Arial" w:cstheme="majorBidi"/>
      <w:b/>
      <w:bCs/>
      <w:color w:val="000000" w:themeColor="text1"/>
    </w:rPr>
  </w:style>
  <w:style w:type="paragraph" w:styleId="ListParagraph">
    <w:name w:val="List Paragraph"/>
    <w:basedOn w:val="Normal"/>
    <w:uiPriority w:val="34"/>
    <w:qFormat/>
    <w:rsid w:val="00285CA2"/>
    <w:pPr>
      <w:ind w:left="720"/>
      <w:contextualSpacing/>
    </w:pPr>
  </w:style>
  <w:style w:type="paragraph" w:styleId="NormalWeb">
    <w:name w:val="Normal (Web)"/>
    <w:basedOn w:val="Normal"/>
    <w:uiPriority w:val="99"/>
    <w:unhideWhenUsed/>
    <w:rsid w:val="009E0E56"/>
    <w:pPr>
      <w:spacing w:before="100" w:beforeAutospacing="1" w:after="100" w:afterAutospacing="1"/>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9E0E56"/>
    <w:rPr>
      <w:i/>
      <w:iCs/>
    </w:rPr>
  </w:style>
  <w:style w:type="paragraph" w:customStyle="1" w:styleId="acthead5">
    <w:name w:val="acthead5"/>
    <w:basedOn w:val="Normal"/>
    <w:rsid w:val="00FA1735"/>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charsectno">
    <w:name w:val="charsectno"/>
    <w:basedOn w:val="DefaultParagraphFont"/>
    <w:rsid w:val="00FA1735"/>
  </w:style>
  <w:style w:type="paragraph" w:customStyle="1" w:styleId="subsection">
    <w:name w:val="subsection"/>
    <w:basedOn w:val="Normal"/>
    <w:rsid w:val="00FA1735"/>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paragraph">
    <w:name w:val="paragraph"/>
    <w:basedOn w:val="Normal"/>
    <w:rsid w:val="00FA1735"/>
    <w:pPr>
      <w:spacing w:before="100" w:beforeAutospacing="1" w:after="100" w:afterAutospacing="1"/>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A30253"/>
    <w:rPr>
      <w:color w:val="339BCB"/>
      <w:u w:val="single"/>
    </w:rPr>
  </w:style>
  <w:style w:type="paragraph" w:customStyle="1" w:styleId="thomson-article">
    <w:name w:val="thomson-article"/>
    <w:basedOn w:val="Normal"/>
    <w:rsid w:val="00A30253"/>
    <w:pPr>
      <w:spacing w:before="100" w:beforeAutospacing="1" w:after="100" w:afterAutospacing="1" w:line="324" w:lineRule="auto"/>
    </w:pPr>
    <w:rPr>
      <w:rFonts w:cs="Arial"/>
      <w:color w:val="666666"/>
      <w:sz w:val="18"/>
      <w:szCs w:val="18"/>
      <w:lang w:eastAsia="en-AU"/>
    </w:rPr>
  </w:style>
  <w:style w:type="character" w:customStyle="1" w:styleId="Heading5Char">
    <w:name w:val="Heading 5 Char"/>
    <w:basedOn w:val="DefaultParagraphFont"/>
    <w:link w:val="Heading5"/>
    <w:uiPriority w:val="9"/>
    <w:rsid w:val="00A30253"/>
    <w:rPr>
      <w:rFonts w:asciiTheme="majorHAnsi" w:eastAsiaTheme="majorEastAsia" w:hAnsiTheme="majorHAnsi" w:cstheme="majorBidi"/>
      <w:color w:val="243F60" w:themeColor="accent1" w:themeShade="7F"/>
      <w:sz w:val="20"/>
    </w:rPr>
  </w:style>
  <w:style w:type="paragraph" w:styleId="FootnoteText">
    <w:name w:val="footnote text"/>
    <w:basedOn w:val="Normal"/>
    <w:link w:val="FootnoteTextChar"/>
    <w:uiPriority w:val="99"/>
    <w:unhideWhenUsed/>
    <w:rsid w:val="00C50FC5"/>
    <w:rPr>
      <w:szCs w:val="20"/>
    </w:rPr>
  </w:style>
  <w:style w:type="character" w:customStyle="1" w:styleId="FootnoteTextChar">
    <w:name w:val="Footnote Text Char"/>
    <w:basedOn w:val="DefaultParagraphFont"/>
    <w:link w:val="FootnoteText"/>
    <w:uiPriority w:val="99"/>
    <w:rsid w:val="00C50FC5"/>
    <w:rPr>
      <w:rFonts w:ascii="Arial" w:hAnsi="Arial"/>
      <w:sz w:val="20"/>
      <w:szCs w:val="20"/>
    </w:rPr>
  </w:style>
  <w:style w:type="character" w:styleId="FootnoteReference">
    <w:name w:val="footnote reference"/>
    <w:basedOn w:val="DefaultParagraphFont"/>
    <w:uiPriority w:val="99"/>
    <w:unhideWhenUsed/>
    <w:rsid w:val="00C50FC5"/>
    <w:rPr>
      <w:vertAlign w:val="superscript"/>
    </w:rPr>
  </w:style>
  <w:style w:type="character" w:customStyle="1" w:styleId="Heading4Char">
    <w:name w:val="Heading 4 Char"/>
    <w:basedOn w:val="DefaultParagraphFont"/>
    <w:link w:val="Heading4"/>
    <w:semiHidden/>
    <w:rsid w:val="00307541"/>
    <w:rPr>
      <w:rFonts w:ascii="Calibri" w:eastAsia="Times New Roman" w:hAnsi="Calibri" w:cs="Times New Roman"/>
      <w:b/>
      <w:bCs/>
      <w:sz w:val="28"/>
      <w:szCs w:val="28"/>
      <w:lang w:eastAsia="en-AU"/>
    </w:rPr>
  </w:style>
  <w:style w:type="character" w:customStyle="1" w:styleId="apple-converted-space">
    <w:name w:val="apple-converted-space"/>
    <w:rsid w:val="00307541"/>
  </w:style>
  <w:style w:type="paragraph" w:styleId="BalloonText">
    <w:name w:val="Balloon Text"/>
    <w:basedOn w:val="Normal"/>
    <w:link w:val="BalloonTextChar"/>
    <w:uiPriority w:val="99"/>
    <w:semiHidden/>
    <w:unhideWhenUsed/>
    <w:rsid w:val="00F70CAD"/>
    <w:rPr>
      <w:rFonts w:ascii="Tahoma" w:hAnsi="Tahoma" w:cs="Tahoma"/>
      <w:sz w:val="16"/>
      <w:szCs w:val="16"/>
    </w:rPr>
  </w:style>
  <w:style w:type="character" w:customStyle="1" w:styleId="BalloonTextChar">
    <w:name w:val="Balloon Text Char"/>
    <w:basedOn w:val="DefaultParagraphFont"/>
    <w:link w:val="BalloonText"/>
    <w:uiPriority w:val="99"/>
    <w:semiHidden/>
    <w:rsid w:val="00F70CAD"/>
    <w:rPr>
      <w:rFonts w:ascii="Tahoma" w:hAnsi="Tahoma" w:cs="Tahoma"/>
      <w:sz w:val="16"/>
      <w:szCs w:val="16"/>
    </w:rPr>
  </w:style>
  <w:style w:type="character" w:customStyle="1" w:styleId="keywordhighlight1">
    <w:name w:val="keyword_highlight1"/>
    <w:basedOn w:val="DefaultParagraphFont"/>
    <w:rsid w:val="0056165A"/>
    <w:rPr>
      <w:b/>
      <w:bCs/>
      <w:color w:val="194F6B"/>
      <w:bdr w:val="none" w:sz="0" w:space="0" w:color="auto" w:frame="1"/>
      <w:shd w:val="clear" w:color="auto" w:fill="DFEBF4"/>
    </w:rPr>
  </w:style>
  <w:style w:type="paragraph" w:customStyle="1" w:styleId="ecxmsonormal">
    <w:name w:val="ecxmsonormal"/>
    <w:basedOn w:val="Normal"/>
    <w:rsid w:val="005A2528"/>
    <w:pPr>
      <w:spacing w:before="100" w:beforeAutospacing="1" w:after="100" w:afterAutospacing="1"/>
    </w:pPr>
    <w:rPr>
      <w:rFonts w:ascii="Times New Roman" w:eastAsia="Times New Roman" w:hAnsi="Times New Roman" w:cs="Times New Roman"/>
      <w:sz w:val="24"/>
      <w:szCs w:val="24"/>
      <w:lang w:val="en-US"/>
    </w:rPr>
  </w:style>
  <w:style w:type="character" w:customStyle="1" w:styleId="articletemplatetext">
    <w:name w:val="articletemplatetext"/>
    <w:basedOn w:val="DefaultParagraphFont"/>
    <w:rsid w:val="00D44781"/>
  </w:style>
  <w:style w:type="paragraph" w:styleId="TOCHeading">
    <w:name w:val="TOC Heading"/>
    <w:basedOn w:val="Heading1"/>
    <w:next w:val="Normal"/>
    <w:uiPriority w:val="39"/>
    <w:unhideWhenUsed/>
    <w:qFormat/>
    <w:rsid w:val="004410E0"/>
    <w:pPr>
      <w:spacing w:before="480" w:after="0" w:line="276" w:lineRule="auto"/>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4410E0"/>
    <w:pPr>
      <w:spacing w:after="100"/>
    </w:pPr>
  </w:style>
  <w:style w:type="paragraph" w:styleId="TOC2">
    <w:name w:val="toc 2"/>
    <w:basedOn w:val="Normal"/>
    <w:next w:val="Normal"/>
    <w:autoRedefine/>
    <w:uiPriority w:val="39"/>
    <w:unhideWhenUsed/>
    <w:rsid w:val="004410E0"/>
    <w:pPr>
      <w:spacing w:after="100"/>
      <w:ind w:left="200"/>
    </w:pPr>
  </w:style>
  <w:style w:type="paragraph" w:styleId="TOC3">
    <w:name w:val="toc 3"/>
    <w:basedOn w:val="Normal"/>
    <w:next w:val="Normal"/>
    <w:autoRedefine/>
    <w:uiPriority w:val="39"/>
    <w:unhideWhenUsed/>
    <w:rsid w:val="004410E0"/>
    <w:pPr>
      <w:spacing w:after="100"/>
      <w:ind w:left="400"/>
    </w:pPr>
  </w:style>
  <w:style w:type="paragraph" w:customStyle="1" w:styleId="Bulletform">
    <w:name w:val="Bullet form"/>
    <w:basedOn w:val="Normal"/>
    <w:rsid w:val="00A407E6"/>
    <w:pPr>
      <w:numPr>
        <w:numId w:val="27"/>
      </w:numPr>
      <w:spacing w:before="120"/>
      <w:ind w:left="714" w:hanging="357"/>
      <w:jc w:val="both"/>
    </w:pPr>
    <w:rPr>
      <w:rFonts w:ascii="GoudyOlSt BT" w:eastAsia="Times New Roman" w:hAnsi="GoudyOlSt BT" w:cs="Times New Roman"/>
      <w:sz w:val="24"/>
      <w:szCs w:val="20"/>
      <w:lang w:eastAsia="en-AU"/>
    </w:rPr>
  </w:style>
  <w:style w:type="table" w:styleId="TableGrid">
    <w:name w:val="Table Grid"/>
    <w:basedOn w:val="TableNormal"/>
    <w:rsid w:val="00A407E6"/>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omson-article1">
    <w:name w:val="thomson-article1"/>
    <w:basedOn w:val="DefaultParagraphFont"/>
    <w:rsid w:val="003815D8"/>
  </w:style>
  <w:style w:type="paragraph" w:customStyle="1" w:styleId="body">
    <w:name w:val="body"/>
    <w:basedOn w:val="Normal"/>
    <w:rsid w:val="00ED4E81"/>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8070AF"/>
    <w:rPr>
      <w:b/>
      <w:bCs/>
    </w:rPr>
  </w:style>
  <w:style w:type="paragraph" w:customStyle="1" w:styleId="Default">
    <w:name w:val="Default"/>
    <w:rsid w:val="002553F9"/>
    <w:pPr>
      <w:autoSpaceDE w:val="0"/>
      <w:autoSpaceDN w:val="0"/>
      <w:adjustRightInd w:val="0"/>
      <w:spacing w:after="0" w:line="240" w:lineRule="auto"/>
    </w:pPr>
    <w:rPr>
      <w:rFonts w:ascii="Arial" w:hAnsi="Arial" w:cs="Arial"/>
      <w:color w:val="000000"/>
      <w:sz w:val="24"/>
      <w:szCs w:val="24"/>
    </w:rPr>
  </w:style>
  <w:style w:type="paragraph" w:customStyle="1" w:styleId="base-text-paragraph">
    <w:name w:val="base-text-paragraph"/>
    <w:basedOn w:val="Normal"/>
    <w:link w:val="base-text-paragraphChar"/>
    <w:rsid w:val="009D3150"/>
    <w:pPr>
      <w:numPr>
        <w:ilvl w:val="1"/>
        <w:numId w:val="19"/>
      </w:numPr>
      <w:tabs>
        <w:tab w:val="num" w:pos="1985"/>
      </w:tabs>
      <w:spacing w:before="120" w:after="120"/>
      <w:ind w:left="1134"/>
    </w:pPr>
    <w:rPr>
      <w:rFonts w:ascii="Times New Roman" w:eastAsia="Times New Roman" w:hAnsi="Times New Roman" w:cs="Times New Roman"/>
      <w:sz w:val="22"/>
      <w:szCs w:val="20"/>
      <w:lang w:eastAsia="en-AU"/>
    </w:rPr>
  </w:style>
  <w:style w:type="paragraph" w:styleId="ListNumber4">
    <w:name w:val="List Number 4"/>
    <w:basedOn w:val="Normal"/>
    <w:uiPriority w:val="99"/>
    <w:semiHidden/>
    <w:rsid w:val="009D3150"/>
    <w:pPr>
      <w:numPr>
        <w:numId w:val="29"/>
      </w:numPr>
      <w:spacing w:before="120" w:after="120"/>
    </w:pPr>
    <w:rPr>
      <w:rFonts w:ascii="Times New Roman" w:eastAsia="Times New Roman" w:hAnsi="Times New Roman" w:cs="Times New Roman"/>
      <w:sz w:val="22"/>
      <w:szCs w:val="20"/>
      <w:lang w:eastAsia="en-AU"/>
    </w:rPr>
  </w:style>
  <w:style w:type="character" w:customStyle="1" w:styleId="base-text-paragraphChar">
    <w:name w:val="base-text-paragraph Char"/>
    <w:basedOn w:val="DefaultParagraphFont"/>
    <w:link w:val="base-text-paragraph"/>
    <w:locked/>
    <w:rsid w:val="009D3150"/>
    <w:rPr>
      <w:rFonts w:ascii="Times New Roman" w:eastAsia="Times New Roman" w:hAnsi="Times New Roman" w:cs="Times New Roman"/>
      <w:szCs w:val="20"/>
      <w:lang w:eastAsia="en-AU"/>
    </w:rPr>
  </w:style>
  <w:style w:type="numbering" w:customStyle="1" w:styleId="ChapterList">
    <w:name w:val="ChapterList"/>
    <w:rsid w:val="009D3150"/>
    <w:pPr>
      <w:numPr>
        <w:numId w:val="30"/>
      </w:numPr>
    </w:pPr>
  </w:style>
  <w:style w:type="paragraph" w:styleId="EndnoteText">
    <w:name w:val="endnote text"/>
    <w:basedOn w:val="Normal"/>
    <w:link w:val="EndnoteTextChar"/>
    <w:uiPriority w:val="99"/>
    <w:semiHidden/>
    <w:unhideWhenUsed/>
    <w:rsid w:val="00C34AFD"/>
    <w:rPr>
      <w:szCs w:val="20"/>
    </w:rPr>
  </w:style>
  <w:style w:type="character" w:customStyle="1" w:styleId="EndnoteTextChar">
    <w:name w:val="Endnote Text Char"/>
    <w:basedOn w:val="DefaultParagraphFont"/>
    <w:link w:val="EndnoteText"/>
    <w:uiPriority w:val="99"/>
    <w:semiHidden/>
    <w:rsid w:val="00C34AFD"/>
    <w:rPr>
      <w:rFonts w:ascii="Arial" w:hAnsi="Arial"/>
      <w:sz w:val="20"/>
      <w:szCs w:val="20"/>
    </w:rPr>
  </w:style>
  <w:style w:type="character" w:styleId="EndnoteReference">
    <w:name w:val="endnote reference"/>
    <w:basedOn w:val="DefaultParagraphFont"/>
    <w:uiPriority w:val="99"/>
    <w:semiHidden/>
    <w:unhideWhenUsed/>
    <w:rsid w:val="00C34AFD"/>
    <w:rPr>
      <w:vertAlign w:val="superscript"/>
    </w:rPr>
  </w:style>
  <w:style w:type="paragraph" w:customStyle="1" w:styleId="Pa1">
    <w:name w:val="Pa1"/>
    <w:basedOn w:val="Default"/>
    <w:next w:val="Default"/>
    <w:uiPriority w:val="99"/>
    <w:rsid w:val="00564223"/>
    <w:pPr>
      <w:spacing w:line="191" w:lineRule="atLeast"/>
    </w:pPr>
    <w:rPr>
      <w:rFonts w:ascii="Franklin Gothic Book" w:hAnsi="Franklin Gothic Book" w:cstheme="minorBidi"/>
      <w:color w:val="auto"/>
    </w:rPr>
  </w:style>
  <w:style w:type="character" w:styleId="HTMLCite">
    <w:name w:val="HTML Cite"/>
    <w:basedOn w:val="DefaultParagraphFont"/>
    <w:uiPriority w:val="99"/>
    <w:semiHidden/>
    <w:unhideWhenUsed/>
    <w:rsid w:val="0027167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A2"/>
    <w:pPr>
      <w:spacing w:after="0" w:line="240" w:lineRule="auto"/>
    </w:pPr>
    <w:rPr>
      <w:rFonts w:ascii="Arial" w:hAnsi="Arial"/>
      <w:sz w:val="20"/>
    </w:rPr>
  </w:style>
  <w:style w:type="paragraph" w:styleId="Heading1">
    <w:name w:val="heading 1"/>
    <w:basedOn w:val="Normal"/>
    <w:next w:val="Normal"/>
    <w:link w:val="Heading1Char"/>
    <w:qFormat/>
    <w:rsid w:val="00285CA2"/>
    <w:pPr>
      <w:keepNext/>
      <w:keepLines/>
      <w:spacing w:before="240" w:after="12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285CA2"/>
    <w:pPr>
      <w:keepNext/>
      <w:keepLines/>
      <w:spacing w:before="200" w:after="12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
    <w:unhideWhenUsed/>
    <w:qFormat/>
    <w:rsid w:val="00285CA2"/>
    <w:pPr>
      <w:keepNext/>
      <w:keepLines/>
      <w:spacing w:before="120" w:after="80"/>
      <w:outlineLvl w:val="2"/>
    </w:pPr>
    <w:rPr>
      <w:rFonts w:eastAsiaTheme="majorEastAsia" w:cstheme="majorBidi"/>
      <w:b/>
      <w:bCs/>
      <w:color w:val="000000" w:themeColor="text1"/>
      <w:sz w:val="22"/>
    </w:rPr>
  </w:style>
  <w:style w:type="paragraph" w:styleId="Heading4">
    <w:name w:val="heading 4"/>
    <w:basedOn w:val="Normal"/>
    <w:next w:val="Normal"/>
    <w:link w:val="Heading4Char"/>
    <w:semiHidden/>
    <w:unhideWhenUsed/>
    <w:qFormat/>
    <w:rsid w:val="00307541"/>
    <w:pPr>
      <w:keepNext/>
      <w:spacing w:before="240" w:after="60"/>
      <w:outlineLvl w:val="3"/>
    </w:pPr>
    <w:rPr>
      <w:rFonts w:ascii="Calibri" w:eastAsia="Times New Roman" w:hAnsi="Calibri" w:cs="Times New Roman"/>
      <w:b/>
      <w:bCs/>
      <w:sz w:val="28"/>
      <w:szCs w:val="28"/>
      <w:lang w:eastAsia="en-AU"/>
    </w:rPr>
  </w:style>
  <w:style w:type="paragraph" w:styleId="Heading5">
    <w:name w:val="heading 5"/>
    <w:basedOn w:val="Normal"/>
    <w:next w:val="Normal"/>
    <w:link w:val="Heading5Char"/>
    <w:uiPriority w:val="9"/>
    <w:unhideWhenUsed/>
    <w:qFormat/>
    <w:rsid w:val="00A3025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1B4"/>
    <w:pPr>
      <w:tabs>
        <w:tab w:val="center" w:pos="4513"/>
        <w:tab w:val="right" w:pos="9026"/>
      </w:tabs>
    </w:pPr>
  </w:style>
  <w:style w:type="character" w:customStyle="1" w:styleId="HeaderChar">
    <w:name w:val="Header Char"/>
    <w:basedOn w:val="DefaultParagraphFont"/>
    <w:link w:val="Header"/>
    <w:uiPriority w:val="99"/>
    <w:rsid w:val="003861B4"/>
  </w:style>
  <w:style w:type="paragraph" w:styleId="Footer">
    <w:name w:val="footer"/>
    <w:basedOn w:val="Normal"/>
    <w:link w:val="FooterChar"/>
    <w:uiPriority w:val="99"/>
    <w:unhideWhenUsed/>
    <w:rsid w:val="003861B4"/>
    <w:pPr>
      <w:tabs>
        <w:tab w:val="center" w:pos="4513"/>
        <w:tab w:val="right" w:pos="9026"/>
      </w:tabs>
    </w:pPr>
  </w:style>
  <w:style w:type="character" w:customStyle="1" w:styleId="FooterChar">
    <w:name w:val="Footer Char"/>
    <w:basedOn w:val="DefaultParagraphFont"/>
    <w:link w:val="Footer"/>
    <w:uiPriority w:val="99"/>
    <w:rsid w:val="003861B4"/>
  </w:style>
  <w:style w:type="character" w:customStyle="1" w:styleId="Heading1Char">
    <w:name w:val="Heading 1 Char"/>
    <w:basedOn w:val="DefaultParagraphFont"/>
    <w:link w:val="Heading1"/>
    <w:uiPriority w:val="9"/>
    <w:rsid w:val="00285CA2"/>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285CA2"/>
    <w:rPr>
      <w:rFonts w:ascii="Arial" w:eastAsiaTheme="majorEastAsia" w:hAnsi="Arial" w:cstheme="majorBidi"/>
      <w:b/>
      <w:bCs/>
      <w:color w:val="000000" w:themeColor="text1"/>
      <w:sz w:val="26"/>
      <w:szCs w:val="26"/>
    </w:rPr>
  </w:style>
  <w:style w:type="character" w:customStyle="1" w:styleId="Heading3Char">
    <w:name w:val="Heading 3 Char"/>
    <w:basedOn w:val="DefaultParagraphFont"/>
    <w:link w:val="Heading3"/>
    <w:uiPriority w:val="9"/>
    <w:rsid w:val="00285CA2"/>
    <w:rPr>
      <w:rFonts w:ascii="Arial" w:eastAsiaTheme="majorEastAsia" w:hAnsi="Arial" w:cstheme="majorBidi"/>
      <w:b/>
      <w:bCs/>
      <w:color w:val="000000" w:themeColor="text1"/>
    </w:rPr>
  </w:style>
  <w:style w:type="paragraph" w:styleId="ListParagraph">
    <w:name w:val="List Paragraph"/>
    <w:basedOn w:val="Normal"/>
    <w:uiPriority w:val="34"/>
    <w:qFormat/>
    <w:rsid w:val="00285CA2"/>
    <w:pPr>
      <w:ind w:left="720"/>
      <w:contextualSpacing/>
    </w:pPr>
  </w:style>
  <w:style w:type="paragraph" w:styleId="NormalWeb">
    <w:name w:val="Normal (Web)"/>
    <w:basedOn w:val="Normal"/>
    <w:uiPriority w:val="99"/>
    <w:unhideWhenUsed/>
    <w:rsid w:val="009E0E56"/>
    <w:pPr>
      <w:spacing w:before="100" w:beforeAutospacing="1" w:after="100" w:afterAutospacing="1"/>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9E0E56"/>
    <w:rPr>
      <w:i/>
      <w:iCs/>
    </w:rPr>
  </w:style>
  <w:style w:type="paragraph" w:customStyle="1" w:styleId="acthead5">
    <w:name w:val="acthead5"/>
    <w:basedOn w:val="Normal"/>
    <w:rsid w:val="00FA1735"/>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charsectno">
    <w:name w:val="charsectno"/>
    <w:basedOn w:val="DefaultParagraphFont"/>
    <w:rsid w:val="00FA1735"/>
  </w:style>
  <w:style w:type="paragraph" w:customStyle="1" w:styleId="subsection">
    <w:name w:val="subsection"/>
    <w:basedOn w:val="Normal"/>
    <w:rsid w:val="00FA1735"/>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paragraph">
    <w:name w:val="paragraph"/>
    <w:basedOn w:val="Normal"/>
    <w:rsid w:val="00FA1735"/>
    <w:pPr>
      <w:spacing w:before="100" w:beforeAutospacing="1" w:after="100" w:afterAutospacing="1"/>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A30253"/>
    <w:rPr>
      <w:color w:val="339BCB"/>
      <w:u w:val="single"/>
    </w:rPr>
  </w:style>
  <w:style w:type="paragraph" w:customStyle="1" w:styleId="thomson-article">
    <w:name w:val="thomson-article"/>
    <w:basedOn w:val="Normal"/>
    <w:rsid w:val="00A30253"/>
    <w:pPr>
      <w:spacing w:before="100" w:beforeAutospacing="1" w:after="100" w:afterAutospacing="1" w:line="324" w:lineRule="auto"/>
    </w:pPr>
    <w:rPr>
      <w:rFonts w:cs="Arial"/>
      <w:color w:val="666666"/>
      <w:sz w:val="18"/>
      <w:szCs w:val="18"/>
      <w:lang w:eastAsia="en-AU"/>
    </w:rPr>
  </w:style>
  <w:style w:type="character" w:customStyle="1" w:styleId="Heading5Char">
    <w:name w:val="Heading 5 Char"/>
    <w:basedOn w:val="DefaultParagraphFont"/>
    <w:link w:val="Heading5"/>
    <w:uiPriority w:val="9"/>
    <w:rsid w:val="00A30253"/>
    <w:rPr>
      <w:rFonts w:asciiTheme="majorHAnsi" w:eastAsiaTheme="majorEastAsia" w:hAnsiTheme="majorHAnsi" w:cstheme="majorBidi"/>
      <w:color w:val="243F60" w:themeColor="accent1" w:themeShade="7F"/>
      <w:sz w:val="20"/>
    </w:rPr>
  </w:style>
  <w:style w:type="paragraph" w:styleId="FootnoteText">
    <w:name w:val="footnote text"/>
    <w:basedOn w:val="Normal"/>
    <w:link w:val="FootnoteTextChar"/>
    <w:uiPriority w:val="99"/>
    <w:unhideWhenUsed/>
    <w:rsid w:val="00C50FC5"/>
    <w:rPr>
      <w:szCs w:val="20"/>
    </w:rPr>
  </w:style>
  <w:style w:type="character" w:customStyle="1" w:styleId="FootnoteTextChar">
    <w:name w:val="Footnote Text Char"/>
    <w:basedOn w:val="DefaultParagraphFont"/>
    <w:link w:val="FootnoteText"/>
    <w:uiPriority w:val="99"/>
    <w:rsid w:val="00C50FC5"/>
    <w:rPr>
      <w:rFonts w:ascii="Arial" w:hAnsi="Arial"/>
      <w:sz w:val="20"/>
      <w:szCs w:val="20"/>
    </w:rPr>
  </w:style>
  <w:style w:type="character" w:styleId="FootnoteReference">
    <w:name w:val="footnote reference"/>
    <w:basedOn w:val="DefaultParagraphFont"/>
    <w:uiPriority w:val="99"/>
    <w:unhideWhenUsed/>
    <w:rsid w:val="00C50FC5"/>
    <w:rPr>
      <w:vertAlign w:val="superscript"/>
    </w:rPr>
  </w:style>
  <w:style w:type="character" w:customStyle="1" w:styleId="Heading4Char">
    <w:name w:val="Heading 4 Char"/>
    <w:basedOn w:val="DefaultParagraphFont"/>
    <w:link w:val="Heading4"/>
    <w:semiHidden/>
    <w:rsid w:val="00307541"/>
    <w:rPr>
      <w:rFonts w:ascii="Calibri" w:eastAsia="Times New Roman" w:hAnsi="Calibri" w:cs="Times New Roman"/>
      <w:b/>
      <w:bCs/>
      <w:sz w:val="28"/>
      <w:szCs w:val="28"/>
      <w:lang w:eastAsia="en-AU"/>
    </w:rPr>
  </w:style>
  <w:style w:type="character" w:customStyle="1" w:styleId="apple-converted-space">
    <w:name w:val="apple-converted-space"/>
    <w:rsid w:val="00307541"/>
  </w:style>
  <w:style w:type="paragraph" w:styleId="BalloonText">
    <w:name w:val="Balloon Text"/>
    <w:basedOn w:val="Normal"/>
    <w:link w:val="BalloonTextChar"/>
    <w:uiPriority w:val="99"/>
    <w:semiHidden/>
    <w:unhideWhenUsed/>
    <w:rsid w:val="00F70CAD"/>
    <w:rPr>
      <w:rFonts w:ascii="Tahoma" w:hAnsi="Tahoma" w:cs="Tahoma"/>
      <w:sz w:val="16"/>
      <w:szCs w:val="16"/>
    </w:rPr>
  </w:style>
  <w:style w:type="character" w:customStyle="1" w:styleId="BalloonTextChar">
    <w:name w:val="Balloon Text Char"/>
    <w:basedOn w:val="DefaultParagraphFont"/>
    <w:link w:val="BalloonText"/>
    <w:uiPriority w:val="99"/>
    <w:semiHidden/>
    <w:rsid w:val="00F70CAD"/>
    <w:rPr>
      <w:rFonts w:ascii="Tahoma" w:hAnsi="Tahoma" w:cs="Tahoma"/>
      <w:sz w:val="16"/>
      <w:szCs w:val="16"/>
    </w:rPr>
  </w:style>
  <w:style w:type="character" w:customStyle="1" w:styleId="keywordhighlight1">
    <w:name w:val="keyword_highlight1"/>
    <w:basedOn w:val="DefaultParagraphFont"/>
    <w:rsid w:val="0056165A"/>
    <w:rPr>
      <w:b/>
      <w:bCs/>
      <w:color w:val="194F6B"/>
      <w:bdr w:val="none" w:sz="0" w:space="0" w:color="auto" w:frame="1"/>
      <w:shd w:val="clear" w:color="auto" w:fill="DFEBF4"/>
    </w:rPr>
  </w:style>
  <w:style w:type="paragraph" w:customStyle="1" w:styleId="ecxmsonormal">
    <w:name w:val="ecxmsonormal"/>
    <w:basedOn w:val="Normal"/>
    <w:rsid w:val="005A2528"/>
    <w:pPr>
      <w:spacing w:before="100" w:beforeAutospacing="1" w:after="100" w:afterAutospacing="1"/>
    </w:pPr>
    <w:rPr>
      <w:rFonts w:ascii="Times New Roman" w:eastAsia="Times New Roman" w:hAnsi="Times New Roman" w:cs="Times New Roman"/>
      <w:sz w:val="24"/>
      <w:szCs w:val="24"/>
      <w:lang w:val="en-US"/>
    </w:rPr>
  </w:style>
  <w:style w:type="character" w:customStyle="1" w:styleId="articletemplatetext">
    <w:name w:val="articletemplatetext"/>
    <w:basedOn w:val="DefaultParagraphFont"/>
    <w:rsid w:val="00D44781"/>
  </w:style>
  <w:style w:type="paragraph" w:styleId="TOCHeading">
    <w:name w:val="TOC Heading"/>
    <w:basedOn w:val="Heading1"/>
    <w:next w:val="Normal"/>
    <w:uiPriority w:val="39"/>
    <w:unhideWhenUsed/>
    <w:qFormat/>
    <w:rsid w:val="004410E0"/>
    <w:pPr>
      <w:spacing w:before="480" w:after="0" w:line="276" w:lineRule="auto"/>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4410E0"/>
    <w:pPr>
      <w:spacing w:after="100"/>
    </w:pPr>
  </w:style>
  <w:style w:type="paragraph" w:styleId="TOC2">
    <w:name w:val="toc 2"/>
    <w:basedOn w:val="Normal"/>
    <w:next w:val="Normal"/>
    <w:autoRedefine/>
    <w:uiPriority w:val="39"/>
    <w:unhideWhenUsed/>
    <w:rsid w:val="004410E0"/>
    <w:pPr>
      <w:spacing w:after="100"/>
      <w:ind w:left="200"/>
    </w:pPr>
  </w:style>
  <w:style w:type="paragraph" w:styleId="TOC3">
    <w:name w:val="toc 3"/>
    <w:basedOn w:val="Normal"/>
    <w:next w:val="Normal"/>
    <w:autoRedefine/>
    <w:uiPriority w:val="39"/>
    <w:unhideWhenUsed/>
    <w:rsid w:val="004410E0"/>
    <w:pPr>
      <w:spacing w:after="100"/>
      <w:ind w:left="400"/>
    </w:pPr>
  </w:style>
  <w:style w:type="paragraph" w:customStyle="1" w:styleId="Bulletform">
    <w:name w:val="Bullet form"/>
    <w:basedOn w:val="Normal"/>
    <w:rsid w:val="00A407E6"/>
    <w:pPr>
      <w:numPr>
        <w:numId w:val="27"/>
      </w:numPr>
      <w:spacing w:before="120"/>
      <w:ind w:left="714" w:hanging="357"/>
      <w:jc w:val="both"/>
    </w:pPr>
    <w:rPr>
      <w:rFonts w:ascii="GoudyOlSt BT" w:eastAsia="Times New Roman" w:hAnsi="GoudyOlSt BT" w:cs="Times New Roman"/>
      <w:sz w:val="24"/>
      <w:szCs w:val="20"/>
      <w:lang w:eastAsia="en-AU"/>
    </w:rPr>
  </w:style>
  <w:style w:type="table" w:styleId="TableGrid">
    <w:name w:val="Table Grid"/>
    <w:basedOn w:val="TableNormal"/>
    <w:rsid w:val="00A407E6"/>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omson-article1">
    <w:name w:val="thomson-article1"/>
    <w:basedOn w:val="DefaultParagraphFont"/>
    <w:rsid w:val="003815D8"/>
  </w:style>
  <w:style w:type="paragraph" w:customStyle="1" w:styleId="body">
    <w:name w:val="body"/>
    <w:basedOn w:val="Normal"/>
    <w:rsid w:val="00ED4E81"/>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8070AF"/>
    <w:rPr>
      <w:b/>
      <w:bCs/>
    </w:rPr>
  </w:style>
  <w:style w:type="paragraph" w:customStyle="1" w:styleId="Default">
    <w:name w:val="Default"/>
    <w:rsid w:val="002553F9"/>
    <w:pPr>
      <w:autoSpaceDE w:val="0"/>
      <w:autoSpaceDN w:val="0"/>
      <w:adjustRightInd w:val="0"/>
      <w:spacing w:after="0" w:line="240" w:lineRule="auto"/>
    </w:pPr>
    <w:rPr>
      <w:rFonts w:ascii="Arial" w:hAnsi="Arial" w:cs="Arial"/>
      <w:color w:val="000000"/>
      <w:sz w:val="24"/>
      <w:szCs w:val="24"/>
    </w:rPr>
  </w:style>
  <w:style w:type="paragraph" w:customStyle="1" w:styleId="base-text-paragraph">
    <w:name w:val="base-text-paragraph"/>
    <w:basedOn w:val="Normal"/>
    <w:link w:val="base-text-paragraphChar"/>
    <w:rsid w:val="009D3150"/>
    <w:pPr>
      <w:numPr>
        <w:ilvl w:val="1"/>
        <w:numId w:val="19"/>
      </w:numPr>
      <w:tabs>
        <w:tab w:val="num" w:pos="1985"/>
      </w:tabs>
      <w:spacing w:before="120" w:after="120"/>
      <w:ind w:left="1134"/>
    </w:pPr>
    <w:rPr>
      <w:rFonts w:ascii="Times New Roman" w:eastAsia="Times New Roman" w:hAnsi="Times New Roman" w:cs="Times New Roman"/>
      <w:sz w:val="22"/>
      <w:szCs w:val="20"/>
      <w:lang w:eastAsia="en-AU"/>
    </w:rPr>
  </w:style>
  <w:style w:type="paragraph" w:styleId="ListNumber4">
    <w:name w:val="List Number 4"/>
    <w:basedOn w:val="Normal"/>
    <w:uiPriority w:val="99"/>
    <w:semiHidden/>
    <w:rsid w:val="009D3150"/>
    <w:pPr>
      <w:numPr>
        <w:numId w:val="29"/>
      </w:numPr>
      <w:spacing w:before="120" w:after="120"/>
    </w:pPr>
    <w:rPr>
      <w:rFonts w:ascii="Times New Roman" w:eastAsia="Times New Roman" w:hAnsi="Times New Roman" w:cs="Times New Roman"/>
      <w:sz w:val="22"/>
      <w:szCs w:val="20"/>
      <w:lang w:eastAsia="en-AU"/>
    </w:rPr>
  </w:style>
  <w:style w:type="character" w:customStyle="1" w:styleId="base-text-paragraphChar">
    <w:name w:val="base-text-paragraph Char"/>
    <w:basedOn w:val="DefaultParagraphFont"/>
    <w:link w:val="base-text-paragraph"/>
    <w:locked/>
    <w:rsid w:val="009D3150"/>
    <w:rPr>
      <w:rFonts w:ascii="Times New Roman" w:eastAsia="Times New Roman" w:hAnsi="Times New Roman" w:cs="Times New Roman"/>
      <w:szCs w:val="20"/>
      <w:lang w:eastAsia="en-AU"/>
    </w:rPr>
  </w:style>
  <w:style w:type="numbering" w:customStyle="1" w:styleId="ChapterList">
    <w:name w:val="ChapterList"/>
    <w:rsid w:val="009D3150"/>
    <w:pPr>
      <w:numPr>
        <w:numId w:val="30"/>
      </w:numPr>
    </w:pPr>
  </w:style>
  <w:style w:type="paragraph" w:styleId="EndnoteText">
    <w:name w:val="endnote text"/>
    <w:basedOn w:val="Normal"/>
    <w:link w:val="EndnoteTextChar"/>
    <w:uiPriority w:val="99"/>
    <w:semiHidden/>
    <w:unhideWhenUsed/>
    <w:rsid w:val="00C34AFD"/>
    <w:rPr>
      <w:szCs w:val="20"/>
    </w:rPr>
  </w:style>
  <w:style w:type="character" w:customStyle="1" w:styleId="EndnoteTextChar">
    <w:name w:val="Endnote Text Char"/>
    <w:basedOn w:val="DefaultParagraphFont"/>
    <w:link w:val="EndnoteText"/>
    <w:uiPriority w:val="99"/>
    <w:semiHidden/>
    <w:rsid w:val="00C34AFD"/>
    <w:rPr>
      <w:rFonts w:ascii="Arial" w:hAnsi="Arial"/>
      <w:sz w:val="20"/>
      <w:szCs w:val="20"/>
    </w:rPr>
  </w:style>
  <w:style w:type="character" w:styleId="EndnoteReference">
    <w:name w:val="endnote reference"/>
    <w:basedOn w:val="DefaultParagraphFont"/>
    <w:uiPriority w:val="99"/>
    <w:semiHidden/>
    <w:unhideWhenUsed/>
    <w:rsid w:val="00C34AFD"/>
    <w:rPr>
      <w:vertAlign w:val="superscript"/>
    </w:rPr>
  </w:style>
  <w:style w:type="paragraph" w:customStyle="1" w:styleId="Pa1">
    <w:name w:val="Pa1"/>
    <w:basedOn w:val="Default"/>
    <w:next w:val="Default"/>
    <w:uiPriority w:val="99"/>
    <w:rsid w:val="00564223"/>
    <w:pPr>
      <w:spacing w:line="191" w:lineRule="atLeast"/>
    </w:pPr>
    <w:rPr>
      <w:rFonts w:ascii="Franklin Gothic Book" w:hAnsi="Franklin Gothic Book" w:cstheme="minorBidi"/>
      <w:color w:val="auto"/>
    </w:rPr>
  </w:style>
  <w:style w:type="character" w:styleId="HTMLCite">
    <w:name w:val="HTML Cite"/>
    <w:basedOn w:val="DefaultParagraphFont"/>
    <w:uiPriority w:val="99"/>
    <w:semiHidden/>
    <w:unhideWhenUsed/>
    <w:rsid w:val="002716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5408">
      <w:bodyDiv w:val="1"/>
      <w:marLeft w:val="0"/>
      <w:marRight w:val="0"/>
      <w:marTop w:val="0"/>
      <w:marBottom w:val="0"/>
      <w:divBdr>
        <w:top w:val="none" w:sz="0" w:space="0" w:color="auto"/>
        <w:left w:val="none" w:sz="0" w:space="0" w:color="auto"/>
        <w:bottom w:val="none" w:sz="0" w:space="0" w:color="auto"/>
        <w:right w:val="none" w:sz="0" w:space="0" w:color="auto"/>
      </w:divBdr>
      <w:divsChild>
        <w:div w:id="124809884">
          <w:marLeft w:val="0"/>
          <w:marRight w:val="0"/>
          <w:marTop w:val="0"/>
          <w:marBottom w:val="0"/>
          <w:divBdr>
            <w:top w:val="none" w:sz="0" w:space="0" w:color="auto"/>
            <w:left w:val="none" w:sz="0" w:space="0" w:color="auto"/>
            <w:bottom w:val="none" w:sz="0" w:space="0" w:color="auto"/>
            <w:right w:val="none" w:sz="0" w:space="0" w:color="auto"/>
          </w:divBdr>
          <w:divsChild>
            <w:div w:id="1111583378">
              <w:marLeft w:val="0"/>
              <w:marRight w:val="0"/>
              <w:marTop w:val="210"/>
              <w:marBottom w:val="0"/>
              <w:divBdr>
                <w:top w:val="none" w:sz="0" w:space="0" w:color="auto"/>
                <w:left w:val="none" w:sz="0" w:space="0" w:color="auto"/>
                <w:bottom w:val="none" w:sz="0" w:space="0" w:color="auto"/>
                <w:right w:val="none" w:sz="0" w:space="0" w:color="auto"/>
              </w:divBdr>
              <w:divsChild>
                <w:div w:id="452478165">
                  <w:marLeft w:val="0"/>
                  <w:marRight w:val="0"/>
                  <w:marTop w:val="0"/>
                  <w:marBottom w:val="0"/>
                  <w:divBdr>
                    <w:top w:val="none" w:sz="0" w:space="0" w:color="auto"/>
                    <w:left w:val="none" w:sz="0" w:space="0" w:color="auto"/>
                    <w:bottom w:val="none" w:sz="0" w:space="0" w:color="auto"/>
                    <w:right w:val="none" w:sz="0" w:space="0" w:color="auto"/>
                  </w:divBdr>
                  <w:divsChild>
                    <w:div w:id="319627107">
                      <w:marLeft w:val="0"/>
                      <w:marRight w:val="0"/>
                      <w:marTop w:val="0"/>
                      <w:marBottom w:val="600"/>
                      <w:divBdr>
                        <w:top w:val="none" w:sz="0" w:space="0" w:color="auto"/>
                        <w:left w:val="none" w:sz="0" w:space="0" w:color="auto"/>
                        <w:bottom w:val="none" w:sz="0" w:space="0" w:color="auto"/>
                        <w:right w:val="none" w:sz="0" w:space="0" w:color="auto"/>
                      </w:divBdr>
                      <w:divsChild>
                        <w:div w:id="887912327">
                          <w:marLeft w:val="0"/>
                          <w:marRight w:val="0"/>
                          <w:marTop w:val="0"/>
                          <w:marBottom w:val="0"/>
                          <w:divBdr>
                            <w:top w:val="none" w:sz="0" w:space="0" w:color="auto"/>
                            <w:left w:val="none" w:sz="0" w:space="0" w:color="auto"/>
                            <w:bottom w:val="none" w:sz="0" w:space="0" w:color="auto"/>
                            <w:right w:val="none" w:sz="0" w:space="0" w:color="auto"/>
                          </w:divBdr>
                          <w:divsChild>
                            <w:div w:id="29120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29299">
      <w:bodyDiv w:val="1"/>
      <w:marLeft w:val="0"/>
      <w:marRight w:val="0"/>
      <w:marTop w:val="0"/>
      <w:marBottom w:val="0"/>
      <w:divBdr>
        <w:top w:val="none" w:sz="0" w:space="0" w:color="auto"/>
        <w:left w:val="none" w:sz="0" w:space="0" w:color="auto"/>
        <w:bottom w:val="none" w:sz="0" w:space="0" w:color="auto"/>
        <w:right w:val="none" w:sz="0" w:space="0" w:color="auto"/>
      </w:divBdr>
    </w:div>
    <w:div w:id="131754907">
      <w:bodyDiv w:val="1"/>
      <w:marLeft w:val="0"/>
      <w:marRight w:val="0"/>
      <w:marTop w:val="0"/>
      <w:marBottom w:val="0"/>
      <w:divBdr>
        <w:top w:val="none" w:sz="0" w:space="0" w:color="auto"/>
        <w:left w:val="none" w:sz="0" w:space="0" w:color="auto"/>
        <w:bottom w:val="none" w:sz="0" w:space="0" w:color="auto"/>
        <w:right w:val="none" w:sz="0" w:space="0" w:color="auto"/>
      </w:divBdr>
      <w:divsChild>
        <w:div w:id="667253202">
          <w:marLeft w:val="0"/>
          <w:marRight w:val="0"/>
          <w:marTop w:val="0"/>
          <w:marBottom w:val="0"/>
          <w:divBdr>
            <w:top w:val="single" w:sz="2" w:space="17" w:color="999999"/>
            <w:left w:val="single" w:sz="6" w:space="0" w:color="999999"/>
            <w:bottom w:val="single" w:sz="2" w:space="0" w:color="999999"/>
            <w:right w:val="single" w:sz="6" w:space="0" w:color="999999"/>
          </w:divBdr>
          <w:divsChild>
            <w:div w:id="1910580661">
              <w:marLeft w:val="0"/>
              <w:marRight w:val="0"/>
              <w:marTop w:val="0"/>
              <w:marBottom w:val="0"/>
              <w:divBdr>
                <w:top w:val="none" w:sz="0" w:space="0" w:color="auto"/>
                <w:left w:val="none" w:sz="0" w:space="0" w:color="auto"/>
                <w:bottom w:val="none" w:sz="0" w:space="0" w:color="auto"/>
                <w:right w:val="none" w:sz="0" w:space="0" w:color="auto"/>
              </w:divBdr>
              <w:divsChild>
                <w:div w:id="1014385472">
                  <w:marLeft w:val="0"/>
                  <w:marRight w:val="300"/>
                  <w:marTop w:val="0"/>
                  <w:marBottom w:val="480"/>
                  <w:divBdr>
                    <w:top w:val="none" w:sz="0" w:space="0" w:color="auto"/>
                    <w:left w:val="none" w:sz="0" w:space="0" w:color="auto"/>
                    <w:bottom w:val="none" w:sz="0" w:space="0" w:color="auto"/>
                    <w:right w:val="none" w:sz="0" w:space="0" w:color="auto"/>
                  </w:divBdr>
                  <w:divsChild>
                    <w:div w:id="138648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45602">
      <w:bodyDiv w:val="1"/>
      <w:marLeft w:val="0"/>
      <w:marRight w:val="0"/>
      <w:marTop w:val="0"/>
      <w:marBottom w:val="0"/>
      <w:divBdr>
        <w:top w:val="none" w:sz="0" w:space="0" w:color="auto"/>
        <w:left w:val="none" w:sz="0" w:space="0" w:color="auto"/>
        <w:bottom w:val="none" w:sz="0" w:space="0" w:color="auto"/>
        <w:right w:val="none" w:sz="0" w:space="0" w:color="auto"/>
      </w:divBdr>
    </w:div>
    <w:div w:id="271133043">
      <w:bodyDiv w:val="1"/>
      <w:marLeft w:val="0"/>
      <w:marRight w:val="0"/>
      <w:marTop w:val="0"/>
      <w:marBottom w:val="0"/>
      <w:divBdr>
        <w:top w:val="none" w:sz="0" w:space="0" w:color="auto"/>
        <w:left w:val="none" w:sz="0" w:space="0" w:color="auto"/>
        <w:bottom w:val="none" w:sz="0" w:space="0" w:color="auto"/>
        <w:right w:val="none" w:sz="0" w:space="0" w:color="auto"/>
      </w:divBdr>
      <w:divsChild>
        <w:div w:id="2137600230">
          <w:marLeft w:val="0"/>
          <w:marRight w:val="0"/>
          <w:marTop w:val="0"/>
          <w:marBottom w:val="0"/>
          <w:divBdr>
            <w:top w:val="none" w:sz="0" w:space="0" w:color="auto"/>
            <w:left w:val="none" w:sz="0" w:space="0" w:color="auto"/>
            <w:bottom w:val="none" w:sz="0" w:space="0" w:color="auto"/>
            <w:right w:val="none" w:sz="0" w:space="0" w:color="auto"/>
          </w:divBdr>
          <w:divsChild>
            <w:div w:id="1019895478">
              <w:marLeft w:val="0"/>
              <w:marRight w:val="0"/>
              <w:marTop w:val="0"/>
              <w:marBottom w:val="0"/>
              <w:divBdr>
                <w:top w:val="none" w:sz="0" w:space="0" w:color="auto"/>
                <w:left w:val="none" w:sz="0" w:space="0" w:color="auto"/>
                <w:bottom w:val="none" w:sz="0" w:space="0" w:color="auto"/>
                <w:right w:val="none" w:sz="0" w:space="0" w:color="auto"/>
              </w:divBdr>
              <w:divsChild>
                <w:div w:id="376860484">
                  <w:marLeft w:val="0"/>
                  <w:marRight w:val="0"/>
                  <w:marTop w:val="0"/>
                  <w:marBottom w:val="0"/>
                  <w:divBdr>
                    <w:top w:val="none" w:sz="0" w:space="0" w:color="auto"/>
                    <w:left w:val="none" w:sz="0" w:space="0" w:color="auto"/>
                    <w:bottom w:val="none" w:sz="0" w:space="0" w:color="auto"/>
                    <w:right w:val="none" w:sz="0" w:space="0" w:color="auto"/>
                  </w:divBdr>
                  <w:divsChild>
                    <w:div w:id="465440850">
                      <w:marLeft w:val="0"/>
                      <w:marRight w:val="0"/>
                      <w:marTop w:val="45"/>
                      <w:marBottom w:val="0"/>
                      <w:divBdr>
                        <w:top w:val="none" w:sz="0" w:space="0" w:color="auto"/>
                        <w:left w:val="none" w:sz="0" w:space="0" w:color="auto"/>
                        <w:bottom w:val="none" w:sz="0" w:space="0" w:color="auto"/>
                        <w:right w:val="none" w:sz="0" w:space="0" w:color="auto"/>
                      </w:divBdr>
                      <w:divsChild>
                        <w:div w:id="47338169">
                          <w:marLeft w:val="0"/>
                          <w:marRight w:val="0"/>
                          <w:marTop w:val="0"/>
                          <w:marBottom w:val="0"/>
                          <w:divBdr>
                            <w:top w:val="none" w:sz="0" w:space="0" w:color="auto"/>
                            <w:left w:val="none" w:sz="0" w:space="0" w:color="auto"/>
                            <w:bottom w:val="none" w:sz="0" w:space="0" w:color="auto"/>
                            <w:right w:val="none" w:sz="0" w:space="0" w:color="auto"/>
                          </w:divBdr>
                          <w:divsChild>
                            <w:div w:id="1444495758">
                              <w:marLeft w:val="2070"/>
                              <w:marRight w:val="3810"/>
                              <w:marTop w:val="0"/>
                              <w:marBottom w:val="0"/>
                              <w:divBdr>
                                <w:top w:val="none" w:sz="0" w:space="0" w:color="auto"/>
                                <w:left w:val="none" w:sz="0" w:space="0" w:color="auto"/>
                                <w:bottom w:val="none" w:sz="0" w:space="0" w:color="auto"/>
                                <w:right w:val="none" w:sz="0" w:space="0" w:color="auto"/>
                              </w:divBdr>
                              <w:divsChild>
                                <w:div w:id="479813374">
                                  <w:marLeft w:val="0"/>
                                  <w:marRight w:val="0"/>
                                  <w:marTop w:val="0"/>
                                  <w:marBottom w:val="0"/>
                                  <w:divBdr>
                                    <w:top w:val="none" w:sz="0" w:space="0" w:color="auto"/>
                                    <w:left w:val="none" w:sz="0" w:space="0" w:color="auto"/>
                                    <w:bottom w:val="none" w:sz="0" w:space="0" w:color="auto"/>
                                    <w:right w:val="none" w:sz="0" w:space="0" w:color="auto"/>
                                  </w:divBdr>
                                  <w:divsChild>
                                    <w:div w:id="765541194">
                                      <w:marLeft w:val="0"/>
                                      <w:marRight w:val="0"/>
                                      <w:marTop w:val="0"/>
                                      <w:marBottom w:val="0"/>
                                      <w:divBdr>
                                        <w:top w:val="none" w:sz="0" w:space="0" w:color="auto"/>
                                        <w:left w:val="none" w:sz="0" w:space="0" w:color="auto"/>
                                        <w:bottom w:val="none" w:sz="0" w:space="0" w:color="auto"/>
                                        <w:right w:val="none" w:sz="0" w:space="0" w:color="auto"/>
                                      </w:divBdr>
                                      <w:divsChild>
                                        <w:div w:id="587202848">
                                          <w:marLeft w:val="0"/>
                                          <w:marRight w:val="0"/>
                                          <w:marTop w:val="0"/>
                                          <w:marBottom w:val="0"/>
                                          <w:divBdr>
                                            <w:top w:val="none" w:sz="0" w:space="0" w:color="auto"/>
                                            <w:left w:val="none" w:sz="0" w:space="0" w:color="auto"/>
                                            <w:bottom w:val="none" w:sz="0" w:space="0" w:color="auto"/>
                                            <w:right w:val="none" w:sz="0" w:space="0" w:color="auto"/>
                                          </w:divBdr>
                                          <w:divsChild>
                                            <w:div w:id="2074815488">
                                              <w:marLeft w:val="0"/>
                                              <w:marRight w:val="0"/>
                                              <w:marTop w:val="0"/>
                                              <w:marBottom w:val="0"/>
                                              <w:divBdr>
                                                <w:top w:val="none" w:sz="0" w:space="0" w:color="auto"/>
                                                <w:left w:val="none" w:sz="0" w:space="0" w:color="auto"/>
                                                <w:bottom w:val="none" w:sz="0" w:space="0" w:color="auto"/>
                                                <w:right w:val="none" w:sz="0" w:space="0" w:color="auto"/>
                                              </w:divBdr>
                                              <w:divsChild>
                                                <w:div w:id="440607486">
                                                  <w:marLeft w:val="0"/>
                                                  <w:marRight w:val="0"/>
                                                  <w:marTop w:val="0"/>
                                                  <w:marBottom w:val="0"/>
                                                  <w:divBdr>
                                                    <w:top w:val="none" w:sz="0" w:space="0" w:color="auto"/>
                                                    <w:left w:val="none" w:sz="0" w:space="0" w:color="auto"/>
                                                    <w:bottom w:val="none" w:sz="0" w:space="0" w:color="auto"/>
                                                    <w:right w:val="none" w:sz="0" w:space="0" w:color="auto"/>
                                                  </w:divBdr>
                                                  <w:divsChild>
                                                    <w:div w:id="392775779">
                                                      <w:marLeft w:val="0"/>
                                                      <w:marRight w:val="0"/>
                                                      <w:marTop w:val="0"/>
                                                      <w:marBottom w:val="0"/>
                                                      <w:divBdr>
                                                        <w:top w:val="none" w:sz="0" w:space="0" w:color="auto"/>
                                                        <w:left w:val="none" w:sz="0" w:space="0" w:color="auto"/>
                                                        <w:bottom w:val="none" w:sz="0" w:space="0" w:color="auto"/>
                                                        <w:right w:val="none" w:sz="0" w:space="0" w:color="auto"/>
                                                      </w:divBdr>
                                                      <w:divsChild>
                                                        <w:div w:id="2129858672">
                                                          <w:marLeft w:val="0"/>
                                                          <w:marRight w:val="0"/>
                                                          <w:marTop w:val="0"/>
                                                          <w:marBottom w:val="0"/>
                                                          <w:divBdr>
                                                            <w:top w:val="none" w:sz="0" w:space="0" w:color="auto"/>
                                                            <w:left w:val="none" w:sz="0" w:space="0" w:color="auto"/>
                                                            <w:bottom w:val="none" w:sz="0" w:space="0" w:color="auto"/>
                                                            <w:right w:val="none" w:sz="0" w:space="0" w:color="auto"/>
                                                          </w:divBdr>
                                                          <w:divsChild>
                                                            <w:div w:id="611127457">
                                                              <w:marLeft w:val="0"/>
                                                              <w:marRight w:val="0"/>
                                                              <w:marTop w:val="0"/>
                                                              <w:marBottom w:val="0"/>
                                                              <w:divBdr>
                                                                <w:top w:val="none" w:sz="0" w:space="0" w:color="auto"/>
                                                                <w:left w:val="none" w:sz="0" w:space="0" w:color="auto"/>
                                                                <w:bottom w:val="none" w:sz="0" w:space="0" w:color="auto"/>
                                                                <w:right w:val="none" w:sz="0" w:space="0" w:color="auto"/>
                                                              </w:divBdr>
                                                              <w:divsChild>
                                                                <w:div w:id="15700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74139645">
      <w:bodyDiv w:val="1"/>
      <w:marLeft w:val="0"/>
      <w:marRight w:val="0"/>
      <w:marTop w:val="0"/>
      <w:marBottom w:val="0"/>
      <w:divBdr>
        <w:top w:val="none" w:sz="0" w:space="0" w:color="auto"/>
        <w:left w:val="none" w:sz="0" w:space="0" w:color="auto"/>
        <w:bottom w:val="none" w:sz="0" w:space="0" w:color="auto"/>
        <w:right w:val="none" w:sz="0" w:space="0" w:color="auto"/>
      </w:divBdr>
      <w:divsChild>
        <w:div w:id="1120953135">
          <w:marLeft w:val="0"/>
          <w:marRight w:val="0"/>
          <w:marTop w:val="0"/>
          <w:marBottom w:val="120"/>
          <w:divBdr>
            <w:top w:val="none" w:sz="0" w:space="0" w:color="auto"/>
            <w:left w:val="none" w:sz="0" w:space="0" w:color="auto"/>
            <w:bottom w:val="none" w:sz="0" w:space="0" w:color="auto"/>
            <w:right w:val="none" w:sz="0" w:space="0" w:color="auto"/>
          </w:divBdr>
        </w:div>
        <w:div w:id="2008627907">
          <w:marLeft w:val="720"/>
          <w:marRight w:val="0"/>
          <w:marTop w:val="0"/>
          <w:marBottom w:val="120"/>
          <w:divBdr>
            <w:top w:val="none" w:sz="0" w:space="0" w:color="auto"/>
            <w:left w:val="none" w:sz="0" w:space="0" w:color="auto"/>
            <w:bottom w:val="none" w:sz="0" w:space="0" w:color="auto"/>
            <w:right w:val="none" w:sz="0" w:space="0" w:color="auto"/>
          </w:divBdr>
        </w:div>
        <w:div w:id="724332540">
          <w:marLeft w:val="720"/>
          <w:marRight w:val="0"/>
          <w:marTop w:val="0"/>
          <w:marBottom w:val="120"/>
          <w:divBdr>
            <w:top w:val="none" w:sz="0" w:space="0" w:color="auto"/>
            <w:left w:val="none" w:sz="0" w:space="0" w:color="auto"/>
            <w:bottom w:val="none" w:sz="0" w:space="0" w:color="auto"/>
            <w:right w:val="none" w:sz="0" w:space="0" w:color="auto"/>
          </w:divBdr>
        </w:div>
        <w:div w:id="795635877">
          <w:marLeft w:val="720"/>
          <w:marRight w:val="0"/>
          <w:marTop w:val="0"/>
          <w:marBottom w:val="120"/>
          <w:divBdr>
            <w:top w:val="none" w:sz="0" w:space="0" w:color="auto"/>
            <w:left w:val="none" w:sz="0" w:space="0" w:color="auto"/>
            <w:bottom w:val="none" w:sz="0" w:space="0" w:color="auto"/>
            <w:right w:val="none" w:sz="0" w:space="0" w:color="auto"/>
          </w:divBdr>
        </w:div>
        <w:div w:id="1595474384">
          <w:marLeft w:val="0"/>
          <w:marRight w:val="0"/>
          <w:marTop w:val="0"/>
          <w:marBottom w:val="120"/>
          <w:divBdr>
            <w:top w:val="none" w:sz="0" w:space="0" w:color="auto"/>
            <w:left w:val="none" w:sz="0" w:space="0" w:color="auto"/>
            <w:bottom w:val="none" w:sz="0" w:space="0" w:color="auto"/>
            <w:right w:val="none" w:sz="0" w:space="0" w:color="auto"/>
          </w:divBdr>
        </w:div>
        <w:div w:id="858785096">
          <w:marLeft w:val="720"/>
          <w:marRight w:val="0"/>
          <w:marTop w:val="0"/>
          <w:marBottom w:val="120"/>
          <w:divBdr>
            <w:top w:val="none" w:sz="0" w:space="0" w:color="auto"/>
            <w:left w:val="none" w:sz="0" w:space="0" w:color="auto"/>
            <w:bottom w:val="none" w:sz="0" w:space="0" w:color="auto"/>
            <w:right w:val="none" w:sz="0" w:space="0" w:color="auto"/>
          </w:divBdr>
        </w:div>
        <w:div w:id="1844397722">
          <w:marLeft w:val="720"/>
          <w:marRight w:val="0"/>
          <w:marTop w:val="0"/>
          <w:marBottom w:val="120"/>
          <w:divBdr>
            <w:top w:val="none" w:sz="0" w:space="0" w:color="auto"/>
            <w:left w:val="none" w:sz="0" w:space="0" w:color="auto"/>
            <w:bottom w:val="none" w:sz="0" w:space="0" w:color="auto"/>
            <w:right w:val="none" w:sz="0" w:space="0" w:color="auto"/>
          </w:divBdr>
        </w:div>
        <w:div w:id="1380934884">
          <w:marLeft w:val="0"/>
          <w:marRight w:val="0"/>
          <w:marTop w:val="0"/>
          <w:marBottom w:val="120"/>
          <w:divBdr>
            <w:top w:val="none" w:sz="0" w:space="0" w:color="auto"/>
            <w:left w:val="none" w:sz="0" w:space="0" w:color="auto"/>
            <w:bottom w:val="none" w:sz="0" w:space="0" w:color="auto"/>
            <w:right w:val="none" w:sz="0" w:space="0" w:color="auto"/>
          </w:divBdr>
        </w:div>
        <w:div w:id="1750958063">
          <w:marLeft w:val="0"/>
          <w:marRight w:val="0"/>
          <w:marTop w:val="0"/>
          <w:marBottom w:val="120"/>
          <w:divBdr>
            <w:top w:val="none" w:sz="0" w:space="0" w:color="auto"/>
            <w:left w:val="none" w:sz="0" w:space="0" w:color="auto"/>
            <w:bottom w:val="none" w:sz="0" w:space="0" w:color="auto"/>
            <w:right w:val="none" w:sz="0" w:space="0" w:color="auto"/>
          </w:divBdr>
        </w:div>
      </w:divsChild>
    </w:div>
    <w:div w:id="288174013">
      <w:bodyDiv w:val="1"/>
      <w:marLeft w:val="0"/>
      <w:marRight w:val="0"/>
      <w:marTop w:val="0"/>
      <w:marBottom w:val="0"/>
      <w:divBdr>
        <w:top w:val="none" w:sz="0" w:space="0" w:color="auto"/>
        <w:left w:val="none" w:sz="0" w:space="0" w:color="auto"/>
        <w:bottom w:val="none" w:sz="0" w:space="0" w:color="auto"/>
        <w:right w:val="none" w:sz="0" w:space="0" w:color="auto"/>
      </w:divBdr>
    </w:div>
    <w:div w:id="355079950">
      <w:bodyDiv w:val="1"/>
      <w:marLeft w:val="0"/>
      <w:marRight w:val="0"/>
      <w:marTop w:val="0"/>
      <w:marBottom w:val="0"/>
      <w:divBdr>
        <w:top w:val="none" w:sz="0" w:space="0" w:color="auto"/>
        <w:left w:val="none" w:sz="0" w:space="0" w:color="auto"/>
        <w:bottom w:val="none" w:sz="0" w:space="0" w:color="auto"/>
        <w:right w:val="none" w:sz="0" w:space="0" w:color="auto"/>
      </w:divBdr>
      <w:divsChild>
        <w:div w:id="1185559599">
          <w:marLeft w:val="0"/>
          <w:marRight w:val="0"/>
          <w:marTop w:val="0"/>
          <w:marBottom w:val="0"/>
          <w:divBdr>
            <w:top w:val="none" w:sz="0" w:space="0" w:color="auto"/>
            <w:left w:val="none" w:sz="0" w:space="0" w:color="auto"/>
            <w:bottom w:val="none" w:sz="0" w:space="0" w:color="auto"/>
            <w:right w:val="none" w:sz="0" w:space="0" w:color="auto"/>
          </w:divBdr>
          <w:divsChild>
            <w:div w:id="1838572409">
              <w:marLeft w:val="0"/>
              <w:marRight w:val="0"/>
              <w:marTop w:val="0"/>
              <w:marBottom w:val="0"/>
              <w:divBdr>
                <w:top w:val="none" w:sz="0" w:space="0" w:color="auto"/>
                <w:left w:val="none" w:sz="0" w:space="0" w:color="auto"/>
                <w:bottom w:val="none" w:sz="0" w:space="0" w:color="auto"/>
                <w:right w:val="none" w:sz="0" w:space="0" w:color="auto"/>
              </w:divBdr>
              <w:divsChild>
                <w:div w:id="1259173505">
                  <w:marLeft w:val="0"/>
                  <w:marRight w:val="0"/>
                  <w:marTop w:val="0"/>
                  <w:marBottom w:val="0"/>
                  <w:divBdr>
                    <w:top w:val="none" w:sz="0" w:space="0" w:color="auto"/>
                    <w:left w:val="none" w:sz="0" w:space="0" w:color="auto"/>
                    <w:bottom w:val="none" w:sz="0" w:space="0" w:color="auto"/>
                    <w:right w:val="none" w:sz="0" w:space="0" w:color="auto"/>
                  </w:divBdr>
                  <w:divsChild>
                    <w:div w:id="1227304842">
                      <w:marLeft w:val="0"/>
                      <w:marRight w:val="0"/>
                      <w:marTop w:val="45"/>
                      <w:marBottom w:val="0"/>
                      <w:divBdr>
                        <w:top w:val="none" w:sz="0" w:space="0" w:color="auto"/>
                        <w:left w:val="none" w:sz="0" w:space="0" w:color="auto"/>
                        <w:bottom w:val="none" w:sz="0" w:space="0" w:color="auto"/>
                        <w:right w:val="none" w:sz="0" w:space="0" w:color="auto"/>
                      </w:divBdr>
                      <w:divsChild>
                        <w:div w:id="1303541350">
                          <w:marLeft w:val="0"/>
                          <w:marRight w:val="0"/>
                          <w:marTop w:val="0"/>
                          <w:marBottom w:val="0"/>
                          <w:divBdr>
                            <w:top w:val="none" w:sz="0" w:space="0" w:color="auto"/>
                            <w:left w:val="none" w:sz="0" w:space="0" w:color="auto"/>
                            <w:bottom w:val="none" w:sz="0" w:space="0" w:color="auto"/>
                            <w:right w:val="none" w:sz="0" w:space="0" w:color="auto"/>
                          </w:divBdr>
                          <w:divsChild>
                            <w:div w:id="1366129094">
                              <w:marLeft w:val="2070"/>
                              <w:marRight w:val="3810"/>
                              <w:marTop w:val="0"/>
                              <w:marBottom w:val="0"/>
                              <w:divBdr>
                                <w:top w:val="none" w:sz="0" w:space="0" w:color="auto"/>
                                <w:left w:val="none" w:sz="0" w:space="0" w:color="auto"/>
                                <w:bottom w:val="none" w:sz="0" w:space="0" w:color="auto"/>
                                <w:right w:val="none" w:sz="0" w:space="0" w:color="auto"/>
                              </w:divBdr>
                              <w:divsChild>
                                <w:div w:id="1510869165">
                                  <w:marLeft w:val="0"/>
                                  <w:marRight w:val="0"/>
                                  <w:marTop w:val="0"/>
                                  <w:marBottom w:val="0"/>
                                  <w:divBdr>
                                    <w:top w:val="none" w:sz="0" w:space="0" w:color="auto"/>
                                    <w:left w:val="none" w:sz="0" w:space="0" w:color="auto"/>
                                    <w:bottom w:val="none" w:sz="0" w:space="0" w:color="auto"/>
                                    <w:right w:val="none" w:sz="0" w:space="0" w:color="auto"/>
                                  </w:divBdr>
                                  <w:divsChild>
                                    <w:div w:id="1154907604">
                                      <w:marLeft w:val="0"/>
                                      <w:marRight w:val="0"/>
                                      <w:marTop w:val="0"/>
                                      <w:marBottom w:val="0"/>
                                      <w:divBdr>
                                        <w:top w:val="none" w:sz="0" w:space="0" w:color="auto"/>
                                        <w:left w:val="none" w:sz="0" w:space="0" w:color="auto"/>
                                        <w:bottom w:val="none" w:sz="0" w:space="0" w:color="auto"/>
                                        <w:right w:val="none" w:sz="0" w:space="0" w:color="auto"/>
                                      </w:divBdr>
                                      <w:divsChild>
                                        <w:div w:id="640423272">
                                          <w:marLeft w:val="0"/>
                                          <w:marRight w:val="0"/>
                                          <w:marTop w:val="0"/>
                                          <w:marBottom w:val="0"/>
                                          <w:divBdr>
                                            <w:top w:val="none" w:sz="0" w:space="0" w:color="auto"/>
                                            <w:left w:val="none" w:sz="0" w:space="0" w:color="auto"/>
                                            <w:bottom w:val="none" w:sz="0" w:space="0" w:color="auto"/>
                                            <w:right w:val="none" w:sz="0" w:space="0" w:color="auto"/>
                                          </w:divBdr>
                                          <w:divsChild>
                                            <w:div w:id="1235818632">
                                              <w:marLeft w:val="0"/>
                                              <w:marRight w:val="0"/>
                                              <w:marTop w:val="0"/>
                                              <w:marBottom w:val="0"/>
                                              <w:divBdr>
                                                <w:top w:val="none" w:sz="0" w:space="0" w:color="auto"/>
                                                <w:left w:val="none" w:sz="0" w:space="0" w:color="auto"/>
                                                <w:bottom w:val="none" w:sz="0" w:space="0" w:color="auto"/>
                                                <w:right w:val="none" w:sz="0" w:space="0" w:color="auto"/>
                                              </w:divBdr>
                                              <w:divsChild>
                                                <w:div w:id="1782334427">
                                                  <w:marLeft w:val="0"/>
                                                  <w:marRight w:val="0"/>
                                                  <w:marTop w:val="0"/>
                                                  <w:marBottom w:val="0"/>
                                                  <w:divBdr>
                                                    <w:top w:val="none" w:sz="0" w:space="0" w:color="auto"/>
                                                    <w:left w:val="none" w:sz="0" w:space="0" w:color="auto"/>
                                                    <w:bottom w:val="none" w:sz="0" w:space="0" w:color="auto"/>
                                                    <w:right w:val="none" w:sz="0" w:space="0" w:color="auto"/>
                                                  </w:divBdr>
                                                  <w:divsChild>
                                                    <w:div w:id="618999761">
                                                      <w:marLeft w:val="0"/>
                                                      <w:marRight w:val="0"/>
                                                      <w:marTop w:val="0"/>
                                                      <w:marBottom w:val="0"/>
                                                      <w:divBdr>
                                                        <w:top w:val="none" w:sz="0" w:space="0" w:color="auto"/>
                                                        <w:left w:val="none" w:sz="0" w:space="0" w:color="auto"/>
                                                        <w:bottom w:val="none" w:sz="0" w:space="0" w:color="auto"/>
                                                        <w:right w:val="none" w:sz="0" w:space="0" w:color="auto"/>
                                                      </w:divBdr>
                                                      <w:divsChild>
                                                        <w:div w:id="1979795886">
                                                          <w:marLeft w:val="0"/>
                                                          <w:marRight w:val="0"/>
                                                          <w:marTop w:val="0"/>
                                                          <w:marBottom w:val="0"/>
                                                          <w:divBdr>
                                                            <w:top w:val="none" w:sz="0" w:space="0" w:color="auto"/>
                                                            <w:left w:val="none" w:sz="0" w:space="0" w:color="auto"/>
                                                            <w:bottom w:val="none" w:sz="0" w:space="0" w:color="auto"/>
                                                            <w:right w:val="none" w:sz="0" w:space="0" w:color="auto"/>
                                                          </w:divBdr>
                                                          <w:divsChild>
                                                            <w:div w:id="1668173599">
                                                              <w:marLeft w:val="0"/>
                                                              <w:marRight w:val="0"/>
                                                              <w:marTop w:val="0"/>
                                                              <w:marBottom w:val="0"/>
                                                              <w:divBdr>
                                                                <w:top w:val="none" w:sz="0" w:space="0" w:color="auto"/>
                                                                <w:left w:val="none" w:sz="0" w:space="0" w:color="auto"/>
                                                                <w:bottom w:val="none" w:sz="0" w:space="0" w:color="auto"/>
                                                                <w:right w:val="none" w:sz="0" w:space="0" w:color="auto"/>
                                                              </w:divBdr>
                                                              <w:divsChild>
                                                                <w:div w:id="19033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5259509">
      <w:bodyDiv w:val="1"/>
      <w:marLeft w:val="0"/>
      <w:marRight w:val="0"/>
      <w:marTop w:val="0"/>
      <w:marBottom w:val="0"/>
      <w:divBdr>
        <w:top w:val="none" w:sz="0" w:space="0" w:color="auto"/>
        <w:left w:val="none" w:sz="0" w:space="0" w:color="auto"/>
        <w:bottom w:val="none" w:sz="0" w:space="0" w:color="auto"/>
        <w:right w:val="none" w:sz="0" w:space="0" w:color="auto"/>
      </w:divBdr>
    </w:div>
    <w:div w:id="441997616">
      <w:bodyDiv w:val="1"/>
      <w:marLeft w:val="0"/>
      <w:marRight w:val="0"/>
      <w:marTop w:val="0"/>
      <w:marBottom w:val="0"/>
      <w:divBdr>
        <w:top w:val="none" w:sz="0" w:space="0" w:color="auto"/>
        <w:left w:val="none" w:sz="0" w:space="0" w:color="auto"/>
        <w:bottom w:val="none" w:sz="0" w:space="0" w:color="auto"/>
        <w:right w:val="none" w:sz="0" w:space="0" w:color="auto"/>
      </w:divBdr>
      <w:divsChild>
        <w:div w:id="1102647361">
          <w:marLeft w:val="0"/>
          <w:marRight w:val="0"/>
          <w:marTop w:val="0"/>
          <w:marBottom w:val="0"/>
          <w:divBdr>
            <w:top w:val="none" w:sz="0" w:space="0" w:color="auto"/>
            <w:left w:val="none" w:sz="0" w:space="0" w:color="auto"/>
            <w:bottom w:val="none" w:sz="0" w:space="0" w:color="auto"/>
            <w:right w:val="none" w:sz="0" w:space="0" w:color="auto"/>
          </w:divBdr>
          <w:divsChild>
            <w:div w:id="1428648813">
              <w:marLeft w:val="0"/>
              <w:marRight w:val="0"/>
              <w:marTop w:val="0"/>
              <w:marBottom w:val="0"/>
              <w:divBdr>
                <w:top w:val="none" w:sz="0" w:space="0" w:color="auto"/>
                <w:left w:val="none" w:sz="0" w:space="0" w:color="auto"/>
                <w:bottom w:val="none" w:sz="0" w:space="0" w:color="auto"/>
                <w:right w:val="none" w:sz="0" w:space="0" w:color="auto"/>
              </w:divBdr>
              <w:divsChild>
                <w:div w:id="1272857173">
                  <w:marLeft w:val="0"/>
                  <w:marRight w:val="0"/>
                  <w:marTop w:val="0"/>
                  <w:marBottom w:val="0"/>
                  <w:divBdr>
                    <w:top w:val="none" w:sz="0" w:space="0" w:color="auto"/>
                    <w:left w:val="none" w:sz="0" w:space="0" w:color="auto"/>
                    <w:bottom w:val="none" w:sz="0" w:space="0" w:color="auto"/>
                    <w:right w:val="none" w:sz="0" w:space="0" w:color="auto"/>
                  </w:divBdr>
                  <w:divsChild>
                    <w:div w:id="47848078">
                      <w:marLeft w:val="0"/>
                      <w:marRight w:val="0"/>
                      <w:marTop w:val="0"/>
                      <w:marBottom w:val="0"/>
                      <w:divBdr>
                        <w:top w:val="none" w:sz="0" w:space="0" w:color="auto"/>
                        <w:left w:val="none" w:sz="0" w:space="0" w:color="auto"/>
                        <w:bottom w:val="none" w:sz="0" w:space="0" w:color="auto"/>
                        <w:right w:val="none" w:sz="0" w:space="0" w:color="auto"/>
                      </w:divBdr>
                      <w:divsChild>
                        <w:div w:id="880508553">
                          <w:marLeft w:val="0"/>
                          <w:marRight w:val="0"/>
                          <w:marTop w:val="0"/>
                          <w:marBottom w:val="0"/>
                          <w:divBdr>
                            <w:top w:val="none" w:sz="0" w:space="0" w:color="auto"/>
                            <w:left w:val="none" w:sz="0" w:space="0" w:color="auto"/>
                            <w:bottom w:val="none" w:sz="0" w:space="0" w:color="auto"/>
                            <w:right w:val="none" w:sz="0" w:space="0" w:color="auto"/>
                          </w:divBdr>
                          <w:divsChild>
                            <w:div w:id="176575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894458">
      <w:bodyDiv w:val="1"/>
      <w:marLeft w:val="0"/>
      <w:marRight w:val="0"/>
      <w:marTop w:val="0"/>
      <w:marBottom w:val="0"/>
      <w:divBdr>
        <w:top w:val="none" w:sz="0" w:space="0" w:color="auto"/>
        <w:left w:val="none" w:sz="0" w:space="0" w:color="auto"/>
        <w:bottom w:val="none" w:sz="0" w:space="0" w:color="auto"/>
        <w:right w:val="none" w:sz="0" w:space="0" w:color="auto"/>
      </w:divBdr>
    </w:div>
    <w:div w:id="627661839">
      <w:bodyDiv w:val="1"/>
      <w:marLeft w:val="0"/>
      <w:marRight w:val="0"/>
      <w:marTop w:val="0"/>
      <w:marBottom w:val="0"/>
      <w:divBdr>
        <w:top w:val="none" w:sz="0" w:space="0" w:color="auto"/>
        <w:left w:val="none" w:sz="0" w:space="0" w:color="auto"/>
        <w:bottom w:val="none" w:sz="0" w:space="0" w:color="auto"/>
        <w:right w:val="none" w:sz="0" w:space="0" w:color="auto"/>
      </w:divBdr>
      <w:divsChild>
        <w:div w:id="837430176">
          <w:marLeft w:val="0"/>
          <w:marRight w:val="0"/>
          <w:marTop w:val="0"/>
          <w:marBottom w:val="0"/>
          <w:divBdr>
            <w:top w:val="none" w:sz="0" w:space="0" w:color="auto"/>
            <w:left w:val="none" w:sz="0" w:space="0" w:color="auto"/>
            <w:bottom w:val="none" w:sz="0" w:space="0" w:color="auto"/>
            <w:right w:val="none" w:sz="0" w:space="0" w:color="auto"/>
          </w:divBdr>
          <w:divsChild>
            <w:div w:id="788402722">
              <w:marLeft w:val="0"/>
              <w:marRight w:val="0"/>
              <w:marTop w:val="0"/>
              <w:marBottom w:val="0"/>
              <w:divBdr>
                <w:top w:val="none" w:sz="0" w:space="0" w:color="auto"/>
                <w:left w:val="none" w:sz="0" w:space="0" w:color="auto"/>
                <w:bottom w:val="none" w:sz="0" w:space="0" w:color="auto"/>
                <w:right w:val="none" w:sz="0" w:space="0" w:color="auto"/>
              </w:divBdr>
              <w:divsChild>
                <w:div w:id="1071004774">
                  <w:marLeft w:val="0"/>
                  <w:marRight w:val="0"/>
                  <w:marTop w:val="0"/>
                  <w:marBottom w:val="0"/>
                  <w:divBdr>
                    <w:top w:val="none" w:sz="0" w:space="0" w:color="auto"/>
                    <w:left w:val="none" w:sz="0" w:space="0" w:color="auto"/>
                    <w:bottom w:val="none" w:sz="0" w:space="0" w:color="auto"/>
                    <w:right w:val="none" w:sz="0" w:space="0" w:color="auto"/>
                  </w:divBdr>
                  <w:divsChild>
                    <w:div w:id="1175614914">
                      <w:marLeft w:val="0"/>
                      <w:marRight w:val="0"/>
                      <w:marTop w:val="0"/>
                      <w:marBottom w:val="0"/>
                      <w:divBdr>
                        <w:top w:val="none" w:sz="0" w:space="0" w:color="auto"/>
                        <w:left w:val="none" w:sz="0" w:space="0" w:color="auto"/>
                        <w:bottom w:val="none" w:sz="0" w:space="0" w:color="auto"/>
                        <w:right w:val="none" w:sz="0" w:space="0" w:color="auto"/>
                      </w:divBdr>
                      <w:divsChild>
                        <w:div w:id="2128891384">
                          <w:marLeft w:val="-225"/>
                          <w:marRight w:val="-225"/>
                          <w:marTop w:val="0"/>
                          <w:marBottom w:val="0"/>
                          <w:divBdr>
                            <w:top w:val="none" w:sz="0" w:space="0" w:color="auto"/>
                            <w:left w:val="none" w:sz="0" w:space="0" w:color="auto"/>
                            <w:bottom w:val="none" w:sz="0" w:space="0" w:color="auto"/>
                            <w:right w:val="none" w:sz="0" w:space="0" w:color="auto"/>
                          </w:divBdr>
                          <w:divsChild>
                            <w:div w:id="1269387299">
                              <w:marLeft w:val="0"/>
                              <w:marRight w:val="0"/>
                              <w:marTop w:val="300"/>
                              <w:marBottom w:val="300"/>
                              <w:divBdr>
                                <w:top w:val="none" w:sz="0" w:space="0" w:color="auto"/>
                                <w:left w:val="none" w:sz="0" w:space="0" w:color="auto"/>
                                <w:bottom w:val="none" w:sz="0" w:space="0" w:color="auto"/>
                                <w:right w:val="none" w:sz="0" w:space="0" w:color="auto"/>
                              </w:divBdr>
                              <w:divsChild>
                                <w:div w:id="2085951875">
                                  <w:marLeft w:val="0"/>
                                  <w:marRight w:val="0"/>
                                  <w:marTop w:val="0"/>
                                  <w:marBottom w:val="0"/>
                                  <w:divBdr>
                                    <w:top w:val="none" w:sz="0" w:space="0" w:color="auto"/>
                                    <w:left w:val="none" w:sz="0" w:space="0" w:color="auto"/>
                                    <w:bottom w:val="none" w:sz="0" w:space="0" w:color="auto"/>
                                    <w:right w:val="none" w:sz="0" w:space="0" w:color="auto"/>
                                  </w:divBdr>
                                  <w:divsChild>
                                    <w:div w:id="12418026">
                                      <w:marLeft w:val="0"/>
                                      <w:marRight w:val="0"/>
                                      <w:marTop w:val="0"/>
                                      <w:marBottom w:val="0"/>
                                      <w:divBdr>
                                        <w:top w:val="none" w:sz="0" w:space="0" w:color="auto"/>
                                        <w:left w:val="none" w:sz="0" w:space="0" w:color="auto"/>
                                        <w:bottom w:val="none" w:sz="0" w:space="0" w:color="auto"/>
                                        <w:right w:val="none" w:sz="0" w:space="0" w:color="auto"/>
                                      </w:divBdr>
                                      <w:divsChild>
                                        <w:div w:id="10553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8048845">
      <w:bodyDiv w:val="1"/>
      <w:marLeft w:val="0"/>
      <w:marRight w:val="0"/>
      <w:marTop w:val="0"/>
      <w:marBottom w:val="0"/>
      <w:divBdr>
        <w:top w:val="none" w:sz="0" w:space="0" w:color="auto"/>
        <w:left w:val="none" w:sz="0" w:space="0" w:color="auto"/>
        <w:bottom w:val="none" w:sz="0" w:space="0" w:color="auto"/>
        <w:right w:val="none" w:sz="0" w:space="0" w:color="auto"/>
      </w:divBdr>
    </w:div>
    <w:div w:id="778717163">
      <w:bodyDiv w:val="1"/>
      <w:marLeft w:val="0"/>
      <w:marRight w:val="0"/>
      <w:marTop w:val="0"/>
      <w:marBottom w:val="0"/>
      <w:divBdr>
        <w:top w:val="none" w:sz="0" w:space="0" w:color="auto"/>
        <w:left w:val="none" w:sz="0" w:space="0" w:color="auto"/>
        <w:bottom w:val="none" w:sz="0" w:space="0" w:color="auto"/>
        <w:right w:val="none" w:sz="0" w:space="0" w:color="auto"/>
      </w:divBdr>
      <w:divsChild>
        <w:div w:id="1013649147">
          <w:marLeft w:val="0"/>
          <w:marRight w:val="0"/>
          <w:marTop w:val="0"/>
          <w:marBottom w:val="0"/>
          <w:divBdr>
            <w:top w:val="none" w:sz="0" w:space="0" w:color="auto"/>
            <w:left w:val="none" w:sz="0" w:space="0" w:color="auto"/>
            <w:bottom w:val="none" w:sz="0" w:space="0" w:color="auto"/>
            <w:right w:val="none" w:sz="0" w:space="0" w:color="auto"/>
          </w:divBdr>
          <w:divsChild>
            <w:div w:id="2009555609">
              <w:marLeft w:val="0"/>
              <w:marRight w:val="0"/>
              <w:marTop w:val="0"/>
              <w:marBottom w:val="0"/>
              <w:divBdr>
                <w:top w:val="none" w:sz="0" w:space="0" w:color="auto"/>
                <w:left w:val="none" w:sz="0" w:space="0" w:color="auto"/>
                <w:bottom w:val="none" w:sz="0" w:space="0" w:color="auto"/>
                <w:right w:val="none" w:sz="0" w:space="0" w:color="auto"/>
              </w:divBdr>
              <w:divsChild>
                <w:div w:id="755132253">
                  <w:marLeft w:val="0"/>
                  <w:marRight w:val="0"/>
                  <w:marTop w:val="0"/>
                  <w:marBottom w:val="0"/>
                  <w:divBdr>
                    <w:top w:val="none" w:sz="0" w:space="0" w:color="auto"/>
                    <w:left w:val="none" w:sz="0" w:space="0" w:color="auto"/>
                    <w:bottom w:val="none" w:sz="0" w:space="0" w:color="auto"/>
                    <w:right w:val="none" w:sz="0" w:space="0" w:color="auto"/>
                  </w:divBdr>
                  <w:divsChild>
                    <w:div w:id="847404557">
                      <w:marLeft w:val="0"/>
                      <w:marRight w:val="0"/>
                      <w:marTop w:val="0"/>
                      <w:marBottom w:val="0"/>
                      <w:divBdr>
                        <w:top w:val="none" w:sz="0" w:space="0" w:color="auto"/>
                        <w:left w:val="none" w:sz="0" w:space="0" w:color="auto"/>
                        <w:bottom w:val="none" w:sz="0" w:space="0" w:color="auto"/>
                        <w:right w:val="none" w:sz="0" w:space="0" w:color="auto"/>
                      </w:divBdr>
                      <w:divsChild>
                        <w:div w:id="1316101961">
                          <w:marLeft w:val="0"/>
                          <w:marRight w:val="0"/>
                          <w:marTop w:val="0"/>
                          <w:marBottom w:val="0"/>
                          <w:divBdr>
                            <w:top w:val="none" w:sz="0" w:space="0" w:color="auto"/>
                            <w:left w:val="none" w:sz="0" w:space="0" w:color="auto"/>
                            <w:bottom w:val="none" w:sz="0" w:space="0" w:color="auto"/>
                            <w:right w:val="none" w:sz="0" w:space="0" w:color="auto"/>
                          </w:divBdr>
                          <w:divsChild>
                            <w:div w:id="1207061388">
                              <w:marLeft w:val="0"/>
                              <w:marRight w:val="0"/>
                              <w:marTop w:val="0"/>
                              <w:marBottom w:val="0"/>
                              <w:divBdr>
                                <w:top w:val="none" w:sz="0" w:space="0" w:color="auto"/>
                                <w:left w:val="none" w:sz="0" w:space="0" w:color="auto"/>
                                <w:bottom w:val="none" w:sz="0" w:space="0" w:color="auto"/>
                                <w:right w:val="none" w:sz="0" w:space="0" w:color="auto"/>
                              </w:divBdr>
                              <w:divsChild>
                                <w:div w:id="42056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448244">
      <w:bodyDiv w:val="1"/>
      <w:marLeft w:val="0"/>
      <w:marRight w:val="0"/>
      <w:marTop w:val="0"/>
      <w:marBottom w:val="0"/>
      <w:divBdr>
        <w:top w:val="none" w:sz="0" w:space="0" w:color="auto"/>
        <w:left w:val="none" w:sz="0" w:space="0" w:color="auto"/>
        <w:bottom w:val="none" w:sz="0" w:space="0" w:color="auto"/>
        <w:right w:val="none" w:sz="0" w:space="0" w:color="auto"/>
      </w:divBdr>
    </w:div>
    <w:div w:id="849835727">
      <w:bodyDiv w:val="1"/>
      <w:marLeft w:val="0"/>
      <w:marRight w:val="0"/>
      <w:marTop w:val="0"/>
      <w:marBottom w:val="0"/>
      <w:divBdr>
        <w:top w:val="none" w:sz="0" w:space="0" w:color="auto"/>
        <w:left w:val="none" w:sz="0" w:space="0" w:color="auto"/>
        <w:bottom w:val="none" w:sz="0" w:space="0" w:color="auto"/>
        <w:right w:val="none" w:sz="0" w:space="0" w:color="auto"/>
      </w:divBdr>
    </w:div>
    <w:div w:id="915942386">
      <w:bodyDiv w:val="1"/>
      <w:marLeft w:val="0"/>
      <w:marRight w:val="0"/>
      <w:marTop w:val="0"/>
      <w:marBottom w:val="0"/>
      <w:divBdr>
        <w:top w:val="none" w:sz="0" w:space="0" w:color="auto"/>
        <w:left w:val="none" w:sz="0" w:space="0" w:color="auto"/>
        <w:bottom w:val="none" w:sz="0" w:space="0" w:color="auto"/>
        <w:right w:val="none" w:sz="0" w:space="0" w:color="auto"/>
      </w:divBdr>
    </w:div>
    <w:div w:id="991061911">
      <w:bodyDiv w:val="1"/>
      <w:marLeft w:val="0"/>
      <w:marRight w:val="0"/>
      <w:marTop w:val="0"/>
      <w:marBottom w:val="0"/>
      <w:divBdr>
        <w:top w:val="none" w:sz="0" w:space="0" w:color="auto"/>
        <w:left w:val="none" w:sz="0" w:space="0" w:color="auto"/>
        <w:bottom w:val="none" w:sz="0" w:space="0" w:color="auto"/>
        <w:right w:val="none" w:sz="0" w:space="0" w:color="auto"/>
      </w:divBdr>
      <w:divsChild>
        <w:div w:id="1336228377">
          <w:marLeft w:val="0"/>
          <w:marRight w:val="0"/>
          <w:marTop w:val="0"/>
          <w:marBottom w:val="0"/>
          <w:divBdr>
            <w:top w:val="none" w:sz="0" w:space="0" w:color="auto"/>
            <w:left w:val="none" w:sz="0" w:space="0" w:color="auto"/>
            <w:bottom w:val="none" w:sz="0" w:space="0" w:color="auto"/>
            <w:right w:val="none" w:sz="0" w:space="0" w:color="auto"/>
          </w:divBdr>
          <w:divsChild>
            <w:div w:id="1878810898">
              <w:marLeft w:val="0"/>
              <w:marRight w:val="0"/>
              <w:marTop w:val="0"/>
              <w:marBottom w:val="0"/>
              <w:divBdr>
                <w:top w:val="none" w:sz="0" w:space="0" w:color="auto"/>
                <w:left w:val="none" w:sz="0" w:space="0" w:color="auto"/>
                <w:bottom w:val="none" w:sz="0" w:space="0" w:color="auto"/>
                <w:right w:val="none" w:sz="0" w:space="0" w:color="auto"/>
              </w:divBdr>
            </w:div>
            <w:div w:id="45490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851323">
      <w:bodyDiv w:val="1"/>
      <w:marLeft w:val="0"/>
      <w:marRight w:val="0"/>
      <w:marTop w:val="0"/>
      <w:marBottom w:val="0"/>
      <w:divBdr>
        <w:top w:val="none" w:sz="0" w:space="0" w:color="auto"/>
        <w:left w:val="none" w:sz="0" w:space="0" w:color="auto"/>
        <w:bottom w:val="none" w:sz="0" w:space="0" w:color="auto"/>
        <w:right w:val="none" w:sz="0" w:space="0" w:color="auto"/>
      </w:divBdr>
      <w:divsChild>
        <w:div w:id="285089422">
          <w:marLeft w:val="0"/>
          <w:marRight w:val="0"/>
          <w:marTop w:val="0"/>
          <w:marBottom w:val="0"/>
          <w:divBdr>
            <w:top w:val="none" w:sz="0" w:space="0" w:color="auto"/>
            <w:left w:val="none" w:sz="0" w:space="0" w:color="auto"/>
            <w:bottom w:val="none" w:sz="0" w:space="0" w:color="auto"/>
            <w:right w:val="none" w:sz="0" w:space="0" w:color="auto"/>
          </w:divBdr>
          <w:divsChild>
            <w:div w:id="1460757868">
              <w:marLeft w:val="0"/>
              <w:marRight w:val="0"/>
              <w:marTop w:val="0"/>
              <w:marBottom w:val="0"/>
              <w:divBdr>
                <w:top w:val="none" w:sz="0" w:space="0" w:color="auto"/>
                <w:left w:val="none" w:sz="0" w:space="0" w:color="auto"/>
                <w:bottom w:val="none" w:sz="0" w:space="0" w:color="auto"/>
                <w:right w:val="none" w:sz="0" w:space="0" w:color="auto"/>
              </w:divBdr>
              <w:divsChild>
                <w:div w:id="1376390991">
                  <w:marLeft w:val="0"/>
                  <w:marRight w:val="0"/>
                  <w:marTop w:val="0"/>
                  <w:marBottom w:val="0"/>
                  <w:divBdr>
                    <w:top w:val="none" w:sz="0" w:space="0" w:color="auto"/>
                    <w:left w:val="none" w:sz="0" w:space="0" w:color="auto"/>
                    <w:bottom w:val="none" w:sz="0" w:space="0" w:color="auto"/>
                    <w:right w:val="none" w:sz="0" w:space="0" w:color="auto"/>
                  </w:divBdr>
                  <w:divsChild>
                    <w:div w:id="571086782">
                      <w:marLeft w:val="0"/>
                      <w:marRight w:val="0"/>
                      <w:marTop w:val="45"/>
                      <w:marBottom w:val="0"/>
                      <w:divBdr>
                        <w:top w:val="none" w:sz="0" w:space="0" w:color="auto"/>
                        <w:left w:val="none" w:sz="0" w:space="0" w:color="auto"/>
                        <w:bottom w:val="none" w:sz="0" w:space="0" w:color="auto"/>
                        <w:right w:val="none" w:sz="0" w:space="0" w:color="auto"/>
                      </w:divBdr>
                      <w:divsChild>
                        <w:div w:id="1779371260">
                          <w:marLeft w:val="0"/>
                          <w:marRight w:val="0"/>
                          <w:marTop w:val="0"/>
                          <w:marBottom w:val="0"/>
                          <w:divBdr>
                            <w:top w:val="none" w:sz="0" w:space="0" w:color="auto"/>
                            <w:left w:val="none" w:sz="0" w:space="0" w:color="auto"/>
                            <w:bottom w:val="none" w:sz="0" w:space="0" w:color="auto"/>
                            <w:right w:val="none" w:sz="0" w:space="0" w:color="auto"/>
                          </w:divBdr>
                          <w:divsChild>
                            <w:div w:id="1026368677">
                              <w:marLeft w:val="2070"/>
                              <w:marRight w:val="3810"/>
                              <w:marTop w:val="0"/>
                              <w:marBottom w:val="0"/>
                              <w:divBdr>
                                <w:top w:val="none" w:sz="0" w:space="0" w:color="auto"/>
                                <w:left w:val="none" w:sz="0" w:space="0" w:color="auto"/>
                                <w:bottom w:val="none" w:sz="0" w:space="0" w:color="auto"/>
                                <w:right w:val="none" w:sz="0" w:space="0" w:color="auto"/>
                              </w:divBdr>
                              <w:divsChild>
                                <w:div w:id="385644651">
                                  <w:marLeft w:val="0"/>
                                  <w:marRight w:val="0"/>
                                  <w:marTop w:val="0"/>
                                  <w:marBottom w:val="0"/>
                                  <w:divBdr>
                                    <w:top w:val="none" w:sz="0" w:space="0" w:color="auto"/>
                                    <w:left w:val="none" w:sz="0" w:space="0" w:color="auto"/>
                                    <w:bottom w:val="none" w:sz="0" w:space="0" w:color="auto"/>
                                    <w:right w:val="none" w:sz="0" w:space="0" w:color="auto"/>
                                  </w:divBdr>
                                  <w:divsChild>
                                    <w:div w:id="716391880">
                                      <w:marLeft w:val="0"/>
                                      <w:marRight w:val="0"/>
                                      <w:marTop w:val="0"/>
                                      <w:marBottom w:val="0"/>
                                      <w:divBdr>
                                        <w:top w:val="none" w:sz="0" w:space="0" w:color="auto"/>
                                        <w:left w:val="none" w:sz="0" w:space="0" w:color="auto"/>
                                        <w:bottom w:val="none" w:sz="0" w:space="0" w:color="auto"/>
                                        <w:right w:val="none" w:sz="0" w:space="0" w:color="auto"/>
                                      </w:divBdr>
                                      <w:divsChild>
                                        <w:div w:id="1911772430">
                                          <w:marLeft w:val="0"/>
                                          <w:marRight w:val="0"/>
                                          <w:marTop w:val="0"/>
                                          <w:marBottom w:val="0"/>
                                          <w:divBdr>
                                            <w:top w:val="none" w:sz="0" w:space="0" w:color="auto"/>
                                            <w:left w:val="none" w:sz="0" w:space="0" w:color="auto"/>
                                            <w:bottom w:val="none" w:sz="0" w:space="0" w:color="auto"/>
                                            <w:right w:val="none" w:sz="0" w:space="0" w:color="auto"/>
                                          </w:divBdr>
                                          <w:divsChild>
                                            <w:div w:id="1858537152">
                                              <w:marLeft w:val="0"/>
                                              <w:marRight w:val="0"/>
                                              <w:marTop w:val="0"/>
                                              <w:marBottom w:val="0"/>
                                              <w:divBdr>
                                                <w:top w:val="none" w:sz="0" w:space="0" w:color="auto"/>
                                                <w:left w:val="none" w:sz="0" w:space="0" w:color="auto"/>
                                                <w:bottom w:val="none" w:sz="0" w:space="0" w:color="auto"/>
                                                <w:right w:val="none" w:sz="0" w:space="0" w:color="auto"/>
                                              </w:divBdr>
                                              <w:divsChild>
                                                <w:div w:id="715398496">
                                                  <w:marLeft w:val="0"/>
                                                  <w:marRight w:val="0"/>
                                                  <w:marTop w:val="0"/>
                                                  <w:marBottom w:val="0"/>
                                                  <w:divBdr>
                                                    <w:top w:val="none" w:sz="0" w:space="0" w:color="auto"/>
                                                    <w:left w:val="none" w:sz="0" w:space="0" w:color="auto"/>
                                                    <w:bottom w:val="none" w:sz="0" w:space="0" w:color="auto"/>
                                                    <w:right w:val="none" w:sz="0" w:space="0" w:color="auto"/>
                                                  </w:divBdr>
                                                  <w:divsChild>
                                                    <w:div w:id="311984078">
                                                      <w:marLeft w:val="0"/>
                                                      <w:marRight w:val="0"/>
                                                      <w:marTop w:val="0"/>
                                                      <w:marBottom w:val="0"/>
                                                      <w:divBdr>
                                                        <w:top w:val="none" w:sz="0" w:space="0" w:color="auto"/>
                                                        <w:left w:val="none" w:sz="0" w:space="0" w:color="auto"/>
                                                        <w:bottom w:val="none" w:sz="0" w:space="0" w:color="auto"/>
                                                        <w:right w:val="none" w:sz="0" w:space="0" w:color="auto"/>
                                                      </w:divBdr>
                                                      <w:divsChild>
                                                        <w:div w:id="1587228058">
                                                          <w:marLeft w:val="0"/>
                                                          <w:marRight w:val="0"/>
                                                          <w:marTop w:val="0"/>
                                                          <w:marBottom w:val="0"/>
                                                          <w:divBdr>
                                                            <w:top w:val="none" w:sz="0" w:space="0" w:color="auto"/>
                                                            <w:left w:val="none" w:sz="0" w:space="0" w:color="auto"/>
                                                            <w:bottom w:val="none" w:sz="0" w:space="0" w:color="auto"/>
                                                            <w:right w:val="none" w:sz="0" w:space="0" w:color="auto"/>
                                                          </w:divBdr>
                                                          <w:divsChild>
                                                            <w:div w:id="2081752654">
                                                              <w:marLeft w:val="0"/>
                                                              <w:marRight w:val="0"/>
                                                              <w:marTop w:val="0"/>
                                                              <w:marBottom w:val="0"/>
                                                              <w:divBdr>
                                                                <w:top w:val="none" w:sz="0" w:space="0" w:color="auto"/>
                                                                <w:left w:val="none" w:sz="0" w:space="0" w:color="auto"/>
                                                                <w:bottom w:val="none" w:sz="0" w:space="0" w:color="auto"/>
                                                                <w:right w:val="none" w:sz="0" w:space="0" w:color="auto"/>
                                                              </w:divBdr>
                                                              <w:divsChild>
                                                                <w:div w:id="98389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04693525">
      <w:bodyDiv w:val="1"/>
      <w:marLeft w:val="0"/>
      <w:marRight w:val="0"/>
      <w:marTop w:val="0"/>
      <w:marBottom w:val="0"/>
      <w:divBdr>
        <w:top w:val="none" w:sz="0" w:space="0" w:color="auto"/>
        <w:left w:val="none" w:sz="0" w:space="0" w:color="auto"/>
        <w:bottom w:val="none" w:sz="0" w:space="0" w:color="auto"/>
        <w:right w:val="none" w:sz="0" w:space="0" w:color="auto"/>
      </w:divBdr>
      <w:divsChild>
        <w:div w:id="978652039">
          <w:marLeft w:val="0"/>
          <w:marRight w:val="0"/>
          <w:marTop w:val="0"/>
          <w:marBottom w:val="0"/>
          <w:divBdr>
            <w:top w:val="none" w:sz="0" w:space="0" w:color="auto"/>
            <w:left w:val="none" w:sz="0" w:space="0" w:color="auto"/>
            <w:bottom w:val="none" w:sz="0" w:space="0" w:color="auto"/>
            <w:right w:val="none" w:sz="0" w:space="0" w:color="auto"/>
          </w:divBdr>
          <w:divsChild>
            <w:div w:id="1974869209">
              <w:marLeft w:val="0"/>
              <w:marRight w:val="0"/>
              <w:marTop w:val="0"/>
              <w:marBottom w:val="0"/>
              <w:divBdr>
                <w:top w:val="none" w:sz="0" w:space="0" w:color="auto"/>
                <w:left w:val="none" w:sz="0" w:space="0" w:color="auto"/>
                <w:bottom w:val="none" w:sz="0" w:space="0" w:color="auto"/>
                <w:right w:val="none" w:sz="0" w:space="0" w:color="auto"/>
              </w:divBdr>
              <w:divsChild>
                <w:div w:id="1873956505">
                  <w:marLeft w:val="0"/>
                  <w:marRight w:val="0"/>
                  <w:marTop w:val="0"/>
                  <w:marBottom w:val="0"/>
                  <w:divBdr>
                    <w:top w:val="none" w:sz="0" w:space="0" w:color="auto"/>
                    <w:left w:val="none" w:sz="0" w:space="0" w:color="auto"/>
                    <w:bottom w:val="none" w:sz="0" w:space="0" w:color="auto"/>
                    <w:right w:val="none" w:sz="0" w:space="0" w:color="auto"/>
                  </w:divBdr>
                  <w:divsChild>
                    <w:div w:id="543712689">
                      <w:marLeft w:val="0"/>
                      <w:marRight w:val="0"/>
                      <w:marTop w:val="0"/>
                      <w:marBottom w:val="0"/>
                      <w:divBdr>
                        <w:top w:val="none" w:sz="0" w:space="0" w:color="auto"/>
                        <w:left w:val="none" w:sz="0" w:space="0" w:color="auto"/>
                        <w:bottom w:val="none" w:sz="0" w:space="0" w:color="auto"/>
                        <w:right w:val="none" w:sz="0" w:space="0" w:color="auto"/>
                      </w:divBdr>
                      <w:divsChild>
                        <w:div w:id="708727955">
                          <w:marLeft w:val="-225"/>
                          <w:marRight w:val="-225"/>
                          <w:marTop w:val="0"/>
                          <w:marBottom w:val="0"/>
                          <w:divBdr>
                            <w:top w:val="none" w:sz="0" w:space="0" w:color="auto"/>
                            <w:left w:val="none" w:sz="0" w:space="0" w:color="auto"/>
                            <w:bottom w:val="none" w:sz="0" w:space="0" w:color="auto"/>
                            <w:right w:val="none" w:sz="0" w:space="0" w:color="auto"/>
                          </w:divBdr>
                          <w:divsChild>
                            <w:div w:id="1193155644">
                              <w:marLeft w:val="0"/>
                              <w:marRight w:val="0"/>
                              <w:marTop w:val="300"/>
                              <w:marBottom w:val="300"/>
                              <w:divBdr>
                                <w:top w:val="none" w:sz="0" w:space="0" w:color="auto"/>
                                <w:left w:val="none" w:sz="0" w:space="0" w:color="auto"/>
                                <w:bottom w:val="none" w:sz="0" w:space="0" w:color="auto"/>
                                <w:right w:val="none" w:sz="0" w:space="0" w:color="auto"/>
                              </w:divBdr>
                              <w:divsChild>
                                <w:div w:id="900017107">
                                  <w:marLeft w:val="0"/>
                                  <w:marRight w:val="0"/>
                                  <w:marTop w:val="0"/>
                                  <w:marBottom w:val="0"/>
                                  <w:divBdr>
                                    <w:top w:val="none" w:sz="0" w:space="0" w:color="auto"/>
                                    <w:left w:val="none" w:sz="0" w:space="0" w:color="auto"/>
                                    <w:bottom w:val="none" w:sz="0" w:space="0" w:color="auto"/>
                                    <w:right w:val="none" w:sz="0" w:space="0" w:color="auto"/>
                                  </w:divBdr>
                                  <w:divsChild>
                                    <w:div w:id="1437754393">
                                      <w:marLeft w:val="0"/>
                                      <w:marRight w:val="0"/>
                                      <w:marTop w:val="0"/>
                                      <w:marBottom w:val="0"/>
                                      <w:divBdr>
                                        <w:top w:val="none" w:sz="0" w:space="0" w:color="auto"/>
                                        <w:left w:val="none" w:sz="0" w:space="0" w:color="auto"/>
                                        <w:bottom w:val="none" w:sz="0" w:space="0" w:color="auto"/>
                                        <w:right w:val="none" w:sz="0" w:space="0" w:color="auto"/>
                                      </w:divBdr>
                                      <w:divsChild>
                                        <w:div w:id="34637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252620">
      <w:bodyDiv w:val="1"/>
      <w:marLeft w:val="0"/>
      <w:marRight w:val="0"/>
      <w:marTop w:val="0"/>
      <w:marBottom w:val="0"/>
      <w:divBdr>
        <w:top w:val="none" w:sz="0" w:space="0" w:color="auto"/>
        <w:left w:val="none" w:sz="0" w:space="0" w:color="auto"/>
        <w:bottom w:val="none" w:sz="0" w:space="0" w:color="auto"/>
        <w:right w:val="none" w:sz="0" w:space="0" w:color="auto"/>
      </w:divBdr>
      <w:divsChild>
        <w:div w:id="1269049652">
          <w:marLeft w:val="0"/>
          <w:marRight w:val="0"/>
          <w:marTop w:val="0"/>
          <w:marBottom w:val="0"/>
          <w:divBdr>
            <w:top w:val="none" w:sz="0" w:space="0" w:color="auto"/>
            <w:left w:val="none" w:sz="0" w:space="0" w:color="auto"/>
            <w:bottom w:val="none" w:sz="0" w:space="0" w:color="auto"/>
            <w:right w:val="none" w:sz="0" w:space="0" w:color="auto"/>
          </w:divBdr>
          <w:divsChild>
            <w:div w:id="1192913519">
              <w:marLeft w:val="0"/>
              <w:marRight w:val="0"/>
              <w:marTop w:val="0"/>
              <w:marBottom w:val="0"/>
              <w:divBdr>
                <w:top w:val="none" w:sz="0" w:space="0" w:color="auto"/>
                <w:left w:val="none" w:sz="0" w:space="0" w:color="auto"/>
                <w:bottom w:val="none" w:sz="0" w:space="0" w:color="auto"/>
                <w:right w:val="none" w:sz="0" w:space="0" w:color="auto"/>
              </w:divBdr>
              <w:divsChild>
                <w:div w:id="195968543">
                  <w:marLeft w:val="0"/>
                  <w:marRight w:val="0"/>
                  <w:marTop w:val="0"/>
                  <w:marBottom w:val="0"/>
                  <w:divBdr>
                    <w:top w:val="none" w:sz="0" w:space="0" w:color="auto"/>
                    <w:left w:val="none" w:sz="0" w:space="0" w:color="auto"/>
                    <w:bottom w:val="none" w:sz="0" w:space="0" w:color="auto"/>
                    <w:right w:val="none" w:sz="0" w:space="0" w:color="auto"/>
                  </w:divBdr>
                  <w:divsChild>
                    <w:div w:id="1807354204">
                      <w:marLeft w:val="0"/>
                      <w:marRight w:val="0"/>
                      <w:marTop w:val="0"/>
                      <w:marBottom w:val="0"/>
                      <w:divBdr>
                        <w:top w:val="none" w:sz="0" w:space="0" w:color="auto"/>
                        <w:left w:val="none" w:sz="0" w:space="0" w:color="auto"/>
                        <w:bottom w:val="none" w:sz="0" w:space="0" w:color="auto"/>
                        <w:right w:val="none" w:sz="0" w:space="0" w:color="auto"/>
                      </w:divBdr>
                      <w:divsChild>
                        <w:div w:id="1941833868">
                          <w:marLeft w:val="0"/>
                          <w:marRight w:val="0"/>
                          <w:marTop w:val="0"/>
                          <w:marBottom w:val="0"/>
                          <w:divBdr>
                            <w:top w:val="single" w:sz="6" w:space="0" w:color="828282"/>
                            <w:left w:val="single" w:sz="6" w:space="0" w:color="828282"/>
                            <w:bottom w:val="single" w:sz="6" w:space="0" w:color="828282"/>
                            <w:right w:val="single" w:sz="6" w:space="0" w:color="828282"/>
                          </w:divBdr>
                          <w:divsChild>
                            <w:div w:id="496848000">
                              <w:marLeft w:val="0"/>
                              <w:marRight w:val="0"/>
                              <w:marTop w:val="0"/>
                              <w:marBottom w:val="0"/>
                              <w:divBdr>
                                <w:top w:val="none" w:sz="0" w:space="0" w:color="auto"/>
                                <w:left w:val="none" w:sz="0" w:space="0" w:color="auto"/>
                                <w:bottom w:val="none" w:sz="0" w:space="0" w:color="auto"/>
                                <w:right w:val="none" w:sz="0" w:space="0" w:color="auto"/>
                              </w:divBdr>
                              <w:divsChild>
                                <w:div w:id="719865448">
                                  <w:marLeft w:val="0"/>
                                  <w:marRight w:val="0"/>
                                  <w:marTop w:val="0"/>
                                  <w:marBottom w:val="0"/>
                                  <w:divBdr>
                                    <w:top w:val="none" w:sz="0" w:space="0" w:color="auto"/>
                                    <w:left w:val="none" w:sz="0" w:space="0" w:color="auto"/>
                                    <w:bottom w:val="none" w:sz="0" w:space="0" w:color="auto"/>
                                    <w:right w:val="none" w:sz="0" w:space="0" w:color="auto"/>
                                  </w:divBdr>
                                  <w:divsChild>
                                    <w:div w:id="1470901649">
                                      <w:marLeft w:val="0"/>
                                      <w:marRight w:val="0"/>
                                      <w:marTop w:val="0"/>
                                      <w:marBottom w:val="0"/>
                                      <w:divBdr>
                                        <w:top w:val="none" w:sz="0" w:space="0" w:color="auto"/>
                                        <w:left w:val="none" w:sz="0" w:space="0" w:color="auto"/>
                                        <w:bottom w:val="none" w:sz="0" w:space="0" w:color="auto"/>
                                        <w:right w:val="none" w:sz="0" w:space="0" w:color="auto"/>
                                      </w:divBdr>
                                      <w:divsChild>
                                        <w:div w:id="1329018875">
                                          <w:marLeft w:val="0"/>
                                          <w:marRight w:val="0"/>
                                          <w:marTop w:val="0"/>
                                          <w:marBottom w:val="0"/>
                                          <w:divBdr>
                                            <w:top w:val="none" w:sz="0" w:space="0" w:color="auto"/>
                                            <w:left w:val="none" w:sz="0" w:space="0" w:color="auto"/>
                                            <w:bottom w:val="none" w:sz="0" w:space="0" w:color="auto"/>
                                            <w:right w:val="none" w:sz="0" w:space="0" w:color="auto"/>
                                          </w:divBdr>
                                          <w:divsChild>
                                            <w:div w:id="716900074">
                                              <w:marLeft w:val="0"/>
                                              <w:marRight w:val="0"/>
                                              <w:marTop w:val="0"/>
                                              <w:marBottom w:val="0"/>
                                              <w:divBdr>
                                                <w:top w:val="none" w:sz="0" w:space="0" w:color="auto"/>
                                                <w:left w:val="none" w:sz="0" w:space="0" w:color="auto"/>
                                                <w:bottom w:val="none" w:sz="0" w:space="0" w:color="auto"/>
                                                <w:right w:val="none" w:sz="0" w:space="0" w:color="auto"/>
                                              </w:divBdr>
                                              <w:divsChild>
                                                <w:div w:id="907350829">
                                                  <w:marLeft w:val="0"/>
                                                  <w:marRight w:val="0"/>
                                                  <w:marTop w:val="0"/>
                                                  <w:marBottom w:val="0"/>
                                                  <w:divBdr>
                                                    <w:top w:val="none" w:sz="0" w:space="0" w:color="auto"/>
                                                    <w:left w:val="none" w:sz="0" w:space="0" w:color="auto"/>
                                                    <w:bottom w:val="none" w:sz="0" w:space="0" w:color="auto"/>
                                                    <w:right w:val="none" w:sz="0" w:space="0" w:color="auto"/>
                                                  </w:divBdr>
                                                  <w:divsChild>
                                                    <w:div w:id="173863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3086022">
      <w:bodyDiv w:val="1"/>
      <w:marLeft w:val="0"/>
      <w:marRight w:val="0"/>
      <w:marTop w:val="0"/>
      <w:marBottom w:val="0"/>
      <w:divBdr>
        <w:top w:val="none" w:sz="0" w:space="0" w:color="auto"/>
        <w:left w:val="none" w:sz="0" w:space="0" w:color="auto"/>
        <w:bottom w:val="none" w:sz="0" w:space="0" w:color="auto"/>
        <w:right w:val="none" w:sz="0" w:space="0" w:color="auto"/>
      </w:divBdr>
      <w:divsChild>
        <w:div w:id="1145196795">
          <w:marLeft w:val="0"/>
          <w:marRight w:val="0"/>
          <w:marTop w:val="0"/>
          <w:marBottom w:val="0"/>
          <w:divBdr>
            <w:top w:val="none" w:sz="0" w:space="0" w:color="auto"/>
            <w:left w:val="none" w:sz="0" w:space="0" w:color="auto"/>
            <w:bottom w:val="none" w:sz="0" w:space="0" w:color="auto"/>
            <w:right w:val="none" w:sz="0" w:space="0" w:color="auto"/>
          </w:divBdr>
          <w:divsChild>
            <w:div w:id="601768563">
              <w:marLeft w:val="0"/>
              <w:marRight w:val="0"/>
              <w:marTop w:val="0"/>
              <w:marBottom w:val="0"/>
              <w:divBdr>
                <w:top w:val="none" w:sz="0" w:space="0" w:color="auto"/>
                <w:left w:val="none" w:sz="0" w:space="0" w:color="auto"/>
                <w:bottom w:val="none" w:sz="0" w:space="0" w:color="auto"/>
                <w:right w:val="none" w:sz="0" w:space="0" w:color="auto"/>
              </w:divBdr>
              <w:divsChild>
                <w:div w:id="496657412">
                  <w:marLeft w:val="0"/>
                  <w:marRight w:val="0"/>
                  <w:marTop w:val="0"/>
                  <w:marBottom w:val="0"/>
                  <w:divBdr>
                    <w:top w:val="none" w:sz="0" w:space="0" w:color="auto"/>
                    <w:left w:val="none" w:sz="0" w:space="0" w:color="auto"/>
                    <w:bottom w:val="none" w:sz="0" w:space="0" w:color="auto"/>
                    <w:right w:val="none" w:sz="0" w:space="0" w:color="auto"/>
                  </w:divBdr>
                  <w:divsChild>
                    <w:div w:id="177432681">
                      <w:marLeft w:val="0"/>
                      <w:marRight w:val="0"/>
                      <w:marTop w:val="0"/>
                      <w:marBottom w:val="0"/>
                      <w:divBdr>
                        <w:top w:val="none" w:sz="0" w:space="0" w:color="auto"/>
                        <w:left w:val="none" w:sz="0" w:space="0" w:color="auto"/>
                        <w:bottom w:val="none" w:sz="0" w:space="0" w:color="auto"/>
                        <w:right w:val="none" w:sz="0" w:space="0" w:color="auto"/>
                      </w:divBdr>
                      <w:divsChild>
                        <w:div w:id="402720285">
                          <w:marLeft w:val="0"/>
                          <w:marRight w:val="0"/>
                          <w:marTop w:val="0"/>
                          <w:marBottom w:val="0"/>
                          <w:divBdr>
                            <w:top w:val="none" w:sz="0" w:space="0" w:color="auto"/>
                            <w:left w:val="none" w:sz="0" w:space="0" w:color="auto"/>
                            <w:bottom w:val="none" w:sz="0" w:space="0" w:color="auto"/>
                            <w:right w:val="none" w:sz="0" w:space="0" w:color="auto"/>
                          </w:divBdr>
                          <w:divsChild>
                            <w:div w:id="4332993">
                              <w:marLeft w:val="0"/>
                              <w:marRight w:val="0"/>
                              <w:marTop w:val="0"/>
                              <w:marBottom w:val="0"/>
                              <w:divBdr>
                                <w:top w:val="none" w:sz="0" w:space="0" w:color="auto"/>
                                <w:left w:val="none" w:sz="0" w:space="0" w:color="auto"/>
                                <w:bottom w:val="none" w:sz="0" w:space="0" w:color="auto"/>
                                <w:right w:val="none" w:sz="0" w:space="0" w:color="auto"/>
                              </w:divBdr>
                              <w:divsChild>
                                <w:div w:id="19341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1796962">
      <w:bodyDiv w:val="1"/>
      <w:marLeft w:val="0"/>
      <w:marRight w:val="0"/>
      <w:marTop w:val="0"/>
      <w:marBottom w:val="0"/>
      <w:divBdr>
        <w:top w:val="none" w:sz="0" w:space="0" w:color="auto"/>
        <w:left w:val="none" w:sz="0" w:space="0" w:color="auto"/>
        <w:bottom w:val="none" w:sz="0" w:space="0" w:color="auto"/>
        <w:right w:val="none" w:sz="0" w:space="0" w:color="auto"/>
      </w:divBdr>
      <w:divsChild>
        <w:div w:id="751507880">
          <w:marLeft w:val="547"/>
          <w:marRight w:val="0"/>
          <w:marTop w:val="154"/>
          <w:marBottom w:val="0"/>
          <w:divBdr>
            <w:top w:val="none" w:sz="0" w:space="0" w:color="auto"/>
            <w:left w:val="none" w:sz="0" w:space="0" w:color="auto"/>
            <w:bottom w:val="none" w:sz="0" w:space="0" w:color="auto"/>
            <w:right w:val="none" w:sz="0" w:space="0" w:color="auto"/>
          </w:divBdr>
        </w:div>
        <w:div w:id="1397899006">
          <w:marLeft w:val="547"/>
          <w:marRight w:val="0"/>
          <w:marTop w:val="154"/>
          <w:marBottom w:val="0"/>
          <w:divBdr>
            <w:top w:val="none" w:sz="0" w:space="0" w:color="auto"/>
            <w:left w:val="none" w:sz="0" w:space="0" w:color="auto"/>
            <w:bottom w:val="none" w:sz="0" w:space="0" w:color="auto"/>
            <w:right w:val="none" w:sz="0" w:space="0" w:color="auto"/>
          </w:divBdr>
        </w:div>
        <w:div w:id="647323556">
          <w:marLeft w:val="547"/>
          <w:marRight w:val="0"/>
          <w:marTop w:val="154"/>
          <w:marBottom w:val="0"/>
          <w:divBdr>
            <w:top w:val="none" w:sz="0" w:space="0" w:color="auto"/>
            <w:left w:val="none" w:sz="0" w:space="0" w:color="auto"/>
            <w:bottom w:val="none" w:sz="0" w:space="0" w:color="auto"/>
            <w:right w:val="none" w:sz="0" w:space="0" w:color="auto"/>
          </w:divBdr>
        </w:div>
      </w:divsChild>
    </w:div>
    <w:div w:id="1251935120">
      <w:bodyDiv w:val="1"/>
      <w:marLeft w:val="0"/>
      <w:marRight w:val="0"/>
      <w:marTop w:val="0"/>
      <w:marBottom w:val="0"/>
      <w:divBdr>
        <w:top w:val="none" w:sz="0" w:space="0" w:color="auto"/>
        <w:left w:val="none" w:sz="0" w:space="0" w:color="auto"/>
        <w:bottom w:val="none" w:sz="0" w:space="0" w:color="auto"/>
        <w:right w:val="none" w:sz="0" w:space="0" w:color="auto"/>
      </w:divBdr>
    </w:div>
    <w:div w:id="1401564187">
      <w:bodyDiv w:val="1"/>
      <w:marLeft w:val="0"/>
      <w:marRight w:val="0"/>
      <w:marTop w:val="0"/>
      <w:marBottom w:val="0"/>
      <w:divBdr>
        <w:top w:val="none" w:sz="0" w:space="0" w:color="auto"/>
        <w:left w:val="none" w:sz="0" w:space="0" w:color="auto"/>
        <w:bottom w:val="none" w:sz="0" w:space="0" w:color="auto"/>
        <w:right w:val="none" w:sz="0" w:space="0" w:color="auto"/>
      </w:divBdr>
      <w:divsChild>
        <w:div w:id="176386131">
          <w:marLeft w:val="0"/>
          <w:marRight w:val="0"/>
          <w:marTop w:val="0"/>
          <w:marBottom w:val="0"/>
          <w:divBdr>
            <w:top w:val="none" w:sz="0" w:space="0" w:color="auto"/>
            <w:left w:val="none" w:sz="0" w:space="0" w:color="auto"/>
            <w:bottom w:val="none" w:sz="0" w:space="0" w:color="auto"/>
            <w:right w:val="none" w:sz="0" w:space="0" w:color="auto"/>
          </w:divBdr>
          <w:divsChild>
            <w:div w:id="1085155117">
              <w:marLeft w:val="0"/>
              <w:marRight w:val="0"/>
              <w:marTop w:val="0"/>
              <w:marBottom w:val="0"/>
              <w:divBdr>
                <w:top w:val="none" w:sz="0" w:space="0" w:color="auto"/>
                <w:left w:val="none" w:sz="0" w:space="0" w:color="auto"/>
                <w:bottom w:val="none" w:sz="0" w:space="0" w:color="auto"/>
                <w:right w:val="none" w:sz="0" w:space="0" w:color="auto"/>
              </w:divBdr>
              <w:divsChild>
                <w:div w:id="1911231478">
                  <w:marLeft w:val="0"/>
                  <w:marRight w:val="0"/>
                  <w:marTop w:val="0"/>
                  <w:marBottom w:val="0"/>
                  <w:divBdr>
                    <w:top w:val="none" w:sz="0" w:space="0" w:color="auto"/>
                    <w:left w:val="none" w:sz="0" w:space="0" w:color="auto"/>
                    <w:bottom w:val="none" w:sz="0" w:space="0" w:color="auto"/>
                    <w:right w:val="none" w:sz="0" w:space="0" w:color="auto"/>
                  </w:divBdr>
                  <w:divsChild>
                    <w:div w:id="2092778524">
                      <w:marLeft w:val="0"/>
                      <w:marRight w:val="0"/>
                      <w:marTop w:val="0"/>
                      <w:marBottom w:val="360"/>
                      <w:divBdr>
                        <w:top w:val="none" w:sz="0" w:space="0" w:color="auto"/>
                        <w:left w:val="none" w:sz="0" w:space="0" w:color="auto"/>
                        <w:bottom w:val="none" w:sz="0" w:space="0" w:color="auto"/>
                        <w:right w:val="none" w:sz="0" w:space="0" w:color="auto"/>
                      </w:divBdr>
                      <w:divsChild>
                        <w:div w:id="1279602748">
                          <w:marLeft w:val="0"/>
                          <w:marRight w:val="0"/>
                          <w:marTop w:val="150"/>
                          <w:marBottom w:val="0"/>
                          <w:divBdr>
                            <w:top w:val="none" w:sz="0" w:space="0" w:color="auto"/>
                            <w:left w:val="none" w:sz="0" w:space="0" w:color="auto"/>
                            <w:bottom w:val="none" w:sz="0" w:space="0" w:color="auto"/>
                            <w:right w:val="none" w:sz="0" w:space="0" w:color="auto"/>
                          </w:divBdr>
                          <w:divsChild>
                            <w:div w:id="128222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818469">
      <w:bodyDiv w:val="1"/>
      <w:marLeft w:val="0"/>
      <w:marRight w:val="0"/>
      <w:marTop w:val="0"/>
      <w:marBottom w:val="0"/>
      <w:divBdr>
        <w:top w:val="none" w:sz="0" w:space="0" w:color="auto"/>
        <w:left w:val="none" w:sz="0" w:space="0" w:color="auto"/>
        <w:bottom w:val="none" w:sz="0" w:space="0" w:color="auto"/>
        <w:right w:val="none" w:sz="0" w:space="0" w:color="auto"/>
      </w:divBdr>
    </w:div>
    <w:div w:id="1553148537">
      <w:bodyDiv w:val="1"/>
      <w:marLeft w:val="0"/>
      <w:marRight w:val="0"/>
      <w:marTop w:val="0"/>
      <w:marBottom w:val="0"/>
      <w:divBdr>
        <w:top w:val="none" w:sz="0" w:space="0" w:color="auto"/>
        <w:left w:val="none" w:sz="0" w:space="0" w:color="auto"/>
        <w:bottom w:val="none" w:sz="0" w:space="0" w:color="auto"/>
        <w:right w:val="none" w:sz="0" w:space="0" w:color="auto"/>
      </w:divBdr>
      <w:divsChild>
        <w:div w:id="1882742856">
          <w:marLeft w:val="0"/>
          <w:marRight w:val="0"/>
          <w:marTop w:val="0"/>
          <w:marBottom w:val="0"/>
          <w:divBdr>
            <w:top w:val="none" w:sz="0" w:space="0" w:color="auto"/>
            <w:left w:val="none" w:sz="0" w:space="0" w:color="auto"/>
            <w:bottom w:val="none" w:sz="0" w:space="0" w:color="auto"/>
            <w:right w:val="none" w:sz="0" w:space="0" w:color="auto"/>
          </w:divBdr>
          <w:divsChild>
            <w:div w:id="1955165001">
              <w:marLeft w:val="0"/>
              <w:marRight w:val="0"/>
              <w:marTop w:val="0"/>
              <w:marBottom w:val="0"/>
              <w:divBdr>
                <w:top w:val="none" w:sz="0" w:space="0" w:color="auto"/>
                <w:left w:val="none" w:sz="0" w:space="0" w:color="auto"/>
                <w:bottom w:val="none" w:sz="0" w:space="0" w:color="auto"/>
                <w:right w:val="none" w:sz="0" w:space="0" w:color="auto"/>
              </w:divBdr>
              <w:divsChild>
                <w:div w:id="1427337187">
                  <w:marLeft w:val="0"/>
                  <w:marRight w:val="0"/>
                  <w:marTop w:val="0"/>
                  <w:marBottom w:val="0"/>
                  <w:divBdr>
                    <w:top w:val="none" w:sz="0" w:space="0" w:color="auto"/>
                    <w:left w:val="none" w:sz="0" w:space="0" w:color="auto"/>
                    <w:bottom w:val="none" w:sz="0" w:space="0" w:color="auto"/>
                    <w:right w:val="none" w:sz="0" w:space="0" w:color="auto"/>
                  </w:divBdr>
                  <w:divsChild>
                    <w:div w:id="1846631579">
                      <w:marLeft w:val="300"/>
                      <w:marRight w:val="150"/>
                      <w:marTop w:val="0"/>
                      <w:marBottom w:val="0"/>
                      <w:divBdr>
                        <w:top w:val="none" w:sz="0" w:space="0" w:color="auto"/>
                        <w:left w:val="none" w:sz="0" w:space="0" w:color="auto"/>
                        <w:bottom w:val="none" w:sz="0" w:space="0" w:color="auto"/>
                        <w:right w:val="none" w:sz="0" w:space="0" w:color="auto"/>
                      </w:divBdr>
                      <w:divsChild>
                        <w:div w:id="176410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674237">
      <w:bodyDiv w:val="1"/>
      <w:marLeft w:val="0"/>
      <w:marRight w:val="0"/>
      <w:marTop w:val="0"/>
      <w:marBottom w:val="0"/>
      <w:divBdr>
        <w:top w:val="none" w:sz="0" w:space="0" w:color="auto"/>
        <w:left w:val="none" w:sz="0" w:space="0" w:color="auto"/>
        <w:bottom w:val="none" w:sz="0" w:space="0" w:color="auto"/>
        <w:right w:val="none" w:sz="0" w:space="0" w:color="auto"/>
      </w:divBdr>
    </w:div>
    <w:div w:id="1592590877">
      <w:bodyDiv w:val="1"/>
      <w:marLeft w:val="0"/>
      <w:marRight w:val="0"/>
      <w:marTop w:val="0"/>
      <w:marBottom w:val="0"/>
      <w:divBdr>
        <w:top w:val="none" w:sz="0" w:space="0" w:color="auto"/>
        <w:left w:val="none" w:sz="0" w:space="0" w:color="auto"/>
        <w:bottom w:val="none" w:sz="0" w:space="0" w:color="auto"/>
        <w:right w:val="none" w:sz="0" w:space="0" w:color="auto"/>
      </w:divBdr>
    </w:div>
    <w:div w:id="1750233146">
      <w:bodyDiv w:val="1"/>
      <w:marLeft w:val="0"/>
      <w:marRight w:val="0"/>
      <w:marTop w:val="0"/>
      <w:marBottom w:val="0"/>
      <w:divBdr>
        <w:top w:val="none" w:sz="0" w:space="0" w:color="auto"/>
        <w:left w:val="none" w:sz="0" w:space="0" w:color="auto"/>
        <w:bottom w:val="none" w:sz="0" w:space="0" w:color="auto"/>
        <w:right w:val="none" w:sz="0" w:space="0" w:color="auto"/>
      </w:divBdr>
    </w:div>
    <w:div w:id="1818960206">
      <w:bodyDiv w:val="1"/>
      <w:marLeft w:val="0"/>
      <w:marRight w:val="0"/>
      <w:marTop w:val="0"/>
      <w:marBottom w:val="0"/>
      <w:divBdr>
        <w:top w:val="none" w:sz="0" w:space="0" w:color="auto"/>
        <w:left w:val="none" w:sz="0" w:space="0" w:color="auto"/>
        <w:bottom w:val="none" w:sz="0" w:space="0" w:color="auto"/>
        <w:right w:val="none" w:sz="0" w:space="0" w:color="auto"/>
      </w:divBdr>
      <w:divsChild>
        <w:div w:id="1097099154">
          <w:marLeft w:val="0"/>
          <w:marRight w:val="0"/>
          <w:marTop w:val="0"/>
          <w:marBottom w:val="0"/>
          <w:divBdr>
            <w:top w:val="none" w:sz="0" w:space="0" w:color="auto"/>
            <w:left w:val="none" w:sz="0" w:space="0" w:color="auto"/>
            <w:bottom w:val="none" w:sz="0" w:space="0" w:color="auto"/>
            <w:right w:val="none" w:sz="0" w:space="0" w:color="auto"/>
          </w:divBdr>
          <w:divsChild>
            <w:div w:id="1708723002">
              <w:marLeft w:val="0"/>
              <w:marRight w:val="0"/>
              <w:marTop w:val="0"/>
              <w:marBottom w:val="0"/>
              <w:divBdr>
                <w:top w:val="none" w:sz="0" w:space="0" w:color="auto"/>
                <w:left w:val="none" w:sz="0" w:space="0" w:color="auto"/>
                <w:bottom w:val="none" w:sz="0" w:space="0" w:color="auto"/>
                <w:right w:val="none" w:sz="0" w:space="0" w:color="auto"/>
              </w:divBdr>
              <w:divsChild>
                <w:div w:id="1681931694">
                  <w:marLeft w:val="0"/>
                  <w:marRight w:val="0"/>
                  <w:marTop w:val="0"/>
                  <w:marBottom w:val="0"/>
                  <w:divBdr>
                    <w:top w:val="none" w:sz="0" w:space="0" w:color="auto"/>
                    <w:left w:val="none" w:sz="0" w:space="0" w:color="auto"/>
                    <w:bottom w:val="none" w:sz="0" w:space="0" w:color="auto"/>
                    <w:right w:val="none" w:sz="0" w:space="0" w:color="auto"/>
                  </w:divBdr>
                  <w:divsChild>
                    <w:div w:id="1017774953">
                      <w:marLeft w:val="0"/>
                      <w:marRight w:val="0"/>
                      <w:marTop w:val="45"/>
                      <w:marBottom w:val="0"/>
                      <w:divBdr>
                        <w:top w:val="none" w:sz="0" w:space="0" w:color="auto"/>
                        <w:left w:val="none" w:sz="0" w:space="0" w:color="auto"/>
                        <w:bottom w:val="none" w:sz="0" w:space="0" w:color="auto"/>
                        <w:right w:val="none" w:sz="0" w:space="0" w:color="auto"/>
                      </w:divBdr>
                      <w:divsChild>
                        <w:div w:id="1372420783">
                          <w:marLeft w:val="0"/>
                          <w:marRight w:val="0"/>
                          <w:marTop w:val="0"/>
                          <w:marBottom w:val="0"/>
                          <w:divBdr>
                            <w:top w:val="none" w:sz="0" w:space="0" w:color="auto"/>
                            <w:left w:val="none" w:sz="0" w:space="0" w:color="auto"/>
                            <w:bottom w:val="none" w:sz="0" w:space="0" w:color="auto"/>
                            <w:right w:val="none" w:sz="0" w:space="0" w:color="auto"/>
                          </w:divBdr>
                          <w:divsChild>
                            <w:div w:id="1839347825">
                              <w:marLeft w:val="2070"/>
                              <w:marRight w:val="3810"/>
                              <w:marTop w:val="0"/>
                              <w:marBottom w:val="0"/>
                              <w:divBdr>
                                <w:top w:val="none" w:sz="0" w:space="0" w:color="auto"/>
                                <w:left w:val="none" w:sz="0" w:space="0" w:color="auto"/>
                                <w:bottom w:val="none" w:sz="0" w:space="0" w:color="auto"/>
                                <w:right w:val="none" w:sz="0" w:space="0" w:color="auto"/>
                              </w:divBdr>
                              <w:divsChild>
                                <w:div w:id="2087877877">
                                  <w:marLeft w:val="0"/>
                                  <w:marRight w:val="0"/>
                                  <w:marTop w:val="0"/>
                                  <w:marBottom w:val="0"/>
                                  <w:divBdr>
                                    <w:top w:val="none" w:sz="0" w:space="0" w:color="auto"/>
                                    <w:left w:val="none" w:sz="0" w:space="0" w:color="auto"/>
                                    <w:bottom w:val="none" w:sz="0" w:space="0" w:color="auto"/>
                                    <w:right w:val="none" w:sz="0" w:space="0" w:color="auto"/>
                                  </w:divBdr>
                                  <w:divsChild>
                                    <w:div w:id="2143422651">
                                      <w:marLeft w:val="0"/>
                                      <w:marRight w:val="0"/>
                                      <w:marTop w:val="0"/>
                                      <w:marBottom w:val="0"/>
                                      <w:divBdr>
                                        <w:top w:val="none" w:sz="0" w:space="0" w:color="auto"/>
                                        <w:left w:val="none" w:sz="0" w:space="0" w:color="auto"/>
                                        <w:bottom w:val="none" w:sz="0" w:space="0" w:color="auto"/>
                                        <w:right w:val="none" w:sz="0" w:space="0" w:color="auto"/>
                                      </w:divBdr>
                                      <w:divsChild>
                                        <w:div w:id="677578092">
                                          <w:marLeft w:val="0"/>
                                          <w:marRight w:val="0"/>
                                          <w:marTop w:val="0"/>
                                          <w:marBottom w:val="0"/>
                                          <w:divBdr>
                                            <w:top w:val="none" w:sz="0" w:space="0" w:color="auto"/>
                                            <w:left w:val="none" w:sz="0" w:space="0" w:color="auto"/>
                                            <w:bottom w:val="none" w:sz="0" w:space="0" w:color="auto"/>
                                            <w:right w:val="none" w:sz="0" w:space="0" w:color="auto"/>
                                          </w:divBdr>
                                          <w:divsChild>
                                            <w:div w:id="1561137371">
                                              <w:marLeft w:val="0"/>
                                              <w:marRight w:val="0"/>
                                              <w:marTop w:val="0"/>
                                              <w:marBottom w:val="0"/>
                                              <w:divBdr>
                                                <w:top w:val="none" w:sz="0" w:space="0" w:color="auto"/>
                                                <w:left w:val="none" w:sz="0" w:space="0" w:color="auto"/>
                                                <w:bottom w:val="none" w:sz="0" w:space="0" w:color="auto"/>
                                                <w:right w:val="none" w:sz="0" w:space="0" w:color="auto"/>
                                              </w:divBdr>
                                              <w:divsChild>
                                                <w:div w:id="1569536260">
                                                  <w:marLeft w:val="0"/>
                                                  <w:marRight w:val="0"/>
                                                  <w:marTop w:val="0"/>
                                                  <w:marBottom w:val="0"/>
                                                  <w:divBdr>
                                                    <w:top w:val="none" w:sz="0" w:space="0" w:color="auto"/>
                                                    <w:left w:val="none" w:sz="0" w:space="0" w:color="auto"/>
                                                    <w:bottom w:val="none" w:sz="0" w:space="0" w:color="auto"/>
                                                    <w:right w:val="none" w:sz="0" w:space="0" w:color="auto"/>
                                                  </w:divBdr>
                                                  <w:divsChild>
                                                    <w:div w:id="2016879574">
                                                      <w:marLeft w:val="0"/>
                                                      <w:marRight w:val="0"/>
                                                      <w:marTop w:val="0"/>
                                                      <w:marBottom w:val="0"/>
                                                      <w:divBdr>
                                                        <w:top w:val="none" w:sz="0" w:space="0" w:color="auto"/>
                                                        <w:left w:val="none" w:sz="0" w:space="0" w:color="auto"/>
                                                        <w:bottom w:val="none" w:sz="0" w:space="0" w:color="auto"/>
                                                        <w:right w:val="none" w:sz="0" w:space="0" w:color="auto"/>
                                                      </w:divBdr>
                                                      <w:divsChild>
                                                        <w:div w:id="60910596">
                                                          <w:marLeft w:val="0"/>
                                                          <w:marRight w:val="0"/>
                                                          <w:marTop w:val="0"/>
                                                          <w:marBottom w:val="0"/>
                                                          <w:divBdr>
                                                            <w:top w:val="none" w:sz="0" w:space="0" w:color="auto"/>
                                                            <w:left w:val="none" w:sz="0" w:space="0" w:color="auto"/>
                                                            <w:bottom w:val="none" w:sz="0" w:space="0" w:color="auto"/>
                                                            <w:right w:val="none" w:sz="0" w:space="0" w:color="auto"/>
                                                          </w:divBdr>
                                                          <w:divsChild>
                                                            <w:div w:id="694765980">
                                                              <w:marLeft w:val="0"/>
                                                              <w:marRight w:val="0"/>
                                                              <w:marTop w:val="0"/>
                                                              <w:marBottom w:val="0"/>
                                                              <w:divBdr>
                                                                <w:top w:val="none" w:sz="0" w:space="0" w:color="auto"/>
                                                                <w:left w:val="none" w:sz="0" w:space="0" w:color="auto"/>
                                                                <w:bottom w:val="none" w:sz="0" w:space="0" w:color="auto"/>
                                                                <w:right w:val="none" w:sz="0" w:space="0" w:color="auto"/>
                                                              </w:divBdr>
                                                              <w:divsChild>
                                                                <w:div w:id="46080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9145220">
      <w:bodyDiv w:val="1"/>
      <w:marLeft w:val="0"/>
      <w:marRight w:val="0"/>
      <w:marTop w:val="0"/>
      <w:marBottom w:val="0"/>
      <w:divBdr>
        <w:top w:val="none" w:sz="0" w:space="0" w:color="auto"/>
        <w:left w:val="none" w:sz="0" w:space="0" w:color="auto"/>
        <w:bottom w:val="none" w:sz="0" w:space="0" w:color="auto"/>
        <w:right w:val="none" w:sz="0" w:space="0" w:color="auto"/>
      </w:divBdr>
    </w:div>
    <w:div w:id="1998410644">
      <w:bodyDiv w:val="1"/>
      <w:marLeft w:val="0"/>
      <w:marRight w:val="0"/>
      <w:marTop w:val="0"/>
      <w:marBottom w:val="0"/>
      <w:divBdr>
        <w:top w:val="none" w:sz="0" w:space="0" w:color="auto"/>
        <w:left w:val="none" w:sz="0" w:space="0" w:color="auto"/>
        <w:bottom w:val="none" w:sz="0" w:space="0" w:color="auto"/>
        <w:right w:val="none" w:sz="0" w:space="0" w:color="auto"/>
      </w:divBdr>
      <w:divsChild>
        <w:div w:id="213658153">
          <w:marLeft w:val="0"/>
          <w:marRight w:val="0"/>
          <w:marTop w:val="0"/>
          <w:marBottom w:val="0"/>
          <w:divBdr>
            <w:top w:val="none" w:sz="0" w:space="0" w:color="auto"/>
            <w:left w:val="none" w:sz="0" w:space="0" w:color="auto"/>
            <w:bottom w:val="none" w:sz="0" w:space="0" w:color="auto"/>
            <w:right w:val="none" w:sz="0" w:space="0" w:color="auto"/>
          </w:divBdr>
          <w:divsChild>
            <w:div w:id="1329676503">
              <w:marLeft w:val="0"/>
              <w:marRight w:val="0"/>
              <w:marTop w:val="0"/>
              <w:marBottom w:val="0"/>
              <w:divBdr>
                <w:top w:val="none" w:sz="0" w:space="0" w:color="auto"/>
                <w:left w:val="none" w:sz="0" w:space="0" w:color="auto"/>
                <w:bottom w:val="none" w:sz="0" w:space="0" w:color="auto"/>
                <w:right w:val="none" w:sz="0" w:space="0" w:color="auto"/>
              </w:divBdr>
              <w:divsChild>
                <w:div w:id="208149625">
                  <w:marLeft w:val="0"/>
                  <w:marRight w:val="0"/>
                  <w:marTop w:val="0"/>
                  <w:marBottom w:val="0"/>
                  <w:divBdr>
                    <w:top w:val="none" w:sz="0" w:space="0" w:color="auto"/>
                    <w:left w:val="none" w:sz="0" w:space="0" w:color="auto"/>
                    <w:bottom w:val="none" w:sz="0" w:space="0" w:color="auto"/>
                    <w:right w:val="none" w:sz="0" w:space="0" w:color="auto"/>
                  </w:divBdr>
                  <w:divsChild>
                    <w:div w:id="894505715">
                      <w:marLeft w:val="0"/>
                      <w:marRight w:val="0"/>
                      <w:marTop w:val="0"/>
                      <w:marBottom w:val="0"/>
                      <w:divBdr>
                        <w:top w:val="single" w:sz="6" w:space="15" w:color="869CA6"/>
                        <w:left w:val="none" w:sz="0" w:space="0" w:color="auto"/>
                        <w:bottom w:val="none" w:sz="0" w:space="0" w:color="auto"/>
                        <w:right w:val="none" w:sz="0" w:space="0" w:color="auto"/>
                      </w:divBdr>
                      <w:divsChild>
                        <w:div w:id="1613973834">
                          <w:marLeft w:val="-225"/>
                          <w:marRight w:val="-225"/>
                          <w:marTop w:val="0"/>
                          <w:marBottom w:val="0"/>
                          <w:divBdr>
                            <w:top w:val="none" w:sz="0" w:space="0" w:color="auto"/>
                            <w:left w:val="none" w:sz="0" w:space="0" w:color="auto"/>
                            <w:bottom w:val="none" w:sz="0" w:space="0" w:color="auto"/>
                            <w:right w:val="none" w:sz="0" w:space="0" w:color="auto"/>
                          </w:divBdr>
                          <w:divsChild>
                            <w:div w:id="15418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90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smith@asu.asn.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2014RG-82-8101</_dlc_DocId>
    <_dlc_DocIdUrl xmlns="9f7bc583-7cbe-45b9-a2bd-8bbb6543b37e">
      <Url>http://tweb/sites/rg/project/twptf/_layouts/15/DocIdRedir.aspx?ID=2014RG-82-8101</Url>
      <Description>2014RG-82-8101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94EEA-AF7E-42AE-8AA9-E68472DA7298}"/>
</file>

<file path=customXml/itemProps2.xml><?xml version="1.0" encoding="utf-8"?>
<ds:datastoreItem xmlns:ds="http://schemas.openxmlformats.org/officeDocument/2006/customXml" ds:itemID="{49B85C0E-FEF9-473D-861B-1B373A1BB111}"/>
</file>

<file path=customXml/itemProps3.xml><?xml version="1.0" encoding="utf-8"?>
<ds:datastoreItem xmlns:ds="http://schemas.openxmlformats.org/officeDocument/2006/customXml" ds:itemID="{A78AA03C-AE8E-4716-A4AB-AC202DC176AA}"/>
</file>

<file path=customXml/itemProps4.xml><?xml version="1.0" encoding="utf-8"?>
<ds:datastoreItem xmlns:ds="http://schemas.openxmlformats.org/officeDocument/2006/customXml" ds:itemID="{1EDBAB48-5CFC-40D1-B318-917983F44DD9}"/>
</file>

<file path=customXml/itemProps5.xml><?xml version="1.0" encoding="utf-8"?>
<ds:datastoreItem xmlns:ds="http://schemas.openxmlformats.org/officeDocument/2006/customXml" ds:itemID="{4682CA36-D602-44AB-850F-FE238742C144}"/>
</file>

<file path=docProps/app.xml><?xml version="1.0" encoding="utf-8"?>
<Properties xmlns="http://schemas.openxmlformats.org/officeDocument/2006/extended-properties" xmlns:vt="http://schemas.openxmlformats.org/officeDocument/2006/docPropsVTypes">
  <Template>Normal.dotm</Template>
  <TotalTime>0</TotalTime>
  <Pages>12</Pages>
  <Words>4730</Words>
  <Characters>26967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Australian Services Union - Submission to the Tax Discussion Paper</vt:lpstr>
    </vt:vector>
  </TitlesOfParts>
  <Company/>
  <LinksUpToDate>false</LinksUpToDate>
  <CharactersWithSpaces>31634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Services Union - Submission to the Tax Discussion Paper</dc:title>
  <dc:creator>Australian Services Union</dc:creator>
  <cp:lastModifiedBy>McLeod, Caitlin</cp:lastModifiedBy>
  <cp:revision>3</cp:revision>
  <cp:lastPrinted>2015-03-13T03:44:00Z</cp:lastPrinted>
  <dcterms:created xsi:type="dcterms:W3CDTF">2015-06-02T02:51:00Z</dcterms:created>
  <dcterms:modified xsi:type="dcterms:W3CDTF">2015-06-02T02:51:00Z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5f80f36b-887d-4f82-9ce4-f7e3f6bced58</vt:lpwstr>
  </property>
  <property fmtid="{D5CDD505-2E9C-101B-9397-08002B2CF9AE}" pid="6" name="ContentTypeId">
    <vt:lpwstr>0x01010036BB8DE7EC542E42A8B2E98CC20CB69700AA356CCBB2B4204EB1CD923E8E69F50F</vt:lpwstr>
  </property>
</Properties>
</file>