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DA4DA" w14:textId="77777777" w:rsidR="00600D82" w:rsidRPr="00600D82" w:rsidRDefault="00600D82" w:rsidP="00600D82">
      <w:pPr>
        <w:spacing w:after="0"/>
        <w:rPr>
          <w:sz w:val="24"/>
          <w:szCs w:val="24"/>
        </w:rPr>
      </w:pPr>
      <w:bookmarkStart w:id="0" w:name="_GoBack"/>
      <w:bookmarkEnd w:id="0"/>
      <w:r w:rsidRPr="00600D82">
        <w:rPr>
          <w:sz w:val="24"/>
          <w:szCs w:val="24"/>
        </w:rPr>
        <w:t>Tax White Paper Task Force</w:t>
      </w:r>
    </w:p>
    <w:p w14:paraId="637A2878" w14:textId="77777777" w:rsidR="00600D82" w:rsidRPr="00600D82" w:rsidRDefault="00600D82" w:rsidP="00600D82">
      <w:pPr>
        <w:spacing w:after="0"/>
        <w:rPr>
          <w:sz w:val="24"/>
          <w:szCs w:val="24"/>
        </w:rPr>
      </w:pPr>
      <w:r w:rsidRPr="00600D82">
        <w:rPr>
          <w:sz w:val="24"/>
          <w:szCs w:val="24"/>
        </w:rPr>
        <w:t>The Treasury</w:t>
      </w:r>
    </w:p>
    <w:p w14:paraId="606F654C" w14:textId="77777777" w:rsidR="00600D82" w:rsidRPr="00600D82" w:rsidRDefault="00600D82" w:rsidP="00600D82">
      <w:pPr>
        <w:spacing w:after="0"/>
        <w:rPr>
          <w:sz w:val="24"/>
          <w:szCs w:val="24"/>
        </w:rPr>
      </w:pPr>
      <w:r w:rsidRPr="00600D82">
        <w:rPr>
          <w:sz w:val="24"/>
          <w:szCs w:val="24"/>
        </w:rPr>
        <w:t>Langton Crescent</w:t>
      </w:r>
    </w:p>
    <w:p w14:paraId="2C8E0F6B" w14:textId="77777777" w:rsidR="0054002E" w:rsidRDefault="00600D82" w:rsidP="00600D82">
      <w:pPr>
        <w:spacing w:after="0"/>
        <w:rPr>
          <w:sz w:val="24"/>
          <w:szCs w:val="24"/>
        </w:rPr>
      </w:pPr>
      <w:r w:rsidRPr="00600D82">
        <w:rPr>
          <w:sz w:val="24"/>
          <w:szCs w:val="24"/>
        </w:rPr>
        <w:t>PARKES ACT 2600</w:t>
      </w:r>
    </w:p>
    <w:p w14:paraId="60F24A8B" w14:textId="77777777" w:rsidR="0054002E" w:rsidRDefault="0054002E" w:rsidP="0054002E">
      <w:pPr>
        <w:spacing w:after="0"/>
        <w:rPr>
          <w:sz w:val="24"/>
          <w:szCs w:val="24"/>
        </w:rPr>
      </w:pPr>
    </w:p>
    <w:p w14:paraId="4A22AC0F" w14:textId="77777777" w:rsidR="00600D82" w:rsidRDefault="00600D82" w:rsidP="0054002E">
      <w:pPr>
        <w:spacing w:after="0"/>
        <w:rPr>
          <w:sz w:val="24"/>
          <w:szCs w:val="24"/>
        </w:rPr>
      </w:pPr>
    </w:p>
    <w:p w14:paraId="2F2F9511" w14:textId="77777777" w:rsidR="0054002E" w:rsidRPr="008F7521" w:rsidRDefault="0054002E" w:rsidP="004312BD">
      <w:pPr>
        <w:spacing w:after="0"/>
        <w:jc w:val="center"/>
        <w:rPr>
          <w:b/>
          <w:sz w:val="24"/>
          <w:szCs w:val="24"/>
        </w:rPr>
      </w:pPr>
      <w:r w:rsidRPr="008F7521">
        <w:rPr>
          <w:b/>
          <w:sz w:val="24"/>
          <w:szCs w:val="24"/>
        </w:rPr>
        <w:t>Deductible Gift Recipient Status – School Support Organisations</w:t>
      </w:r>
    </w:p>
    <w:p w14:paraId="4F7669F1" w14:textId="77777777" w:rsidR="0054002E" w:rsidRDefault="0054002E" w:rsidP="0054002E">
      <w:pPr>
        <w:spacing w:after="0"/>
        <w:rPr>
          <w:sz w:val="24"/>
          <w:szCs w:val="24"/>
        </w:rPr>
      </w:pPr>
    </w:p>
    <w:p w14:paraId="0CCB284F" w14:textId="77777777" w:rsidR="0054002E" w:rsidRDefault="0054002E" w:rsidP="0054002E">
      <w:pPr>
        <w:spacing w:after="0"/>
        <w:rPr>
          <w:sz w:val="24"/>
          <w:szCs w:val="24"/>
        </w:rPr>
      </w:pPr>
    </w:p>
    <w:p w14:paraId="68D6056F" w14:textId="77777777" w:rsidR="0054002E" w:rsidRDefault="0054002E" w:rsidP="0054002E">
      <w:pPr>
        <w:spacing w:after="0"/>
        <w:rPr>
          <w:sz w:val="24"/>
          <w:szCs w:val="24"/>
        </w:rPr>
      </w:pPr>
      <w:r>
        <w:rPr>
          <w:sz w:val="24"/>
          <w:szCs w:val="24"/>
        </w:rPr>
        <w:t xml:space="preserve">Dear </w:t>
      </w:r>
      <w:r w:rsidR="00600D82">
        <w:rPr>
          <w:sz w:val="24"/>
          <w:szCs w:val="24"/>
        </w:rPr>
        <w:t>Sir/Madam</w:t>
      </w:r>
      <w:r w:rsidR="00AD3E58">
        <w:rPr>
          <w:sz w:val="24"/>
          <w:szCs w:val="24"/>
        </w:rPr>
        <w:t>,</w:t>
      </w:r>
    </w:p>
    <w:p w14:paraId="759B7000" w14:textId="77777777" w:rsidR="00AD3E58" w:rsidRDefault="00AD3E58" w:rsidP="0054002E">
      <w:pPr>
        <w:spacing w:after="0"/>
        <w:rPr>
          <w:sz w:val="24"/>
          <w:szCs w:val="24"/>
        </w:rPr>
      </w:pPr>
    </w:p>
    <w:p w14:paraId="6724B9CB" w14:textId="77777777" w:rsidR="00377185" w:rsidRDefault="00AD3E58" w:rsidP="0054002E">
      <w:pPr>
        <w:spacing w:after="0"/>
        <w:rPr>
          <w:sz w:val="24"/>
          <w:szCs w:val="24"/>
        </w:rPr>
      </w:pPr>
      <w:r>
        <w:rPr>
          <w:sz w:val="24"/>
          <w:szCs w:val="24"/>
        </w:rPr>
        <w:t>P&amp;Cs Queensland is the peak body representing approximately 1</w:t>
      </w:r>
      <w:r w:rsidR="00010BF7">
        <w:rPr>
          <w:sz w:val="24"/>
          <w:szCs w:val="24"/>
        </w:rPr>
        <w:t>,</w:t>
      </w:r>
      <w:r>
        <w:rPr>
          <w:sz w:val="24"/>
          <w:szCs w:val="24"/>
        </w:rPr>
        <w:t>25</w:t>
      </w:r>
      <w:r w:rsidR="00D56370">
        <w:rPr>
          <w:sz w:val="24"/>
          <w:szCs w:val="24"/>
        </w:rPr>
        <w:t xml:space="preserve">0 </w:t>
      </w:r>
      <w:r>
        <w:rPr>
          <w:sz w:val="24"/>
          <w:szCs w:val="24"/>
        </w:rPr>
        <w:t>Parents and Citizens</w:t>
      </w:r>
      <w:r w:rsidR="00010BF7">
        <w:rPr>
          <w:sz w:val="24"/>
          <w:szCs w:val="24"/>
        </w:rPr>
        <w:t xml:space="preserve"> Associations for state secondary, primary, special and hospital schools in Queensland.</w:t>
      </w:r>
      <w:r w:rsidR="008F7521">
        <w:rPr>
          <w:sz w:val="24"/>
          <w:szCs w:val="24"/>
        </w:rPr>
        <w:t xml:space="preserve"> </w:t>
      </w:r>
      <w:r w:rsidR="00377185">
        <w:rPr>
          <w:sz w:val="24"/>
          <w:szCs w:val="24"/>
        </w:rPr>
        <w:t xml:space="preserve"> This submission addresses the following discussion questions listed in the Tax White Paper;</w:t>
      </w:r>
    </w:p>
    <w:p w14:paraId="06F87C16" w14:textId="77777777" w:rsidR="00377185" w:rsidRPr="00FA2E84" w:rsidRDefault="00377185" w:rsidP="0054002E">
      <w:pPr>
        <w:spacing w:after="0"/>
        <w:rPr>
          <w:b/>
          <w:sz w:val="24"/>
          <w:szCs w:val="24"/>
        </w:rPr>
      </w:pPr>
    </w:p>
    <w:p w14:paraId="05BD1B95" w14:textId="77777777" w:rsidR="00377185" w:rsidRPr="00FA2E84" w:rsidRDefault="00377185" w:rsidP="00377185">
      <w:pPr>
        <w:spacing w:after="0"/>
        <w:ind w:left="720"/>
        <w:rPr>
          <w:b/>
          <w:i/>
        </w:rPr>
      </w:pPr>
      <w:r w:rsidRPr="00FA2E84">
        <w:rPr>
          <w:b/>
          <w:i/>
        </w:rPr>
        <w:t>47. Are the current tax arrangements for the NFP sector appropriate? Why or why not?</w:t>
      </w:r>
    </w:p>
    <w:p w14:paraId="42D7D076" w14:textId="77777777" w:rsidR="00377185" w:rsidRPr="00FA2E84" w:rsidRDefault="00377185" w:rsidP="00377185">
      <w:pPr>
        <w:spacing w:after="0"/>
        <w:ind w:left="720"/>
        <w:rPr>
          <w:b/>
          <w:i/>
        </w:rPr>
      </w:pPr>
    </w:p>
    <w:p w14:paraId="6C651495" w14:textId="77777777" w:rsidR="00377185" w:rsidRPr="00FA2E84" w:rsidRDefault="00377185" w:rsidP="00377185">
      <w:pPr>
        <w:spacing w:after="0"/>
        <w:ind w:left="720"/>
        <w:rPr>
          <w:b/>
          <w:i/>
        </w:rPr>
      </w:pPr>
      <w:r w:rsidRPr="00FA2E84">
        <w:rPr>
          <w:b/>
          <w:i/>
        </w:rPr>
        <w:t xml:space="preserve">50. What, if any, changes could be made to the current tax arrangements for the NFP sector that would enable the sector to deliver benefits to the Australian community more efficiently or effectively?  </w:t>
      </w:r>
    </w:p>
    <w:p w14:paraId="7CD39089" w14:textId="77777777" w:rsidR="00010BF7" w:rsidRDefault="00010BF7" w:rsidP="0054002E">
      <w:pPr>
        <w:spacing w:after="0"/>
        <w:rPr>
          <w:sz w:val="24"/>
          <w:szCs w:val="24"/>
        </w:rPr>
      </w:pPr>
    </w:p>
    <w:p w14:paraId="5B5CD413" w14:textId="77777777" w:rsidR="00303093" w:rsidRDefault="007E4D06" w:rsidP="00377185">
      <w:pPr>
        <w:spacing w:after="0"/>
        <w:rPr>
          <w:sz w:val="24"/>
          <w:szCs w:val="24"/>
        </w:rPr>
      </w:pPr>
      <w:r>
        <w:rPr>
          <w:sz w:val="24"/>
          <w:szCs w:val="24"/>
        </w:rPr>
        <w:t>T</w:t>
      </w:r>
      <w:r w:rsidR="00010BF7">
        <w:rPr>
          <w:sz w:val="24"/>
          <w:szCs w:val="24"/>
        </w:rPr>
        <w:t xml:space="preserve">he board of P&amp;Cs Qld </w:t>
      </w:r>
      <w:r>
        <w:rPr>
          <w:sz w:val="24"/>
          <w:szCs w:val="24"/>
        </w:rPr>
        <w:t xml:space="preserve">is </w:t>
      </w:r>
      <w:r w:rsidR="008F7521">
        <w:rPr>
          <w:sz w:val="24"/>
          <w:szCs w:val="24"/>
        </w:rPr>
        <w:t>con</w:t>
      </w:r>
      <w:r w:rsidR="00377185">
        <w:rPr>
          <w:sz w:val="24"/>
          <w:szCs w:val="24"/>
        </w:rPr>
        <w:t xml:space="preserve">cerned about </w:t>
      </w:r>
      <w:r w:rsidR="00FA2E84">
        <w:rPr>
          <w:sz w:val="24"/>
          <w:szCs w:val="24"/>
        </w:rPr>
        <w:t>ongoing</w:t>
      </w:r>
      <w:r w:rsidR="008F7521">
        <w:rPr>
          <w:sz w:val="24"/>
          <w:szCs w:val="24"/>
        </w:rPr>
        <w:t xml:space="preserve"> challenges which </w:t>
      </w:r>
      <w:r w:rsidR="00377185">
        <w:rPr>
          <w:sz w:val="24"/>
          <w:szCs w:val="24"/>
        </w:rPr>
        <w:t xml:space="preserve">reduce </w:t>
      </w:r>
      <w:r w:rsidR="008F7521">
        <w:rPr>
          <w:sz w:val="24"/>
          <w:szCs w:val="24"/>
        </w:rPr>
        <w:t>the</w:t>
      </w:r>
      <w:r w:rsidR="00D15EA0">
        <w:rPr>
          <w:sz w:val="24"/>
          <w:szCs w:val="24"/>
        </w:rPr>
        <w:t xml:space="preserve"> fundraising</w:t>
      </w:r>
      <w:r w:rsidR="008F7521">
        <w:rPr>
          <w:sz w:val="24"/>
          <w:szCs w:val="24"/>
        </w:rPr>
        <w:t xml:space="preserve"> effectiveness of its affiliates</w:t>
      </w:r>
      <w:r w:rsidR="00377185">
        <w:rPr>
          <w:sz w:val="24"/>
          <w:szCs w:val="24"/>
        </w:rPr>
        <w:t xml:space="preserve">.  This submission focusses on </w:t>
      </w:r>
      <w:r w:rsidR="00377185" w:rsidRPr="00377185">
        <w:rPr>
          <w:sz w:val="24"/>
          <w:szCs w:val="24"/>
        </w:rPr>
        <w:t xml:space="preserve">the ability </w:t>
      </w:r>
      <w:r w:rsidR="00377185">
        <w:rPr>
          <w:sz w:val="24"/>
          <w:szCs w:val="24"/>
        </w:rPr>
        <w:t xml:space="preserve">of our </w:t>
      </w:r>
      <w:r w:rsidR="00FA2E84">
        <w:rPr>
          <w:sz w:val="24"/>
          <w:szCs w:val="24"/>
        </w:rPr>
        <w:t xml:space="preserve">members </w:t>
      </w:r>
      <w:r w:rsidR="00E70232">
        <w:rPr>
          <w:sz w:val="24"/>
          <w:szCs w:val="24"/>
        </w:rPr>
        <w:t>to use a</w:t>
      </w:r>
      <w:r w:rsidR="00FA2E84">
        <w:rPr>
          <w:sz w:val="24"/>
          <w:szCs w:val="24"/>
        </w:rPr>
        <w:t xml:space="preserve"> key</w:t>
      </w:r>
      <w:r w:rsidR="00E70232">
        <w:rPr>
          <w:sz w:val="24"/>
          <w:szCs w:val="24"/>
        </w:rPr>
        <w:t xml:space="preserve"> </w:t>
      </w:r>
      <w:r w:rsidR="00E70232" w:rsidRPr="00E70232">
        <w:rPr>
          <w:sz w:val="24"/>
          <w:szCs w:val="24"/>
        </w:rPr>
        <w:t>Commonwealth tax concession</w:t>
      </w:r>
      <w:r w:rsidR="00E70232">
        <w:rPr>
          <w:sz w:val="24"/>
          <w:szCs w:val="24"/>
        </w:rPr>
        <w:t xml:space="preserve">; the ability to </w:t>
      </w:r>
      <w:r w:rsidR="00E70232" w:rsidRPr="00377185">
        <w:rPr>
          <w:sz w:val="24"/>
          <w:szCs w:val="24"/>
        </w:rPr>
        <w:t>receive tax deductible gifts</w:t>
      </w:r>
      <w:r w:rsidR="00E70232">
        <w:rPr>
          <w:sz w:val="24"/>
          <w:szCs w:val="24"/>
        </w:rPr>
        <w:t xml:space="preserve">.   </w:t>
      </w:r>
    </w:p>
    <w:p w14:paraId="1340C3EF" w14:textId="77777777" w:rsidR="00303093" w:rsidRDefault="00303093" w:rsidP="00377185">
      <w:pPr>
        <w:spacing w:after="0"/>
        <w:rPr>
          <w:sz w:val="24"/>
          <w:szCs w:val="24"/>
        </w:rPr>
      </w:pPr>
    </w:p>
    <w:p w14:paraId="36A951EF" w14:textId="77777777" w:rsidR="00377185" w:rsidRDefault="00FA2E84" w:rsidP="00377185">
      <w:pPr>
        <w:spacing w:after="0"/>
        <w:rPr>
          <w:sz w:val="24"/>
          <w:szCs w:val="24"/>
        </w:rPr>
      </w:pPr>
      <w:r>
        <w:rPr>
          <w:sz w:val="24"/>
          <w:szCs w:val="24"/>
        </w:rPr>
        <w:t>In this submission w</w:t>
      </w:r>
      <w:r w:rsidR="00A769DB">
        <w:rPr>
          <w:sz w:val="24"/>
          <w:szCs w:val="24"/>
        </w:rPr>
        <w:t>e us</w:t>
      </w:r>
      <w:r w:rsidR="00303093">
        <w:rPr>
          <w:sz w:val="24"/>
          <w:szCs w:val="24"/>
        </w:rPr>
        <w:t>e</w:t>
      </w:r>
      <w:r w:rsidR="00A769DB">
        <w:rPr>
          <w:sz w:val="24"/>
          <w:szCs w:val="24"/>
        </w:rPr>
        <w:t xml:space="preserve"> the term </w:t>
      </w:r>
      <w:r w:rsidR="00E70232">
        <w:rPr>
          <w:sz w:val="24"/>
          <w:szCs w:val="24"/>
        </w:rPr>
        <w:t>‘</w:t>
      </w:r>
      <w:r w:rsidR="00303093">
        <w:rPr>
          <w:sz w:val="24"/>
          <w:szCs w:val="24"/>
        </w:rPr>
        <w:t>school</w:t>
      </w:r>
      <w:r w:rsidR="00E70232">
        <w:rPr>
          <w:sz w:val="24"/>
          <w:szCs w:val="24"/>
        </w:rPr>
        <w:t xml:space="preserve"> support organisations’ </w:t>
      </w:r>
      <w:r w:rsidR="00303093">
        <w:rPr>
          <w:sz w:val="24"/>
          <w:szCs w:val="24"/>
        </w:rPr>
        <w:t>to</w:t>
      </w:r>
      <w:r w:rsidR="00A769DB">
        <w:rPr>
          <w:sz w:val="24"/>
          <w:szCs w:val="24"/>
        </w:rPr>
        <w:t xml:space="preserve"> </w:t>
      </w:r>
      <w:r w:rsidR="00E70232">
        <w:rPr>
          <w:sz w:val="24"/>
          <w:szCs w:val="24"/>
        </w:rPr>
        <w:t xml:space="preserve">refer to both parents and citizens bodies </w:t>
      </w:r>
      <w:r w:rsidR="00A769DB">
        <w:rPr>
          <w:sz w:val="24"/>
          <w:szCs w:val="24"/>
        </w:rPr>
        <w:t xml:space="preserve">in Queensland </w:t>
      </w:r>
      <w:r w:rsidR="00E70232">
        <w:rPr>
          <w:sz w:val="24"/>
          <w:szCs w:val="24"/>
        </w:rPr>
        <w:t xml:space="preserve">and </w:t>
      </w:r>
      <w:r w:rsidR="00377185">
        <w:rPr>
          <w:sz w:val="24"/>
          <w:szCs w:val="24"/>
        </w:rPr>
        <w:t>similar entities in other Australian jurisdictions.</w:t>
      </w:r>
    </w:p>
    <w:p w14:paraId="18B91AD0" w14:textId="77777777" w:rsidR="008F7521" w:rsidRDefault="008F7521" w:rsidP="0054002E">
      <w:pPr>
        <w:spacing w:after="0"/>
        <w:rPr>
          <w:sz w:val="24"/>
          <w:szCs w:val="24"/>
        </w:rPr>
      </w:pPr>
    </w:p>
    <w:p w14:paraId="10466100" w14:textId="77777777" w:rsidR="00D63F1B" w:rsidRPr="00F9341B" w:rsidRDefault="00487862" w:rsidP="0054002E">
      <w:pPr>
        <w:spacing w:after="0"/>
        <w:rPr>
          <w:b/>
          <w:sz w:val="24"/>
          <w:szCs w:val="24"/>
          <w:u w:val="single"/>
        </w:rPr>
      </w:pPr>
      <w:r w:rsidRPr="00F9341B">
        <w:rPr>
          <w:b/>
          <w:sz w:val="24"/>
          <w:szCs w:val="24"/>
        </w:rPr>
        <w:t>A.</w:t>
      </w:r>
      <w:r w:rsidRPr="00F9341B">
        <w:rPr>
          <w:b/>
          <w:sz w:val="24"/>
          <w:szCs w:val="24"/>
        </w:rPr>
        <w:tab/>
      </w:r>
      <w:r w:rsidR="00D63F1B" w:rsidRPr="00F9341B">
        <w:rPr>
          <w:b/>
          <w:sz w:val="24"/>
          <w:szCs w:val="24"/>
          <w:u w:val="single"/>
        </w:rPr>
        <w:t xml:space="preserve">Overview of Current Situation </w:t>
      </w:r>
    </w:p>
    <w:p w14:paraId="770402C1" w14:textId="77777777" w:rsidR="00D63F1B" w:rsidRDefault="00D63F1B" w:rsidP="0054002E">
      <w:pPr>
        <w:spacing w:after="0"/>
        <w:rPr>
          <w:sz w:val="24"/>
          <w:szCs w:val="24"/>
        </w:rPr>
      </w:pPr>
    </w:p>
    <w:p w14:paraId="6FEAAA6F" w14:textId="77777777" w:rsidR="004312BD" w:rsidRDefault="008F7521" w:rsidP="006E272C">
      <w:pPr>
        <w:pStyle w:val="ListParagraph"/>
        <w:numPr>
          <w:ilvl w:val="0"/>
          <w:numId w:val="2"/>
        </w:numPr>
        <w:spacing w:after="0"/>
        <w:rPr>
          <w:sz w:val="24"/>
          <w:szCs w:val="24"/>
        </w:rPr>
      </w:pPr>
      <w:r w:rsidRPr="008F7521">
        <w:rPr>
          <w:sz w:val="24"/>
          <w:szCs w:val="24"/>
        </w:rPr>
        <w:t>The tradition of corporate and philanthropic funding of schools and school support organisations is much less developed in Australia than many other comparable countries, especially the United States.</w:t>
      </w:r>
    </w:p>
    <w:p w14:paraId="18995BFD" w14:textId="77777777" w:rsidR="00285F95" w:rsidRDefault="00285F95" w:rsidP="00285F95">
      <w:pPr>
        <w:pStyle w:val="ListParagraph"/>
        <w:spacing w:after="0"/>
        <w:rPr>
          <w:sz w:val="24"/>
          <w:szCs w:val="24"/>
        </w:rPr>
      </w:pPr>
    </w:p>
    <w:p w14:paraId="4E6AAF88" w14:textId="77777777" w:rsidR="00403BC6" w:rsidRDefault="00403BC6" w:rsidP="00403BC6">
      <w:pPr>
        <w:pStyle w:val="ListParagraph"/>
        <w:numPr>
          <w:ilvl w:val="0"/>
          <w:numId w:val="2"/>
        </w:numPr>
        <w:spacing w:after="0"/>
        <w:rPr>
          <w:sz w:val="24"/>
          <w:szCs w:val="24"/>
        </w:rPr>
      </w:pPr>
      <w:r>
        <w:rPr>
          <w:sz w:val="24"/>
          <w:szCs w:val="24"/>
        </w:rPr>
        <w:t>The ATO estimates that 38</w:t>
      </w:r>
      <w:r w:rsidRPr="00403BC6">
        <w:rPr>
          <w:sz w:val="24"/>
          <w:szCs w:val="24"/>
        </w:rPr>
        <w:t xml:space="preserve"> </w:t>
      </w:r>
      <w:r>
        <w:rPr>
          <w:sz w:val="24"/>
          <w:szCs w:val="24"/>
        </w:rPr>
        <w:t xml:space="preserve">in every 100 Australian </w:t>
      </w:r>
      <w:r w:rsidRPr="00403BC6">
        <w:rPr>
          <w:sz w:val="24"/>
          <w:szCs w:val="24"/>
        </w:rPr>
        <w:t>people donated to charities and then claimed deductions</w:t>
      </w:r>
      <w:r>
        <w:rPr>
          <w:sz w:val="24"/>
          <w:szCs w:val="24"/>
        </w:rPr>
        <w:t xml:space="preserve"> in 2011-12,</w:t>
      </w:r>
      <w:r>
        <w:rPr>
          <w:rStyle w:val="FootnoteReference"/>
          <w:sz w:val="24"/>
          <w:szCs w:val="24"/>
        </w:rPr>
        <w:footnoteReference w:id="1"/>
      </w:r>
    </w:p>
    <w:p w14:paraId="6DDCDE34" w14:textId="77777777" w:rsidR="00285F95" w:rsidRPr="00285F95" w:rsidRDefault="00285F95" w:rsidP="00285F95">
      <w:pPr>
        <w:spacing w:after="0"/>
        <w:rPr>
          <w:sz w:val="24"/>
          <w:szCs w:val="24"/>
        </w:rPr>
      </w:pPr>
    </w:p>
    <w:p w14:paraId="4D455D03" w14:textId="77777777" w:rsidR="00D56370" w:rsidRDefault="004312BD" w:rsidP="000B5A8F">
      <w:pPr>
        <w:pStyle w:val="ListParagraph"/>
        <w:numPr>
          <w:ilvl w:val="0"/>
          <w:numId w:val="2"/>
        </w:numPr>
        <w:spacing w:after="0"/>
        <w:rPr>
          <w:sz w:val="24"/>
          <w:szCs w:val="24"/>
        </w:rPr>
      </w:pPr>
      <w:r w:rsidRPr="00074931">
        <w:rPr>
          <w:sz w:val="24"/>
          <w:szCs w:val="24"/>
        </w:rPr>
        <w:t>In Australia, tax deductible donations for school education purposes are permitted to eligible school building funds</w:t>
      </w:r>
      <w:r w:rsidR="00D56370">
        <w:rPr>
          <w:sz w:val="24"/>
          <w:szCs w:val="24"/>
        </w:rPr>
        <w:t>, as well as</w:t>
      </w:r>
      <w:r w:rsidR="00074931">
        <w:rPr>
          <w:sz w:val="24"/>
          <w:szCs w:val="24"/>
        </w:rPr>
        <w:t xml:space="preserve"> </w:t>
      </w:r>
      <w:r w:rsidR="00D56370">
        <w:rPr>
          <w:sz w:val="24"/>
          <w:szCs w:val="24"/>
        </w:rPr>
        <w:t xml:space="preserve">funds which are applied to </w:t>
      </w:r>
      <w:r w:rsidR="00074931">
        <w:rPr>
          <w:sz w:val="24"/>
          <w:szCs w:val="24"/>
        </w:rPr>
        <w:t>bursaries</w:t>
      </w:r>
      <w:r w:rsidR="00D56370">
        <w:rPr>
          <w:sz w:val="24"/>
          <w:szCs w:val="24"/>
        </w:rPr>
        <w:t xml:space="preserve"> and scholarships</w:t>
      </w:r>
      <w:r w:rsidR="00600D82" w:rsidRPr="00074931">
        <w:rPr>
          <w:sz w:val="24"/>
          <w:szCs w:val="24"/>
        </w:rPr>
        <w:t>.</w:t>
      </w:r>
      <w:r w:rsidR="00540951">
        <w:rPr>
          <w:sz w:val="24"/>
          <w:szCs w:val="24"/>
        </w:rPr>
        <w:t xml:space="preserve">  </w:t>
      </w:r>
    </w:p>
    <w:p w14:paraId="790E1A1F" w14:textId="77777777" w:rsidR="00285F95" w:rsidRPr="00285F95" w:rsidRDefault="00285F95" w:rsidP="00285F95">
      <w:pPr>
        <w:spacing w:after="0"/>
        <w:rPr>
          <w:sz w:val="24"/>
          <w:szCs w:val="24"/>
        </w:rPr>
      </w:pPr>
    </w:p>
    <w:p w14:paraId="2D0D15E4" w14:textId="77777777" w:rsidR="00285F95" w:rsidRPr="00285F95" w:rsidRDefault="00D56370" w:rsidP="00285F95">
      <w:pPr>
        <w:pStyle w:val="ListParagraph"/>
        <w:numPr>
          <w:ilvl w:val="0"/>
          <w:numId w:val="2"/>
        </w:numPr>
        <w:spacing w:after="0"/>
        <w:rPr>
          <w:sz w:val="24"/>
          <w:szCs w:val="24"/>
        </w:rPr>
      </w:pPr>
      <w:r>
        <w:rPr>
          <w:sz w:val="24"/>
          <w:szCs w:val="24"/>
        </w:rPr>
        <w:lastRenderedPageBreak/>
        <w:t>In 2012-13, t</w:t>
      </w:r>
      <w:r w:rsidR="00194C90" w:rsidRPr="00074931">
        <w:rPr>
          <w:sz w:val="24"/>
          <w:szCs w:val="24"/>
        </w:rPr>
        <w:t xml:space="preserve">here </w:t>
      </w:r>
      <w:r w:rsidRPr="00317C9D">
        <w:rPr>
          <w:sz w:val="24"/>
          <w:szCs w:val="24"/>
        </w:rPr>
        <w:t xml:space="preserve">were </w:t>
      </w:r>
      <w:r w:rsidR="00194C90" w:rsidRPr="00317C9D">
        <w:rPr>
          <w:sz w:val="24"/>
          <w:szCs w:val="24"/>
        </w:rPr>
        <w:t>4</w:t>
      </w:r>
      <w:r w:rsidR="00600D82" w:rsidRPr="00317C9D">
        <w:rPr>
          <w:sz w:val="24"/>
          <w:szCs w:val="24"/>
        </w:rPr>
        <w:t>,</w:t>
      </w:r>
      <w:r w:rsidR="00194C90" w:rsidRPr="00317C9D">
        <w:rPr>
          <w:sz w:val="24"/>
          <w:szCs w:val="24"/>
        </w:rPr>
        <w:t xml:space="preserve">760 </w:t>
      </w:r>
      <w:r w:rsidR="00074931" w:rsidRPr="00317C9D">
        <w:rPr>
          <w:sz w:val="24"/>
          <w:szCs w:val="24"/>
        </w:rPr>
        <w:t>school</w:t>
      </w:r>
      <w:r w:rsidR="00074931">
        <w:rPr>
          <w:sz w:val="24"/>
          <w:szCs w:val="24"/>
        </w:rPr>
        <w:t xml:space="preserve"> building </w:t>
      </w:r>
      <w:r w:rsidR="00194C90" w:rsidRPr="00074931">
        <w:rPr>
          <w:sz w:val="24"/>
          <w:szCs w:val="24"/>
        </w:rPr>
        <w:t>fund</w:t>
      </w:r>
      <w:r w:rsidR="00600D82" w:rsidRPr="00074931">
        <w:rPr>
          <w:sz w:val="24"/>
          <w:szCs w:val="24"/>
        </w:rPr>
        <w:t>s</w:t>
      </w:r>
      <w:r>
        <w:rPr>
          <w:sz w:val="24"/>
          <w:szCs w:val="24"/>
        </w:rPr>
        <w:t>.</w:t>
      </w:r>
      <w:r w:rsidR="00600D82">
        <w:rPr>
          <w:rStyle w:val="FootnoteReference"/>
          <w:sz w:val="24"/>
          <w:szCs w:val="24"/>
        </w:rPr>
        <w:footnoteReference w:id="2"/>
      </w:r>
      <w:r w:rsidR="00194C90" w:rsidRPr="00074931">
        <w:rPr>
          <w:sz w:val="24"/>
          <w:szCs w:val="24"/>
        </w:rPr>
        <w:t xml:space="preserve"> </w:t>
      </w:r>
      <w:r>
        <w:rPr>
          <w:sz w:val="24"/>
          <w:szCs w:val="24"/>
        </w:rPr>
        <w:t xml:space="preserve"> </w:t>
      </w:r>
      <w:r w:rsidR="00074931" w:rsidRPr="00074931">
        <w:rPr>
          <w:sz w:val="24"/>
          <w:szCs w:val="24"/>
        </w:rPr>
        <w:t xml:space="preserve">P&amp;Cs Queensland </w:t>
      </w:r>
      <w:r w:rsidR="001E071F" w:rsidRPr="001E071F">
        <w:rPr>
          <w:sz w:val="24"/>
          <w:szCs w:val="24"/>
        </w:rPr>
        <w:t>maintains</w:t>
      </w:r>
      <w:r w:rsidR="001E071F">
        <w:rPr>
          <w:sz w:val="24"/>
          <w:szCs w:val="24"/>
        </w:rPr>
        <w:t xml:space="preserve"> </w:t>
      </w:r>
      <w:r w:rsidR="00074931" w:rsidRPr="00074931">
        <w:rPr>
          <w:sz w:val="24"/>
          <w:szCs w:val="24"/>
        </w:rPr>
        <w:t>that</w:t>
      </w:r>
      <w:r>
        <w:rPr>
          <w:sz w:val="24"/>
          <w:szCs w:val="24"/>
        </w:rPr>
        <w:t xml:space="preserve"> although many </w:t>
      </w:r>
      <w:r w:rsidR="00303093">
        <w:rPr>
          <w:sz w:val="24"/>
          <w:szCs w:val="24"/>
        </w:rPr>
        <w:t>of these</w:t>
      </w:r>
      <w:r>
        <w:rPr>
          <w:sz w:val="24"/>
          <w:szCs w:val="24"/>
        </w:rPr>
        <w:t xml:space="preserve"> funds exist,</w:t>
      </w:r>
      <w:r w:rsidR="00074931" w:rsidRPr="00074931">
        <w:rPr>
          <w:sz w:val="24"/>
          <w:szCs w:val="24"/>
        </w:rPr>
        <w:t xml:space="preserve"> </w:t>
      </w:r>
      <w:r w:rsidR="004312BD" w:rsidRPr="00074931">
        <w:rPr>
          <w:sz w:val="24"/>
          <w:szCs w:val="24"/>
        </w:rPr>
        <w:t xml:space="preserve">this mechanism </w:t>
      </w:r>
      <w:r w:rsidR="0021479C" w:rsidRPr="00074931">
        <w:rPr>
          <w:sz w:val="24"/>
          <w:szCs w:val="24"/>
        </w:rPr>
        <w:t>r</w:t>
      </w:r>
      <w:r w:rsidR="00074931" w:rsidRPr="00074931">
        <w:rPr>
          <w:sz w:val="24"/>
          <w:szCs w:val="24"/>
        </w:rPr>
        <w:t>e</w:t>
      </w:r>
      <w:r w:rsidR="0021479C" w:rsidRPr="00074931">
        <w:rPr>
          <w:sz w:val="24"/>
          <w:szCs w:val="24"/>
        </w:rPr>
        <w:t xml:space="preserve">ally </w:t>
      </w:r>
      <w:r w:rsidR="001E071F">
        <w:rPr>
          <w:sz w:val="24"/>
          <w:szCs w:val="24"/>
        </w:rPr>
        <w:t xml:space="preserve">is effective for only </w:t>
      </w:r>
      <w:r w:rsidR="004312BD" w:rsidRPr="00074931">
        <w:rPr>
          <w:sz w:val="24"/>
          <w:szCs w:val="24"/>
        </w:rPr>
        <w:t xml:space="preserve">a small number of wealthy </w:t>
      </w:r>
      <w:r w:rsidR="004312BD" w:rsidRPr="00D56370">
        <w:rPr>
          <w:sz w:val="24"/>
          <w:szCs w:val="24"/>
        </w:rPr>
        <w:t>independent</w:t>
      </w:r>
      <w:r w:rsidR="004312BD" w:rsidRPr="00074931">
        <w:rPr>
          <w:sz w:val="24"/>
          <w:szCs w:val="24"/>
        </w:rPr>
        <w:t xml:space="preserve"> schools</w:t>
      </w:r>
      <w:r w:rsidR="00303093">
        <w:rPr>
          <w:sz w:val="24"/>
          <w:szCs w:val="24"/>
        </w:rPr>
        <w:t>, certainly not</w:t>
      </w:r>
      <w:r w:rsidR="004312BD" w:rsidRPr="00074931">
        <w:rPr>
          <w:sz w:val="24"/>
          <w:szCs w:val="24"/>
        </w:rPr>
        <w:t xml:space="preserve"> the vast majority of state schools</w:t>
      </w:r>
      <w:r w:rsidR="00285F95">
        <w:rPr>
          <w:sz w:val="24"/>
          <w:szCs w:val="24"/>
        </w:rPr>
        <w:t xml:space="preserve">. </w:t>
      </w:r>
    </w:p>
    <w:p w14:paraId="6A0DA49E" w14:textId="77777777" w:rsidR="00285F95" w:rsidRDefault="00285F95" w:rsidP="00285F95">
      <w:pPr>
        <w:pStyle w:val="ListParagraph"/>
        <w:spacing w:after="0"/>
        <w:rPr>
          <w:sz w:val="24"/>
          <w:szCs w:val="24"/>
        </w:rPr>
      </w:pPr>
    </w:p>
    <w:p w14:paraId="2871249B" w14:textId="77777777" w:rsidR="00285F95" w:rsidRPr="00285F95" w:rsidRDefault="00D56370" w:rsidP="008C4C2C">
      <w:pPr>
        <w:pStyle w:val="ListParagraph"/>
        <w:numPr>
          <w:ilvl w:val="0"/>
          <w:numId w:val="2"/>
        </w:numPr>
        <w:spacing w:after="0"/>
        <w:rPr>
          <w:sz w:val="24"/>
          <w:szCs w:val="24"/>
        </w:rPr>
      </w:pPr>
      <w:r w:rsidRPr="00285F95">
        <w:rPr>
          <w:sz w:val="24"/>
          <w:szCs w:val="24"/>
        </w:rPr>
        <w:t>T</w:t>
      </w:r>
      <w:r w:rsidR="0021479C" w:rsidRPr="00285F95">
        <w:rPr>
          <w:sz w:val="24"/>
          <w:szCs w:val="24"/>
        </w:rPr>
        <w:t xml:space="preserve">he </w:t>
      </w:r>
      <w:r w:rsidR="00511E2C" w:rsidRPr="00285F95">
        <w:rPr>
          <w:sz w:val="24"/>
          <w:szCs w:val="24"/>
        </w:rPr>
        <w:t xml:space="preserve">application </w:t>
      </w:r>
      <w:r w:rsidR="00074931" w:rsidRPr="00285F95">
        <w:rPr>
          <w:sz w:val="24"/>
          <w:szCs w:val="24"/>
        </w:rPr>
        <w:t>of donat</w:t>
      </w:r>
      <w:r w:rsidR="001E071F" w:rsidRPr="00285F95">
        <w:rPr>
          <w:sz w:val="24"/>
          <w:szCs w:val="24"/>
        </w:rPr>
        <w:t xml:space="preserve">ed funds </w:t>
      </w:r>
      <w:r w:rsidR="00303093" w:rsidRPr="00285F95">
        <w:rPr>
          <w:sz w:val="24"/>
          <w:szCs w:val="24"/>
        </w:rPr>
        <w:t xml:space="preserve">to school building funds </w:t>
      </w:r>
      <w:r w:rsidR="00511E2C" w:rsidRPr="00285F95">
        <w:rPr>
          <w:sz w:val="24"/>
          <w:szCs w:val="24"/>
        </w:rPr>
        <w:t xml:space="preserve">of course </w:t>
      </w:r>
      <w:r w:rsidR="001E071F" w:rsidRPr="00285F95">
        <w:rPr>
          <w:sz w:val="24"/>
          <w:szCs w:val="24"/>
        </w:rPr>
        <w:t xml:space="preserve">is </w:t>
      </w:r>
      <w:r w:rsidRPr="00285F95">
        <w:rPr>
          <w:sz w:val="24"/>
          <w:szCs w:val="24"/>
        </w:rPr>
        <w:t xml:space="preserve">also </w:t>
      </w:r>
      <w:r w:rsidR="00303093" w:rsidRPr="00285F95">
        <w:rPr>
          <w:sz w:val="24"/>
          <w:szCs w:val="24"/>
        </w:rPr>
        <w:t xml:space="preserve">relatively </w:t>
      </w:r>
      <w:r w:rsidR="0021479C" w:rsidRPr="00285F95">
        <w:rPr>
          <w:sz w:val="24"/>
          <w:szCs w:val="24"/>
        </w:rPr>
        <w:t xml:space="preserve">limited; </w:t>
      </w:r>
      <w:r w:rsidRPr="00285F95">
        <w:rPr>
          <w:sz w:val="24"/>
          <w:szCs w:val="24"/>
        </w:rPr>
        <w:t xml:space="preserve">being the </w:t>
      </w:r>
      <w:r w:rsidR="00074931" w:rsidRPr="00285F95">
        <w:rPr>
          <w:sz w:val="24"/>
          <w:szCs w:val="24"/>
        </w:rPr>
        <w:t xml:space="preserve">acquisition, construction or maintenance of </w:t>
      </w:r>
      <w:r w:rsidR="0021479C" w:rsidRPr="00285F95">
        <w:rPr>
          <w:sz w:val="24"/>
          <w:szCs w:val="24"/>
        </w:rPr>
        <w:t xml:space="preserve">school </w:t>
      </w:r>
      <w:r w:rsidR="00074931" w:rsidRPr="00285F95">
        <w:rPr>
          <w:sz w:val="24"/>
          <w:szCs w:val="24"/>
        </w:rPr>
        <w:t>buildings</w:t>
      </w:r>
      <w:r w:rsidR="004312BD" w:rsidRPr="00285F95">
        <w:rPr>
          <w:sz w:val="24"/>
          <w:szCs w:val="24"/>
        </w:rPr>
        <w:t>.</w:t>
      </w:r>
      <w:r w:rsidR="00074931" w:rsidRPr="00285F95">
        <w:rPr>
          <w:sz w:val="24"/>
          <w:szCs w:val="24"/>
        </w:rPr>
        <w:t xml:space="preserve">  </w:t>
      </w:r>
      <w:r w:rsidR="00303093" w:rsidRPr="00285F95">
        <w:rPr>
          <w:sz w:val="24"/>
          <w:szCs w:val="24"/>
        </w:rPr>
        <w:t xml:space="preserve">Anecdotally, </w:t>
      </w:r>
      <w:r w:rsidR="001E071F" w:rsidRPr="00285F95">
        <w:rPr>
          <w:sz w:val="24"/>
          <w:szCs w:val="24"/>
        </w:rPr>
        <w:t>‘</w:t>
      </w:r>
      <w:r w:rsidR="00303093" w:rsidRPr="00285F95">
        <w:rPr>
          <w:sz w:val="24"/>
          <w:szCs w:val="24"/>
        </w:rPr>
        <w:t>m</w:t>
      </w:r>
      <w:r w:rsidR="001E071F" w:rsidRPr="00285F95">
        <w:rPr>
          <w:sz w:val="24"/>
          <w:szCs w:val="24"/>
        </w:rPr>
        <w:t xml:space="preserve">aintenance’ of school buildings is a </w:t>
      </w:r>
      <w:r w:rsidR="00303093" w:rsidRPr="00285F95">
        <w:rPr>
          <w:sz w:val="24"/>
          <w:szCs w:val="24"/>
        </w:rPr>
        <w:t xml:space="preserve">very </w:t>
      </w:r>
      <w:r w:rsidR="001E071F" w:rsidRPr="00285F95">
        <w:rPr>
          <w:sz w:val="24"/>
          <w:szCs w:val="24"/>
        </w:rPr>
        <w:t xml:space="preserve">grey area, </w:t>
      </w:r>
      <w:r w:rsidR="00FA2E84">
        <w:rPr>
          <w:sz w:val="24"/>
          <w:szCs w:val="24"/>
        </w:rPr>
        <w:t xml:space="preserve">for example </w:t>
      </w:r>
      <w:r w:rsidR="0059002E">
        <w:rPr>
          <w:sz w:val="24"/>
          <w:szCs w:val="24"/>
        </w:rPr>
        <w:t xml:space="preserve">is a </w:t>
      </w:r>
      <w:r w:rsidR="001E071F" w:rsidRPr="00285F95">
        <w:rPr>
          <w:sz w:val="24"/>
          <w:szCs w:val="24"/>
        </w:rPr>
        <w:t>donation</w:t>
      </w:r>
      <w:r w:rsidR="0059002E">
        <w:rPr>
          <w:sz w:val="24"/>
          <w:szCs w:val="24"/>
        </w:rPr>
        <w:t xml:space="preserve"> a legitimate </w:t>
      </w:r>
      <w:r w:rsidR="001E071F" w:rsidRPr="00285F95">
        <w:rPr>
          <w:sz w:val="24"/>
          <w:szCs w:val="24"/>
        </w:rPr>
        <w:t>tax deducti</w:t>
      </w:r>
      <w:r w:rsidR="0059002E">
        <w:rPr>
          <w:sz w:val="24"/>
          <w:szCs w:val="24"/>
        </w:rPr>
        <w:t xml:space="preserve">on when it is spent on the </w:t>
      </w:r>
      <w:r w:rsidR="001E071F" w:rsidRPr="00285F95">
        <w:rPr>
          <w:sz w:val="24"/>
          <w:szCs w:val="24"/>
        </w:rPr>
        <w:t xml:space="preserve">installation of a new </w:t>
      </w:r>
      <w:r w:rsidR="0059002E">
        <w:rPr>
          <w:sz w:val="24"/>
          <w:szCs w:val="24"/>
        </w:rPr>
        <w:t xml:space="preserve">or replacement </w:t>
      </w:r>
      <w:r w:rsidR="001E071F" w:rsidRPr="00285F95">
        <w:rPr>
          <w:sz w:val="24"/>
          <w:szCs w:val="24"/>
        </w:rPr>
        <w:t xml:space="preserve">shade cover </w:t>
      </w:r>
      <w:r w:rsidR="00303093" w:rsidRPr="00285F95">
        <w:rPr>
          <w:sz w:val="24"/>
          <w:szCs w:val="24"/>
        </w:rPr>
        <w:t xml:space="preserve">structure </w:t>
      </w:r>
      <w:r w:rsidR="0059002E">
        <w:rPr>
          <w:sz w:val="24"/>
          <w:szCs w:val="24"/>
        </w:rPr>
        <w:t xml:space="preserve">that is </w:t>
      </w:r>
      <w:r w:rsidR="001E071F" w:rsidRPr="00285F95">
        <w:rPr>
          <w:sz w:val="24"/>
          <w:szCs w:val="24"/>
        </w:rPr>
        <w:t>a</w:t>
      </w:r>
      <w:r w:rsidR="00285F95" w:rsidRPr="00285F95">
        <w:rPr>
          <w:sz w:val="24"/>
          <w:szCs w:val="24"/>
        </w:rPr>
        <w:t>ttached to an existing building</w:t>
      </w:r>
      <w:r w:rsidR="00FA2E84">
        <w:rPr>
          <w:sz w:val="24"/>
          <w:szCs w:val="24"/>
        </w:rPr>
        <w:t>?</w:t>
      </w:r>
    </w:p>
    <w:p w14:paraId="179614AB" w14:textId="77777777" w:rsidR="00285F95" w:rsidRDefault="00285F95" w:rsidP="00285F95">
      <w:pPr>
        <w:pStyle w:val="ListParagraph"/>
        <w:spacing w:after="0"/>
        <w:rPr>
          <w:sz w:val="24"/>
          <w:szCs w:val="24"/>
        </w:rPr>
      </w:pPr>
    </w:p>
    <w:p w14:paraId="73A3AD19" w14:textId="77777777" w:rsidR="00511E2C" w:rsidRDefault="00A30AA3" w:rsidP="000B5A8F">
      <w:pPr>
        <w:pStyle w:val="ListParagraph"/>
        <w:numPr>
          <w:ilvl w:val="0"/>
          <w:numId w:val="2"/>
        </w:numPr>
        <w:spacing w:after="0"/>
        <w:rPr>
          <w:sz w:val="24"/>
          <w:szCs w:val="24"/>
        </w:rPr>
      </w:pPr>
      <w:r>
        <w:rPr>
          <w:sz w:val="24"/>
          <w:szCs w:val="24"/>
        </w:rPr>
        <w:t>There were</w:t>
      </w:r>
      <w:r w:rsidR="00317C9D">
        <w:rPr>
          <w:sz w:val="24"/>
          <w:szCs w:val="24"/>
        </w:rPr>
        <w:t xml:space="preserve"> </w:t>
      </w:r>
      <w:r>
        <w:rPr>
          <w:sz w:val="24"/>
          <w:szCs w:val="24"/>
        </w:rPr>
        <w:t xml:space="preserve">495 scholarship funds in 2011-12. </w:t>
      </w:r>
      <w:r>
        <w:rPr>
          <w:rStyle w:val="FootnoteReference"/>
          <w:sz w:val="24"/>
          <w:szCs w:val="24"/>
        </w:rPr>
        <w:footnoteReference w:id="3"/>
      </w:r>
      <w:r>
        <w:rPr>
          <w:sz w:val="24"/>
          <w:szCs w:val="24"/>
        </w:rPr>
        <w:t xml:space="preserve"> </w:t>
      </w:r>
      <w:r w:rsidR="00317C9D">
        <w:rPr>
          <w:sz w:val="24"/>
          <w:szCs w:val="24"/>
        </w:rPr>
        <w:t>P&amp;Cs Qld contends that t</w:t>
      </w:r>
      <w:r w:rsidR="00074931">
        <w:rPr>
          <w:sz w:val="24"/>
          <w:szCs w:val="24"/>
        </w:rPr>
        <w:t xml:space="preserve">he </w:t>
      </w:r>
      <w:r w:rsidR="00D56370">
        <w:rPr>
          <w:sz w:val="24"/>
          <w:szCs w:val="24"/>
        </w:rPr>
        <w:t xml:space="preserve">ability </w:t>
      </w:r>
      <w:r>
        <w:rPr>
          <w:sz w:val="24"/>
          <w:szCs w:val="24"/>
        </w:rPr>
        <w:t xml:space="preserve">of students </w:t>
      </w:r>
      <w:r w:rsidR="00D56370">
        <w:rPr>
          <w:sz w:val="24"/>
          <w:szCs w:val="24"/>
        </w:rPr>
        <w:t xml:space="preserve">to benefit from scholarship </w:t>
      </w:r>
      <w:r w:rsidR="00074931">
        <w:rPr>
          <w:sz w:val="24"/>
          <w:szCs w:val="24"/>
        </w:rPr>
        <w:t xml:space="preserve">funds </w:t>
      </w:r>
      <w:r>
        <w:rPr>
          <w:sz w:val="24"/>
          <w:szCs w:val="24"/>
        </w:rPr>
        <w:t>also</w:t>
      </w:r>
      <w:r w:rsidR="00511E2C">
        <w:rPr>
          <w:sz w:val="24"/>
          <w:szCs w:val="24"/>
        </w:rPr>
        <w:t xml:space="preserve"> clearly</w:t>
      </w:r>
      <w:r>
        <w:rPr>
          <w:sz w:val="24"/>
          <w:szCs w:val="24"/>
        </w:rPr>
        <w:t xml:space="preserve"> </w:t>
      </w:r>
      <w:r w:rsidR="00074931">
        <w:rPr>
          <w:sz w:val="24"/>
          <w:szCs w:val="24"/>
        </w:rPr>
        <w:t>favour</w:t>
      </w:r>
      <w:r w:rsidR="00D56370">
        <w:rPr>
          <w:sz w:val="24"/>
          <w:szCs w:val="24"/>
        </w:rPr>
        <w:t>s</w:t>
      </w:r>
      <w:r w:rsidR="00074931">
        <w:rPr>
          <w:sz w:val="24"/>
          <w:szCs w:val="24"/>
        </w:rPr>
        <w:t xml:space="preserve"> </w:t>
      </w:r>
      <w:r w:rsidR="00317C9D">
        <w:rPr>
          <w:sz w:val="24"/>
          <w:szCs w:val="24"/>
        </w:rPr>
        <w:t xml:space="preserve">independent </w:t>
      </w:r>
      <w:r w:rsidR="00074931">
        <w:rPr>
          <w:sz w:val="24"/>
          <w:szCs w:val="24"/>
        </w:rPr>
        <w:t xml:space="preserve">schools with higher income parents rather than those catering for the </w:t>
      </w:r>
      <w:r w:rsidR="00511E2C">
        <w:rPr>
          <w:sz w:val="24"/>
          <w:szCs w:val="24"/>
        </w:rPr>
        <w:t>mainstream</w:t>
      </w:r>
      <w:r w:rsidR="00074931">
        <w:rPr>
          <w:sz w:val="24"/>
          <w:szCs w:val="24"/>
        </w:rPr>
        <w:t xml:space="preserve"> of Australian school students</w:t>
      </w:r>
      <w:r>
        <w:rPr>
          <w:sz w:val="24"/>
          <w:szCs w:val="24"/>
        </w:rPr>
        <w:t>.</w:t>
      </w:r>
      <w:r w:rsidR="0059002E">
        <w:rPr>
          <w:sz w:val="24"/>
          <w:szCs w:val="24"/>
        </w:rPr>
        <w:t xml:space="preserve">  Government schools do not charge school fees and therefore they do not need to raise funds for scholarships.</w:t>
      </w:r>
    </w:p>
    <w:p w14:paraId="69349523" w14:textId="77777777" w:rsidR="00285F95" w:rsidRDefault="00285F95" w:rsidP="00285F95">
      <w:pPr>
        <w:pStyle w:val="ListParagraph"/>
        <w:spacing w:after="0"/>
        <w:rPr>
          <w:sz w:val="24"/>
          <w:szCs w:val="24"/>
        </w:rPr>
      </w:pPr>
    </w:p>
    <w:p w14:paraId="214A3FB3" w14:textId="77777777" w:rsidR="00047C0D" w:rsidRDefault="001E071F" w:rsidP="00881921">
      <w:pPr>
        <w:pStyle w:val="ListParagraph"/>
        <w:numPr>
          <w:ilvl w:val="0"/>
          <w:numId w:val="2"/>
        </w:numPr>
        <w:spacing w:after="0"/>
        <w:rPr>
          <w:sz w:val="24"/>
          <w:szCs w:val="24"/>
        </w:rPr>
      </w:pPr>
      <w:r>
        <w:rPr>
          <w:sz w:val="24"/>
          <w:szCs w:val="24"/>
        </w:rPr>
        <w:t xml:space="preserve">In </w:t>
      </w:r>
      <w:r w:rsidR="00D15EA0">
        <w:rPr>
          <w:sz w:val="24"/>
          <w:szCs w:val="24"/>
        </w:rPr>
        <w:t xml:space="preserve">2000, </w:t>
      </w:r>
      <w:r w:rsidR="004312BD">
        <w:rPr>
          <w:sz w:val="24"/>
          <w:szCs w:val="24"/>
        </w:rPr>
        <w:t>Deduct</w:t>
      </w:r>
      <w:r w:rsidR="00403BC6">
        <w:rPr>
          <w:sz w:val="24"/>
          <w:szCs w:val="24"/>
        </w:rPr>
        <w:t>i</w:t>
      </w:r>
      <w:r w:rsidR="004312BD">
        <w:rPr>
          <w:sz w:val="24"/>
          <w:szCs w:val="24"/>
        </w:rPr>
        <w:t xml:space="preserve">ble Gift Recipient status </w:t>
      </w:r>
      <w:r w:rsidR="00303093">
        <w:rPr>
          <w:sz w:val="24"/>
          <w:szCs w:val="24"/>
        </w:rPr>
        <w:t>for</w:t>
      </w:r>
      <w:r w:rsidR="00511E2C">
        <w:rPr>
          <w:sz w:val="24"/>
          <w:szCs w:val="24"/>
        </w:rPr>
        <w:t xml:space="preserve"> </w:t>
      </w:r>
      <w:r w:rsidR="004312BD">
        <w:rPr>
          <w:sz w:val="24"/>
          <w:szCs w:val="24"/>
        </w:rPr>
        <w:t>donat</w:t>
      </w:r>
      <w:r w:rsidR="00D15EA0">
        <w:rPr>
          <w:sz w:val="24"/>
          <w:szCs w:val="24"/>
        </w:rPr>
        <w:t xml:space="preserve">ions to </w:t>
      </w:r>
      <w:r w:rsidR="00D15EA0" w:rsidRPr="001E071F">
        <w:rPr>
          <w:sz w:val="24"/>
          <w:szCs w:val="24"/>
        </w:rPr>
        <w:t>schools</w:t>
      </w:r>
      <w:r w:rsidR="00284A05" w:rsidRPr="00D56370">
        <w:rPr>
          <w:b/>
          <w:sz w:val="24"/>
          <w:szCs w:val="24"/>
        </w:rPr>
        <w:t xml:space="preserve"> </w:t>
      </w:r>
      <w:r w:rsidR="009429E5">
        <w:rPr>
          <w:sz w:val="24"/>
          <w:szCs w:val="24"/>
        </w:rPr>
        <w:t xml:space="preserve">was introduced </w:t>
      </w:r>
      <w:r w:rsidR="004312BD">
        <w:rPr>
          <w:sz w:val="24"/>
          <w:szCs w:val="24"/>
        </w:rPr>
        <w:t xml:space="preserve">for a tiny </w:t>
      </w:r>
      <w:r w:rsidR="00881921" w:rsidRPr="00881921">
        <w:rPr>
          <w:sz w:val="24"/>
          <w:szCs w:val="24"/>
        </w:rPr>
        <w:t>fragment</w:t>
      </w:r>
      <w:r w:rsidR="004312BD">
        <w:rPr>
          <w:sz w:val="24"/>
          <w:szCs w:val="24"/>
        </w:rPr>
        <w:t xml:space="preserve"> of the 9,435 schools in Australia</w:t>
      </w:r>
      <w:r w:rsidR="00D56370">
        <w:rPr>
          <w:sz w:val="24"/>
          <w:szCs w:val="24"/>
        </w:rPr>
        <w:t>;</w:t>
      </w:r>
      <w:r w:rsidR="004312BD">
        <w:rPr>
          <w:sz w:val="24"/>
          <w:szCs w:val="24"/>
        </w:rPr>
        <w:t xml:space="preserve"> </w:t>
      </w:r>
      <w:r w:rsidR="00A30AA3">
        <w:rPr>
          <w:sz w:val="24"/>
          <w:szCs w:val="24"/>
        </w:rPr>
        <w:t>2</w:t>
      </w:r>
      <w:r w:rsidR="004312BD">
        <w:rPr>
          <w:sz w:val="24"/>
          <w:szCs w:val="24"/>
        </w:rPr>
        <w:t xml:space="preserve">20 </w:t>
      </w:r>
      <w:r w:rsidR="00BA3F50" w:rsidRPr="00FA2E84">
        <w:rPr>
          <w:b/>
          <w:sz w:val="24"/>
          <w:szCs w:val="24"/>
        </w:rPr>
        <w:t>government</w:t>
      </w:r>
      <w:r w:rsidR="005347CD" w:rsidRPr="00FA2E84">
        <w:rPr>
          <w:b/>
          <w:sz w:val="24"/>
          <w:szCs w:val="24"/>
        </w:rPr>
        <w:t xml:space="preserve"> </w:t>
      </w:r>
      <w:r w:rsidR="004312BD" w:rsidRPr="00FA2E84">
        <w:rPr>
          <w:b/>
          <w:sz w:val="24"/>
          <w:szCs w:val="24"/>
        </w:rPr>
        <w:t>s</w:t>
      </w:r>
      <w:r w:rsidR="004312BD" w:rsidRPr="001E071F">
        <w:rPr>
          <w:b/>
          <w:sz w:val="24"/>
          <w:szCs w:val="24"/>
        </w:rPr>
        <w:t>pecial schools</w:t>
      </w:r>
      <w:r w:rsidR="004312BD">
        <w:rPr>
          <w:sz w:val="24"/>
          <w:szCs w:val="24"/>
        </w:rPr>
        <w:t xml:space="preserve">, or </w:t>
      </w:r>
      <w:r w:rsidR="00A30AA3">
        <w:rPr>
          <w:sz w:val="24"/>
          <w:szCs w:val="24"/>
        </w:rPr>
        <w:t>2</w:t>
      </w:r>
      <w:r w:rsidR="004312BD">
        <w:rPr>
          <w:sz w:val="24"/>
          <w:szCs w:val="24"/>
        </w:rPr>
        <w:t>.</w:t>
      </w:r>
      <w:r w:rsidR="00A30AA3">
        <w:rPr>
          <w:sz w:val="24"/>
          <w:szCs w:val="24"/>
        </w:rPr>
        <w:t>3</w:t>
      </w:r>
      <w:r w:rsidR="004312BD">
        <w:rPr>
          <w:sz w:val="24"/>
          <w:szCs w:val="24"/>
        </w:rPr>
        <w:t>% of all schools</w:t>
      </w:r>
      <w:r w:rsidR="00BA78F3">
        <w:rPr>
          <w:rStyle w:val="FootnoteReference"/>
          <w:sz w:val="24"/>
          <w:szCs w:val="24"/>
        </w:rPr>
        <w:footnoteReference w:id="4"/>
      </w:r>
      <w:r w:rsidR="004312BD">
        <w:rPr>
          <w:sz w:val="24"/>
          <w:szCs w:val="24"/>
        </w:rPr>
        <w:t>.</w:t>
      </w:r>
      <w:r w:rsidR="00403BC6">
        <w:rPr>
          <w:sz w:val="24"/>
          <w:szCs w:val="24"/>
        </w:rPr>
        <w:t xml:space="preserve"> </w:t>
      </w:r>
      <w:r w:rsidR="00BA78F3">
        <w:rPr>
          <w:sz w:val="24"/>
          <w:szCs w:val="24"/>
        </w:rPr>
        <w:t xml:space="preserve"> In Queensland</w:t>
      </w:r>
      <w:r w:rsidR="00303093">
        <w:rPr>
          <w:sz w:val="24"/>
          <w:szCs w:val="24"/>
        </w:rPr>
        <w:t>,</w:t>
      </w:r>
      <w:r w:rsidR="00BA78F3">
        <w:rPr>
          <w:sz w:val="24"/>
          <w:szCs w:val="24"/>
        </w:rPr>
        <w:t xml:space="preserve"> 4</w:t>
      </w:r>
      <w:r w:rsidR="008557DF">
        <w:rPr>
          <w:sz w:val="24"/>
          <w:szCs w:val="24"/>
        </w:rPr>
        <w:t>3</w:t>
      </w:r>
      <w:r w:rsidR="00BA78F3">
        <w:rPr>
          <w:sz w:val="24"/>
          <w:szCs w:val="24"/>
        </w:rPr>
        <w:t xml:space="preserve"> </w:t>
      </w:r>
      <w:r>
        <w:rPr>
          <w:sz w:val="24"/>
          <w:szCs w:val="24"/>
        </w:rPr>
        <w:t>s</w:t>
      </w:r>
      <w:r w:rsidR="00403BC6">
        <w:rPr>
          <w:sz w:val="24"/>
          <w:szCs w:val="24"/>
        </w:rPr>
        <w:t xml:space="preserve">chools are covered </w:t>
      </w:r>
      <w:r w:rsidR="00BA78F3">
        <w:rPr>
          <w:sz w:val="24"/>
          <w:szCs w:val="24"/>
        </w:rPr>
        <w:t>by this provision</w:t>
      </w:r>
      <w:r w:rsidR="009429E5">
        <w:rPr>
          <w:sz w:val="24"/>
          <w:szCs w:val="24"/>
        </w:rPr>
        <w:t>;</w:t>
      </w:r>
      <w:r w:rsidR="00BA78F3">
        <w:rPr>
          <w:sz w:val="24"/>
          <w:szCs w:val="24"/>
        </w:rPr>
        <w:t xml:space="preserve"> </w:t>
      </w:r>
      <w:r w:rsidR="00074931">
        <w:rPr>
          <w:sz w:val="24"/>
          <w:szCs w:val="24"/>
        </w:rPr>
        <w:t xml:space="preserve">about </w:t>
      </w:r>
      <w:r w:rsidR="008557DF">
        <w:rPr>
          <w:sz w:val="24"/>
          <w:szCs w:val="24"/>
        </w:rPr>
        <w:t>3</w:t>
      </w:r>
      <w:r w:rsidR="00A30AA3">
        <w:rPr>
          <w:sz w:val="24"/>
          <w:szCs w:val="24"/>
        </w:rPr>
        <w:t>.</w:t>
      </w:r>
      <w:r w:rsidR="008557DF">
        <w:rPr>
          <w:sz w:val="24"/>
          <w:szCs w:val="24"/>
        </w:rPr>
        <w:t>4</w:t>
      </w:r>
      <w:r w:rsidR="00074931" w:rsidRPr="008557DF">
        <w:rPr>
          <w:sz w:val="24"/>
          <w:szCs w:val="24"/>
        </w:rPr>
        <w:t>% of the total number of State schools.</w:t>
      </w:r>
      <w:r>
        <w:rPr>
          <w:sz w:val="24"/>
          <w:szCs w:val="24"/>
        </w:rPr>
        <w:t xml:space="preserve">  Th</w:t>
      </w:r>
      <w:r w:rsidR="00303093">
        <w:rPr>
          <w:sz w:val="24"/>
          <w:szCs w:val="24"/>
        </w:rPr>
        <w:t>is</w:t>
      </w:r>
      <w:r>
        <w:rPr>
          <w:sz w:val="24"/>
          <w:szCs w:val="24"/>
        </w:rPr>
        <w:t xml:space="preserve"> DGR </w:t>
      </w:r>
      <w:r w:rsidR="00303093">
        <w:rPr>
          <w:sz w:val="24"/>
          <w:szCs w:val="24"/>
        </w:rPr>
        <w:t xml:space="preserve">actually </w:t>
      </w:r>
      <w:r>
        <w:rPr>
          <w:sz w:val="24"/>
          <w:szCs w:val="24"/>
        </w:rPr>
        <w:t>applies directly to the school itself, not the parent support organisation which support the school.</w:t>
      </w:r>
      <w:r w:rsidR="001270E8">
        <w:rPr>
          <w:sz w:val="24"/>
          <w:szCs w:val="24"/>
        </w:rPr>
        <w:t xml:space="preserve">  This allows donations to be tax deductible when made directly to the school.</w:t>
      </w:r>
    </w:p>
    <w:p w14:paraId="387A83A7" w14:textId="77777777" w:rsidR="00285F95" w:rsidRPr="008557DF" w:rsidRDefault="00285F95" w:rsidP="00285F95">
      <w:pPr>
        <w:pStyle w:val="ListParagraph"/>
        <w:spacing w:after="0"/>
        <w:rPr>
          <w:sz w:val="24"/>
          <w:szCs w:val="24"/>
        </w:rPr>
      </w:pPr>
    </w:p>
    <w:p w14:paraId="4F197E66" w14:textId="77777777" w:rsidR="00511E2C" w:rsidRDefault="00317C9D" w:rsidP="00403BC6">
      <w:pPr>
        <w:pStyle w:val="ListParagraph"/>
        <w:numPr>
          <w:ilvl w:val="0"/>
          <w:numId w:val="2"/>
        </w:numPr>
        <w:spacing w:after="0"/>
        <w:rPr>
          <w:sz w:val="24"/>
          <w:szCs w:val="24"/>
        </w:rPr>
      </w:pPr>
      <w:r>
        <w:rPr>
          <w:sz w:val="24"/>
          <w:szCs w:val="24"/>
        </w:rPr>
        <w:t>Prima facie</w:t>
      </w:r>
      <w:r w:rsidR="00BA3F50">
        <w:rPr>
          <w:sz w:val="24"/>
          <w:szCs w:val="24"/>
        </w:rPr>
        <w:t>;</w:t>
      </w:r>
      <w:r>
        <w:rPr>
          <w:sz w:val="24"/>
          <w:szCs w:val="24"/>
        </w:rPr>
        <w:t xml:space="preserve"> s</w:t>
      </w:r>
      <w:r w:rsidR="00511E2C">
        <w:rPr>
          <w:sz w:val="24"/>
          <w:szCs w:val="24"/>
        </w:rPr>
        <w:t xml:space="preserve">pecial </w:t>
      </w:r>
      <w:r>
        <w:rPr>
          <w:sz w:val="24"/>
          <w:szCs w:val="24"/>
        </w:rPr>
        <w:t>s</w:t>
      </w:r>
      <w:r w:rsidR="00511E2C">
        <w:rPr>
          <w:sz w:val="24"/>
          <w:szCs w:val="24"/>
        </w:rPr>
        <w:t>chools</w:t>
      </w:r>
      <w:r w:rsidR="001E071F">
        <w:rPr>
          <w:sz w:val="24"/>
          <w:szCs w:val="24"/>
        </w:rPr>
        <w:t xml:space="preserve"> </w:t>
      </w:r>
      <w:r w:rsidR="00881921">
        <w:rPr>
          <w:sz w:val="24"/>
          <w:szCs w:val="24"/>
        </w:rPr>
        <w:t>would</w:t>
      </w:r>
      <w:r w:rsidR="001E071F">
        <w:rPr>
          <w:sz w:val="24"/>
          <w:szCs w:val="24"/>
        </w:rPr>
        <w:t xml:space="preserve"> </w:t>
      </w:r>
      <w:r w:rsidR="001270E8">
        <w:rPr>
          <w:sz w:val="24"/>
          <w:szCs w:val="24"/>
        </w:rPr>
        <w:t xml:space="preserve">also </w:t>
      </w:r>
      <w:r w:rsidR="00511E2C">
        <w:rPr>
          <w:sz w:val="24"/>
          <w:szCs w:val="24"/>
        </w:rPr>
        <w:t xml:space="preserve">appear to be </w:t>
      </w:r>
      <w:r w:rsidR="00303093">
        <w:rPr>
          <w:sz w:val="24"/>
          <w:szCs w:val="24"/>
        </w:rPr>
        <w:t xml:space="preserve">as </w:t>
      </w:r>
      <w:r w:rsidR="00511E2C">
        <w:rPr>
          <w:sz w:val="24"/>
          <w:szCs w:val="24"/>
        </w:rPr>
        <w:t xml:space="preserve">eligible as </w:t>
      </w:r>
      <w:r w:rsidR="001E071F">
        <w:rPr>
          <w:sz w:val="24"/>
          <w:szCs w:val="24"/>
        </w:rPr>
        <w:t xml:space="preserve">any other </w:t>
      </w:r>
      <w:r w:rsidR="00511E2C">
        <w:rPr>
          <w:sz w:val="24"/>
          <w:szCs w:val="24"/>
        </w:rPr>
        <w:t>DGR entit</w:t>
      </w:r>
      <w:r w:rsidR="001E071F">
        <w:rPr>
          <w:sz w:val="24"/>
          <w:szCs w:val="24"/>
        </w:rPr>
        <w:t>y</w:t>
      </w:r>
      <w:r w:rsidR="00511E2C">
        <w:rPr>
          <w:sz w:val="24"/>
          <w:szCs w:val="24"/>
        </w:rPr>
        <w:t xml:space="preserve"> to seek grant funds from those </w:t>
      </w:r>
      <w:r>
        <w:rPr>
          <w:sz w:val="24"/>
          <w:szCs w:val="24"/>
        </w:rPr>
        <w:t xml:space="preserve">DGR </w:t>
      </w:r>
      <w:r w:rsidR="00511E2C">
        <w:rPr>
          <w:sz w:val="24"/>
          <w:szCs w:val="24"/>
        </w:rPr>
        <w:t xml:space="preserve">charities which are limited to making grants to DGR applicants, however, these </w:t>
      </w:r>
      <w:r w:rsidR="008C6716">
        <w:rPr>
          <w:sz w:val="24"/>
          <w:szCs w:val="24"/>
        </w:rPr>
        <w:t>philanthropic bodies</w:t>
      </w:r>
      <w:r w:rsidR="00511E2C">
        <w:rPr>
          <w:sz w:val="24"/>
          <w:szCs w:val="24"/>
        </w:rPr>
        <w:t xml:space="preserve"> also require the applicants to possess status as a </w:t>
      </w:r>
      <w:r w:rsidR="00346A55">
        <w:rPr>
          <w:sz w:val="24"/>
          <w:szCs w:val="24"/>
        </w:rPr>
        <w:t>tax concession</w:t>
      </w:r>
      <w:r w:rsidR="00511E2C">
        <w:rPr>
          <w:sz w:val="24"/>
          <w:szCs w:val="24"/>
        </w:rPr>
        <w:t xml:space="preserve"> charity which </w:t>
      </w:r>
      <w:r>
        <w:rPr>
          <w:sz w:val="24"/>
          <w:szCs w:val="24"/>
        </w:rPr>
        <w:t>s</w:t>
      </w:r>
      <w:r w:rsidR="00511E2C">
        <w:rPr>
          <w:sz w:val="24"/>
          <w:szCs w:val="24"/>
        </w:rPr>
        <w:t xml:space="preserve">pecial </w:t>
      </w:r>
      <w:r>
        <w:rPr>
          <w:sz w:val="24"/>
          <w:szCs w:val="24"/>
        </w:rPr>
        <w:t>s</w:t>
      </w:r>
      <w:r w:rsidR="00511E2C">
        <w:rPr>
          <w:sz w:val="24"/>
          <w:szCs w:val="24"/>
        </w:rPr>
        <w:t>chools (being government bodies) do not possess.</w:t>
      </w:r>
    </w:p>
    <w:p w14:paraId="2012FC01" w14:textId="77777777" w:rsidR="00285F95" w:rsidRDefault="00285F95" w:rsidP="00285F95">
      <w:pPr>
        <w:pStyle w:val="ListParagraph"/>
        <w:spacing w:after="0"/>
        <w:rPr>
          <w:sz w:val="24"/>
          <w:szCs w:val="24"/>
        </w:rPr>
      </w:pPr>
    </w:p>
    <w:p w14:paraId="135A69E3" w14:textId="77777777" w:rsidR="00FA2E84" w:rsidRDefault="00511E2C" w:rsidP="00FA2E84">
      <w:pPr>
        <w:pStyle w:val="ListParagraph"/>
        <w:numPr>
          <w:ilvl w:val="0"/>
          <w:numId w:val="2"/>
        </w:numPr>
        <w:spacing w:after="0"/>
        <w:rPr>
          <w:sz w:val="24"/>
          <w:szCs w:val="24"/>
        </w:rPr>
      </w:pPr>
      <w:r>
        <w:rPr>
          <w:sz w:val="24"/>
          <w:szCs w:val="24"/>
        </w:rPr>
        <w:t xml:space="preserve">In summary, there are </w:t>
      </w:r>
      <w:r w:rsidR="008C6716">
        <w:rPr>
          <w:sz w:val="24"/>
          <w:szCs w:val="24"/>
        </w:rPr>
        <w:t xml:space="preserve">relatively </w:t>
      </w:r>
      <w:r>
        <w:rPr>
          <w:sz w:val="24"/>
          <w:szCs w:val="24"/>
        </w:rPr>
        <w:t>few options for schools</w:t>
      </w:r>
      <w:r w:rsidR="00303093">
        <w:rPr>
          <w:sz w:val="24"/>
          <w:szCs w:val="24"/>
        </w:rPr>
        <w:t xml:space="preserve"> to seek </w:t>
      </w:r>
      <w:r w:rsidR="008C6716" w:rsidRPr="008C6716">
        <w:rPr>
          <w:sz w:val="24"/>
          <w:szCs w:val="24"/>
        </w:rPr>
        <w:t xml:space="preserve">philanthropic </w:t>
      </w:r>
      <w:r w:rsidR="00303093">
        <w:rPr>
          <w:sz w:val="24"/>
          <w:szCs w:val="24"/>
        </w:rPr>
        <w:t>donations.  I</w:t>
      </w:r>
      <w:r w:rsidR="00AB55DE">
        <w:rPr>
          <w:sz w:val="24"/>
          <w:szCs w:val="24"/>
        </w:rPr>
        <w:t>n particular</w:t>
      </w:r>
      <w:r w:rsidR="00303093">
        <w:rPr>
          <w:sz w:val="24"/>
          <w:szCs w:val="24"/>
        </w:rPr>
        <w:t>,</w:t>
      </w:r>
      <w:r w:rsidR="00AB55DE">
        <w:rPr>
          <w:sz w:val="24"/>
          <w:szCs w:val="24"/>
        </w:rPr>
        <w:t xml:space="preserve"> state schools</w:t>
      </w:r>
      <w:r>
        <w:rPr>
          <w:sz w:val="24"/>
          <w:szCs w:val="24"/>
        </w:rPr>
        <w:t xml:space="preserve"> </w:t>
      </w:r>
      <w:r w:rsidR="00BA3F50">
        <w:rPr>
          <w:sz w:val="24"/>
          <w:szCs w:val="24"/>
        </w:rPr>
        <w:t xml:space="preserve">(including special schools) </w:t>
      </w:r>
      <w:r w:rsidR="00AB55DE">
        <w:rPr>
          <w:sz w:val="24"/>
          <w:szCs w:val="24"/>
        </w:rPr>
        <w:t xml:space="preserve">and their relevant parent support organisations </w:t>
      </w:r>
      <w:r w:rsidR="00C36BF2">
        <w:rPr>
          <w:sz w:val="24"/>
          <w:szCs w:val="24"/>
        </w:rPr>
        <w:t xml:space="preserve">are ineligible </w:t>
      </w:r>
      <w:r w:rsidR="00FA2E84">
        <w:rPr>
          <w:sz w:val="24"/>
          <w:szCs w:val="24"/>
        </w:rPr>
        <w:t>from applying for</w:t>
      </w:r>
      <w:r w:rsidR="00AB55DE">
        <w:rPr>
          <w:sz w:val="24"/>
          <w:szCs w:val="24"/>
        </w:rPr>
        <w:t xml:space="preserve"> </w:t>
      </w:r>
      <w:r w:rsidR="008C6716">
        <w:rPr>
          <w:sz w:val="24"/>
          <w:szCs w:val="24"/>
        </w:rPr>
        <w:t>most</w:t>
      </w:r>
      <w:r>
        <w:rPr>
          <w:sz w:val="24"/>
          <w:szCs w:val="24"/>
        </w:rPr>
        <w:t xml:space="preserve"> grants</w:t>
      </w:r>
      <w:r w:rsidR="00AB55DE">
        <w:rPr>
          <w:sz w:val="24"/>
          <w:szCs w:val="24"/>
        </w:rPr>
        <w:t xml:space="preserve"> for school activities and projects.  </w:t>
      </w:r>
      <w:r w:rsidR="008C6716" w:rsidRPr="00FA2E84">
        <w:rPr>
          <w:sz w:val="24"/>
          <w:szCs w:val="24"/>
        </w:rPr>
        <w:t>A</w:t>
      </w:r>
      <w:r w:rsidR="00AB55DE" w:rsidRPr="00FA2E84">
        <w:rPr>
          <w:sz w:val="24"/>
          <w:szCs w:val="24"/>
        </w:rPr>
        <w:t xml:space="preserve">lmost all </w:t>
      </w:r>
      <w:r w:rsidR="001E071F" w:rsidRPr="00FA2E84">
        <w:rPr>
          <w:sz w:val="24"/>
          <w:szCs w:val="24"/>
        </w:rPr>
        <w:t xml:space="preserve">philanthropic </w:t>
      </w:r>
      <w:r w:rsidR="00317C9D" w:rsidRPr="00FA2E84">
        <w:rPr>
          <w:sz w:val="24"/>
          <w:szCs w:val="24"/>
        </w:rPr>
        <w:t xml:space="preserve">sources </w:t>
      </w:r>
      <w:r w:rsidR="00AB55DE" w:rsidRPr="00FA2E84">
        <w:rPr>
          <w:sz w:val="24"/>
          <w:szCs w:val="24"/>
        </w:rPr>
        <w:t xml:space="preserve">are not permitted to provide funds to </w:t>
      </w:r>
      <w:r w:rsidR="00317C9D" w:rsidRPr="00FA2E84">
        <w:rPr>
          <w:sz w:val="24"/>
          <w:szCs w:val="24"/>
        </w:rPr>
        <w:t>applicants wh</w:t>
      </w:r>
      <w:r w:rsidR="00AB55DE" w:rsidRPr="00FA2E84">
        <w:rPr>
          <w:sz w:val="24"/>
          <w:szCs w:val="24"/>
        </w:rPr>
        <w:t xml:space="preserve">ich </w:t>
      </w:r>
      <w:r w:rsidR="00317C9D" w:rsidRPr="00FA2E84">
        <w:rPr>
          <w:sz w:val="24"/>
          <w:szCs w:val="24"/>
        </w:rPr>
        <w:t>do not possess DGR status</w:t>
      </w:r>
      <w:r w:rsidR="003A0A42" w:rsidRPr="00FA2E84">
        <w:rPr>
          <w:sz w:val="24"/>
          <w:szCs w:val="24"/>
        </w:rPr>
        <w:t xml:space="preserve">, </w:t>
      </w:r>
      <w:r w:rsidR="00FA2E84">
        <w:rPr>
          <w:sz w:val="24"/>
          <w:szCs w:val="24"/>
        </w:rPr>
        <w:t xml:space="preserve">are not </w:t>
      </w:r>
      <w:r w:rsidR="003A0A42" w:rsidRPr="00FA2E84">
        <w:rPr>
          <w:sz w:val="24"/>
          <w:szCs w:val="24"/>
        </w:rPr>
        <w:t>Public Benevolent Institutions (PBIs) a</w:t>
      </w:r>
      <w:r w:rsidR="001E071F" w:rsidRPr="00FA2E84">
        <w:rPr>
          <w:sz w:val="24"/>
          <w:szCs w:val="24"/>
        </w:rPr>
        <w:t xml:space="preserve">nd </w:t>
      </w:r>
      <w:r w:rsidR="003A0A42" w:rsidRPr="00FA2E84">
        <w:rPr>
          <w:sz w:val="24"/>
          <w:szCs w:val="24"/>
        </w:rPr>
        <w:t xml:space="preserve">which </w:t>
      </w:r>
      <w:r w:rsidR="00AB55DE" w:rsidRPr="00FA2E84">
        <w:rPr>
          <w:sz w:val="24"/>
          <w:szCs w:val="24"/>
        </w:rPr>
        <w:t xml:space="preserve">are </w:t>
      </w:r>
      <w:r w:rsidR="001E071F" w:rsidRPr="00FA2E84">
        <w:rPr>
          <w:sz w:val="24"/>
          <w:szCs w:val="24"/>
        </w:rPr>
        <w:t xml:space="preserve">not registered </w:t>
      </w:r>
      <w:r w:rsidR="00FA2E84">
        <w:rPr>
          <w:sz w:val="24"/>
          <w:szCs w:val="24"/>
        </w:rPr>
        <w:t xml:space="preserve">tax concession </w:t>
      </w:r>
      <w:r w:rsidR="001E071F" w:rsidRPr="00FA2E84">
        <w:rPr>
          <w:sz w:val="24"/>
          <w:szCs w:val="24"/>
        </w:rPr>
        <w:t>charities</w:t>
      </w:r>
      <w:r w:rsidRPr="00FA2E84">
        <w:rPr>
          <w:sz w:val="24"/>
          <w:szCs w:val="24"/>
        </w:rPr>
        <w:t xml:space="preserve">. </w:t>
      </w:r>
    </w:p>
    <w:p w14:paraId="0E9CF3CC" w14:textId="77777777" w:rsidR="00FA2E84" w:rsidRDefault="00FA2E84">
      <w:pPr>
        <w:rPr>
          <w:sz w:val="24"/>
          <w:szCs w:val="24"/>
        </w:rPr>
      </w:pPr>
      <w:r>
        <w:rPr>
          <w:sz w:val="24"/>
          <w:szCs w:val="24"/>
        </w:rPr>
        <w:br w:type="page"/>
      </w:r>
    </w:p>
    <w:p w14:paraId="364193C7" w14:textId="77777777" w:rsidR="0036062E" w:rsidRPr="00F9341B" w:rsidRDefault="0036062E" w:rsidP="0036062E">
      <w:pPr>
        <w:spacing w:after="0"/>
        <w:rPr>
          <w:b/>
          <w:sz w:val="24"/>
          <w:szCs w:val="24"/>
        </w:rPr>
      </w:pPr>
      <w:r w:rsidRPr="00F9341B">
        <w:rPr>
          <w:b/>
          <w:sz w:val="24"/>
          <w:szCs w:val="24"/>
        </w:rPr>
        <w:lastRenderedPageBreak/>
        <w:t>B.</w:t>
      </w:r>
      <w:r w:rsidRPr="00F9341B">
        <w:rPr>
          <w:b/>
          <w:sz w:val="24"/>
          <w:szCs w:val="24"/>
        </w:rPr>
        <w:tab/>
      </w:r>
      <w:r w:rsidRPr="00F9341B">
        <w:rPr>
          <w:b/>
          <w:sz w:val="24"/>
          <w:szCs w:val="24"/>
          <w:u w:val="single"/>
        </w:rPr>
        <w:t>School Support Organisations and Not for Profit Fundraising in Australia</w:t>
      </w:r>
      <w:r w:rsidRPr="00F9341B">
        <w:rPr>
          <w:b/>
          <w:sz w:val="24"/>
          <w:szCs w:val="24"/>
        </w:rPr>
        <w:t xml:space="preserve"> </w:t>
      </w:r>
    </w:p>
    <w:p w14:paraId="0CCF1BC1" w14:textId="77777777" w:rsidR="0036062E" w:rsidRDefault="0036062E" w:rsidP="0036062E">
      <w:pPr>
        <w:pStyle w:val="ListParagraph"/>
        <w:spacing w:after="0"/>
        <w:ind w:left="1080"/>
        <w:rPr>
          <w:sz w:val="24"/>
          <w:szCs w:val="24"/>
        </w:rPr>
      </w:pPr>
    </w:p>
    <w:p w14:paraId="00686228" w14:textId="77777777" w:rsidR="0036062E" w:rsidRDefault="0036062E" w:rsidP="0036062E">
      <w:pPr>
        <w:pStyle w:val="ListParagraph"/>
        <w:numPr>
          <w:ilvl w:val="0"/>
          <w:numId w:val="4"/>
        </w:numPr>
        <w:spacing w:after="0"/>
        <w:rPr>
          <w:sz w:val="24"/>
          <w:szCs w:val="24"/>
        </w:rPr>
      </w:pPr>
      <w:r>
        <w:rPr>
          <w:sz w:val="24"/>
          <w:szCs w:val="24"/>
        </w:rPr>
        <w:t>As noted in the Tax White Paper, a</w:t>
      </w:r>
      <w:r w:rsidRPr="00462540">
        <w:rPr>
          <w:sz w:val="24"/>
          <w:szCs w:val="24"/>
        </w:rPr>
        <w:t xml:space="preserve">round 60,000 </w:t>
      </w:r>
      <w:r>
        <w:rPr>
          <w:sz w:val="24"/>
          <w:szCs w:val="24"/>
        </w:rPr>
        <w:t xml:space="preserve">NFPs </w:t>
      </w:r>
      <w:r w:rsidRPr="00462540">
        <w:rPr>
          <w:sz w:val="24"/>
          <w:szCs w:val="24"/>
        </w:rPr>
        <w:t>are registered charities</w:t>
      </w:r>
      <w:r>
        <w:rPr>
          <w:sz w:val="24"/>
          <w:szCs w:val="24"/>
        </w:rPr>
        <w:t xml:space="preserve"> and </w:t>
      </w:r>
      <w:r w:rsidRPr="00BA2AA2">
        <w:rPr>
          <w:sz w:val="24"/>
          <w:szCs w:val="24"/>
        </w:rPr>
        <w:t>around half of these charities are eligible for deductible gift recipient (DGR) status.</w:t>
      </w:r>
      <w:r w:rsidRPr="00462540">
        <w:rPr>
          <w:sz w:val="24"/>
          <w:szCs w:val="24"/>
        </w:rPr>
        <w:t xml:space="preserve">  </w:t>
      </w:r>
      <w:r w:rsidR="00BA2AA2">
        <w:rPr>
          <w:sz w:val="24"/>
          <w:szCs w:val="24"/>
        </w:rPr>
        <w:t xml:space="preserve">The </w:t>
      </w:r>
      <w:r w:rsidR="00FA2E84">
        <w:rPr>
          <w:sz w:val="24"/>
          <w:szCs w:val="24"/>
        </w:rPr>
        <w:t xml:space="preserve">remaining </w:t>
      </w:r>
      <w:r w:rsidR="00BA2AA2">
        <w:rPr>
          <w:sz w:val="24"/>
          <w:szCs w:val="24"/>
        </w:rPr>
        <w:t>NFPs that are not eligible for DGR include school support organisations.</w:t>
      </w:r>
    </w:p>
    <w:p w14:paraId="3F8A3DFF" w14:textId="77777777" w:rsidR="0036062E" w:rsidRPr="00462540" w:rsidRDefault="0036062E" w:rsidP="0036062E">
      <w:pPr>
        <w:pStyle w:val="ListParagraph"/>
        <w:spacing w:after="0"/>
        <w:ind w:left="1080"/>
        <w:rPr>
          <w:sz w:val="24"/>
          <w:szCs w:val="24"/>
        </w:rPr>
      </w:pPr>
    </w:p>
    <w:p w14:paraId="35793296" w14:textId="77777777" w:rsidR="00CC5140" w:rsidRDefault="0036062E" w:rsidP="0036062E">
      <w:pPr>
        <w:pStyle w:val="ListParagraph"/>
        <w:numPr>
          <w:ilvl w:val="0"/>
          <w:numId w:val="4"/>
        </w:numPr>
        <w:spacing w:after="0"/>
        <w:rPr>
          <w:sz w:val="24"/>
          <w:szCs w:val="24"/>
        </w:rPr>
      </w:pPr>
      <w:r w:rsidRPr="00C50162">
        <w:rPr>
          <w:sz w:val="24"/>
          <w:szCs w:val="24"/>
        </w:rPr>
        <w:t>About 80% of P&amp;Cs Qld members are small</w:t>
      </w:r>
      <w:r w:rsidR="0059002E" w:rsidRPr="00C50162">
        <w:rPr>
          <w:sz w:val="24"/>
          <w:szCs w:val="24"/>
        </w:rPr>
        <w:t xml:space="preserve"> entities</w:t>
      </w:r>
      <w:r w:rsidRPr="00C50162">
        <w:rPr>
          <w:sz w:val="24"/>
          <w:szCs w:val="24"/>
        </w:rPr>
        <w:t xml:space="preserve">, with assets of less than $50,000.  </w:t>
      </w:r>
      <w:r w:rsidR="00BA2AA2" w:rsidRPr="00C50162">
        <w:rPr>
          <w:sz w:val="24"/>
          <w:szCs w:val="24"/>
        </w:rPr>
        <w:t xml:space="preserve">Most affiliates </w:t>
      </w:r>
      <w:r w:rsidRPr="00C50162">
        <w:rPr>
          <w:sz w:val="24"/>
          <w:szCs w:val="24"/>
        </w:rPr>
        <w:t xml:space="preserve">either employ no staff </w:t>
      </w:r>
      <w:r w:rsidR="00BA2AA2" w:rsidRPr="00C50162">
        <w:rPr>
          <w:sz w:val="24"/>
          <w:szCs w:val="24"/>
        </w:rPr>
        <w:t xml:space="preserve">and when they do employ staff, </w:t>
      </w:r>
      <w:r w:rsidR="00363316" w:rsidRPr="00C50162">
        <w:rPr>
          <w:sz w:val="24"/>
          <w:szCs w:val="24"/>
        </w:rPr>
        <w:t>they are</w:t>
      </w:r>
      <w:r w:rsidR="00BA2AA2" w:rsidRPr="00C50162">
        <w:rPr>
          <w:sz w:val="24"/>
          <w:szCs w:val="24"/>
        </w:rPr>
        <w:t xml:space="preserve"> </w:t>
      </w:r>
      <w:r w:rsidRPr="00C50162">
        <w:rPr>
          <w:sz w:val="24"/>
          <w:szCs w:val="24"/>
        </w:rPr>
        <w:t xml:space="preserve">casual tuck shop employees and </w:t>
      </w:r>
      <w:r w:rsidR="00BA2AA2" w:rsidRPr="00C50162">
        <w:rPr>
          <w:sz w:val="24"/>
          <w:szCs w:val="24"/>
        </w:rPr>
        <w:t>a</w:t>
      </w:r>
      <w:r w:rsidRPr="00C50162">
        <w:rPr>
          <w:sz w:val="24"/>
          <w:szCs w:val="24"/>
        </w:rPr>
        <w:t xml:space="preserve">fter </w:t>
      </w:r>
      <w:r w:rsidR="00BA2AA2" w:rsidRPr="00C50162">
        <w:rPr>
          <w:sz w:val="24"/>
          <w:szCs w:val="24"/>
        </w:rPr>
        <w:t>s</w:t>
      </w:r>
      <w:r w:rsidRPr="00C50162">
        <w:rPr>
          <w:sz w:val="24"/>
          <w:szCs w:val="24"/>
        </w:rPr>
        <w:t xml:space="preserve">chool </w:t>
      </w:r>
      <w:r w:rsidR="00BA2AA2" w:rsidRPr="00C50162">
        <w:rPr>
          <w:sz w:val="24"/>
          <w:szCs w:val="24"/>
        </w:rPr>
        <w:t>s</w:t>
      </w:r>
      <w:r w:rsidRPr="00C50162">
        <w:rPr>
          <w:sz w:val="24"/>
          <w:szCs w:val="24"/>
        </w:rPr>
        <w:t xml:space="preserve">ervices staff.  </w:t>
      </w:r>
      <w:r w:rsidRPr="00126EC2">
        <w:rPr>
          <w:sz w:val="24"/>
          <w:szCs w:val="24"/>
        </w:rPr>
        <w:t xml:space="preserve">They rely on donated goods and services from their local communities.  </w:t>
      </w:r>
    </w:p>
    <w:p w14:paraId="05966948" w14:textId="77777777" w:rsidR="00CC5140" w:rsidRPr="00CC5140" w:rsidRDefault="00CC5140" w:rsidP="00CC5140">
      <w:pPr>
        <w:pStyle w:val="ListParagraph"/>
        <w:rPr>
          <w:sz w:val="24"/>
          <w:szCs w:val="24"/>
        </w:rPr>
      </w:pPr>
    </w:p>
    <w:p w14:paraId="765198E3" w14:textId="77777777" w:rsidR="0036062E" w:rsidRPr="00126EC2" w:rsidRDefault="0036062E" w:rsidP="0036062E">
      <w:pPr>
        <w:pStyle w:val="ListParagraph"/>
        <w:numPr>
          <w:ilvl w:val="0"/>
          <w:numId w:val="4"/>
        </w:numPr>
        <w:spacing w:after="0"/>
        <w:rPr>
          <w:sz w:val="24"/>
          <w:szCs w:val="24"/>
        </w:rPr>
      </w:pPr>
      <w:r w:rsidRPr="00126EC2">
        <w:rPr>
          <w:sz w:val="24"/>
          <w:szCs w:val="24"/>
        </w:rPr>
        <w:t>Although</w:t>
      </w:r>
      <w:r w:rsidR="00CC5140">
        <w:rPr>
          <w:sz w:val="24"/>
          <w:szCs w:val="24"/>
        </w:rPr>
        <w:t xml:space="preserve"> all of P&amp;C’s Qld affiliates </w:t>
      </w:r>
      <w:r w:rsidRPr="00126EC2">
        <w:rPr>
          <w:sz w:val="24"/>
          <w:szCs w:val="24"/>
        </w:rPr>
        <w:t xml:space="preserve">possess ABNs, they </w:t>
      </w:r>
      <w:r w:rsidR="00CC5140">
        <w:rPr>
          <w:sz w:val="24"/>
          <w:szCs w:val="24"/>
        </w:rPr>
        <w:t xml:space="preserve">overwhelmingly </w:t>
      </w:r>
      <w:r w:rsidRPr="00126EC2">
        <w:rPr>
          <w:sz w:val="24"/>
          <w:szCs w:val="24"/>
        </w:rPr>
        <w:t xml:space="preserve">fail </w:t>
      </w:r>
      <w:r w:rsidR="00BA2AA2">
        <w:rPr>
          <w:sz w:val="24"/>
          <w:szCs w:val="24"/>
        </w:rPr>
        <w:t>a</w:t>
      </w:r>
      <w:r w:rsidRPr="00126EC2">
        <w:rPr>
          <w:sz w:val="24"/>
          <w:szCs w:val="24"/>
        </w:rPr>
        <w:t xml:space="preserve"> </w:t>
      </w:r>
      <w:r>
        <w:rPr>
          <w:sz w:val="24"/>
          <w:szCs w:val="24"/>
        </w:rPr>
        <w:t xml:space="preserve">‘reasonable person’s </w:t>
      </w:r>
      <w:r w:rsidRPr="00126EC2">
        <w:rPr>
          <w:sz w:val="24"/>
          <w:szCs w:val="24"/>
        </w:rPr>
        <w:t>definition</w:t>
      </w:r>
      <w:r>
        <w:rPr>
          <w:sz w:val="24"/>
          <w:szCs w:val="24"/>
        </w:rPr>
        <w:t>’</w:t>
      </w:r>
      <w:r w:rsidRPr="00126EC2">
        <w:rPr>
          <w:sz w:val="24"/>
          <w:szCs w:val="24"/>
        </w:rPr>
        <w:t xml:space="preserve"> of being classed as ‘economically significant’</w:t>
      </w:r>
      <w:r>
        <w:rPr>
          <w:sz w:val="24"/>
          <w:szCs w:val="24"/>
        </w:rPr>
        <w:t xml:space="preserve"> as they </w:t>
      </w:r>
      <w:r w:rsidR="00A221A7">
        <w:rPr>
          <w:sz w:val="24"/>
          <w:szCs w:val="24"/>
        </w:rPr>
        <w:t xml:space="preserve">run cash based accounting systems with low turnovers of $5,000 - $30,000 per annum.  </w:t>
      </w:r>
      <w:r w:rsidR="0059002E">
        <w:rPr>
          <w:sz w:val="24"/>
          <w:szCs w:val="24"/>
        </w:rPr>
        <w:t>Although t</w:t>
      </w:r>
      <w:r w:rsidR="00A221A7">
        <w:rPr>
          <w:sz w:val="24"/>
          <w:szCs w:val="24"/>
        </w:rPr>
        <w:t xml:space="preserve">hey are exempt from income tax </w:t>
      </w:r>
      <w:r w:rsidR="0059002E">
        <w:rPr>
          <w:sz w:val="24"/>
          <w:szCs w:val="24"/>
        </w:rPr>
        <w:t xml:space="preserve">they </w:t>
      </w:r>
      <w:r w:rsidR="00A221A7">
        <w:rPr>
          <w:sz w:val="24"/>
          <w:szCs w:val="24"/>
        </w:rPr>
        <w:t>do not earn net income of any substance</w:t>
      </w:r>
      <w:r w:rsidR="0059002E">
        <w:rPr>
          <w:sz w:val="24"/>
          <w:szCs w:val="24"/>
        </w:rPr>
        <w:t>.  T</w:t>
      </w:r>
      <w:r w:rsidR="00A221A7">
        <w:rPr>
          <w:sz w:val="24"/>
          <w:szCs w:val="24"/>
        </w:rPr>
        <w:t>hey are not registered for GST</w:t>
      </w:r>
      <w:r w:rsidRPr="00126EC2">
        <w:rPr>
          <w:sz w:val="24"/>
          <w:szCs w:val="24"/>
        </w:rPr>
        <w:t xml:space="preserve">. </w:t>
      </w:r>
      <w:r w:rsidR="00FA2E84">
        <w:rPr>
          <w:sz w:val="24"/>
          <w:szCs w:val="24"/>
        </w:rPr>
        <w:t xml:space="preserve"> DGR </w:t>
      </w:r>
      <w:r w:rsidR="00BA2AA2">
        <w:rPr>
          <w:sz w:val="24"/>
          <w:szCs w:val="24"/>
        </w:rPr>
        <w:t xml:space="preserve">eligibility is the only tax concession that </w:t>
      </w:r>
      <w:r w:rsidR="0059002E">
        <w:rPr>
          <w:sz w:val="24"/>
          <w:szCs w:val="24"/>
        </w:rPr>
        <w:t xml:space="preserve">would </w:t>
      </w:r>
      <w:r w:rsidR="00BA2AA2">
        <w:rPr>
          <w:sz w:val="24"/>
          <w:szCs w:val="24"/>
        </w:rPr>
        <w:t>benefi</w:t>
      </w:r>
      <w:r w:rsidR="00FA2E84">
        <w:rPr>
          <w:sz w:val="24"/>
          <w:szCs w:val="24"/>
        </w:rPr>
        <w:t xml:space="preserve">t </w:t>
      </w:r>
      <w:r w:rsidR="00BA2AA2">
        <w:rPr>
          <w:sz w:val="24"/>
          <w:szCs w:val="24"/>
        </w:rPr>
        <w:t xml:space="preserve">all sizes of school support organisations.  </w:t>
      </w:r>
    </w:p>
    <w:p w14:paraId="33634356" w14:textId="77777777" w:rsidR="0036062E" w:rsidRPr="00996B1A" w:rsidRDefault="0036062E" w:rsidP="0036062E">
      <w:pPr>
        <w:pStyle w:val="ListParagraph"/>
        <w:spacing w:after="0"/>
        <w:ind w:left="1080"/>
        <w:rPr>
          <w:sz w:val="24"/>
          <w:szCs w:val="24"/>
        </w:rPr>
      </w:pPr>
    </w:p>
    <w:p w14:paraId="021B1249" w14:textId="77777777" w:rsidR="0059002E" w:rsidRDefault="0036062E" w:rsidP="0036062E">
      <w:pPr>
        <w:pStyle w:val="ListParagraph"/>
        <w:numPr>
          <w:ilvl w:val="0"/>
          <w:numId w:val="4"/>
        </w:numPr>
        <w:spacing w:after="0"/>
        <w:rPr>
          <w:sz w:val="24"/>
          <w:szCs w:val="24"/>
        </w:rPr>
      </w:pPr>
      <w:r w:rsidRPr="00996B1A">
        <w:rPr>
          <w:sz w:val="24"/>
          <w:szCs w:val="24"/>
        </w:rPr>
        <w:t xml:space="preserve">P&amp;Cs Queensland </w:t>
      </w:r>
      <w:r>
        <w:rPr>
          <w:sz w:val="24"/>
          <w:szCs w:val="24"/>
        </w:rPr>
        <w:t>believes</w:t>
      </w:r>
      <w:r w:rsidRPr="00996B1A">
        <w:rPr>
          <w:sz w:val="24"/>
          <w:szCs w:val="24"/>
        </w:rPr>
        <w:t xml:space="preserve"> that there is a critical need to overhaul taxation law applying to philanthropic funding</w:t>
      </w:r>
      <w:r w:rsidR="008E3132">
        <w:rPr>
          <w:sz w:val="24"/>
          <w:szCs w:val="24"/>
        </w:rPr>
        <w:t xml:space="preserve"> </w:t>
      </w:r>
      <w:r w:rsidR="0059002E">
        <w:rPr>
          <w:sz w:val="24"/>
          <w:szCs w:val="24"/>
        </w:rPr>
        <w:t xml:space="preserve">NFPs but especially so </w:t>
      </w:r>
      <w:r w:rsidR="008E3132">
        <w:rPr>
          <w:sz w:val="24"/>
          <w:szCs w:val="24"/>
        </w:rPr>
        <w:t xml:space="preserve">for school support organisations.  It is a </w:t>
      </w:r>
      <w:r w:rsidRPr="00996B1A">
        <w:rPr>
          <w:sz w:val="24"/>
          <w:szCs w:val="24"/>
        </w:rPr>
        <w:t xml:space="preserve">complex </w:t>
      </w:r>
      <w:r w:rsidR="008E3132">
        <w:rPr>
          <w:sz w:val="24"/>
          <w:szCs w:val="24"/>
        </w:rPr>
        <w:t xml:space="preserve">area of tax law </w:t>
      </w:r>
      <w:r w:rsidRPr="00996B1A">
        <w:rPr>
          <w:sz w:val="24"/>
          <w:szCs w:val="24"/>
        </w:rPr>
        <w:t xml:space="preserve">and time consuming for applicants to </w:t>
      </w:r>
      <w:r w:rsidR="00BA2AA2">
        <w:rPr>
          <w:sz w:val="24"/>
          <w:szCs w:val="24"/>
        </w:rPr>
        <w:t xml:space="preserve">apply for and </w:t>
      </w:r>
      <w:r w:rsidRPr="00996B1A">
        <w:rPr>
          <w:sz w:val="24"/>
          <w:szCs w:val="24"/>
        </w:rPr>
        <w:t>receive approval.</w:t>
      </w:r>
      <w:r w:rsidR="00363CEF">
        <w:rPr>
          <w:rStyle w:val="FootnoteReference"/>
          <w:sz w:val="24"/>
          <w:szCs w:val="24"/>
        </w:rPr>
        <w:footnoteReference w:id="5"/>
      </w:r>
      <w:r w:rsidRPr="00996B1A">
        <w:rPr>
          <w:sz w:val="24"/>
          <w:szCs w:val="24"/>
        </w:rPr>
        <w:t xml:space="preserve"> </w:t>
      </w:r>
    </w:p>
    <w:p w14:paraId="63993E67" w14:textId="77777777" w:rsidR="0059002E" w:rsidRPr="0059002E" w:rsidRDefault="0059002E" w:rsidP="0059002E">
      <w:pPr>
        <w:pStyle w:val="ListParagraph"/>
        <w:rPr>
          <w:sz w:val="24"/>
          <w:szCs w:val="24"/>
        </w:rPr>
      </w:pPr>
    </w:p>
    <w:p w14:paraId="08FBE4FE" w14:textId="77777777" w:rsidR="0036062E" w:rsidRPr="0059002E" w:rsidRDefault="0059002E" w:rsidP="00397A57">
      <w:pPr>
        <w:pStyle w:val="ListParagraph"/>
        <w:numPr>
          <w:ilvl w:val="0"/>
          <w:numId w:val="4"/>
        </w:numPr>
        <w:spacing w:after="0"/>
        <w:rPr>
          <w:sz w:val="24"/>
          <w:szCs w:val="24"/>
        </w:rPr>
      </w:pPr>
      <w:r w:rsidRPr="0059002E">
        <w:rPr>
          <w:sz w:val="24"/>
          <w:szCs w:val="24"/>
        </w:rPr>
        <w:t>DGR status is highly valued</w:t>
      </w:r>
      <w:r>
        <w:rPr>
          <w:sz w:val="24"/>
          <w:szCs w:val="24"/>
        </w:rPr>
        <w:t xml:space="preserve"> but</w:t>
      </w:r>
      <w:r w:rsidRPr="0059002E">
        <w:rPr>
          <w:sz w:val="24"/>
          <w:szCs w:val="24"/>
        </w:rPr>
        <w:t xml:space="preserve"> </w:t>
      </w:r>
      <w:r>
        <w:rPr>
          <w:sz w:val="24"/>
          <w:szCs w:val="24"/>
        </w:rPr>
        <w:t xml:space="preserve">it is </w:t>
      </w:r>
      <w:r w:rsidRPr="0059002E">
        <w:rPr>
          <w:sz w:val="24"/>
          <w:szCs w:val="24"/>
        </w:rPr>
        <w:t xml:space="preserve">defined narrowly and </w:t>
      </w:r>
      <w:r>
        <w:rPr>
          <w:sz w:val="24"/>
          <w:szCs w:val="24"/>
        </w:rPr>
        <w:t xml:space="preserve">it currently </w:t>
      </w:r>
      <w:r w:rsidRPr="0059002E">
        <w:rPr>
          <w:sz w:val="24"/>
          <w:szCs w:val="24"/>
        </w:rPr>
        <w:t xml:space="preserve">excludes school support organisations. </w:t>
      </w:r>
      <w:r>
        <w:rPr>
          <w:sz w:val="24"/>
          <w:szCs w:val="24"/>
        </w:rPr>
        <w:t>U</w:t>
      </w:r>
      <w:r w:rsidR="00CC5140" w:rsidRPr="0059002E">
        <w:rPr>
          <w:sz w:val="24"/>
          <w:szCs w:val="24"/>
        </w:rPr>
        <w:t>ntil recently</w:t>
      </w:r>
      <w:r w:rsidR="008E3132" w:rsidRPr="0059002E">
        <w:rPr>
          <w:sz w:val="24"/>
          <w:szCs w:val="24"/>
        </w:rPr>
        <w:t xml:space="preserve"> regular checks </w:t>
      </w:r>
      <w:r w:rsidR="00CC5140" w:rsidRPr="0059002E">
        <w:rPr>
          <w:sz w:val="24"/>
          <w:szCs w:val="24"/>
        </w:rPr>
        <w:t xml:space="preserve">were </w:t>
      </w:r>
      <w:r>
        <w:rPr>
          <w:sz w:val="24"/>
          <w:szCs w:val="24"/>
        </w:rPr>
        <w:t xml:space="preserve">not </w:t>
      </w:r>
      <w:r w:rsidR="008E3132" w:rsidRPr="0059002E">
        <w:rPr>
          <w:sz w:val="24"/>
          <w:szCs w:val="24"/>
        </w:rPr>
        <w:t xml:space="preserve">made to ensure the list of DGR organisations </w:t>
      </w:r>
      <w:r w:rsidR="00BA2AA2" w:rsidRPr="0059002E">
        <w:rPr>
          <w:sz w:val="24"/>
          <w:szCs w:val="24"/>
        </w:rPr>
        <w:t xml:space="preserve">were </w:t>
      </w:r>
      <w:r w:rsidR="008E3132" w:rsidRPr="0059002E">
        <w:rPr>
          <w:sz w:val="24"/>
          <w:szCs w:val="24"/>
        </w:rPr>
        <w:t>kept up to date.</w:t>
      </w:r>
      <w:r w:rsidR="008E3132">
        <w:rPr>
          <w:rStyle w:val="FootnoteReference"/>
          <w:sz w:val="24"/>
          <w:szCs w:val="24"/>
        </w:rPr>
        <w:footnoteReference w:id="6"/>
      </w:r>
      <w:r w:rsidR="008E3132" w:rsidRPr="0059002E">
        <w:rPr>
          <w:sz w:val="24"/>
          <w:szCs w:val="24"/>
        </w:rPr>
        <w:t xml:space="preserve">  E</w:t>
      </w:r>
      <w:r w:rsidR="0036062E" w:rsidRPr="0059002E">
        <w:rPr>
          <w:sz w:val="24"/>
          <w:szCs w:val="24"/>
        </w:rPr>
        <w:t xml:space="preserve">ligibility </w:t>
      </w:r>
      <w:r w:rsidR="008E3132" w:rsidRPr="0059002E">
        <w:rPr>
          <w:sz w:val="24"/>
          <w:szCs w:val="24"/>
        </w:rPr>
        <w:t xml:space="preserve">for DGR </w:t>
      </w:r>
      <w:r w:rsidR="00363316" w:rsidRPr="0059002E">
        <w:rPr>
          <w:sz w:val="24"/>
          <w:szCs w:val="24"/>
        </w:rPr>
        <w:t xml:space="preserve">is </w:t>
      </w:r>
      <w:r w:rsidR="00816985" w:rsidRPr="0059002E">
        <w:rPr>
          <w:sz w:val="24"/>
          <w:szCs w:val="24"/>
        </w:rPr>
        <w:t xml:space="preserve">limited in </w:t>
      </w:r>
      <w:r w:rsidR="00363316" w:rsidRPr="0059002E">
        <w:rPr>
          <w:sz w:val="24"/>
          <w:szCs w:val="24"/>
        </w:rPr>
        <w:t xml:space="preserve">order to </w:t>
      </w:r>
      <w:r w:rsidR="00816985" w:rsidRPr="0059002E">
        <w:rPr>
          <w:sz w:val="24"/>
          <w:szCs w:val="24"/>
        </w:rPr>
        <w:t xml:space="preserve">reduce lost income </w:t>
      </w:r>
      <w:r w:rsidR="0036062E" w:rsidRPr="0059002E">
        <w:rPr>
          <w:sz w:val="24"/>
          <w:szCs w:val="24"/>
        </w:rPr>
        <w:t>tax revenue</w:t>
      </w:r>
      <w:r w:rsidR="008E3132" w:rsidRPr="0059002E">
        <w:rPr>
          <w:sz w:val="24"/>
          <w:szCs w:val="24"/>
        </w:rPr>
        <w:t xml:space="preserve">, but the needs </w:t>
      </w:r>
      <w:r w:rsidR="00363316" w:rsidRPr="0059002E">
        <w:rPr>
          <w:sz w:val="24"/>
          <w:szCs w:val="24"/>
        </w:rPr>
        <w:t xml:space="preserve">and social aims </w:t>
      </w:r>
      <w:r w:rsidR="008E3132" w:rsidRPr="0059002E">
        <w:rPr>
          <w:sz w:val="24"/>
          <w:szCs w:val="24"/>
        </w:rPr>
        <w:t xml:space="preserve">of school support organisations </w:t>
      </w:r>
      <w:r w:rsidR="00EF3F3A" w:rsidRPr="0059002E">
        <w:rPr>
          <w:sz w:val="24"/>
          <w:szCs w:val="24"/>
        </w:rPr>
        <w:t xml:space="preserve">have </w:t>
      </w:r>
      <w:r w:rsidR="008E3132" w:rsidRPr="0059002E">
        <w:rPr>
          <w:sz w:val="24"/>
          <w:szCs w:val="24"/>
        </w:rPr>
        <w:t xml:space="preserve">never </w:t>
      </w:r>
      <w:r w:rsidR="00EF3F3A" w:rsidRPr="0059002E">
        <w:rPr>
          <w:sz w:val="24"/>
          <w:szCs w:val="24"/>
        </w:rPr>
        <w:t xml:space="preserve">been </w:t>
      </w:r>
      <w:r w:rsidR="00243E8F">
        <w:rPr>
          <w:sz w:val="24"/>
          <w:szCs w:val="24"/>
        </w:rPr>
        <w:t xml:space="preserve">fully </w:t>
      </w:r>
      <w:r w:rsidR="00BA2AA2" w:rsidRPr="0059002E">
        <w:rPr>
          <w:sz w:val="24"/>
          <w:szCs w:val="24"/>
        </w:rPr>
        <w:t xml:space="preserve">understood </w:t>
      </w:r>
      <w:r w:rsidR="00EF3F3A" w:rsidRPr="0059002E">
        <w:rPr>
          <w:sz w:val="24"/>
          <w:szCs w:val="24"/>
        </w:rPr>
        <w:t xml:space="preserve">or </w:t>
      </w:r>
      <w:r w:rsidR="00243E8F" w:rsidRPr="0059002E">
        <w:rPr>
          <w:sz w:val="24"/>
          <w:szCs w:val="24"/>
        </w:rPr>
        <w:t xml:space="preserve">properly </w:t>
      </w:r>
      <w:r w:rsidR="00EF3F3A" w:rsidRPr="0059002E">
        <w:rPr>
          <w:sz w:val="24"/>
          <w:szCs w:val="24"/>
        </w:rPr>
        <w:t xml:space="preserve">provided for </w:t>
      </w:r>
      <w:r w:rsidR="004A4BA1" w:rsidRPr="0059002E">
        <w:rPr>
          <w:sz w:val="24"/>
          <w:szCs w:val="24"/>
        </w:rPr>
        <w:t>by the ATO</w:t>
      </w:r>
      <w:r w:rsidR="0036062E" w:rsidRPr="0059002E">
        <w:rPr>
          <w:sz w:val="24"/>
          <w:szCs w:val="24"/>
        </w:rPr>
        <w:t>.</w:t>
      </w:r>
    </w:p>
    <w:p w14:paraId="428C9A26" w14:textId="77777777" w:rsidR="0036062E" w:rsidRPr="00996B1A" w:rsidRDefault="0036062E" w:rsidP="0036062E">
      <w:pPr>
        <w:spacing w:after="0"/>
        <w:rPr>
          <w:sz w:val="24"/>
          <w:szCs w:val="24"/>
        </w:rPr>
      </w:pPr>
    </w:p>
    <w:p w14:paraId="27026E49" w14:textId="77777777" w:rsidR="00285F95" w:rsidRPr="00363316" w:rsidRDefault="00CC5140" w:rsidP="00AD3DDB">
      <w:pPr>
        <w:pStyle w:val="ListParagraph"/>
        <w:numPr>
          <w:ilvl w:val="0"/>
          <w:numId w:val="4"/>
        </w:numPr>
        <w:spacing w:after="0"/>
        <w:rPr>
          <w:sz w:val="24"/>
          <w:szCs w:val="24"/>
        </w:rPr>
      </w:pPr>
      <w:r w:rsidRPr="00363316">
        <w:rPr>
          <w:sz w:val="24"/>
          <w:szCs w:val="24"/>
        </w:rPr>
        <w:t>I</w:t>
      </w:r>
      <w:r w:rsidR="0036062E" w:rsidRPr="00363316">
        <w:rPr>
          <w:sz w:val="24"/>
          <w:szCs w:val="24"/>
        </w:rPr>
        <w:t xml:space="preserve">ncome tax foregone through tax deductible donations is </w:t>
      </w:r>
      <w:r w:rsidR="00243E8F">
        <w:rPr>
          <w:sz w:val="24"/>
          <w:szCs w:val="24"/>
        </w:rPr>
        <w:t xml:space="preserve">quite </w:t>
      </w:r>
      <w:r w:rsidR="0036062E" w:rsidRPr="00363316">
        <w:rPr>
          <w:sz w:val="24"/>
          <w:szCs w:val="24"/>
        </w:rPr>
        <w:t>substantial</w:t>
      </w:r>
      <w:r w:rsidRPr="00363316">
        <w:rPr>
          <w:sz w:val="24"/>
          <w:szCs w:val="24"/>
        </w:rPr>
        <w:t>.  Nevertheless</w:t>
      </w:r>
      <w:r w:rsidR="00BA2AA2" w:rsidRPr="00363316">
        <w:rPr>
          <w:sz w:val="24"/>
          <w:szCs w:val="24"/>
        </w:rPr>
        <w:t>,</w:t>
      </w:r>
      <w:r w:rsidRPr="00363316">
        <w:rPr>
          <w:sz w:val="24"/>
          <w:szCs w:val="24"/>
        </w:rPr>
        <w:t xml:space="preserve"> </w:t>
      </w:r>
      <w:r w:rsidR="0036062E" w:rsidRPr="00363316">
        <w:rPr>
          <w:sz w:val="24"/>
          <w:szCs w:val="24"/>
        </w:rPr>
        <w:t xml:space="preserve">the White Paper </w:t>
      </w:r>
      <w:r w:rsidRPr="00363316">
        <w:rPr>
          <w:sz w:val="24"/>
          <w:szCs w:val="24"/>
        </w:rPr>
        <w:t xml:space="preserve">points out </w:t>
      </w:r>
      <w:r w:rsidR="0036062E" w:rsidRPr="00363316">
        <w:rPr>
          <w:sz w:val="24"/>
          <w:szCs w:val="24"/>
        </w:rPr>
        <w:t>the deduction for gifts to DGRs has remained relatively stable, increasing from nearly $900 million in 2010-11 to almost $1.2 billion in 2017-18</w:t>
      </w:r>
      <w:r w:rsidR="0036062E">
        <w:rPr>
          <w:rStyle w:val="FootnoteReference"/>
          <w:sz w:val="24"/>
          <w:szCs w:val="24"/>
        </w:rPr>
        <w:footnoteReference w:id="7"/>
      </w:r>
      <w:r w:rsidR="0036062E" w:rsidRPr="00363316">
        <w:rPr>
          <w:sz w:val="24"/>
          <w:szCs w:val="24"/>
        </w:rPr>
        <w:t xml:space="preserve">.  </w:t>
      </w:r>
      <w:r w:rsidR="00BA2AA2" w:rsidRPr="00363316">
        <w:rPr>
          <w:sz w:val="24"/>
          <w:szCs w:val="24"/>
        </w:rPr>
        <w:t xml:space="preserve">P&amp;Cs Qld </w:t>
      </w:r>
      <w:r w:rsidR="00243E8F">
        <w:rPr>
          <w:sz w:val="24"/>
          <w:szCs w:val="24"/>
        </w:rPr>
        <w:t xml:space="preserve">believes </w:t>
      </w:r>
      <w:r w:rsidR="00BA2AA2" w:rsidRPr="00363316">
        <w:rPr>
          <w:sz w:val="24"/>
          <w:szCs w:val="24"/>
        </w:rPr>
        <w:t>that this</w:t>
      </w:r>
      <w:r w:rsidR="00243E8F">
        <w:rPr>
          <w:sz w:val="24"/>
          <w:szCs w:val="24"/>
        </w:rPr>
        <w:t xml:space="preserve"> overall cost</w:t>
      </w:r>
      <w:r w:rsidR="00BA2AA2" w:rsidRPr="00363316">
        <w:rPr>
          <w:sz w:val="24"/>
          <w:szCs w:val="24"/>
        </w:rPr>
        <w:t xml:space="preserve"> is not likely to change dramatically if school support organisations are granted DGR status.</w:t>
      </w:r>
      <w:r w:rsidR="00363316" w:rsidRPr="00363316">
        <w:rPr>
          <w:sz w:val="24"/>
          <w:szCs w:val="24"/>
        </w:rPr>
        <w:t xml:space="preserve"> </w:t>
      </w:r>
      <w:r w:rsidR="00285F95" w:rsidRPr="00363316">
        <w:rPr>
          <w:sz w:val="24"/>
          <w:szCs w:val="24"/>
        </w:rPr>
        <w:br w:type="page"/>
      </w:r>
    </w:p>
    <w:p w14:paraId="234DAF21" w14:textId="77777777" w:rsidR="00CC5140" w:rsidRDefault="00CC5140" w:rsidP="00CC5140">
      <w:pPr>
        <w:spacing w:after="0"/>
        <w:rPr>
          <w:sz w:val="24"/>
          <w:szCs w:val="24"/>
        </w:rPr>
      </w:pPr>
    </w:p>
    <w:p w14:paraId="764438D6" w14:textId="77777777" w:rsidR="00F9341B" w:rsidRDefault="00816985" w:rsidP="00013363">
      <w:pPr>
        <w:pStyle w:val="ListParagraph"/>
        <w:numPr>
          <w:ilvl w:val="0"/>
          <w:numId w:val="4"/>
        </w:numPr>
        <w:spacing w:after="0"/>
        <w:rPr>
          <w:sz w:val="24"/>
          <w:szCs w:val="24"/>
        </w:rPr>
      </w:pPr>
      <w:r>
        <w:rPr>
          <w:sz w:val="24"/>
          <w:szCs w:val="24"/>
        </w:rPr>
        <w:t>P</w:t>
      </w:r>
      <w:r w:rsidR="00F9341B" w:rsidRPr="00925DB4">
        <w:rPr>
          <w:sz w:val="24"/>
          <w:szCs w:val="24"/>
        </w:rPr>
        <w:t xml:space="preserve">roviding DGR status to potentially 9,000 additional entities </w:t>
      </w:r>
      <w:r>
        <w:rPr>
          <w:sz w:val="24"/>
          <w:szCs w:val="24"/>
        </w:rPr>
        <w:t>may</w:t>
      </w:r>
      <w:r w:rsidR="00243E8F">
        <w:rPr>
          <w:sz w:val="24"/>
          <w:szCs w:val="24"/>
        </w:rPr>
        <w:t xml:space="preserve"> initially </w:t>
      </w:r>
      <w:r>
        <w:rPr>
          <w:sz w:val="24"/>
          <w:szCs w:val="24"/>
        </w:rPr>
        <w:t xml:space="preserve">seem to be </w:t>
      </w:r>
      <w:r w:rsidR="00F9341B" w:rsidRPr="00925DB4">
        <w:rPr>
          <w:sz w:val="24"/>
          <w:szCs w:val="24"/>
        </w:rPr>
        <w:t>an unsustainable increase.  The impact on the amount of tax forgone should not be overestimated</w:t>
      </w:r>
      <w:r w:rsidR="00363316">
        <w:rPr>
          <w:sz w:val="24"/>
          <w:szCs w:val="24"/>
        </w:rPr>
        <w:t>,</w:t>
      </w:r>
      <w:r w:rsidR="00F9341B" w:rsidRPr="00925DB4">
        <w:rPr>
          <w:sz w:val="24"/>
          <w:szCs w:val="24"/>
        </w:rPr>
        <w:t xml:space="preserve"> however, as the addition of new DGR options for taxpayers does not </w:t>
      </w:r>
      <w:r w:rsidR="00243E8F">
        <w:rPr>
          <w:sz w:val="24"/>
          <w:szCs w:val="24"/>
        </w:rPr>
        <w:t xml:space="preserve">also guarantee </w:t>
      </w:r>
      <w:r w:rsidR="00F9341B" w:rsidRPr="00925DB4">
        <w:rPr>
          <w:sz w:val="24"/>
          <w:szCs w:val="24"/>
        </w:rPr>
        <w:t xml:space="preserve">additional community capacity to make donations.  </w:t>
      </w:r>
      <w:r>
        <w:rPr>
          <w:sz w:val="24"/>
          <w:szCs w:val="24"/>
        </w:rPr>
        <w:t>I</w:t>
      </w:r>
      <w:r w:rsidR="00F9341B" w:rsidRPr="00925DB4">
        <w:rPr>
          <w:sz w:val="24"/>
          <w:szCs w:val="24"/>
        </w:rPr>
        <w:t xml:space="preserve">t is </w:t>
      </w:r>
      <w:r w:rsidR="00243E8F">
        <w:rPr>
          <w:sz w:val="24"/>
          <w:szCs w:val="24"/>
        </w:rPr>
        <w:t xml:space="preserve">much </w:t>
      </w:r>
      <w:r w:rsidR="00F9341B" w:rsidRPr="00925DB4">
        <w:rPr>
          <w:sz w:val="24"/>
          <w:szCs w:val="24"/>
        </w:rPr>
        <w:t xml:space="preserve">more likely there would be a </w:t>
      </w:r>
      <w:r w:rsidR="00363316">
        <w:rPr>
          <w:sz w:val="24"/>
          <w:szCs w:val="24"/>
        </w:rPr>
        <w:t xml:space="preserve">voluntary adjustment </w:t>
      </w:r>
      <w:r w:rsidR="00F9341B" w:rsidRPr="00925DB4">
        <w:rPr>
          <w:sz w:val="24"/>
          <w:szCs w:val="24"/>
        </w:rPr>
        <w:t>of taxpayer’s donations from other DGRs, plus perhaps some additional giving.</w:t>
      </w:r>
    </w:p>
    <w:p w14:paraId="32455E42" w14:textId="77777777" w:rsidR="00925DB4" w:rsidRDefault="00925DB4" w:rsidP="00925DB4">
      <w:pPr>
        <w:spacing w:after="0"/>
        <w:rPr>
          <w:sz w:val="24"/>
          <w:szCs w:val="24"/>
        </w:rPr>
      </w:pPr>
    </w:p>
    <w:p w14:paraId="2A3DCED6" w14:textId="77777777" w:rsidR="00816985" w:rsidRPr="00816985" w:rsidRDefault="00925DB4" w:rsidP="0035531A">
      <w:pPr>
        <w:pStyle w:val="ListParagraph"/>
        <w:numPr>
          <w:ilvl w:val="0"/>
          <w:numId w:val="4"/>
        </w:numPr>
        <w:spacing w:after="0"/>
        <w:rPr>
          <w:i/>
          <w:sz w:val="24"/>
          <w:szCs w:val="24"/>
        </w:rPr>
      </w:pPr>
      <w:r w:rsidRPr="00EF3F3A">
        <w:rPr>
          <w:sz w:val="24"/>
          <w:szCs w:val="24"/>
        </w:rPr>
        <w:t>A</w:t>
      </w:r>
      <w:r w:rsidR="00834963" w:rsidRPr="00EF3F3A">
        <w:rPr>
          <w:sz w:val="24"/>
          <w:szCs w:val="24"/>
        </w:rPr>
        <w:t>n</w:t>
      </w:r>
      <w:r w:rsidRPr="00EF3F3A">
        <w:rPr>
          <w:sz w:val="24"/>
          <w:szCs w:val="24"/>
        </w:rPr>
        <w:t xml:space="preserve"> important distinction must be made at this point. </w:t>
      </w:r>
      <w:r w:rsidR="00834963" w:rsidRPr="00EF3F3A">
        <w:rPr>
          <w:sz w:val="24"/>
          <w:szCs w:val="24"/>
        </w:rPr>
        <w:t xml:space="preserve"> Although </w:t>
      </w:r>
      <w:r w:rsidR="00363316">
        <w:rPr>
          <w:sz w:val="24"/>
          <w:szCs w:val="24"/>
        </w:rPr>
        <w:t xml:space="preserve">state </w:t>
      </w:r>
      <w:r w:rsidR="00834963" w:rsidRPr="00EF3F3A">
        <w:rPr>
          <w:sz w:val="24"/>
          <w:szCs w:val="24"/>
        </w:rPr>
        <w:t xml:space="preserve">special schools </w:t>
      </w:r>
      <w:r w:rsidR="00363316">
        <w:rPr>
          <w:sz w:val="24"/>
          <w:szCs w:val="24"/>
        </w:rPr>
        <w:t xml:space="preserve">already </w:t>
      </w:r>
      <w:r w:rsidR="00834963" w:rsidRPr="00EF3F3A">
        <w:rPr>
          <w:sz w:val="24"/>
          <w:szCs w:val="24"/>
        </w:rPr>
        <w:t xml:space="preserve">possess DGR status (see Point A.7), P&amp;Cs Queensland is not </w:t>
      </w:r>
      <w:r w:rsidR="00243E8F">
        <w:rPr>
          <w:sz w:val="24"/>
          <w:szCs w:val="24"/>
        </w:rPr>
        <w:t>asking for</w:t>
      </w:r>
      <w:r w:rsidR="00834963" w:rsidRPr="00EF3F3A">
        <w:rPr>
          <w:sz w:val="24"/>
          <w:szCs w:val="24"/>
        </w:rPr>
        <w:t xml:space="preserve"> this DGR to be extended to all primary and secondary schools.  </w:t>
      </w:r>
      <w:r w:rsidR="00243E8F">
        <w:rPr>
          <w:sz w:val="24"/>
          <w:szCs w:val="24"/>
        </w:rPr>
        <w:t>W</w:t>
      </w:r>
      <w:r w:rsidR="00834963" w:rsidRPr="00EF3F3A">
        <w:rPr>
          <w:sz w:val="24"/>
          <w:szCs w:val="24"/>
        </w:rPr>
        <w:t xml:space="preserve">e advocate that DGR status </w:t>
      </w:r>
      <w:r w:rsidR="00243E8F">
        <w:rPr>
          <w:sz w:val="24"/>
          <w:szCs w:val="24"/>
        </w:rPr>
        <w:t>i</w:t>
      </w:r>
      <w:r w:rsidR="00243E8F" w:rsidRPr="00EF3F3A">
        <w:rPr>
          <w:sz w:val="24"/>
          <w:szCs w:val="24"/>
        </w:rPr>
        <w:t xml:space="preserve">nstead </w:t>
      </w:r>
      <w:r w:rsidR="00834963" w:rsidRPr="00EF3F3A">
        <w:rPr>
          <w:sz w:val="24"/>
          <w:szCs w:val="24"/>
        </w:rPr>
        <w:t xml:space="preserve">be provided for school support organisations.  </w:t>
      </w:r>
    </w:p>
    <w:p w14:paraId="2034BED0" w14:textId="77777777" w:rsidR="00816985" w:rsidRPr="00816985" w:rsidRDefault="00816985" w:rsidP="00816985">
      <w:pPr>
        <w:pStyle w:val="ListParagraph"/>
        <w:rPr>
          <w:sz w:val="24"/>
          <w:szCs w:val="24"/>
        </w:rPr>
      </w:pPr>
    </w:p>
    <w:p w14:paraId="2288E797" w14:textId="77777777" w:rsidR="00EF3F3A" w:rsidRPr="00EF3F3A" w:rsidRDefault="00834963" w:rsidP="0035531A">
      <w:pPr>
        <w:pStyle w:val="ListParagraph"/>
        <w:numPr>
          <w:ilvl w:val="0"/>
          <w:numId w:val="4"/>
        </w:numPr>
        <w:spacing w:after="0"/>
        <w:rPr>
          <w:i/>
          <w:sz w:val="24"/>
          <w:szCs w:val="24"/>
        </w:rPr>
      </w:pPr>
      <w:r w:rsidRPr="00EF3F3A">
        <w:rPr>
          <w:sz w:val="24"/>
          <w:szCs w:val="24"/>
        </w:rPr>
        <w:t>As already noted</w:t>
      </w:r>
      <w:r w:rsidR="00363316">
        <w:rPr>
          <w:sz w:val="24"/>
          <w:szCs w:val="24"/>
        </w:rPr>
        <w:t>,</w:t>
      </w:r>
      <w:r w:rsidRPr="00EF3F3A">
        <w:rPr>
          <w:sz w:val="24"/>
          <w:szCs w:val="24"/>
        </w:rPr>
        <w:t xml:space="preserve"> DGR status for </w:t>
      </w:r>
      <w:r w:rsidR="00363316">
        <w:rPr>
          <w:sz w:val="24"/>
          <w:szCs w:val="24"/>
        </w:rPr>
        <w:t xml:space="preserve">special </w:t>
      </w:r>
      <w:r w:rsidRPr="00EF3F3A">
        <w:rPr>
          <w:sz w:val="24"/>
          <w:szCs w:val="24"/>
        </w:rPr>
        <w:t xml:space="preserve">schools does not actually solve the problem of </w:t>
      </w:r>
      <w:r w:rsidR="00363316">
        <w:rPr>
          <w:sz w:val="24"/>
          <w:szCs w:val="24"/>
        </w:rPr>
        <w:t xml:space="preserve">those </w:t>
      </w:r>
      <w:r w:rsidRPr="00EF3F3A">
        <w:rPr>
          <w:sz w:val="24"/>
          <w:szCs w:val="24"/>
        </w:rPr>
        <w:t xml:space="preserve">schools </w:t>
      </w:r>
      <w:r w:rsidR="00243E8F">
        <w:rPr>
          <w:sz w:val="24"/>
          <w:szCs w:val="24"/>
        </w:rPr>
        <w:t xml:space="preserve">still </w:t>
      </w:r>
      <w:r w:rsidRPr="00EF3F3A">
        <w:rPr>
          <w:sz w:val="24"/>
          <w:szCs w:val="24"/>
        </w:rPr>
        <w:t xml:space="preserve">being ineligible </w:t>
      </w:r>
      <w:r w:rsidR="00EF3F3A">
        <w:rPr>
          <w:sz w:val="24"/>
          <w:szCs w:val="24"/>
        </w:rPr>
        <w:t xml:space="preserve">to apply for </w:t>
      </w:r>
      <w:r w:rsidRPr="00EF3F3A">
        <w:rPr>
          <w:sz w:val="24"/>
          <w:szCs w:val="24"/>
        </w:rPr>
        <w:t xml:space="preserve">grants from DGR foundations, trusts and charities.  In addition, </w:t>
      </w:r>
      <w:r w:rsidR="00243E8F">
        <w:rPr>
          <w:sz w:val="24"/>
          <w:szCs w:val="24"/>
        </w:rPr>
        <w:t xml:space="preserve">a </w:t>
      </w:r>
      <w:r w:rsidRPr="00EF3F3A">
        <w:rPr>
          <w:sz w:val="24"/>
          <w:szCs w:val="24"/>
        </w:rPr>
        <w:t xml:space="preserve">recent </w:t>
      </w:r>
      <w:r w:rsidR="00EF3F3A">
        <w:rPr>
          <w:sz w:val="24"/>
          <w:szCs w:val="24"/>
        </w:rPr>
        <w:t xml:space="preserve">working party </w:t>
      </w:r>
      <w:r w:rsidRPr="00EF3F3A">
        <w:rPr>
          <w:sz w:val="24"/>
          <w:szCs w:val="24"/>
        </w:rPr>
        <w:t xml:space="preserve">report into tax concessions </w:t>
      </w:r>
      <w:r w:rsidR="00EF3F3A">
        <w:rPr>
          <w:sz w:val="24"/>
          <w:szCs w:val="24"/>
        </w:rPr>
        <w:t xml:space="preserve">explained </w:t>
      </w:r>
      <w:r w:rsidR="00EF3F3A" w:rsidRPr="00EF3F3A">
        <w:rPr>
          <w:sz w:val="24"/>
          <w:szCs w:val="24"/>
        </w:rPr>
        <w:t xml:space="preserve">that </w:t>
      </w:r>
      <w:r w:rsidR="00EF3F3A">
        <w:rPr>
          <w:sz w:val="24"/>
          <w:szCs w:val="24"/>
        </w:rPr>
        <w:t xml:space="preserve">if </w:t>
      </w:r>
      <w:r w:rsidRPr="00EF3F3A">
        <w:rPr>
          <w:sz w:val="24"/>
          <w:szCs w:val="24"/>
        </w:rPr>
        <w:t xml:space="preserve">schools </w:t>
      </w:r>
      <w:r w:rsidR="00EF3F3A">
        <w:rPr>
          <w:sz w:val="24"/>
          <w:szCs w:val="24"/>
        </w:rPr>
        <w:t xml:space="preserve">were to </w:t>
      </w:r>
      <w:r w:rsidR="00EF3F3A" w:rsidRPr="00EF3F3A">
        <w:rPr>
          <w:sz w:val="24"/>
          <w:szCs w:val="24"/>
        </w:rPr>
        <w:t xml:space="preserve">have </w:t>
      </w:r>
      <w:r w:rsidRPr="00EF3F3A">
        <w:rPr>
          <w:sz w:val="24"/>
          <w:szCs w:val="24"/>
        </w:rPr>
        <w:t xml:space="preserve">DGR </w:t>
      </w:r>
      <w:r w:rsidR="00EF3F3A" w:rsidRPr="00EF3F3A">
        <w:rPr>
          <w:sz w:val="24"/>
          <w:szCs w:val="24"/>
        </w:rPr>
        <w:t>status</w:t>
      </w:r>
      <w:r w:rsidR="00EF3F3A">
        <w:rPr>
          <w:sz w:val="24"/>
          <w:szCs w:val="24"/>
        </w:rPr>
        <w:t>, it</w:t>
      </w:r>
      <w:r w:rsidR="00EF3F3A" w:rsidRPr="00EF3F3A">
        <w:rPr>
          <w:sz w:val="24"/>
          <w:szCs w:val="24"/>
        </w:rPr>
        <w:t xml:space="preserve"> </w:t>
      </w:r>
      <w:r w:rsidR="00243E8F">
        <w:rPr>
          <w:sz w:val="24"/>
          <w:szCs w:val="24"/>
        </w:rPr>
        <w:t xml:space="preserve">would </w:t>
      </w:r>
      <w:r w:rsidRPr="00EF3F3A">
        <w:rPr>
          <w:sz w:val="24"/>
          <w:szCs w:val="24"/>
        </w:rPr>
        <w:t xml:space="preserve">open up </w:t>
      </w:r>
      <w:r w:rsidR="00EF3F3A" w:rsidRPr="00EF3F3A">
        <w:rPr>
          <w:sz w:val="24"/>
          <w:szCs w:val="24"/>
        </w:rPr>
        <w:t xml:space="preserve">opportunities for </w:t>
      </w:r>
      <w:r w:rsidRPr="00EF3F3A">
        <w:rPr>
          <w:sz w:val="24"/>
          <w:szCs w:val="24"/>
        </w:rPr>
        <w:t xml:space="preserve">abuse of the system.  </w:t>
      </w:r>
    </w:p>
    <w:p w14:paraId="79293DE8" w14:textId="77777777" w:rsidR="00EF3F3A" w:rsidRPr="00EF3F3A" w:rsidRDefault="00EF3F3A" w:rsidP="00EF3F3A">
      <w:pPr>
        <w:pStyle w:val="ListParagraph"/>
        <w:rPr>
          <w:i/>
          <w:sz w:val="24"/>
          <w:szCs w:val="24"/>
        </w:rPr>
      </w:pPr>
    </w:p>
    <w:p w14:paraId="3E38D402" w14:textId="77777777" w:rsidR="00925DB4" w:rsidRPr="00EF3F3A" w:rsidRDefault="00EF3F3A" w:rsidP="00EF3F3A">
      <w:pPr>
        <w:pStyle w:val="ListParagraph"/>
        <w:spacing w:after="0"/>
        <w:ind w:left="1080"/>
        <w:rPr>
          <w:i/>
          <w:sz w:val="24"/>
          <w:szCs w:val="24"/>
        </w:rPr>
      </w:pPr>
      <w:r w:rsidRPr="00EF3F3A">
        <w:rPr>
          <w:i/>
          <w:sz w:val="24"/>
          <w:szCs w:val="24"/>
        </w:rPr>
        <w:t>“</w:t>
      </w:r>
      <w:r w:rsidR="00834963" w:rsidRPr="00EF3F3A">
        <w:rPr>
          <w:i/>
          <w:sz w:val="24"/>
          <w:szCs w:val="24"/>
        </w:rPr>
        <w:t>As a result of the private benefits provided by charities for the advancement of education</w:t>
      </w:r>
      <w:r w:rsidRPr="00EF3F3A">
        <w:rPr>
          <w:i/>
          <w:sz w:val="24"/>
          <w:szCs w:val="24"/>
        </w:rPr>
        <w:t xml:space="preserve"> </w:t>
      </w:r>
      <w:r w:rsidR="00834963" w:rsidRPr="00EF3F3A">
        <w:rPr>
          <w:i/>
          <w:sz w:val="24"/>
          <w:szCs w:val="24"/>
        </w:rPr>
        <w:t>through childcare or primary or secondary education, the unlimited extension of DGR status</w:t>
      </w:r>
      <w:r w:rsidRPr="00EF3F3A">
        <w:rPr>
          <w:i/>
          <w:sz w:val="24"/>
          <w:szCs w:val="24"/>
        </w:rPr>
        <w:t xml:space="preserve"> </w:t>
      </w:r>
      <w:r w:rsidR="00834963" w:rsidRPr="00EF3F3A">
        <w:rPr>
          <w:i/>
          <w:sz w:val="24"/>
          <w:szCs w:val="24"/>
        </w:rPr>
        <w:t>to all donations to these charities would generate significant integrity issues.</w:t>
      </w:r>
      <w:r w:rsidRPr="00EF3F3A">
        <w:rPr>
          <w:i/>
          <w:sz w:val="24"/>
          <w:szCs w:val="24"/>
        </w:rPr>
        <w:t xml:space="preserve"> </w:t>
      </w:r>
      <w:r w:rsidR="00834963" w:rsidRPr="00EF3F3A">
        <w:rPr>
          <w:i/>
          <w:sz w:val="24"/>
          <w:szCs w:val="24"/>
        </w:rPr>
        <w:t xml:space="preserve"> For example, it</w:t>
      </w:r>
      <w:r w:rsidRPr="00EF3F3A">
        <w:rPr>
          <w:i/>
          <w:sz w:val="24"/>
          <w:szCs w:val="24"/>
        </w:rPr>
        <w:t xml:space="preserve"> </w:t>
      </w:r>
      <w:r w:rsidR="00834963" w:rsidRPr="00EF3F3A">
        <w:rPr>
          <w:i/>
          <w:sz w:val="24"/>
          <w:szCs w:val="24"/>
        </w:rPr>
        <w:t>would be difficult to distinguish between the payment of fees and voluntary donations</w:t>
      </w:r>
      <w:r w:rsidRPr="00EF3F3A">
        <w:rPr>
          <w:i/>
          <w:sz w:val="24"/>
          <w:szCs w:val="24"/>
        </w:rPr>
        <w:t>”</w:t>
      </w:r>
      <w:r w:rsidR="00834963" w:rsidRPr="00EF3F3A">
        <w:rPr>
          <w:i/>
          <w:sz w:val="24"/>
          <w:szCs w:val="24"/>
        </w:rPr>
        <w:t>.</w:t>
      </w:r>
      <w:r>
        <w:rPr>
          <w:rStyle w:val="FootnoteReference"/>
          <w:i/>
          <w:sz w:val="24"/>
          <w:szCs w:val="24"/>
        </w:rPr>
        <w:footnoteReference w:id="8"/>
      </w:r>
    </w:p>
    <w:p w14:paraId="252A2BC4" w14:textId="77777777" w:rsidR="00925DB4" w:rsidRPr="00925DB4" w:rsidRDefault="00925DB4" w:rsidP="00834963">
      <w:pPr>
        <w:pStyle w:val="ListParagraph"/>
        <w:spacing w:after="0"/>
        <w:ind w:left="1080"/>
        <w:rPr>
          <w:sz w:val="24"/>
          <w:szCs w:val="24"/>
        </w:rPr>
      </w:pPr>
    </w:p>
    <w:p w14:paraId="5DDDCC47" w14:textId="77777777" w:rsidR="00CC5140" w:rsidRPr="00D5104B" w:rsidRDefault="00243E8F" w:rsidP="00CC5140">
      <w:pPr>
        <w:pStyle w:val="ListParagraph"/>
        <w:numPr>
          <w:ilvl w:val="0"/>
          <w:numId w:val="4"/>
        </w:numPr>
        <w:spacing w:after="0"/>
        <w:rPr>
          <w:sz w:val="24"/>
          <w:szCs w:val="24"/>
        </w:rPr>
      </w:pPr>
      <w:r>
        <w:rPr>
          <w:sz w:val="24"/>
          <w:szCs w:val="24"/>
        </w:rPr>
        <w:t>Taking into account the likely problems if schools were to be granted DGR, o</w:t>
      </w:r>
      <w:r w:rsidR="00CC5140" w:rsidRPr="00D5104B">
        <w:rPr>
          <w:sz w:val="24"/>
          <w:szCs w:val="24"/>
        </w:rPr>
        <w:t xml:space="preserve">ur organisation </w:t>
      </w:r>
      <w:r w:rsidR="00F9341B" w:rsidRPr="00D5104B">
        <w:rPr>
          <w:sz w:val="24"/>
          <w:szCs w:val="24"/>
        </w:rPr>
        <w:t xml:space="preserve">therefore </w:t>
      </w:r>
      <w:r w:rsidR="00CC5140" w:rsidRPr="00D5104B">
        <w:rPr>
          <w:sz w:val="24"/>
          <w:szCs w:val="24"/>
        </w:rPr>
        <w:t>strongly advocates that parent support organisations for all schools in Australia need a general tax concession granted by the Income Tax Assessment Act 1997 (</w:t>
      </w:r>
      <w:proofErr w:type="spellStart"/>
      <w:r w:rsidR="00CC5140" w:rsidRPr="00D5104B">
        <w:rPr>
          <w:sz w:val="24"/>
          <w:szCs w:val="24"/>
        </w:rPr>
        <w:t>Cth</w:t>
      </w:r>
      <w:proofErr w:type="spellEnd"/>
      <w:r w:rsidR="00CC5140" w:rsidRPr="00D5104B">
        <w:rPr>
          <w:sz w:val="24"/>
          <w:szCs w:val="24"/>
        </w:rPr>
        <w:t xml:space="preserve">) </w:t>
      </w:r>
      <w:r>
        <w:rPr>
          <w:sz w:val="24"/>
          <w:szCs w:val="24"/>
        </w:rPr>
        <w:t xml:space="preserve">for them to be </w:t>
      </w:r>
      <w:r w:rsidR="00CC5140" w:rsidRPr="00D5104B">
        <w:rPr>
          <w:sz w:val="24"/>
          <w:szCs w:val="24"/>
        </w:rPr>
        <w:t xml:space="preserve">deductible gift recipients. </w:t>
      </w:r>
    </w:p>
    <w:p w14:paraId="20F2A3F9" w14:textId="77777777" w:rsidR="0036062E" w:rsidRDefault="0036062E" w:rsidP="0036062E">
      <w:pPr>
        <w:pStyle w:val="ListParagraph"/>
        <w:spacing w:after="0"/>
        <w:ind w:left="1080"/>
        <w:rPr>
          <w:sz w:val="24"/>
          <w:szCs w:val="24"/>
        </w:rPr>
      </w:pPr>
    </w:p>
    <w:p w14:paraId="17895BAE" w14:textId="77777777" w:rsidR="0036062E" w:rsidRDefault="0036062E" w:rsidP="0036062E">
      <w:pPr>
        <w:spacing w:after="0"/>
        <w:rPr>
          <w:sz w:val="24"/>
          <w:szCs w:val="24"/>
        </w:rPr>
      </w:pPr>
    </w:p>
    <w:p w14:paraId="0B8EDBFC" w14:textId="77777777" w:rsidR="003A7000" w:rsidRPr="00F9341B" w:rsidRDefault="00F9341B" w:rsidP="003A7000">
      <w:pPr>
        <w:spacing w:after="0"/>
        <w:rPr>
          <w:b/>
          <w:sz w:val="24"/>
          <w:szCs w:val="24"/>
          <w:u w:val="single"/>
        </w:rPr>
      </w:pPr>
      <w:r w:rsidRPr="00F9341B">
        <w:rPr>
          <w:b/>
          <w:sz w:val="24"/>
          <w:szCs w:val="24"/>
        </w:rPr>
        <w:t>C.</w:t>
      </w:r>
      <w:r w:rsidRPr="00F9341B">
        <w:rPr>
          <w:b/>
          <w:sz w:val="24"/>
          <w:szCs w:val="24"/>
        </w:rPr>
        <w:tab/>
      </w:r>
      <w:r w:rsidR="003A7000" w:rsidRPr="00F9341B">
        <w:rPr>
          <w:b/>
          <w:sz w:val="24"/>
          <w:szCs w:val="24"/>
          <w:u w:val="single"/>
        </w:rPr>
        <w:t>Current Developments in the Public School Sector</w:t>
      </w:r>
    </w:p>
    <w:p w14:paraId="029A07C0" w14:textId="77777777" w:rsidR="003A7000" w:rsidRPr="003A7000" w:rsidRDefault="003A7000" w:rsidP="003A7000">
      <w:pPr>
        <w:spacing w:after="0"/>
        <w:rPr>
          <w:sz w:val="24"/>
          <w:szCs w:val="24"/>
          <w:u w:val="single"/>
        </w:rPr>
      </w:pPr>
    </w:p>
    <w:p w14:paraId="6A2802E0" w14:textId="77777777" w:rsidR="00C36BF2" w:rsidRDefault="00D15EA0" w:rsidP="003A7000">
      <w:pPr>
        <w:pStyle w:val="ListParagraph"/>
        <w:numPr>
          <w:ilvl w:val="0"/>
          <w:numId w:val="5"/>
        </w:numPr>
        <w:spacing w:after="0"/>
        <w:rPr>
          <w:sz w:val="24"/>
          <w:szCs w:val="24"/>
        </w:rPr>
      </w:pPr>
      <w:r>
        <w:rPr>
          <w:sz w:val="24"/>
          <w:szCs w:val="24"/>
        </w:rPr>
        <w:t xml:space="preserve">Across </w:t>
      </w:r>
      <w:r w:rsidR="00A30AA3">
        <w:rPr>
          <w:sz w:val="24"/>
          <w:szCs w:val="24"/>
        </w:rPr>
        <w:t xml:space="preserve">the </w:t>
      </w:r>
      <w:r>
        <w:rPr>
          <w:sz w:val="24"/>
          <w:szCs w:val="24"/>
        </w:rPr>
        <w:t>Australia</w:t>
      </w:r>
      <w:r w:rsidR="00B6040C">
        <w:rPr>
          <w:sz w:val="24"/>
          <w:szCs w:val="24"/>
        </w:rPr>
        <w:t>n</w:t>
      </w:r>
      <w:r w:rsidR="00F95568">
        <w:rPr>
          <w:sz w:val="24"/>
          <w:szCs w:val="24"/>
        </w:rPr>
        <w:t>, Europe</w:t>
      </w:r>
      <w:r w:rsidR="00B6040C">
        <w:rPr>
          <w:sz w:val="24"/>
          <w:szCs w:val="24"/>
        </w:rPr>
        <w:t>an</w:t>
      </w:r>
      <w:r w:rsidR="00F95568">
        <w:rPr>
          <w:sz w:val="24"/>
          <w:szCs w:val="24"/>
        </w:rPr>
        <w:t xml:space="preserve"> and North America</w:t>
      </w:r>
      <w:r w:rsidR="00B6040C">
        <w:rPr>
          <w:sz w:val="24"/>
          <w:szCs w:val="24"/>
        </w:rPr>
        <w:t>n</w:t>
      </w:r>
      <w:r w:rsidR="00F95568">
        <w:rPr>
          <w:sz w:val="24"/>
          <w:szCs w:val="24"/>
        </w:rPr>
        <w:t xml:space="preserve"> school </w:t>
      </w:r>
      <w:r w:rsidR="00AF1197">
        <w:rPr>
          <w:sz w:val="24"/>
          <w:szCs w:val="24"/>
        </w:rPr>
        <w:t xml:space="preserve">education </w:t>
      </w:r>
      <w:r w:rsidR="00F95568">
        <w:rPr>
          <w:sz w:val="24"/>
          <w:szCs w:val="24"/>
        </w:rPr>
        <w:t>systems</w:t>
      </w:r>
      <w:r>
        <w:rPr>
          <w:sz w:val="24"/>
          <w:szCs w:val="24"/>
        </w:rPr>
        <w:t xml:space="preserve">, </w:t>
      </w:r>
      <w:r w:rsidR="00B6040C">
        <w:rPr>
          <w:sz w:val="24"/>
          <w:szCs w:val="24"/>
        </w:rPr>
        <w:t xml:space="preserve">a </w:t>
      </w:r>
      <w:r w:rsidR="00F95568">
        <w:rPr>
          <w:sz w:val="24"/>
          <w:szCs w:val="24"/>
        </w:rPr>
        <w:t xml:space="preserve">public policy </w:t>
      </w:r>
      <w:r>
        <w:rPr>
          <w:sz w:val="24"/>
          <w:szCs w:val="24"/>
        </w:rPr>
        <w:t xml:space="preserve">of encouraging state schools to </w:t>
      </w:r>
      <w:r w:rsidR="00F95568">
        <w:rPr>
          <w:sz w:val="24"/>
          <w:szCs w:val="24"/>
        </w:rPr>
        <w:t xml:space="preserve">become </w:t>
      </w:r>
      <w:r>
        <w:rPr>
          <w:sz w:val="24"/>
          <w:szCs w:val="24"/>
        </w:rPr>
        <w:t>Indepen</w:t>
      </w:r>
      <w:r w:rsidR="00F95568">
        <w:rPr>
          <w:sz w:val="24"/>
          <w:szCs w:val="24"/>
        </w:rPr>
        <w:t>d</w:t>
      </w:r>
      <w:r>
        <w:rPr>
          <w:sz w:val="24"/>
          <w:szCs w:val="24"/>
        </w:rPr>
        <w:t>e</w:t>
      </w:r>
      <w:r w:rsidR="00F95568">
        <w:rPr>
          <w:sz w:val="24"/>
          <w:szCs w:val="24"/>
        </w:rPr>
        <w:t>n</w:t>
      </w:r>
      <w:r>
        <w:rPr>
          <w:sz w:val="24"/>
          <w:szCs w:val="24"/>
        </w:rPr>
        <w:t xml:space="preserve">t Public Schools </w:t>
      </w:r>
      <w:r w:rsidR="00AF1197">
        <w:rPr>
          <w:sz w:val="24"/>
          <w:szCs w:val="24"/>
        </w:rPr>
        <w:t xml:space="preserve">(IPS) </w:t>
      </w:r>
      <w:r w:rsidR="00F95568">
        <w:rPr>
          <w:sz w:val="24"/>
          <w:szCs w:val="24"/>
        </w:rPr>
        <w:t>is now in</w:t>
      </w:r>
      <w:r w:rsidR="00317C9D">
        <w:rPr>
          <w:sz w:val="24"/>
          <w:szCs w:val="24"/>
        </w:rPr>
        <w:t xml:space="preserve"> full</w:t>
      </w:r>
      <w:r w:rsidR="00F95568">
        <w:rPr>
          <w:sz w:val="24"/>
          <w:szCs w:val="24"/>
        </w:rPr>
        <w:t xml:space="preserve"> implementation phase.  T</w:t>
      </w:r>
      <w:r>
        <w:rPr>
          <w:sz w:val="24"/>
          <w:szCs w:val="24"/>
        </w:rPr>
        <w:t xml:space="preserve">he aim </w:t>
      </w:r>
      <w:r w:rsidR="00AF1197">
        <w:rPr>
          <w:sz w:val="24"/>
          <w:szCs w:val="24"/>
        </w:rPr>
        <w:t xml:space="preserve">of </w:t>
      </w:r>
      <w:r w:rsidR="00317C9D">
        <w:rPr>
          <w:sz w:val="24"/>
          <w:szCs w:val="24"/>
        </w:rPr>
        <w:t>th</w:t>
      </w:r>
      <w:r w:rsidR="00C36BF2">
        <w:rPr>
          <w:sz w:val="24"/>
          <w:szCs w:val="24"/>
        </w:rPr>
        <w:t xml:space="preserve">is </w:t>
      </w:r>
      <w:r w:rsidR="00317C9D">
        <w:rPr>
          <w:sz w:val="24"/>
          <w:szCs w:val="24"/>
        </w:rPr>
        <w:t xml:space="preserve">initiative </w:t>
      </w:r>
      <w:r w:rsidR="00F95568">
        <w:rPr>
          <w:sz w:val="24"/>
          <w:szCs w:val="24"/>
        </w:rPr>
        <w:t xml:space="preserve">is to </w:t>
      </w:r>
      <w:r>
        <w:rPr>
          <w:sz w:val="24"/>
          <w:szCs w:val="24"/>
        </w:rPr>
        <w:t>intr</w:t>
      </w:r>
      <w:r w:rsidR="00F95568">
        <w:rPr>
          <w:sz w:val="24"/>
          <w:szCs w:val="24"/>
        </w:rPr>
        <w:t>o</w:t>
      </w:r>
      <w:r>
        <w:rPr>
          <w:sz w:val="24"/>
          <w:szCs w:val="24"/>
        </w:rPr>
        <w:t>duc</w:t>
      </w:r>
      <w:r w:rsidR="00F95568">
        <w:rPr>
          <w:sz w:val="24"/>
          <w:szCs w:val="24"/>
        </w:rPr>
        <w:t xml:space="preserve">e </w:t>
      </w:r>
      <w:r w:rsidR="00CB0760">
        <w:rPr>
          <w:sz w:val="24"/>
          <w:szCs w:val="24"/>
        </w:rPr>
        <w:t xml:space="preserve">renewal </w:t>
      </w:r>
      <w:r w:rsidR="00317C9D">
        <w:rPr>
          <w:sz w:val="24"/>
          <w:szCs w:val="24"/>
        </w:rPr>
        <w:t xml:space="preserve">to </w:t>
      </w:r>
      <w:r w:rsidR="00F95568">
        <w:rPr>
          <w:sz w:val="24"/>
          <w:szCs w:val="24"/>
        </w:rPr>
        <w:t>the traditional school financing and administration model</w:t>
      </w:r>
      <w:r w:rsidR="003A7000">
        <w:rPr>
          <w:sz w:val="24"/>
          <w:szCs w:val="24"/>
        </w:rPr>
        <w:t xml:space="preserve">.  </w:t>
      </w:r>
    </w:p>
    <w:p w14:paraId="1C033913" w14:textId="77777777" w:rsidR="00C36BF2" w:rsidRPr="00C36BF2" w:rsidRDefault="00C36BF2" w:rsidP="00C36BF2">
      <w:pPr>
        <w:spacing w:after="0"/>
        <w:ind w:left="360"/>
        <w:rPr>
          <w:sz w:val="24"/>
          <w:szCs w:val="24"/>
        </w:rPr>
      </w:pPr>
    </w:p>
    <w:p w14:paraId="42B15562" w14:textId="77777777" w:rsidR="00C36BF2" w:rsidRDefault="003A7000" w:rsidP="007223CB">
      <w:pPr>
        <w:spacing w:after="0"/>
        <w:ind w:left="709"/>
        <w:rPr>
          <w:sz w:val="24"/>
          <w:szCs w:val="24"/>
        </w:rPr>
      </w:pPr>
      <w:r w:rsidRPr="00C36BF2">
        <w:rPr>
          <w:sz w:val="24"/>
          <w:szCs w:val="24"/>
        </w:rPr>
        <w:t>The IPS model</w:t>
      </w:r>
      <w:r w:rsidR="00F95568" w:rsidRPr="00C36BF2">
        <w:rPr>
          <w:sz w:val="24"/>
          <w:szCs w:val="24"/>
        </w:rPr>
        <w:t xml:space="preserve"> </w:t>
      </w:r>
      <w:r w:rsidR="00B6040C" w:rsidRPr="00C36BF2">
        <w:rPr>
          <w:sz w:val="24"/>
          <w:szCs w:val="24"/>
        </w:rPr>
        <w:t>facilitate</w:t>
      </w:r>
      <w:r w:rsidRPr="00C36BF2">
        <w:rPr>
          <w:sz w:val="24"/>
          <w:szCs w:val="24"/>
        </w:rPr>
        <w:t>s</w:t>
      </w:r>
      <w:r w:rsidR="00B6040C" w:rsidRPr="00C36BF2">
        <w:rPr>
          <w:sz w:val="24"/>
          <w:szCs w:val="24"/>
        </w:rPr>
        <w:t xml:space="preserve"> </w:t>
      </w:r>
      <w:r w:rsidR="00D15EA0" w:rsidRPr="00C36BF2">
        <w:rPr>
          <w:sz w:val="24"/>
          <w:szCs w:val="24"/>
        </w:rPr>
        <w:t>glob</w:t>
      </w:r>
      <w:r w:rsidR="00F95568" w:rsidRPr="00C36BF2">
        <w:rPr>
          <w:sz w:val="24"/>
          <w:szCs w:val="24"/>
        </w:rPr>
        <w:t>a</w:t>
      </w:r>
      <w:r w:rsidR="00D15EA0" w:rsidRPr="00C36BF2">
        <w:rPr>
          <w:sz w:val="24"/>
          <w:szCs w:val="24"/>
        </w:rPr>
        <w:t>l budgeting</w:t>
      </w:r>
      <w:r w:rsidRPr="00C36BF2">
        <w:rPr>
          <w:sz w:val="24"/>
          <w:szCs w:val="24"/>
        </w:rPr>
        <w:t xml:space="preserve"> and staffing plans which are controlled at school level</w:t>
      </w:r>
      <w:r w:rsidR="00D15EA0" w:rsidRPr="00C36BF2">
        <w:rPr>
          <w:sz w:val="24"/>
          <w:szCs w:val="24"/>
        </w:rPr>
        <w:t xml:space="preserve">, </w:t>
      </w:r>
      <w:r w:rsidRPr="00C36BF2">
        <w:rPr>
          <w:sz w:val="24"/>
          <w:szCs w:val="24"/>
        </w:rPr>
        <w:t xml:space="preserve">significantly </w:t>
      </w:r>
      <w:r w:rsidR="00F95568" w:rsidRPr="00C36BF2">
        <w:rPr>
          <w:sz w:val="24"/>
          <w:szCs w:val="24"/>
        </w:rPr>
        <w:t>increase</w:t>
      </w:r>
      <w:r w:rsidRPr="00C36BF2">
        <w:rPr>
          <w:sz w:val="24"/>
          <w:szCs w:val="24"/>
        </w:rPr>
        <w:t>s</w:t>
      </w:r>
      <w:r w:rsidR="00F95568" w:rsidRPr="00C36BF2">
        <w:rPr>
          <w:sz w:val="24"/>
          <w:szCs w:val="24"/>
        </w:rPr>
        <w:t xml:space="preserve"> local </w:t>
      </w:r>
      <w:r w:rsidR="00D15EA0" w:rsidRPr="00C36BF2">
        <w:rPr>
          <w:sz w:val="24"/>
          <w:szCs w:val="24"/>
        </w:rPr>
        <w:t>autonomy</w:t>
      </w:r>
      <w:r w:rsidR="00B6040C" w:rsidRPr="00C36BF2">
        <w:rPr>
          <w:sz w:val="24"/>
          <w:szCs w:val="24"/>
        </w:rPr>
        <w:t xml:space="preserve"> </w:t>
      </w:r>
      <w:r w:rsidRPr="00C36BF2">
        <w:rPr>
          <w:sz w:val="24"/>
          <w:szCs w:val="24"/>
        </w:rPr>
        <w:t xml:space="preserve">of schools </w:t>
      </w:r>
      <w:r w:rsidR="00B6040C" w:rsidRPr="00C36BF2">
        <w:rPr>
          <w:sz w:val="24"/>
          <w:szCs w:val="24"/>
        </w:rPr>
        <w:t>and</w:t>
      </w:r>
      <w:r w:rsidR="00F95568" w:rsidRPr="00C36BF2">
        <w:rPr>
          <w:sz w:val="24"/>
          <w:szCs w:val="24"/>
        </w:rPr>
        <w:t xml:space="preserve"> </w:t>
      </w:r>
      <w:r w:rsidRPr="00C36BF2">
        <w:rPr>
          <w:sz w:val="24"/>
          <w:szCs w:val="24"/>
        </w:rPr>
        <w:t xml:space="preserve">encourages </w:t>
      </w:r>
      <w:r w:rsidR="00F95568" w:rsidRPr="00C36BF2">
        <w:rPr>
          <w:sz w:val="24"/>
          <w:szCs w:val="24"/>
        </w:rPr>
        <w:t>parent</w:t>
      </w:r>
      <w:r w:rsidRPr="00C36BF2">
        <w:rPr>
          <w:sz w:val="24"/>
          <w:szCs w:val="24"/>
        </w:rPr>
        <w:t>s</w:t>
      </w:r>
      <w:r w:rsidR="00F95568" w:rsidRPr="00C36BF2">
        <w:rPr>
          <w:sz w:val="24"/>
          <w:szCs w:val="24"/>
        </w:rPr>
        <w:t xml:space="preserve"> and community </w:t>
      </w:r>
      <w:r w:rsidRPr="00C36BF2">
        <w:rPr>
          <w:sz w:val="24"/>
          <w:szCs w:val="24"/>
        </w:rPr>
        <w:t xml:space="preserve">to </w:t>
      </w:r>
      <w:r w:rsidR="00F95568" w:rsidRPr="00C36BF2">
        <w:rPr>
          <w:sz w:val="24"/>
          <w:szCs w:val="24"/>
        </w:rPr>
        <w:t>engage</w:t>
      </w:r>
      <w:r w:rsidRPr="00C36BF2">
        <w:rPr>
          <w:sz w:val="24"/>
          <w:szCs w:val="24"/>
        </w:rPr>
        <w:t xml:space="preserve"> with their schools </w:t>
      </w:r>
      <w:r w:rsidR="00F95568" w:rsidRPr="00C36BF2">
        <w:rPr>
          <w:sz w:val="24"/>
          <w:szCs w:val="24"/>
        </w:rPr>
        <w:t xml:space="preserve">via </w:t>
      </w:r>
      <w:r w:rsidR="00D15EA0" w:rsidRPr="00C36BF2">
        <w:rPr>
          <w:sz w:val="24"/>
          <w:szCs w:val="24"/>
        </w:rPr>
        <w:t>devolved d</w:t>
      </w:r>
      <w:r w:rsidR="00F95568" w:rsidRPr="00C36BF2">
        <w:rPr>
          <w:sz w:val="24"/>
          <w:szCs w:val="24"/>
        </w:rPr>
        <w:t xml:space="preserve">ecision making.  </w:t>
      </w:r>
    </w:p>
    <w:p w14:paraId="28257562" w14:textId="77777777" w:rsidR="00F95568" w:rsidRDefault="00F95568" w:rsidP="003A0A42">
      <w:pPr>
        <w:pStyle w:val="ListParagraph"/>
        <w:spacing w:after="0"/>
        <w:rPr>
          <w:sz w:val="24"/>
          <w:szCs w:val="24"/>
        </w:rPr>
      </w:pPr>
    </w:p>
    <w:p w14:paraId="4014EFD7" w14:textId="77777777" w:rsidR="00CB0760" w:rsidRDefault="00F95568" w:rsidP="003A7000">
      <w:pPr>
        <w:pStyle w:val="ListParagraph"/>
        <w:numPr>
          <w:ilvl w:val="0"/>
          <w:numId w:val="5"/>
        </w:numPr>
        <w:spacing w:after="0"/>
        <w:rPr>
          <w:sz w:val="24"/>
          <w:szCs w:val="24"/>
        </w:rPr>
      </w:pPr>
      <w:r>
        <w:rPr>
          <w:sz w:val="24"/>
          <w:szCs w:val="24"/>
        </w:rPr>
        <w:lastRenderedPageBreak/>
        <w:t xml:space="preserve">The trend across all Australian states and territories is a rapidly increasing rollout </w:t>
      </w:r>
      <w:r w:rsidR="00411650">
        <w:rPr>
          <w:sz w:val="24"/>
          <w:szCs w:val="24"/>
        </w:rPr>
        <w:t>o</w:t>
      </w:r>
      <w:r>
        <w:rPr>
          <w:sz w:val="24"/>
          <w:szCs w:val="24"/>
        </w:rPr>
        <w:t xml:space="preserve">f IPS schools.  This </w:t>
      </w:r>
      <w:r w:rsidR="00A30AA3">
        <w:rPr>
          <w:sz w:val="24"/>
          <w:szCs w:val="24"/>
        </w:rPr>
        <w:t>requires the formation of new structures</w:t>
      </w:r>
      <w:r w:rsidR="003A7000">
        <w:rPr>
          <w:sz w:val="24"/>
          <w:szCs w:val="24"/>
        </w:rPr>
        <w:t xml:space="preserve"> at IPS schools</w:t>
      </w:r>
      <w:r w:rsidR="00A30AA3">
        <w:rPr>
          <w:sz w:val="24"/>
          <w:szCs w:val="24"/>
        </w:rPr>
        <w:t>; School Councils</w:t>
      </w:r>
      <w:r w:rsidR="00AB55DE">
        <w:rPr>
          <w:sz w:val="24"/>
          <w:szCs w:val="24"/>
        </w:rPr>
        <w:t xml:space="preserve">.  These have been granted </w:t>
      </w:r>
      <w:r w:rsidR="00A30AA3">
        <w:rPr>
          <w:sz w:val="24"/>
          <w:szCs w:val="24"/>
        </w:rPr>
        <w:t xml:space="preserve">a key governance role and </w:t>
      </w:r>
      <w:r w:rsidR="00AB55DE">
        <w:rPr>
          <w:sz w:val="24"/>
          <w:szCs w:val="24"/>
        </w:rPr>
        <w:t xml:space="preserve">are responsible for </w:t>
      </w:r>
      <w:r w:rsidR="00A30AA3">
        <w:rPr>
          <w:sz w:val="24"/>
          <w:szCs w:val="24"/>
        </w:rPr>
        <w:t>focus</w:t>
      </w:r>
      <w:r w:rsidR="00AB55DE">
        <w:rPr>
          <w:sz w:val="24"/>
          <w:szCs w:val="24"/>
        </w:rPr>
        <w:t xml:space="preserve">ing </w:t>
      </w:r>
      <w:r w:rsidR="00A30AA3">
        <w:rPr>
          <w:sz w:val="24"/>
          <w:szCs w:val="24"/>
        </w:rPr>
        <w:t xml:space="preserve">on </w:t>
      </w:r>
      <w:r w:rsidR="00AB55DE">
        <w:rPr>
          <w:sz w:val="24"/>
          <w:szCs w:val="24"/>
        </w:rPr>
        <w:t xml:space="preserve">local based </w:t>
      </w:r>
      <w:r w:rsidR="00A30AA3">
        <w:rPr>
          <w:sz w:val="24"/>
          <w:szCs w:val="24"/>
        </w:rPr>
        <w:t xml:space="preserve">strategies </w:t>
      </w:r>
      <w:r w:rsidR="00AB55DE">
        <w:rPr>
          <w:sz w:val="24"/>
          <w:szCs w:val="24"/>
        </w:rPr>
        <w:t>t</w:t>
      </w:r>
      <w:r w:rsidR="00A30AA3">
        <w:rPr>
          <w:sz w:val="24"/>
          <w:szCs w:val="24"/>
        </w:rPr>
        <w:t xml:space="preserve">o </w:t>
      </w:r>
      <w:r w:rsidR="00411650">
        <w:rPr>
          <w:sz w:val="24"/>
          <w:szCs w:val="24"/>
        </w:rPr>
        <w:t>provid</w:t>
      </w:r>
      <w:r w:rsidR="00AB55DE">
        <w:rPr>
          <w:sz w:val="24"/>
          <w:szCs w:val="24"/>
        </w:rPr>
        <w:t xml:space="preserve">e </w:t>
      </w:r>
      <w:r>
        <w:rPr>
          <w:sz w:val="24"/>
          <w:szCs w:val="24"/>
        </w:rPr>
        <w:t xml:space="preserve">better education outcomes for </w:t>
      </w:r>
      <w:r w:rsidR="00AB55DE">
        <w:rPr>
          <w:sz w:val="24"/>
          <w:szCs w:val="24"/>
        </w:rPr>
        <w:t xml:space="preserve">their </w:t>
      </w:r>
      <w:r>
        <w:rPr>
          <w:sz w:val="24"/>
          <w:szCs w:val="24"/>
        </w:rPr>
        <w:t>students</w:t>
      </w:r>
      <w:r w:rsidR="00411650">
        <w:rPr>
          <w:sz w:val="24"/>
          <w:szCs w:val="24"/>
        </w:rPr>
        <w:t xml:space="preserve">.  </w:t>
      </w:r>
      <w:r w:rsidR="00AB55DE">
        <w:rPr>
          <w:sz w:val="24"/>
          <w:szCs w:val="24"/>
        </w:rPr>
        <w:t xml:space="preserve"> In Queensland there will be an additional 100 IPS schools added during 2015, which will mean about 20% of schools will be classed as IPS.</w:t>
      </w:r>
    </w:p>
    <w:p w14:paraId="7E41F0A1" w14:textId="77777777" w:rsidR="00F9341B" w:rsidRDefault="00F9341B" w:rsidP="00F9341B">
      <w:pPr>
        <w:pStyle w:val="ListParagraph"/>
        <w:spacing w:after="0"/>
        <w:rPr>
          <w:sz w:val="24"/>
          <w:szCs w:val="24"/>
        </w:rPr>
      </w:pPr>
    </w:p>
    <w:p w14:paraId="42B95569" w14:textId="77777777" w:rsidR="00D15EA0" w:rsidRDefault="00AB55DE" w:rsidP="003A7000">
      <w:pPr>
        <w:pStyle w:val="ListParagraph"/>
        <w:numPr>
          <w:ilvl w:val="0"/>
          <w:numId w:val="5"/>
        </w:numPr>
        <w:spacing w:after="0"/>
        <w:rPr>
          <w:sz w:val="24"/>
          <w:szCs w:val="24"/>
        </w:rPr>
      </w:pPr>
      <w:r>
        <w:rPr>
          <w:sz w:val="24"/>
          <w:szCs w:val="24"/>
        </w:rPr>
        <w:t xml:space="preserve">This </w:t>
      </w:r>
      <w:r w:rsidR="003A0A42">
        <w:rPr>
          <w:sz w:val="24"/>
          <w:szCs w:val="24"/>
        </w:rPr>
        <w:t>movement</w:t>
      </w:r>
      <w:r>
        <w:rPr>
          <w:sz w:val="24"/>
          <w:szCs w:val="24"/>
        </w:rPr>
        <w:t xml:space="preserve"> </w:t>
      </w:r>
      <w:r w:rsidR="00411650">
        <w:rPr>
          <w:sz w:val="24"/>
          <w:szCs w:val="24"/>
        </w:rPr>
        <w:t xml:space="preserve">also </w:t>
      </w:r>
      <w:r w:rsidR="00F95568">
        <w:rPr>
          <w:sz w:val="24"/>
          <w:szCs w:val="24"/>
        </w:rPr>
        <w:t>naturally lead</w:t>
      </w:r>
      <w:r w:rsidR="00411650">
        <w:rPr>
          <w:sz w:val="24"/>
          <w:szCs w:val="24"/>
        </w:rPr>
        <w:t>s</w:t>
      </w:r>
      <w:r w:rsidR="00F95568">
        <w:rPr>
          <w:sz w:val="24"/>
          <w:szCs w:val="24"/>
        </w:rPr>
        <w:t xml:space="preserve"> </w:t>
      </w:r>
      <w:r w:rsidR="003A7000">
        <w:rPr>
          <w:sz w:val="24"/>
          <w:szCs w:val="24"/>
        </w:rPr>
        <w:t xml:space="preserve">to </w:t>
      </w:r>
      <w:r w:rsidR="007223CB">
        <w:rPr>
          <w:sz w:val="24"/>
          <w:szCs w:val="24"/>
        </w:rPr>
        <w:t xml:space="preserve">School Councils and </w:t>
      </w:r>
      <w:r w:rsidR="00411650">
        <w:rPr>
          <w:sz w:val="24"/>
          <w:szCs w:val="24"/>
        </w:rPr>
        <w:t xml:space="preserve">traditional </w:t>
      </w:r>
      <w:r w:rsidR="00F95568">
        <w:rPr>
          <w:sz w:val="24"/>
          <w:szCs w:val="24"/>
        </w:rPr>
        <w:t xml:space="preserve">school support organisations such as Parents and Citizen Associations </w:t>
      </w:r>
      <w:r w:rsidR="00411650">
        <w:rPr>
          <w:sz w:val="24"/>
          <w:szCs w:val="24"/>
        </w:rPr>
        <w:t xml:space="preserve">to </w:t>
      </w:r>
      <w:r w:rsidR="00A30AA3">
        <w:rPr>
          <w:sz w:val="24"/>
          <w:szCs w:val="24"/>
        </w:rPr>
        <w:t xml:space="preserve">seek ways to </w:t>
      </w:r>
      <w:r w:rsidR="00411650">
        <w:rPr>
          <w:sz w:val="24"/>
          <w:szCs w:val="24"/>
        </w:rPr>
        <w:t xml:space="preserve">boost publicly funded budgets </w:t>
      </w:r>
      <w:r w:rsidR="00A30AA3">
        <w:rPr>
          <w:sz w:val="24"/>
          <w:szCs w:val="24"/>
        </w:rPr>
        <w:t xml:space="preserve">by means of </w:t>
      </w:r>
      <w:r w:rsidR="005A4702">
        <w:rPr>
          <w:sz w:val="24"/>
          <w:szCs w:val="24"/>
        </w:rPr>
        <w:t xml:space="preserve">ongoing </w:t>
      </w:r>
      <w:r w:rsidR="00411650">
        <w:rPr>
          <w:sz w:val="24"/>
          <w:szCs w:val="24"/>
        </w:rPr>
        <w:t xml:space="preserve">corporate </w:t>
      </w:r>
      <w:r w:rsidR="005A4702">
        <w:rPr>
          <w:sz w:val="24"/>
          <w:szCs w:val="24"/>
        </w:rPr>
        <w:t xml:space="preserve">partnerships </w:t>
      </w:r>
      <w:r w:rsidR="00411650">
        <w:rPr>
          <w:sz w:val="24"/>
          <w:szCs w:val="24"/>
        </w:rPr>
        <w:t xml:space="preserve">and grants from philanthropic foundations, trusts and charitable sources.  </w:t>
      </w:r>
    </w:p>
    <w:p w14:paraId="5B0E7FD3" w14:textId="77777777" w:rsidR="00F9341B" w:rsidRDefault="00F9341B" w:rsidP="00F9341B">
      <w:pPr>
        <w:pStyle w:val="ListParagraph"/>
        <w:spacing w:after="0"/>
        <w:rPr>
          <w:sz w:val="24"/>
          <w:szCs w:val="24"/>
        </w:rPr>
      </w:pPr>
    </w:p>
    <w:p w14:paraId="564AA3F5" w14:textId="77777777" w:rsidR="00CB0760" w:rsidRDefault="007223CB" w:rsidP="003A7000">
      <w:pPr>
        <w:pStyle w:val="ListParagraph"/>
        <w:numPr>
          <w:ilvl w:val="0"/>
          <w:numId w:val="5"/>
        </w:numPr>
        <w:spacing w:after="0"/>
        <w:rPr>
          <w:sz w:val="24"/>
          <w:szCs w:val="24"/>
        </w:rPr>
      </w:pPr>
      <w:r>
        <w:rPr>
          <w:sz w:val="24"/>
          <w:szCs w:val="24"/>
        </w:rPr>
        <w:t xml:space="preserve">Sadly </w:t>
      </w:r>
      <w:r w:rsidR="00B6040C">
        <w:rPr>
          <w:sz w:val="24"/>
          <w:szCs w:val="24"/>
        </w:rPr>
        <w:t>t</w:t>
      </w:r>
      <w:r w:rsidR="00411650">
        <w:rPr>
          <w:sz w:val="24"/>
          <w:szCs w:val="24"/>
        </w:rPr>
        <w:t xml:space="preserve">here </w:t>
      </w:r>
      <w:r w:rsidR="003A7000">
        <w:rPr>
          <w:sz w:val="24"/>
          <w:szCs w:val="24"/>
        </w:rPr>
        <w:t xml:space="preserve">are almost no </w:t>
      </w:r>
      <w:r w:rsidR="00411650">
        <w:rPr>
          <w:sz w:val="24"/>
          <w:szCs w:val="24"/>
        </w:rPr>
        <w:t>structural incentive</w:t>
      </w:r>
      <w:r w:rsidR="003A7000">
        <w:rPr>
          <w:sz w:val="24"/>
          <w:szCs w:val="24"/>
        </w:rPr>
        <w:t>s</w:t>
      </w:r>
      <w:r w:rsidR="00411650">
        <w:rPr>
          <w:sz w:val="24"/>
          <w:szCs w:val="24"/>
        </w:rPr>
        <w:t xml:space="preserve"> </w:t>
      </w:r>
      <w:r w:rsidR="00365DC8">
        <w:rPr>
          <w:sz w:val="24"/>
          <w:szCs w:val="24"/>
        </w:rPr>
        <w:t xml:space="preserve">within the current tax system </w:t>
      </w:r>
      <w:r w:rsidR="00411650">
        <w:rPr>
          <w:sz w:val="24"/>
          <w:szCs w:val="24"/>
        </w:rPr>
        <w:t xml:space="preserve">for school support organisations to relieve the </w:t>
      </w:r>
      <w:r w:rsidR="005A4702">
        <w:rPr>
          <w:sz w:val="24"/>
          <w:szCs w:val="24"/>
        </w:rPr>
        <w:t xml:space="preserve">huge upward </w:t>
      </w:r>
      <w:r w:rsidR="00411650">
        <w:rPr>
          <w:sz w:val="24"/>
          <w:szCs w:val="24"/>
        </w:rPr>
        <w:t xml:space="preserve">pressure on government </w:t>
      </w:r>
      <w:r w:rsidR="00365DC8">
        <w:rPr>
          <w:sz w:val="24"/>
          <w:szCs w:val="24"/>
        </w:rPr>
        <w:t xml:space="preserve">education budgets </w:t>
      </w:r>
      <w:r w:rsidR="00411650">
        <w:rPr>
          <w:sz w:val="24"/>
          <w:szCs w:val="24"/>
        </w:rPr>
        <w:t>by</w:t>
      </w:r>
      <w:r w:rsidR="00365DC8">
        <w:rPr>
          <w:sz w:val="24"/>
          <w:szCs w:val="24"/>
        </w:rPr>
        <w:t xml:space="preserve"> </w:t>
      </w:r>
      <w:r w:rsidR="005A4702">
        <w:rPr>
          <w:sz w:val="24"/>
          <w:szCs w:val="24"/>
        </w:rPr>
        <w:t xml:space="preserve">local </w:t>
      </w:r>
      <w:r w:rsidR="00411650">
        <w:rPr>
          <w:sz w:val="24"/>
          <w:szCs w:val="24"/>
        </w:rPr>
        <w:t>fund raising</w:t>
      </w:r>
      <w:r w:rsidR="00365DC8">
        <w:rPr>
          <w:sz w:val="24"/>
          <w:szCs w:val="24"/>
        </w:rPr>
        <w:t xml:space="preserve"> and corporate sponsorship.  </w:t>
      </w:r>
      <w:r w:rsidR="00CB0760">
        <w:rPr>
          <w:sz w:val="24"/>
          <w:szCs w:val="24"/>
        </w:rPr>
        <w:t xml:space="preserve">As noted in </w:t>
      </w:r>
      <w:r w:rsidR="00CB0760" w:rsidRPr="00B5205A">
        <w:rPr>
          <w:sz w:val="24"/>
          <w:szCs w:val="24"/>
        </w:rPr>
        <w:t xml:space="preserve">point </w:t>
      </w:r>
      <w:r w:rsidR="003A7000" w:rsidRPr="00B5205A">
        <w:rPr>
          <w:sz w:val="24"/>
          <w:szCs w:val="24"/>
        </w:rPr>
        <w:t>A</w:t>
      </w:r>
      <w:r w:rsidR="00CB0760" w:rsidRPr="00B5205A">
        <w:rPr>
          <w:sz w:val="24"/>
          <w:szCs w:val="24"/>
        </w:rPr>
        <w:t xml:space="preserve">4, </w:t>
      </w:r>
      <w:r w:rsidR="00D5220E" w:rsidRPr="00B5205A">
        <w:rPr>
          <w:sz w:val="24"/>
          <w:szCs w:val="24"/>
        </w:rPr>
        <w:t>tax incentive</w:t>
      </w:r>
      <w:r w:rsidR="003A7000" w:rsidRPr="00B5205A">
        <w:rPr>
          <w:sz w:val="24"/>
          <w:szCs w:val="24"/>
        </w:rPr>
        <w:t>s are</w:t>
      </w:r>
      <w:r w:rsidR="00365DC8" w:rsidRPr="00B5205A">
        <w:rPr>
          <w:sz w:val="24"/>
          <w:szCs w:val="24"/>
        </w:rPr>
        <w:t xml:space="preserve"> </w:t>
      </w:r>
      <w:r w:rsidR="003A7000" w:rsidRPr="00B5205A">
        <w:rPr>
          <w:sz w:val="24"/>
          <w:szCs w:val="24"/>
        </w:rPr>
        <w:t xml:space="preserve">primarily </w:t>
      </w:r>
      <w:r w:rsidR="00411650" w:rsidRPr="00B5205A">
        <w:rPr>
          <w:sz w:val="24"/>
          <w:szCs w:val="24"/>
        </w:rPr>
        <w:t>restricted to building projects eligible for a building fund</w:t>
      </w:r>
      <w:r w:rsidR="003A7000" w:rsidRPr="00B5205A">
        <w:rPr>
          <w:sz w:val="24"/>
          <w:szCs w:val="24"/>
        </w:rPr>
        <w:t>.  P&amp;Cs Queensland’s a</w:t>
      </w:r>
      <w:r w:rsidR="00365DC8" w:rsidRPr="00B5205A">
        <w:rPr>
          <w:sz w:val="24"/>
          <w:szCs w:val="24"/>
        </w:rPr>
        <w:t xml:space="preserve">necdotal evidence is that </w:t>
      </w:r>
      <w:r w:rsidR="003A7000" w:rsidRPr="00B5205A">
        <w:rPr>
          <w:sz w:val="24"/>
          <w:szCs w:val="24"/>
        </w:rPr>
        <w:t>very few</w:t>
      </w:r>
      <w:r w:rsidR="00365DC8" w:rsidRPr="00B5205A">
        <w:rPr>
          <w:sz w:val="24"/>
          <w:szCs w:val="24"/>
        </w:rPr>
        <w:t xml:space="preserve"> state schools </w:t>
      </w:r>
      <w:r w:rsidR="003A7000" w:rsidRPr="00B5205A">
        <w:rPr>
          <w:sz w:val="24"/>
          <w:szCs w:val="24"/>
        </w:rPr>
        <w:t xml:space="preserve">in Queensland </w:t>
      </w:r>
      <w:r w:rsidR="00365DC8" w:rsidRPr="00B5205A">
        <w:rPr>
          <w:sz w:val="24"/>
          <w:szCs w:val="24"/>
        </w:rPr>
        <w:t>are able to effectively use this facility</w:t>
      </w:r>
      <w:r w:rsidR="00411650" w:rsidRPr="00B5205A">
        <w:rPr>
          <w:sz w:val="24"/>
          <w:szCs w:val="24"/>
        </w:rPr>
        <w:t>.</w:t>
      </w:r>
    </w:p>
    <w:p w14:paraId="0880D3D6" w14:textId="77777777" w:rsidR="00F9341B" w:rsidRDefault="00F9341B" w:rsidP="00F9341B">
      <w:pPr>
        <w:pStyle w:val="ListParagraph"/>
        <w:spacing w:after="0"/>
        <w:rPr>
          <w:sz w:val="24"/>
          <w:szCs w:val="24"/>
        </w:rPr>
      </w:pPr>
    </w:p>
    <w:p w14:paraId="514B6673" w14:textId="77777777" w:rsidR="00365DC8" w:rsidRPr="005A4702" w:rsidRDefault="005A4702" w:rsidP="00FF14B0">
      <w:pPr>
        <w:pStyle w:val="ListParagraph"/>
        <w:numPr>
          <w:ilvl w:val="0"/>
          <w:numId w:val="5"/>
        </w:numPr>
        <w:spacing w:after="0"/>
        <w:rPr>
          <w:sz w:val="24"/>
          <w:szCs w:val="24"/>
        </w:rPr>
      </w:pPr>
      <w:r>
        <w:rPr>
          <w:sz w:val="24"/>
          <w:szCs w:val="24"/>
        </w:rPr>
        <w:t xml:space="preserve">More than 60% of the state schools in Queensland have less than 450 students.  </w:t>
      </w:r>
      <w:r w:rsidR="00B6040C" w:rsidRPr="00B5205A">
        <w:rPr>
          <w:sz w:val="24"/>
          <w:szCs w:val="24"/>
        </w:rPr>
        <w:t xml:space="preserve">P&amp;Cs Qld </w:t>
      </w:r>
      <w:r w:rsidR="00303093" w:rsidRPr="00B5205A">
        <w:rPr>
          <w:sz w:val="24"/>
          <w:szCs w:val="24"/>
        </w:rPr>
        <w:t xml:space="preserve">also </w:t>
      </w:r>
      <w:r w:rsidR="00B6040C" w:rsidRPr="00B5205A">
        <w:rPr>
          <w:sz w:val="24"/>
          <w:szCs w:val="24"/>
        </w:rPr>
        <w:t xml:space="preserve">estimates that </w:t>
      </w:r>
      <w:r w:rsidR="00CB0760" w:rsidRPr="00B5205A">
        <w:rPr>
          <w:sz w:val="24"/>
          <w:szCs w:val="24"/>
        </w:rPr>
        <w:t>less than</w:t>
      </w:r>
      <w:r w:rsidR="00B6040C" w:rsidRPr="00B5205A">
        <w:rPr>
          <w:sz w:val="24"/>
          <w:szCs w:val="24"/>
        </w:rPr>
        <w:t xml:space="preserve"> </w:t>
      </w:r>
      <w:r w:rsidR="00540951" w:rsidRPr="00B5205A">
        <w:rPr>
          <w:sz w:val="24"/>
          <w:szCs w:val="24"/>
        </w:rPr>
        <w:t>3</w:t>
      </w:r>
      <w:r w:rsidR="00B6040C" w:rsidRPr="00B5205A">
        <w:rPr>
          <w:sz w:val="24"/>
          <w:szCs w:val="24"/>
        </w:rPr>
        <w:t xml:space="preserve">0% of its </w:t>
      </w:r>
      <w:r w:rsidRPr="00B5205A">
        <w:rPr>
          <w:sz w:val="24"/>
          <w:szCs w:val="24"/>
        </w:rPr>
        <w:t xml:space="preserve">total </w:t>
      </w:r>
      <w:r w:rsidR="00303093" w:rsidRPr="00B5205A">
        <w:rPr>
          <w:sz w:val="24"/>
          <w:szCs w:val="24"/>
        </w:rPr>
        <w:t xml:space="preserve">affiliates </w:t>
      </w:r>
      <w:r w:rsidR="00B6040C" w:rsidRPr="00B5205A">
        <w:rPr>
          <w:sz w:val="24"/>
          <w:szCs w:val="24"/>
        </w:rPr>
        <w:t>maintain a</w:t>
      </w:r>
      <w:r w:rsidR="00F9341B" w:rsidRPr="00B5205A">
        <w:rPr>
          <w:sz w:val="24"/>
          <w:szCs w:val="24"/>
        </w:rPr>
        <w:t>n active</w:t>
      </w:r>
      <w:r w:rsidR="00B6040C" w:rsidRPr="00B5205A">
        <w:rPr>
          <w:sz w:val="24"/>
          <w:szCs w:val="24"/>
        </w:rPr>
        <w:t xml:space="preserve"> building fund.</w:t>
      </w:r>
      <w:r w:rsidR="00B6040C">
        <w:rPr>
          <w:sz w:val="24"/>
          <w:szCs w:val="24"/>
        </w:rPr>
        <w:t xml:space="preserve"> </w:t>
      </w:r>
      <w:r w:rsidR="007223CB">
        <w:rPr>
          <w:sz w:val="24"/>
          <w:szCs w:val="24"/>
        </w:rPr>
        <w:t xml:space="preserve"> </w:t>
      </w:r>
      <w:r w:rsidR="00F9341B">
        <w:rPr>
          <w:sz w:val="24"/>
          <w:szCs w:val="24"/>
        </w:rPr>
        <w:t xml:space="preserve">Our </w:t>
      </w:r>
      <w:r w:rsidR="003A0A42">
        <w:rPr>
          <w:sz w:val="24"/>
          <w:szCs w:val="24"/>
        </w:rPr>
        <w:t xml:space="preserve">experience </w:t>
      </w:r>
      <w:r w:rsidR="00F9341B">
        <w:rPr>
          <w:sz w:val="24"/>
          <w:szCs w:val="24"/>
        </w:rPr>
        <w:t xml:space="preserve">as a respected peak body </w:t>
      </w:r>
      <w:r w:rsidR="00FF14B0">
        <w:rPr>
          <w:sz w:val="24"/>
          <w:szCs w:val="24"/>
        </w:rPr>
        <w:t>of</w:t>
      </w:r>
      <w:r w:rsidR="003A0A42">
        <w:rPr>
          <w:sz w:val="24"/>
          <w:szCs w:val="24"/>
        </w:rPr>
        <w:t xml:space="preserve"> </w:t>
      </w:r>
      <w:r w:rsidR="00FF14B0">
        <w:rPr>
          <w:sz w:val="24"/>
          <w:szCs w:val="24"/>
        </w:rPr>
        <w:t>sc</w:t>
      </w:r>
      <w:r w:rsidR="00FF14B0" w:rsidRPr="00FF14B0">
        <w:rPr>
          <w:sz w:val="24"/>
          <w:szCs w:val="24"/>
        </w:rPr>
        <w:t>hool support organisations</w:t>
      </w:r>
      <w:r w:rsidR="00FF14B0">
        <w:rPr>
          <w:sz w:val="24"/>
          <w:szCs w:val="24"/>
        </w:rPr>
        <w:t xml:space="preserve"> for </w:t>
      </w:r>
      <w:r w:rsidR="00365DC8" w:rsidRPr="005A4702">
        <w:rPr>
          <w:sz w:val="24"/>
          <w:szCs w:val="24"/>
        </w:rPr>
        <w:t>state school</w:t>
      </w:r>
      <w:r w:rsidR="00020479" w:rsidRPr="005A4702">
        <w:rPr>
          <w:sz w:val="24"/>
          <w:szCs w:val="24"/>
        </w:rPr>
        <w:t>s</w:t>
      </w:r>
      <w:r w:rsidR="003A0A42">
        <w:rPr>
          <w:sz w:val="24"/>
          <w:szCs w:val="24"/>
        </w:rPr>
        <w:t xml:space="preserve"> </w:t>
      </w:r>
      <w:r w:rsidR="00FF14B0">
        <w:rPr>
          <w:sz w:val="24"/>
          <w:szCs w:val="24"/>
        </w:rPr>
        <w:t xml:space="preserve">is </w:t>
      </w:r>
      <w:r w:rsidR="003A0A42">
        <w:rPr>
          <w:sz w:val="24"/>
          <w:szCs w:val="24"/>
        </w:rPr>
        <w:t xml:space="preserve">that </w:t>
      </w:r>
      <w:r w:rsidR="00365DC8" w:rsidRPr="005A4702">
        <w:rPr>
          <w:sz w:val="24"/>
          <w:szCs w:val="24"/>
        </w:rPr>
        <w:t xml:space="preserve">parents </w:t>
      </w:r>
      <w:r w:rsidR="003A0A42">
        <w:rPr>
          <w:sz w:val="24"/>
          <w:szCs w:val="24"/>
        </w:rPr>
        <w:t xml:space="preserve">believe </w:t>
      </w:r>
      <w:r w:rsidRPr="005A4702">
        <w:rPr>
          <w:sz w:val="24"/>
          <w:szCs w:val="24"/>
        </w:rPr>
        <w:t xml:space="preserve">the </w:t>
      </w:r>
      <w:r w:rsidR="00365DC8" w:rsidRPr="005A4702">
        <w:rPr>
          <w:sz w:val="24"/>
          <w:szCs w:val="24"/>
        </w:rPr>
        <w:t>fund</w:t>
      </w:r>
      <w:r w:rsidR="009A5429" w:rsidRPr="005A4702">
        <w:rPr>
          <w:sz w:val="24"/>
          <w:szCs w:val="24"/>
        </w:rPr>
        <w:t>ing of major building projects i</w:t>
      </w:r>
      <w:r w:rsidR="00365DC8" w:rsidRPr="005A4702">
        <w:rPr>
          <w:sz w:val="24"/>
          <w:szCs w:val="24"/>
        </w:rPr>
        <w:t xml:space="preserve">s </w:t>
      </w:r>
      <w:r w:rsidRPr="005A4702">
        <w:rPr>
          <w:sz w:val="24"/>
          <w:szCs w:val="24"/>
        </w:rPr>
        <w:t xml:space="preserve">well </w:t>
      </w:r>
      <w:r w:rsidR="00365DC8" w:rsidRPr="005A4702">
        <w:rPr>
          <w:sz w:val="24"/>
          <w:szCs w:val="24"/>
        </w:rPr>
        <w:t xml:space="preserve">beyond their capacity and that governments </w:t>
      </w:r>
      <w:r w:rsidR="00020479" w:rsidRPr="005A4702">
        <w:rPr>
          <w:sz w:val="24"/>
          <w:szCs w:val="24"/>
        </w:rPr>
        <w:t xml:space="preserve">have responsibility to </w:t>
      </w:r>
      <w:r w:rsidR="00365DC8" w:rsidRPr="005A4702">
        <w:rPr>
          <w:sz w:val="24"/>
          <w:szCs w:val="24"/>
        </w:rPr>
        <w:t>take carriage of them.</w:t>
      </w:r>
      <w:r w:rsidRPr="005A4702">
        <w:rPr>
          <w:sz w:val="24"/>
          <w:szCs w:val="24"/>
        </w:rPr>
        <w:t xml:space="preserve">  </w:t>
      </w:r>
    </w:p>
    <w:p w14:paraId="54A61BF9" w14:textId="77777777" w:rsidR="00F9341B" w:rsidRDefault="00F9341B" w:rsidP="00F9341B">
      <w:pPr>
        <w:pStyle w:val="ListParagraph"/>
        <w:spacing w:after="0"/>
        <w:rPr>
          <w:sz w:val="24"/>
          <w:szCs w:val="24"/>
        </w:rPr>
      </w:pPr>
    </w:p>
    <w:p w14:paraId="038C0344" w14:textId="77777777" w:rsidR="007D50CD" w:rsidRDefault="00243E8F" w:rsidP="005A4702">
      <w:pPr>
        <w:pStyle w:val="ListParagraph"/>
        <w:numPr>
          <w:ilvl w:val="0"/>
          <w:numId w:val="5"/>
        </w:numPr>
        <w:spacing w:after="0"/>
        <w:rPr>
          <w:sz w:val="24"/>
          <w:szCs w:val="24"/>
        </w:rPr>
      </w:pPr>
      <w:r>
        <w:rPr>
          <w:sz w:val="24"/>
          <w:szCs w:val="24"/>
        </w:rPr>
        <w:t>Consequently s</w:t>
      </w:r>
      <w:r w:rsidR="00FF14B0">
        <w:rPr>
          <w:sz w:val="24"/>
          <w:szCs w:val="24"/>
        </w:rPr>
        <w:t xml:space="preserve">tate </w:t>
      </w:r>
      <w:r w:rsidR="005A4702" w:rsidRPr="005A4702">
        <w:rPr>
          <w:sz w:val="24"/>
          <w:szCs w:val="24"/>
        </w:rPr>
        <w:t xml:space="preserve">school support organisations </w:t>
      </w:r>
      <w:r w:rsidR="003A0A42">
        <w:rPr>
          <w:sz w:val="24"/>
          <w:szCs w:val="24"/>
        </w:rPr>
        <w:t xml:space="preserve">typically </w:t>
      </w:r>
      <w:r w:rsidR="005A4702">
        <w:rPr>
          <w:sz w:val="24"/>
          <w:szCs w:val="24"/>
        </w:rPr>
        <w:t xml:space="preserve">focus on many </w:t>
      </w:r>
      <w:r w:rsidR="007D50CD">
        <w:rPr>
          <w:sz w:val="24"/>
          <w:szCs w:val="24"/>
        </w:rPr>
        <w:t xml:space="preserve">other </w:t>
      </w:r>
      <w:r w:rsidR="009A5429">
        <w:rPr>
          <w:sz w:val="24"/>
          <w:szCs w:val="24"/>
        </w:rPr>
        <w:t xml:space="preserve">activities </w:t>
      </w:r>
      <w:r w:rsidR="005A4702">
        <w:rPr>
          <w:sz w:val="24"/>
          <w:szCs w:val="24"/>
        </w:rPr>
        <w:t xml:space="preserve">which </w:t>
      </w:r>
      <w:r w:rsidR="00365DC8">
        <w:rPr>
          <w:sz w:val="24"/>
          <w:szCs w:val="24"/>
        </w:rPr>
        <w:t>support educational outcomes</w:t>
      </w:r>
      <w:r w:rsidR="005A4702">
        <w:rPr>
          <w:sz w:val="24"/>
          <w:szCs w:val="24"/>
        </w:rPr>
        <w:t xml:space="preserve">.  Whilst these activities are substantial </w:t>
      </w:r>
      <w:r w:rsidR="009A5429">
        <w:rPr>
          <w:sz w:val="24"/>
          <w:szCs w:val="24"/>
        </w:rPr>
        <w:t>an</w:t>
      </w:r>
      <w:r w:rsidR="005A4702">
        <w:rPr>
          <w:sz w:val="24"/>
          <w:szCs w:val="24"/>
        </w:rPr>
        <w:t>d</w:t>
      </w:r>
      <w:r w:rsidR="00DB1F77">
        <w:rPr>
          <w:sz w:val="24"/>
          <w:szCs w:val="24"/>
        </w:rPr>
        <w:t xml:space="preserve"> </w:t>
      </w:r>
      <w:r w:rsidR="00A10253">
        <w:rPr>
          <w:sz w:val="24"/>
          <w:szCs w:val="24"/>
        </w:rPr>
        <w:t>offset</w:t>
      </w:r>
      <w:r w:rsidR="009A5429">
        <w:rPr>
          <w:sz w:val="24"/>
          <w:szCs w:val="24"/>
        </w:rPr>
        <w:t xml:space="preserve"> the need for </w:t>
      </w:r>
      <w:r w:rsidR="00365DC8">
        <w:rPr>
          <w:sz w:val="24"/>
          <w:szCs w:val="24"/>
        </w:rPr>
        <w:t xml:space="preserve">government </w:t>
      </w:r>
      <w:r w:rsidR="00DB1F77">
        <w:rPr>
          <w:sz w:val="24"/>
          <w:szCs w:val="24"/>
        </w:rPr>
        <w:t>tax funded expenditure</w:t>
      </w:r>
      <w:r w:rsidR="005A4702">
        <w:rPr>
          <w:sz w:val="24"/>
          <w:szCs w:val="24"/>
        </w:rPr>
        <w:t xml:space="preserve">, they </w:t>
      </w:r>
      <w:r w:rsidR="00411650">
        <w:rPr>
          <w:sz w:val="24"/>
          <w:szCs w:val="24"/>
        </w:rPr>
        <w:t xml:space="preserve">are </w:t>
      </w:r>
      <w:r w:rsidR="00723E78">
        <w:rPr>
          <w:sz w:val="24"/>
          <w:szCs w:val="24"/>
        </w:rPr>
        <w:t xml:space="preserve">not </w:t>
      </w:r>
      <w:r w:rsidR="00365DC8">
        <w:rPr>
          <w:sz w:val="24"/>
          <w:szCs w:val="24"/>
        </w:rPr>
        <w:t>tax deductib</w:t>
      </w:r>
      <w:r w:rsidR="00723E78">
        <w:rPr>
          <w:sz w:val="24"/>
          <w:szCs w:val="24"/>
        </w:rPr>
        <w:t>le</w:t>
      </w:r>
      <w:r w:rsidR="00365DC8">
        <w:rPr>
          <w:sz w:val="24"/>
          <w:szCs w:val="24"/>
        </w:rPr>
        <w:t xml:space="preserve">.  </w:t>
      </w:r>
      <w:r w:rsidR="00925DB4">
        <w:rPr>
          <w:rStyle w:val="FootnoteReference"/>
          <w:sz w:val="24"/>
          <w:szCs w:val="24"/>
        </w:rPr>
        <w:footnoteReference w:id="9"/>
      </w:r>
    </w:p>
    <w:p w14:paraId="2D65F915" w14:textId="77777777" w:rsidR="00285F95" w:rsidRPr="00F9341B" w:rsidRDefault="00285F95" w:rsidP="00F9341B">
      <w:pPr>
        <w:spacing w:after="0"/>
        <w:rPr>
          <w:sz w:val="24"/>
          <w:szCs w:val="24"/>
        </w:rPr>
      </w:pPr>
    </w:p>
    <w:p w14:paraId="3C116901" w14:textId="77777777" w:rsidR="00411650" w:rsidRDefault="00145EA1" w:rsidP="003A7000">
      <w:pPr>
        <w:pStyle w:val="ListParagraph"/>
        <w:numPr>
          <w:ilvl w:val="0"/>
          <w:numId w:val="5"/>
        </w:numPr>
        <w:spacing w:after="0"/>
        <w:rPr>
          <w:sz w:val="24"/>
          <w:szCs w:val="24"/>
        </w:rPr>
      </w:pPr>
      <w:r>
        <w:rPr>
          <w:sz w:val="24"/>
          <w:szCs w:val="24"/>
        </w:rPr>
        <w:t xml:space="preserve">Direct expenditure by school support organisations </w:t>
      </w:r>
      <w:r w:rsidR="00762862">
        <w:rPr>
          <w:sz w:val="24"/>
          <w:szCs w:val="24"/>
        </w:rPr>
        <w:t xml:space="preserve">to </w:t>
      </w:r>
      <w:r>
        <w:rPr>
          <w:sz w:val="24"/>
          <w:szCs w:val="24"/>
        </w:rPr>
        <w:t xml:space="preserve">help achieve educational outcomes </w:t>
      </w:r>
      <w:r w:rsidR="009A5429">
        <w:rPr>
          <w:sz w:val="24"/>
          <w:szCs w:val="24"/>
        </w:rPr>
        <w:t>include</w:t>
      </w:r>
      <w:r w:rsidR="00365DC8">
        <w:rPr>
          <w:sz w:val="24"/>
          <w:szCs w:val="24"/>
        </w:rPr>
        <w:t xml:space="preserve"> </w:t>
      </w:r>
      <w:r>
        <w:rPr>
          <w:sz w:val="24"/>
          <w:szCs w:val="24"/>
        </w:rPr>
        <w:t xml:space="preserve">the </w:t>
      </w:r>
      <w:r w:rsidR="00CB0760">
        <w:rPr>
          <w:sz w:val="24"/>
          <w:szCs w:val="24"/>
        </w:rPr>
        <w:t xml:space="preserve">purchase and maintenance of </w:t>
      </w:r>
      <w:r w:rsidR="00365DC8">
        <w:rPr>
          <w:sz w:val="24"/>
          <w:szCs w:val="24"/>
        </w:rPr>
        <w:t xml:space="preserve">library and educational </w:t>
      </w:r>
      <w:r w:rsidR="00020479">
        <w:rPr>
          <w:sz w:val="24"/>
          <w:szCs w:val="24"/>
        </w:rPr>
        <w:t>materials</w:t>
      </w:r>
      <w:r w:rsidR="00365DC8">
        <w:rPr>
          <w:sz w:val="24"/>
          <w:szCs w:val="24"/>
        </w:rPr>
        <w:t>,</w:t>
      </w:r>
      <w:r w:rsidR="00020479" w:rsidRPr="00020479">
        <w:rPr>
          <w:sz w:val="24"/>
          <w:szCs w:val="24"/>
        </w:rPr>
        <w:t xml:space="preserve"> </w:t>
      </w:r>
      <w:r w:rsidR="00020479">
        <w:rPr>
          <w:sz w:val="24"/>
          <w:szCs w:val="24"/>
        </w:rPr>
        <w:t>electronic white boards and tablet computers</w:t>
      </w:r>
      <w:r w:rsidR="00B420F3">
        <w:rPr>
          <w:sz w:val="24"/>
          <w:szCs w:val="24"/>
        </w:rPr>
        <w:t>,</w:t>
      </w:r>
      <w:r w:rsidR="00365DC8">
        <w:rPr>
          <w:sz w:val="24"/>
          <w:szCs w:val="24"/>
        </w:rPr>
        <w:t xml:space="preserve"> sporting</w:t>
      </w:r>
      <w:r w:rsidR="00CB0760">
        <w:rPr>
          <w:sz w:val="24"/>
          <w:szCs w:val="24"/>
        </w:rPr>
        <w:t xml:space="preserve"> equipment</w:t>
      </w:r>
      <w:r w:rsidR="00365DC8">
        <w:rPr>
          <w:sz w:val="24"/>
          <w:szCs w:val="24"/>
        </w:rPr>
        <w:t xml:space="preserve">, sensory and therapeutic play equipment, </w:t>
      </w:r>
      <w:r w:rsidR="00411650">
        <w:rPr>
          <w:sz w:val="24"/>
          <w:szCs w:val="24"/>
        </w:rPr>
        <w:t>s</w:t>
      </w:r>
      <w:r w:rsidR="00365DC8">
        <w:rPr>
          <w:sz w:val="24"/>
          <w:szCs w:val="24"/>
        </w:rPr>
        <w:t xml:space="preserve">hade sails, </w:t>
      </w:r>
      <w:r w:rsidR="00FD5DC9">
        <w:rPr>
          <w:sz w:val="24"/>
          <w:szCs w:val="24"/>
        </w:rPr>
        <w:t>construction of school ovals,</w:t>
      </w:r>
      <w:r w:rsidR="00020479">
        <w:rPr>
          <w:sz w:val="24"/>
          <w:szCs w:val="24"/>
        </w:rPr>
        <w:t xml:space="preserve"> purchase and maintenance of school buses</w:t>
      </w:r>
      <w:r w:rsidR="00A10253">
        <w:rPr>
          <w:sz w:val="24"/>
          <w:szCs w:val="24"/>
        </w:rPr>
        <w:t xml:space="preserve"> and</w:t>
      </w:r>
      <w:r w:rsidR="00FD5DC9">
        <w:rPr>
          <w:sz w:val="24"/>
          <w:szCs w:val="24"/>
        </w:rPr>
        <w:t xml:space="preserve"> </w:t>
      </w:r>
      <w:r w:rsidR="00020479">
        <w:rPr>
          <w:sz w:val="24"/>
          <w:szCs w:val="24"/>
        </w:rPr>
        <w:t xml:space="preserve">electronic schools signs, </w:t>
      </w:r>
      <w:r w:rsidR="00CB0760">
        <w:rPr>
          <w:sz w:val="24"/>
          <w:szCs w:val="24"/>
        </w:rPr>
        <w:t xml:space="preserve">assistance for </w:t>
      </w:r>
      <w:r w:rsidR="006E272C">
        <w:rPr>
          <w:sz w:val="24"/>
          <w:szCs w:val="24"/>
        </w:rPr>
        <w:t xml:space="preserve">school </w:t>
      </w:r>
      <w:r w:rsidR="00CB0760">
        <w:rPr>
          <w:sz w:val="24"/>
          <w:szCs w:val="24"/>
        </w:rPr>
        <w:t>cultural events</w:t>
      </w:r>
      <w:r w:rsidR="006E272C">
        <w:rPr>
          <w:sz w:val="24"/>
          <w:szCs w:val="24"/>
        </w:rPr>
        <w:t xml:space="preserve">, </w:t>
      </w:r>
      <w:r w:rsidR="00020479">
        <w:rPr>
          <w:sz w:val="24"/>
          <w:szCs w:val="24"/>
        </w:rPr>
        <w:t xml:space="preserve">construction of vegetable </w:t>
      </w:r>
      <w:r w:rsidR="00B420F3">
        <w:rPr>
          <w:sz w:val="24"/>
          <w:szCs w:val="24"/>
        </w:rPr>
        <w:t xml:space="preserve">and fruit </w:t>
      </w:r>
      <w:r w:rsidR="00020479">
        <w:rPr>
          <w:sz w:val="24"/>
          <w:szCs w:val="24"/>
        </w:rPr>
        <w:t>gardens</w:t>
      </w:r>
      <w:r w:rsidR="00B6040C">
        <w:rPr>
          <w:sz w:val="24"/>
          <w:szCs w:val="24"/>
        </w:rPr>
        <w:t>,</w:t>
      </w:r>
      <w:r w:rsidR="00020479">
        <w:rPr>
          <w:sz w:val="24"/>
          <w:szCs w:val="24"/>
        </w:rPr>
        <w:t xml:space="preserve"> landscaping</w:t>
      </w:r>
      <w:r w:rsidR="00B420F3">
        <w:rPr>
          <w:sz w:val="24"/>
          <w:szCs w:val="24"/>
        </w:rPr>
        <w:t>, irrigation systems</w:t>
      </w:r>
      <w:r w:rsidR="00CB0760">
        <w:rPr>
          <w:sz w:val="24"/>
          <w:szCs w:val="24"/>
        </w:rPr>
        <w:t>,</w:t>
      </w:r>
      <w:r w:rsidR="00020479">
        <w:rPr>
          <w:sz w:val="24"/>
          <w:szCs w:val="24"/>
        </w:rPr>
        <w:t xml:space="preserve"> drainage improvements </w:t>
      </w:r>
      <w:r w:rsidR="00B6040C">
        <w:rPr>
          <w:sz w:val="24"/>
          <w:szCs w:val="24"/>
        </w:rPr>
        <w:t xml:space="preserve">and </w:t>
      </w:r>
      <w:r w:rsidR="00CB0760">
        <w:rPr>
          <w:sz w:val="24"/>
          <w:szCs w:val="24"/>
        </w:rPr>
        <w:t xml:space="preserve">provision of </w:t>
      </w:r>
      <w:r w:rsidR="00B6040C">
        <w:rPr>
          <w:sz w:val="24"/>
          <w:szCs w:val="24"/>
        </w:rPr>
        <w:t>artworks such as murals</w:t>
      </w:r>
      <w:r w:rsidR="00020479">
        <w:rPr>
          <w:sz w:val="24"/>
          <w:szCs w:val="24"/>
        </w:rPr>
        <w:t xml:space="preserve">. </w:t>
      </w:r>
    </w:p>
    <w:p w14:paraId="02F6250E" w14:textId="77777777" w:rsidR="00F9341B" w:rsidRDefault="00F9341B" w:rsidP="00F9341B">
      <w:pPr>
        <w:pStyle w:val="ListParagraph"/>
        <w:spacing w:after="0"/>
        <w:rPr>
          <w:sz w:val="24"/>
          <w:szCs w:val="24"/>
        </w:rPr>
      </w:pPr>
    </w:p>
    <w:p w14:paraId="37F84DD2" w14:textId="77777777" w:rsidR="00CB0760" w:rsidRDefault="006E272C" w:rsidP="003A7000">
      <w:pPr>
        <w:pStyle w:val="ListParagraph"/>
        <w:numPr>
          <w:ilvl w:val="0"/>
          <w:numId w:val="5"/>
        </w:numPr>
        <w:spacing w:after="0"/>
        <w:rPr>
          <w:sz w:val="24"/>
          <w:szCs w:val="24"/>
        </w:rPr>
      </w:pPr>
      <w:r w:rsidRPr="00CB0760">
        <w:rPr>
          <w:sz w:val="24"/>
          <w:szCs w:val="24"/>
        </w:rPr>
        <w:lastRenderedPageBreak/>
        <w:t>No</w:t>
      </w:r>
      <w:r w:rsidR="00CB0760" w:rsidRPr="00CB0760">
        <w:rPr>
          <w:sz w:val="24"/>
          <w:szCs w:val="24"/>
        </w:rPr>
        <w:t>ne of the</w:t>
      </w:r>
      <w:r w:rsidR="00FF14B0">
        <w:rPr>
          <w:sz w:val="24"/>
          <w:szCs w:val="24"/>
        </w:rPr>
        <w:t>se</w:t>
      </w:r>
      <w:r w:rsidR="007D50CD">
        <w:rPr>
          <w:sz w:val="24"/>
          <w:szCs w:val="24"/>
        </w:rPr>
        <w:t xml:space="preserve"> </w:t>
      </w:r>
      <w:r w:rsidR="00FF14B0">
        <w:rPr>
          <w:sz w:val="24"/>
          <w:szCs w:val="24"/>
        </w:rPr>
        <w:t xml:space="preserve">support </w:t>
      </w:r>
      <w:r w:rsidR="00CB0760" w:rsidRPr="00CB0760">
        <w:rPr>
          <w:sz w:val="24"/>
          <w:szCs w:val="24"/>
        </w:rPr>
        <w:t>activities</w:t>
      </w:r>
      <w:r w:rsidR="00A10253">
        <w:rPr>
          <w:sz w:val="24"/>
          <w:szCs w:val="24"/>
        </w:rPr>
        <w:t xml:space="preserve"> </w:t>
      </w:r>
      <w:r w:rsidR="009A5429" w:rsidRPr="00CB0760">
        <w:rPr>
          <w:sz w:val="24"/>
          <w:szCs w:val="24"/>
        </w:rPr>
        <w:t xml:space="preserve">are </w:t>
      </w:r>
      <w:r w:rsidRPr="00CB0760">
        <w:rPr>
          <w:sz w:val="24"/>
          <w:szCs w:val="24"/>
        </w:rPr>
        <w:t xml:space="preserve">eligible </w:t>
      </w:r>
      <w:r w:rsidR="007D50CD">
        <w:rPr>
          <w:sz w:val="24"/>
          <w:szCs w:val="24"/>
        </w:rPr>
        <w:t>to be funded by</w:t>
      </w:r>
      <w:r w:rsidR="003C1977" w:rsidRPr="00CB0760">
        <w:rPr>
          <w:sz w:val="24"/>
          <w:szCs w:val="24"/>
        </w:rPr>
        <w:t xml:space="preserve"> </w:t>
      </w:r>
      <w:r w:rsidR="00CB0760" w:rsidRPr="00CB0760">
        <w:rPr>
          <w:sz w:val="24"/>
          <w:szCs w:val="24"/>
        </w:rPr>
        <w:t xml:space="preserve">donations to </w:t>
      </w:r>
      <w:r w:rsidRPr="00CB0760">
        <w:rPr>
          <w:sz w:val="24"/>
          <w:szCs w:val="24"/>
        </w:rPr>
        <w:t xml:space="preserve">a DGR </w:t>
      </w:r>
      <w:r w:rsidR="00CB0760" w:rsidRPr="00CB0760">
        <w:rPr>
          <w:sz w:val="24"/>
          <w:szCs w:val="24"/>
        </w:rPr>
        <w:t>fund</w:t>
      </w:r>
      <w:r w:rsidR="009A5429" w:rsidRPr="00CB0760">
        <w:rPr>
          <w:sz w:val="24"/>
          <w:szCs w:val="24"/>
        </w:rPr>
        <w:t xml:space="preserve">.  </w:t>
      </w:r>
      <w:r w:rsidR="00E70232">
        <w:rPr>
          <w:sz w:val="24"/>
          <w:szCs w:val="24"/>
        </w:rPr>
        <w:t>Although th</w:t>
      </w:r>
      <w:r w:rsidR="00753BE6">
        <w:rPr>
          <w:sz w:val="24"/>
          <w:szCs w:val="24"/>
        </w:rPr>
        <w:t xml:space="preserve">is </w:t>
      </w:r>
      <w:r w:rsidR="00762862">
        <w:rPr>
          <w:sz w:val="24"/>
          <w:szCs w:val="24"/>
        </w:rPr>
        <w:t>would be</w:t>
      </w:r>
      <w:r w:rsidR="00753BE6">
        <w:rPr>
          <w:sz w:val="24"/>
          <w:szCs w:val="24"/>
        </w:rPr>
        <w:t xml:space="preserve"> a</w:t>
      </w:r>
      <w:r w:rsidR="00E70232">
        <w:rPr>
          <w:sz w:val="24"/>
          <w:szCs w:val="24"/>
        </w:rPr>
        <w:t xml:space="preserve"> </w:t>
      </w:r>
      <w:r w:rsidR="00753BE6">
        <w:rPr>
          <w:sz w:val="24"/>
          <w:szCs w:val="24"/>
        </w:rPr>
        <w:t xml:space="preserve">very </w:t>
      </w:r>
      <w:r w:rsidR="00145EA1">
        <w:rPr>
          <w:sz w:val="24"/>
          <w:szCs w:val="24"/>
        </w:rPr>
        <w:t>efficien</w:t>
      </w:r>
      <w:r w:rsidR="007D50CD">
        <w:rPr>
          <w:sz w:val="24"/>
          <w:szCs w:val="24"/>
        </w:rPr>
        <w:t xml:space="preserve">t </w:t>
      </w:r>
      <w:r w:rsidR="00753BE6">
        <w:rPr>
          <w:sz w:val="24"/>
          <w:szCs w:val="24"/>
        </w:rPr>
        <w:t xml:space="preserve">financial </w:t>
      </w:r>
      <w:r w:rsidR="007D50CD">
        <w:rPr>
          <w:sz w:val="24"/>
          <w:szCs w:val="24"/>
        </w:rPr>
        <w:t xml:space="preserve">mechanism </w:t>
      </w:r>
      <w:r w:rsidR="00E70232">
        <w:rPr>
          <w:sz w:val="24"/>
          <w:szCs w:val="24"/>
        </w:rPr>
        <w:t xml:space="preserve">which </w:t>
      </w:r>
      <w:r w:rsidR="00145EA1">
        <w:rPr>
          <w:sz w:val="24"/>
          <w:szCs w:val="24"/>
        </w:rPr>
        <w:t>avoid</w:t>
      </w:r>
      <w:r w:rsidR="00BA3F50">
        <w:rPr>
          <w:sz w:val="24"/>
          <w:szCs w:val="24"/>
        </w:rPr>
        <w:t>s</w:t>
      </w:r>
      <w:r w:rsidR="00145EA1">
        <w:rPr>
          <w:sz w:val="24"/>
          <w:szCs w:val="24"/>
        </w:rPr>
        <w:t xml:space="preserve"> the costs of raising and spending funds via the public sector</w:t>
      </w:r>
      <w:r w:rsidR="00E70232">
        <w:rPr>
          <w:sz w:val="24"/>
          <w:szCs w:val="24"/>
        </w:rPr>
        <w:t xml:space="preserve">, </w:t>
      </w:r>
      <w:r w:rsidR="00FF14B0">
        <w:rPr>
          <w:sz w:val="24"/>
          <w:szCs w:val="24"/>
        </w:rPr>
        <w:t xml:space="preserve">they are </w:t>
      </w:r>
      <w:r w:rsidR="00E70232">
        <w:rPr>
          <w:sz w:val="24"/>
          <w:szCs w:val="24"/>
        </w:rPr>
        <w:t xml:space="preserve">not </w:t>
      </w:r>
      <w:r w:rsidR="00FF14B0">
        <w:rPr>
          <w:sz w:val="24"/>
          <w:szCs w:val="24"/>
        </w:rPr>
        <w:t>included in the DGR arrangements</w:t>
      </w:r>
      <w:r w:rsidR="00145EA1">
        <w:rPr>
          <w:sz w:val="24"/>
          <w:szCs w:val="24"/>
        </w:rPr>
        <w:t xml:space="preserve">.  </w:t>
      </w:r>
      <w:r w:rsidR="00715D20">
        <w:rPr>
          <w:sz w:val="24"/>
          <w:szCs w:val="24"/>
        </w:rPr>
        <w:t xml:space="preserve">This leads P&amp;Cs Queensland to the conclusion that the </w:t>
      </w:r>
      <w:r w:rsidR="007D50CD">
        <w:rPr>
          <w:sz w:val="24"/>
          <w:szCs w:val="24"/>
        </w:rPr>
        <w:t xml:space="preserve">current </w:t>
      </w:r>
      <w:r w:rsidR="00715D20">
        <w:rPr>
          <w:sz w:val="24"/>
          <w:szCs w:val="24"/>
        </w:rPr>
        <w:t xml:space="preserve">tax system as it applies to Not for Profit organisations is </w:t>
      </w:r>
      <w:r w:rsidR="00FF14B0">
        <w:rPr>
          <w:sz w:val="24"/>
          <w:szCs w:val="24"/>
        </w:rPr>
        <w:t xml:space="preserve">dismally </w:t>
      </w:r>
      <w:r w:rsidR="00715D20">
        <w:rPr>
          <w:sz w:val="24"/>
          <w:szCs w:val="24"/>
        </w:rPr>
        <w:t xml:space="preserve">failing the </w:t>
      </w:r>
      <w:r w:rsidR="00DB1F77">
        <w:rPr>
          <w:sz w:val="24"/>
          <w:szCs w:val="24"/>
        </w:rPr>
        <w:t>state</w:t>
      </w:r>
      <w:r w:rsidR="00715D20">
        <w:rPr>
          <w:sz w:val="24"/>
          <w:szCs w:val="24"/>
        </w:rPr>
        <w:t xml:space="preserve"> schools system.</w:t>
      </w:r>
    </w:p>
    <w:p w14:paraId="4BCE52EC" w14:textId="77777777" w:rsidR="004812B6" w:rsidRPr="004812B6" w:rsidRDefault="004812B6" w:rsidP="004812B6">
      <w:pPr>
        <w:spacing w:after="0"/>
        <w:rPr>
          <w:i/>
          <w:sz w:val="24"/>
          <w:szCs w:val="24"/>
        </w:rPr>
      </w:pPr>
    </w:p>
    <w:p w14:paraId="45500C37" w14:textId="77777777" w:rsidR="004812B6" w:rsidRPr="00F9341B" w:rsidRDefault="008A78F1" w:rsidP="004812B6">
      <w:pPr>
        <w:spacing w:after="0"/>
        <w:rPr>
          <w:b/>
          <w:sz w:val="24"/>
          <w:szCs w:val="24"/>
        </w:rPr>
      </w:pPr>
      <w:r w:rsidRPr="00F9341B">
        <w:rPr>
          <w:b/>
          <w:sz w:val="24"/>
          <w:szCs w:val="24"/>
        </w:rPr>
        <w:t>D</w:t>
      </w:r>
      <w:r w:rsidR="004812B6" w:rsidRPr="00F9341B">
        <w:rPr>
          <w:b/>
          <w:sz w:val="24"/>
          <w:szCs w:val="24"/>
        </w:rPr>
        <w:t>.</w:t>
      </w:r>
      <w:r w:rsidR="004812B6" w:rsidRPr="00F9341B">
        <w:rPr>
          <w:b/>
          <w:sz w:val="24"/>
          <w:szCs w:val="24"/>
        </w:rPr>
        <w:tab/>
      </w:r>
      <w:r w:rsidR="00CC5140" w:rsidRPr="00F9341B">
        <w:rPr>
          <w:b/>
          <w:sz w:val="24"/>
          <w:szCs w:val="24"/>
          <w:u w:val="single"/>
        </w:rPr>
        <w:t>Summary</w:t>
      </w:r>
      <w:r w:rsidR="004812B6" w:rsidRPr="00F9341B">
        <w:rPr>
          <w:b/>
          <w:sz w:val="24"/>
          <w:szCs w:val="24"/>
        </w:rPr>
        <w:t xml:space="preserve"> </w:t>
      </w:r>
    </w:p>
    <w:p w14:paraId="2AF163B6" w14:textId="77777777" w:rsidR="00834AAF" w:rsidRPr="00834AAF" w:rsidRDefault="00834AAF" w:rsidP="00834AAF">
      <w:pPr>
        <w:pStyle w:val="ListParagraph"/>
        <w:spacing w:after="0"/>
        <w:rPr>
          <w:sz w:val="24"/>
          <w:szCs w:val="24"/>
        </w:rPr>
      </w:pPr>
    </w:p>
    <w:p w14:paraId="098B0CC5" w14:textId="77777777" w:rsidR="00590029" w:rsidRPr="00FE0BB0" w:rsidRDefault="00FE0BB0" w:rsidP="00FE0BB0">
      <w:pPr>
        <w:pStyle w:val="ListParagraph"/>
        <w:numPr>
          <w:ilvl w:val="0"/>
          <w:numId w:val="8"/>
        </w:numPr>
        <w:spacing w:after="0"/>
        <w:rPr>
          <w:sz w:val="24"/>
          <w:szCs w:val="24"/>
        </w:rPr>
      </w:pPr>
      <w:r>
        <w:rPr>
          <w:sz w:val="24"/>
          <w:szCs w:val="24"/>
        </w:rPr>
        <w:t xml:space="preserve">In considering the future of tax deductible donations, </w:t>
      </w:r>
      <w:r w:rsidR="00590029" w:rsidRPr="00FE0BB0">
        <w:rPr>
          <w:sz w:val="24"/>
          <w:szCs w:val="24"/>
        </w:rPr>
        <w:t xml:space="preserve">it is essential the government </w:t>
      </w:r>
      <w:r>
        <w:rPr>
          <w:sz w:val="24"/>
          <w:szCs w:val="24"/>
        </w:rPr>
        <w:t xml:space="preserve">understands </w:t>
      </w:r>
      <w:r w:rsidR="00590029" w:rsidRPr="00FE0BB0">
        <w:rPr>
          <w:sz w:val="24"/>
          <w:szCs w:val="24"/>
        </w:rPr>
        <w:t xml:space="preserve">the wider benefits of this </w:t>
      </w:r>
      <w:r w:rsidRPr="00FE0BB0">
        <w:rPr>
          <w:sz w:val="24"/>
          <w:szCs w:val="24"/>
        </w:rPr>
        <w:t xml:space="preserve">particular </w:t>
      </w:r>
      <w:r w:rsidR="004A4BA1">
        <w:rPr>
          <w:sz w:val="24"/>
          <w:szCs w:val="24"/>
        </w:rPr>
        <w:t>NFP activity.  School</w:t>
      </w:r>
      <w:r w:rsidR="00590029" w:rsidRPr="00FE0BB0">
        <w:rPr>
          <w:sz w:val="24"/>
          <w:szCs w:val="24"/>
        </w:rPr>
        <w:t xml:space="preserve"> support organisations provide services that for-profit private sector organisations do not and this tax concession </w:t>
      </w:r>
      <w:r w:rsidR="004A4BA1">
        <w:rPr>
          <w:sz w:val="24"/>
          <w:szCs w:val="24"/>
        </w:rPr>
        <w:t xml:space="preserve">clearly </w:t>
      </w:r>
      <w:r>
        <w:rPr>
          <w:sz w:val="24"/>
          <w:szCs w:val="24"/>
        </w:rPr>
        <w:t xml:space="preserve">does </w:t>
      </w:r>
      <w:r w:rsidR="00590029" w:rsidRPr="00FE0BB0">
        <w:rPr>
          <w:sz w:val="24"/>
          <w:szCs w:val="24"/>
        </w:rPr>
        <w:t>help to improve societal outcomes.</w:t>
      </w:r>
      <w:r w:rsidRPr="00FE0BB0">
        <w:rPr>
          <w:sz w:val="24"/>
          <w:szCs w:val="24"/>
        </w:rPr>
        <w:t xml:space="preserve">  </w:t>
      </w:r>
    </w:p>
    <w:p w14:paraId="36759844" w14:textId="77777777" w:rsidR="00FE0BB0" w:rsidRPr="00FE0BB0" w:rsidRDefault="00FE0BB0" w:rsidP="00FE0BB0">
      <w:pPr>
        <w:pStyle w:val="ListParagraph"/>
        <w:spacing w:after="0"/>
        <w:ind w:left="1080"/>
        <w:rPr>
          <w:sz w:val="24"/>
          <w:szCs w:val="24"/>
        </w:rPr>
      </w:pPr>
    </w:p>
    <w:p w14:paraId="585F331B" w14:textId="77777777" w:rsidR="004812B6" w:rsidRDefault="000B5A8F" w:rsidP="00945433">
      <w:pPr>
        <w:pStyle w:val="ListParagraph"/>
        <w:numPr>
          <w:ilvl w:val="0"/>
          <w:numId w:val="8"/>
        </w:numPr>
        <w:spacing w:after="0"/>
        <w:rPr>
          <w:sz w:val="24"/>
          <w:szCs w:val="24"/>
        </w:rPr>
      </w:pPr>
      <w:r>
        <w:rPr>
          <w:sz w:val="24"/>
          <w:szCs w:val="24"/>
        </w:rPr>
        <w:t xml:space="preserve">A tax </w:t>
      </w:r>
      <w:r w:rsidR="00590029" w:rsidRPr="00590029">
        <w:rPr>
          <w:sz w:val="24"/>
          <w:szCs w:val="24"/>
        </w:rPr>
        <w:t xml:space="preserve">concession </w:t>
      </w:r>
      <w:r>
        <w:rPr>
          <w:sz w:val="24"/>
          <w:szCs w:val="24"/>
        </w:rPr>
        <w:t xml:space="preserve">to school support organisations which </w:t>
      </w:r>
      <w:r w:rsidR="00590029" w:rsidRPr="00590029">
        <w:rPr>
          <w:sz w:val="24"/>
          <w:szCs w:val="24"/>
        </w:rPr>
        <w:t>provide direct educational outcomes is actually a far more efficient contribution to social capital than raising tax revenue and then draining off significant portions of the revenue pool to pay the overheads of the Commonwealth and State education bureaucracies.</w:t>
      </w:r>
    </w:p>
    <w:p w14:paraId="57387ACF" w14:textId="77777777" w:rsidR="004A4BA1" w:rsidRPr="00590029" w:rsidRDefault="004A4BA1" w:rsidP="004A4BA1">
      <w:pPr>
        <w:pStyle w:val="ListParagraph"/>
        <w:spacing w:after="0"/>
        <w:rPr>
          <w:sz w:val="24"/>
          <w:szCs w:val="24"/>
        </w:rPr>
      </w:pPr>
    </w:p>
    <w:p w14:paraId="2CCC3589" w14:textId="77777777" w:rsidR="007955FF" w:rsidRDefault="004A4BA1" w:rsidP="00BF4AD5">
      <w:pPr>
        <w:pStyle w:val="ListParagraph"/>
        <w:numPr>
          <w:ilvl w:val="0"/>
          <w:numId w:val="8"/>
        </w:numPr>
        <w:spacing w:after="0"/>
        <w:rPr>
          <w:sz w:val="24"/>
          <w:szCs w:val="24"/>
        </w:rPr>
      </w:pPr>
      <w:r w:rsidRPr="0049728B">
        <w:rPr>
          <w:sz w:val="24"/>
          <w:szCs w:val="24"/>
        </w:rPr>
        <w:t xml:space="preserve">There </w:t>
      </w:r>
      <w:r w:rsidR="00762862">
        <w:rPr>
          <w:sz w:val="24"/>
          <w:szCs w:val="24"/>
        </w:rPr>
        <w:t>are continuing</w:t>
      </w:r>
      <w:r w:rsidRPr="0049728B">
        <w:rPr>
          <w:sz w:val="24"/>
          <w:szCs w:val="24"/>
        </w:rPr>
        <w:t xml:space="preserve"> calls from leaders in the No</w:t>
      </w:r>
      <w:r w:rsidR="0049728B">
        <w:rPr>
          <w:sz w:val="24"/>
          <w:szCs w:val="24"/>
        </w:rPr>
        <w:t>t</w:t>
      </w:r>
      <w:r w:rsidRPr="0049728B">
        <w:rPr>
          <w:sz w:val="24"/>
          <w:szCs w:val="24"/>
        </w:rPr>
        <w:t xml:space="preserve"> </w:t>
      </w:r>
      <w:proofErr w:type="gramStart"/>
      <w:r w:rsidRPr="0049728B">
        <w:rPr>
          <w:sz w:val="24"/>
          <w:szCs w:val="24"/>
        </w:rPr>
        <w:t>For</w:t>
      </w:r>
      <w:proofErr w:type="gramEnd"/>
      <w:r w:rsidRPr="0049728B">
        <w:rPr>
          <w:sz w:val="24"/>
          <w:szCs w:val="24"/>
        </w:rPr>
        <w:t xml:space="preserve"> Profit Sector </w:t>
      </w:r>
      <w:r w:rsidR="00363316" w:rsidRPr="0049728B">
        <w:rPr>
          <w:sz w:val="24"/>
          <w:szCs w:val="24"/>
        </w:rPr>
        <w:t xml:space="preserve">to simplify and modernise the current tax concession arrangements </w:t>
      </w:r>
      <w:r w:rsidR="0049728B" w:rsidRPr="0049728B">
        <w:rPr>
          <w:sz w:val="24"/>
          <w:szCs w:val="24"/>
        </w:rPr>
        <w:t xml:space="preserve">for NFPs.  </w:t>
      </w:r>
      <w:r w:rsidR="0049728B">
        <w:rPr>
          <w:sz w:val="24"/>
          <w:szCs w:val="24"/>
        </w:rPr>
        <w:t>In particular</w:t>
      </w:r>
      <w:r w:rsidR="00AD775A">
        <w:rPr>
          <w:sz w:val="24"/>
          <w:szCs w:val="24"/>
        </w:rPr>
        <w:t>,</w:t>
      </w:r>
      <w:r w:rsidR="0049728B">
        <w:rPr>
          <w:sz w:val="24"/>
          <w:szCs w:val="24"/>
        </w:rPr>
        <w:t xml:space="preserve"> </w:t>
      </w:r>
      <w:r w:rsidR="00762862">
        <w:rPr>
          <w:sz w:val="24"/>
          <w:szCs w:val="24"/>
        </w:rPr>
        <w:t xml:space="preserve">there is a need </w:t>
      </w:r>
      <w:r w:rsidR="0049728B">
        <w:rPr>
          <w:sz w:val="24"/>
          <w:szCs w:val="24"/>
        </w:rPr>
        <w:t xml:space="preserve">to </w:t>
      </w:r>
      <w:r w:rsidR="0049728B" w:rsidRPr="0049728B">
        <w:rPr>
          <w:sz w:val="24"/>
          <w:szCs w:val="24"/>
        </w:rPr>
        <w:t>widen</w:t>
      </w:r>
      <w:r w:rsidR="0049728B">
        <w:rPr>
          <w:sz w:val="24"/>
          <w:szCs w:val="24"/>
        </w:rPr>
        <w:t xml:space="preserve"> </w:t>
      </w:r>
      <w:r w:rsidR="0049728B" w:rsidRPr="0049728B">
        <w:rPr>
          <w:sz w:val="24"/>
          <w:szCs w:val="24"/>
        </w:rPr>
        <w:t xml:space="preserve">the criteria for DGR status </w:t>
      </w:r>
      <w:r w:rsidR="0049728B">
        <w:rPr>
          <w:sz w:val="24"/>
          <w:szCs w:val="24"/>
        </w:rPr>
        <w:t xml:space="preserve">which </w:t>
      </w:r>
      <w:r w:rsidR="0049728B" w:rsidRPr="0049728B">
        <w:rPr>
          <w:sz w:val="24"/>
          <w:szCs w:val="24"/>
        </w:rPr>
        <w:t>would help many organisations who currently have limited access to philanthropic support, particularly from Privat</w:t>
      </w:r>
      <w:r w:rsidR="0049728B">
        <w:rPr>
          <w:sz w:val="24"/>
          <w:szCs w:val="24"/>
        </w:rPr>
        <w:t xml:space="preserve">e and Public Ancillary Funds. </w:t>
      </w:r>
      <w:r w:rsidR="0049728B">
        <w:rPr>
          <w:rStyle w:val="FootnoteReference"/>
          <w:sz w:val="24"/>
          <w:szCs w:val="24"/>
        </w:rPr>
        <w:footnoteReference w:id="10"/>
      </w:r>
    </w:p>
    <w:p w14:paraId="312E968C" w14:textId="77777777" w:rsidR="0049728B" w:rsidRPr="0049728B" w:rsidRDefault="0049728B" w:rsidP="0049728B">
      <w:pPr>
        <w:pStyle w:val="ListParagraph"/>
        <w:spacing w:after="0"/>
        <w:rPr>
          <w:sz w:val="24"/>
          <w:szCs w:val="24"/>
        </w:rPr>
      </w:pPr>
    </w:p>
    <w:p w14:paraId="6352412A" w14:textId="77777777" w:rsidR="004A4BA1" w:rsidRDefault="000B5A8F" w:rsidP="00504174">
      <w:pPr>
        <w:pStyle w:val="ListParagraph"/>
        <w:numPr>
          <w:ilvl w:val="0"/>
          <w:numId w:val="8"/>
        </w:numPr>
        <w:spacing w:after="0"/>
        <w:rPr>
          <w:sz w:val="24"/>
          <w:szCs w:val="24"/>
        </w:rPr>
      </w:pPr>
      <w:r>
        <w:rPr>
          <w:sz w:val="24"/>
          <w:szCs w:val="24"/>
        </w:rPr>
        <w:t xml:space="preserve">A DGR </w:t>
      </w:r>
      <w:r w:rsidR="00925DB4">
        <w:rPr>
          <w:sz w:val="24"/>
          <w:szCs w:val="24"/>
        </w:rPr>
        <w:t xml:space="preserve">category </w:t>
      </w:r>
      <w:r>
        <w:rPr>
          <w:sz w:val="24"/>
          <w:szCs w:val="24"/>
        </w:rPr>
        <w:t xml:space="preserve">for all school support organisations </w:t>
      </w:r>
      <w:r w:rsidR="004A4BA1">
        <w:rPr>
          <w:sz w:val="24"/>
          <w:szCs w:val="24"/>
        </w:rPr>
        <w:t xml:space="preserve">is a key structural </w:t>
      </w:r>
      <w:r>
        <w:rPr>
          <w:sz w:val="24"/>
          <w:szCs w:val="24"/>
        </w:rPr>
        <w:t xml:space="preserve">reform </w:t>
      </w:r>
      <w:r w:rsidR="004A4BA1">
        <w:rPr>
          <w:sz w:val="24"/>
          <w:szCs w:val="24"/>
        </w:rPr>
        <w:t xml:space="preserve">that </w:t>
      </w:r>
      <w:r>
        <w:rPr>
          <w:sz w:val="24"/>
          <w:szCs w:val="24"/>
        </w:rPr>
        <w:t>w</w:t>
      </w:r>
      <w:r w:rsidR="004A4BA1">
        <w:rPr>
          <w:sz w:val="24"/>
          <w:szCs w:val="24"/>
        </w:rPr>
        <w:t xml:space="preserve">ould </w:t>
      </w:r>
      <w:r w:rsidR="004A4BA1" w:rsidRPr="00F603B6">
        <w:rPr>
          <w:sz w:val="24"/>
          <w:szCs w:val="24"/>
        </w:rPr>
        <w:t>expand and strengthen partnerships between business and Not for Profit organisations</w:t>
      </w:r>
      <w:r w:rsidR="004A4BA1">
        <w:rPr>
          <w:sz w:val="24"/>
          <w:szCs w:val="24"/>
        </w:rPr>
        <w:t xml:space="preserve"> and </w:t>
      </w:r>
      <w:r w:rsidR="004A4BA1" w:rsidRPr="00B0762C">
        <w:rPr>
          <w:sz w:val="24"/>
          <w:szCs w:val="24"/>
        </w:rPr>
        <w:t>increase the capital available to the Not for Profit</w:t>
      </w:r>
      <w:r w:rsidR="004A4BA1">
        <w:rPr>
          <w:sz w:val="24"/>
          <w:szCs w:val="24"/>
        </w:rPr>
        <w:t xml:space="preserve"> </w:t>
      </w:r>
      <w:r w:rsidR="004A4BA1" w:rsidRPr="00B0762C">
        <w:rPr>
          <w:sz w:val="24"/>
          <w:szCs w:val="24"/>
        </w:rPr>
        <w:t>sector</w:t>
      </w:r>
      <w:r>
        <w:rPr>
          <w:sz w:val="24"/>
          <w:szCs w:val="24"/>
        </w:rPr>
        <w:t>.</w:t>
      </w:r>
    </w:p>
    <w:p w14:paraId="659ACCF6" w14:textId="77777777" w:rsidR="00AD775A" w:rsidRDefault="00AD775A">
      <w:pPr>
        <w:rPr>
          <w:sz w:val="24"/>
          <w:szCs w:val="24"/>
        </w:rPr>
      </w:pPr>
      <w:r>
        <w:rPr>
          <w:sz w:val="24"/>
          <w:szCs w:val="24"/>
        </w:rPr>
        <w:br w:type="page"/>
      </w:r>
    </w:p>
    <w:p w14:paraId="7EB5D800" w14:textId="77777777" w:rsidR="004A4BA1" w:rsidRDefault="004A4BA1" w:rsidP="004A4BA1">
      <w:pPr>
        <w:spacing w:after="0"/>
        <w:rPr>
          <w:sz w:val="24"/>
          <w:szCs w:val="24"/>
        </w:rPr>
      </w:pPr>
    </w:p>
    <w:p w14:paraId="212C61A7" w14:textId="77777777" w:rsidR="00CC5140" w:rsidRPr="00F9341B" w:rsidRDefault="00CC5140" w:rsidP="00CC5140">
      <w:pPr>
        <w:spacing w:after="0"/>
        <w:rPr>
          <w:b/>
          <w:sz w:val="24"/>
          <w:szCs w:val="24"/>
        </w:rPr>
      </w:pPr>
      <w:r w:rsidRPr="00F9341B">
        <w:rPr>
          <w:b/>
          <w:sz w:val="24"/>
          <w:szCs w:val="24"/>
        </w:rPr>
        <w:t>E.</w:t>
      </w:r>
      <w:r w:rsidRPr="00F9341B">
        <w:rPr>
          <w:b/>
          <w:sz w:val="24"/>
          <w:szCs w:val="24"/>
        </w:rPr>
        <w:tab/>
      </w:r>
      <w:r w:rsidRPr="00F9341B">
        <w:rPr>
          <w:b/>
          <w:sz w:val="24"/>
          <w:szCs w:val="24"/>
          <w:u w:val="single"/>
        </w:rPr>
        <w:t>Recommendations</w:t>
      </w:r>
      <w:r w:rsidRPr="00F9341B">
        <w:rPr>
          <w:b/>
          <w:sz w:val="24"/>
          <w:szCs w:val="24"/>
        </w:rPr>
        <w:t xml:space="preserve"> </w:t>
      </w:r>
    </w:p>
    <w:p w14:paraId="3EAAFB7D" w14:textId="77777777" w:rsidR="00CC5140" w:rsidRDefault="00CC5140" w:rsidP="004812B6">
      <w:pPr>
        <w:spacing w:after="0"/>
        <w:rPr>
          <w:i/>
          <w:sz w:val="24"/>
          <w:szCs w:val="24"/>
        </w:rPr>
      </w:pPr>
    </w:p>
    <w:p w14:paraId="407ED09D" w14:textId="77777777" w:rsidR="00B13236" w:rsidRDefault="00AD775A" w:rsidP="000F059B">
      <w:pPr>
        <w:spacing w:after="0"/>
        <w:rPr>
          <w:sz w:val="24"/>
          <w:szCs w:val="24"/>
        </w:rPr>
      </w:pPr>
      <w:r>
        <w:rPr>
          <w:sz w:val="24"/>
          <w:szCs w:val="24"/>
        </w:rPr>
        <w:t>P&amp;Cs Qld recommends t</w:t>
      </w:r>
      <w:r w:rsidR="004136AA">
        <w:rPr>
          <w:sz w:val="24"/>
          <w:szCs w:val="24"/>
        </w:rPr>
        <w:t>wo</w:t>
      </w:r>
      <w:r w:rsidR="000B5A8F">
        <w:rPr>
          <w:sz w:val="24"/>
          <w:szCs w:val="24"/>
        </w:rPr>
        <w:t xml:space="preserve"> options to expand DGR status to school support organisations be considered</w:t>
      </w:r>
      <w:r w:rsidR="000F059B">
        <w:rPr>
          <w:sz w:val="24"/>
          <w:szCs w:val="24"/>
        </w:rPr>
        <w:t xml:space="preserve">.  Both aim </w:t>
      </w:r>
      <w:r w:rsidR="00816985">
        <w:rPr>
          <w:sz w:val="24"/>
          <w:szCs w:val="24"/>
        </w:rPr>
        <w:t>to</w:t>
      </w:r>
      <w:r w:rsidR="000F059B">
        <w:rPr>
          <w:sz w:val="24"/>
          <w:szCs w:val="24"/>
        </w:rPr>
        <w:t xml:space="preserve"> achiev</w:t>
      </w:r>
      <w:r w:rsidR="00816985">
        <w:rPr>
          <w:sz w:val="24"/>
          <w:szCs w:val="24"/>
        </w:rPr>
        <w:t>e</w:t>
      </w:r>
      <w:r w:rsidR="000F059B">
        <w:rPr>
          <w:sz w:val="24"/>
          <w:szCs w:val="24"/>
        </w:rPr>
        <w:t xml:space="preserve"> efficiency, fairness and</w:t>
      </w:r>
      <w:r w:rsidR="000F059B" w:rsidRPr="000F059B">
        <w:rPr>
          <w:sz w:val="24"/>
          <w:szCs w:val="24"/>
        </w:rPr>
        <w:t xml:space="preserve"> </w:t>
      </w:r>
      <w:r w:rsidR="000F059B">
        <w:rPr>
          <w:sz w:val="24"/>
          <w:szCs w:val="24"/>
        </w:rPr>
        <w:t xml:space="preserve">simplicity, </w:t>
      </w:r>
      <w:r w:rsidR="000F059B" w:rsidRPr="000F059B">
        <w:rPr>
          <w:sz w:val="24"/>
          <w:szCs w:val="24"/>
        </w:rPr>
        <w:t>provid</w:t>
      </w:r>
      <w:r w:rsidR="00816985">
        <w:rPr>
          <w:sz w:val="24"/>
          <w:szCs w:val="24"/>
        </w:rPr>
        <w:t>e</w:t>
      </w:r>
      <w:r w:rsidR="000F059B" w:rsidRPr="000F059B">
        <w:rPr>
          <w:sz w:val="24"/>
          <w:szCs w:val="24"/>
        </w:rPr>
        <w:t xml:space="preserve"> a supportive environment</w:t>
      </w:r>
      <w:r w:rsidR="000F059B">
        <w:rPr>
          <w:sz w:val="24"/>
          <w:szCs w:val="24"/>
        </w:rPr>
        <w:t xml:space="preserve"> for giving </w:t>
      </w:r>
      <w:r w:rsidR="000F059B" w:rsidRPr="000F059B">
        <w:rPr>
          <w:sz w:val="24"/>
          <w:szCs w:val="24"/>
        </w:rPr>
        <w:t>to the NFP sector</w:t>
      </w:r>
      <w:r w:rsidR="000F059B">
        <w:rPr>
          <w:sz w:val="24"/>
          <w:szCs w:val="24"/>
        </w:rPr>
        <w:t xml:space="preserve"> and </w:t>
      </w:r>
      <w:r w:rsidR="00816985">
        <w:rPr>
          <w:sz w:val="24"/>
          <w:szCs w:val="24"/>
        </w:rPr>
        <w:t xml:space="preserve">to </w:t>
      </w:r>
      <w:r w:rsidR="000F059B">
        <w:rPr>
          <w:sz w:val="24"/>
          <w:szCs w:val="24"/>
        </w:rPr>
        <w:t>maxim</w:t>
      </w:r>
      <w:r w:rsidR="00762862">
        <w:rPr>
          <w:sz w:val="24"/>
          <w:szCs w:val="24"/>
        </w:rPr>
        <w:t>is</w:t>
      </w:r>
      <w:r w:rsidR="00816985">
        <w:rPr>
          <w:sz w:val="24"/>
          <w:szCs w:val="24"/>
        </w:rPr>
        <w:t>e</w:t>
      </w:r>
      <w:r w:rsidR="000F059B">
        <w:rPr>
          <w:sz w:val="24"/>
          <w:szCs w:val="24"/>
        </w:rPr>
        <w:t xml:space="preserve"> the social good.</w:t>
      </w:r>
    </w:p>
    <w:p w14:paraId="5C15E795" w14:textId="77777777" w:rsidR="000B5A8F" w:rsidRDefault="000B5A8F" w:rsidP="00F377A1">
      <w:pPr>
        <w:spacing w:after="0"/>
        <w:rPr>
          <w:sz w:val="24"/>
          <w:szCs w:val="24"/>
        </w:rPr>
      </w:pPr>
    </w:p>
    <w:p w14:paraId="4F622315" w14:textId="77777777" w:rsidR="004136AA" w:rsidRPr="00346A55" w:rsidRDefault="00346A55" w:rsidP="00346A55">
      <w:pPr>
        <w:spacing w:after="0"/>
        <w:ind w:left="360"/>
        <w:rPr>
          <w:b/>
          <w:i/>
          <w:sz w:val="24"/>
          <w:szCs w:val="24"/>
        </w:rPr>
      </w:pPr>
      <w:r w:rsidRPr="00346A55">
        <w:rPr>
          <w:b/>
          <w:i/>
          <w:sz w:val="24"/>
          <w:szCs w:val="24"/>
        </w:rPr>
        <w:t>Option A -</w:t>
      </w:r>
      <w:r w:rsidR="000B5A8F" w:rsidRPr="00346A55">
        <w:rPr>
          <w:b/>
          <w:i/>
          <w:sz w:val="24"/>
          <w:szCs w:val="24"/>
        </w:rPr>
        <w:t>Grant</w:t>
      </w:r>
      <w:r w:rsidR="00504174" w:rsidRPr="00346A55">
        <w:rPr>
          <w:b/>
          <w:i/>
          <w:sz w:val="24"/>
          <w:szCs w:val="24"/>
        </w:rPr>
        <w:t>ing of</w:t>
      </w:r>
      <w:r w:rsidR="004136AA" w:rsidRPr="00346A55">
        <w:rPr>
          <w:b/>
          <w:i/>
          <w:sz w:val="24"/>
          <w:szCs w:val="24"/>
        </w:rPr>
        <w:t xml:space="preserve"> </w:t>
      </w:r>
      <w:r w:rsidR="000B5A8F" w:rsidRPr="00346A55">
        <w:rPr>
          <w:b/>
          <w:i/>
          <w:sz w:val="24"/>
          <w:szCs w:val="24"/>
        </w:rPr>
        <w:t xml:space="preserve">a blanket DGR status to approved school support organisations </w:t>
      </w:r>
      <w:r w:rsidR="004136AA" w:rsidRPr="00346A55">
        <w:rPr>
          <w:b/>
          <w:i/>
          <w:sz w:val="24"/>
          <w:szCs w:val="24"/>
        </w:rPr>
        <w:t xml:space="preserve">which </w:t>
      </w:r>
      <w:r w:rsidR="000B5A8F" w:rsidRPr="00346A55">
        <w:rPr>
          <w:b/>
          <w:i/>
          <w:sz w:val="24"/>
          <w:szCs w:val="24"/>
        </w:rPr>
        <w:t>cover</w:t>
      </w:r>
      <w:r w:rsidR="004136AA" w:rsidRPr="00346A55">
        <w:rPr>
          <w:b/>
          <w:i/>
          <w:sz w:val="24"/>
          <w:szCs w:val="24"/>
        </w:rPr>
        <w:t>s</w:t>
      </w:r>
      <w:r w:rsidR="000B5A8F" w:rsidRPr="00346A55">
        <w:rPr>
          <w:b/>
          <w:i/>
          <w:sz w:val="24"/>
          <w:szCs w:val="24"/>
        </w:rPr>
        <w:t xml:space="preserve"> </w:t>
      </w:r>
      <w:r w:rsidR="004136AA" w:rsidRPr="00346A55">
        <w:rPr>
          <w:b/>
          <w:i/>
          <w:sz w:val="24"/>
          <w:szCs w:val="24"/>
        </w:rPr>
        <w:t xml:space="preserve">all </w:t>
      </w:r>
      <w:r w:rsidR="000B5A8F" w:rsidRPr="00346A55">
        <w:rPr>
          <w:b/>
          <w:i/>
          <w:sz w:val="24"/>
          <w:szCs w:val="24"/>
        </w:rPr>
        <w:t xml:space="preserve">state, independent and catholic school support organisations.  </w:t>
      </w:r>
    </w:p>
    <w:p w14:paraId="02E8C250" w14:textId="77777777" w:rsidR="004136AA" w:rsidRDefault="004136AA" w:rsidP="004136AA">
      <w:pPr>
        <w:pStyle w:val="ListParagraph"/>
        <w:spacing w:after="0"/>
        <w:rPr>
          <w:sz w:val="24"/>
          <w:szCs w:val="24"/>
        </w:rPr>
      </w:pPr>
    </w:p>
    <w:p w14:paraId="367316D5" w14:textId="77777777" w:rsidR="004136AA" w:rsidRDefault="000B5A8F" w:rsidP="001270E8">
      <w:pPr>
        <w:pStyle w:val="ListParagraph"/>
        <w:numPr>
          <w:ilvl w:val="0"/>
          <w:numId w:val="13"/>
        </w:numPr>
        <w:spacing w:after="0"/>
        <w:rPr>
          <w:sz w:val="24"/>
          <w:szCs w:val="24"/>
        </w:rPr>
      </w:pPr>
      <w:r w:rsidRPr="004136AA">
        <w:rPr>
          <w:sz w:val="24"/>
          <w:szCs w:val="24"/>
        </w:rPr>
        <w:t xml:space="preserve">This approval </w:t>
      </w:r>
      <w:r w:rsidR="00346A55">
        <w:rPr>
          <w:sz w:val="24"/>
          <w:szCs w:val="24"/>
        </w:rPr>
        <w:t>should</w:t>
      </w:r>
      <w:r w:rsidR="004136AA">
        <w:rPr>
          <w:sz w:val="24"/>
          <w:szCs w:val="24"/>
        </w:rPr>
        <w:t xml:space="preserve"> </w:t>
      </w:r>
      <w:r w:rsidRPr="004136AA">
        <w:rPr>
          <w:sz w:val="24"/>
          <w:szCs w:val="24"/>
        </w:rPr>
        <w:t xml:space="preserve">retain existing DGR arrangements applying to building funds, scholarships and bursaries </w:t>
      </w:r>
      <w:proofErr w:type="spellStart"/>
      <w:r w:rsidRPr="004136AA">
        <w:rPr>
          <w:sz w:val="24"/>
          <w:szCs w:val="24"/>
        </w:rPr>
        <w:t>etc</w:t>
      </w:r>
      <w:proofErr w:type="spellEnd"/>
      <w:r w:rsidR="004136AA">
        <w:rPr>
          <w:sz w:val="24"/>
          <w:szCs w:val="24"/>
        </w:rPr>
        <w:t xml:space="preserve"> including their </w:t>
      </w:r>
      <w:r w:rsidRPr="004136AA">
        <w:rPr>
          <w:sz w:val="24"/>
          <w:szCs w:val="24"/>
        </w:rPr>
        <w:t>require</w:t>
      </w:r>
      <w:r w:rsidR="004136AA">
        <w:rPr>
          <w:sz w:val="24"/>
          <w:szCs w:val="24"/>
        </w:rPr>
        <w:t xml:space="preserve">ments </w:t>
      </w:r>
      <w:r w:rsidRPr="004136AA">
        <w:rPr>
          <w:sz w:val="24"/>
          <w:szCs w:val="24"/>
        </w:rPr>
        <w:t xml:space="preserve">to meet </w:t>
      </w:r>
      <w:r w:rsidR="004136AA">
        <w:rPr>
          <w:sz w:val="24"/>
          <w:szCs w:val="24"/>
        </w:rPr>
        <w:t xml:space="preserve">separate </w:t>
      </w:r>
      <w:r w:rsidRPr="004136AA">
        <w:rPr>
          <w:sz w:val="24"/>
          <w:szCs w:val="24"/>
        </w:rPr>
        <w:t xml:space="preserve">auditing and compliance requirements.  </w:t>
      </w:r>
    </w:p>
    <w:p w14:paraId="783FC3D1" w14:textId="77777777" w:rsidR="004136AA" w:rsidRDefault="004136AA" w:rsidP="004136AA">
      <w:pPr>
        <w:pStyle w:val="ListParagraph"/>
        <w:spacing w:after="0"/>
        <w:rPr>
          <w:sz w:val="24"/>
          <w:szCs w:val="24"/>
        </w:rPr>
      </w:pPr>
    </w:p>
    <w:p w14:paraId="414822FC" w14:textId="77777777" w:rsidR="000B5A8F" w:rsidRDefault="000B5A8F" w:rsidP="001270E8">
      <w:pPr>
        <w:pStyle w:val="ListParagraph"/>
        <w:numPr>
          <w:ilvl w:val="0"/>
          <w:numId w:val="13"/>
        </w:numPr>
        <w:spacing w:after="0"/>
        <w:rPr>
          <w:sz w:val="24"/>
          <w:szCs w:val="24"/>
        </w:rPr>
      </w:pPr>
      <w:r w:rsidRPr="004136AA">
        <w:rPr>
          <w:sz w:val="24"/>
          <w:szCs w:val="24"/>
        </w:rPr>
        <w:t>A</w:t>
      </w:r>
      <w:r w:rsidR="00762862">
        <w:rPr>
          <w:sz w:val="24"/>
          <w:szCs w:val="24"/>
        </w:rPr>
        <w:t>n</w:t>
      </w:r>
      <w:r w:rsidRPr="004136AA">
        <w:rPr>
          <w:sz w:val="24"/>
          <w:szCs w:val="24"/>
        </w:rPr>
        <w:t xml:space="preserve"> issue </w:t>
      </w:r>
      <w:r w:rsidR="00816985">
        <w:rPr>
          <w:sz w:val="24"/>
          <w:szCs w:val="24"/>
        </w:rPr>
        <w:t xml:space="preserve">for </w:t>
      </w:r>
      <w:r w:rsidRPr="004136AA">
        <w:rPr>
          <w:sz w:val="24"/>
          <w:szCs w:val="24"/>
        </w:rPr>
        <w:t>consider</w:t>
      </w:r>
      <w:r w:rsidR="00816985">
        <w:rPr>
          <w:sz w:val="24"/>
          <w:szCs w:val="24"/>
        </w:rPr>
        <w:t xml:space="preserve">ation </w:t>
      </w:r>
      <w:r w:rsidR="004136AA">
        <w:rPr>
          <w:sz w:val="24"/>
          <w:szCs w:val="24"/>
        </w:rPr>
        <w:t xml:space="preserve">with this option </w:t>
      </w:r>
      <w:r w:rsidRPr="004136AA">
        <w:rPr>
          <w:sz w:val="24"/>
          <w:szCs w:val="24"/>
        </w:rPr>
        <w:t>is th</w:t>
      </w:r>
      <w:r w:rsidR="004136AA">
        <w:rPr>
          <w:sz w:val="24"/>
          <w:szCs w:val="24"/>
        </w:rPr>
        <w:t>e</w:t>
      </w:r>
      <w:r w:rsidRPr="004136AA">
        <w:rPr>
          <w:sz w:val="24"/>
          <w:szCs w:val="24"/>
        </w:rPr>
        <w:t xml:space="preserve"> school support organisations that run tuck shops and after school care activities</w:t>
      </w:r>
      <w:r w:rsidR="007C202F">
        <w:rPr>
          <w:sz w:val="24"/>
          <w:szCs w:val="24"/>
        </w:rPr>
        <w:t xml:space="preserve">.  These </w:t>
      </w:r>
      <w:r w:rsidR="00504174">
        <w:rPr>
          <w:sz w:val="24"/>
          <w:szCs w:val="24"/>
        </w:rPr>
        <w:t xml:space="preserve">operations </w:t>
      </w:r>
      <w:r w:rsidRPr="004136AA">
        <w:rPr>
          <w:sz w:val="24"/>
          <w:szCs w:val="24"/>
        </w:rPr>
        <w:t xml:space="preserve">can generate </w:t>
      </w:r>
      <w:r w:rsidR="001270E8">
        <w:rPr>
          <w:sz w:val="24"/>
          <w:szCs w:val="24"/>
        </w:rPr>
        <w:t xml:space="preserve">significant </w:t>
      </w:r>
      <w:r w:rsidRPr="004136AA">
        <w:rPr>
          <w:sz w:val="24"/>
          <w:szCs w:val="24"/>
        </w:rPr>
        <w:t>income</w:t>
      </w:r>
      <w:r w:rsidR="00504174">
        <w:rPr>
          <w:sz w:val="24"/>
          <w:szCs w:val="24"/>
        </w:rPr>
        <w:t>, particularly in larger schools</w:t>
      </w:r>
      <w:r w:rsidR="004136AA">
        <w:rPr>
          <w:sz w:val="24"/>
          <w:szCs w:val="24"/>
        </w:rPr>
        <w:t xml:space="preserve">.  </w:t>
      </w:r>
      <w:r w:rsidR="00AD775A">
        <w:rPr>
          <w:sz w:val="24"/>
          <w:szCs w:val="24"/>
        </w:rPr>
        <w:t>To ensure fairness, t</w:t>
      </w:r>
      <w:r w:rsidR="004136AA">
        <w:rPr>
          <w:sz w:val="24"/>
          <w:szCs w:val="24"/>
        </w:rPr>
        <w:t xml:space="preserve">his income should be </w:t>
      </w:r>
      <w:r w:rsidR="00AD775A">
        <w:rPr>
          <w:sz w:val="24"/>
          <w:szCs w:val="24"/>
        </w:rPr>
        <w:t xml:space="preserve">quarantined </w:t>
      </w:r>
      <w:r w:rsidR="004136AA">
        <w:rPr>
          <w:sz w:val="24"/>
          <w:szCs w:val="24"/>
        </w:rPr>
        <w:t xml:space="preserve">from </w:t>
      </w:r>
      <w:r w:rsidR="00AD775A">
        <w:rPr>
          <w:sz w:val="24"/>
          <w:szCs w:val="24"/>
        </w:rPr>
        <w:t xml:space="preserve">donations </w:t>
      </w:r>
      <w:r w:rsidR="004136AA">
        <w:rPr>
          <w:sz w:val="24"/>
          <w:szCs w:val="24"/>
        </w:rPr>
        <w:t xml:space="preserve">and </w:t>
      </w:r>
      <w:r w:rsidR="00AD775A">
        <w:rPr>
          <w:sz w:val="24"/>
          <w:szCs w:val="24"/>
        </w:rPr>
        <w:t xml:space="preserve">not </w:t>
      </w:r>
      <w:r w:rsidR="004136AA">
        <w:rPr>
          <w:sz w:val="24"/>
          <w:szCs w:val="24"/>
        </w:rPr>
        <w:t>be DGR</w:t>
      </w:r>
      <w:r w:rsidR="00AD775A">
        <w:rPr>
          <w:sz w:val="24"/>
          <w:szCs w:val="24"/>
        </w:rPr>
        <w:t xml:space="preserve"> income</w:t>
      </w:r>
      <w:r w:rsidR="004136AA">
        <w:rPr>
          <w:sz w:val="24"/>
          <w:szCs w:val="24"/>
        </w:rPr>
        <w:t>.</w:t>
      </w:r>
    </w:p>
    <w:p w14:paraId="0772F358" w14:textId="77777777" w:rsidR="004136AA" w:rsidRDefault="004136AA" w:rsidP="004136AA">
      <w:pPr>
        <w:pStyle w:val="ListParagraph"/>
        <w:spacing w:after="0"/>
        <w:rPr>
          <w:sz w:val="24"/>
          <w:szCs w:val="24"/>
        </w:rPr>
      </w:pPr>
    </w:p>
    <w:p w14:paraId="5FEE299E" w14:textId="77777777" w:rsidR="004136AA" w:rsidRPr="004136AA" w:rsidRDefault="00504174" w:rsidP="00174EE8">
      <w:pPr>
        <w:pStyle w:val="ListParagraph"/>
        <w:numPr>
          <w:ilvl w:val="0"/>
          <w:numId w:val="13"/>
        </w:numPr>
        <w:spacing w:after="0"/>
        <w:rPr>
          <w:sz w:val="24"/>
          <w:szCs w:val="24"/>
        </w:rPr>
      </w:pPr>
      <w:r>
        <w:rPr>
          <w:sz w:val="24"/>
          <w:szCs w:val="24"/>
        </w:rPr>
        <w:t>O</w:t>
      </w:r>
      <w:r w:rsidR="007C202F">
        <w:rPr>
          <w:sz w:val="24"/>
          <w:szCs w:val="24"/>
        </w:rPr>
        <w:t xml:space="preserve">ption </w:t>
      </w:r>
      <w:r>
        <w:rPr>
          <w:sz w:val="24"/>
          <w:szCs w:val="24"/>
        </w:rPr>
        <w:t xml:space="preserve">A </w:t>
      </w:r>
      <w:r w:rsidR="004136AA">
        <w:rPr>
          <w:sz w:val="24"/>
          <w:szCs w:val="24"/>
        </w:rPr>
        <w:t xml:space="preserve">has two </w:t>
      </w:r>
      <w:r w:rsidR="00AD775A">
        <w:rPr>
          <w:sz w:val="24"/>
          <w:szCs w:val="24"/>
        </w:rPr>
        <w:t>benefits</w:t>
      </w:r>
      <w:r w:rsidR="004136AA">
        <w:rPr>
          <w:sz w:val="24"/>
          <w:szCs w:val="24"/>
        </w:rPr>
        <w:t>, it encourages donations to school support organisations and allows them to actively and efficiently support positive educational and social outcomes.  Secondly</w:t>
      </w:r>
      <w:r>
        <w:rPr>
          <w:sz w:val="24"/>
          <w:szCs w:val="24"/>
        </w:rPr>
        <w:t>,</w:t>
      </w:r>
      <w:r w:rsidR="004136AA">
        <w:rPr>
          <w:sz w:val="24"/>
          <w:szCs w:val="24"/>
        </w:rPr>
        <w:t xml:space="preserve"> it enables them to access funds administered by many charities, trusts</w:t>
      </w:r>
      <w:r w:rsidR="00174EE8">
        <w:rPr>
          <w:sz w:val="24"/>
          <w:szCs w:val="24"/>
        </w:rPr>
        <w:t>,</w:t>
      </w:r>
      <w:r w:rsidR="004136AA">
        <w:rPr>
          <w:sz w:val="24"/>
          <w:szCs w:val="24"/>
        </w:rPr>
        <w:t xml:space="preserve"> philanthropic foundations </w:t>
      </w:r>
      <w:r w:rsidR="00174EE8">
        <w:rPr>
          <w:sz w:val="24"/>
          <w:szCs w:val="24"/>
        </w:rPr>
        <w:t xml:space="preserve">and </w:t>
      </w:r>
      <w:r w:rsidR="00174EE8" w:rsidRPr="00174EE8">
        <w:rPr>
          <w:sz w:val="24"/>
          <w:szCs w:val="24"/>
        </w:rPr>
        <w:t>Private and Public Ancillary Funds</w:t>
      </w:r>
      <w:r w:rsidR="00174EE8">
        <w:rPr>
          <w:sz w:val="24"/>
          <w:szCs w:val="24"/>
        </w:rPr>
        <w:t xml:space="preserve"> </w:t>
      </w:r>
      <w:r w:rsidR="004136AA">
        <w:rPr>
          <w:sz w:val="24"/>
          <w:szCs w:val="24"/>
        </w:rPr>
        <w:t xml:space="preserve">which </w:t>
      </w:r>
      <w:r w:rsidR="00174EE8">
        <w:rPr>
          <w:sz w:val="24"/>
          <w:szCs w:val="24"/>
        </w:rPr>
        <w:t>can</w:t>
      </w:r>
      <w:r w:rsidR="004136AA">
        <w:rPr>
          <w:sz w:val="24"/>
          <w:szCs w:val="24"/>
        </w:rPr>
        <w:t xml:space="preserve">not </w:t>
      </w:r>
      <w:r w:rsidR="007C202F">
        <w:rPr>
          <w:sz w:val="24"/>
          <w:szCs w:val="24"/>
        </w:rPr>
        <w:t xml:space="preserve">currently </w:t>
      </w:r>
      <w:r w:rsidR="004136AA">
        <w:rPr>
          <w:sz w:val="24"/>
          <w:szCs w:val="24"/>
        </w:rPr>
        <w:t xml:space="preserve">allow school support organisations </w:t>
      </w:r>
      <w:r w:rsidR="007C202F">
        <w:rPr>
          <w:sz w:val="24"/>
          <w:szCs w:val="24"/>
        </w:rPr>
        <w:t xml:space="preserve">(as non DGR entities) </w:t>
      </w:r>
      <w:r w:rsidR="004136AA">
        <w:rPr>
          <w:sz w:val="24"/>
          <w:szCs w:val="24"/>
        </w:rPr>
        <w:t>to be applicants.</w:t>
      </w:r>
    </w:p>
    <w:p w14:paraId="4EBF8A82" w14:textId="77777777" w:rsidR="007955FF" w:rsidRDefault="007955FF" w:rsidP="0054002E">
      <w:pPr>
        <w:spacing w:after="0"/>
        <w:rPr>
          <w:sz w:val="24"/>
          <w:szCs w:val="24"/>
        </w:rPr>
      </w:pPr>
    </w:p>
    <w:p w14:paraId="25317D96" w14:textId="77777777" w:rsidR="00866AC9" w:rsidRPr="00346A55" w:rsidRDefault="00346A55" w:rsidP="00346A55">
      <w:pPr>
        <w:pStyle w:val="ListParagraph"/>
        <w:spacing w:after="0"/>
        <w:rPr>
          <w:b/>
          <w:i/>
          <w:sz w:val="24"/>
          <w:szCs w:val="24"/>
        </w:rPr>
      </w:pPr>
      <w:r>
        <w:rPr>
          <w:b/>
          <w:i/>
          <w:sz w:val="24"/>
          <w:szCs w:val="24"/>
        </w:rPr>
        <w:t xml:space="preserve">Option B - </w:t>
      </w:r>
      <w:r w:rsidR="00866AC9" w:rsidRPr="00504174">
        <w:rPr>
          <w:b/>
          <w:i/>
          <w:sz w:val="24"/>
          <w:szCs w:val="24"/>
        </w:rPr>
        <w:t xml:space="preserve">Granting of a </w:t>
      </w:r>
      <w:r w:rsidR="00285F95">
        <w:rPr>
          <w:b/>
          <w:i/>
          <w:sz w:val="24"/>
          <w:szCs w:val="24"/>
        </w:rPr>
        <w:t>new classification of</w:t>
      </w:r>
      <w:r w:rsidR="00866AC9" w:rsidRPr="00504174">
        <w:rPr>
          <w:b/>
          <w:i/>
          <w:sz w:val="24"/>
          <w:szCs w:val="24"/>
        </w:rPr>
        <w:t xml:space="preserve"> DGR status </w:t>
      </w:r>
      <w:r w:rsidR="001270E8">
        <w:rPr>
          <w:b/>
          <w:i/>
          <w:sz w:val="24"/>
          <w:szCs w:val="24"/>
        </w:rPr>
        <w:t xml:space="preserve">which applies </w:t>
      </w:r>
      <w:r w:rsidR="00816985">
        <w:rPr>
          <w:b/>
          <w:i/>
          <w:sz w:val="24"/>
          <w:szCs w:val="24"/>
        </w:rPr>
        <w:t xml:space="preserve">only </w:t>
      </w:r>
      <w:r w:rsidR="001270E8">
        <w:rPr>
          <w:b/>
          <w:i/>
          <w:sz w:val="24"/>
          <w:szCs w:val="24"/>
        </w:rPr>
        <w:t>to</w:t>
      </w:r>
      <w:r w:rsidR="00866AC9" w:rsidRPr="00504174">
        <w:rPr>
          <w:b/>
          <w:i/>
          <w:sz w:val="24"/>
          <w:szCs w:val="24"/>
        </w:rPr>
        <w:t xml:space="preserve"> approved school support organisations.  </w:t>
      </w:r>
      <w:r w:rsidR="00285F95">
        <w:rPr>
          <w:b/>
          <w:i/>
          <w:sz w:val="24"/>
          <w:szCs w:val="24"/>
        </w:rPr>
        <w:t xml:space="preserve">This </w:t>
      </w:r>
      <w:r w:rsidR="001270E8">
        <w:rPr>
          <w:b/>
          <w:i/>
          <w:sz w:val="24"/>
          <w:szCs w:val="24"/>
        </w:rPr>
        <w:t xml:space="preserve">new </w:t>
      </w:r>
      <w:r w:rsidR="00816985">
        <w:rPr>
          <w:b/>
          <w:i/>
          <w:sz w:val="24"/>
          <w:szCs w:val="24"/>
        </w:rPr>
        <w:t>approval</w:t>
      </w:r>
      <w:r w:rsidR="001270E8">
        <w:rPr>
          <w:b/>
          <w:i/>
          <w:sz w:val="24"/>
          <w:szCs w:val="24"/>
        </w:rPr>
        <w:t xml:space="preserve"> </w:t>
      </w:r>
      <w:r w:rsidR="00285F95" w:rsidRPr="00346A55">
        <w:rPr>
          <w:b/>
          <w:i/>
          <w:sz w:val="24"/>
          <w:szCs w:val="24"/>
        </w:rPr>
        <w:t xml:space="preserve">would </w:t>
      </w:r>
      <w:r>
        <w:rPr>
          <w:b/>
          <w:i/>
          <w:sz w:val="24"/>
          <w:szCs w:val="24"/>
        </w:rPr>
        <w:t xml:space="preserve">not allow </w:t>
      </w:r>
      <w:r w:rsidR="00285F95" w:rsidRPr="00346A55">
        <w:rPr>
          <w:b/>
          <w:i/>
          <w:sz w:val="24"/>
          <w:szCs w:val="24"/>
        </w:rPr>
        <w:t xml:space="preserve">school support organisations to be eligible </w:t>
      </w:r>
      <w:r>
        <w:rPr>
          <w:b/>
          <w:i/>
          <w:sz w:val="24"/>
          <w:szCs w:val="24"/>
        </w:rPr>
        <w:t xml:space="preserve">to receive donations, but it would allow school support organisations </w:t>
      </w:r>
      <w:r w:rsidR="00285F95" w:rsidRPr="00346A55">
        <w:rPr>
          <w:b/>
          <w:i/>
          <w:sz w:val="24"/>
          <w:szCs w:val="24"/>
        </w:rPr>
        <w:t>to</w:t>
      </w:r>
      <w:r w:rsidR="001270E8" w:rsidRPr="00346A55">
        <w:rPr>
          <w:b/>
          <w:i/>
          <w:sz w:val="24"/>
          <w:szCs w:val="24"/>
        </w:rPr>
        <w:t xml:space="preserve"> </w:t>
      </w:r>
      <w:r w:rsidR="00285F95" w:rsidRPr="00346A55">
        <w:rPr>
          <w:b/>
          <w:i/>
          <w:sz w:val="24"/>
          <w:szCs w:val="24"/>
        </w:rPr>
        <w:t xml:space="preserve">apply for grants from DGR </w:t>
      </w:r>
      <w:r w:rsidR="001270E8" w:rsidRPr="00346A55">
        <w:rPr>
          <w:b/>
          <w:i/>
          <w:sz w:val="24"/>
          <w:szCs w:val="24"/>
        </w:rPr>
        <w:t xml:space="preserve">charities, trusts, </w:t>
      </w:r>
      <w:r w:rsidR="00285F95" w:rsidRPr="00346A55">
        <w:rPr>
          <w:b/>
          <w:i/>
          <w:sz w:val="24"/>
          <w:szCs w:val="24"/>
        </w:rPr>
        <w:t>philanthropic foundations etc.</w:t>
      </w:r>
    </w:p>
    <w:p w14:paraId="76ABAD98" w14:textId="77777777" w:rsidR="007C202F" w:rsidRDefault="007C202F" w:rsidP="0054002E">
      <w:pPr>
        <w:spacing w:after="0"/>
        <w:rPr>
          <w:sz w:val="24"/>
          <w:szCs w:val="24"/>
        </w:rPr>
      </w:pPr>
    </w:p>
    <w:p w14:paraId="332F92B6" w14:textId="77777777" w:rsidR="00285F95" w:rsidRPr="00285F95" w:rsidRDefault="001270E8" w:rsidP="001270E8">
      <w:pPr>
        <w:pStyle w:val="ListParagraph"/>
        <w:numPr>
          <w:ilvl w:val="0"/>
          <w:numId w:val="13"/>
        </w:numPr>
        <w:spacing w:after="0"/>
        <w:rPr>
          <w:sz w:val="24"/>
          <w:szCs w:val="24"/>
        </w:rPr>
      </w:pPr>
      <w:r>
        <w:rPr>
          <w:sz w:val="24"/>
          <w:szCs w:val="24"/>
        </w:rPr>
        <w:t xml:space="preserve">It is </w:t>
      </w:r>
      <w:r w:rsidR="00285F95">
        <w:rPr>
          <w:sz w:val="24"/>
          <w:szCs w:val="24"/>
        </w:rPr>
        <w:t xml:space="preserve">similar to Option A as </w:t>
      </w:r>
      <w:r w:rsidR="00346A55">
        <w:rPr>
          <w:sz w:val="24"/>
          <w:szCs w:val="24"/>
        </w:rPr>
        <w:t>it</w:t>
      </w:r>
      <w:r w:rsidR="00285F95" w:rsidRPr="00285F95">
        <w:rPr>
          <w:sz w:val="24"/>
          <w:szCs w:val="24"/>
        </w:rPr>
        <w:t xml:space="preserve"> would </w:t>
      </w:r>
      <w:r w:rsidR="00285F95">
        <w:rPr>
          <w:sz w:val="24"/>
          <w:szCs w:val="24"/>
        </w:rPr>
        <w:t xml:space="preserve">also </w:t>
      </w:r>
      <w:r w:rsidR="00285F95" w:rsidRPr="00285F95">
        <w:rPr>
          <w:sz w:val="24"/>
          <w:szCs w:val="24"/>
        </w:rPr>
        <w:t xml:space="preserve">retain existing DGR arrangements applying to building funds, scholarships and bursaries etc.  </w:t>
      </w:r>
    </w:p>
    <w:p w14:paraId="431C1893" w14:textId="77777777" w:rsidR="00285F95" w:rsidRPr="00285F95" w:rsidRDefault="00285F95" w:rsidP="001270E8">
      <w:pPr>
        <w:pStyle w:val="ListParagraph"/>
        <w:spacing w:after="0"/>
        <w:ind w:left="1440"/>
        <w:rPr>
          <w:sz w:val="24"/>
          <w:szCs w:val="24"/>
        </w:rPr>
      </w:pPr>
    </w:p>
    <w:p w14:paraId="27E78BAE" w14:textId="77777777" w:rsidR="007C202F" w:rsidRPr="00174EE8" w:rsidRDefault="00285F95" w:rsidP="00174EE8">
      <w:pPr>
        <w:pStyle w:val="ListParagraph"/>
        <w:numPr>
          <w:ilvl w:val="0"/>
          <w:numId w:val="13"/>
        </w:numPr>
        <w:spacing w:after="0"/>
        <w:rPr>
          <w:sz w:val="24"/>
          <w:szCs w:val="24"/>
        </w:rPr>
      </w:pPr>
      <w:r w:rsidRPr="00174EE8">
        <w:rPr>
          <w:sz w:val="24"/>
          <w:szCs w:val="24"/>
        </w:rPr>
        <w:t xml:space="preserve">The key difference with Option A is </w:t>
      </w:r>
      <w:r w:rsidR="001270E8" w:rsidRPr="00174EE8">
        <w:rPr>
          <w:sz w:val="24"/>
          <w:szCs w:val="24"/>
        </w:rPr>
        <w:t>that it does not impact on the amount of income tax foregone by tax deductible donations</w:t>
      </w:r>
      <w:r w:rsidR="00AD775A">
        <w:rPr>
          <w:sz w:val="24"/>
          <w:szCs w:val="24"/>
        </w:rPr>
        <w:t xml:space="preserve">.  However </w:t>
      </w:r>
      <w:r w:rsidR="001270E8" w:rsidRPr="00174EE8">
        <w:rPr>
          <w:sz w:val="24"/>
          <w:szCs w:val="24"/>
        </w:rPr>
        <w:t xml:space="preserve">it does </w:t>
      </w:r>
      <w:r w:rsidRPr="00174EE8">
        <w:rPr>
          <w:sz w:val="24"/>
          <w:szCs w:val="24"/>
        </w:rPr>
        <w:t xml:space="preserve">enable </w:t>
      </w:r>
      <w:r w:rsidR="001270E8" w:rsidRPr="00174EE8">
        <w:rPr>
          <w:sz w:val="24"/>
          <w:szCs w:val="24"/>
        </w:rPr>
        <w:t xml:space="preserve">school support organisations </w:t>
      </w:r>
      <w:r w:rsidRPr="00174EE8">
        <w:rPr>
          <w:sz w:val="24"/>
          <w:szCs w:val="24"/>
        </w:rPr>
        <w:t xml:space="preserve">to access </w:t>
      </w:r>
      <w:r w:rsidR="00AD775A">
        <w:rPr>
          <w:sz w:val="24"/>
          <w:szCs w:val="24"/>
        </w:rPr>
        <w:t xml:space="preserve">grant </w:t>
      </w:r>
      <w:r w:rsidRPr="00174EE8">
        <w:rPr>
          <w:sz w:val="24"/>
          <w:szCs w:val="24"/>
        </w:rPr>
        <w:t xml:space="preserve">funds </w:t>
      </w:r>
      <w:r w:rsidR="00AD775A">
        <w:rPr>
          <w:sz w:val="24"/>
          <w:szCs w:val="24"/>
        </w:rPr>
        <w:t xml:space="preserve">from </w:t>
      </w:r>
      <w:r w:rsidR="00174EE8" w:rsidRPr="00174EE8">
        <w:rPr>
          <w:sz w:val="24"/>
          <w:szCs w:val="24"/>
        </w:rPr>
        <w:t xml:space="preserve">charities, trusts, philanthropic foundations and Private and Public Ancillary Funds which </w:t>
      </w:r>
      <w:r w:rsidR="00174EE8">
        <w:rPr>
          <w:sz w:val="24"/>
          <w:szCs w:val="24"/>
        </w:rPr>
        <w:t>can</w:t>
      </w:r>
      <w:r w:rsidR="00174EE8" w:rsidRPr="00174EE8">
        <w:rPr>
          <w:sz w:val="24"/>
          <w:szCs w:val="24"/>
        </w:rPr>
        <w:t>not currently allow school support organisations (as non DGR entities) to be applicants.</w:t>
      </w:r>
    </w:p>
    <w:p w14:paraId="78E6689A" w14:textId="77777777" w:rsidR="001270E8" w:rsidRDefault="001270E8" w:rsidP="001270E8">
      <w:pPr>
        <w:pStyle w:val="ListParagraph"/>
        <w:spacing w:after="0"/>
        <w:ind w:left="1440"/>
        <w:rPr>
          <w:sz w:val="24"/>
          <w:szCs w:val="24"/>
        </w:rPr>
      </w:pPr>
    </w:p>
    <w:p w14:paraId="3A47C658" w14:textId="77777777" w:rsidR="001270E8" w:rsidRDefault="00AD775A" w:rsidP="00837EBF">
      <w:pPr>
        <w:pStyle w:val="ListParagraph"/>
        <w:numPr>
          <w:ilvl w:val="0"/>
          <w:numId w:val="13"/>
        </w:numPr>
        <w:spacing w:after="0"/>
        <w:rPr>
          <w:sz w:val="24"/>
          <w:szCs w:val="24"/>
        </w:rPr>
      </w:pPr>
      <w:r>
        <w:rPr>
          <w:sz w:val="24"/>
          <w:szCs w:val="24"/>
        </w:rPr>
        <w:lastRenderedPageBreak/>
        <w:t xml:space="preserve">Option B </w:t>
      </w:r>
      <w:r w:rsidR="001270E8">
        <w:rPr>
          <w:sz w:val="24"/>
          <w:szCs w:val="24"/>
        </w:rPr>
        <w:t xml:space="preserve">is a compromise on full DGR status (Option A) as it continues the current situation where donations directly to the school support organisation are not tax deductible.  For </w:t>
      </w:r>
      <w:r w:rsidR="00837EBF">
        <w:rPr>
          <w:sz w:val="24"/>
          <w:szCs w:val="24"/>
        </w:rPr>
        <w:t>the reasons mentioned above i</w:t>
      </w:r>
      <w:r w:rsidR="001270E8">
        <w:rPr>
          <w:sz w:val="24"/>
          <w:szCs w:val="24"/>
        </w:rPr>
        <w:t xml:space="preserve">n </w:t>
      </w:r>
      <w:r w:rsidR="00837EBF">
        <w:rPr>
          <w:sz w:val="24"/>
          <w:szCs w:val="24"/>
        </w:rPr>
        <w:t>section B, th</w:t>
      </w:r>
      <w:r w:rsidR="00816985">
        <w:rPr>
          <w:sz w:val="24"/>
          <w:szCs w:val="24"/>
        </w:rPr>
        <w:t xml:space="preserve">e current </w:t>
      </w:r>
      <w:r w:rsidR="00D5104B">
        <w:rPr>
          <w:sz w:val="24"/>
          <w:szCs w:val="24"/>
        </w:rPr>
        <w:t>arrangement</w:t>
      </w:r>
      <w:r w:rsidR="00816985">
        <w:rPr>
          <w:sz w:val="24"/>
          <w:szCs w:val="24"/>
        </w:rPr>
        <w:t xml:space="preserve"> completely</w:t>
      </w:r>
      <w:r w:rsidR="00D5104B">
        <w:rPr>
          <w:sz w:val="24"/>
          <w:szCs w:val="24"/>
        </w:rPr>
        <w:t xml:space="preserve"> </w:t>
      </w:r>
      <w:r w:rsidR="00837EBF">
        <w:rPr>
          <w:sz w:val="24"/>
          <w:szCs w:val="24"/>
        </w:rPr>
        <w:t xml:space="preserve">fails to recognise the social value of the expenditure by school support organisations and the tax efficiency of </w:t>
      </w:r>
      <w:r w:rsidR="00D5104B">
        <w:rPr>
          <w:sz w:val="24"/>
          <w:szCs w:val="24"/>
        </w:rPr>
        <w:t xml:space="preserve">their </w:t>
      </w:r>
      <w:r w:rsidR="00837EBF">
        <w:rPr>
          <w:sz w:val="24"/>
          <w:szCs w:val="24"/>
        </w:rPr>
        <w:t>direct expenditure.</w:t>
      </w:r>
    </w:p>
    <w:p w14:paraId="6E90F51C" w14:textId="77777777" w:rsidR="00837EBF" w:rsidRDefault="00837EBF" w:rsidP="00837EBF">
      <w:pPr>
        <w:pStyle w:val="ListParagraph"/>
        <w:spacing w:after="0"/>
        <w:ind w:left="1440"/>
        <w:rPr>
          <w:sz w:val="24"/>
          <w:szCs w:val="24"/>
        </w:rPr>
      </w:pPr>
    </w:p>
    <w:p w14:paraId="4A181687" w14:textId="77777777" w:rsidR="00837EBF" w:rsidRDefault="00837EBF" w:rsidP="00837EBF">
      <w:pPr>
        <w:pStyle w:val="ListParagraph"/>
        <w:numPr>
          <w:ilvl w:val="0"/>
          <w:numId w:val="13"/>
        </w:numPr>
        <w:spacing w:after="0"/>
        <w:rPr>
          <w:sz w:val="24"/>
          <w:szCs w:val="24"/>
        </w:rPr>
      </w:pPr>
      <w:r>
        <w:rPr>
          <w:sz w:val="24"/>
          <w:szCs w:val="24"/>
        </w:rPr>
        <w:t>P&amp;Cs Queensland therefore prefers Option A.</w:t>
      </w:r>
    </w:p>
    <w:p w14:paraId="19250D57" w14:textId="77777777" w:rsidR="00FB5101" w:rsidRPr="00FB5101" w:rsidRDefault="00FB5101" w:rsidP="00FB5101">
      <w:pPr>
        <w:pStyle w:val="ListParagraph"/>
        <w:rPr>
          <w:sz w:val="24"/>
          <w:szCs w:val="24"/>
        </w:rPr>
      </w:pPr>
    </w:p>
    <w:p w14:paraId="3D7D8358" w14:textId="77777777" w:rsidR="00FB5101" w:rsidRPr="00FB5101" w:rsidRDefault="00FB5101" w:rsidP="00FB5101">
      <w:pPr>
        <w:spacing w:after="0"/>
        <w:rPr>
          <w:sz w:val="24"/>
          <w:szCs w:val="24"/>
        </w:rPr>
      </w:pPr>
    </w:p>
    <w:p w14:paraId="13249E6A" w14:textId="77777777" w:rsidR="00507761" w:rsidRPr="00507761" w:rsidRDefault="00507761" w:rsidP="00FB5101">
      <w:pPr>
        <w:pBdr>
          <w:top w:val="single" w:sz="4" w:space="1" w:color="auto"/>
          <w:left w:val="single" w:sz="4" w:space="4" w:color="auto"/>
          <w:bottom w:val="single" w:sz="4" w:space="1" w:color="auto"/>
          <w:right w:val="single" w:sz="4" w:space="4" w:color="auto"/>
        </w:pBdr>
        <w:spacing w:after="0"/>
        <w:rPr>
          <w:sz w:val="24"/>
          <w:szCs w:val="24"/>
        </w:rPr>
      </w:pPr>
      <w:r w:rsidRPr="00507761">
        <w:rPr>
          <w:sz w:val="24"/>
          <w:szCs w:val="24"/>
        </w:rPr>
        <w:t>Closing date for submissions: Monday, 1 June 2015</w:t>
      </w:r>
    </w:p>
    <w:p w14:paraId="7EDDFB02" w14:textId="77777777" w:rsidR="00507761" w:rsidRPr="00507761" w:rsidRDefault="00507761" w:rsidP="00FB5101">
      <w:pPr>
        <w:pBdr>
          <w:top w:val="single" w:sz="4" w:space="1" w:color="auto"/>
          <w:left w:val="single" w:sz="4" w:space="4" w:color="auto"/>
          <w:bottom w:val="single" w:sz="4" w:space="1" w:color="auto"/>
          <w:right w:val="single" w:sz="4" w:space="4" w:color="auto"/>
        </w:pBdr>
        <w:spacing w:after="0"/>
        <w:rPr>
          <w:sz w:val="24"/>
          <w:szCs w:val="24"/>
        </w:rPr>
      </w:pPr>
    </w:p>
    <w:p w14:paraId="24F365E7" w14:textId="77777777" w:rsidR="00507761" w:rsidRPr="00507761" w:rsidRDefault="00507761" w:rsidP="00FB5101">
      <w:pPr>
        <w:pBdr>
          <w:top w:val="single" w:sz="4" w:space="1" w:color="auto"/>
          <w:left w:val="single" w:sz="4" w:space="4" w:color="auto"/>
          <w:bottom w:val="single" w:sz="4" w:space="1" w:color="auto"/>
          <w:right w:val="single" w:sz="4" w:space="4" w:color="auto"/>
        </w:pBdr>
        <w:spacing w:after="0"/>
        <w:rPr>
          <w:sz w:val="24"/>
          <w:szCs w:val="24"/>
        </w:rPr>
      </w:pPr>
      <w:r w:rsidRPr="00507761">
        <w:rPr>
          <w:sz w:val="24"/>
          <w:szCs w:val="24"/>
        </w:rPr>
        <w:t xml:space="preserve">Electronic submissions can be emailed to </w:t>
      </w:r>
      <w:hyperlink r:id="rId13" w:history="1">
        <w:r w:rsidRPr="00E520DE">
          <w:rPr>
            <w:rStyle w:val="Hyperlink"/>
            <w:sz w:val="24"/>
            <w:szCs w:val="24"/>
          </w:rPr>
          <w:t>bettertax@treasury.gov.au</w:t>
        </w:r>
      </w:hyperlink>
      <w:r>
        <w:rPr>
          <w:sz w:val="24"/>
          <w:szCs w:val="24"/>
        </w:rPr>
        <w:t xml:space="preserve"> </w:t>
      </w:r>
    </w:p>
    <w:p w14:paraId="2899113B" w14:textId="77777777" w:rsidR="00507761" w:rsidRPr="00507761" w:rsidRDefault="00507761" w:rsidP="00FB5101">
      <w:pPr>
        <w:pBdr>
          <w:top w:val="single" w:sz="4" w:space="1" w:color="auto"/>
          <w:left w:val="single" w:sz="4" w:space="4" w:color="auto"/>
          <w:bottom w:val="single" w:sz="4" w:space="1" w:color="auto"/>
          <w:right w:val="single" w:sz="4" w:space="4" w:color="auto"/>
        </w:pBdr>
        <w:spacing w:after="0"/>
        <w:rPr>
          <w:sz w:val="24"/>
          <w:szCs w:val="24"/>
        </w:rPr>
      </w:pPr>
    </w:p>
    <w:p w14:paraId="1336D4C3" w14:textId="77777777" w:rsidR="00487862" w:rsidRDefault="00507761" w:rsidP="00FB5101">
      <w:pPr>
        <w:pBdr>
          <w:top w:val="single" w:sz="4" w:space="1" w:color="auto"/>
          <w:left w:val="single" w:sz="4" w:space="4" w:color="auto"/>
          <w:bottom w:val="single" w:sz="4" w:space="1" w:color="auto"/>
          <w:right w:val="single" w:sz="4" w:space="4" w:color="auto"/>
        </w:pBdr>
        <w:spacing w:after="0"/>
        <w:rPr>
          <w:sz w:val="24"/>
          <w:szCs w:val="24"/>
        </w:rPr>
      </w:pPr>
      <w:r w:rsidRPr="00507761">
        <w:rPr>
          <w:sz w:val="24"/>
          <w:szCs w:val="24"/>
        </w:rPr>
        <w:t>Please ensure you include a submission coversheet when sending written submissions.</w:t>
      </w:r>
    </w:p>
    <w:p w14:paraId="398CE587" w14:textId="77777777" w:rsidR="00487862" w:rsidRDefault="00487862" w:rsidP="00FB5101">
      <w:pPr>
        <w:pBdr>
          <w:top w:val="single" w:sz="4" w:space="1" w:color="auto"/>
          <w:left w:val="single" w:sz="4" w:space="4" w:color="auto"/>
          <w:bottom w:val="single" w:sz="4" w:space="1" w:color="auto"/>
          <w:right w:val="single" w:sz="4" w:space="4" w:color="auto"/>
        </w:pBdr>
        <w:spacing w:after="0"/>
        <w:rPr>
          <w:sz w:val="24"/>
          <w:szCs w:val="24"/>
        </w:rPr>
      </w:pPr>
    </w:p>
    <w:sectPr w:rsidR="0048786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3933A" w14:textId="77777777" w:rsidR="00C67AF2" w:rsidRDefault="00C67AF2" w:rsidP="00600D82">
      <w:pPr>
        <w:spacing w:after="0" w:line="240" w:lineRule="auto"/>
      </w:pPr>
      <w:r>
        <w:separator/>
      </w:r>
    </w:p>
  </w:endnote>
  <w:endnote w:type="continuationSeparator" w:id="0">
    <w:p w14:paraId="0344C5B3" w14:textId="77777777" w:rsidR="00C67AF2" w:rsidRDefault="00C67AF2" w:rsidP="00600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00035" w14:textId="77777777" w:rsidR="00931C12" w:rsidRDefault="00931C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295962"/>
      <w:docPartObj>
        <w:docPartGallery w:val="Page Numbers (Bottom of Page)"/>
        <w:docPartUnique/>
      </w:docPartObj>
    </w:sdtPr>
    <w:sdtEndPr>
      <w:rPr>
        <w:noProof/>
      </w:rPr>
    </w:sdtEndPr>
    <w:sdtContent>
      <w:p w14:paraId="7821BFA2" w14:textId="77777777" w:rsidR="000B5A8F" w:rsidRDefault="000B5A8F">
        <w:pPr>
          <w:pStyle w:val="Footer"/>
        </w:pPr>
        <w:r>
          <w:fldChar w:fldCharType="begin"/>
        </w:r>
        <w:r>
          <w:instrText xml:space="preserve"> PAGE   \* MERGEFORMAT </w:instrText>
        </w:r>
        <w:r>
          <w:fldChar w:fldCharType="separate"/>
        </w:r>
        <w:r w:rsidR="00761007">
          <w:rPr>
            <w:noProof/>
          </w:rPr>
          <w:t>1</w:t>
        </w:r>
        <w:r>
          <w:rPr>
            <w:noProof/>
          </w:rPr>
          <w:fldChar w:fldCharType="end"/>
        </w:r>
      </w:p>
    </w:sdtContent>
  </w:sdt>
  <w:p w14:paraId="41C19586" w14:textId="77777777" w:rsidR="000B5A8F" w:rsidRDefault="000B5A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1933A" w14:textId="77777777" w:rsidR="00931C12" w:rsidRDefault="00931C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E37B8" w14:textId="77777777" w:rsidR="00C67AF2" w:rsidRDefault="00C67AF2" w:rsidP="00600D82">
      <w:pPr>
        <w:spacing w:after="0" w:line="240" w:lineRule="auto"/>
      </w:pPr>
      <w:r>
        <w:separator/>
      </w:r>
    </w:p>
  </w:footnote>
  <w:footnote w:type="continuationSeparator" w:id="0">
    <w:p w14:paraId="15831810" w14:textId="77777777" w:rsidR="00C67AF2" w:rsidRDefault="00C67AF2" w:rsidP="00600D82">
      <w:pPr>
        <w:spacing w:after="0" w:line="240" w:lineRule="auto"/>
      </w:pPr>
      <w:r>
        <w:continuationSeparator/>
      </w:r>
    </w:p>
  </w:footnote>
  <w:footnote w:id="1">
    <w:p w14:paraId="6B9B1DC7" w14:textId="77777777" w:rsidR="000B5A8F" w:rsidRDefault="000B5A8F">
      <w:pPr>
        <w:pStyle w:val="FootnoteText"/>
      </w:pPr>
      <w:r>
        <w:rPr>
          <w:rStyle w:val="FootnoteReference"/>
        </w:rPr>
        <w:footnoteRef/>
      </w:r>
      <w:r>
        <w:t xml:space="preserve"> </w:t>
      </w:r>
      <w:r w:rsidRPr="00403BC6">
        <w:t>Taxation statistics: 100 people</w:t>
      </w:r>
      <w:r>
        <w:t>; based on 12.3 million tax returns in 2008-09</w:t>
      </w:r>
    </w:p>
  </w:footnote>
  <w:footnote w:id="2">
    <w:p w14:paraId="38D23F9F" w14:textId="77777777" w:rsidR="000B5A8F" w:rsidRDefault="000B5A8F">
      <w:pPr>
        <w:pStyle w:val="FootnoteText"/>
      </w:pPr>
      <w:r>
        <w:rPr>
          <w:rStyle w:val="FootnoteReference"/>
        </w:rPr>
        <w:footnoteRef/>
      </w:r>
      <w:r>
        <w:t xml:space="preserve"> </w:t>
      </w:r>
      <w:r w:rsidRPr="007E4D06">
        <w:t>Taxation statistics 2011–12</w:t>
      </w:r>
    </w:p>
  </w:footnote>
  <w:footnote w:id="3">
    <w:p w14:paraId="74DF98FD" w14:textId="77777777" w:rsidR="000B5A8F" w:rsidRDefault="000B5A8F" w:rsidP="00A30AA3">
      <w:pPr>
        <w:pStyle w:val="FootnoteText"/>
      </w:pPr>
      <w:r>
        <w:rPr>
          <w:rStyle w:val="FootnoteReference"/>
        </w:rPr>
        <w:footnoteRef/>
      </w:r>
      <w:r>
        <w:t xml:space="preserve"> </w:t>
      </w:r>
      <w:r w:rsidRPr="007E4D06">
        <w:t>Taxation statistics 2011–12</w:t>
      </w:r>
    </w:p>
    <w:p w14:paraId="40FD2722" w14:textId="77777777" w:rsidR="000B5A8F" w:rsidRDefault="000B5A8F">
      <w:pPr>
        <w:pStyle w:val="FootnoteText"/>
      </w:pPr>
    </w:p>
  </w:footnote>
  <w:footnote w:id="4">
    <w:p w14:paraId="4AD31B8B" w14:textId="77777777" w:rsidR="000B5A8F" w:rsidRPr="00BA78F3" w:rsidRDefault="000B5A8F" w:rsidP="00BA78F3">
      <w:pPr>
        <w:autoSpaceDE w:val="0"/>
        <w:autoSpaceDN w:val="0"/>
        <w:adjustRightInd w:val="0"/>
        <w:spacing w:after="0" w:line="240" w:lineRule="auto"/>
        <w:rPr>
          <w:sz w:val="20"/>
          <w:szCs w:val="20"/>
        </w:rPr>
      </w:pPr>
      <w:r>
        <w:rPr>
          <w:rStyle w:val="FootnoteReference"/>
        </w:rPr>
        <w:footnoteRef/>
      </w:r>
      <w:r>
        <w:t xml:space="preserve"> </w:t>
      </w:r>
      <w:r w:rsidRPr="00BA78F3">
        <w:rPr>
          <w:sz w:val="20"/>
          <w:szCs w:val="20"/>
        </w:rPr>
        <w:t>Income Tax Assessment Act 1997 (</w:t>
      </w:r>
      <w:proofErr w:type="spellStart"/>
      <w:r w:rsidRPr="00BA78F3">
        <w:rPr>
          <w:sz w:val="20"/>
          <w:szCs w:val="20"/>
        </w:rPr>
        <w:t>Cth</w:t>
      </w:r>
      <w:proofErr w:type="spellEnd"/>
      <w:r w:rsidRPr="00BA78F3">
        <w:rPr>
          <w:sz w:val="20"/>
          <w:szCs w:val="20"/>
        </w:rPr>
        <w:t>) Section 30-25;</w:t>
      </w:r>
      <w:r>
        <w:rPr>
          <w:sz w:val="20"/>
          <w:szCs w:val="20"/>
        </w:rPr>
        <w:t xml:space="preserve"> p236, </w:t>
      </w:r>
      <w:r w:rsidRPr="00BA78F3">
        <w:rPr>
          <w:i/>
          <w:sz w:val="20"/>
          <w:szCs w:val="20"/>
        </w:rPr>
        <w:t>“Item 2.1.12: A government school that (a) provides special education for students each of whom has a disability that is permanent or is likely to be permanent; and (b) does not provide education for other students.”</w:t>
      </w:r>
    </w:p>
    <w:p w14:paraId="1FD47552" w14:textId="77777777" w:rsidR="000B5A8F" w:rsidRDefault="000B5A8F">
      <w:pPr>
        <w:pStyle w:val="FootnoteText"/>
      </w:pPr>
    </w:p>
  </w:footnote>
  <w:footnote w:id="5">
    <w:p w14:paraId="34A58BC1" w14:textId="77777777" w:rsidR="00363CEF" w:rsidRDefault="00363CEF">
      <w:pPr>
        <w:pStyle w:val="FootnoteText"/>
      </w:pPr>
      <w:r>
        <w:rPr>
          <w:rStyle w:val="FootnoteReference"/>
        </w:rPr>
        <w:footnoteRef/>
      </w:r>
      <w:r w:rsidR="000F059B" w:rsidRPr="000F059B">
        <w:t>Not-For-Profit Sector Tax Concession Working Group</w:t>
      </w:r>
      <w:r w:rsidR="000F059B">
        <w:t>;</w:t>
      </w:r>
      <w:r>
        <w:t xml:space="preserve"> </w:t>
      </w:r>
      <w:r w:rsidR="000F059B" w:rsidRPr="000F059B">
        <w:t>Commonwealth of Australia</w:t>
      </w:r>
      <w:r w:rsidR="00FE738D">
        <w:t>,</w:t>
      </w:r>
      <w:r w:rsidR="000F059B" w:rsidRPr="000F059B">
        <w:t xml:space="preserve"> 2013</w:t>
      </w:r>
      <w:r w:rsidR="000F059B">
        <w:t xml:space="preserve">; </w:t>
      </w:r>
      <w:r w:rsidR="00FE738D">
        <w:t>2</w:t>
      </w:r>
      <w:r w:rsidR="00EF3F3A">
        <w:t>2</w:t>
      </w:r>
      <w:r w:rsidR="00FE738D">
        <w:t xml:space="preserve">.  </w:t>
      </w:r>
      <w:r w:rsidR="000F059B">
        <w:t>T</w:t>
      </w:r>
      <w:r w:rsidR="000F059B" w:rsidRPr="00363CEF">
        <w:t>h</w:t>
      </w:r>
      <w:r w:rsidR="000F059B">
        <w:t>is</w:t>
      </w:r>
      <w:r w:rsidRPr="00363CEF">
        <w:t xml:space="preserve"> found that the DGR framework was intended to encourage philanthropy</w:t>
      </w:r>
      <w:r w:rsidR="00925DB4">
        <w:t>, h</w:t>
      </w:r>
      <w:r w:rsidRPr="00363CEF">
        <w:t>owever</w:t>
      </w:r>
      <w:r w:rsidR="00925DB4">
        <w:t>,</w:t>
      </w:r>
      <w:r w:rsidRPr="00363CEF">
        <w:t xml:space="preserve"> the current system for granting DGR status was </w:t>
      </w:r>
      <w:r w:rsidR="000F059B" w:rsidRPr="00925DB4">
        <w:rPr>
          <w:i/>
        </w:rPr>
        <w:t>‘</w:t>
      </w:r>
      <w:r w:rsidRPr="00925DB4">
        <w:rPr>
          <w:i/>
        </w:rPr>
        <w:t>cumbersome, inequitable and anomalous</w:t>
      </w:r>
      <w:r w:rsidR="000F059B" w:rsidRPr="00925DB4">
        <w:rPr>
          <w:i/>
        </w:rPr>
        <w:t>’</w:t>
      </w:r>
      <w:r>
        <w:t xml:space="preserve">. </w:t>
      </w:r>
    </w:p>
  </w:footnote>
  <w:footnote w:id="6">
    <w:p w14:paraId="4DEF3119" w14:textId="77777777" w:rsidR="000B5A8F" w:rsidRDefault="000B5A8F">
      <w:pPr>
        <w:pStyle w:val="FootnoteText"/>
      </w:pPr>
      <w:r>
        <w:rPr>
          <w:rStyle w:val="FootnoteReference"/>
        </w:rPr>
        <w:footnoteRef/>
      </w:r>
      <w:r>
        <w:t xml:space="preserve"> The ACNC’s welcome checks of compliance by charities </w:t>
      </w:r>
      <w:r w:rsidR="0059002E">
        <w:t>is</w:t>
      </w:r>
      <w:r>
        <w:t xml:space="preserve"> start</w:t>
      </w:r>
      <w:r w:rsidR="0059002E">
        <w:t>ing</w:t>
      </w:r>
      <w:r>
        <w:t xml:space="preserve"> to weed out those DGR organisations listed in the Act and many others who are also entitled to DGR but which no longer operate as charities.</w:t>
      </w:r>
    </w:p>
  </w:footnote>
  <w:footnote w:id="7">
    <w:p w14:paraId="6C3B5895" w14:textId="77777777" w:rsidR="000B5A8F" w:rsidRDefault="000B5A8F" w:rsidP="0036062E">
      <w:pPr>
        <w:pStyle w:val="FootnoteText"/>
      </w:pPr>
      <w:r>
        <w:rPr>
          <w:rStyle w:val="FootnoteReference"/>
        </w:rPr>
        <w:footnoteRef/>
      </w:r>
      <w:r>
        <w:t xml:space="preserve"> “Rethink – </w:t>
      </w:r>
      <w:r w:rsidRPr="00FE0BB0">
        <w:t>Not-for-profit sector</w:t>
      </w:r>
      <w:r>
        <w:t xml:space="preserve"> - Tax White Paper” 2015 p. 125</w:t>
      </w:r>
    </w:p>
  </w:footnote>
  <w:footnote w:id="8">
    <w:p w14:paraId="3BC2376D" w14:textId="77777777" w:rsidR="00EF3F3A" w:rsidRDefault="00EF3F3A">
      <w:pPr>
        <w:pStyle w:val="FootnoteText"/>
      </w:pPr>
      <w:r>
        <w:rPr>
          <w:rStyle w:val="FootnoteReference"/>
        </w:rPr>
        <w:footnoteRef/>
      </w:r>
      <w:r>
        <w:t xml:space="preserve"> </w:t>
      </w:r>
      <w:r w:rsidRPr="00EF3F3A">
        <w:t>Not-For-Profit Sector Tax Concession Working Group; Commonwealth of Australia, 2013; 2</w:t>
      </w:r>
      <w:r>
        <w:t>4</w:t>
      </w:r>
      <w:r w:rsidRPr="00EF3F3A">
        <w:t xml:space="preserve">.  </w:t>
      </w:r>
    </w:p>
  </w:footnote>
  <w:footnote w:id="9">
    <w:p w14:paraId="24D52EA2" w14:textId="77777777" w:rsidR="00925DB4" w:rsidRPr="00925DB4" w:rsidRDefault="00925DB4" w:rsidP="00925DB4">
      <w:pPr>
        <w:pStyle w:val="FootnoteText"/>
        <w:rPr>
          <w:i/>
        </w:rPr>
      </w:pPr>
      <w:r>
        <w:rPr>
          <w:rStyle w:val="FootnoteReference"/>
        </w:rPr>
        <w:footnoteRef/>
      </w:r>
      <w:r>
        <w:t xml:space="preserve">  </w:t>
      </w:r>
      <w:r w:rsidRPr="00925DB4">
        <w:t xml:space="preserve">Not-For-Profit Sector Tax Concession Working Group; Commonwealth of Australia, 2013; </w:t>
      </w:r>
      <w:r>
        <w:t>31</w:t>
      </w:r>
      <w:r w:rsidRPr="00925DB4">
        <w:t xml:space="preserve">.  </w:t>
      </w:r>
      <w:r w:rsidRPr="00925DB4">
        <w:rPr>
          <w:i/>
        </w:rPr>
        <w:t>“There is no clear policy rationale for why some entities have been provided DGR status and others have not. The arbitrary nature of the categories leads to inequities and anomalies, with some entities being granted DGR status while similar entities or entities which provide significant public benefits have not”.</w:t>
      </w:r>
    </w:p>
  </w:footnote>
  <w:footnote w:id="10">
    <w:p w14:paraId="216AD51F" w14:textId="77777777" w:rsidR="0049728B" w:rsidRDefault="0049728B">
      <w:pPr>
        <w:pStyle w:val="FootnoteText"/>
      </w:pPr>
      <w:r>
        <w:rPr>
          <w:rStyle w:val="FootnoteReference"/>
        </w:rPr>
        <w:footnoteRef/>
      </w:r>
      <w:r>
        <w:t xml:space="preserve">  </w:t>
      </w:r>
      <w:r w:rsidR="00AD775A" w:rsidRPr="00AD775A">
        <w:t>Peak Not for Profit body, the Community Council for Australia</w:t>
      </w:r>
      <w:r w:rsidR="00AD775A">
        <w:t xml:space="preserve"> and </w:t>
      </w:r>
      <w:r w:rsidR="00AD775A" w:rsidRPr="00AD775A">
        <w:t>Donor pe</w:t>
      </w:r>
      <w:r w:rsidR="00AD775A">
        <w:t>ak body, Philanthropy Australia; 25 February 2015</w:t>
      </w:r>
      <w:r w:rsidR="00AD775A" w:rsidRPr="00AD775A">
        <w:t xml:space="preserve"> See more at: </w:t>
      </w:r>
      <w:hyperlink r:id="rId1" w:anchor="sthash.woUtSPOv.dpuf" w:history="1">
        <w:r w:rsidR="00AD775A" w:rsidRPr="00D3230E">
          <w:rPr>
            <w:rStyle w:val="Hyperlink"/>
          </w:rPr>
          <w:t>http://www.probonoaustralia.com.au/news/2014/02/exclusive-nfp-tax-concession-report-revealed?utm_source=Pro+Bono+Australia+-+email+updates&amp;utm_campaign=8bf2849a1a-Pro_Bono_Australia_News2_24_2014&amp;utm_medium=email&amp;utm_term=0_5ee68172fb-8bf2849a1a-#sthash.woUtSPOv.dpuf</w:t>
        </w:r>
      </w:hyperlink>
      <w:r w:rsidR="00AD775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2C2D5" w14:textId="77777777" w:rsidR="00931C12" w:rsidRDefault="00931C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998C5" w14:textId="77777777" w:rsidR="00931C12" w:rsidRPr="00931C12" w:rsidRDefault="00931C12" w:rsidP="00931C12">
    <w:pPr>
      <w:pStyle w:val="Header"/>
      <w:jc w:val="center"/>
      <w:rPr>
        <w:i/>
        <w:sz w:val="20"/>
        <w:szCs w:val="20"/>
      </w:rPr>
    </w:pPr>
    <w:r w:rsidRPr="00931C12">
      <w:rPr>
        <w:i/>
        <w:sz w:val="20"/>
        <w:szCs w:val="20"/>
      </w:rPr>
      <w:t>P&amp;Cs Queensland; 20 April 2015</w:t>
    </w:r>
  </w:p>
  <w:p w14:paraId="3CA67709" w14:textId="77777777" w:rsidR="00931C12" w:rsidRPr="00931C12" w:rsidRDefault="00931C12" w:rsidP="00931C12">
    <w:pPr>
      <w:pStyle w:val="Header"/>
      <w:jc w:val="center"/>
      <w:rPr>
        <w:i/>
        <w:sz w:val="20"/>
        <w:szCs w:val="20"/>
      </w:rPr>
    </w:pPr>
    <w:r w:rsidRPr="00931C12">
      <w:rPr>
        <w:i/>
        <w:sz w:val="20"/>
        <w:szCs w:val="20"/>
      </w:rPr>
      <w:t>Submission to White Paper Taskforce –</w:t>
    </w:r>
    <w:r>
      <w:rPr>
        <w:i/>
        <w:sz w:val="20"/>
        <w:szCs w:val="20"/>
      </w:rPr>
      <w:t xml:space="preserve"> D</w:t>
    </w:r>
    <w:r w:rsidRPr="00931C12">
      <w:rPr>
        <w:i/>
        <w:sz w:val="20"/>
        <w:szCs w:val="20"/>
      </w:rPr>
      <w:t>G</w:t>
    </w:r>
    <w:r>
      <w:rPr>
        <w:i/>
        <w:sz w:val="20"/>
        <w:szCs w:val="20"/>
      </w:rPr>
      <w:t>R</w:t>
    </w:r>
    <w:r w:rsidRPr="00931C12">
      <w:rPr>
        <w:i/>
        <w:sz w:val="20"/>
        <w:szCs w:val="20"/>
      </w:rPr>
      <w:t xml:space="preserve"> for Schools Support Organisations</w:t>
    </w:r>
  </w:p>
  <w:p w14:paraId="59317A52" w14:textId="77777777" w:rsidR="00931C12" w:rsidRDefault="00931C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F1B3" w14:textId="77777777" w:rsidR="00931C12" w:rsidRDefault="00931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15DA1"/>
    <w:multiLevelType w:val="hybridMultilevel"/>
    <w:tmpl w:val="526A143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12283D1C"/>
    <w:multiLevelType w:val="hybridMultilevel"/>
    <w:tmpl w:val="363C2D1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7F76DDE"/>
    <w:multiLevelType w:val="hybridMultilevel"/>
    <w:tmpl w:val="1010A1C4"/>
    <w:lvl w:ilvl="0" w:tplc="9DD47F5A">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9D205D0"/>
    <w:multiLevelType w:val="hybridMultilevel"/>
    <w:tmpl w:val="1010A1C4"/>
    <w:lvl w:ilvl="0" w:tplc="9DD47F5A">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E762A75"/>
    <w:multiLevelType w:val="hybridMultilevel"/>
    <w:tmpl w:val="BC48AF1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1E307D1"/>
    <w:multiLevelType w:val="hybridMultilevel"/>
    <w:tmpl w:val="1010A1C4"/>
    <w:lvl w:ilvl="0" w:tplc="9DD47F5A">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255164E"/>
    <w:multiLevelType w:val="hybridMultilevel"/>
    <w:tmpl w:val="DB7CBEB0"/>
    <w:lvl w:ilvl="0" w:tplc="8634188A">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36A6306D"/>
    <w:multiLevelType w:val="hybridMultilevel"/>
    <w:tmpl w:val="EE2EE718"/>
    <w:lvl w:ilvl="0" w:tplc="0C090015">
      <w:start w:val="1"/>
      <w:numFmt w:val="upp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36F81836"/>
    <w:multiLevelType w:val="hybridMultilevel"/>
    <w:tmpl w:val="B32C53AC"/>
    <w:lvl w:ilvl="0" w:tplc="863418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50143D1"/>
    <w:multiLevelType w:val="hybridMultilevel"/>
    <w:tmpl w:val="E79CFC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73F6064"/>
    <w:multiLevelType w:val="hybridMultilevel"/>
    <w:tmpl w:val="52641D9A"/>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C53349B"/>
    <w:multiLevelType w:val="hybridMultilevel"/>
    <w:tmpl w:val="981878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62FD4CDA"/>
    <w:multiLevelType w:val="hybridMultilevel"/>
    <w:tmpl w:val="14125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408480C"/>
    <w:multiLevelType w:val="hybridMultilevel"/>
    <w:tmpl w:val="526A143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2"/>
  </w:num>
  <w:num w:numId="2">
    <w:abstractNumId w:val="3"/>
  </w:num>
  <w:num w:numId="3">
    <w:abstractNumId w:val="4"/>
  </w:num>
  <w:num w:numId="4">
    <w:abstractNumId w:val="13"/>
  </w:num>
  <w:num w:numId="5">
    <w:abstractNumId w:val="2"/>
  </w:num>
  <w:num w:numId="6">
    <w:abstractNumId w:val="5"/>
  </w:num>
  <w:num w:numId="7">
    <w:abstractNumId w:val="8"/>
  </w:num>
  <w:num w:numId="8">
    <w:abstractNumId w:val="6"/>
  </w:num>
  <w:num w:numId="9">
    <w:abstractNumId w:val="0"/>
  </w:num>
  <w:num w:numId="10">
    <w:abstractNumId w:val="9"/>
  </w:num>
  <w:num w:numId="11">
    <w:abstractNumId w:val="1"/>
  </w:num>
  <w:num w:numId="12">
    <w:abstractNumId w:val="7"/>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02E"/>
    <w:rsid w:val="00010BF7"/>
    <w:rsid w:val="00020479"/>
    <w:rsid w:val="00042C0D"/>
    <w:rsid w:val="00047C0D"/>
    <w:rsid w:val="00074931"/>
    <w:rsid w:val="00097843"/>
    <w:rsid w:val="000B5A8F"/>
    <w:rsid w:val="000F059B"/>
    <w:rsid w:val="00126EC2"/>
    <w:rsid w:val="001270E8"/>
    <w:rsid w:val="00145EA1"/>
    <w:rsid w:val="00151B1F"/>
    <w:rsid w:val="00174EE8"/>
    <w:rsid w:val="00194C90"/>
    <w:rsid w:val="001E071F"/>
    <w:rsid w:val="0021479C"/>
    <w:rsid w:val="00243DB4"/>
    <w:rsid w:val="00243E8F"/>
    <w:rsid w:val="00284A05"/>
    <w:rsid w:val="00285F95"/>
    <w:rsid w:val="002A47E8"/>
    <w:rsid w:val="002D6DF4"/>
    <w:rsid w:val="002F48BD"/>
    <w:rsid w:val="00303093"/>
    <w:rsid w:val="00317C9D"/>
    <w:rsid w:val="00331AF9"/>
    <w:rsid w:val="0034173C"/>
    <w:rsid w:val="00346A55"/>
    <w:rsid w:val="0036062E"/>
    <w:rsid w:val="00363316"/>
    <w:rsid w:val="00363CEF"/>
    <w:rsid w:val="00365DC8"/>
    <w:rsid w:val="00377185"/>
    <w:rsid w:val="003A0A42"/>
    <w:rsid w:val="003A7000"/>
    <w:rsid w:val="003C081B"/>
    <w:rsid w:val="003C1977"/>
    <w:rsid w:val="003C7814"/>
    <w:rsid w:val="00403BC6"/>
    <w:rsid w:val="00411650"/>
    <w:rsid w:val="004136AA"/>
    <w:rsid w:val="00426E6E"/>
    <w:rsid w:val="004312BD"/>
    <w:rsid w:val="00454704"/>
    <w:rsid w:val="00462540"/>
    <w:rsid w:val="00464B67"/>
    <w:rsid w:val="004803E0"/>
    <w:rsid w:val="004812B6"/>
    <w:rsid w:val="00487862"/>
    <w:rsid w:val="0049728B"/>
    <w:rsid w:val="004A4BA1"/>
    <w:rsid w:val="004A7904"/>
    <w:rsid w:val="004C2F6E"/>
    <w:rsid w:val="00504174"/>
    <w:rsid w:val="00507761"/>
    <w:rsid w:val="00511E2C"/>
    <w:rsid w:val="005347CD"/>
    <w:rsid w:val="0054002E"/>
    <w:rsid w:val="00540951"/>
    <w:rsid w:val="00562DBB"/>
    <w:rsid w:val="00590029"/>
    <w:rsid w:val="0059002E"/>
    <w:rsid w:val="005A4702"/>
    <w:rsid w:val="005B2D61"/>
    <w:rsid w:val="005D6344"/>
    <w:rsid w:val="005F2781"/>
    <w:rsid w:val="00600D82"/>
    <w:rsid w:val="006C69B6"/>
    <w:rsid w:val="006E272C"/>
    <w:rsid w:val="00715D20"/>
    <w:rsid w:val="007223CB"/>
    <w:rsid w:val="00723E78"/>
    <w:rsid w:val="00743A0F"/>
    <w:rsid w:val="007446B8"/>
    <w:rsid w:val="00753BE6"/>
    <w:rsid w:val="00757647"/>
    <w:rsid w:val="00761007"/>
    <w:rsid w:val="00762862"/>
    <w:rsid w:val="007955FF"/>
    <w:rsid w:val="007A65AB"/>
    <w:rsid w:val="007C202F"/>
    <w:rsid w:val="007C41F1"/>
    <w:rsid w:val="007D50CD"/>
    <w:rsid w:val="007E4D06"/>
    <w:rsid w:val="00816985"/>
    <w:rsid w:val="00834963"/>
    <w:rsid w:val="00834AAF"/>
    <w:rsid w:val="00837EBF"/>
    <w:rsid w:val="008557DF"/>
    <w:rsid w:val="00866AC9"/>
    <w:rsid w:val="00881921"/>
    <w:rsid w:val="008A78F1"/>
    <w:rsid w:val="008B5F87"/>
    <w:rsid w:val="008C6716"/>
    <w:rsid w:val="008E3132"/>
    <w:rsid w:val="008F7521"/>
    <w:rsid w:val="008F7693"/>
    <w:rsid w:val="009005C7"/>
    <w:rsid w:val="00925DB4"/>
    <w:rsid w:val="00931C12"/>
    <w:rsid w:val="00940BD6"/>
    <w:rsid w:val="009429E5"/>
    <w:rsid w:val="00945433"/>
    <w:rsid w:val="00996B1A"/>
    <w:rsid w:val="009A5429"/>
    <w:rsid w:val="009B09F8"/>
    <w:rsid w:val="00A10253"/>
    <w:rsid w:val="00A21223"/>
    <w:rsid w:val="00A221A7"/>
    <w:rsid w:val="00A26F52"/>
    <w:rsid w:val="00A30AA3"/>
    <w:rsid w:val="00A769DB"/>
    <w:rsid w:val="00A82DC6"/>
    <w:rsid w:val="00A85237"/>
    <w:rsid w:val="00AB55DE"/>
    <w:rsid w:val="00AC7EAF"/>
    <w:rsid w:val="00AD3E58"/>
    <w:rsid w:val="00AD775A"/>
    <w:rsid w:val="00AF1197"/>
    <w:rsid w:val="00B0762C"/>
    <w:rsid w:val="00B13236"/>
    <w:rsid w:val="00B366E9"/>
    <w:rsid w:val="00B41C5B"/>
    <w:rsid w:val="00B420F3"/>
    <w:rsid w:val="00B5205A"/>
    <w:rsid w:val="00B6040C"/>
    <w:rsid w:val="00BA2AA2"/>
    <w:rsid w:val="00BA3F50"/>
    <w:rsid w:val="00BA78F3"/>
    <w:rsid w:val="00BD0157"/>
    <w:rsid w:val="00BD40EE"/>
    <w:rsid w:val="00C26BA4"/>
    <w:rsid w:val="00C36BF2"/>
    <w:rsid w:val="00C50162"/>
    <w:rsid w:val="00C67AF2"/>
    <w:rsid w:val="00CA71C3"/>
    <w:rsid w:val="00CB0760"/>
    <w:rsid w:val="00CC5140"/>
    <w:rsid w:val="00D15EA0"/>
    <w:rsid w:val="00D5104B"/>
    <w:rsid w:val="00D5220E"/>
    <w:rsid w:val="00D56370"/>
    <w:rsid w:val="00D61422"/>
    <w:rsid w:val="00D63F1B"/>
    <w:rsid w:val="00D679AE"/>
    <w:rsid w:val="00DB1F77"/>
    <w:rsid w:val="00DD1766"/>
    <w:rsid w:val="00DE50A8"/>
    <w:rsid w:val="00DF55FD"/>
    <w:rsid w:val="00E36EB1"/>
    <w:rsid w:val="00E70232"/>
    <w:rsid w:val="00EC57EB"/>
    <w:rsid w:val="00EF3F3A"/>
    <w:rsid w:val="00F377A1"/>
    <w:rsid w:val="00F603B6"/>
    <w:rsid w:val="00F64D0B"/>
    <w:rsid w:val="00F92BDE"/>
    <w:rsid w:val="00F9341B"/>
    <w:rsid w:val="00F95568"/>
    <w:rsid w:val="00FA2E84"/>
    <w:rsid w:val="00FB5101"/>
    <w:rsid w:val="00FD4502"/>
    <w:rsid w:val="00FD5DC9"/>
    <w:rsid w:val="00FE0BB0"/>
    <w:rsid w:val="00FE738D"/>
    <w:rsid w:val="00FF14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9E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D1766"/>
    <w:pPr>
      <w:autoSpaceDE w:val="0"/>
      <w:autoSpaceDN w:val="0"/>
      <w:adjustRightInd w:val="0"/>
      <w:spacing w:after="0" w:line="240" w:lineRule="auto"/>
    </w:pPr>
    <w:rPr>
      <w:rFonts w:ascii="Arial Unicode MS" w:eastAsia="Arial Unicode MS" w:cs="Arial Unicode MS"/>
      <w:color w:val="000000"/>
      <w:sz w:val="24"/>
      <w:szCs w:val="24"/>
    </w:rPr>
  </w:style>
  <w:style w:type="paragraph" w:styleId="ListParagraph">
    <w:name w:val="List Paragraph"/>
    <w:basedOn w:val="Normal"/>
    <w:uiPriority w:val="34"/>
    <w:qFormat/>
    <w:rsid w:val="008F7521"/>
    <w:pPr>
      <w:ind w:left="720"/>
      <w:contextualSpacing/>
    </w:pPr>
  </w:style>
  <w:style w:type="character" w:styleId="Hyperlink">
    <w:name w:val="Hyperlink"/>
    <w:basedOn w:val="DefaultParagraphFont"/>
    <w:uiPriority w:val="99"/>
    <w:unhideWhenUsed/>
    <w:rsid w:val="00507761"/>
    <w:rPr>
      <w:color w:val="0563C1" w:themeColor="hyperlink"/>
      <w:u w:val="single"/>
    </w:rPr>
  </w:style>
  <w:style w:type="paragraph" w:styleId="FootnoteText">
    <w:name w:val="footnote text"/>
    <w:basedOn w:val="Normal"/>
    <w:link w:val="FootnoteTextChar"/>
    <w:uiPriority w:val="99"/>
    <w:semiHidden/>
    <w:unhideWhenUsed/>
    <w:rsid w:val="00600D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0D82"/>
    <w:rPr>
      <w:sz w:val="20"/>
      <w:szCs w:val="20"/>
    </w:rPr>
  </w:style>
  <w:style w:type="character" w:styleId="FootnoteReference">
    <w:name w:val="footnote reference"/>
    <w:basedOn w:val="DefaultParagraphFont"/>
    <w:uiPriority w:val="99"/>
    <w:semiHidden/>
    <w:unhideWhenUsed/>
    <w:rsid w:val="00600D82"/>
    <w:rPr>
      <w:vertAlign w:val="superscript"/>
    </w:rPr>
  </w:style>
  <w:style w:type="paragraph" w:styleId="Header">
    <w:name w:val="header"/>
    <w:basedOn w:val="Normal"/>
    <w:link w:val="HeaderChar"/>
    <w:uiPriority w:val="99"/>
    <w:unhideWhenUsed/>
    <w:rsid w:val="00AF11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197"/>
  </w:style>
  <w:style w:type="paragraph" w:styleId="Footer">
    <w:name w:val="footer"/>
    <w:basedOn w:val="Normal"/>
    <w:link w:val="FooterChar"/>
    <w:uiPriority w:val="99"/>
    <w:unhideWhenUsed/>
    <w:rsid w:val="00AF11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197"/>
  </w:style>
  <w:style w:type="paragraph" w:styleId="BalloonText">
    <w:name w:val="Balloon Text"/>
    <w:basedOn w:val="Normal"/>
    <w:link w:val="BalloonTextChar"/>
    <w:uiPriority w:val="99"/>
    <w:semiHidden/>
    <w:unhideWhenUsed/>
    <w:rsid w:val="00481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2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D1766"/>
    <w:pPr>
      <w:autoSpaceDE w:val="0"/>
      <w:autoSpaceDN w:val="0"/>
      <w:adjustRightInd w:val="0"/>
      <w:spacing w:after="0" w:line="240" w:lineRule="auto"/>
    </w:pPr>
    <w:rPr>
      <w:rFonts w:ascii="Arial Unicode MS" w:eastAsia="Arial Unicode MS" w:cs="Arial Unicode MS"/>
      <w:color w:val="000000"/>
      <w:sz w:val="24"/>
      <w:szCs w:val="24"/>
    </w:rPr>
  </w:style>
  <w:style w:type="paragraph" w:styleId="ListParagraph">
    <w:name w:val="List Paragraph"/>
    <w:basedOn w:val="Normal"/>
    <w:uiPriority w:val="34"/>
    <w:qFormat/>
    <w:rsid w:val="008F7521"/>
    <w:pPr>
      <w:ind w:left="720"/>
      <w:contextualSpacing/>
    </w:pPr>
  </w:style>
  <w:style w:type="character" w:styleId="Hyperlink">
    <w:name w:val="Hyperlink"/>
    <w:basedOn w:val="DefaultParagraphFont"/>
    <w:uiPriority w:val="99"/>
    <w:unhideWhenUsed/>
    <w:rsid w:val="00507761"/>
    <w:rPr>
      <w:color w:val="0563C1" w:themeColor="hyperlink"/>
      <w:u w:val="single"/>
    </w:rPr>
  </w:style>
  <w:style w:type="paragraph" w:styleId="FootnoteText">
    <w:name w:val="footnote text"/>
    <w:basedOn w:val="Normal"/>
    <w:link w:val="FootnoteTextChar"/>
    <w:uiPriority w:val="99"/>
    <w:semiHidden/>
    <w:unhideWhenUsed/>
    <w:rsid w:val="00600D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0D82"/>
    <w:rPr>
      <w:sz w:val="20"/>
      <w:szCs w:val="20"/>
    </w:rPr>
  </w:style>
  <w:style w:type="character" w:styleId="FootnoteReference">
    <w:name w:val="footnote reference"/>
    <w:basedOn w:val="DefaultParagraphFont"/>
    <w:uiPriority w:val="99"/>
    <w:semiHidden/>
    <w:unhideWhenUsed/>
    <w:rsid w:val="00600D82"/>
    <w:rPr>
      <w:vertAlign w:val="superscript"/>
    </w:rPr>
  </w:style>
  <w:style w:type="paragraph" w:styleId="Header">
    <w:name w:val="header"/>
    <w:basedOn w:val="Normal"/>
    <w:link w:val="HeaderChar"/>
    <w:uiPriority w:val="99"/>
    <w:unhideWhenUsed/>
    <w:rsid w:val="00AF11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197"/>
  </w:style>
  <w:style w:type="paragraph" w:styleId="Footer">
    <w:name w:val="footer"/>
    <w:basedOn w:val="Normal"/>
    <w:link w:val="FooterChar"/>
    <w:uiPriority w:val="99"/>
    <w:unhideWhenUsed/>
    <w:rsid w:val="00AF11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197"/>
  </w:style>
  <w:style w:type="paragraph" w:styleId="BalloonText">
    <w:name w:val="Balloon Text"/>
    <w:basedOn w:val="Normal"/>
    <w:link w:val="BalloonTextChar"/>
    <w:uiPriority w:val="99"/>
    <w:semiHidden/>
    <w:unhideWhenUsed/>
    <w:rsid w:val="00481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2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bettertax@treasury.gov.a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probonoaustralia.com.au/news/2014/02/exclusive-nfp-tax-concession-report-revealed?utm_source=Pro+Bono+Australia+-+email+updates&amp;utm_campaign=8bf2849a1a-Pro_Bono_Australia_News2_24_2014&amp;utm_medium=email&amp;utm_term=0_5ee68172fb-8bf2849a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2014RG-82-8087</_dlc_DocId>
    <_dlc_DocIdUrl xmlns="9f7bc583-7cbe-45b9-a2bd-8bbb6543b37e">
      <Url>http://tweb/sites/rg/project/twptf/_layouts/15/DocIdRedir.aspx?ID=2014RG-82-8087</Url>
      <Description>2014RG-82-8087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1CFE6-53BA-40A8-AB31-A03DF72CFD26}"/>
</file>

<file path=customXml/itemProps2.xml><?xml version="1.0" encoding="utf-8"?>
<ds:datastoreItem xmlns:ds="http://schemas.openxmlformats.org/officeDocument/2006/customXml" ds:itemID="{4A82A189-CD6D-48A2-B2C1-CA047F47D530}"/>
</file>

<file path=customXml/itemProps3.xml><?xml version="1.0" encoding="utf-8"?>
<ds:datastoreItem xmlns:ds="http://schemas.openxmlformats.org/officeDocument/2006/customXml" ds:itemID="{87B451A2-7BD1-4557-A4A3-9E4D443C0A4A}"/>
</file>

<file path=customXml/itemProps4.xml><?xml version="1.0" encoding="utf-8"?>
<ds:datastoreItem xmlns:ds="http://schemas.openxmlformats.org/officeDocument/2006/customXml" ds:itemID="{BE12477B-A592-45C5-87ED-A7000EAC96A5}"/>
</file>

<file path=customXml/itemProps5.xml><?xml version="1.0" encoding="utf-8"?>
<ds:datastoreItem xmlns:ds="http://schemas.openxmlformats.org/officeDocument/2006/customXml" ds:itemID="{27E06D19-1949-4AAD-9334-5CEE98CF74FE}"/>
</file>

<file path=docProps/app.xml><?xml version="1.0" encoding="utf-8"?>
<Properties xmlns="http://schemas.openxmlformats.org/officeDocument/2006/extended-properties" xmlns:vt="http://schemas.openxmlformats.org/officeDocument/2006/docPropsVTypes">
  <Template>Normal.dotm</Template>
  <TotalTime>1</TotalTime>
  <Pages>8</Pages>
  <Words>2382</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Australian Council of State School Organisations - Submission to the Tax Discussion Paper</vt:lpstr>
    </vt:vector>
  </TitlesOfParts>
  <Company/>
  <LinksUpToDate>false</LinksUpToDate>
  <CharactersWithSpaces>15935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Council of State School Organisations - Submission to the Tax Discussion Paper</dc:title>
  <dc:creator>Australian Council of State School Organisations</dc:creator>
  <cp:lastModifiedBy>McLeod, Caitlin</cp:lastModifiedBy>
  <cp:revision>3</cp:revision>
  <cp:lastPrinted>2015-04-18T12:34:00Z</cp:lastPrinted>
  <dcterms:created xsi:type="dcterms:W3CDTF">2015-06-02T02:10:00Z</dcterms:created>
  <dcterms:modified xsi:type="dcterms:W3CDTF">2015-06-02T02:11:00Z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fac4ac3f-d8af-495d-8a77-acbe658eb595</vt:lpwstr>
  </property>
  <property fmtid="{D5CDD505-2E9C-101B-9397-08002B2CF9AE}" pid="6" name="ContentTypeId">
    <vt:lpwstr>0x01010036BB8DE7EC542E42A8B2E98CC20CB69700AA356CCBB2B4204EB1CD923E8E69F50F</vt:lpwstr>
  </property>
</Properties>
</file>