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6DC65" w14:textId="77777777" w:rsidR="00972A63" w:rsidRDefault="00BC7AFD">
      <w:pPr>
        <w:tabs>
          <w:tab w:val="center" w:pos="4153"/>
          <w:tab w:val="right" w:pos="8306"/>
        </w:tabs>
        <w:ind w:firstLine="360"/>
        <w:outlineLvl w:val="0"/>
        <w:rPr>
          <w:rFonts w:ascii="Georgia" w:eastAsia="Arial Unicode MS" w:hAnsi="Georgia"/>
          <w:smallCaps/>
          <w:color w:val="333399"/>
          <w:sz w:val="40"/>
          <w:u w:color="333399"/>
        </w:rPr>
      </w:pPr>
      <w:bookmarkStart w:id="0" w:name="_GoBack"/>
      <w:r>
        <w:rPr>
          <w:rFonts w:ascii="Helvetica" w:eastAsia="Arial Unicode MS" w:hAnsi="Helvetica"/>
          <w:noProof/>
          <w:color w:val="000000"/>
          <w:sz w:val="22"/>
          <w:u w:color="000000"/>
          <w:lang w:val="en-AU" w:eastAsia="en-AU"/>
        </w:rPr>
        <w:drawing>
          <wp:anchor distT="57150" distB="57150" distL="57150" distR="57150" simplePos="0" relativeHeight="251657728" behindDoc="0" locked="0" layoutInCell="1" allowOverlap="1" wp14:anchorId="5EB2879E" wp14:editId="02099577">
            <wp:simplePos x="0" y="0"/>
            <wp:positionH relativeFrom="margin">
              <wp:posOffset>-419100</wp:posOffset>
            </wp:positionH>
            <wp:positionV relativeFrom="page">
              <wp:posOffset>508000</wp:posOffset>
            </wp:positionV>
            <wp:extent cx="711200" cy="1045845"/>
            <wp:effectExtent l="19050" t="0" r="0" b="0"/>
            <wp:wrapTight wrapText="bothSides">
              <wp:wrapPolygon edited="0">
                <wp:start x="-579" y="0"/>
                <wp:lineTo x="-579" y="21246"/>
                <wp:lineTo x="21407" y="21246"/>
                <wp:lineTo x="21407" y="0"/>
                <wp:lineTo x="-579" y="0"/>
              </wp:wrapPolygon>
            </wp:wrapTight>
            <wp:docPr id="1" name="Picture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pic:cNvPicPr>
                  </pic:nvPicPr>
                  <pic:blipFill>
                    <a:blip r:embed="rId13" cstate="print"/>
                    <a:srcRect/>
                    <a:stretch>
                      <a:fillRect/>
                    </a:stretch>
                  </pic:blipFill>
                  <pic:spPr bwMode="auto">
                    <a:xfrm>
                      <a:off x="0" y="0"/>
                      <a:ext cx="711200" cy="1045845"/>
                    </a:xfrm>
                    <a:prstGeom prst="rect">
                      <a:avLst/>
                    </a:prstGeom>
                    <a:noFill/>
                    <a:ln w="12700" cap="flat" cmpd="sng">
                      <a:noFill/>
                      <a:prstDash val="solid"/>
                      <a:miter lim="0"/>
                      <a:headEnd type="none" w="med" len="med"/>
                      <a:tailEnd type="none" w="med" len="med"/>
                    </a:ln>
                    <a:effectLst/>
                  </pic:spPr>
                </pic:pic>
              </a:graphicData>
            </a:graphic>
          </wp:anchor>
        </w:drawing>
      </w:r>
      <w:r w:rsidR="002641AD">
        <w:rPr>
          <w:rFonts w:ascii="Georgia" w:eastAsia="Arial Unicode MS" w:hAnsi="Arial Unicode MS"/>
          <w:smallCaps/>
          <w:color w:val="333399"/>
          <w:sz w:val="40"/>
          <w:u w:color="333399"/>
        </w:rPr>
        <w:t>Australian Catholic Bishops Conference</w:t>
      </w:r>
      <w:bookmarkEnd w:id="0"/>
    </w:p>
    <w:p w14:paraId="7411E3E2" w14:textId="77777777" w:rsidR="00972A63" w:rsidRDefault="002641AD">
      <w:pPr>
        <w:pStyle w:val="Body1"/>
        <w:ind w:firstLine="360"/>
        <w:rPr>
          <w:rFonts w:ascii="Georgia" w:hAnsi="Georgia"/>
          <w:color w:val="333399"/>
          <w:sz w:val="26"/>
          <w:u w:color="333399"/>
        </w:rPr>
      </w:pPr>
      <w:r>
        <w:rPr>
          <w:rFonts w:ascii="Georgia" w:hAnsi="Arial Unicode MS"/>
          <w:color w:val="333399"/>
          <w:sz w:val="26"/>
          <w:u w:color="333399"/>
        </w:rPr>
        <w:t>General Secretariat</w:t>
      </w:r>
    </w:p>
    <w:p w14:paraId="6D604318" w14:textId="77777777" w:rsidR="00972A63" w:rsidRDefault="00972A63">
      <w:pPr>
        <w:pStyle w:val="Body1"/>
        <w:ind w:firstLine="360"/>
        <w:rPr>
          <w:rFonts w:ascii="Georgia" w:hAnsi="Georgia"/>
          <w:color w:val="333399"/>
          <w:sz w:val="26"/>
          <w:u w:color="333399"/>
        </w:rPr>
      </w:pPr>
    </w:p>
    <w:p w14:paraId="20FAE270" w14:textId="77777777" w:rsidR="00972A63" w:rsidRDefault="00972A63">
      <w:pPr>
        <w:pStyle w:val="Body1"/>
        <w:ind w:firstLine="360"/>
        <w:rPr>
          <w:rFonts w:ascii="Georgia" w:hAnsi="Georgia"/>
          <w:color w:val="333399"/>
          <w:sz w:val="26"/>
          <w:u w:color="333399"/>
        </w:rPr>
      </w:pPr>
    </w:p>
    <w:p w14:paraId="53CD99C2" w14:textId="77777777" w:rsidR="00972A63" w:rsidRDefault="00972A63">
      <w:pPr>
        <w:pStyle w:val="Body1"/>
        <w:rPr>
          <w:rFonts w:ascii="Arial" w:hAnsi="Arial"/>
        </w:rPr>
      </w:pPr>
    </w:p>
    <w:p w14:paraId="119094BA" w14:textId="77777777" w:rsidR="00BC7AFD" w:rsidRPr="00BC7AFD" w:rsidRDefault="00BC7AFD" w:rsidP="00BC7AFD">
      <w:pPr>
        <w:outlineLvl w:val="0"/>
        <w:rPr>
          <w:rFonts w:asciiTheme="minorHAnsi" w:eastAsia="Arial Unicode MS" w:hAnsiTheme="minorHAnsi"/>
          <w:b/>
          <w:color w:val="000000"/>
        </w:rPr>
      </w:pPr>
    </w:p>
    <w:p w14:paraId="72A65099" w14:textId="77777777" w:rsidR="00BC7AFD" w:rsidRPr="00BC7AFD" w:rsidRDefault="00800198" w:rsidP="00BC7AFD">
      <w:pPr>
        <w:outlineLvl w:val="0"/>
        <w:rPr>
          <w:rFonts w:asciiTheme="minorHAnsi" w:eastAsia="Arial Unicode MS" w:hAnsiTheme="minorHAnsi"/>
          <w:color w:val="000000"/>
        </w:rPr>
      </w:pPr>
      <w:r>
        <w:rPr>
          <w:rFonts w:asciiTheme="minorHAnsi" w:eastAsia="Arial Unicode MS" w:hAnsiTheme="minorHAnsi"/>
          <w:color w:val="000000"/>
        </w:rPr>
        <w:t>1 June</w:t>
      </w:r>
      <w:r w:rsidR="001A44C1">
        <w:rPr>
          <w:rFonts w:asciiTheme="minorHAnsi" w:eastAsia="Arial Unicode MS" w:hAnsiTheme="minorHAnsi"/>
          <w:color w:val="000000"/>
        </w:rPr>
        <w:t xml:space="preserve"> 2015</w:t>
      </w:r>
    </w:p>
    <w:p w14:paraId="716F0427" w14:textId="77777777" w:rsidR="00BC7AFD" w:rsidRPr="00BC7AFD" w:rsidRDefault="00BC7AFD" w:rsidP="00BC7AFD">
      <w:pPr>
        <w:outlineLvl w:val="0"/>
        <w:rPr>
          <w:rFonts w:asciiTheme="minorHAnsi" w:eastAsia="Arial Unicode MS" w:hAnsiTheme="minorHAnsi"/>
          <w:color w:val="000000"/>
        </w:rPr>
      </w:pPr>
    </w:p>
    <w:p w14:paraId="4AFF2EB3" w14:textId="77777777" w:rsidR="00BC7AFD" w:rsidRPr="00BC7AFD" w:rsidRDefault="00BC7AFD" w:rsidP="00BC7AFD">
      <w:pPr>
        <w:outlineLvl w:val="0"/>
        <w:rPr>
          <w:rFonts w:asciiTheme="minorHAnsi" w:eastAsia="Arial Unicode MS" w:hAnsiTheme="minorHAnsi"/>
          <w:color w:val="000000"/>
        </w:rPr>
      </w:pPr>
    </w:p>
    <w:p w14:paraId="3AAF5D79" w14:textId="77777777" w:rsidR="00BC7AFD" w:rsidRPr="00E34B0F" w:rsidRDefault="001A44C1" w:rsidP="00BC7AFD">
      <w:pPr>
        <w:outlineLvl w:val="0"/>
        <w:rPr>
          <w:rFonts w:asciiTheme="minorHAnsi" w:eastAsia="Arial Unicode MS" w:hAnsiTheme="minorHAnsi"/>
          <w:color w:val="000000"/>
        </w:rPr>
      </w:pPr>
      <w:r>
        <w:rPr>
          <w:rFonts w:asciiTheme="minorHAnsi" w:eastAsia="Arial Unicode MS" w:hAnsiTheme="minorHAnsi"/>
          <w:color w:val="000000"/>
        </w:rPr>
        <w:t>Tax White Paper Task Force</w:t>
      </w:r>
    </w:p>
    <w:p w14:paraId="74A1B9A1" w14:textId="77777777" w:rsidR="00BC7AFD" w:rsidRPr="00E34B0F" w:rsidRDefault="001A44C1" w:rsidP="00BC7AFD">
      <w:pPr>
        <w:outlineLvl w:val="0"/>
        <w:rPr>
          <w:rFonts w:asciiTheme="minorHAnsi" w:eastAsia="Arial Unicode MS" w:hAnsiTheme="minorHAnsi"/>
          <w:color w:val="000000"/>
        </w:rPr>
      </w:pPr>
      <w:r>
        <w:rPr>
          <w:rFonts w:asciiTheme="minorHAnsi" w:eastAsia="Arial Unicode MS" w:hAnsiTheme="minorHAnsi"/>
          <w:color w:val="000000"/>
        </w:rPr>
        <w:t>The Treasury</w:t>
      </w:r>
    </w:p>
    <w:p w14:paraId="7B5B4B0C" w14:textId="77777777" w:rsidR="00BC7AFD" w:rsidRPr="00E34B0F" w:rsidRDefault="001A44C1" w:rsidP="00BC7AFD">
      <w:pPr>
        <w:outlineLvl w:val="0"/>
        <w:rPr>
          <w:rFonts w:asciiTheme="minorHAnsi" w:eastAsia="Arial Unicode MS" w:hAnsiTheme="minorHAnsi"/>
          <w:color w:val="000000"/>
        </w:rPr>
      </w:pPr>
      <w:r>
        <w:rPr>
          <w:rFonts w:asciiTheme="minorHAnsi" w:eastAsia="Arial Unicode MS" w:hAnsiTheme="minorHAnsi"/>
          <w:color w:val="000000"/>
        </w:rPr>
        <w:t>Langton Crescent</w:t>
      </w:r>
    </w:p>
    <w:p w14:paraId="785B0B69" w14:textId="77777777" w:rsidR="00BC7AFD" w:rsidRPr="00E34B0F" w:rsidRDefault="001A44C1" w:rsidP="00BC7AFD">
      <w:pPr>
        <w:outlineLvl w:val="0"/>
        <w:rPr>
          <w:rFonts w:asciiTheme="minorHAnsi" w:eastAsia="Arial Unicode MS" w:hAnsiTheme="minorHAnsi"/>
          <w:color w:val="000000"/>
        </w:rPr>
      </w:pPr>
      <w:r>
        <w:rPr>
          <w:rFonts w:asciiTheme="minorHAnsi" w:eastAsia="Arial Unicode MS" w:hAnsiTheme="minorHAnsi"/>
          <w:color w:val="000000"/>
        </w:rPr>
        <w:t>PARKES   ACT   2600</w:t>
      </w:r>
    </w:p>
    <w:p w14:paraId="57D1A551" w14:textId="77777777" w:rsidR="00BC7AFD" w:rsidRPr="00E34B0F" w:rsidRDefault="007F1230" w:rsidP="00BC7AFD">
      <w:pPr>
        <w:outlineLvl w:val="0"/>
        <w:rPr>
          <w:rFonts w:asciiTheme="minorHAnsi" w:eastAsia="Arial Unicode MS" w:hAnsiTheme="minorHAnsi"/>
          <w:color w:val="000000"/>
        </w:rPr>
      </w:pPr>
      <w:hyperlink r:id="rId14" w:history="1">
        <w:r w:rsidR="001A44C1" w:rsidRPr="008D14C7">
          <w:rPr>
            <w:rStyle w:val="Hyperlink"/>
            <w:rFonts w:asciiTheme="minorHAnsi" w:hAnsiTheme="minorHAnsi"/>
          </w:rPr>
          <w:t>bettertax@treasury.gov.au</w:t>
        </w:r>
      </w:hyperlink>
      <w:r w:rsidR="001A44C1">
        <w:rPr>
          <w:rFonts w:asciiTheme="minorHAnsi" w:eastAsia="Arial Unicode MS" w:hAnsiTheme="minorHAnsi"/>
          <w:color w:val="000000"/>
        </w:rPr>
        <w:t xml:space="preserve"> </w:t>
      </w:r>
    </w:p>
    <w:p w14:paraId="20BFFD1A" w14:textId="77777777" w:rsidR="00BC7AFD" w:rsidRPr="00E34B0F" w:rsidRDefault="00BC7AFD" w:rsidP="00BC7AFD">
      <w:pPr>
        <w:outlineLvl w:val="0"/>
        <w:rPr>
          <w:rFonts w:asciiTheme="minorHAnsi" w:eastAsia="Arial Unicode MS" w:hAnsiTheme="minorHAnsi"/>
          <w:color w:val="000000"/>
        </w:rPr>
      </w:pPr>
    </w:p>
    <w:p w14:paraId="005D9EC6" w14:textId="77777777" w:rsidR="00BC7AFD" w:rsidRPr="00E34B0F" w:rsidRDefault="00BC7AFD" w:rsidP="00BC7AFD">
      <w:pPr>
        <w:outlineLvl w:val="0"/>
        <w:rPr>
          <w:rFonts w:asciiTheme="minorHAnsi" w:eastAsia="Arial Unicode MS" w:hAnsiTheme="minorHAnsi"/>
          <w:color w:val="000000"/>
        </w:rPr>
      </w:pPr>
    </w:p>
    <w:p w14:paraId="22A0BA9E" w14:textId="77777777" w:rsidR="00BC7AFD" w:rsidRPr="00E34B0F" w:rsidRDefault="00BC7AFD" w:rsidP="00BC7AFD">
      <w:pPr>
        <w:outlineLvl w:val="0"/>
        <w:rPr>
          <w:rFonts w:asciiTheme="minorHAnsi" w:eastAsia="Arial Unicode MS" w:hAnsiTheme="minorHAnsi"/>
          <w:color w:val="000000"/>
        </w:rPr>
      </w:pPr>
    </w:p>
    <w:p w14:paraId="0B240B15"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Dear Sir/Madam</w:t>
      </w:r>
    </w:p>
    <w:p w14:paraId="00C9D1AA" w14:textId="77777777" w:rsidR="000D7DFA" w:rsidRPr="000D7DFA" w:rsidRDefault="000D7DFA" w:rsidP="000D7DFA">
      <w:pPr>
        <w:keepNext/>
        <w:pBdr>
          <w:top w:val="nil"/>
          <w:left w:val="nil"/>
          <w:bottom w:val="nil"/>
          <w:right w:val="nil"/>
          <w:between w:val="nil"/>
          <w:bar w:val="nil"/>
        </w:pBdr>
        <w:tabs>
          <w:tab w:val="left" w:pos="1276"/>
        </w:tabs>
        <w:ind w:left="1276" w:hanging="709"/>
        <w:outlineLvl w:val="1"/>
        <w:rPr>
          <w:rFonts w:ascii="Calibri" w:eastAsia="Calibri" w:hAnsi="Calibri" w:cs="Calibri"/>
          <w:b/>
          <w:bCs/>
          <w:color w:val="000000"/>
          <w:u w:color="000000"/>
          <w:bdr w:val="nil"/>
          <w:lang w:val="en-AU" w:eastAsia="en-AU"/>
        </w:rPr>
      </w:pPr>
    </w:p>
    <w:p w14:paraId="597D209A" w14:textId="77777777" w:rsidR="000D7DFA" w:rsidRPr="000D7DFA" w:rsidRDefault="00A85220" w:rsidP="000D7DFA">
      <w:pPr>
        <w:keepNext/>
        <w:pBdr>
          <w:top w:val="nil"/>
          <w:left w:val="nil"/>
          <w:bottom w:val="nil"/>
          <w:right w:val="nil"/>
          <w:between w:val="nil"/>
          <w:bar w:val="nil"/>
        </w:pBdr>
        <w:tabs>
          <w:tab w:val="left" w:pos="1276"/>
        </w:tabs>
        <w:outlineLvl w:val="1"/>
        <w:rPr>
          <w:rFonts w:ascii="Calibri" w:eastAsia="Calibri" w:hAnsi="Calibri" w:cs="Calibri"/>
          <w:b/>
          <w:bCs/>
          <w:color w:val="000000"/>
          <w:sz w:val="28"/>
          <w:szCs w:val="28"/>
          <w:u w:color="000000"/>
          <w:bdr w:val="nil"/>
          <w:lang w:val="en-AU" w:eastAsia="en-AU"/>
        </w:rPr>
      </w:pPr>
      <w:r>
        <w:rPr>
          <w:rFonts w:ascii="Calibri" w:eastAsia="Calibri" w:hAnsi="Calibri" w:cs="Calibri"/>
          <w:b/>
          <w:bCs/>
          <w:color w:val="000000"/>
          <w:sz w:val="28"/>
          <w:szCs w:val="28"/>
          <w:u w:color="000000"/>
          <w:bdr w:val="nil"/>
          <w:lang w:val="fr-FR" w:eastAsia="en-AU"/>
        </w:rPr>
        <w:t xml:space="preserve">Tax </w:t>
      </w:r>
      <w:r w:rsidR="00B3656F">
        <w:rPr>
          <w:rFonts w:ascii="Calibri" w:eastAsia="Calibri" w:hAnsi="Calibri" w:cs="Calibri"/>
          <w:b/>
          <w:bCs/>
          <w:color w:val="000000"/>
          <w:sz w:val="28"/>
          <w:szCs w:val="28"/>
          <w:u w:color="000000"/>
          <w:bdr w:val="nil"/>
          <w:lang w:val="fr-FR" w:eastAsia="en-AU"/>
        </w:rPr>
        <w:t>D</w:t>
      </w:r>
      <w:r w:rsidR="000D7DFA" w:rsidRPr="000D7DFA">
        <w:rPr>
          <w:rFonts w:ascii="Calibri" w:eastAsia="Calibri" w:hAnsi="Calibri" w:cs="Calibri"/>
          <w:b/>
          <w:bCs/>
          <w:color w:val="000000"/>
          <w:sz w:val="28"/>
          <w:szCs w:val="28"/>
          <w:u w:color="000000"/>
          <w:bdr w:val="nil"/>
          <w:lang w:val="fr-FR" w:eastAsia="en-AU"/>
        </w:rPr>
        <w:t>iscussion Paper</w:t>
      </w:r>
    </w:p>
    <w:p w14:paraId="3058967A"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191A627"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The Australian Catholic Bishops Conference (ACBC) is a permanent institution of the Catholic Church in Australia and the instrumentality used by the Australian Catholic Bishops to act nationally and address issues of national significance.</w:t>
      </w:r>
    </w:p>
    <w:p w14:paraId="5BA00C38"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601A952"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The Catholic Church contributes in a wide variety of ways across the spectrum of Australian society. As an integral part of its core mission, the Church seeks to assist people experience the fullness of life. It </w:t>
      </w:r>
      <w:r w:rsidRPr="005343ED">
        <w:rPr>
          <w:rFonts w:ascii="Calibri" w:eastAsia="Calibri" w:hAnsi="Calibri" w:cs="Calibri"/>
          <w:noProof/>
          <w:color w:val="000000"/>
          <w:bdr w:val="nil"/>
          <w:lang w:eastAsia="en-AU"/>
        </w:rPr>
        <w:t>is concerned</w:t>
      </w:r>
      <w:r w:rsidRPr="000D7DFA">
        <w:rPr>
          <w:rFonts w:ascii="Calibri" w:eastAsia="Calibri" w:hAnsi="Calibri" w:cs="Calibri"/>
          <w:color w:val="000000"/>
          <w:u w:color="000000"/>
          <w:bdr w:val="nil"/>
          <w:lang w:eastAsia="en-AU"/>
        </w:rPr>
        <w:t xml:space="preserve"> with all that impacts on human wellbeing. It comprises many thousands of different entities </w:t>
      </w:r>
      <w:r w:rsidRPr="005343ED">
        <w:rPr>
          <w:rFonts w:ascii="Calibri" w:eastAsia="Calibri" w:hAnsi="Calibri" w:cs="Calibri"/>
          <w:noProof/>
          <w:color w:val="000000"/>
          <w:bdr w:val="nil"/>
          <w:lang w:eastAsia="en-AU"/>
        </w:rPr>
        <w:t>which</w:t>
      </w:r>
      <w:r w:rsidRPr="000D7DFA">
        <w:rPr>
          <w:rFonts w:ascii="Calibri" w:eastAsia="Calibri" w:hAnsi="Calibri" w:cs="Calibri"/>
          <w:color w:val="000000"/>
          <w:u w:color="000000"/>
          <w:bdr w:val="nil"/>
          <w:lang w:eastAsia="en-AU"/>
        </w:rPr>
        <w:t xml:space="preserve"> have different purposes and modes of governance.</w:t>
      </w:r>
    </w:p>
    <w:p w14:paraId="28C974A0"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38BDCB0" w14:textId="77777777" w:rsidR="005343ED" w:rsidRPr="006079B9" w:rsidRDefault="000D7DFA" w:rsidP="005343ED">
      <w:pPr>
        <w:pBdr>
          <w:top w:val="nil"/>
          <w:left w:val="nil"/>
          <w:bottom w:val="nil"/>
          <w:right w:val="nil"/>
          <w:between w:val="nil"/>
          <w:bar w:val="nil"/>
        </w:pBdr>
        <w:outlineLvl w:val="0"/>
        <w:rPr>
          <w:rFonts w:ascii="Calibri" w:eastAsia="Calibri" w:hAnsi="Calibri" w:cs="Calibri"/>
          <w:color w:val="000000"/>
          <w:u w:color="000000"/>
          <w:bdr w:val="nil"/>
          <w:lang w:eastAsia="en-AU"/>
        </w:rPr>
      </w:pPr>
      <w:r w:rsidRPr="000D7DFA">
        <w:rPr>
          <w:rFonts w:ascii="Calibri" w:eastAsia="Calibri" w:hAnsi="Calibri" w:cs="Calibri"/>
          <w:color w:val="000000"/>
          <w:u w:color="000000"/>
          <w:bdr w:val="nil"/>
          <w:lang w:eastAsia="en-AU"/>
        </w:rPr>
        <w:t xml:space="preserve">The </w:t>
      </w:r>
      <w:r w:rsidR="00464BF9">
        <w:rPr>
          <w:rFonts w:ascii="Calibri" w:eastAsia="Calibri" w:hAnsi="Calibri" w:cs="Calibri"/>
          <w:color w:val="000000"/>
          <w:u w:color="000000"/>
          <w:bdr w:val="nil"/>
          <w:lang w:eastAsia="en-AU"/>
        </w:rPr>
        <w:t>ACBC</w:t>
      </w:r>
      <w:r w:rsidRPr="000D7DFA">
        <w:rPr>
          <w:rFonts w:ascii="Calibri" w:eastAsia="Calibri" w:hAnsi="Calibri" w:cs="Calibri"/>
          <w:color w:val="000000"/>
          <w:u w:color="000000"/>
          <w:bdr w:val="nil"/>
          <w:lang w:eastAsia="en-AU"/>
        </w:rPr>
        <w:t xml:space="preserve"> has a number of comments</w:t>
      </w:r>
      <w:r w:rsidRPr="000D7DFA">
        <w:rPr>
          <w:rFonts w:ascii="Calibri" w:eastAsia="Calibri" w:hAnsi="Calibri" w:cs="Calibri"/>
          <w:color w:val="000000"/>
          <w:u w:color="000000"/>
          <w:bdr w:val="nil"/>
          <w:lang w:val="en-AU" w:eastAsia="en-AU"/>
        </w:rPr>
        <w:t xml:space="preserve"> on </w:t>
      </w:r>
      <w:r w:rsidRPr="000D7DFA">
        <w:rPr>
          <w:rFonts w:ascii="Calibri" w:eastAsia="Calibri" w:hAnsi="Calibri" w:cs="Calibri"/>
          <w:color w:val="000000"/>
          <w:u w:color="000000"/>
          <w:bdr w:val="nil"/>
          <w:lang w:eastAsia="en-AU"/>
        </w:rPr>
        <w:t>the Tax Discussion Paper.</w:t>
      </w:r>
      <w:r w:rsidR="005343ED">
        <w:rPr>
          <w:rFonts w:ascii="Calibri" w:eastAsia="Calibri" w:hAnsi="Calibri" w:cs="Calibri"/>
          <w:color w:val="000000"/>
          <w:u w:color="000000"/>
          <w:bdr w:val="nil"/>
          <w:lang w:eastAsia="en-AU"/>
        </w:rPr>
        <w:t xml:space="preserve"> </w:t>
      </w:r>
      <w:r w:rsidR="005343ED" w:rsidRPr="006079B9">
        <w:rPr>
          <w:rFonts w:ascii="Calibri" w:eastAsia="Calibri" w:hAnsi="Calibri" w:cs="Calibri"/>
          <w:color w:val="000000"/>
          <w:u w:color="000000"/>
          <w:bdr w:val="nil"/>
          <w:lang w:eastAsia="en-AU"/>
        </w:rPr>
        <w:t>In summary:</w:t>
      </w:r>
    </w:p>
    <w:p w14:paraId="379E3F7A"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eastAsia="en-AU"/>
        </w:rPr>
      </w:pPr>
    </w:p>
    <w:p w14:paraId="4CF6089B" w14:textId="77777777" w:rsidR="00A23EF0" w:rsidRDefault="00A23EF0" w:rsidP="005343ED">
      <w:pPr>
        <w:pStyle w:val="ListParagraph"/>
        <w:numPr>
          <w:ilvl w:val="0"/>
          <w:numId w:val="9"/>
        </w:numPr>
        <w:pBdr>
          <w:top w:val="nil"/>
          <w:left w:val="nil"/>
          <w:bottom w:val="nil"/>
          <w:right w:val="nil"/>
          <w:between w:val="nil"/>
          <w:bar w:val="nil"/>
        </w:pBdr>
        <w:outlineLvl w:val="0"/>
        <w:rPr>
          <w:rFonts w:eastAsia="Calibri" w:cs="Calibri"/>
          <w:color w:val="000000"/>
          <w:u w:color="000000"/>
          <w:bdr w:val="nil"/>
          <w:lang w:eastAsia="en-AU"/>
        </w:rPr>
      </w:pPr>
      <w:r>
        <w:rPr>
          <w:rFonts w:eastAsia="Calibri" w:cs="Calibri"/>
          <w:color w:val="000000"/>
          <w:u w:color="000000"/>
          <w:bdr w:val="nil"/>
          <w:lang w:eastAsia="en-AU"/>
        </w:rPr>
        <w:t xml:space="preserve">The Church proposes tax policy should </w:t>
      </w:r>
      <w:r w:rsidRPr="00F5530A">
        <w:rPr>
          <w:rFonts w:eastAsia="Calibri" w:cs="Calibri"/>
          <w:noProof/>
          <w:color w:val="000000"/>
          <w:bdr w:val="nil"/>
          <w:lang w:eastAsia="en-AU"/>
        </w:rPr>
        <w:t>be evaluated</w:t>
      </w:r>
      <w:r>
        <w:rPr>
          <w:rFonts w:eastAsia="Calibri" w:cs="Calibri"/>
          <w:color w:val="000000"/>
          <w:u w:color="000000"/>
          <w:bdr w:val="nil"/>
          <w:lang w:eastAsia="en-AU"/>
        </w:rPr>
        <w:t xml:space="preserve"> through the principles of the </w:t>
      </w:r>
      <w:r w:rsidRPr="000D7DFA">
        <w:rPr>
          <w:rFonts w:eastAsia="Calibri" w:cs="Calibri"/>
          <w:color w:val="000000"/>
          <w:u w:color="000000"/>
          <w:bdr w:val="nil"/>
          <w:lang w:eastAsia="en-AU"/>
        </w:rPr>
        <w:t>common good, distributive justice and the preferential option for the poor</w:t>
      </w:r>
      <w:r>
        <w:rPr>
          <w:rFonts w:eastAsia="Calibri" w:cs="Calibri"/>
          <w:color w:val="000000"/>
          <w:u w:color="000000"/>
          <w:bdr w:val="nil"/>
          <w:lang w:eastAsia="en-AU"/>
        </w:rPr>
        <w:t>. These concepts</w:t>
      </w:r>
      <w:r w:rsidRPr="000D7DFA">
        <w:rPr>
          <w:rFonts w:eastAsia="Calibri" w:cs="Calibri"/>
          <w:color w:val="000000"/>
          <w:u w:color="000000"/>
          <w:bdr w:val="nil"/>
          <w:lang w:eastAsia="en-AU"/>
        </w:rPr>
        <w:t xml:space="preserve"> follow a long tradition of thought in the </w:t>
      </w:r>
      <w:r>
        <w:rPr>
          <w:rFonts w:eastAsia="Calibri" w:cs="Calibri"/>
          <w:color w:val="000000"/>
          <w:u w:color="000000"/>
          <w:bdr w:val="nil"/>
          <w:lang w:eastAsia="en-AU"/>
        </w:rPr>
        <w:t xml:space="preserve">Catholic </w:t>
      </w:r>
      <w:r w:rsidRPr="000D7DFA">
        <w:rPr>
          <w:rFonts w:eastAsia="Calibri" w:cs="Calibri"/>
          <w:color w:val="000000"/>
          <w:u w:color="000000"/>
          <w:bdr w:val="nil"/>
          <w:lang w:eastAsia="en-AU"/>
        </w:rPr>
        <w:t>Church that puts the human person at the centre of the economy</w:t>
      </w:r>
      <w:r>
        <w:rPr>
          <w:rFonts w:eastAsia="Calibri" w:cs="Calibri"/>
          <w:color w:val="000000"/>
          <w:u w:color="000000"/>
          <w:bdr w:val="nil"/>
          <w:lang w:eastAsia="en-AU"/>
        </w:rPr>
        <w:t>.</w:t>
      </w:r>
    </w:p>
    <w:p w14:paraId="15B5019F" w14:textId="77777777" w:rsidR="00A23EF0" w:rsidRDefault="00A23EF0" w:rsidP="005343ED">
      <w:pPr>
        <w:pStyle w:val="ListParagraph"/>
        <w:numPr>
          <w:ilvl w:val="0"/>
          <w:numId w:val="9"/>
        </w:numPr>
        <w:pBdr>
          <w:top w:val="nil"/>
          <w:left w:val="nil"/>
          <w:bottom w:val="nil"/>
          <w:right w:val="nil"/>
          <w:between w:val="nil"/>
          <w:bar w:val="nil"/>
        </w:pBdr>
        <w:outlineLvl w:val="0"/>
        <w:rPr>
          <w:rFonts w:eastAsia="Calibri" w:cs="Calibri"/>
          <w:color w:val="000000"/>
          <w:u w:color="000000"/>
          <w:bdr w:val="nil"/>
          <w:lang w:eastAsia="en-AU"/>
        </w:rPr>
      </w:pPr>
      <w:r>
        <w:rPr>
          <w:rFonts w:eastAsia="Calibri" w:cs="Calibri"/>
          <w:color w:val="000000"/>
          <w:u w:color="000000"/>
          <w:bdr w:val="nil"/>
          <w:lang w:eastAsia="en-AU"/>
        </w:rPr>
        <w:t>Government focus on workplace participation can neglect the common good by not valuing work that is outside the paid workforce, like parents choosing to stay at home to look after their children. Families are vital to the community and should be supported through the tax system, whether they decide to have two parents in the paid workforce or one.</w:t>
      </w:r>
    </w:p>
    <w:p w14:paraId="5C0BE609" w14:textId="77777777" w:rsidR="005343ED" w:rsidRPr="006079B9" w:rsidRDefault="005343ED" w:rsidP="005343ED">
      <w:pPr>
        <w:pStyle w:val="ListParagraph"/>
        <w:numPr>
          <w:ilvl w:val="0"/>
          <w:numId w:val="9"/>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 xml:space="preserve">The Church is a part of the </w:t>
      </w:r>
      <w:r w:rsidR="00FA6860">
        <w:rPr>
          <w:rFonts w:eastAsia="Calibri" w:cs="Calibri"/>
          <w:color w:val="000000"/>
          <w:u w:color="000000"/>
          <w:bdr w:val="nil"/>
          <w:lang w:eastAsia="en-AU"/>
        </w:rPr>
        <w:t>not-for-profit (</w:t>
      </w:r>
      <w:r w:rsidRPr="006079B9">
        <w:rPr>
          <w:rFonts w:eastAsia="Calibri" w:cs="Calibri"/>
          <w:color w:val="000000"/>
          <w:u w:color="000000"/>
          <w:bdr w:val="nil"/>
          <w:lang w:eastAsia="en-AU"/>
        </w:rPr>
        <w:t>NFP</w:t>
      </w:r>
      <w:r w:rsidR="00FA6860">
        <w:rPr>
          <w:rFonts w:eastAsia="Calibri" w:cs="Calibri"/>
          <w:color w:val="000000"/>
          <w:u w:color="000000"/>
          <w:bdr w:val="nil"/>
          <w:lang w:eastAsia="en-AU"/>
        </w:rPr>
        <w:t>)</w:t>
      </w:r>
      <w:r w:rsidRPr="006079B9">
        <w:rPr>
          <w:rFonts w:eastAsia="Calibri" w:cs="Calibri"/>
          <w:color w:val="000000"/>
          <w:u w:color="000000"/>
          <w:bdr w:val="nil"/>
          <w:lang w:eastAsia="en-AU"/>
        </w:rPr>
        <w:t xml:space="preserve"> sector as it comprises entities which are charitable at law, th</w:t>
      </w:r>
      <w:r w:rsidR="00700602">
        <w:rPr>
          <w:rFonts w:eastAsia="Calibri" w:cs="Calibri"/>
          <w:color w:val="000000"/>
          <w:u w:color="000000"/>
          <w:bdr w:val="nil"/>
          <w:lang w:eastAsia="en-AU"/>
        </w:rPr>
        <w:t>r</w:t>
      </w:r>
      <w:r w:rsidRPr="006079B9">
        <w:rPr>
          <w:rFonts w:eastAsia="Calibri" w:cs="Calibri"/>
          <w:color w:val="000000"/>
          <w:u w:color="000000"/>
          <w:bdr w:val="nil"/>
          <w:lang w:eastAsia="en-AU"/>
        </w:rPr>
        <w:t xml:space="preserve">ough </w:t>
      </w:r>
      <w:r w:rsidRPr="006079B9">
        <w:t xml:space="preserve">advancing religion, education, health and aged care and welfare, which are activities undertaken for the public benefit. </w:t>
      </w:r>
    </w:p>
    <w:p w14:paraId="4F84C6BA" w14:textId="77777777" w:rsidR="005343ED" w:rsidRPr="006079B9" w:rsidRDefault="005343ED" w:rsidP="005343ED">
      <w:pPr>
        <w:pStyle w:val="ListParagraph"/>
        <w:numPr>
          <w:ilvl w:val="0"/>
          <w:numId w:val="9"/>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 xml:space="preserve">Although the focus of the Discussion Paper is taxation, an understanding and analysis of the NFP sector will be flawed if it is limited to tax in isolation of other considerations. Viewing the NFP sector in terms of “revenue foregone” overlooks the contribution made by the NFP sector in contributing to the common good. It also fails to balance the savings to </w:t>
      </w:r>
      <w:r w:rsidRPr="006079B9">
        <w:rPr>
          <w:rFonts w:eastAsia="Calibri" w:cs="Calibri"/>
          <w:color w:val="000000"/>
          <w:u w:color="000000"/>
          <w:bdr w:val="nil"/>
          <w:lang w:eastAsia="en-AU"/>
        </w:rPr>
        <w:lastRenderedPageBreak/>
        <w:t xml:space="preserve">Government through reduced outlays on those services provided more efficiently and effectively by the NFP sector. </w:t>
      </w:r>
    </w:p>
    <w:p w14:paraId="33C8B725" w14:textId="77777777" w:rsidR="005343ED" w:rsidRPr="00C52DA4" w:rsidRDefault="005343ED" w:rsidP="005343ED">
      <w:pPr>
        <w:pStyle w:val="ListParagraph"/>
        <w:numPr>
          <w:ilvl w:val="0"/>
          <w:numId w:val="9"/>
        </w:numPr>
        <w:pBdr>
          <w:top w:val="nil"/>
          <w:left w:val="nil"/>
          <w:bottom w:val="nil"/>
          <w:right w:val="nil"/>
          <w:between w:val="nil"/>
          <w:bar w:val="nil"/>
        </w:pBdr>
        <w:outlineLvl w:val="0"/>
        <w:rPr>
          <w:rFonts w:eastAsia="Calibri" w:cs="Calibri"/>
          <w:u w:color="000000"/>
          <w:bdr w:val="nil"/>
          <w:lang w:eastAsia="en-AU"/>
        </w:rPr>
      </w:pPr>
      <w:r w:rsidRPr="006079B9">
        <w:rPr>
          <w:rFonts w:eastAsia="Calibri" w:cs="Calibri"/>
          <w:color w:val="000000"/>
          <w:u w:color="000000"/>
          <w:bdr w:val="nil"/>
          <w:lang w:eastAsia="en-AU"/>
        </w:rPr>
        <w:t xml:space="preserve">There have been detailed reviews of the NFP sector, including taxation aspects, in recent years, including the independent </w:t>
      </w:r>
      <w:r w:rsidRPr="00C52DA4">
        <w:rPr>
          <w:rFonts w:eastAsia="Calibri" w:cs="Calibri"/>
          <w:u w:color="000000"/>
          <w:bdr w:val="nil"/>
          <w:lang w:eastAsia="en-AU"/>
        </w:rPr>
        <w:t>N</w:t>
      </w:r>
      <w:r w:rsidRPr="00C52DA4">
        <w:rPr>
          <w:rFonts w:cs="HelveticaNeue-Thin-SC700"/>
          <w:lang w:eastAsia="en-AU"/>
        </w:rPr>
        <w:t>ot-for-profit Sector Tax Concession Working Group’s 2013 report</w:t>
      </w:r>
      <w:r w:rsidRPr="00C52DA4">
        <w:rPr>
          <w:rStyle w:val="FootnoteReference"/>
          <w:rFonts w:eastAsia="HelveticaNeue-Thin" w:cs="HelveticaNeue-Thin"/>
          <w:lang w:eastAsia="en-AU"/>
        </w:rPr>
        <w:footnoteReference w:id="1"/>
      </w:r>
      <w:r w:rsidRPr="00C52DA4">
        <w:rPr>
          <w:rFonts w:cs="HelveticaNeue-Thin-SC700"/>
          <w:lang w:eastAsia="en-AU"/>
        </w:rPr>
        <w:t xml:space="preserve"> and the Productivity Commission’s 2010 Report.</w:t>
      </w:r>
      <w:r w:rsidRPr="00C52DA4">
        <w:rPr>
          <w:rStyle w:val="FootnoteReference"/>
          <w:rFonts w:cs="HelveticaNeue-Thin-SC700"/>
          <w:lang w:eastAsia="en-AU"/>
        </w:rPr>
        <w:footnoteReference w:id="2"/>
      </w:r>
      <w:r w:rsidRPr="00C52DA4">
        <w:rPr>
          <w:rFonts w:cs="HelveticaNeue-Thin-SC700"/>
          <w:lang w:eastAsia="en-AU"/>
        </w:rPr>
        <w:t xml:space="preserve"> The conclusions and recommendations in those reports should be referred to understand the rationale for tax concessions to the NFP sector and the reasons why the existing concessions are appropriate for charities like the Church.</w:t>
      </w:r>
    </w:p>
    <w:p w14:paraId="3626DDA9" w14:textId="77777777" w:rsidR="005343ED" w:rsidRPr="00C52DA4" w:rsidRDefault="005343ED" w:rsidP="005343ED">
      <w:pPr>
        <w:pStyle w:val="ListParagraph"/>
        <w:numPr>
          <w:ilvl w:val="0"/>
          <w:numId w:val="9"/>
        </w:numPr>
        <w:pBdr>
          <w:top w:val="nil"/>
          <w:left w:val="nil"/>
          <w:bottom w:val="nil"/>
          <w:right w:val="nil"/>
          <w:between w:val="nil"/>
          <w:bar w:val="nil"/>
        </w:pBdr>
        <w:outlineLvl w:val="0"/>
        <w:rPr>
          <w:rFonts w:eastAsia="Calibri" w:cs="Calibri"/>
          <w:u w:color="000000"/>
          <w:bdr w:val="nil"/>
          <w:lang w:eastAsia="en-AU"/>
        </w:rPr>
      </w:pPr>
      <w:r w:rsidRPr="00C52DA4">
        <w:rPr>
          <w:rFonts w:cs="HelveticaNeue-Thin-SC700"/>
          <w:lang w:eastAsia="en-AU"/>
        </w:rPr>
        <w:t>The Church has consistently advocated certain key principles in reform consultation as follows:</w:t>
      </w:r>
    </w:p>
    <w:p w14:paraId="0C12605C" w14:textId="77777777" w:rsidR="005343ED" w:rsidRPr="006079B9" w:rsidRDefault="005343ED" w:rsidP="005343ED">
      <w:pPr>
        <w:pStyle w:val="ListParagraph"/>
        <w:numPr>
          <w:ilvl w:val="0"/>
          <w:numId w:val="10"/>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 xml:space="preserve">The advancement of religion is a </w:t>
      </w:r>
      <w:r w:rsidR="00A23EF0" w:rsidRPr="006079B9">
        <w:rPr>
          <w:rFonts w:eastAsia="Calibri" w:cs="Calibri"/>
          <w:color w:val="000000"/>
          <w:u w:color="000000"/>
          <w:bdr w:val="nil"/>
          <w:lang w:eastAsia="en-AU"/>
        </w:rPr>
        <w:t>well-established</w:t>
      </w:r>
      <w:r w:rsidRPr="006079B9">
        <w:rPr>
          <w:rFonts w:eastAsia="Calibri" w:cs="Calibri"/>
          <w:color w:val="000000"/>
          <w:u w:color="000000"/>
          <w:bdr w:val="nil"/>
          <w:lang w:eastAsia="en-AU"/>
        </w:rPr>
        <w:t xml:space="preserve"> and long recognised category of charitable purpose which should continue to be recognised in the law, including the presumption of public benefit.</w:t>
      </w:r>
    </w:p>
    <w:p w14:paraId="3807533C" w14:textId="77777777" w:rsidR="005343ED" w:rsidRPr="006079B9" w:rsidRDefault="005343ED" w:rsidP="005343ED">
      <w:pPr>
        <w:pStyle w:val="ListParagraph"/>
        <w:numPr>
          <w:ilvl w:val="0"/>
          <w:numId w:val="10"/>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Income tax exemptions, GST concessions and DGR categories currently are appropriately set to support the Church and other charitable entities to contribute to the common good.</w:t>
      </w:r>
    </w:p>
    <w:p w14:paraId="0C10E5EA" w14:textId="77777777" w:rsidR="005343ED" w:rsidRPr="006079B9" w:rsidRDefault="005343ED" w:rsidP="005343ED">
      <w:pPr>
        <w:pStyle w:val="ListParagraph"/>
        <w:numPr>
          <w:ilvl w:val="0"/>
          <w:numId w:val="10"/>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In general, fringe benefits tax concessions are appropriate and justified to support the sector. Particular concerns about abuse can be addressed in targeted reform, such as the Government’s recent Budget announcement about the cap on meal entertainment.</w:t>
      </w:r>
    </w:p>
    <w:p w14:paraId="7F50EF90" w14:textId="77777777" w:rsidR="005343ED" w:rsidRPr="006079B9" w:rsidRDefault="005343ED" w:rsidP="005343ED">
      <w:pPr>
        <w:pStyle w:val="ListParagraph"/>
        <w:numPr>
          <w:ilvl w:val="0"/>
          <w:numId w:val="10"/>
        </w:numPr>
        <w:pBdr>
          <w:top w:val="nil"/>
          <w:left w:val="nil"/>
          <w:bottom w:val="nil"/>
          <w:right w:val="nil"/>
          <w:between w:val="nil"/>
          <w:bar w:val="nil"/>
        </w:pBdr>
        <w:outlineLvl w:val="0"/>
        <w:rPr>
          <w:rFonts w:eastAsia="Calibri" w:cs="Calibri"/>
          <w:color w:val="000000"/>
          <w:u w:color="000000"/>
          <w:bdr w:val="nil"/>
          <w:lang w:eastAsia="en-AU"/>
        </w:rPr>
      </w:pPr>
      <w:r w:rsidRPr="006079B9">
        <w:rPr>
          <w:rFonts w:eastAsia="Calibri" w:cs="Calibri"/>
          <w:color w:val="000000"/>
          <w:u w:color="000000"/>
          <w:bdr w:val="nil"/>
          <w:lang w:eastAsia="en-AU"/>
        </w:rPr>
        <w:t>Instead of unhelpful and irrelevant arguments about “revenue foregone” and justifications for exemptions and concessions for charities such as the Church, the more important issue is the reduction of red tape to make it easier for charities to pursue their objectives for the public benefit. The costs of compliance for charities is growing and compromising the capacity of charities to achieve their full potential in contributing to society and relieving the burden from Government.</w:t>
      </w:r>
    </w:p>
    <w:p w14:paraId="5F0351EF"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D6B29F3"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33506E0"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b/>
          <w:iCs/>
          <w:color w:val="000000"/>
          <w:u w:color="000000"/>
          <w:bdr w:val="nil"/>
          <w:lang w:val="en-AU" w:eastAsia="en-AU"/>
        </w:rPr>
      </w:pPr>
      <w:r w:rsidRPr="000D7DFA">
        <w:rPr>
          <w:rFonts w:ascii="Calibri" w:eastAsia="Calibri" w:hAnsi="Calibri" w:cs="Calibri"/>
          <w:b/>
          <w:iCs/>
          <w:color w:val="000000"/>
          <w:u w:color="000000"/>
          <w:bdr w:val="nil"/>
          <w:lang w:val="fr-FR" w:eastAsia="en-AU"/>
        </w:rPr>
        <w:t xml:space="preserve">General </w:t>
      </w:r>
      <w:proofErr w:type="spellStart"/>
      <w:r w:rsidRPr="000D7DFA">
        <w:rPr>
          <w:rFonts w:ascii="Calibri" w:eastAsia="Calibri" w:hAnsi="Calibri" w:cs="Calibri"/>
          <w:b/>
          <w:iCs/>
          <w:color w:val="000000"/>
          <w:u w:color="000000"/>
          <w:bdr w:val="nil"/>
          <w:lang w:val="fr-FR" w:eastAsia="en-AU"/>
        </w:rPr>
        <w:t>comments</w:t>
      </w:r>
      <w:proofErr w:type="spellEnd"/>
    </w:p>
    <w:p w14:paraId="145590AD"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19BF366"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The </w:t>
      </w:r>
      <w:r w:rsidR="00464BF9">
        <w:rPr>
          <w:rFonts w:ascii="Calibri" w:eastAsia="Calibri" w:hAnsi="Calibri" w:cs="Calibri"/>
          <w:color w:val="000000"/>
          <w:u w:color="000000"/>
          <w:bdr w:val="nil"/>
          <w:lang w:eastAsia="en-AU"/>
        </w:rPr>
        <w:t>ACBC</w:t>
      </w:r>
      <w:r w:rsidRPr="000D7DFA">
        <w:rPr>
          <w:rFonts w:ascii="Calibri" w:eastAsia="Calibri" w:hAnsi="Calibri" w:cs="Calibri"/>
          <w:color w:val="000000"/>
          <w:u w:color="000000"/>
          <w:bdr w:val="nil"/>
          <w:lang w:eastAsia="en-AU"/>
        </w:rPr>
        <w:t xml:space="preserve"> acknowledges the many challenges facing the government in determining the right taxation regime for Australia.</w:t>
      </w:r>
    </w:p>
    <w:p w14:paraId="46D54C86"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FE57A8E"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Deciding what is right is a moral issue. It means selecting the relevant values and the appropriate technical solution to achieve those </w:t>
      </w:r>
      <w:r w:rsidRPr="005343ED">
        <w:rPr>
          <w:rFonts w:ascii="Calibri" w:eastAsia="Calibri" w:hAnsi="Calibri" w:cs="Calibri"/>
          <w:noProof/>
          <w:color w:val="000000"/>
          <w:bdr w:val="nil"/>
          <w:lang w:eastAsia="en-AU"/>
        </w:rPr>
        <w:t>values</w:t>
      </w:r>
      <w:r w:rsidRPr="000D7DFA">
        <w:rPr>
          <w:rFonts w:ascii="Calibri" w:eastAsia="Calibri" w:hAnsi="Calibri" w:cs="Calibri"/>
          <w:color w:val="000000"/>
          <w:u w:color="000000"/>
          <w:bdr w:val="nil"/>
          <w:lang w:eastAsia="en-AU"/>
        </w:rPr>
        <w:t xml:space="preserve">. Catholic social teaching does not specify technical </w:t>
      </w:r>
      <w:r w:rsidRPr="005343ED">
        <w:rPr>
          <w:rFonts w:ascii="Calibri" w:eastAsia="Calibri" w:hAnsi="Calibri" w:cs="Calibri"/>
          <w:noProof/>
          <w:color w:val="000000"/>
          <w:bdr w:val="nil"/>
          <w:lang w:eastAsia="en-AU"/>
        </w:rPr>
        <w:t>solutions</w:t>
      </w:r>
      <w:r w:rsidRPr="000D7DFA">
        <w:rPr>
          <w:rFonts w:ascii="Calibri" w:eastAsia="Calibri" w:hAnsi="Calibri" w:cs="Calibri"/>
          <w:color w:val="000000"/>
          <w:u w:color="000000"/>
          <w:bdr w:val="nil"/>
          <w:lang w:eastAsia="en-AU"/>
        </w:rPr>
        <w:t xml:space="preserve"> but it does have a lot to say about values.</w:t>
      </w:r>
    </w:p>
    <w:p w14:paraId="219B9D89"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9F765A9"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 xml:space="preserve">The Church proposes a number of principles to help </w:t>
      </w:r>
      <w:r w:rsidRPr="000D7DFA">
        <w:rPr>
          <w:rFonts w:ascii="Calibri" w:eastAsia="Calibri" w:hAnsi="Calibri" w:cs="Calibri"/>
          <w:color w:val="000000"/>
          <w:u w:color="000000"/>
          <w:bdr w:val="nil"/>
          <w:lang w:eastAsia="en-AU"/>
        </w:rPr>
        <w:t xml:space="preserve">evaluate new tax proposals: the </w:t>
      </w:r>
      <w:r w:rsidRPr="00AA1FF5">
        <w:rPr>
          <w:rFonts w:ascii="Calibri" w:eastAsia="Calibri" w:hAnsi="Calibri" w:cs="Calibri"/>
          <w:noProof/>
          <w:color w:val="000000"/>
          <w:bdr w:val="nil"/>
          <w:lang w:eastAsia="en-AU"/>
        </w:rPr>
        <w:t>common</w:t>
      </w:r>
      <w:r w:rsidRPr="000D7DFA">
        <w:rPr>
          <w:rFonts w:ascii="Calibri" w:eastAsia="Calibri" w:hAnsi="Calibri" w:cs="Calibri"/>
          <w:color w:val="000000"/>
          <w:u w:color="000000"/>
          <w:bdr w:val="nil"/>
          <w:lang w:eastAsia="en-AU"/>
        </w:rPr>
        <w:t xml:space="preserve"> good, distributive justice and the preferential option for the poor.</w:t>
      </w:r>
    </w:p>
    <w:p w14:paraId="5303FCE1"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B092093"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Catholic</w:t>
      </w:r>
      <w:r w:rsidR="00464BF9">
        <w:rPr>
          <w:rFonts w:ascii="Calibri" w:eastAsia="Calibri" w:hAnsi="Calibri" w:cs="Calibri"/>
          <w:color w:val="000000"/>
          <w:u w:color="000000"/>
          <w:bdr w:val="nil"/>
          <w:lang w:eastAsia="en-AU"/>
        </w:rPr>
        <w:t xml:space="preserve"> social teaching</w:t>
      </w:r>
      <w:r w:rsidRPr="000D7DFA">
        <w:rPr>
          <w:rFonts w:ascii="Calibri" w:eastAsia="Calibri" w:hAnsi="Calibri" w:cs="Calibri"/>
          <w:color w:val="000000"/>
          <w:u w:color="000000"/>
          <w:bdr w:val="nil"/>
          <w:lang w:eastAsia="en-AU"/>
        </w:rPr>
        <w:t xml:space="preserve"> holds that the common good </w:t>
      </w:r>
      <w:r w:rsidRPr="005343ED">
        <w:rPr>
          <w:rFonts w:ascii="Calibri" w:eastAsia="Calibri" w:hAnsi="Calibri" w:cs="Calibri"/>
          <w:noProof/>
          <w:color w:val="000000"/>
          <w:bdr w:val="nil"/>
          <w:lang w:eastAsia="en-AU"/>
        </w:rPr>
        <w:t>is underpinned</w:t>
      </w:r>
      <w:r w:rsidRPr="000D7DFA">
        <w:rPr>
          <w:rFonts w:ascii="Calibri" w:eastAsia="Calibri" w:hAnsi="Calibri" w:cs="Calibri"/>
          <w:color w:val="000000"/>
          <w:u w:color="000000"/>
          <w:bdr w:val="nil"/>
          <w:lang w:eastAsia="en-AU"/>
        </w:rPr>
        <w:t xml:space="preserve"> by the promotion and protection of human dignity. What do </w:t>
      </w:r>
      <w:r w:rsidR="00464BF9">
        <w:rPr>
          <w:rFonts w:ascii="Calibri" w:eastAsia="Calibri" w:hAnsi="Calibri" w:cs="Calibri"/>
          <w:color w:val="000000"/>
          <w:u w:color="000000"/>
          <w:bdr w:val="nil"/>
          <w:lang w:eastAsia="en-AU"/>
        </w:rPr>
        <w:t>people</w:t>
      </w:r>
      <w:r w:rsidRPr="000D7DFA">
        <w:rPr>
          <w:rFonts w:ascii="Calibri" w:eastAsia="Calibri" w:hAnsi="Calibri" w:cs="Calibri"/>
          <w:color w:val="000000"/>
          <w:u w:color="000000"/>
          <w:bdr w:val="nil"/>
          <w:lang w:eastAsia="en-AU"/>
        </w:rPr>
        <w:t xml:space="preserve"> need to lead </w:t>
      </w:r>
      <w:r w:rsidRPr="00AA1FF5">
        <w:rPr>
          <w:rFonts w:ascii="Calibri" w:eastAsia="Calibri" w:hAnsi="Calibri" w:cs="Calibri"/>
          <w:noProof/>
          <w:color w:val="000000"/>
          <w:bdr w:val="nil"/>
          <w:lang w:eastAsia="en-AU"/>
        </w:rPr>
        <w:t>a fully</w:t>
      </w:r>
      <w:r w:rsidRPr="000D7DFA">
        <w:rPr>
          <w:rFonts w:ascii="Calibri" w:eastAsia="Calibri" w:hAnsi="Calibri" w:cs="Calibri"/>
          <w:color w:val="000000"/>
          <w:u w:color="000000"/>
          <w:bdr w:val="nil"/>
          <w:lang w:eastAsia="en-AU"/>
        </w:rPr>
        <w:t xml:space="preserve"> human, dignified life? Implicit in seeking the common good is the desire to serve the poor, the </w:t>
      </w:r>
      <w:proofErr w:type="spellStart"/>
      <w:r w:rsidRPr="000D7DFA">
        <w:rPr>
          <w:rFonts w:ascii="Calibri" w:eastAsia="Calibri" w:hAnsi="Calibri" w:cs="Calibri"/>
          <w:color w:val="000000"/>
          <w:u w:color="000000"/>
          <w:bdr w:val="nil"/>
          <w:lang w:eastAsia="en-AU"/>
        </w:rPr>
        <w:t>marginalised</w:t>
      </w:r>
      <w:proofErr w:type="spellEnd"/>
      <w:r w:rsidRPr="000D7DFA">
        <w:rPr>
          <w:rFonts w:ascii="Calibri" w:eastAsia="Calibri" w:hAnsi="Calibri" w:cs="Calibri"/>
          <w:color w:val="000000"/>
          <w:u w:color="000000"/>
          <w:bdr w:val="nil"/>
          <w:lang w:eastAsia="en-AU"/>
        </w:rPr>
        <w:t>, the sick and the forgotten in our community.</w:t>
      </w:r>
    </w:p>
    <w:p w14:paraId="08338345"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B3F95B4"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lastRenderedPageBreak/>
        <w:t xml:space="preserve">The common good is </w:t>
      </w:r>
      <w:r w:rsidRPr="000D7DFA">
        <w:rPr>
          <w:rFonts w:ascii="Calibri" w:eastAsia="Calibri" w:hAnsi="Calibri" w:cs="Calibri"/>
          <w:color w:val="000000"/>
          <w:u w:color="000000"/>
          <w:bdr w:val="nil"/>
          <w:lang w:val="en-AU" w:eastAsia="en-AU"/>
        </w:rPr>
        <w:t>“</w:t>
      </w:r>
      <w:r w:rsidRPr="000D7DFA">
        <w:rPr>
          <w:rFonts w:ascii="Calibri" w:eastAsia="Calibri" w:hAnsi="Calibri" w:cs="Calibri"/>
          <w:color w:val="000000"/>
          <w:u w:color="000000"/>
          <w:bdr w:val="nil"/>
          <w:lang w:eastAsia="en-AU"/>
        </w:rPr>
        <w:t xml:space="preserve">the sum of those conditions of social life which allow social groups and their individual members relatively thorough and ready access to their </w:t>
      </w:r>
      <w:r w:rsidRPr="005343ED">
        <w:rPr>
          <w:rFonts w:ascii="Calibri" w:eastAsia="Calibri" w:hAnsi="Calibri" w:cs="Calibri"/>
          <w:noProof/>
          <w:color w:val="000000"/>
          <w:bdr w:val="nil"/>
          <w:lang w:eastAsia="en-AU"/>
        </w:rPr>
        <w:t>own</w:t>
      </w:r>
      <w:r w:rsidRPr="000D7DFA">
        <w:rPr>
          <w:rFonts w:ascii="Calibri" w:eastAsia="Calibri" w:hAnsi="Calibri" w:cs="Calibri"/>
          <w:color w:val="000000"/>
          <w:u w:color="000000"/>
          <w:bdr w:val="nil"/>
          <w:lang w:eastAsia="en-AU"/>
        </w:rPr>
        <w:t xml:space="preserve"> </w:t>
      </w:r>
      <w:r w:rsidRPr="000D7DFA">
        <w:rPr>
          <w:rFonts w:ascii="Calibri" w:eastAsia="Calibri" w:hAnsi="Calibri" w:cs="Calibri"/>
          <w:color w:val="000000"/>
          <w:u w:color="000000"/>
          <w:bdr w:val="nil"/>
          <w:lang w:val="en-AU" w:eastAsia="en-AU"/>
        </w:rPr>
        <w:t>fulfilment …</w:t>
      </w:r>
      <w:proofErr w:type="gramStart"/>
      <w:r w:rsidRPr="000D7DFA">
        <w:rPr>
          <w:rFonts w:ascii="Calibri" w:eastAsia="Calibri" w:hAnsi="Calibri" w:cs="Calibri"/>
          <w:color w:val="000000"/>
          <w:u w:color="000000"/>
          <w:bdr w:val="nil"/>
          <w:lang w:val="en-AU" w:eastAsia="en-AU"/>
        </w:rPr>
        <w:t>”</w:t>
      </w:r>
      <w:r w:rsidRPr="000D7DFA">
        <w:rPr>
          <w:rFonts w:ascii="Calibri" w:eastAsia="Calibri" w:hAnsi="Calibri" w:cs="Calibri"/>
          <w:color w:val="000000"/>
          <w:u w:color="000000"/>
          <w:bdr w:val="nil"/>
          <w:lang w:eastAsia="en-AU"/>
        </w:rPr>
        <w:t>.</w:t>
      </w:r>
      <w:proofErr w:type="gramEnd"/>
      <w:r w:rsidRPr="000D7DFA">
        <w:rPr>
          <w:rFonts w:ascii="Calibri" w:eastAsia="Calibri" w:hAnsi="Calibri" w:cs="Calibri"/>
          <w:color w:val="000000"/>
          <w:u w:color="000000"/>
          <w:bdr w:val="nil"/>
          <w:lang w:eastAsia="en-AU"/>
        </w:rPr>
        <w:t xml:space="preserve"> </w:t>
      </w:r>
      <w:r w:rsidR="00464BF9">
        <w:rPr>
          <w:rStyle w:val="FootnoteReference"/>
          <w:rFonts w:ascii="Calibri" w:eastAsia="Calibri" w:hAnsi="Calibri" w:cs="Calibri"/>
          <w:color w:val="000000"/>
          <w:u w:color="000000"/>
          <w:bdr w:val="nil"/>
          <w:lang w:eastAsia="en-AU"/>
        </w:rPr>
        <w:footnoteReference w:id="3"/>
      </w:r>
    </w:p>
    <w:p w14:paraId="115EF79B"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34DA74A"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The role of government is to promote the common good.</w:t>
      </w:r>
      <w:r w:rsidRPr="000D7DFA">
        <w:rPr>
          <w:rFonts w:ascii="Calibri" w:eastAsia="Calibri" w:hAnsi="Calibri" w:cs="Calibri"/>
          <w:color w:val="000000"/>
          <w:u w:color="000000"/>
          <w:bdr w:val="nil"/>
          <w:lang w:val="en-AU" w:eastAsia="en-AU"/>
        </w:rPr>
        <w:t xml:space="preserve"> </w:t>
      </w:r>
      <w:r w:rsidRPr="005343ED">
        <w:rPr>
          <w:rFonts w:ascii="Calibri" w:eastAsia="Calibri" w:hAnsi="Calibri" w:cs="Calibri"/>
          <w:noProof/>
          <w:color w:val="000000"/>
          <w:bdr w:val="nil"/>
          <w:lang w:eastAsia="en-AU"/>
        </w:rPr>
        <w:t>Government</w:t>
      </w:r>
      <w:r w:rsidRPr="000D7DFA">
        <w:rPr>
          <w:rFonts w:ascii="Calibri" w:eastAsia="Calibri" w:hAnsi="Calibri" w:cs="Calibri"/>
          <w:color w:val="000000"/>
          <w:u w:color="000000"/>
          <w:bdr w:val="nil"/>
          <w:lang w:eastAsia="en-AU"/>
        </w:rPr>
        <w:t xml:space="preserve"> </w:t>
      </w:r>
      <w:r w:rsidRPr="000D7DFA">
        <w:rPr>
          <w:rFonts w:ascii="Calibri" w:eastAsia="Calibri" w:hAnsi="Calibri" w:cs="Calibri"/>
          <w:color w:val="000000"/>
          <w:u w:color="000000"/>
          <w:bdr w:val="nil"/>
          <w:lang w:val="en-AU" w:eastAsia="en-AU"/>
        </w:rPr>
        <w:t xml:space="preserve">has </w:t>
      </w:r>
      <w:r w:rsidRPr="00AA1FF5">
        <w:rPr>
          <w:rFonts w:ascii="Calibri" w:eastAsia="Calibri" w:hAnsi="Calibri" w:cs="Calibri"/>
          <w:noProof/>
          <w:color w:val="000000"/>
          <w:bdr w:val="nil"/>
          <w:lang w:val="en-AU" w:eastAsia="en-AU"/>
        </w:rPr>
        <w:t xml:space="preserve">a </w:t>
      </w:r>
      <w:r w:rsidRPr="005343ED">
        <w:rPr>
          <w:rFonts w:ascii="Calibri" w:eastAsia="Calibri" w:hAnsi="Calibri" w:cs="Calibri"/>
          <w:noProof/>
          <w:color w:val="000000"/>
          <w:bdr w:val="nil"/>
          <w:lang w:val="en-AU" w:eastAsia="en-AU"/>
        </w:rPr>
        <w:t>special</w:t>
      </w:r>
      <w:r w:rsidRPr="000D7DFA">
        <w:rPr>
          <w:rFonts w:ascii="Calibri" w:eastAsia="Calibri" w:hAnsi="Calibri" w:cs="Calibri"/>
          <w:color w:val="000000"/>
          <w:u w:color="000000"/>
          <w:bdr w:val="nil"/>
          <w:lang w:val="en-AU" w:eastAsia="en-AU"/>
        </w:rPr>
        <w:t xml:space="preserve"> responsibility in this area because it </w:t>
      </w:r>
      <w:r w:rsidRPr="000D7DFA">
        <w:rPr>
          <w:rFonts w:ascii="Calibri" w:eastAsia="Calibri" w:hAnsi="Calibri" w:cs="Calibri"/>
          <w:color w:val="000000"/>
          <w:u w:color="000000"/>
          <w:bdr w:val="nil"/>
          <w:lang w:eastAsia="en-AU"/>
        </w:rPr>
        <w:t>is the only sector that can levy taxes. It has a responsibility to promote the common good by sharing the burdens and benefits of tax fairly.</w:t>
      </w:r>
    </w:p>
    <w:p w14:paraId="55177B47"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0E131E2"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 xml:space="preserve">While </w:t>
      </w:r>
      <w:r w:rsidRPr="005343ED">
        <w:rPr>
          <w:rFonts w:ascii="Calibri" w:eastAsia="Calibri" w:hAnsi="Calibri" w:cs="Calibri"/>
          <w:noProof/>
          <w:color w:val="000000"/>
          <w:bdr w:val="nil"/>
          <w:lang w:val="en-AU" w:eastAsia="en-AU"/>
        </w:rPr>
        <w:t>g</w:t>
      </w:r>
      <w:r w:rsidRPr="005343ED">
        <w:rPr>
          <w:rFonts w:ascii="Calibri" w:eastAsia="Calibri" w:hAnsi="Calibri" w:cs="Calibri"/>
          <w:noProof/>
          <w:color w:val="000000"/>
          <w:bdr w:val="nil"/>
          <w:lang w:eastAsia="en-AU"/>
        </w:rPr>
        <w:t>overnment</w:t>
      </w:r>
      <w:r w:rsidRPr="000D7DFA">
        <w:rPr>
          <w:rFonts w:ascii="Calibri" w:eastAsia="Calibri" w:hAnsi="Calibri" w:cs="Calibri"/>
          <w:color w:val="000000"/>
          <w:u w:color="000000"/>
          <w:bdr w:val="nil"/>
          <w:lang w:val="en-AU" w:eastAsia="en-AU"/>
        </w:rPr>
        <w:t xml:space="preserve"> is the sector with the important role of levying taxes because </w:t>
      </w:r>
      <w:r w:rsidRPr="000D7DFA">
        <w:rPr>
          <w:rFonts w:ascii="Calibri" w:eastAsia="Calibri" w:hAnsi="Calibri" w:cs="Calibri"/>
          <w:color w:val="000000"/>
          <w:u w:color="000000"/>
          <w:bdr w:val="nil"/>
          <w:lang w:eastAsia="en-AU"/>
        </w:rPr>
        <w:t>it has a coercive power</w:t>
      </w:r>
      <w:r w:rsidRPr="000D7DFA">
        <w:rPr>
          <w:rFonts w:ascii="Calibri" w:eastAsia="Calibri" w:hAnsi="Calibri" w:cs="Calibri"/>
          <w:color w:val="000000"/>
          <w:u w:color="000000"/>
          <w:bdr w:val="nil"/>
          <w:lang w:val="en-AU" w:eastAsia="en-AU"/>
        </w:rPr>
        <w:t>, it has the disadvantage of</w:t>
      </w:r>
      <w:r w:rsidRPr="000D7DFA">
        <w:rPr>
          <w:rFonts w:ascii="Calibri" w:eastAsia="Calibri" w:hAnsi="Calibri" w:cs="Calibri"/>
          <w:color w:val="000000"/>
          <w:u w:color="000000"/>
          <w:bdr w:val="nil"/>
          <w:lang w:eastAsia="en-AU"/>
        </w:rPr>
        <w:t xml:space="preserve"> not </w:t>
      </w:r>
      <w:r w:rsidRPr="000D7DFA">
        <w:rPr>
          <w:rFonts w:ascii="Calibri" w:eastAsia="Calibri" w:hAnsi="Calibri" w:cs="Calibri"/>
          <w:color w:val="000000"/>
          <w:u w:color="000000"/>
          <w:bdr w:val="nil"/>
          <w:lang w:val="en-AU" w:eastAsia="en-AU"/>
        </w:rPr>
        <w:t xml:space="preserve">being </w:t>
      </w:r>
      <w:r w:rsidRPr="000D7DFA">
        <w:rPr>
          <w:rFonts w:ascii="Calibri" w:eastAsia="Calibri" w:hAnsi="Calibri" w:cs="Calibri"/>
          <w:color w:val="000000"/>
          <w:u w:color="000000"/>
          <w:bdr w:val="nil"/>
          <w:lang w:eastAsia="en-AU"/>
        </w:rPr>
        <w:t xml:space="preserve">close to </w:t>
      </w:r>
      <w:r w:rsidRPr="000D7DFA">
        <w:rPr>
          <w:rFonts w:ascii="Calibri" w:eastAsia="Calibri" w:hAnsi="Calibri" w:cs="Calibri"/>
          <w:color w:val="000000"/>
          <w:u w:color="000000"/>
          <w:bdr w:val="nil"/>
          <w:lang w:val="en-AU" w:eastAsia="en-AU"/>
        </w:rPr>
        <w:t xml:space="preserve">the </w:t>
      </w:r>
      <w:r w:rsidRPr="000D7DFA">
        <w:rPr>
          <w:rFonts w:ascii="Calibri" w:eastAsia="Calibri" w:hAnsi="Calibri" w:cs="Calibri"/>
          <w:color w:val="000000"/>
          <w:u w:color="000000"/>
          <w:bdr w:val="nil"/>
          <w:lang w:eastAsia="en-AU"/>
        </w:rPr>
        <w:t>people</w:t>
      </w:r>
      <w:r w:rsidRPr="000D7DFA">
        <w:rPr>
          <w:rFonts w:ascii="Calibri" w:eastAsia="Calibri" w:hAnsi="Calibri" w:cs="Calibri"/>
          <w:color w:val="000000"/>
          <w:u w:color="000000"/>
          <w:bdr w:val="nil"/>
          <w:lang w:val="en-AU" w:eastAsia="en-AU"/>
        </w:rPr>
        <w:t xml:space="preserve"> </w:t>
      </w:r>
      <w:r w:rsidRPr="000D7DFA">
        <w:rPr>
          <w:rFonts w:ascii="Calibri" w:eastAsia="Calibri" w:hAnsi="Calibri" w:cs="Calibri"/>
          <w:color w:val="000000"/>
          <w:u w:color="000000"/>
          <w:bdr w:val="nil"/>
          <w:lang w:eastAsia="en-AU"/>
        </w:rPr>
        <w:t xml:space="preserve">it is trying to help. The standard solutions </w:t>
      </w:r>
      <w:r w:rsidRPr="000D7DFA">
        <w:rPr>
          <w:rFonts w:ascii="Calibri" w:eastAsia="Calibri" w:hAnsi="Calibri" w:cs="Calibri"/>
          <w:color w:val="000000"/>
          <w:u w:color="000000"/>
          <w:bdr w:val="nil"/>
          <w:lang w:val="en-AU" w:eastAsia="en-AU"/>
        </w:rPr>
        <w:t xml:space="preserve">of a centralised government </w:t>
      </w:r>
      <w:r w:rsidRPr="000D7DFA">
        <w:rPr>
          <w:rFonts w:ascii="Calibri" w:eastAsia="Calibri" w:hAnsi="Calibri" w:cs="Calibri"/>
          <w:color w:val="000000"/>
          <w:u w:color="000000"/>
          <w:bdr w:val="nil"/>
          <w:lang w:eastAsia="en-AU"/>
        </w:rPr>
        <w:t xml:space="preserve">undermine the relationships necessary to improve the common good. Ultimately happiness is achieved in community with others, serving others. </w:t>
      </w:r>
      <w:r w:rsidRPr="000D7DFA">
        <w:rPr>
          <w:rFonts w:ascii="Calibri" w:eastAsia="Calibri" w:hAnsi="Calibri" w:cs="Calibri"/>
          <w:color w:val="000000"/>
          <w:u w:color="000000"/>
          <w:bdr w:val="nil"/>
          <w:lang w:val="en-AU" w:eastAsia="en-AU"/>
        </w:rPr>
        <w:t>The common</w:t>
      </w:r>
      <w:r w:rsidRPr="000D7DFA">
        <w:rPr>
          <w:rFonts w:ascii="Calibri" w:eastAsia="Calibri" w:hAnsi="Calibri" w:cs="Calibri"/>
          <w:color w:val="000000"/>
          <w:u w:color="000000"/>
          <w:bdr w:val="nil"/>
          <w:lang w:val="nl-NL" w:eastAsia="en-AU"/>
        </w:rPr>
        <w:t xml:space="preserve"> good </w:t>
      </w:r>
      <w:r w:rsidRPr="005343ED">
        <w:rPr>
          <w:rFonts w:ascii="Calibri" w:eastAsia="Calibri" w:hAnsi="Calibri" w:cs="Calibri"/>
          <w:noProof/>
          <w:color w:val="000000"/>
          <w:bdr w:val="nil"/>
          <w:lang w:val="en-AU" w:eastAsia="en-AU"/>
        </w:rPr>
        <w:t xml:space="preserve">is </w:t>
      </w:r>
      <w:r w:rsidRPr="005343ED">
        <w:rPr>
          <w:rFonts w:ascii="Calibri" w:eastAsia="Calibri" w:hAnsi="Calibri" w:cs="Calibri"/>
          <w:noProof/>
          <w:color w:val="000000"/>
          <w:bdr w:val="nil"/>
          <w:lang w:eastAsia="en-AU"/>
        </w:rPr>
        <w:t>helped</w:t>
      </w:r>
      <w:r w:rsidRPr="000D7DFA">
        <w:rPr>
          <w:rFonts w:ascii="Calibri" w:eastAsia="Calibri" w:hAnsi="Calibri" w:cs="Calibri"/>
          <w:color w:val="000000"/>
          <w:u w:color="000000"/>
          <w:bdr w:val="nil"/>
          <w:lang w:eastAsia="en-AU"/>
        </w:rPr>
        <w:t xml:space="preserve"> by a diversity of small community </w:t>
      </w:r>
      <w:proofErr w:type="spellStart"/>
      <w:r w:rsidRPr="000D7DFA">
        <w:rPr>
          <w:rFonts w:ascii="Calibri" w:eastAsia="Calibri" w:hAnsi="Calibri" w:cs="Calibri"/>
          <w:color w:val="000000"/>
          <w:u w:color="000000"/>
          <w:bdr w:val="nil"/>
          <w:lang w:eastAsia="en-AU"/>
        </w:rPr>
        <w:t>organisations</w:t>
      </w:r>
      <w:proofErr w:type="spellEnd"/>
      <w:r w:rsidRPr="000D7DFA">
        <w:rPr>
          <w:rFonts w:ascii="Calibri" w:eastAsia="Calibri" w:hAnsi="Calibri" w:cs="Calibri"/>
          <w:color w:val="000000"/>
          <w:u w:color="000000"/>
          <w:bdr w:val="nil"/>
          <w:lang w:eastAsia="en-AU"/>
        </w:rPr>
        <w:t xml:space="preserve"> that have a human scale and encourage relationships. Civil society encourages a sense of solidarity or responsibility for others which is not something </w:t>
      </w:r>
      <w:r w:rsidR="00746225">
        <w:rPr>
          <w:rFonts w:ascii="Calibri" w:eastAsia="Calibri" w:hAnsi="Calibri" w:cs="Calibri"/>
          <w:color w:val="000000"/>
          <w:u w:color="000000"/>
          <w:bdr w:val="nil"/>
          <w:lang w:eastAsia="en-AU"/>
        </w:rPr>
        <w:t>that</w:t>
      </w:r>
      <w:r w:rsidR="00746225" w:rsidRPr="000D7DFA">
        <w:rPr>
          <w:rFonts w:ascii="Calibri" w:eastAsia="Calibri" w:hAnsi="Calibri" w:cs="Calibri"/>
          <w:color w:val="000000"/>
          <w:u w:color="000000"/>
          <w:bdr w:val="nil"/>
          <w:lang w:eastAsia="en-AU"/>
        </w:rPr>
        <w:t xml:space="preserve"> </w:t>
      </w:r>
      <w:r w:rsidRPr="000D7DFA">
        <w:rPr>
          <w:rFonts w:ascii="Calibri" w:eastAsia="Calibri" w:hAnsi="Calibri" w:cs="Calibri"/>
          <w:color w:val="000000"/>
          <w:u w:color="000000"/>
          <w:bdr w:val="nil"/>
          <w:lang w:val="en-AU" w:eastAsia="en-AU"/>
        </w:rPr>
        <w:t>governments</w:t>
      </w:r>
      <w:r w:rsidRPr="000D7DFA">
        <w:rPr>
          <w:rFonts w:ascii="Calibri" w:eastAsia="Calibri" w:hAnsi="Calibri" w:cs="Calibri"/>
          <w:color w:val="000000"/>
          <w:u w:color="000000"/>
          <w:bdr w:val="nil"/>
          <w:lang w:eastAsia="en-AU"/>
        </w:rPr>
        <w:t xml:space="preserve"> can do. </w:t>
      </w:r>
    </w:p>
    <w:p w14:paraId="5A436279"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6259EB6"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 xml:space="preserve">Addressing the common good </w:t>
      </w:r>
      <w:r w:rsidRPr="005343ED">
        <w:rPr>
          <w:rFonts w:ascii="Calibri" w:eastAsia="Calibri" w:hAnsi="Calibri" w:cs="Calibri"/>
          <w:noProof/>
          <w:color w:val="000000"/>
          <w:bdr w:val="nil"/>
          <w:lang w:val="en-AU" w:eastAsia="en-AU"/>
        </w:rPr>
        <w:t>is therefore</w:t>
      </w:r>
      <w:r w:rsidRPr="000D7DFA">
        <w:rPr>
          <w:rFonts w:ascii="Calibri" w:eastAsia="Calibri" w:hAnsi="Calibri" w:cs="Calibri"/>
          <w:color w:val="000000"/>
          <w:u w:color="000000"/>
          <w:bdr w:val="nil"/>
          <w:lang w:val="en-AU" w:eastAsia="en-AU"/>
        </w:rPr>
        <w:t xml:space="preserve"> a shared responsibility between government, civil society and the private or business sector.</w:t>
      </w:r>
    </w:p>
    <w:p w14:paraId="4C46A0DB"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4C95CB3F"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In promoting the common good, governments must raise</w:t>
      </w:r>
      <w:r w:rsidRPr="000D7DFA">
        <w:rPr>
          <w:rFonts w:ascii="Calibri" w:eastAsia="Calibri" w:hAnsi="Calibri" w:cs="Calibri"/>
          <w:color w:val="000000"/>
          <w:u w:color="000000"/>
          <w:bdr w:val="nil"/>
          <w:lang w:eastAsia="en-AU"/>
        </w:rPr>
        <w:t xml:space="preserve"> money to fund the necessary business of </w:t>
      </w:r>
      <w:r w:rsidRPr="000D7DFA">
        <w:rPr>
          <w:rFonts w:ascii="Calibri" w:eastAsia="Calibri" w:hAnsi="Calibri" w:cs="Calibri"/>
          <w:color w:val="000000"/>
          <w:u w:color="000000"/>
          <w:bdr w:val="nil"/>
          <w:lang w:val="en-AU" w:eastAsia="en-AU"/>
        </w:rPr>
        <w:t>the state</w:t>
      </w:r>
      <w:r w:rsidRPr="000D7DFA">
        <w:rPr>
          <w:rFonts w:ascii="Calibri" w:eastAsia="Calibri" w:hAnsi="Calibri" w:cs="Calibri"/>
          <w:color w:val="000000"/>
          <w:u w:color="000000"/>
          <w:bdr w:val="nil"/>
          <w:lang w:eastAsia="en-AU"/>
        </w:rPr>
        <w:t>, with the least possible impact on those people who are the most vulnerable</w:t>
      </w:r>
      <w:r w:rsidR="00746225">
        <w:rPr>
          <w:rFonts w:ascii="Calibri" w:eastAsia="Calibri" w:hAnsi="Calibri" w:cs="Calibri"/>
          <w:color w:val="000000"/>
          <w:u w:color="000000"/>
          <w:bdr w:val="nil"/>
          <w:lang w:eastAsia="en-AU"/>
        </w:rPr>
        <w:t>.</w:t>
      </w:r>
    </w:p>
    <w:p w14:paraId="29A319FD"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128BA2D"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Distributive justice </w:t>
      </w:r>
      <w:proofErr w:type="spellStart"/>
      <w:r w:rsidRPr="000D7DFA">
        <w:rPr>
          <w:rFonts w:ascii="Calibri" w:eastAsia="Calibri" w:hAnsi="Calibri" w:cs="Calibri"/>
          <w:color w:val="000000"/>
          <w:u w:color="000000"/>
          <w:bdr w:val="nil"/>
          <w:lang w:eastAsia="en-AU"/>
        </w:rPr>
        <w:t>recognises</w:t>
      </w:r>
      <w:proofErr w:type="spellEnd"/>
      <w:r w:rsidRPr="000D7DFA">
        <w:rPr>
          <w:rFonts w:ascii="Calibri" w:eastAsia="Calibri" w:hAnsi="Calibri" w:cs="Calibri"/>
          <w:color w:val="000000"/>
          <w:u w:color="000000"/>
          <w:bdr w:val="nil"/>
          <w:lang w:eastAsia="en-AU"/>
        </w:rPr>
        <w:t xml:space="preserve"> that the burdens of the community should be shared based on the ability of people to contribute. </w:t>
      </w:r>
      <w:r w:rsidRPr="005343ED">
        <w:rPr>
          <w:rFonts w:ascii="Calibri" w:eastAsia="Calibri" w:hAnsi="Calibri" w:cs="Calibri"/>
          <w:noProof/>
          <w:color w:val="000000"/>
          <w:bdr w:val="nil"/>
          <w:lang w:val="en-AU" w:eastAsia="en-AU"/>
        </w:rPr>
        <w:t>This is</w:t>
      </w:r>
      <w:r w:rsidRPr="000D7DFA">
        <w:rPr>
          <w:rFonts w:ascii="Calibri" w:eastAsia="Calibri" w:hAnsi="Calibri" w:cs="Calibri"/>
          <w:color w:val="000000"/>
          <w:u w:color="000000"/>
          <w:bdr w:val="nil"/>
          <w:lang w:val="en-AU" w:eastAsia="en-AU"/>
        </w:rPr>
        <w:t xml:space="preserve"> a difficult aim to achieve as it depends not so much on rates charged but on the final dollar amount of tax paid by each Australian. For example, lower income people spend a larger proportion of their income on essentials, so can be disproportionately affected by a consumption tax</w:t>
      </w:r>
      <w:r w:rsidR="00464BF9">
        <w:rPr>
          <w:rFonts w:ascii="Calibri" w:eastAsia="Calibri" w:hAnsi="Calibri" w:cs="Calibri"/>
          <w:color w:val="000000"/>
          <w:u w:color="000000"/>
          <w:bdr w:val="nil"/>
          <w:lang w:val="en-AU" w:eastAsia="en-AU"/>
        </w:rPr>
        <w:t xml:space="preserve"> unless this </w:t>
      </w:r>
      <w:r w:rsidR="00464BF9" w:rsidRPr="005343ED">
        <w:rPr>
          <w:rFonts w:ascii="Calibri" w:eastAsia="Calibri" w:hAnsi="Calibri" w:cs="Calibri"/>
          <w:noProof/>
          <w:color w:val="000000"/>
          <w:bdr w:val="nil"/>
          <w:lang w:val="en-AU" w:eastAsia="en-AU"/>
        </w:rPr>
        <w:t>is offset</w:t>
      </w:r>
      <w:r w:rsidR="00464BF9">
        <w:rPr>
          <w:rFonts w:ascii="Calibri" w:eastAsia="Calibri" w:hAnsi="Calibri" w:cs="Calibri"/>
          <w:color w:val="000000"/>
          <w:u w:color="000000"/>
          <w:bdr w:val="nil"/>
          <w:lang w:val="en-AU" w:eastAsia="en-AU"/>
        </w:rPr>
        <w:t xml:space="preserve"> </w:t>
      </w:r>
      <w:r w:rsidR="00464BF9" w:rsidRPr="005343ED">
        <w:rPr>
          <w:rFonts w:ascii="Calibri" w:eastAsia="Calibri" w:hAnsi="Calibri" w:cs="Calibri"/>
          <w:noProof/>
          <w:color w:val="000000"/>
          <w:bdr w:val="nil"/>
          <w:lang w:val="en-AU" w:eastAsia="en-AU"/>
        </w:rPr>
        <w:t>with</w:t>
      </w:r>
      <w:r w:rsidR="00464BF9">
        <w:rPr>
          <w:rFonts w:ascii="Calibri" w:eastAsia="Calibri" w:hAnsi="Calibri" w:cs="Calibri"/>
          <w:color w:val="000000"/>
          <w:u w:color="000000"/>
          <w:bdr w:val="nil"/>
          <w:lang w:val="en-AU" w:eastAsia="en-AU"/>
        </w:rPr>
        <w:t xml:space="preserve"> adequate compensation</w:t>
      </w:r>
      <w:r w:rsidRPr="000D7DFA">
        <w:rPr>
          <w:rFonts w:ascii="Calibri" w:eastAsia="Calibri" w:hAnsi="Calibri" w:cs="Calibri"/>
          <w:color w:val="000000"/>
          <w:u w:color="000000"/>
          <w:bdr w:val="nil"/>
          <w:lang w:val="en-AU" w:eastAsia="en-AU"/>
        </w:rPr>
        <w:t>. Families too are likely to spend a bigger proportion of their income on essentials compared to a single person on the same income.</w:t>
      </w:r>
    </w:p>
    <w:p w14:paraId="427B4430"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DF3B83D"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The preferential option for the poor is a closely related idea </w:t>
      </w:r>
      <w:r w:rsidRPr="00AA1FF5">
        <w:rPr>
          <w:rFonts w:ascii="Calibri" w:eastAsia="Calibri" w:hAnsi="Calibri" w:cs="Calibri"/>
          <w:noProof/>
          <w:color w:val="000000"/>
          <w:bdr w:val="nil"/>
          <w:lang w:eastAsia="en-AU"/>
        </w:rPr>
        <w:t>which</w:t>
      </w:r>
      <w:r w:rsidRPr="000D7DFA">
        <w:rPr>
          <w:rFonts w:ascii="Calibri" w:eastAsia="Calibri" w:hAnsi="Calibri" w:cs="Calibri"/>
          <w:color w:val="000000"/>
          <w:u w:color="000000"/>
          <w:bdr w:val="nil"/>
          <w:lang w:eastAsia="en-AU"/>
        </w:rPr>
        <w:t xml:space="preserve"> says that the greater the needs of people, the greater the responsibility we have to respond to their needs.</w:t>
      </w:r>
      <w:r w:rsidRPr="000D7DFA">
        <w:rPr>
          <w:rFonts w:ascii="Calibri" w:eastAsia="Calibri" w:hAnsi="Calibri" w:cs="Calibri"/>
          <w:color w:val="000000"/>
          <w:u w:color="000000"/>
          <w:bdr w:val="nil"/>
          <w:lang w:val="en-AU" w:eastAsia="en-AU"/>
        </w:rPr>
        <w:t xml:space="preserve"> It needs to take into account the wide range of different circumstances of people.</w:t>
      </w:r>
    </w:p>
    <w:p w14:paraId="59EFA49F"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98B44E5"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 xml:space="preserve">The three concepts of </w:t>
      </w:r>
      <w:r w:rsidRPr="000D7DFA">
        <w:rPr>
          <w:rFonts w:ascii="Calibri" w:eastAsia="Calibri" w:hAnsi="Calibri" w:cs="Calibri"/>
          <w:color w:val="000000"/>
          <w:u w:color="000000"/>
          <w:bdr w:val="nil"/>
          <w:lang w:eastAsia="en-AU"/>
        </w:rPr>
        <w:t>the common good, distributive justice and the preferential option for the poor</w:t>
      </w:r>
      <w:r w:rsidRPr="000D7DFA">
        <w:rPr>
          <w:rFonts w:ascii="Calibri" w:eastAsia="Calibri" w:hAnsi="Calibri" w:cs="Calibri"/>
          <w:color w:val="000000"/>
          <w:u w:color="000000"/>
          <w:bdr w:val="nil"/>
          <w:lang w:val="en-AU" w:eastAsia="en-AU"/>
        </w:rPr>
        <w:t xml:space="preserve"> follow a</w:t>
      </w:r>
      <w:r w:rsidRPr="000D7DFA">
        <w:rPr>
          <w:rFonts w:ascii="Calibri" w:eastAsia="Calibri" w:hAnsi="Calibri" w:cs="Calibri"/>
          <w:color w:val="000000"/>
          <w:u w:color="000000"/>
          <w:bdr w:val="nil"/>
          <w:lang w:eastAsia="en-AU"/>
        </w:rPr>
        <w:t xml:space="preserve"> long tradition of thought in the </w:t>
      </w:r>
      <w:r w:rsidR="00464BF9">
        <w:rPr>
          <w:rFonts w:ascii="Calibri" w:eastAsia="Calibri" w:hAnsi="Calibri" w:cs="Calibri"/>
          <w:color w:val="000000"/>
          <w:u w:color="000000"/>
          <w:bdr w:val="nil"/>
          <w:lang w:eastAsia="en-AU"/>
        </w:rPr>
        <w:t xml:space="preserve">Catholic </w:t>
      </w:r>
      <w:r w:rsidRPr="000D7DFA">
        <w:rPr>
          <w:rFonts w:ascii="Calibri" w:eastAsia="Calibri" w:hAnsi="Calibri" w:cs="Calibri"/>
          <w:color w:val="000000"/>
          <w:u w:color="000000"/>
          <w:bdr w:val="nil"/>
          <w:lang w:eastAsia="en-AU"/>
        </w:rPr>
        <w:t xml:space="preserve">Church that puts the human person at the </w:t>
      </w:r>
      <w:proofErr w:type="spellStart"/>
      <w:r w:rsidRPr="000D7DFA">
        <w:rPr>
          <w:rFonts w:ascii="Calibri" w:eastAsia="Calibri" w:hAnsi="Calibri" w:cs="Calibri"/>
          <w:color w:val="000000"/>
          <w:u w:color="000000"/>
          <w:bdr w:val="nil"/>
          <w:lang w:eastAsia="en-AU"/>
        </w:rPr>
        <w:t>centre</w:t>
      </w:r>
      <w:proofErr w:type="spellEnd"/>
      <w:r w:rsidRPr="000D7DFA">
        <w:rPr>
          <w:rFonts w:ascii="Calibri" w:eastAsia="Calibri" w:hAnsi="Calibri" w:cs="Calibri"/>
          <w:color w:val="000000"/>
          <w:u w:color="000000"/>
          <w:bdr w:val="nil"/>
          <w:lang w:eastAsia="en-AU"/>
        </w:rPr>
        <w:t xml:space="preserve"> of the economy. Pope Francis reminds us </w:t>
      </w:r>
      <w:r w:rsidRPr="000D7DFA">
        <w:rPr>
          <w:rFonts w:ascii="Calibri" w:eastAsia="Calibri" w:hAnsi="Calibri" w:cs="Calibri"/>
          <w:color w:val="000000"/>
          <w:u w:color="000000"/>
          <w:bdr w:val="nil"/>
          <w:lang w:val="en-AU" w:eastAsia="en-AU"/>
        </w:rPr>
        <w:t>“</w:t>
      </w:r>
      <w:r w:rsidRPr="000D7DFA">
        <w:rPr>
          <w:rFonts w:ascii="Calibri" w:eastAsia="Calibri" w:hAnsi="Calibri" w:cs="Calibri"/>
          <w:color w:val="000000"/>
          <w:u w:color="000000"/>
          <w:bdr w:val="nil"/>
          <w:lang w:eastAsia="en-AU"/>
        </w:rPr>
        <w:t>money must serve, not rule.</w:t>
      </w:r>
      <w:r w:rsidRPr="000D7DFA">
        <w:rPr>
          <w:rFonts w:ascii="Calibri" w:eastAsia="Calibri" w:hAnsi="Calibri" w:cs="Calibri"/>
          <w:color w:val="000000"/>
          <w:u w:color="000000"/>
          <w:bdr w:val="nil"/>
          <w:lang w:val="en-AU" w:eastAsia="en-AU"/>
        </w:rPr>
        <w:t xml:space="preserve">” </w:t>
      </w:r>
      <w:r w:rsidR="00464BF9">
        <w:rPr>
          <w:rStyle w:val="FootnoteReference"/>
          <w:rFonts w:ascii="Calibri" w:eastAsia="Calibri" w:hAnsi="Calibri" w:cs="Calibri"/>
          <w:color w:val="000000"/>
          <w:u w:color="000000"/>
          <w:bdr w:val="nil"/>
          <w:lang w:val="en-AU" w:eastAsia="en-AU"/>
        </w:rPr>
        <w:footnoteReference w:id="4"/>
      </w:r>
      <w:r w:rsidR="00D92C0B">
        <w:rPr>
          <w:rFonts w:ascii="Calibri" w:eastAsia="Calibri" w:hAnsi="Calibri" w:cs="Calibri"/>
          <w:color w:val="000000"/>
          <w:u w:color="000000"/>
          <w:bdr w:val="nil"/>
          <w:lang w:val="en-AU" w:eastAsia="en-AU"/>
        </w:rPr>
        <w:t xml:space="preserve"> Where</w:t>
      </w:r>
      <w:r w:rsidRPr="000D7DFA">
        <w:rPr>
          <w:rFonts w:ascii="Calibri" w:eastAsia="Calibri" w:hAnsi="Calibri" w:cs="Calibri"/>
          <w:color w:val="000000"/>
          <w:u w:color="000000"/>
          <w:bdr w:val="nil"/>
          <w:lang w:eastAsia="en-AU"/>
        </w:rPr>
        <w:t xml:space="preserve"> the Tax Discussion Paper</w:t>
      </w:r>
      <w:r w:rsidR="00D92C0B">
        <w:rPr>
          <w:rFonts w:ascii="Calibri" w:eastAsia="Calibri" w:hAnsi="Calibri" w:cs="Calibri"/>
          <w:color w:val="000000"/>
          <w:u w:color="000000"/>
          <w:bdr w:val="nil"/>
          <w:lang w:eastAsia="en-AU"/>
        </w:rPr>
        <w:t xml:space="preserve"> states</w:t>
      </w:r>
      <w:r w:rsidRPr="000D7DFA">
        <w:rPr>
          <w:rFonts w:ascii="Calibri" w:eastAsia="Calibri" w:hAnsi="Calibri" w:cs="Calibri"/>
          <w:color w:val="000000"/>
          <w:u w:color="000000"/>
          <w:bdr w:val="nil"/>
          <w:lang w:eastAsia="en-AU"/>
        </w:rPr>
        <w:t xml:space="preserve"> that </w:t>
      </w:r>
      <w:r w:rsidRPr="000D7DFA">
        <w:rPr>
          <w:rFonts w:ascii="Calibri" w:eastAsia="Calibri" w:hAnsi="Calibri" w:cs="Calibri"/>
          <w:color w:val="000000"/>
          <w:u w:color="000000"/>
          <w:bdr w:val="nil"/>
          <w:lang w:val="en-AU" w:eastAsia="en-AU"/>
        </w:rPr>
        <w:t xml:space="preserve">“… </w:t>
      </w:r>
      <w:r w:rsidRPr="000D7DFA">
        <w:rPr>
          <w:rFonts w:ascii="Calibri" w:eastAsia="Calibri" w:hAnsi="Calibri" w:cs="Calibri"/>
          <w:color w:val="000000"/>
          <w:u w:color="000000"/>
          <w:bdr w:val="nil"/>
          <w:lang w:eastAsia="en-AU"/>
        </w:rPr>
        <w:t>steps to boost productivity and encourage higher workforce participation will be critical to driving future economic growth</w:t>
      </w:r>
      <w:r w:rsidRPr="000D7DFA">
        <w:rPr>
          <w:rFonts w:ascii="Calibri" w:eastAsia="Calibri" w:hAnsi="Calibri" w:cs="Calibri"/>
          <w:color w:val="000000"/>
          <w:u w:color="000000"/>
          <w:bdr w:val="nil"/>
          <w:lang w:val="en-AU" w:eastAsia="en-AU"/>
        </w:rPr>
        <w:t xml:space="preserve">” </w:t>
      </w:r>
      <w:r w:rsidRPr="000D7DFA">
        <w:rPr>
          <w:rFonts w:ascii="Calibri" w:eastAsia="Calibri" w:hAnsi="Calibri" w:cs="Calibri"/>
          <w:color w:val="000000"/>
          <w:u w:color="000000"/>
          <w:bdr w:val="nil"/>
          <w:lang w:eastAsia="en-AU"/>
        </w:rPr>
        <w:t xml:space="preserve">(Page 1) </w:t>
      </w:r>
      <w:r w:rsidR="00D92C0B">
        <w:rPr>
          <w:rFonts w:ascii="Calibri" w:eastAsia="Calibri" w:hAnsi="Calibri" w:cs="Calibri"/>
          <w:color w:val="000000"/>
          <w:u w:color="000000"/>
          <w:bdr w:val="nil"/>
          <w:lang w:eastAsia="en-AU"/>
        </w:rPr>
        <w:t>the ACBC would have liked to see an explicit reference to the wellbeing of all Australians</w:t>
      </w:r>
      <w:r w:rsidRPr="000D7DFA">
        <w:rPr>
          <w:rFonts w:ascii="Calibri" w:eastAsia="Calibri" w:hAnsi="Calibri" w:cs="Calibri"/>
          <w:color w:val="000000"/>
          <w:u w:color="000000"/>
          <w:bdr w:val="nil"/>
          <w:lang w:eastAsia="en-AU"/>
        </w:rPr>
        <w:t xml:space="preserve">. </w:t>
      </w:r>
    </w:p>
    <w:p w14:paraId="4EDEFCED"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B99F3FA" w14:textId="77777777" w:rsid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lastRenderedPageBreak/>
        <w:t xml:space="preserve">There is no point </w:t>
      </w:r>
      <w:r w:rsidRPr="00BC1432">
        <w:rPr>
          <w:rFonts w:ascii="Calibri" w:eastAsia="Calibri" w:hAnsi="Calibri" w:cs="Calibri"/>
          <w:noProof/>
          <w:color w:val="000000"/>
          <w:bdr w:val="nil"/>
          <w:lang w:eastAsia="en-AU"/>
        </w:rPr>
        <w:t>to</w:t>
      </w:r>
      <w:r w:rsidRPr="000D7DFA">
        <w:rPr>
          <w:rFonts w:ascii="Calibri" w:eastAsia="Calibri" w:hAnsi="Calibri" w:cs="Calibri"/>
          <w:color w:val="000000"/>
          <w:u w:color="000000"/>
          <w:bdr w:val="nil"/>
          <w:lang w:eastAsia="en-AU"/>
        </w:rPr>
        <w:t xml:space="preserve"> improving economic growth if there is no improvement to the lives of Australians. Improving the lives of Australians goes further than improvements in the number of opportunities for workers, or to economic growth, the national accounts or even to pay packets. All these measures could be driven higher if we all worked 12 hour days in the paid workforce, but the bigger picture</w:t>
      </w:r>
      <w:r w:rsidRPr="000D7DFA">
        <w:rPr>
          <w:rFonts w:ascii="Calibri" w:eastAsia="Calibri" w:hAnsi="Calibri" w:cs="Calibri"/>
          <w:color w:val="000000"/>
          <w:u w:color="000000"/>
          <w:bdr w:val="nil"/>
          <w:lang w:val="en-AU" w:eastAsia="en-AU"/>
        </w:rPr>
        <w:t xml:space="preserve"> - the common good -</w:t>
      </w:r>
      <w:r w:rsidRPr="000D7DFA">
        <w:rPr>
          <w:rFonts w:ascii="Calibri" w:eastAsia="Calibri" w:hAnsi="Calibri" w:cs="Calibri"/>
          <w:color w:val="000000"/>
          <w:u w:color="000000"/>
          <w:bdr w:val="nil"/>
          <w:lang w:eastAsia="en-AU"/>
        </w:rPr>
        <w:t xml:space="preserve"> would be missing.</w:t>
      </w:r>
      <w:r w:rsidRPr="000D7DFA">
        <w:rPr>
          <w:rFonts w:ascii="Calibri" w:eastAsia="Calibri" w:hAnsi="Calibri" w:cs="Calibri"/>
          <w:color w:val="000000"/>
          <w:u w:color="000000"/>
          <w:bdr w:val="nil"/>
          <w:lang w:val="en-AU" w:eastAsia="en-AU"/>
        </w:rPr>
        <w:t xml:space="preserve"> Government documents should reflect that concern.</w:t>
      </w:r>
    </w:p>
    <w:p w14:paraId="3C319C88" w14:textId="77777777" w:rsidR="008E2725" w:rsidRDefault="008E2725"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64ED7A9" w14:textId="77777777" w:rsidR="008E2725" w:rsidRPr="004B6562" w:rsidRDefault="008E2725"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4B6562">
        <w:rPr>
          <w:rFonts w:ascii="Calibri" w:eastAsia="Calibri" w:hAnsi="Calibri" w:cs="Calibri"/>
          <w:color w:val="000000"/>
          <w:u w:color="000000"/>
          <w:bdr w:val="nil"/>
          <w:lang w:val="en-AU" w:eastAsia="en-AU"/>
        </w:rPr>
        <w:t xml:space="preserve">For example, what is the cost to families and the community if more people spend more time away from home, in the paid workforce? Family time is important, even though it </w:t>
      </w:r>
      <w:r w:rsidRPr="00BC1432">
        <w:rPr>
          <w:rFonts w:ascii="Calibri" w:eastAsia="Calibri" w:hAnsi="Calibri" w:cs="Calibri"/>
          <w:noProof/>
          <w:color w:val="000000"/>
          <w:bdr w:val="nil"/>
          <w:lang w:val="en-AU" w:eastAsia="en-AU"/>
        </w:rPr>
        <w:t>is not measured</w:t>
      </w:r>
      <w:r w:rsidRPr="004B6562">
        <w:rPr>
          <w:rFonts w:ascii="Calibri" w:eastAsia="Calibri" w:hAnsi="Calibri" w:cs="Calibri"/>
          <w:color w:val="000000"/>
          <w:u w:color="000000"/>
          <w:bdr w:val="nil"/>
          <w:lang w:val="en-AU" w:eastAsia="en-AU"/>
        </w:rPr>
        <w:t xml:space="preserve"> in the national accounts. Work-life balance is a moral question that must </w:t>
      </w:r>
      <w:r w:rsidRPr="00BC1432">
        <w:rPr>
          <w:rFonts w:ascii="Calibri" w:eastAsia="Calibri" w:hAnsi="Calibri" w:cs="Calibri"/>
          <w:noProof/>
          <w:color w:val="000000"/>
          <w:bdr w:val="nil"/>
          <w:lang w:val="en-AU" w:eastAsia="en-AU"/>
        </w:rPr>
        <w:t>be considered</w:t>
      </w:r>
      <w:r w:rsidRPr="004B6562">
        <w:rPr>
          <w:rFonts w:ascii="Calibri" w:eastAsia="Calibri" w:hAnsi="Calibri" w:cs="Calibri"/>
          <w:color w:val="000000"/>
          <w:u w:color="000000"/>
          <w:bdr w:val="nil"/>
          <w:lang w:val="en-AU" w:eastAsia="en-AU"/>
        </w:rPr>
        <w:t xml:space="preserve"> by government and the broader community.</w:t>
      </w:r>
    </w:p>
    <w:p w14:paraId="29B44876" w14:textId="77777777" w:rsidR="008E2725" w:rsidRPr="004B6562" w:rsidRDefault="008E2725"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44C9716" w14:textId="77777777" w:rsidR="008E2725" w:rsidRPr="000D7DFA" w:rsidRDefault="008E2725"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4B6562">
        <w:rPr>
          <w:rFonts w:ascii="Calibri" w:eastAsia="Calibri" w:hAnsi="Calibri" w:cs="Calibri"/>
          <w:color w:val="000000"/>
          <w:u w:color="000000"/>
          <w:bdr w:val="nil"/>
          <w:lang w:val="en-AU" w:eastAsia="en-AU"/>
        </w:rPr>
        <w:t>How does tax policy impact on the number of children that families choose to have? Are there more equitable ways to tax single income families, such as income splitting, in cases where one parent stays home to care for children?</w:t>
      </w:r>
    </w:p>
    <w:p w14:paraId="094CCDA9"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27A7561"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val="en-AU" w:eastAsia="en-AU"/>
        </w:rPr>
        <w:t>The</w:t>
      </w:r>
      <w:r w:rsidR="00464BF9">
        <w:rPr>
          <w:rFonts w:ascii="Calibri" w:eastAsia="Calibri" w:hAnsi="Calibri" w:cs="Calibri"/>
          <w:color w:val="000000"/>
          <w:u w:color="000000"/>
          <w:bdr w:val="nil"/>
          <w:lang w:val="en-AU" w:eastAsia="en-AU"/>
        </w:rPr>
        <w:t xml:space="preserve"> ACBC</w:t>
      </w:r>
      <w:r w:rsidRPr="000D7DFA">
        <w:rPr>
          <w:rFonts w:ascii="Calibri" w:eastAsia="Calibri" w:hAnsi="Calibri" w:cs="Calibri"/>
          <w:color w:val="000000"/>
          <w:u w:color="000000"/>
          <w:bdr w:val="nil"/>
          <w:lang w:val="en-AU" w:eastAsia="en-AU"/>
        </w:rPr>
        <w:t xml:space="preserve"> asks that government policy focus very clearly on improving the common good for each and every Australian. The language of </w:t>
      </w:r>
      <w:r w:rsidRPr="00BC1432">
        <w:rPr>
          <w:rFonts w:ascii="Calibri" w:eastAsia="Calibri" w:hAnsi="Calibri" w:cs="Calibri"/>
          <w:noProof/>
          <w:color w:val="000000"/>
          <w:bdr w:val="nil"/>
          <w:lang w:val="en-AU" w:eastAsia="en-AU"/>
        </w:rPr>
        <w:t>policy</w:t>
      </w:r>
      <w:r w:rsidRPr="000D7DFA">
        <w:rPr>
          <w:rFonts w:ascii="Calibri" w:eastAsia="Calibri" w:hAnsi="Calibri" w:cs="Calibri"/>
          <w:color w:val="000000"/>
          <w:u w:color="000000"/>
          <w:bdr w:val="nil"/>
          <w:lang w:val="en-AU" w:eastAsia="en-AU"/>
        </w:rPr>
        <w:t xml:space="preserve"> must be very clear about the benefits for ordinary Australians, not just for abstract economic measures. The aim of this review of Australia's taxation system should be to have a tax system that further improves the common good.</w:t>
      </w:r>
    </w:p>
    <w:p w14:paraId="0EF5F1CB"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C49AD46" w14:textId="77777777" w:rsidR="000D7DFA" w:rsidRPr="002A0E37" w:rsidRDefault="002A0E37" w:rsidP="000D7DFA">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2A0E37">
        <w:rPr>
          <w:rFonts w:ascii="Calibri" w:eastAsia="Calibri" w:hAnsi="Calibri" w:cs="Calibri"/>
          <w:b/>
          <w:color w:val="000000"/>
          <w:u w:color="000000"/>
          <w:bdr w:val="nil"/>
          <w:lang w:val="en-AU" w:eastAsia="en-AU"/>
        </w:rPr>
        <w:t>Chapter 7 – Not-for-profit sector</w:t>
      </w:r>
    </w:p>
    <w:p w14:paraId="01891693" w14:textId="77777777" w:rsidR="002A0E37" w:rsidRDefault="002A0E37"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333A51A"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The point needs to be reinforced at the outset that the NFP sector is a diverse sector.  It comprises charitable institutions (such as religious and educational entities), public benevolent institutions (</w:t>
      </w:r>
      <w:r w:rsidRPr="006079B9">
        <w:rPr>
          <w:rFonts w:ascii="Calibri" w:eastAsia="Calibri" w:hAnsi="Calibri" w:cs="Calibri"/>
          <w:b/>
          <w:color w:val="000000"/>
          <w:u w:color="000000"/>
          <w:bdr w:val="nil"/>
          <w:lang w:val="en-AU" w:eastAsia="en-AU"/>
        </w:rPr>
        <w:t>PBIs</w:t>
      </w:r>
      <w:r w:rsidRPr="006079B9">
        <w:rPr>
          <w:rFonts w:ascii="Calibri" w:eastAsia="Calibri" w:hAnsi="Calibri" w:cs="Calibri"/>
          <w:color w:val="000000"/>
          <w:u w:color="000000"/>
          <w:bdr w:val="nil"/>
          <w:lang w:val="en-AU" w:eastAsia="en-AU"/>
        </w:rPr>
        <w:t>) (such as health and aged care and welfare entities), non-charitable tax exempt entities (</w:t>
      </w:r>
      <w:proofErr w:type="spellStart"/>
      <w:r w:rsidRPr="006079B9">
        <w:rPr>
          <w:rFonts w:ascii="Calibri" w:eastAsia="Calibri" w:hAnsi="Calibri" w:cs="Calibri"/>
          <w:color w:val="000000"/>
          <w:u w:color="000000"/>
          <w:bdr w:val="nil"/>
          <w:lang w:val="en-AU" w:eastAsia="en-AU"/>
        </w:rPr>
        <w:t>eg</w:t>
      </w:r>
      <w:proofErr w:type="spellEnd"/>
      <w:r w:rsidRPr="006079B9">
        <w:rPr>
          <w:rFonts w:ascii="Calibri" w:eastAsia="Calibri" w:hAnsi="Calibri" w:cs="Calibri"/>
          <w:color w:val="000000"/>
          <w:u w:color="000000"/>
          <w:bdr w:val="nil"/>
          <w:lang w:val="en-AU" w:eastAsia="en-AU"/>
        </w:rPr>
        <w:t xml:space="preserve"> sporting associations), mutual entities, entities receiving government funding (</w:t>
      </w:r>
      <w:proofErr w:type="spellStart"/>
      <w:r w:rsidRPr="006079B9">
        <w:rPr>
          <w:rFonts w:ascii="Calibri" w:eastAsia="Calibri" w:hAnsi="Calibri" w:cs="Calibri"/>
          <w:color w:val="000000"/>
          <w:u w:color="000000"/>
          <w:bdr w:val="nil"/>
          <w:lang w:val="en-AU" w:eastAsia="en-AU"/>
        </w:rPr>
        <w:t>eg</w:t>
      </w:r>
      <w:proofErr w:type="spellEnd"/>
      <w:r w:rsidRPr="006079B9">
        <w:rPr>
          <w:rFonts w:ascii="Calibri" w:eastAsia="Calibri" w:hAnsi="Calibri" w:cs="Calibri"/>
          <w:color w:val="000000"/>
          <w:u w:color="000000"/>
          <w:bdr w:val="nil"/>
          <w:lang w:val="en-AU" w:eastAsia="en-AU"/>
        </w:rPr>
        <w:t xml:space="preserve"> schools) and self-funded entities. There is no single NFP perspective. The Church is part of the subset of NFPs which are charitable and which, by definition, pursue objects and undertake activities for the public benefit.  </w:t>
      </w:r>
    </w:p>
    <w:p w14:paraId="6F51838D"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530AAE6"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Particularly in the context of the Church being charitable, of concern to the ACBC is that chapter 7 of the discussion paper seems to be repeating two common mistakes which have infected past reviews.</w:t>
      </w:r>
    </w:p>
    <w:p w14:paraId="57190FA5"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77A21D4" w14:textId="77777777" w:rsidR="005343ED" w:rsidRPr="006079B9" w:rsidRDefault="005343ED" w:rsidP="005343ED">
      <w:pPr>
        <w:autoSpaceDE w:val="0"/>
        <w:autoSpaceDN w:val="0"/>
        <w:adjustRightInd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First, the discussion paper seems to view tax and the NFP/charities sector predominantly through the prism of “revenue foregone”. Viewing the impact of tax concessions for the charities sector principally in terms of cost to the revenue is flawed. There is no accurate measure of the so called “cost” of tax concessions because the measures applied fail to quantify the a</w:t>
      </w:r>
      <w:r w:rsidRPr="006079B9">
        <w:rPr>
          <w:rFonts w:ascii="Calibri" w:hAnsi="Calibri" w:cs="ArialMT"/>
          <w:lang w:val="en-AU" w:eastAsia="en-AU"/>
        </w:rPr>
        <w:t xml:space="preserve">ctivities undertaken by charities which save governments from making outlays for similar activities. </w:t>
      </w:r>
      <w:r w:rsidRPr="006079B9">
        <w:rPr>
          <w:rFonts w:ascii="Calibri" w:eastAsia="Calibri" w:hAnsi="Calibri" w:cs="Calibri"/>
          <w:color w:val="000000"/>
          <w:u w:color="000000"/>
          <w:bdr w:val="nil"/>
          <w:lang w:val="en-AU" w:eastAsia="en-AU"/>
        </w:rPr>
        <w:t xml:space="preserve">Therefore, revenue foregone is an elusive and flawed analytic. </w:t>
      </w:r>
    </w:p>
    <w:p w14:paraId="2370A9A5" w14:textId="77777777" w:rsidR="005343ED" w:rsidRPr="006079B9" w:rsidRDefault="005343ED" w:rsidP="005343ED">
      <w:pPr>
        <w:autoSpaceDE w:val="0"/>
        <w:autoSpaceDN w:val="0"/>
        <w:adjustRightInd w:val="0"/>
        <w:rPr>
          <w:rFonts w:ascii="Calibri" w:eastAsia="Calibri" w:hAnsi="Calibri" w:cs="Calibri"/>
          <w:color w:val="000000"/>
          <w:u w:color="000000"/>
          <w:bdr w:val="nil"/>
          <w:lang w:val="en-AU" w:eastAsia="en-AU"/>
        </w:rPr>
      </w:pPr>
    </w:p>
    <w:p w14:paraId="3428DA83" w14:textId="77777777" w:rsidR="005343ED" w:rsidRPr="006079B9" w:rsidRDefault="005343ED" w:rsidP="005343ED">
      <w:pPr>
        <w:autoSpaceDE w:val="0"/>
        <w:autoSpaceDN w:val="0"/>
        <w:adjustRightInd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 xml:space="preserve">Second, the question of whether there is a “competitive advantage” for charities has been considered and dismissed in past reviews. Any suggestion of reform to tax concessions based on “competitive neutrality” is based on a flawed premise, as reviewed and concluded in past reviews, particularly by the Productivity Commission and the Henry Review. </w:t>
      </w:r>
    </w:p>
    <w:p w14:paraId="1E539694"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7C46E15" w14:textId="77777777" w:rsidR="00103AE0"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 xml:space="preserve">Further to the above points, </w:t>
      </w:r>
      <w:proofErr w:type="gramStart"/>
      <w:r w:rsidRPr="006079B9">
        <w:rPr>
          <w:rFonts w:ascii="Calibri" w:eastAsia="Calibri" w:hAnsi="Calibri" w:cs="Calibri"/>
          <w:color w:val="000000"/>
          <w:u w:color="000000"/>
          <w:bdr w:val="nil"/>
          <w:lang w:val="en-AU" w:eastAsia="en-AU"/>
        </w:rPr>
        <w:t xml:space="preserve">the </w:t>
      </w:r>
      <w:r w:rsidRPr="00103AE0">
        <w:rPr>
          <w:rFonts w:ascii="Calibri" w:eastAsia="Calibri" w:hAnsi="Calibri" w:cs="Calibri"/>
          <w:color w:val="000000"/>
          <w:u w:color="000000"/>
          <w:bdr w:val="nil"/>
          <w:lang w:val="en-AU" w:eastAsia="en-AU"/>
        </w:rPr>
        <w:t xml:space="preserve"> </w:t>
      </w:r>
      <w:r w:rsidR="00103AE0" w:rsidRPr="00103AE0">
        <w:rPr>
          <w:rFonts w:ascii="Calibri" w:eastAsia="Calibri" w:hAnsi="Calibri" w:cs="Calibri"/>
          <w:color w:val="000000"/>
          <w:u w:color="000000"/>
          <w:bdr w:val="nil"/>
          <w:lang w:val="en-AU" w:eastAsia="en-AU"/>
        </w:rPr>
        <w:t>discussion</w:t>
      </w:r>
      <w:proofErr w:type="gramEnd"/>
      <w:r w:rsidR="00103AE0" w:rsidRPr="00103AE0">
        <w:rPr>
          <w:rFonts w:ascii="Calibri" w:eastAsia="Calibri" w:hAnsi="Calibri" w:cs="Calibri"/>
          <w:color w:val="000000"/>
          <w:u w:color="000000"/>
          <w:bdr w:val="nil"/>
          <w:lang w:val="en-AU" w:eastAsia="en-AU"/>
        </w:rPr>
        <w:t xml:space="preserve"> </w:t>
      </w:r>
      <w:r w:rsidR="00352D7C">
        <w:rPr>
          <w:rFonts w:ascii="Calibri" w:eastAsia="Calibri" w:hAnsi="Calibri" w:cs="Calibri"/>
          <w:color w:val="000000"/>
          <w:u w:color="000000"/>
          <w:bdr w:val="nil"/>
          <w:lang w:val="en-AU" w:eastAsia="en-AU"/>
        </w:rPr>
        <w:t>o</w:t>
      </w:r>
      <w:r w:rsidR="000B2779">
        <w:rPr>
          <w:rFonts w:ascii="Calibri" w:eastAsia="Calibri" w:hAnsi="Calibri" w:cs="Calibri"/>
          <w:color w:val="000000"/>
          <w:u w:color="000000"/>
          <w:bdr w:val="nil"/>
          <w:lang w:val="en-AU" w:eastAsia="en-AU"/>
        </w:rPr>
        <w:t>f</w:t>
      </w:r>
      <w:r w:rsidR="00352D7C">
        <w:rPr>
          <w:rFonts w:ascii="Calibri" w:eastAsia="Calibri" w:hAnsi="Calibri" w:cs="Calibri"/>
          <w:color w:val="000000"/>
          <w:u w:color="000000"/>
          <w:bdr w:val="nil"/>
          <w:lang w:val="en-AU" w:eastAsia="en-AU"/>
        </w:rPr>
        <w:t xml:space="preserve"> the n</w:t>
      </w:r>
      <w:r w:rsidR="00103AE0" w:rsidRPr="00103AE0">
        <w:rPr>
          <w:rFonts w:ascii="Calibri" w:eastAsia="Calibri" w:hAnsi="Calibri" w:cs="Calibri"/>
          <w:color w:val="000000"/>
          <w:u w:color="000000"/>
          <w:bdr w:val="nil"/>
          <w:lang w:val="en-AU" w:eastAsia="en-AU"/>
        </w:rPr>
        <w:t xml:space="preserve">ot-for-profit </w:t>
      </w:r>
      <w:r w:rsidR="00464BF9">
        <w:rPr>
          <w:rFonts w:ascii="Calibri" w:eastAsia="Calibri" w:hAnsi="Calibri" w:cs="Calibri"/>
          <w:color w:val="000000"/>
          <w:u w:color="000000"/>
          <w:bdr w:val="nil"/>
          <w:lang w:val="en-AU" w:eastAsia="en-AU"/>
        </w:rPr>
        <w:t xml:space="preserve">(NFP) </w:t>
      </w:r>
      <w:r w:rsidR="00352D7C">
        <w:rPr>
          <w:rFonts w:ascii="Calibri" w:eastAsia="Calibri" w:hAnsi="Calibri" w:cs="Calibri"/>
          <w:color w:val="000000"/>
          <w:u w:color="000000"/>
          <w:bdr w:val="nil"/>
          <w:lang w:val="en-AU" w:eastAsia="en-AU"/>
        </w:rPr>
        <w:t xml:space="preserve">sector reveals a contrast in views between the government sector and the </w:t>
      </w:r>
      <w:r w:rsidR="00352D7C" w:rsidRPr="00BC1432">
        <w:rPr>
          <w:rFonts w:ascii="Calibri" w:eastAsia="Calibri" w:hAnsi="Calibri" w:cs="Calibri"/>
          <w:noProof/>
          <w:color w:val="000000"/>
          <w:bdr w:val="nil"/>
          <w:lang w:val="en-AU" w:eastAsia="en-AU"/>
        </w:rPr>
        <w:t>not-for-profit</w:t>
      </w:r>
      <w:r w:rsidR="00352D7C">
        <w:rPr>
          <w:rFonts w:ascii="Calibri" w:eastAsia="Calibri" w:hAnsi="Calibri" w:cs="Calibri"/>
          <w:color w:val="000000"/>
          <w:u w:color="000000"/>
          <w:bdr w:val="nil"/>
          <w:lang w:val="en-AU" w:eastAsia="en-AU"/>
        </w:rPr>
        <w:t xml:space="preserve"> sector. The discussion paper </w:t>
      </w:r>
      <w:r w:rsidR="00352D7C" w:rsidRPr="00BC1432">
        <w:rPr>
          <w:rFonts w:ascii="Calibri" w:eastAsia="Calibri" w:hAnsi="Calibri" w:cs="Calibri"/>
          <w:noProof/>
          <w:color w:val="000000"/>
          <w:bdr w:val="nil"/>
          <w:lang w:val="en-AU" w:eastAsia="en-AU"/>
        </w:rPr>
        <w:t>is focused</w:t>
      </w:r>
      <w:r w:rsidR="00352D7C">
        <w:rPr>
          <w:rFonts w:ascii="Calibri" w:eastAsia="Calibri" w:hAnsi="Calibri" w:cs="Calibri"/>
          <w:color w:val="000000"/>
          <w:u w:color="000000"/>
          <w:bdr w:val="nil"/>
          <w:lang w:val="en-AU" w:eastAsia="en-AU"/>
        </w:rPr>
        <w:t xml:space="preserve"> on revenue forgone, with some acknowledgement of the economic benefits of NFP activity. The NFP sector is of course focused on the revenue impact any loss of tax concessions would mean, but its </w:t>
      </w:r>
      <w:r w:rsidR="00D92C0B">
        <w:rPr>
          <w:rFonts w:ascii="Calibri" w:eastAsia="Calibri" w:hAnsi="Calibri" w:cs="Calibri"/>
          <w:color w:val="000000"/>
          <w:u w:color="000000"/>
          <w:bdr w:val="nil"/>
          <w:lang w:val="en-AU" w:eastAsia="en-AU"/>
        </w:rPr>
        <w:t xml:space="preserve">principal </w:t>
      </w:r>
      <w:r w:rsidR="00352D7C">
        <w:rPr>
          <w:rFonts w:ascii="Calibri" w:eastAsia="Calibri" w:hAnsi="Calibri" w:cs="Calibri"/>
          <w:color w:val="000000"/>
          <w:u w:color="000000"/>
          <w:bdr w:val="nil"/>
          <w:lang w:val="en-AU" w:eastAsia="en-AU"/>
        </w:rPr>
        <w:t xml:space="preserve">focus is </w:t>
      </w:r>
      <w:r w:rsidR="00103AE0" w:rsidRPr="00103AE0">
        <w:rPr>
          <w:rFonts w:ascii="Calibri" w:eastAsia="Calibri" w:hAnsi="Calibri" w:cs="Calibri"/>
          <w:color w:val="000000"/>
          <w:u w:color="000000"/>
          <w:bdr w:val="nil"/>
          <w:lang w:val="en-AU" w:eastAsia="en-AU"/>
        </w:rPr>
        <w:t xml:space="preserve">on outcomes that are often not based on money. </w:t>
      </w:r>
      <w:r w:rsidR="00352D7C">
        <w:rPr>
          <w:rFonts w:ascii="Calibri" w:eastAsia="Calibri" w:hAnsi="Calibri" w:cs="Calibri"/>
          <w:color w:val="000000"/>
          <w:u w:color="000000"/>
          <w:bdr w:val="nil"/>
          <w:lang w:val="en-AU" w:eastAsia="en-AU"/>
        </w:rPr>
        <w:t xml:space="preserve">Many of the benefits of this sector cannot </w:t>
      </w:r>
      <w:r w:rsidR="00352D7C" w:rsidRPr="00BC1432">
        <w:rPr>
          <w:rFonts w:ascii="Calibri" w:eastAsia="Calibri" w:hAnsi="Calibri" w:cs="Calibri"/>
          <w:noProof/>
          <w:color w:val="000000"/>
          <w:bdr w:val="nil"/>
          <w:lang w:val="en-AU" w:eastAsia="en-AU"/>
        </w:rPr>
        <w:t>be measured</w:t>
      </w:r>
      <w:r w:rsidR="00352D7C">
        <w:rPr>
          <w:rFonts w:ascii="Calibri" w:eastAsia="Calibri" w:hAnsi="Calibri" w:cs="Calibri"/>
          <w:color w:val="000000"/>
          <w:u w:color="000000"/>
          <w:bdr w:val="nil"/>
          <w:lang w:val="en-AU" w:eastAsia="en-AU"/>
        </w:rPr>
        <w:t xml:space="preserve"> in financial terms, so a simple accounting of revenue forgone as compared to benefits to the community is not possible</w:t>
      </w:r>
      <w:r w:rsidR="000B2779">
        <w:rPr>
          <w:rFonts w:ascii="Calibri" w:eastAsia="Calibri" w:hAnsi="Calibri" w:cs="Calibri"/>
          <w:color w:val="000000"/>
          <w:u w:color="000000"/>
          <w:bdr w:val="nil"/>
          <w:lang w:val="en-AU" w:eastAsia="en-AU"/>
        </w:rPr>
        <w:t>.</w:t>
      </w:r>
    </w:p>
    <w:p w14:paraId="15BFC597" w14:textId="77777777" w:rsidR="00352D7C" w:rsidRDefault="00352D7C"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90C00E7" w14:textId="77777777" w:rsidR="00352D7C" w:rsidRPr="00352D7C" w:rsidRDefault="00352D7C"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52D7C">
        <w:rPr>
          <w:rFonts w:ascii="Calibri" w:eastAsia="Calibri" w:hAnsi="Calibri" w:cs="Calibri"/>
          <w:color w:val="000000"/>
          <w:u w:color="000000"/>
          <w:bdr w:val="nil"/>
          <w:lang w:val="en-AU" w:eastAsia="en-AU"/>
        </w:rPr>
        <w:t xml:space="preserve">There are currently </w:t>
      </w:r>
      <w:r w:rsidRPr="004B6562">
        <w:rPr>
          <w:rFonts w:ascii="Calibri" w:eastAsia="Calibri" w:hAnsi="Calibri" w:cs="Calibri"/>
          <w:color w:val="000000"/>
          <w:u w:color="000000"/>
          <w:bdr w:val="nil"/>
          <w:lang w:val="en-AU" w:eastAsia="en-AU"/>
        </w:rPr>
        <w:t>3,663</w:t>
      </w:r>
      <w:r w:rsidRPr="00352D7C">
        <w:rPr>
          <w:rFonts w:ascii="Calibri" w:eastAsia="Calibri" w:hAnsi="Calibri" w:cs="Calibri"/>
          <w:color w:val="000000"/>
          <w:u w:color="000000"/>
          <w:bdr w:val="nil"/>
          <w:lang w:val="en-AU" w:eastAsia="en-AU"/>
        </w:rPr>
        <w:t xml:space="preserve"> entities in the Catholic Church Goods and Services Tax (GST) religious group. </w:t>
      </w:r>
      <w:r w:rsidRPr="00BC1432">
        <w:rPr>
          <w:rFonts w:ascii="Calibri" w:eastAsia="Calibri" w:hAnsi="Calibri" w:cs="Calibri"/>
          <w:noProof/>
          <w:color w:val="000000"/>
          <w:bdr w:val="nil"/>
          <w:lang w:val="en-AU" w:eastAsia="en-AU"/>
        </w:rPr>
        <w:t>This does</w:t>
      </w:r>
      <w:r w:rsidRPr="00352D7C">
        <w:rPr>
          <w:rFonts w:ascii="Calibri" w:eastAsia="Calibri" w:hAnsi="Calibri" w:cs="Calibri"/>
          <w:color w:val="000000"/>
          <w:u w:color="000000"/>
          <w:bdr w:val="nil"/>
          <w:lang w:val="en-AU" w:eastAsia="en-AU"/>
        </w:rPr>
        <w:t xml:space="preserve"> not reflect all the entities that comprise the Church as in many cases all the schools in a diocese were endorsed as one entity and in other </w:t>
      </w:r>
      <w:r w:rsidRPr="00BC1432">
        <w:rPr>
          <w:rFonts w:ascii="Calibri" w:eastAsia="Calibri" w:hAnsi="Calibri" w:cs="Calibri"/>
          <w:noProof/>
          <w:color w:val="000000"/>
          <w:bdr w:val="nil"/>
          <w:lang w:val="en-AU" w:eastAsia="en-AU"/>
        </w:rPr>
        <w:t>cases</w:t>
      </w:r>
      <w:r w:rsidRPr="00352D7C">
        <w:rPr>
          <w:rFonts w:ascii="Calibri" w:eastAsia="Calibri" w:hAnsi="Calibri" w:cs="Calibri"/>
          <w:color w:val="000000"/>
          <w:u w:color="000000"/>
          <w:bdr w:val="nil"/>
          <w:lang w:val="en-AU" w:eastAsia="en-AU"/>
        </w:rPr>
        <w:t xml:space="preserve"> </w:t>
      </w:r>
      <w:r w:rsidRPr="00BC1432">
        <w:rPr>
          <w:rFonts w:ascii="Calibri" w:eastAsia="Calibri" w:hAnsi="Calibri" w:cs="Calibri"/>
          <w:noProof/>
          <w:color w:val="000000"/>
          <w:bdr w:val="nil"/>
          <w:lang w:val="en-AU" w:eastAsia="en-AU"/>
        </w:rPr>
        <w:t>entities</w:t>
      </w:r>
      <w:r w:rsidRPr="00352D7C">
        <w:rPr>
          <w:rFonts w:ascii="Calibri" w:eastAsia="Calibri" w:hAnsi="Calibri" w:cs="Calibri"/>
          <w:color w:val="000000"/>
          <w:u w:color="000000"/>
          <w:bdr w:val="nil"/>
          <w:lang w:val="en-AU" w:eastAsia="en-AU"/>
        </w:rPr>
        <w:t xml:space="preserve"> were </w:t>
      </w:r>
      <w:r w:rsidRPr="00BC1432">
        <w:rPr>
          <w:rFonts w:ascii="Calibri" w:eastAsia="Calibri" w:hAnsi="Calibri" w:cs="Calibri"/>
          <w:noProof/>
          <w:color w:val="000000"/>
          <w:bdr w:val="nil"/>
          <w:lang w:val="en-AU" w:eastAsia="en-AU"/>
        </w:rPr>
        <w:t>endorsed</w:t>
      </w:r>
      <w:r w:rsidRPr="00352D7C">
        <w:rPr>
          <w:rFonts w:ascii="Calibri" w:eastAsia="Calibri" w:hAnsi="Calibri" w:cs="Calibri"/>
          <w:color w:val="000000"/>
          <w:u w:color="000000"/>
          <w:bdr w:val="nil"/>
          <w:lang w:val="en-AU" w:eastAsia="en-AU"/>
        </w:rPr>
        <w:t xml:space="preserve"> as branches. The Catholic Church comprises parishes, organisations within parishes, dioceses, religious orders, provinces, the church nationally and local entities that are part of the church internationally.</w:t>
      </w:r>
    </w:p>
    <w:p w14:paraId="5C8B8FF5" w14:textId="77777777" w:rsidR="00352D7C" w:rsidRPr="00352D7C" w:rsidRDefault="00352D7C"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11E9560" w14:textId="77777777" w:rsidR="00352D7C" w:rsidRPr="00352D7C" w:rsidRDefault="00352D7C"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52D7C">
        <w:rPr>
          <w:rFonts w:ascii="Calibri" w:eastAsia="Calibri" w:hAnsi="Calibri" w:cs="Calibri"/>
          <w:color w:val="000000"/>
          <w:u w:color="000000"/>
          <w:bdr w:val="nil"/>
          <w:lang w:val="en-AU" w:eastAsia="en-AU"/>
        </w:rPr>
        <w:t xml:space="preserve">Parishioners provide </w:t>
      </w:r>
      <w:r w:rsidRPr="00BC1432">
        <w:rPr>
          <w:rFonts w:ascii="Calibri" w:eastAsia="Calibri" w:hAnsi="Calibri" w:cs="Calibri"/>
          <w:noProof/>
          <w:color w:val="000000"/>
          <w:bdr w:val="nil"/>
          <w:lang w:val="en-AU" w:eastAsia="en-AU"/>
        </w:rPr>
        <w:t>non tax-deductible</w:t>
      </w:r>
      <w:r w:rsidRPr="00352D7C">
        <w:rPr>
          <w:rFonts w:ascii="Calibri" w:eastAsia="Calibri" w:hAnsi="Calibri" w:cs="Calibri"/>
          <w:color w:val="000000"/>
          <w:u w:color="000000"/>
          <w:bdr w:val="nil"/>
          <w:lang w:val="en-AU" w:eastAsia="en-AU"/>
        </w:rPr>
        <w:t xml:space="preserve"> contributions (e.g. deposited voluntarily to collections</w:t>
      </w:r>
      <w:r w:rsidR="00464BF9">
        <w:rPr>
          <w:rFonts w:ascii="Calibri" w:eastAsia="Calibri" w:hAnsi="Calibri" w:cs="Calibri"/>
          <w:color w:val="000000"/>
          <w:u w:color="000000"/>
          <w:bdr w:val="nil"/>
          <w:lang w:val="en-AU" w:eastAsia="en-AU"/>
        </w:rPr>
        <w:t xml:space="preserve"> at </w:t>
      </w:r>
      <w:r w:rsidRPr="00352D7C">
        <w:rPr>
          <w:rFonts w:ascii="Calibri" w:eastAsia="Calibri" w:hAnsi="Calibri" w:cs="Calibri"/>
          <w:color w:val="000000"/>
          <w:u w:color="000000"/>
          <w:bdr w:val="nil"/>
          <w:lang w:val="en-AU" w:eastAsia="en-AU"/>
        </w:rPr>
        <w:t>church services) and tax-deductible contributions (e.g. donations to registered school building funds</w:t>
      </w:r>
      <w:r w:rsidR="00464BF9">
        <w:rPr>
          <w:rFonts w:ascii="Calibri" w:eastAsia="Calibri" w:hAnsi="Calibri" w:cs="Calibri"/>
          <w:color w:val="000000"/>
          <w:u w:color="000000"/>
          <w:bdr w:val="nil"/>
          <w:lang w:val="en-AU" w:eastAsia="en-AU"/>
        </w:rPr>
        <w:t xml:space="preserve"> or other Church sponsored deductible gift recipients</w:t>
      </w:r>
      <w:r w:rsidRPr="00352D7C">
        <w:rPr>
          <w:rFonts w:ascii="Calibri" w:eastAsia="Calibri" w:hAnsi="Calibri" w:cs="Calibri"/>
          <w:color w:val="000000"/>
          <w:u w:color="000000"/>
          <w:bdr w:val="nil"/>
          <w:lang w:val="en-AU" w:eastAsia="en-AU"/>
        </w:rPr>
        <w:t xml:space="preserve">). </w:t>
      </w:r>
      <w:r w:rsidR="000A2F91" w:rsidRPr="00BC1432">
        <w:rPr>
          <w:rFonts w:ascii="Calibri" w:eastAsia="Calibri" w:hAnsi="Calibri" w:cs="Calibri"/>
          <w:noProof/>
          <w:color w:val="000000"/>
          <w:bdr w:val="nil"/>
          <w:lang w:val="en-AU" w:eastAsia="en-AU"/>
        </w:rPr>
        <w:t>This means</w:t>
      </w:r>
      <w:r w:rsidR="000A2F91">
        <w:rPr>
          <w:rFonts w:ascii="Calibri" w:eastAsia="Calibri" w:hAnsi="Calibri" w:cs="Calibri"/>
          <w:color w:val="000000"/>
          <w:u w:color="000000"/>
          <w:bdr w:val="nil"/>
          <w:lang w:val="en-AU" w:eastAsia="en-AU"/>
        </w:rPr>
        <w:t xml:space="preserve"> that the overall benefit to the community is magnified. Such tax concessions should not </w:t>
      </w:r>
      <w:r w:rsidR="000A2F91" w:rsidRPr="00BC1432">
        <w:rPr>
          <w:rFonts w:ascii="Calibri" w:eastAsia="Calibri" w:hAnsi="Calibri" w:cs="Calibri"/>
          <w:noProof/>
          <w:color w:val="000000"/>
          <w:bdr w:val="nil"/>
          <w:lang w:val="en-AU" w:eastAsia="en-AU"/>
        </w:rPr>
        <w:t>be characterised</w:t>
      </w:r>
      <w:r w:rsidR="000A2F91">
        <w:rPr>
          <w:rFonts w:ascii="Calibri" w:eastAsia="Calibri" w:hAnsi="Calibri" w:cs="Calibri"/>
          <w:color w:val="000000"/>
          <w:u w:color="000000"/>
          <w:bdr w:val="nil"/>
          <w:lang w:val="en-AU" w:eastAsia="en-AU"/>
        </w:rPr>
        <w:t xml:space="preserve"> as a loss to government revenue.</w:t>
      </w:r>
    </w:p>
    <w:p w14:paraId="3D5568E1" w14:textId="77777777" w:rsidR="00352D7C" w:rsidRPr="00352D7C" w:rsidRDefault="00352D7C"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0A553E3" w14:textId="77777777" w:rsidR="00352D7C" w:rsidRDefault="00352D7C"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52D7C">
        <w:rPr>
          <w:rFonts w:ascii="Calibri" w:eastAsia="Calibri" w:hAnsi="Calibri" w:cs="Calibri"/>
          <w:color w:val="000000"/>
          <w:u w:color="000000"/>
          <w:bdr w:val="nil"/>
          <w:lang w:val="en-AU" w:eastAsia="en-AU"/>
        </w:rPr>
        <w:t xml:space="preserve">Parishioners identify with the community benefit and social capital generated by their local parish and church activities. They are able to observe directly how their contribution is applied locally through their direct involvement in worship and other parish activities. This relationship provides adequate opportunity for accountability and transparency and requires different treatment to the duties to a donor generally. </w:t>
      </w:r>
      <w:r w:rsidR="000A2F91">
        <w:rPr>
          <w:rFonts w:ascii="Calibri" w:eastAsia="Calibri" w:hAnsi="Calibri" w:cs="Calibri"/>
          <w:color w:val="000000"/>
          <w:u w:color="000000"/>
          <w:bdr w:val="nil"/>
          <w:lang w:val="en-AU" w:eastAsia="en-AU"/>
        </w:rPr>
        <w:t>This reinforces the values to the community of the current DGR arrangements.</w:t>
      </w:r>
    </w:p>
    <w:p w14:paraId="318FDE44" w14:textId="77777777" w:rsidR="00826AA1" w:rsidRDefault="00826AA1"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74EB662" w14:textId="77777777" w:rsidR="00826AA1" w:rsidRDefault="00826AA1"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4B6562">
        <w:rPr>
          <w:rFonts w:ascii="Calibri" w:eastAsia="Calibri" w:hAnsi="Calibri" w:cs="Calibri"/>
          <w:color w:val="000000"/>
          <w:u w:color="000000"/>
          <w:bdr w:val="nil"/>
          <w:lang w:val="en-AU" w:eastAsia="en-AU"/>
        </w:rPr>
        <w:t xml:space="preserve">Tax concessions allow entities in the NFP sector to devote more money to achieving their mission, with more funding certainty, compared to churning money through government tax and transfer systems with all the </w:t>
      </w:r>
      <w:r w:rsidR="009C360E" w:rsidRPr="004B6562">
        <w:rPr>
          <w:rFonts w:ascii="Calibri" w:eastAsia="Calibri" w:hAnsi="Calibri" w:cs="Calibri"/>
          <w:color w:val="000000"/>
          <w:u w:color="000000"/>
          <w:bdr w:val="nil"/>
          <w:lang w:val="en-AU" w:eastAsia="en-AU"/>
        </w:rPr>
        <w:t xml:space="preserve">associated </w:t>
      </w:r>
      <w:r w:rsidRPr="004B6562">
        <w:rPr>
          <w:rFonts w:ascii="Calibri" w:eastAsia="Calibri" w:hAnsi="Calibri" w:cs="Calibri"/>
          <w:color w:val="000000"/>
          <w:u w:color="000000"/>
          <w:bdr w:val="nil"/>
          <w:lang w:val="en-AU" w:eastAsia="en-AU"/>
        </w:rPr>
        <w:t>administrative costs.</w:t>
      </w:r>
      <w:r w:rsidRPr="004B6562">
        <w:rPr>
          <w:rStyle w:val="FootnoteReference"/>
          <w:rFonts w:ascii="Calibri" w:eastAsia="Calibri" w:hAnsi="Calibri" w:cs="Calibri"/>
          <w:color w:val="000000"/>
          <w:u w:color="000000"/>
          <w:bdr w:val="nil"/>
          <w:lang w:val="en-AU" w:eastAsia="en-AU"/>
        </w:rPr>
        <w:footnoteReference w:id="5"/>
      </w:r>
    </w:p>
    <w:p w14:paraId="21B7CC15" w14:textId="77777777" w:rsidR="005343ED" w:rsidRDefault="005343ED" w:rsidP="00352D7C">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31D0C7C" w14:textId="77777777" w:rsidR="005343ED" w:rsidRPr="00AD3D0D" w:rsidRDefault="005343ED" w:rsidP="005343ED">
      <w:pPr>
        <w:autoSpaceDE w:val="0"/>
        <w:autoSpaceDN w:val="0"/>
        <w:adjustRightInd w:val="0"/>
        <w:rPr>
          <w:rFonts w:ascii="Calibri" w:eastAsia="Calibri" w:hAnsi="Calibri" w:cs="Calibri"/>
          <w:u w:color="000000"/>
          <w:bdr w:val="nil"/>
          <w:lang w:val="en-AU" w:eastAsia="en-AU"/>
        </w:rPr>
      </w:pPr>
      <w:r w:rsidRPr="006079B9">
        <w:rPr>
          <w:rFonts w:ascii="Calibri" w:eastAsia="Calibri" w:hAnsi="Calibri" w:cs="Calibri"/>
          <w:color w:val="000000"/>
          <w:u w:color="000000"/>
          <w:bdr w:val="nil"/>
          <w:lang w:val="en-AU" w:eastAsia="en-AU"/>
        </w:rPr>
        <w:t xml:space="preserve">It should also be taken into account that the subject matter of chapter 7 of the discussion paper has been the focus of several reviews in recent years, most recently in the independent </w:t>
      </w:r>
      <w:r w:rsidRPr="00AD3D0D">
        <w:rPr>
          <w:rFonts w:ascii="Calibri" w:eastAsia="Calibri" w:hAnsi="Calibri" w:cs="Calibri"/>
          <w:u w:color="000000"/>
          <w:bdr w:val="nil"/>
          <w:lang w:val="en-AU" w:eastAsia="en-AU"/>
        </w:rPr>
        <w:t>N</w:t>
      </w:r>
      <w:r w:rsidRPr="00AD3D0D">
        <w:rPr>
          <w:rFonts w:ascii="Calibri" w:hAnsi="Calibri" w:cs="HelveticaNeue-Thin-SC700"/>
          <w:lang w:val="en-AU" w:eastAsia="en-AU"/>
        </w:rPr>
        <w:t>ot-for-profit Sector Tax Concession Working Group’s report</w:t>
      </w:r>
      <w:r w:rsidR="00AD3D0D">
        <w:rPr>
          <w:rFonts w:ascii="Calibri" w:hAnsi="Calibri" w:cs="HelveticaNeue-Medium"/>
          <w:lang w:val="en-AU" w:eastAsia="en-AU"/>
        </w:rPr>
        <w:t>, “</w:t>
      </w:r>
      <w:r w:rsidR="00AD3D0D" w:rsidRPr="00AD3D0D">
        <w:rPr>
          <w:rFonts w:ascii="Calibri" w:hAnsi="Calibri" w:cs="HelveticaNeue-Medium"/>
          <w:lang w:val="en-AU" w:eastAsia="en-AU"/>
        </w:rPr>
        <w:t>F</w:t>
      </w:r>
      <w:r w:rsidRPr="00AD3D0D">
        <w:rPr>
          <w:rFonts w:ascii="Calibri" w:hAnsi="Calibri" w:cs="HelveticaNeue-Medium"/>
          <w:lang w:val="en-AU" w:eastAsia="en-AU"/>
        </w:rPr>
        <w:t xml:space="preserve">airer, simpler </w:t>
      </w:r>
      <w:r w:rsidRPr="00AD3D0D">
        <w:rPr>
          <w:rFonts w:ascii="Calibri" w:eastAsia="HelveticaNeue-Thin" w:hAnsi="Calibri" w:cs="HelveticaNeue-Thin"/>
          <w:lang w:val="en-AU" w:eastAsia="en-AU"/>
        </w:rPr>
        <w:t xml:space="preserve">and more </w:t>
      </w:r>
      <w:r w:rsidRPr="00AD3D0D">
        <w:rPr>
          <w:rFonts w:ascii="Calibri" w:hAnsi="Calibri" w:cs="HelveticaNeue-Medium"/>
          <w:lang w:val="en-AU" w:eastAsia="en-AU"/>
        </w:rPr>
        <w:t xml:space="preserve">effective </w:t>
      </w:r>
      <w:r w:rsidRPr="00AD3D0D">
        <w:rPr>
          <w:rFonts w:ascii="Calibri" w:eastAsia="HelveticaNeue-Thin" w:hAnsi="Calibri" w:cs="HelveticaNeue-Thin"/>
          <w:lang w:val="en-AU" w:eastAsia="en-AU"/>
        </w:rPr>
        <w:t xml:space="preserve">tax concessions for the not for profit sector” (May 2013). The Working Group’s report was broadly supportive of the existing tax concessions, with some particular recommendations concerning fringe benefits tax concessions. While the ACBC welcomes the opportunity to make contribution to the discussion paper, it encourages the review team to have regard to the analysis and conclusions in prior, more comprehensive reviews regarding the NFP sector, so that tax is not viewed in isolation.  </w:t>
      </w:r>
    </w:p>
    <w:p w14:paraId="2C74B622" w14:textId="77777777" w:rsidR="00352D7C" w:rsidRPr="00AD3D0D" w:rsidRDefault="00352D7C" w:rsidP="00103AE0">
      <w:pPr>
        <w:pBdr>
          <w:top w:val="nil"/>
          <w:left w:val="nil"/>
          <w:bottom w:val="nil"/>
          <w:right w:val="nil"/>
          <w:between w:val="nil"/>
          <w:bar w:val="nil"/>
        </w:pBdr>
        <w:outlineLvl w:val="0"/>
        <w:rPr>
          <w:rFonts w:ascii="Calibri" w:eastAsia="Calibri" w:hAnsi="Calibri" w:cs="Calibri"/>
          <w:u w:color="000000"/>
          <w:bdr w:val="nil"/>
          <w:lang w:val="en-AU" w:eastAsia="en-AU"/>
        </w:rPr>
      </w:pPr>
    </w:p>
    <w:p w14:paraId="147BFBF7" w14:textId="77777777" w:rsidR="00103AE0" w:rsidRPr="00352D7C" w:rsidRDefault="00103AE0" w:rsidP="00103AE0">
      <w:pPr>
        <w:pBdr>
          <w:top w:val="nil"/>
          <w:left w:val="nil"/>
          <w:bottom w:val="nil"/>
          <w:right w:val="nil"/>
          <w:between w:val="nil"/>
          <w:bar w:val="nil"/>
        </w:pBdr>
        <w:outlineLvl w:val="0"/>
        <w:rPr>
          <w:rFonts w:ascii="Calibri" w:eastAsia="Calibri" w:hAnsi="Calibri" w:cs="Calibri"/>
          <w:i/>
          <w:color w:val="000000"/>
          <w:u w:color="000000"/>
          <w:bdr w:val="nil"/>
          <w:lang w:val="en-AU" w:eastAsia="en-AU"/>
        </w:rPr>
      </w:pPr>
      <w:r w:rsidRPr="00352D7C">
        <w:rPr>
          <w:rFonts w:ascii="Calibri" w:eastAsia="Calibri" w:hAnsi="Calibri" w:cs="Calibri"/>
          <w:i/>
          <w:color w:val="000000"/>
          <w:u w:color="000000"/>
          <w:bdr w:val="nil"/>
          <w:lang w:val="en-AU" w:eastAsia="en-AU"/>
        </w:rPr>
        <w:lastRenderedPageBreak/>
        <w:t>Discussion questions</w:t>
      </w:r>
    </w:p>
    <w:p w14:paraId="737DDC63" w14:textId="77777777" w:rsid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E7CC1DE" w14:textId="77777777" w:rsidR="00352D7C" w:rsidRDefault="00352D7C"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The Church wishes to comment on the discussion questions.</w:t>
      </w:r>
    </w:p>
    <w:p w14:paraId="53263DE2" w14:textId="77777777" w:rsidR="00352D7C" w:rsidRDefault="00352D7C"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D20F7F1" w14:textId="77777777" w:rsidR="003D4699" w:rsidRPr="00BC1432" w:rsidRDefault="003D4699"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BC1432">
        <w:rPr>
          <w:rFonts w:ascii="Calibri" w:eastAsia="Calibri" w:hAnsi="Calibri" w:cs="Calibri"/>
          <w:b/>
          <w:color w:val="000000"/>
          <w:u w:color="000000"/>
          <w:bdr w:val="nil"/>
          <w:lang w:val="en-AU" w:eastAsia="en-AU"/>
        </w:rPr>
        <w:t>6. What should our individuals income tax system look like and why?</w:t>
      </w:r>
    </w:p>
    <w:p w14:paraId="74D4C784" w14:textId="77777777" w:rsidR="003D4699" w:rsidRDefault="003D4699"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1F7139B" w14:textId="77777777" w:rsidR="003D4699" w:rsidRDefault="003D4699"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D4699">
        <w:rPr>
          <w:rFonts w:ascii="Calibri" w:eastAsia="Calibri" w:hAnsi="Calibri" w:cs="Calibri"/>
          <w:color w:val="000000"/>
          <w:u w:color="000000"/>
          <w:bdr w:val="nil"/>
          <w:lang w:val="en-AU" w:eastAsia="en-AU"/>
        </w:rPr>
        <w:t xml:space="preserve">Parents who stay at home are considered to be outside the workforce because they do not receive pay. This overlooks the key role these parents have in the welfare of their families and local communities. Many Australian families rely on one parent for most of their income. This is often because families decide one of two parents should stay at home to care for their children. These families are disadvantaged by the tax system because they do not have access to the two tax free thresholds </w:t>
      </w:r>
      <w:r w:rsidR="000664DD">
        <w:rPr>
          <w:rFonts w:ascii="Calibri" w:eastAsia="Calibri" w:hAnsi="Calibri" w:cs="Calibri"/>
          <w:color w:val="000000"/>
          <w:u w:color="000000"/>
          <w:bdr w:val="nil"/>
          <w:lang w:val="en-AU" w:eastAsia="en-AU"/>
        </w:rPr>
        <w:t>available to</w:t>
      </w:r>
      <w:r w:rsidRPr="003D4699">
        <w:rPr>
          <w:rFonts w:ascii="Calibri" w:eastAsia="Calibri" w:hAnsi="Calibri" w:cs="Calibri"/>
          <w:color w:val="000000"/>
          <w:u w:color="000000"/>
          <w:bdr w:val="nil"/>
          <w:lang w:val="en-AU" w:eastAsia="en-AU"/>
        </w:rPr>
        <w:t xml:space="preserve"> families with </w:t>
      </w:r>
      <w:r w:rsidR="000664DD">
        <w:rPr>
          <w:rFonts w:ascii="Calibri" w:eastAsia="Calibri" w:hAnsi="Calibri" w:cs="Calibri"/>
          <w:color w:val="000000"/>
          <w:u w:color="000000"/>
          <w:bdr w:val="nil"/>
          <w:lang w:val="en-AU" w:eastAsia="en-AU"/>
        </w:rPr>
        <w:t xml:space="preserve">the same total income, but </w:t>
      </w:r>
      <w:r w:rsidRPr="003D4699">
        <w:rPr>
          <w:rFonts w:ascii="Calibri" w:eastAsia="Calibri" w:hAnsi="Calibri" w:cs="Calibri"/>
          <w:color w:val="000000"/>
          <w:u w:color="000000"/>
          <w:bdr w:val="nil"/>
          <w:lang w:val="en-AU" w:eastAsia="en-AU"/>
        </w:rPr>
        <w:t xml:space="preserve">two income </w:t>
      </w:r>
      <w:r w:rsidR="000664DD">
        <w:rPr>
          <w:rFonts w:ascii="Calibri" w:eastAsia="Calibri" w:hAnsi="Calibri" w:cs="Calibri"/>
          <w:color w:val="000000"/>
          <w:u w:color="000000"/>
          <w:bdr w:val="nil"/>
          <w:lang w:val="en-AU" w:eastAsia="en-AU"/>
        </w:rPr>
        <w:t>earners</w:t>
      </w:r>
      <w:r w:rsidRPr="003D4699">
        <w:rPr>
          <w:rFonts w:ascii="Calibri" w:eastAsia="Calibri" w:hAnsi="Calibri" w:cs="Calibri"/>
          <w:color w:val="000000"/>
          <w:u w:color="000000"/>
          <w:bdr w:val="nil"/>
          <w:lang w:val="en-AU" w:eastAsia="en-AU"/>
        </w:rPr>
        <w:t xml:space="preserve">. </w:t>
      </w:r>
      <w:r w:rsidR="006257EC">
        <w:rPr>
          <w:rFonts w:ascii="Calibri" w:eastAsia="Calibri" w:hAnsi="Calibri" w:cs="Calibri"/>
          <w:color w:val="000000"/>
          <w:u w:color="000000"/>
          <w:bdr w:val="nil"/>
          <w:lang w:val="en-AU" w:eastAsia="en-AU"/>
        </w:rPr>
        <w:t xml:space="preserve">The Discussion Paper notes this particularly disadvantages people in the income tax system who do not have alternatives like trusts to help them income split (see page 51). </w:t>
      </w:r>
      <w:r w:rsidRPr="003D4699">
        <w:rPr>
          <w:rFonts w:ascii="Calibri" w:eastAsia="Calibri" w:hAnsi="Calibri" w:cs="Calibri"/>
          <w:color w:val="000000"/>
          <w:u w:color="000000"/>
          <w:bdr w:val="nil"/>
          <w:lang w:val="en-AU" w:eastAsia="en-AU"/>
        </w:rPr>
        <w:t>The tax system should treat families equally, whatever their decision on how they care for their children.</w:t>
      </w:r>
    </w:p>
    <w:p w14:paraId="1EB7F681" w14:textId="77777777" w:rsidR="00C52DA4" w:rsidRDefault="00C52DA4"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2787A7F" w14:textId="77777777" w:rsidR="00C52DA4" w:rsidRDefault="00C52DA4"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Families with four or more children represent five percent of Australian families.</w:t>
      </w:r>
      <w:r>
        <w:rPr>
          <w:rStyle w:val="FootnoteReference"/>
          <w:rFonts w:ascii="Calibri" w:eastAsia="Calibri" w:hAnsi="Calibri" w:cs="Calibri"/>
          <w:color w:val="000000"/>
          <w:u w:color="000000"/>
          <w:bdr w:val="nil"/>
          <w:lang w:val="en-AU" w:eastAsia="en-AU"/>
        </w:rPr>
        <w:footnoteReference w:id="6"/>
      </w:r>
      <w:r>
        <w:rPr>
          <w:rFonts w:ascii="Calibri" w:eastAsia="Calibri" w:hAnsi="Calibri" w:cs="Calibri"/>
          <w:color w:val="000000"/>
          <w:u w:color="000000"/>
          <w:bdr w:val="nil"/>
          <w:lang w:val="en-AU" w:eastAsia="en-AU"/>
        </w:rPr>
        <w:t xml:space="preserve"> These families account for a much larger proportion of all </w:t>
      </w:r>
      <w:r w:rsidR="008A36CA">
        <w:rPr>
          <w:rFonts w:ascii="Calibri" w:eastAsia="Calibri" w:hAnsi="Calibri" w:cs="Calibri"/>
          <w:color w:val="000000"/>
          <w:u w:color="000000"/>
          <w:bdr w:val="nil"/>
          <w:lang w:val="en-AU" w:eastAsia="en-AU"/>
        </w:rPr>
        <w:t>children aged under 18. Given</w:t>
      </w:r>
      <w:r>
        <w:rPr>
          <w:rFonts w:ascii="Calibri" w:eastAsia="Calibri" w:hAnsi="Calibri" w:cs="Calibri"/>
          <w:color w:val="000000"/>
          <w:u w:color="000000"/>
          <w:bdr w:val="nil"/>
          <w:lang w:val="en-AU" w:eastAsia="en-AU"/>
        </w:rPr>
        <w:t xml:space="preserve"> </w:t>
      </w:r>
      <w:r w:rsidR="008A36CA">
        <w:rPr>
          <w:rFonts w:ascii="Calibri" w:eastAsia="Calibri" w:hAnsi="Calibri" w:cs="Calibri"/>
          <w:color w:val="000000"/>
          <w:u w:color="000000"/>
          <w:bdr w:val="nil"/>
          <w:lang w:val="en-AU" w:eastAsia="en-AU"/>
        </w:rPr>
        <w:t>“</w:t>
      </w:r>
      <w:r>
        <w:rPr>
          <w:rFonts w:ascii="Calibri" w:eastAsia="Calibri" w:hAnsi="Calibri" w:cs="Calibri"/>
          <w:color w:val="000000"/>
          <w:u w:color="000000"/>
          <w:bdr w:val="nil"/>
          <w:lang w:val="en-AU" w:eastAsia="en-AU"/>
        </w:rPr>
        <w:t>families with three or more children are more likely to have one parent out of the labour force or working part-time”,</w:t>
      </w:r>
      <w:r w:rsidR="00423D49">
        <w:rPr>
          <w:rStyle w:val="FootnoteReference"/>
          <w:rFonts w:ascii="Calibri" w:eastAsia="Calibri" w:hAnsi="Calibri" w:cs="Calibri"/>
          <w:color w:val="000000"/>
          <w:u w:color="000000"/>
          <w:bdr w:val="nil"/>
          <w:lang w:val="en-AU" w:eastAsia="en-AU"/>
        </w:rPr>
        <w:footnoteReference w:id="7"/>
      </w:r>
      <w:r>
        <w:rPr>
          <w:rFonts w:ascii="Calibri" w:eastAsia="Calibri" w:hAnsi="Calibri" w:cs="Calibri"/>
          <w:color w:val="000000"/>
          <w:u w:color="000000"/>
          <w:bdr w:val="nil"/>
          <w:lang w:val="en-AU" w:eastAsia="en-AU"/>
        </w:rPr>
        <w:t xml:space="preserve"> the government should not dismiss the contribution and needs of these single income families or burden them with pressure to participate in the paid workforce.</w:t>
      </w:r>
    </w:p>
    <w:p w14:paraId="3300267D" w14:textId="77777777" w:rsidR="00F21725" w:rsidRDefault="00F21725"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7D166C6" w14:textId="77777777" w:rsidR="003D4699" w:rsidRPr="00BC1432" w:rsidRDefault="003D4699"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BC1432">
        <w:rPr>
          <w:rFonts w:ascii="Calibri" w:eastAsia="Calibri" w:hAnsi="Calibri" w:cs="Calibri"/>
          <w:b/>
          <w:color w:val="000000"/>
          <w:u w:color="000000"/>
          <w:bdr w:val="nil"/>
          <w:lang w:val="en-AU" w:eastAsia="en-AU"/>
        </w:rPr>
        <w:t>9. To what extent does taxation affect people’s workforce participation decisions?</w:t>
      </w:r>
    </w:p>
    <w:p w14:paraId="276079D8" w14:textId="77777777" w:rsidR="003D4699" w:rsidRDefault="003D4699"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B2F2AFC" w14:textId="77777777" w:rsidR="003D4699" w:rsidRDefault="003D4699" w:rsidP="00B93607">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D4699">
        <w:rPr>
          <w:rFonts w:ascii="Calibri" w:eastAsia="Calibri" w:hAnsi="Calibri" w:cs="Calibri"/>
          <w:color w:val="000000"/>
          <w:u w:color="000000"/>
          <w:bdr w:val="nil"/>
          <w:lang w:val="en-AU" w:eastAsia="en-AU"/>
        </w:rPr>
        <w:t xml:space="preserve">Governments have made it clear for many years they wish to increase workforce participation, primarily by encouraging women to join the paid workforce. The tax system should not be used to punish those families that decide they want to make the financial sacrifice to have one parent at home looking after their children. The tax system should at the very least be neutral on the question of family decisions on how they support their children, but preferably it should offer support </w:t>
      </w:r>
      <w:r>
        <w:rPr>
          <w:rFonts w:ascii="Calibri" w:eastAsia="Calibri" w:hAnsi="Calibri" w:cs="Calibri"/>
          <w:color w:val="000000"/>
          <w:u w:color="000000"/>
          <w:bdr w:val="nil"/>
          <w:lang w:val="en-AU" w:eastAsia="en-AU"/>
        </w:rPr>
        <w:t>for the important work of families,</w:t>
      </w:r>
      <w:r w:rsidRPr="003D4699">
        <w:rPr>
          <w:rFonts w:ascii="Calibri" w:eastAsia="Calibri" w:hAnsi="Calibri" w:cs="Calibri"/>
          <w:color w:val="000000"/>
          <w:u w:color="000000"/>
          <w:bdr w:val="nil"/>
          <w:lang w:val="en-AU" w:eastAsia="en-AU"/>
        </w:rPr>
        <w:t xml:space="preserve"> even if they do not wish to have two incomes.</w:t>
      </w:r>
    </w:p>
    <w:p w14:paraId="1B90E562" w14:textId="77777777" w:rsidR="00662902" w:rsidRDefault="00662902"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20BCA04B" w14:textId="77777777" w:rsidR="00B93607" w:rsidRDefault="00662902"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62902">
        <w:rPr>
          <w:rFonts w:ascii="Calibri" w:eastAsia="Calibri" w:hAnsi="Calibri" w:cs="Calibri"/>
          <w:color w:val="000000"/>
          <w:u w:color="000000"/>
          <w:bdr w:val="nil"/>
          <w:lang w:val="en-AU" w:eastAsia="en-AU"/>
        </w:rPr>
        <w:t xml:space="preserve">Families and the children they raise are important to Australia’s future. </w:t>
      </w:r>
      <w:r w:rsidR="00B93607">
        <w:rPr>
          <w:rFonts w:ascii="Calibri" w:eastAsia="Calibri" w:hAnsi="Calibri" w:cs="Calibri"/>
          <w:color w:val="000000"/>
          <w:u w:color="000000"/>
          <w:bdr w:val="nil"/>
          <w:lang w:val="en-AU" w:eastAsia="en-AU"/>
        </w:rPr>
        <w:t xml:space="preserve">Families provide a safe and stable place for children to grow up with their parents. </w:t>
      </w:r>
      <w:r w:rsidR="00E20870" w:rsidRPr="00E20870">
        <w:rPr>
          <w:rFonts w:ascii="Calibri" w:eastAsia="Calibri" w:hAnsi="Calibri" w:cs="Calibri"/>
          <w:color w:val="000000"/>
          <w:u w:color="000000"/>
          <w:bdr w:val="nil"/>
          <w:lang w:val="en-AU" w:eastAsia="en-AU"/>
        </w:rPr>
        <w:t>When family relationships fail under the weight of financial or other pressures, the direct cost to the government in terms of extra social services is significant.</w:t>
      </w:r>
      <w:r w:rsidR="00E20870">
        <w:rPr>
          <w:rFonts w:ascii="Calibri" w:eastAsia="Calibri" w:hAnsi="Calibri" w:cs="Calibri"/>
          <w:color w:val="000000"/>
          <w:u w:color="000000"/>
          <w:bdr w:val="nil"/>
          <w:lang w:val="en-AU" w:eastAsia="en-AU"/>
        </w:rPr>
        <w:t xml:space="preserve"> </w:t>
      </w:r>
      <w:r w:rsidR="00B93607" w:rsidRPr="00C52DA4">
        <w:rPr>
          <w:rFonts w:ascii="Calibri" w:eastAsia="Calibri" w:hAnsi="Calibri" w:cs="Calibri"/>
          <w:noProof/>
          <w:color w:val="000000"/>
          <w:bdr w:val="nil"/>
          <w:lang w:val="en-AU" w:eastAsia="en-AU"/>
        </w:rPr>
        <w:t>Governments</w:t>
      </w:r>
      <w:r w:rsidR="00B93607">
        <w:rPr>
          <w:rFonts w:ascii="Calibri" w:eastAsia="Calibri" w:hAnsi="Calibri" w:cs="Calibri"/>
          <w:color w:val="000000"/>
          <w:u w:color="000000"/>
          <w:bdr w:val="nil"/>
          <w:lang w:val="en-AU" w:eastAsia="en-AU"/>
        </w:rPr>
        <w:t xml:space="preserve">, recognising the </w:t>
      </w:r>
      <w:r w:rsidR="00B93607" w:rsidRPr="00C52DA4">
        <w:rPr>
          <w:rFonts w:ascii="Calibri" w:eastAsia="Calibri" w:hAnsi="Calibri" w:cs="Calibri"/>
          <w:noProof/>
          <w:color w:val="000000"/>
          <w:bdr w:val="nil"/>
          <w:lang w:val="en-AU" w:eastAsia="en-AU"/>
        </w:rPr>
        <w:t>important</w:t>
      </w:r>
      <w:r w:rsidR="00B93607">
        <w:rPr>
          <w:rFonts w:ascii="Calibri" w:eastAsia="Calibri" w:hAnsi="Calibri" w:cs="Calibri"/>
          <w:color w:val="000000"/>
          <w:u w:color="000000"/>
          <w:bdr w:val="nil"/>
          <w:lang w:val="en-AU" w:eastAsia="en-AU"/>
        </w:rPr>
        <w:t xml:space="preserve"> role of families in socialising and educating future generations of the community, provide some support.</w:t>
      </w:r>
    </w:p>
    <w:p w14:paraId="7F5E1FDB" w14:textId="77777777" w:rsidR="006C4441" w:rsidRPr="00662902" w:rsidRDefault="006C4441"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8F900C1" w14:textId="77777777" w:rsidR="00662902" w:rsidRDefault="00662902"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C52DA4">
        <w:rPr>
          <w:rFonts w:ascii="Calibri" w:eastAsia="Calibri" w:hAnsi="Calibri" w:cs="Calibri"/>
          <w:noProof/>
          <w:color w:val="000000"/>
          <w:bdr w:val="nil"/>
          <w:lang w:val="en-AU" w:eastAsia="en-AU"/>
        </w:rPr>
        <w:lastRenderedPageBreak/>
        <w:t>The recent Intergenerational Report noted the demographic crisis in Australia, saying “the number of people aged between 15 and 64 for every person aged 65 and over [has] fallen from 7.3 people in 1974-75 to an estimated 4.5 people today”.</w:t>
      </w:r>
      <w:r>
        <w:rPr>
          <w:rStyle w:val="FootnoteReference"/>
          <w:rFonts w:ascii="Calibri" w:eastAsia="Calibri" w:hAnsi="Calibri" w:cs="Calibri"/>
          <w:color w:val="000000"/>
          <w:u w:color="000000"/>
          <w:bdr w:val="nil"/>
          <w:lang w:val="en-AU" w:eastAsia="en-AU"/>
        </w:rPr>
        <w:footnoteReference w:id="8"/>
      </w:r>
    </w:p>
    <w:p w14:paraId="639ED10A" w14:textId="77777777" w:rsidR="00662902" w:rsidRPr="00662902" w:rsidRDefault="00662902"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EC6602C" w14:textId="77777777" w:rsidR="006E6D04" w:rsidRDefault="00662902"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62902">
        <w:rPr>
          <w:rFonts w:ascii="Calibri" w:eastAsia="Calibri" w:hAnsi="Calibri" w:cs="Calibri"/>
          <w:color w:val="000000"/>
          <w:u w:color="000000"/>
          <w:bdr w:val="nil"/>
          <w:lang w:val="en-AU" w:eastAsia="en-AU"/>
        </w:rPr>
        <w:t xml:space="preserve">There </w:t>
      </w:r>
      <w:r w:rsidRPr="00C52DA4">
        <w:rPr>
          <w:rFonts w:ascii="Calibri" w:eastAsia="Calibri" w:hAnsi="Calibri" w:cs="Calibri"/>
          <w:noProof/>
          <w:color w:val="000000"/>
          <w:bdr w:val="nil"/>
          <w:lang w:val="en-AU" w:eastAsia="en-AU"/>
        </w:rPr>
        <w:t>is</w:t>
      </w:r>
      <w:r w:rsidRPr="00662902">
        <w:rPr>
          <w:rFonts w:ascii="Calibri" w:eastAsia="Calibri" w:hAnsi="Calibri" w:cs="Calibri"/>
          <w:color w:val="000000"/>
          <w:u w:color="000000"/>
          <w:bdr w:val="nil"/>
          <w:lang w:val="en-AU" w:eastAsia="en-AU"/>
        </w:rPr>
        <w:t xml:space="preserve"> a danger taxation laws focused on increasing labour participation may work as a disincentive to having children. Many mothers decide not to work in the paid workforce or to work shorter hours while their children are young. The Australian Bureau of Statistics noted “in couple families and lone mother families the proportion of mothers in full-time employment increases as the age of</w:t>
      </w:r>
      <w:r>
        <w:rPr>
          <w:rFonts w:ascii="Calibri" w:eastAsia="Calibri" w:hAnsi="Calibri" w:cs="Calibri"/>
          <w:color w:val="000000"/>
          <w:u w:color="000000"/>
          <w:bdr w:val="nil"/>
          <w:lang w:val="en-AU" w:eastAsia="en-AU"/>
        </w:rPr>
        <w:t xml:space="preserve"> the youngest child increases”</w:t>
      </w:r>
      <w:r w:rsidRPr="00662902">
        <w:rPr>
          <w:rFonts w:ascii="Calibri" w:eastAsia="Calibri" w:hAnsi="Calibri" w:cs="Calibri"/>
          <w:color w:val="000000"/>
          <w:u w:color="000000"/>
          <w:bdr w:val="nil"/>
          <w:lang w:val="en-AU" w:eastAsia="en-AU"/>
        </w:rPr>
        <w:t>.</w:t>
      </w:r>
      <w:r>
        <w:rPr>
          <w:rStyle w:val="FootnoteReference"/>
          <w:rFonts w:ascii="Calibri" w:eastAsia="Calibri" w:hAnsi="Calibri" w:cs="Calibri"/>
          <w:color w:val="000000"/>
          <w:u w:color="000000"/>
          <w:bdr w:val="nil"/>
          <w:lang w:val="en-AU" w:eastAsia="en-AU"/>
        </w:rPr>
        <w:footnoteReference w:id="9"/>
      </w:r>
      <w:r w:rsidR="006E6D04">
        <w:rPr>
          <w:rFonts w:ascii="Calibri" w:eastAsia="Calibri" w:hAnsi="Calibri" w:cs="Calibri"/>
          <w:color w:val="000000"/>
          <w:u w:color="000000"/>
          <w:bdr w:val="nil"/>
          <w:lang w:val="en-AU" w:eastAsia="en-AU"/>
        </w:rPr>
        <w:t xml:space="preserve"> </w:t>
      </w:r>
    </w:p>
    <w:p w14:paraId="7B645544" w14:textId="77777777" w:rsidR="006E6D04" w:rsidRDefault="006E6D04"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3281760" w14:textId="77777777" w:rsidR="00662902" w:rsidRDefault="006E6D04" w:rsidP="00662902">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 xml:space="preserve">In </w:t>
      </w:r>
      <w:r w:rsidRPr="00C52DA4">
        <w:rPr>
          <w:rFonts w:ascii="Calibri" w:eastAsia="Calibri" w:hAnsi="Calibri" w:cs="Calibri"/>
          <w:noProof/>
          <w:color w:val="000000"/>
          <w:bdr w:val="nil"/>
          <w:lang w:val="en-AU" w:eastAsia="en-AU"/>
        </w:rPr>
        <w:t>2011</w:t>
      </w:r>
      <w:r>
        <w:rPr>
          <w:rFonts w:ascii="Calibri" w:eastAsia="Calibri" w:hAnsi="Calibri" w:cs="Calibri"/>
          <w:color w:val="000000"/>
          <w:u w:color="000000"/>
          <w:bdr w:val="nil"/>
          <w:lang w:val="en-AU" w:eastAsia="en-AU"/>
        </w:rPr>
        <w:t xml:space="preserve"> almost half of all Australian children were in families where only one parent was in the paid workforce fulltime and the other was not, or where one was fulltime and the other was working part time.</w:t>
      </w:r>
      <w:r>
        <w:rPr>
          <w:rStyle w:val="FootnoteReference"/>
          <w:rFonts w:ascii="Calibri" w:eastAsia="Calibri" w:hAnsi="Calibri" w:cs="Calibri"/>
          <w:color w:val="000000"/>
          <w:u w:color="000000"/>
          <w:bdr w:val="nil"/>
          <w:lang w:val="en-AU" w:eastAsia="en-AU"/>
        </w:rPr>
        <w:footnoteReference w:id="10"/>
      </w:r>
      <w:r w:rsidR="00873907">
        <w:rPr>
          <w:rFonts w:ascii="Calibri" w:eastAsia="Calibri" w:hAnsi="Calibri" w:cs="Calibri"/>
          <w:color w:val="000000"/>
          <w:u w:color="000000"/>
          <w:bdr w:val="nil"/>
          <w:lang w:val="en-AU" w:eastAsia="en-AU"/>
        </w:rPr>
        <w:t xml:space="preserve"> This suggests a substantial number of parents value having one parent spending time at home</w:t>
      </w:r>
      <w:r w:rsidR="00821A3E">
        <w:rPr>
          <w:rFonts w:ascii="Calibri" w:eastAsia="Calibri" w:hAnsi="Calibri" w:cs="Calibri"/>
          <w:color w:val="000000"/>
          <w:u w:color="000000"/>
          <w:bdr w:val="nil"/>
          <w:lang w:val="en-AU" w:eastAsia="en-AU"/>
        </w:rPr>
        <w:t xml:space="preserve"> with their children</w:t>
      </w:r>
      <w:r w:rsidR="00873907">
        <w:rPr>
          <w:rFonts w:ascii="Calibri" w:eastAsia="Calibri" w:hAnsi="Calibri" w:cs="Calibri"/>
          <w:color w:val="000000"/>
          <w:u w:color="000000"/>
          <w:bdr w:val="nil"/>
          <w:lang w:val="en-AU" w:eastAsia="en-AU"/>
        </w:rPr>
        <w:t>. Governments should support rather than work against that choice.</w:t>
      </w:r>
    </w:p>
    <w:p w14:paraId="44159983" w14:textId="77777777" w:rsidR="003D4699" w:rsidRPr="00103AE0" w:rsidRDefault="003D4699"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BAF160D" w14:textId="77777777" w:rsidR="00103AE0" w:rsidRPr="00352D7C" w:rsidRDefault="00103AE0"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352D7C">
        <w:rPr>
          <w:rFonts w:ascii="Calibri" w:eastAsia="Calibri" w:hAnsi="Calibri" w:cs="Calibri"/>
          <w:b/>
          <w:color w:val="000000"/>
          <w:u w:color="000000"/>
          <w:bdr w:val="nil"/>
          <w:lang w:val="en-AU" w:eastAsia="en-AU"/>
        </w:rPr>
        <w:t>47. Are the current tax arrangements for the NFP sector appropriate? Why or why not?</w:t>
      </w:r>
    </w:p>
    <w:p w14:paraId="56EDB3EF" w14:textId="77777777" w:rsid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81CAF0A"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 xml:space="preserve">From the perspective of the Church as a body comprising charitable entities, the current tax arrangements are appropriate. The rationale for tax concessions for charities including the Church </w:t>
      </w:r>
      <w:r w:rsidRPr="00C52DA4">
        <w:rPr>
          <w:rFonts w:ascii="Calibri" w:eastAsia="Calibri" w:hAnsi="Calibri" w:cs="Calibri"/>
          <w:noProof/>
          <w:color w:val="000000"/>
          <w:bdr w:val="nil"/>
          <w:lang w:val="en-AU" w:eastAsia="en-AU"/>
        </w:rPr>
        <w:t>continue</w:t>
      </w:r>
      <w:r w:rsidRPr="006079B9">
        <w:rPr>
          <w:rFonts w:ascii="Calibri" w:eastAsia="Calibri" w:hAnsi="Calibri" w:cs="Calibri"/>
          <w:color w:val="000000"/>
          <w:u w:color="000000"/>
          <w:bdr w:val="nil"/>
          <w:lang w:val="en-AU" w:eastAsia="en-AU"/>
        </w:rPr>
        <w:t xml:space="preserve"> to be sound.  </w:t>
      </w:r>
    </w:p>
    <w:p w14:paraId="7F73FCF4" w14:textId="77777777" w:rsidR="005343ED" w:rsidRPr="006079B9"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FBC1341" w14:textId="77777777" w:rsidR="005343ED" w:rsidRPr="006079B9" w:rsidRDefault="005343ED" w:rsidP="005343ED">
      <w:pPr>
        <w:tabs>
          <w:tab w:val="left" w:pos="0"/>
        </w:tabs>
        <w:rPr>
          <w:rFonts w:ascii="Calibri" w:hAnsi="Calibri"/>
          <w:szCs w:val="21"/>
        </w:rPr>
      </w:pPr>
      <w:r w:rsidRPr="006079B9">
        <w:rPr>
          <w:rFonts w:ascii="Calibri" w:hAnsi="Calibri"/>
          <w:szCs w:val="21"/>
        </w:rPr>
        <w:t xml:space="preserve">Support for income tax exemptions for charities </w:t>
      </w:r>
      <w:r w:rsidRPr="007D1CE1">
        <w:rPr>
          <w:rFonts w:ascii="Calibri" w:hAnsi="Calibri"/>
          <w:noProof/>
          <w:szCs w:val="21"/>
        </w:rPr>
        <w:t>was explained</w:t>
      </w:r>
      <w:r w:rsidRPr="006079B9">
        <w:rPr>
          <w:rFonts w:ascii="Calibri" w:hAnsi="Calibri"/>
          <w:szCs w:val="21"/>
        </w:rPr>
        <w:t xml:space="preserve"> in the comprehensive 2010 Productivity Commission Report:</w:t>
      </w:r>
      <w:r w:rsidRPr="006079B9">
        <w:rPr>
          <w:rStyle w:val="FootnoteReference"/>
          <w:rFonts w:ascii="Calibri" w:hAnsi="Calibri"/>
          <w:szCs w:val="21"/>
        </w:rPr>
        <w:footnoteReference w:id="11"/>
      </w:r>
    </w:p>
    <w:p w14:paraId="0D3B6CC6" w14:textId="77777777" w:rsidR="005343ED" w:rsidRPr="006079B9" w:rsidRDefault="005343ED" w:rsidP="005343ED">
      <w:pPr>
        <w:ind w:left="851"/>
        <w:rPr>
          <w:rFonts w:ascii="Calibri" w:hAnsi="Calibri"/>
          <w:szCs w:val="21"/>
        </w:rPr>
      </w:pPr>
      <w:r w:rsidRPr="006079B9">
        <w:rPr>
          <w:rFonts w:ascii="Calibri" w:hAnsi="Calibri"/>
          <w:szCs w:val="21"/>
        </w:rPr>
        <w:t xml:space="preserve">“There is a general understanding that tax concessions are granted to </w:t>
      </w:r>
      <w:r w:rsidRPr="007D1CE1">
        <w:rPr>
          <w:rFonts w:ascii="Calibri" w:hAnsi="Calibri"/>
          <w:noProof/>
          <w:szCs w:val="21"/>
        </w:rPr>
        <w:t>support</w:t>
      </w:r>
      <w:r w:rsidRPr="006079B9">
        <w:rPr>
          <w:rFonts w:ascii="Calibri" w:hAnsi="Calibri"/>
          <w:szCs w:val="21"/>
        </w:rPr>
        <w:t xml:space="preserve"> NFPs because they serve the </w:t>
      </w:r>
      <w:r w:rsidRPr="007D1CE1">
        <w:rPr>
          <w:rFonts w:ascii="Calibri" w:hAnsi="Calibri"/>
          <w:noProof/>
          <w:szCs w:val="21"/>
        </w:rPr>
        <w:t>community</w:t>
      </w:r>
      <w:r w:rsidRPr="006079B9">
        <w:rPr>
          <w:rFonts w:ascii="Calibri" w:hAnsi="Calibri"/>
          <w:szCs w:val="21"/>
        </w:rPr>
        <w:t xml:space="preserve"> and their activities provide positive public benefits.”</w:t>
      </w:r>
    </w:p>
    <w:p w14:paraId="3BC89855" w14:textId="77777777" w:rsidR="005343ED" w:rsidRPr="006079B9" w:rsidRDefault="005343ED" w:rsidP="005343ED">
      <w:pPr>
        <w:ind w:left="1701"/>
        <w:rPr>
          <w:rFonts w:ascii="Calibri" w:hAnsi="Calibri"/>
          <w:szCs w:val="21"/>
        </w:rPr>
      </w:pPr>
    </w:p>
    <w:p w14:paraId="1988DBC2" w14:textId="77777777" w:rsidR="005343ED" w:rsidRPr="006079B9" w:rsidRDefault="005343ED" w:rsidP="005343ED">
      <w:pPr>
        <w:keepNext/>
        <w:tabs>
          <w:tab w:val="left" w:pos="0"/>
        </w:tabs>
        <w:rPr>
          <w:rFonts w:ascii="Calibri" w:hAnsi="Calibri"/>
          <w:szCs w:val="21"/>
        </w:rPr>
      </w:pPr>
      <w:r w:rsidRPr="006079B9">
        <w:rPr>
          <w:rFonts w:ascii="Calibri" w:hAnsi="Calibri"/>
          <w:szCs w:val="21"/>
        </w:rPr>
        <w:t>Similarly, the 2008 Henry Review Report noted:</w:t>
      </w:r>
    </w:p>
    <w:p w14:paraId="32636404" w14:textId="77777777" w:rsidR="005343ED" w:rsidRPr="006079B9" w:rsidRDefault="005343ED" w:rsidP="005343ED">
      <w:pPr>
        <w:ind w:left="851"/>
        <w:rPr>
          <w:rFonts w:ascii="Calibri" w:hAnsi="Calibri"/>
          <w:szCs w:val="21"/>
        </w:rPr>
      </w:pPr>
      <w:r w:rsidRPr="006079B9">
        <w:rPr>
          <w:rFonts w:ascii="Calibri" w:hAnsi="Calibri"/>
          <w:szCs w:val="21"/>
        </w:rPr>
        <w:t>“Tax concessions are an important and longstanding source of funding for the NFP sector.”</w:t>
      </w:r>
      <w:r w:rsidRPr="006079B9">
        <w:rPr>
          <w:rStyle w:val="FootnoteReference"/>
          <w:rFonts w:ascii="Calibri" w:hAnsi="Calibri"/>
          <w:szCs w:val="21"/>
        </w:rPr>
        <w:footnoteReference w:id="12"/>
      </w:r>
    </w:p>
    <w:p w14:paraId="2A00AC52" w14:textId="77777777" w:rsidR="005343ED" w:rsidRPr="006079B9" w:rsidRDefault="005343ED" w:rsidP="005343ED">
      <w:pPr>
        <w:ind w:left="851"/>
        <w:rPr>
          <w:rFonts w:ascii="Calibri" w:hAnsi="Calibri"/>
          <w:szCs w:val="21"/>
        </w:rPr>
      </w:pPr>
      <w:r w:rsidRPr="006079B9">
        <w:rPr>
          <w:rFonts w:ascii="Calibri" w:hAnsi="Calibri"/>
          <w:szCs w:val="21"/>
        </w:rPr>
        <w:t xml:space="preserve">“NFP </w:t>
      </w:r>
      <w:proofErr w:type="spellStart"/>
      <w:r w:rsidRPr="006079B9">
        <w:rPr>
          <w:rFonts w:ascii="Calibri" w:hAnsi="Calibri"/>
          <w:szCs w:val="21"/>
        </w:rPr>
        <w:t>organisations</w:t>
      </w:r>
      <w:proofErr w:type="spellEnd"/>
      <w:r w:rsidRPr="006079B9">
        <w:rPr>
          <w:rFonts w:ascii="Calibri" w:hAnsi="Calibri"/>
          <w:szCs w:val="21"/>
        </w:rPr>
        <w:t xml:space="preserve"> are often more </w:t>
      </w:r>
      <w:r w:rsidRPr="007D1CE1">
        <w:rPr>
          <w:rFonts w:ascii="Calibri" w:hAnsi="Calibri"/>
          <w:noProof/>
          <w:szCs w:val="21"/>
        </w:rPr>
        <w:t>effective</w:t>
      </w:r>
      <w:r w:rsidRPr="006079B9">
        <w:rPr>
          <w:rFonts w:ascii="Calibri" w:hAnsi="Calibri"/>
          <w:szCs w:val="21"/>
        </w:rPr>
        <w:t xml:space="preserve"> service providers than government or for-profit </w:t>
      </w:r>
      <w:r w:rsidRPr="007D1CE1">
        <w:rPr>
          <w:rFonts w:ascii="Calibri" w:hAnsi="Calibri"/>
          <w:noProof/>
          <w:szCs w:val="21"/>
        </w:rPr>
        <w:t xml:space="preserve">organisations </w:t>
      </w:r>
      <w:proofErr w:type="gramStart"/>
      <w:r w:rsidRPr="007D1CE1">
        <w:rPr>
          <w:rFonts w:ascii="Calibri" w:hAnsi="Calibri"/>
          <w:noProof/>
          <w:szCs w:val="21"/>
        </w:rPr>
        <w:t>...</w:t>
      </w:r>
      <w:r w:rsidRPr="006079B9">
        <w:rPr>
          <w:rFonts w:ascii="Calibri" w:hAnsi="Calibri"/>
          <w:szCs w:val="21"/>
        </w:rPr>
        <w:t xml:space="preserve"> .</w:t>
      </w:r>
      <w:proofErr w:type="gramEnd"/>
      <w:r w:rsidRPr="006079B9">
        <w:rPr>
          <w:rFonts w:ascii="Calibri" w:hAnsi="Calibri"/>
          <w:szCs w:val="21"/>
        </w:rPr>
        <w:t>”</w:t>
      </w:r>
      <w:r w:rsidRPr="006079B9">
        <w:rPr>
          <w:rStyle w:val="FootnoteReference"/>
          <w:rFonts w:ascii="Calibri" w:hAnsi="Calibri"/>
          <w:szCs w:val="21"/>
        </w:rPr>
        <w:footnoteReference w:id="13"/>
      </w:r>
    </w:p>
    <w:p w14:paraId="76DF8879" w14:textId="77777777" w:rsidR="005343ED" w:rsidRDefault="005343ED"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8837D1E" w14:textId="77777777" w:rsidR="00352D7C" w:rsidRDefault="00352D7C"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 xml:space="preserve">The </w:t>
      </w:r>
      <w:r w:rsidR="000A2F91">
        <w:rPr>
          <w:rFonts w:ascii="Calibri" w:eastAsia="Calibri" w:hAnsi="Calibri" w:cs="Calibri"/>
          <w:color w:val="000000"/>
          <w:u w:color="000000"/>
          <w:bdr w:val="nil"/>
          <w:lang w:val="en-AU" w:eastAsia="en-AU"/>
        </w:rPr>
        <w:t>ACBC</w:t>
      </w:r>
      <w:r>
        <w:rPr>
          <w:rFonts w:ascii="Calibri" w:eastAsia="Calibri" w:hAnsi="Calibri" w:cs="Calibri"/>
          <w:color w:val="000000"/>
          <w:u w:color="000000"/>
          <w:bdr w:val="nil"/>
          <w:lang w:val="en-AU" w:eastAsia="en-AU"/>
        </w:rPr>
        <w:t xml:space="preserve"> would support measures to simplify tax arrangements for t</w:t>
      </w:r>
      <w:r w:rsidR="00B26D88">
        <w:rPr>
          <w:rFonts w:ascii="Calibri" w:eastAsia="Calibri" w:hAnsi="Calibri" w:cs="Calibri"/>
          <w:color w:val="000000"/>
          <w:u w:color="000000"/>
          <w:bdr w:val="nil"/>
          <w:lang w:val="en-AU" w:eastAsia="en-AU"/>
        </w:rPr>
        <w:t xml:space="preserve">he NFP sector in a way that no </w:t>
      </w:r>
      <w:r w:rsidR="000A2F91">
        <w:rPr>
          <w:rFonts w:ascii="Calibri" w:eastAsia="Calibri" w:hAnsi="Calibri" w:cs="Calibri"/>
          <w:color w:val="000000"/>
          <w:u w:color="000000"/>
          <w:bdr w:val="nil"/>
          <w:lang w:val="en-AU" w:eastAsia="en-AU"/>
        </w:rPr>
        <w:t>entity</w:t>
      </w:r>
      <w:r w:rsidR="00B26D88">
        <w:rPr>
          <w:rFonts w:ascii="Calibri" w:eastAsia="Calibri" w:hAnsi="Calibri" w:cs="Calibri"/>
          <w:color w:val="000000"/>
          <w:u w:color="000000"/>
          <w:bdr w:val="nil"/>
          <w:lang w:val="en-AU" w:eastAsia="en-AU"/>
        </w:rPr>
        <w:t xml:space="preserve"> would be worse off after the changes. For the most part, </w:t>
      </w:r>
      <w:r w:rsidR="000A2F91">
        <w:rPr>
          <w:rFonts w:ascii="Calibri" w:eastAsia="Calibri" w:hAnsi="Calibri" w:cs="Calibri"/>
          <w:color w:val="000000"/>
          <w:u w:color="000000"/>
          <w:bdr w:val="nil"/>
          <w:lang w:val="en-AU" w:eastAsia="en-AU"/>
        </w:rPr>
        <w:t>NFP entities</w:t>
      </w:r>
      <w:r w:rsidR="00B26D88">
        <w:rPr>
          <w:rFonts w:ascii="Calibri" w:eastAsia="Calibri" w:hAnsi="Calibri" w:cs="Calibri"/>
          <w:color w:val="000000"/>
          <w:u w:color="000000"/>
          <w:bdr w:val="nil"/>
          <w:lang w:val="en-AU" w:eastAsia="en-AU"/>
        </w:rPr>
        <w:t xml:space="preserve"> serve communities of people who are vulnerable or need assistance and who often do not have the resources to contribute financially for the services provided. Any extra costs mean there will be less money available to support these vulnerable people.</w:t>
      </w:r>
      <w:r w:rsidR="005343ED">
        <w:rPr>
          <w:rFonts w:ascii="Calibri" w:eastAsia="Calibri" w:hAnsi="Calibri" w:cs="Calibri"/>
          <w:color w:val="000000"/>
          <w:u w:color="000000"/>
          <w:bdr w:val="nil"/>
          <w:lang w:val="en-AU" w:eastAsia="en-AU"/>
        </w:rPr>
        <w:t xml:space="preserve"> </w:t>
      </w:r>
      <w:r w:rsidR="005343ED" w:rsidRPr="006079B9">
        <w:rPr>
          <w:rFonts w:ascii="Calibri" w:eastAsia="Calibri" w:hAnsi="Calibri" w:cs="Calibri"/>
          <w:color w:val="000000"/>
          <w:u w:color="000000"/>
          <w:bdr w:val="nil"/>
          <w:lang w:val="en-AU" w:eastAsia="en-AU"/>
        </w:rPr>
        <w:t xml:space="preserve">Any withdrawal of services by the NFP sector will mean that the Government must increase its expenditure to replace </w:t>
      </w:r>
      <w:r w:rsidR="005343ED" w:rsidRPr="006079B9">
        <w:rPr>
          <w:rFonts w:ascii="Calibri" w:eastAsia="Calibri" w:hAnsi="Calibri" w:cs="Calibri"/>
          <w:color w:val="000000"/>
          <w:u w:color="000000"/>
          <w:bdr w:val="nil"/>
          <w:lang w:val="en-AU" w:eastAsia="en-AU"/>
        </w:rPr>
        <w:lastRenderedPageBreak/>
        <w:t xml:space="preserve">the services and, as observed in the Henry Review Report, often the cost of Government providing a service is higher than the </w:t>
      </w:r>
      <w:r w:rsidR="005343ED" w:rsidRPr="00C52DA4">
        <w:rPr>
          <w:rFonts w:ascii="Calibri" w:eastAsia="Calibri" w:hAnsi="Calibri" w:cs="Calibri"/>
          <w:noProof/>
          <w:color w:val="000000"/>
          <w:bdr w:val="nil"/>
          <w:lang w:val="en-AU" w:eastAsia="en-AU"/>
        </w:rPr>
        <w:t>cost</w:t>
      </w:r>
      <w:r w:rsidR="005343ED" w:rsidRPr="006079B9">
        <w:rPr>
          <w:rFonts w:ascii="Calibri" w:eastAsia="Calibri" w:hAnsi="Calibri" w:cs="Calibri"/>
          <w:color w:val="000000"/>
          <w:u w:color="000000"/>
          <w:bdr w:val="nil"/>
          <w:lang w:val="en-AU" w:eastAsia="en-AU"/>
        </w:rPr>
        <w:t xml:space="preserve"> of the same service provided more efficiently by the NFP sector.</w:t>
      </w:r>
    </w:p>
    <w:p w14:paraId="6763EF24" w14:textId="77777777" w:rsidR="00352D7C" w:rsidRDefault="00352D7C"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FDA3308" w14:textId="77777777" w:rsidR="008947BD" w:rsidRDefault="008947BD" w:rsidP="008947B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8947BD">
        <w:rPr>
          <w:rFonts w:ascii="Calibri" w:eastAsia="Calibri" w:hAnsi="Calibri" w:cs="Calibri"/>
          <w:color w:val="000000"/>
          <w:u w:color="000000"/>
          <w:bdr w:val="nil"/>
          <w:lang w:val="en-AU" w:eastAsia="en-AU"/>
        </w:rPr>
        <w:t>Tax exemptions should continue to apply to charitable entities, including religious entities,</w:t>
      </w:r>
      <w:r>
        <w:rPr>
          <w:rFonts w:ascii="Calibri" w:eastAsia="Calibri" w:hAnsi="Calibri" w:cs="Calibri"/>
          <w:color w:val="000000"/>
          <w:u w:color="000000"/>
          <w:bdr w:val="nil"/>
          <w:lang w:val="en-AU" w:eastAsia="en-AU"/>
        </w:rPr>
        <w:t xml:space="preserve"> </w:t>
      </w:r>
      <w:r w:rsidRPr="008947BD">
        <w:rPr>
          <w:rFonts w:ascii="Calibri" w:eastAsia="Calibri" w:hAnsi="Calibri" w:cs="Calibri"/>
          <w:color w:val="000000"/>
          <w:u w:color="000000"/>
          <w:bdr w:val="nil"/>
          <w:lang w:val="en-AU" w:eastAsia="en-AU"/>
        </w:rPr>
        <w:t>based on their accepted public benefit and encouragement of benevolent activities. The</w:t>
      </w:r>
      <w:r>
        <w:rPr>
          <w:rFonts w:ascii="Calibri" w:eastAsia="Calibri" w:hAnsi="Calibri" w:cs="Calibri"/>
          <w:color w:val="000000"/>
          <w:u w:color="000000"/>
          <w:bdr w:val="nil"/>
          <w:lang w:val="en-AU" w:eastAsia="en-AU"/>
        </w:rPr>
        <w:t xml:space="preserve"> </w:t>
      </w:r>
      <w:r w:rsidRPr="008947BD">
        <w:rPr>
          <w:rFonts w:ascii="Calibri" w:eastAsia="Calibri" w:hAnsi="Calibri" w:cs="Calibri"/>
          <w:color w:val="000000"/>
          <w:u w:color="000000"/>
          <w:bdr w:val="nil"/>
          <w:lang w:val="en-AU" w:eastAsia="en-AU"/>
        </w:rPr>
        <w:t>rationale for tax exemption for religious entities is the same as the rationale for tax</w:t>
      </w:r>
      <w:r>
        <w:rPr>
          <w:rFonts w:ascii="Calibri" w:eastAsia="Calibri" w:hAnsi="Calibri" w:cs="Calibri"/>
          <w:color w:val="000000"/>
          <w:u w:color="000000"/>
          <w:bdr w:val="nil"/>
          <w:lang w:val="en-AU" w:eastAsia="en-AU"/>
        </w:rPr>
        <w:t xml:space="preserve"> </w:t>
      </w:r>
      <w:r w:rsidRPr="008947BD">
        <w:rPr>
          <w:rFonts w:ascii="Calibri" w:eastAsia="Calibri" w:hAnsi="Calibri" w:cs="Calibri"/>
          <w:color w:val="000000"/>
          <w:u w:color="000000"/>
          <w:bdr w:val="nil"/>
          <w:lang w:val="en-AU" w:eastAsia="en-AU"/>
        </w:rPr>
        <w:t xml:space="preserve">exemption as other charitable bodies – </w:t>
      </w:r>
      <w:r w:rsidRPr="00C52DA4">
        <w:rPr>
          <w:rFonts w:ascii="Calibri" w:eastAsia="Calibri" w:hAnsi="Calibri" w:cs="Calibri"/>
          <w:noProof/>
          <w:color w:val="000000"/>
          <w:bdr w:val="nil"/>
          <w:lang w:val="en-AU" w:eastAsia="en-AU"/>
        </w:rPr>
        <w:t>religious</w:t>
      </w:r>
      <w:r w:rsidRPr="008947BD">
        <w:rPr>
          <w:rFonts w:ascii="Calibri" w:eastAsia="Calibri" w:hAnsi="Calibri" w:cs="Calibri"/>
          <w:color w:val="000000"/>
          <w:u w:color="000000"/>
          <w:bdr w:val="nil"/>
          <w:lang w:val="en-AU" w:eastAsia="en-AU"/>
        </w:rPr>
        <w:t xml:space="preserve"> entities pursue charitable purposes </w:t>
      </w:r>
      <w:r w:rsidRPr="00C52DA4">
        <w:rPr>
          <w:rFonts w:ascii="Calibri" w:eastAsia="Calibri" w:hAnsi="Calibri" w:cs="Calibri"/>
          <w:noProof/>
          <w:color w:val="000000"/>
          <w:bdr w:val="nil"/>
          <w:lang w:val="en-AU" w:eastAsia="en-AU"/>
        </w:rPr>
        <w:t>which</w:t>
      </w:r>
      <w:r w:rsidRPr="008947BD">
        <w:rPr>
          <w:rFonts w:ascii="Calibri" w:eastAsia="Calibri" w:hAnsi="Calibri" w:cs="Calibri"/>
          <w:color w:val="000000"/>
          <w:u w:color="000000"/>
          <w:bdr w:val="nil"/>
          <w:lang w:val="en-AU" w:eastAsia="en-AU"/>
        </w:rPr>
        <w:t>,</w:t>
      </w:r>
      <w:r>
        <w:rPr>
          <w:rFonts w:ascii="Calibri" w:eastAsia="Calibri" w:hAnsi="Calibri" w:cs="Calibri"/>
          <w:color w:val="000000"/>
          <w:u w:color="000000"/>
          <w:bdr w:val="nil"/>
          <w:lang w:val="en-AU" w:eastAsia="en-AU"/>
        </w:rPr>
        <w:t xml:space="preserve"> </w:t>
      </w:r>
      <w:r w:rsidRPr="008947BD">
        <w:rPr>
          <w:rFonts w:ascii="Calibri" w:eastAsia="Calibri" w:hAnsi="Calibri" w:cs="Calibri"/>
          <w:color w:val="000000"/>
          <w:u w:color="000000"/>
          <w:bdr w:val="nil"/>
          <w:lang w:val="en-AU" w:eastAsia="en-AU"/>
        </w:rPr>
        <w:t>by definition, are for the public benefit.</w:t>
      </w:r>
    </w:p>
    <w:p w14:paraId="70E4BCE1" w14:textId="77777777" w:rsidR="00824888" w:rsidRDefault="00824888" w:rsidP="008947B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22EF110" w14:textId="77777777" w:rsidR="00824888" w:rsidRDefault="00824888" w:rsidP="002D058E">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824888">
        <w:rPr>
          <w:rFonts w:ascii="Calibri" w:eastAsia="Calibri" w:hAnsi="Calibri" w:cs="Calibri"/>
          <w:color w:val="000000"/>
          <w:u w:color="000000"/>
          <w:bdr w:val="nil"/>
          <w:lang w:val="en-AU" w:eastAsia="en-AU"/>
        </w:rPr>
        <w:t>The ACBC is of the view that the community benefits generated by the current</w:t>
      </w:r>
      <w:r>
        <w:rPr>
          <w:rFonts w:ascii="Calibri" w:eastAsia="Calibri" w:hAnsi="Calibri" w:cs="Calibri"/>
          <w:color w:val="000000"/>
          <w:u w:color="000000"/>
          <w:bdr w:val="nil"/>
          <w:lang w:val="en-AU" w:eastAsia="en-AU"/>
        </w:rPr>
        <w:t xml:space="preserve"> </w:t>
      </w:r>
      <w:r w:rsidRPr="00824888">
        <w:rPr>
          <w:rFonts w:ascii="Calibri" w:eastAsia="Calibri" w:hAnsi="Calibri" w:cs="Calibri"/>
          <w:color w:val="000000"/>
          <w:u w:color="000000"/>
          <w:bdr w:val="nil"/>
          <w:lang w:val="en-AU" w:eastAsia="en-AU"/>
        </w:rPr>
        <w:t>arrangements with fringe benefit taxation and related concessions far outweigh the costs on</w:t>
      </w:r>
      <w:r>
        <w:rPr>
          <w:rFonts w:ascii="Calibri" w:eastAsia="Calibri" w:hAnsi="Calibri" w:cs="Calibri"/>
          <w:color w:val="000000"/>
          <w:u w:color="000000"/>
          <w:bdr w:val="nil"/>
          <w:lang w:val="en-AU" w:eastAsia="en-AU"/>
        </w:rPr>
        <w:t xml:space="preserve"> </w:t>
      </w:r>
      <w:r w:rsidRPr="00824888">
        <w:rPr>
          <w:rFonts w:ascii="Calibri" w:eastAsia="Calibri" w:hAnsi="Calibri" w:cs="Calibri"/>
          <w:color w:val="000000"/>
          <w:u w:color="000000"/>
          <w:bdr w:val="nil"/>
          <w:lang w:val="en-AU" w:eastAsia="en-AU"/>
        </w:rPr>
        <w:t>economic efficiency and fiscal grounds.</w:t>
      </w:r>
      <w:r>
        <w:rPr>
          <w:rFonts w:ascii="Calibri" w:eastAsia="Calibri" w:hAnsi="Calibri" w:cs="Calibri"/>
          <w:color w:val="000000"/>
          <w:u w:color="000000"/>
          <w:bdr w:val="nil"/>
          <w:lang w:val="en-AU" w:eastAsia="en-AU"/>
        </w:rPr>
        <w:t xml:space="preserve"> </w:t>
      </w:r>
      <w:r w:rsidRPr="00824888">
        <w:rPr>
          <w:rFonts w:ascii="Calibri" w:eastAsia="Calibri" w:hAnsi="Calibri" w:cs="Calibri"/>
          <w:color w:val="000000"/>
          <w:u w:color="000000"/>
          <w:bdr w:val="nil"/>
          <w:lang w:val="en-AU" w:eastAsia="en-AU"/>
        </w:rPr>
        <w:t>While some streamlining might be desirable, the Government should ensure that any</w:t>
      </w:r>
      <w:r>
        <w:rPr>
          <w:rFonts w:ascii="Calibri" w:eastAsia="Calibri" w:hAnsi="Calibri" w:cs="Calibri"/>
          <w:color w:val="000000"/>
          <w:u w:color="000000"/>
          <w:bdr w:val="nil"/>
          <w:lang w:val="en-AU" w:eastAsia="en-AU"/>
        </w:rPr>
        <w:t xml:space="preserve"> </w:t>
      </w:r>
      <w:r w:rsidRPr="00824888">
        <w:rPr>
          <w:rFonts w:ascii="Calibri" w:eastAsia="Calibri" w:hAnsi="Calibri" w:cs="Calibri"/>
          <w:color w:val="000000"/>
          <w:u w:color="000000"/>
          <w:bdr w:val="nil"/>
          <w:lang w:val="en-AU" w:eastAsia="en-AU"/>
        </w:rPr>
        <w:t>measures do not diminish the level of concessions available to employees engaged in the</w:t>
      </w:r>
      <w:r>
        <w:rPr>
          <w:rFonts w:ascii="Calibri" w:eastAsia="Calibri" w:hAnsi="Calibri" w:cs="Calibri"/>
          <w:color w:val="000000"/>
          <w:u w:color="000000"/>
          <w:bdr w:val="nil"/>
          <w:lang w:val="en-AU" w:eastAsia="en-AU"/>
        </w:rPr>
        <w:t xml:space="preserve"> </w:t>
      </w:r>
      <w:r w:rsidRPr="00824888">
        <w:rPr>
          <w:rFonts w:ascii="Calibri" w:eastAsia="Calibri" w:hAnsi="Calibri" w:cs="Calibri"/>
          <w:color w:val="000000"/>
          <w:u w:color="000000"/>
          <w:bdr w:val="nil"/>
          <w:lang w:val="en-AU" w:eastAsia="en-AU"/>
        </w:rPr>
        <w:t>delivery of education, health and social services.</w:t>
      </w:r>
      <w:r w:rsidR="002D058E">
        <w:rPr>
          <w:rFonts w:ascii="Calibri" w:eastAsia="Calibri" w:hAnsi="Calibri" w:cs="Calibri"/>
          <w:color w:val="000000"/>
          <w:u w:color="000000"/>
          <w:bdr w:val="nil"/>
          <w:lang w:val="en-AU" w:eastAsia="en-AU"/>
        </w:rPr>
        <w:t xml:space="preserve"> T</w:t>
      </w:r>
      <w:r w:rsidR="002D058E" w:rsidRPr="002D058E">
        <w:rPr>
          <w:rFonts w:ascii="Calibri" w:eastAsia="Calibri" w:hAnsi="Calibri" w:cs="Calibri"/>
          <w:color w:val="000000"/>
          <w:u w:color="000000"/>
          <w:bdr w:val="nil"/>
          <w:lang w:val="en-AU" w:eastAsia="en-AU"/>
        </w:rPr>
        <w:t>he reality is that the availability of skilled</w:t>
      </w:r>
      <w:r w:rsidR="002D058E">
        <w:rPr>
          <w:rFonts w:ascii="Calibri" w:eastAsia="Calibri" w:hAnsi="Calibri" w:cs="Calibri"/>
          <w:color w:val="000000"/>
          <w:u w:color="000000"/>
          <w:bdr w:val="nil"/>
          <w:lang w:val="en-AU" w:eastAsia="en-AU"/>
        </w:rPr>
        <w:t xml:space="preserve"> </w:t>
      </w:r>
      <w:r w:rsidR="002D058E" w:rsidRPr="002D058E">
        <w:rPr>
          <w:rFonts w:ascii="Calibri" w:eastAsia="Calibri" w:hAnsi="Calibri" w:cs="Calibri"/>
          <w:color w:val="000000"/>
          <w:u w:color="000000"/>
          <w:bdr w:val="nil"/>
          <w:lang w:val="en-AU" w:eastAsia="en-AU"/>
        </w:rPr>
        <w:t xml:space="preserve">resources in </w:t>
      </w:r>
      <w:r w:rsidR="002D058E">
        <w:rPr>
          <w:rFonts w:ascii="Calibri" w:eastAsia="Calibri" w:hAnsi="Calibri" w:cs="Calibri"/>
          <w:color w:val="000000"/>
          <w:u w:color="000000"/>
          <w:bdr w:val="nil"/>
          <w:lang w:val="en-AU" w:eastAsia="en-AU"/>
        </w:rPr>
        <w:t>the NFP sector is</w:t>
      </w:r>
      <w:r w:rsidR="002D058E" w:rsidRPr="002D058E">
        <w:rPr>
          <w:rFonts w:ascii="Calibri" w:eastAsia="Calibri" w:hAnsi="Calibri" w:cs="Calibri"/>
          <w:color w:val="000000"/>
          <w:u w:color="000000"/>
          <w:bdr w:val="nil"/>
          <w:lang w:val="en-AU" w:eastAsia="en-AU"/>
        </w:rPr>
        <w:t xml:space="preserve"> under considerable stress. When considering reforms to</w:t>
      </w:r>
      <w:r w:rsidR="002D058E">
        <w:rPr>
          <w:rFonts w:ascii="Calibri" w:eastAsia="Calibri" w:hAnsi="Calibri" w:cs="Calibri"/>
          <w:color w:val="000000"/>
          <w:u w:color="000000"/>
          <w:bdr w:val="nil"/>
          <w:lang w:val="en-AU" w:eastAsia="en-AU"/>
        </w:rPr>
        <w:t xml:space="preserve"> </w:t>
      </w:r>
      <w:r w:rsidR="002D058E" w:rsidRPr="002D058E">
        <w:rPr>
          <w:rFonts w:ascii="Calibri" w:eastAsia="Calibri" w:hAnsi="Calibri" w:cs="Calibri"/>
          <w:color w:val="000000"/>
          <w:u w:color="000000"/>
          <w:bdr w:val="nil"/>
          <w:lang w:val="en-AU" w:eastAsia="en-AU"/>
        </w:rPr>
        <w:t>fringe benefit concessions, it is critical that the Government take no measures that will</w:t>
      </w:r>
      <w:r w:rsidR="002D058E">
        <w:rPr>
          <w:rFonts w:ascii="Calibri" w:eastAsia="Calibri" w:hAnsi="Calibri" w:cs="Calibri"/>
          <w:color w:val="000000"/>
          <w:u w:color="000000"/>
          <w:bdr w:val="nil"/>
          <w:lang w:val="en-AU" w:eastAsia="en-AU"/>
        </w:rPr>
        <w:t xml:space="preserve"> </w:t>
      </w:r>
      <w:r w:rsidR="002D058E" w:rsidRPr="002D058E">
        <w:rPr>
          <w:rFonts w:ascii="Calibri" w:eastAsia="Calibri" w:hAnsi="Calibri" w:cs="Calibri"/>
          <w:color w:val="000000"/>
          <w:u w:color="000000"/>
          <w:bdr w:val="nil"/>
          <w:lang w:val="en-AU" w:eastAsia="en-AU"/>
        </w:rPr>
        <w:t>jeopardise the supply of</w:t>
      </w:r>
      <w:r w:rsidR="002D058E">
        <w:rPr>
          <w:rFonts w:ascii="Calibri" w:eastAsia="Calibri" w:hAnsi="Calibri" w:cs="Calibri"/>
          <w:color w:val="000000"/>
          <w:u w:color="000000"/>
          <w:bdr w:val="nil"/>
          <w:lang w:val="en-AU" w:eastAsia="en-AU"/>
        </w:rPr>
        <w:t xml:space="preserve"> skilled labour</w:t>
      </w:r>
      <w:r w:rsidR="002D058E" w:rsidRPr="002D058E">
        <w:rPr>
          <w:rFonts w:ascii="Calibri" w:eastAsia="Calibri" w:hAnsi="Calibri" w:cs="Calibri"/>
          <w:color w:val="000000"/>
          <w:u w:color="000000"/>
          <w:bdr w:val="nil"/>
          <w:lang w:val="en-AU" w:eastAsia="en-AU"/>
        </w:rPr>
        <w:t>.</w:t>
      </w:r>
      <w:r w:rsidR="000A2F91">
        <w:rPr>
          <w:rFonts w:ascii="Calibri" w:eastAsia="Calibri" w:hAnsi="Calibri" w:cs="Calibri"/>
          <w:color w:val="000000"/>
          <w:u w:color="000000"/>
          <w:bdr w:val="nil"/>
          <w:lang w:val="en-AU" w:eastAsia="en-AU"/>
        </w:rPr>
        <w:t xml:space="preserve"> The ACBC acknowledges that there is a case for includ</w:t>
      </w:r>
      <w:r w:rsidR="00D92C0B">
        <w:rPr>
          <w:rFonts w:ascii="Calibri" w:eastAsia="Calibri" w:hAnsi="Calibri" w:cs="Calibri"/>
          <w:color w:val="000000"/>
          <w:u w:color="000000"/>
          <w:bdr w:val="nil"/>
          <w:lang w:val="en-AU" w:eastAsia="en-AU"/>
        </w:rPr>
        <w:t>ing</w:t>
      </w:r>
      <w:r w:rsidR="000A2F91">
        <w:rPr>
          <w:rFonts w:ascii="Calibri" w:eastAsia="Calibri" w:hAnsi="Calibri" w:cs="Calibri"/>
          <w:color w:val="000000"/>
          <w:u w:color="000000"/>
          <w:bdr w:val="nil"/>
          <w:lang w:val="en-AU" w:eastAsia="en-AU"/>
        </w:rPr>
        <w:t xml:space="preserve"> m</w:t>
      </w:r>
      <w:r w:rsidR="00E83C1B">
        <w:rPr>
          <w:rFonts w:ascii="Calibri" w:eastAsia="Calibri" w:hAnsi="Calibri" w:cs="Calibri"/>
          <w:color w:val="000000"/>
          <w:u w:color="000000"/>
          <w:bdr w:val="nil"/>
          <w:lang w:val="en-AU" w:eastAsia="en-AU"/>
        </w:rPr>
        <w:t>eal and entertainment fringe ben</w:t>
      </w:r>
      <w:r w:rsidR="000A2F91">
        <w:rPr>
          <w:rFonts w:ascii="Calibri" w:eastAsia="Calibri" w:hAnsi="Calibri" w:cs="Calibri"/>
          <w:color w:val="000000"/>
          <w:u w:color="000000"/>
          <w:bdr w:val="nil"/>
          <w:lang w:val="en-AU" w:eastAsia="en-AU"/>
        </w:rPr>
        <w:t xml:space="preserve">efits within </w:t>
      </w:r>
      <w:r w:rsidR="005343ED">
        <w:rPr>
          <w:rFonts w:ascii="Calibri" w:eastAsia="Calibri" w:hAnsi="Calibri" w:cs="Calibri"/>
          <w:color w:val="000000"/>
          <w:u w:color="000000"/>
          <w:bdr w:val="nil"/>
          <w:lang w:val="en-AU" w:eastAsia="en-AU"/>
        </w:rPr>
        <w:t>a cap, as the Government has proposed in the most recent Budget</w:t>
      </w:r>
      <w:r w:rsidR="000A2F91">
        <w:rPr>
          <w:rFonts w:ascii="Calibri" w:eastAsia="Calibri" w:hAnsi="Calibri" w:cs="Calibri"/>
          <w:color w:val="000000"/>
          <w:u w:color="000000"/>
          <w:bdr w:val="nil"/>
          <w:lang w:val="en-AU" w:eastAsia="en-AU"/>
        </w:rPr>
        <w:t>.</w:t>
      </w:r>
    </w:p>
    <w:p w14:paraId="2DE2A6E4" w14:textId="77777777" w:rsidR="00E436B1" w:rsidRDefault="00E436B1" w:rsidP="002D058E">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B293585" w14:textId="77777777" w:rsidR="00E436B1" w:rsidRDefault="00E436B1" w:rsidP="00E436B1">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E436B1">
        <w:rPr>
          <w:rFonts w:ascii="Calibri" w:eastAsia="Calibri" w:hAnsi="Calibri" w:cs="Calibri"/>
          <w:color w:val="000000"/>
          <w:u w:color="000000"/>
          <w:bdr w:val="nil"/>
          <w:lang w:val="en-AU" w:eastAsia="en-AU"/>
        </w:rPr>
        <w:t>In the interests of achieving horizontal equity, the number of employers an employee has</w:t>
      </w:r>
      <w:r>
        <w:rPr>
          <w:rFonts w:ascii="Calibri" w:eastAsia="Calibri" w:hAnsi="Calibri" w:cs="Calibri"/>
          <w:color w:val="000000"/>
          <w:u w:color="000000"/>
          <w:bdr w:val="nil"/>
          <w:lang w:val="en-AU" w:eastAsia="en-AU"/>
        </w:rPr>
        <w:t xml:space="preserve"> </w:t>
      </w:r>
      <w:r w:rsidRPr="00E436B1">
        <w:rPr>
          <w:rFonts w:ascii="Calibri" w:eastAsia="Calibri" w:hAnsi="Calibri" w:cs="Calibri"/>
          <w:color w:val="000000"/>
          <w:u w:color="000000"/>
          <w:bdr w:val="nil"/>
          <w:lang w:val="en-AU" w:eastAsia="en-AU"/>
        </w:rPr>
        <w:t>should not be a determining factor in the extent to which eligible employees can avail</w:t>
      </w:r>
      <w:r>
        <w:rPr>
          <w:rFonts w:ascii="Calibri" w:eastAsia="Calibri" w:hAnsi="Calibri" w:cs="Calibri"/>
          <w:color w:val="000000"/>
          <w:u w:color="000000"/>
          <w:bdr w:val="nil"/>
          <w:lang w:val="en-AU" w:eastAsia="en-AU"/>
        </w:rPr>
        <w:t xml:space="preserve"> </w:t>
      </w:r>
      <w:r w:rsidRPr="00E436B1">
        <w:rPr>
          <w:rFonts w:ascii="Calibri" w:eastAsia="Calibri" w:hAnsi="Calibri" w:cs="Calibri"/>
          <w:color w:val="000000"/>
          <w:u w:color="000000"/>
          <w:bdr w:val="nil"/>
          <w:lang w:val="en-AU" w:eastAsia="en-AU"/>
        </w:rPr>
        <w:t>themselves of FBT concessions. However</w:t>
      </w:r>
      <w:r w:rsidR="00D92C0B">
        <w:rPr>
          <w:rFonts w:ascii="Calibri" w:eastAsia="Calibri" w:hAnsi="Calibri" w:cs="Calibri"/>
          <w:color w:val="000000"/>
          <w:u w:color="000000"/>
          <w:bdr w:val="nil"/>
          <w:lang w:val="en-AU" w:eastAsia="en-AU"/>
        </w:rPr>
        <w:t>,</w:t>
      </w:r>
      <w:r w:rsidRPr="00E436B1">
        <w:rPr>
          <w:rFonts w:ascii="Calibri" w:eastAsia="Calibri" w:hAnsi="Calibri" w:cs="Calibri"/>
          <w:color w:val="000000"/>
          <w:u w:color="000000"/>
          <w:bdr w:val="nil"/>
          <w:lang w:val="en-AU" w:eastAsia="en-AU"/>
        </w:rPr>
        <w:t xml:space="preserve"> government action to address this anomaly should</w:t>
      </w:r>
      <w:r>
        <w:rPr>
          <w:rFonts w:ascii="Calibri" w:eastAsia="Calibri" w:hAnsi="Calibri" w:cs="Calibri"/>
          <w:color w:val="000000"/>
          <w:u w:color="000000"/>
          <w:bdr w:val="nil"/>
          <w:lang w:val="en-AU" w:eastAsia="en-AU"/>
        </w:rPr>
        <w:t xml:space="preserve"> </w:t>
      </w:r>
      <w:r w:rsidRPr="00E436B1">
        <w:rPr>
          <w:rFonts w:ascii="Calibri" w:eastAsia="Calibri" w:hAnsi="Calibri" w:cs="Calibri"/>
          <w:color w:val="000000"/>
          <w:u w:color="000000"/>
          <w:bdr w:val="nil"/>
          <w:lang w:val="en-AU" w:eastAsia="en-AU"/>
        </w:rPr>
        <w:t>not have adverse consequences for the market for scarce skilled labour in the health and</w:t>
      </w:r>
      <w:r>
        <w:rPr>
          <w:rFonts w:ascii="Calibri" w:eastAsia="Calibri" w:hAnsi="Calibri" w:cs="Calibri"/>
          <w:color w:val="000000"/>
          <w:u w:color="000000"/>
          <w:bdr w:val="nil"/>
          <w:lang w:val="en-AU" w:eastAsia="en-AU"/>
        </w:rPr>
        <w:t xml:space="preserve"> </w:t>
      </w:r>
      <w:r w:rsidRPr="00E436B1">
        <w:rPr>
          <w:rFonts w:ascii="Calibri" w:eastAsia="Calibri" w:hAnsi="Calibri" w:cs="Calibri"/>
          <w:color w:val="000000"/>
          <w:u w:color="000000"/>
          <w:bdr w:val="nil"/>
          <w:lang w:val="en-AU" w:eastAsia="en-AU"/>
        </w:rPr>
        <w:t>welfare sectors.</w:t>
      </w:r>
    </w:p>
    <w:p w14:paraId="26F70E1A" w14:textId="77777777" w:rsidR="005343ED" w:rsidRDefault="005343ED" w:rsidP="00E436B1">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EE4CCBD" w14:textId="77777777" w:rsidR="005343ED" w:rsidRPr="006079B9" w:rsidRDefault="005343ED" w:rsidP="005343ED">
      <w:pPr>
        <w:pBdr>
          <w:top w:val="nil"/>
          <w:left w:val="nil"/>
          <w:bottom w:val="nil"/>
          <w:right w:val="nil"/>
          <w:between w:val="nil"/>
          <w:bar w:val="nil"/>
        </w:pBdr>
        <w:outlineLvl w:val="0"/>
        <w:rPr>
          <w:rFonts w:ascii="Calibri" w:hAnsi="Calibri"/>
        </w:rPr>
      </w:pPr>
      <w:r w:rsidRPr="006079B9">
        <w:rPr>
          <w:rFonts w:ascii="Calibri" w:eastAsia="Calibri" w:hAnsi="Calibri" w:cs="Calibri"/>
          <w:color w:val="000000"/>
          <w:u w:color="000000"/>
          <w:bdr w:val="nil"/>
          <w:lang w:val="en-AU" w:eastAsia="en-AU"/>
        </w:rPr>
        <w:t xml:space="preserve">The GST concessions applicable to charities include GST-free status for supplies in </w:t>
      </w:r>
      <w:r w:rsidRPr="006079B9">
        <w:rPr>
          <w:rFonts w:ascii="Calibri" w:hAnsi="Calibri"/>
        </w:rPr>
        <w:t xml:space="preserve">Education, Health, Aged Care, welfare services, housing and other non-commercial supplies. These are services </w:t>
      </w:r>
      <w:r w:rsidRPr="007D1CE1">
        <w:rPr>
          <w:rFonts w:ascii="Calibri" w:hAnsi="Calibri"/>
          <w:noProof/>
        </w:rPr>
        <w:t>which</w:t>
      </w:r>
      <w:r w:rsidRPr="006079B9">
        <w:rPr>
          <w:rFonts w:ascii="Calibri" w:hAnsi="Calibri"/>
        </w:rPr>
        <w:t xml:space="preserve"> are for the public benefit and assist to reduce </w:t>
      </w:r>
      <w:r w:rsidRPr="007D1CE1">
        <w:rPr>
          <w:rFonts w:ascii="Calibri" w:hAnsi="Calibri"/>
          <w:noProof/>
        </w:rPr>
        <w:t>cost</w:t>
      </w:r>
      <w:r w:rsidRPr="006079B9">
        <w:rPr>
          <w:rFonts w:ascii="Calibri" w:hAnsi="Calibri"/>
        </w:rPr>
        <w:t xml:space="preserve"> to individuals and families who would otherwise add to the cost of Government provided services at far greater cost to the taxpayer.  The GST concessions for charities continue to be appropriate for these reasons.</w:t>
      </w:r>
    </w:p>
    <w:p w14:paraId="5A8F71EF"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4C12C0A7" w14:textId="77777777" w:rsidR="00103AE0" w:rsidRPr="00352D7C" w:rsidRDefault="00103AE0"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352D7C">
        <w:rPr>
          <w:rFonts w:ascii="Calibri" w:eastAsia="Calibri" w:hAnsi="Calibri" w:cs="Calibri"/>
          <w:b/>
          <w:color w:val="000000"/>
          <w:u w:color="000000"/>
          <w:bdr w:val="nil"/>
          <w:lang w:val="en-AU" w:eastAsia="en-AU"/>
        </w:rPr>
        <w:t xml:space="preserve">48. To what extent </w:t>
      </w:r>
      <w:r w:rsidR="002D7908">
        <w:rPr>
          <w:rFonts w:ascii="Calibri" w:eastAsia="Calibri" w:hAnsi="Calibri" w:cs="Calibri"/>
          <w:b/>
          <w:color w:val="000000"/>
          <w:u w:color="000000"/>
          <w:bdr w:val="nil"/>
          <w:lang w:val="en-AU" w:eastAsia="en-AU"/>
        </w:rPr>
        <w:t>d</w:t>
      </w:r>
      <w:r w:rsidRPr="00352D7C">
        <w:rPr>
          <w:rFonts w:ascii="Calibri" w:eastAsia="Calibri" w:hAnsi="Calibri" w:cs="Calibri"/>
          <w:b/>
          <w:color w:val="000000"/>
          <w:u w:color="000000"/>
          <w:bdr w:val="nil"/>
          <w:lang w:val="en-AU" w:eastAsia="en-AU"/>
        </w:rPr>
        <w:t xml:space="preserve">o the tax arrangements for the NFP sector raise particular concerns about competitive advantage compared to the </w:t>
      </w:r>
      <w:r w:rsidRPr="00C52DA4">
        <w:rPr>
          <w:rFonts w:ascii="Calibri" w:eastAsia="Calibri" w:hAnsi="Calibri" w:cs="Calibri"/>
          <w:b/>
          <w:noProof/>
          <w:color w:val="000000"/>
          <w:bdr w:val="nil"/>
          <w:lang w:val="en-AU" w:eastAsia="en-AU"/>
        </w:rPr>
        <w:t>tax</w:t>
      </w:r>
      <w:r w:rsidRPr="00352D7C">
        <w:rPr>
          <w:rFonts w:ascii="Calibri" w:eastAsia="Calibri" w:hAnsi="Calibri" w:cs="Calibri"/>
          <w:b/>
          <w:color w:val="000000"/>
          <w:u w:color="000000"/>
          <w:bdr w:val="nil"/>
          <w:lang w:val="en-AU" w:eastAsia="en-AU"/>
        </w:rPr>
        <w:t xml:space="preserve"> arrangements for for-profit organisations?</w:t>
      </w:r>
    </w:p>
    <w:p w14:paraId="0675B6EA"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CF6E63A" w14:textId="77777777" w:rsidR="005343ED" w:rsidRDefault="00F06515"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 xml:space="preserve">The </w:t>
      </w:r>
      <w:r w:rsidR="000A2F91">
        <w:rPr>
          <w:rFonts w:ascii="Calibri" w:eastAsia="Calibri" w:hAnsi="Calibri" w:cs="Calibri"/>
          <w:color w:val="000000"/>
          <w:u w:color="000000"/>
          <w:bdr w:val="nil"/>
          <w:lang w:val="en-AU" w:eastAsia="en-AU"/>
        </w:rPr>
        <w:t>ACBC</w:t>
      </w:r>
      <w:r>
        <w:rPr>
          <w:rFonts w:ascii="Calibri" w:eastAsia="Calibri" w:hAnsi="Calibri" w:cs="Calibri"/>
          <w:color w:val="000000"/>
          <w:u w:color="000000"/>
          <w:bdr w:val="nil"/>
          <w:lang w:val="en-AU" w:eastAsia="en-AU"/>
        </w:rPr>
        <w:t xml:space="preserve"> </w:t>
      </w:r>
      <w:r w:rsidR="000A2F91">
        <w:rPr>
          <w:rFonts w:ascii="Calibri" w:eastAsia="Calibri" w:hAnsi="Calibri" w:cs="Calibri"/>
          <w:color w:val="000000"/>
          <w:u w:color="000000"/>
          <w:bdr w:val="nil"/>
          <w:lang w:val="en-AU" w:eastAsia="en-AU"/>
        </w:rPr>
        <w:t xml:space="preserve">refers to the extensive study on this point by the Productivity </w:t>
      </w:r>
      <w:r w:rsidR="007D1CE1">
        <w:rPr>
          <w:rFonts w:ascii="Calibri" w:eastAsia="Calibri" w:hAnsi="Calibri" w:cs="Calibri"/>
          <w:color w:val="000000"/>
          <w:u w:color="000000"/>
          <w:bdr w:val="nil"/>
          <w:lang w:val="en-AU" w:eastAsia="en-AU"/>
        </w:rPr>
        <w:t xml:space="preserve">Commission </w:t>
      </w:r>
      <w:r w:rsidR="005343ED" w:rsidRPr="006079B9">
        <w:rPr>
          <w:rFonts w:ascii="Calibri" w:eastAsia="Calibri" w:hAnsi="Calibri" w:cs="Calibri"/>
          <w:color w:val="000000"/>
          <w:u w:color="000000"/>
          <w:bdr w:val="nil"/>
          <w:lang w:val="en-AU" w:eastAsia="en-AU"/>
        </w:rPr>
        <w:t>in 2010 and the Henry Review Report and submits that this is not a point for credible further review, at least regarding income tax, DGR or GST</w:t>
      </w:r>
      <w:r w:rsidR="005343ED">
        <w:rPr>
          <w:rFonts w:ascii="Calibri" w:eastAsia="Calibri" w:hAnsi="Calibri" w:cs="Calibri"/>
          <w:color w:val="000000"/>
          <w:u w:color="000000"/>
          <w:bdr w:val="nil"/>
          <w:lang w:val="en-AU" w:eastAsia="en-AU"/>
        </w:rPr>
        <w:t>.</w:t>
      </w:r>
    </w:p>
    <w:p w14:paraId="56EB3A40" w14:textId="77777777" w:rsidR="005343ED"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9269AC5" w14:textId="77777777" w:rsidR="005343ED" w:rsidRPr="006079B9" w:rsidRDefault="005343ED" w:rsidP="005343ED">
      <w:pPr>
        <w:tabs>
          <w:tab w:val="left" w:pos="0"/>
        </w:tabs>
        <w:rPr>
          <w:rFonts w:ascii="Calibri" w:hAnsi="Calibri"/>
        </w:rPr>
      </w:pPr>
      <w:r w:rsidRPr="006079B9">
        <w:rPr>
          <w:rFonts w:ascii="Calibri" w:hAnsi="Calibri"/>
        </w:rPr>
        <w:t>The 2010 Productivity Commission Report addressed these issues comprehensively and concluded:</w:t>
      </w:r>
      <w:r w:rsidRPr="006079B9">
        <w:rPr>
          <w:rFonts w:ascii="Calibri" w:hAnsi="Calibri"/>
          <w:vertAlign w:val="superscript"/>
        </w:rPr>
        <w:footnoteReference w:id="14"/>
      </w:r>
    </w:p>
    <w:p w14:paraId="790C3228" w14:textId="77777777" w:rsidR="005343ED" w:rsidRPr="006079B9" w:rsidRDefault="005343ED" w:rsidP="005343ED">
      <w:pPr>
        <w:ind w:left="1701"/>
        <w:rPr>
          <w:rFonts w:ascii="Calibri" w:hAnsi="Calibri"/>
        </w:rPr>
      </w:pPr>
      <w:r w:rsidRPr="006079B9">
        <w:rPr>
          <w:rFonts w:ascii="Calibri" w:hAnsi="Calibri"/>
        </w:rPr>
        <w:lastRenderedPageBreak/>
        <w:t xml:space="preserve">“On balance, income tax exemptions are not significantly distortionary as [NFPs] have an incentive to </w:t>
      </w:r>
      <w:proofErr w:type="spellStart"/>
      <w:r w:rsidRPr="006079B9">
        <w:rPr>
          <w:rFonts w:ascii="Calibri" w:hAnsi="Calibri"/>
        </w:rPr>
        <w:t>maximise</w:t>
      </w:r>
      <w:proofErr w:type="spellEnd"/>
      <w:r w:rsidRPr="006079B9">
        <w:rPr>
          <w:rFonts w:ascii="Calibri" w:hAnsi="Calibri"/>
        </w:rPr>
        <w:t xml:space="preserve"> the returns on their commercial activities that they then put towards achieving their community purpose.”</w:t>
      </w:r>
    </w:p>
    <w:p w14:paraId="63ED2A61" w14:textId="77777777" w:rsidR="005343ED" w:rsidRPr="006079B9" w:rsidRDefault="005343ED" w:rsidP="005343ED">
      <w:pPr>
        <w:keepNext/>
        <w:tabs>
          <w:tab w:val="left" w:pos="0"/>
        </w:tabs>
        <w:rPr>
          <w:rFonts w:ascii="Calibri" w:hAnsi="Calibri"/>
        </w:rPr>
      </w:pPr>
    </w:p>
    <w:p w14:paraId="1C7FC333" w14:textId="77777777" w:rsidR="005343ED" w:rsidRPr="006079B9" w:rsidRDefault="005343ED" w:rsidP="005343ED">
      <w:pPr>
        <w:keepNext/>
        <w:tabs>
          <w:tab w:val="left" w:pos="0"/>
        </w:tabs>
        <w:rPr>
          <w:rFonts w:ascii="Calibri" w:hAnsi="Calibri"/>
        </w:rPr>
      </w:pPr>
      <w:r w:rsidRPr="006079B9">
        <w:rPr>
          <w:rFonts w:ascii="Calibri" w:hAnsi="Calibri"/>
        </w:rPr>
        <w:t>The 2008 Henry Review Report stated the same view:</w:t>
      </w:r>
      <w:r w:rsidRPr="006079B9">
        <w:rPr>
          <w:rStyle w:val="FootnoteReference"/>
          <w:rFonts w:ascii="Calibri" w:hAnsi="Calibri"/>
        </w:rPr>
        <w:footnoteReference w:id="15"/>
      </w:r>
    </w:p>
    <w:p w14:paraId="6C704DF2" w14:textId="77777777" w:rsidR="005343ED" w:rsidRPr="006079B9" w:rsidRDefault="005343ED" w:rsidP="005343ED">
      <w:pPr>
        <w:ind w:left="1701"/>
        <w:rPr>
          <w:rFonts w:ascii="Calibri" w:hAnsi="Calibri"/>
        </w:rPr>
      </w:pPr>
      <w:r w:rsidRPr="006079B9">
        <w:rPr>
          <w:rFonts w:ascii="Calibri" w:hAnsi="Calibri"/>
        </w:rPr>
        <w:t xml:space="preserve">“The NFP income tax concessions do not generally violate the principle of competitive neutrality where NFP </w:t>
      </w:r>
      <w:proofErr w:type="spellStart"/>
      <w:r w:rsidRPr="006079B9">
        <w:rPr>
          <w:rFonts w:ascii="Calibri" w:hAnsi="Calibri"/>
        </w:rPr>
        <w:t>organisations</w:t>
      </w:r>
      <w:proofErr w:type="spellEnd"/>
      <w:r w:rsidRPr="006079B9">
        <w:rPr>
          <w:rFonts w:ascii="Calibri" w:hAnsi="Calibri"/>
        </w:rPr>
        <w:t xml:space="preserve"> operate in commercial markets.”</w:t>
      </w:r>
    </w:p>
    <w:p w14:paraId="2B6B35A0" w14:textId="77777777" w:rsidR="005343ED"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4AF50694" w14:textId="77777777" w:rsidR="005343ED" w:rsidRPr="00103AE0"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C52DA4">
        <w:rPr>
          <w:rFonts w:ascii="Calibri" w:eastAsia="Calibri" w:hAnsi="Calibri" w:cs="Calibri"/>
          <w:noProof/>
          <w:color w:val="000000"/>
          <w:bdr w:val="nil"/>
          <w:lang w:val="en-AU" w:eastAsia="en-AU"/>
        </w:rPr>
        <w:t>On the question of Fringe Benefits Tax concessions, withdrawing the FBT exemptions and rebates for all employers would prejudice employers and employees who act appropriately within the policy parameters of the concessions and would unfairly increase cost and/or compromise service delivery.</w:t>
      </w:r>
      <w:r w:rsidRPr="006079B9">
        <w:rPr>
          <w:rFonts w:ascii="Calibri" w:eastAsia="Calibri" w:hAnsi="Calibri" w:cs="Calibri"/>
          <w:color w:val="000000"/>
          <w:u w:color="000000"/>
          <w:bdr w:val="nil"/>
          <w:lang w:val="en-AU" w:eastAsia="en-AU"/>
        </w:rPr>
        <w:t xml:space="preserve"> One </w:t>
      </w:r>
      <w:r>
        <w:rPr>
          <w:rFonts w:ascii="Calibri" w:eastAsia="Calibri" w:hAnsi="Calibri" w:cs="Calibri"/>
          <w:color w:val="000000"/>
          <w:u w:color="000000"/>
          <w:bdr w:val="nil"/>
          <w:lang w:val="en-AU" w:eastAsia="en-AU"/>
        </w:rPr>
        <w:t>must also take account of the different commercial circumstances between the sectors, access to capital and the overall contribution to the common good. Under the Government’s proposal from the Budget, concerns about meal entertainment expenditure could be addressed in targeted reform.</w:t>
      </w:r>
    </w:p>
    <w:p w14:paraId="350A323C"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335F2CC" w14:textId="77777777" w:rsidR="00103AE0" w:rsidRPr="00352D7C" w:rsidRDefault="00103AE0"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352D7C">
        <w:rPr>
          <w:rFonts w:ascii="Calibri" w:eastAsia="Calibri" w:hAnsi="Calibri" w:cs="Calibri"/>
          <w:b/>
          <w:color w:val="000000"/>
          <w:u w:color="000000"/>
          <w:bdr w:val="nil"/>
          <w:lang w:val="en-AU" w:eastAsia="en-AU"/>
        </w:rPr>
        <w:t>49. What, if any, administrative arrangements could be simplified that would result in similar outcomes, but with reduced compliance costs?</w:t>
      </w:r>
    </w:p>
    <w:p w14:paraId="27B0757F"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7984681" w14:textId="77777777" w:rsidR="00331AAA" w:rsidRDefault="00331AAA"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331AAA">
        <w:rPr>
          <w:rFonts w:ascii="Calibri" w:eastAsia="Calibri" w:hAnsi="Calibri" w:cs="Calibri"/>
          <w:color w:val="000000"/>
          <w:u w:color="000000"/>
          <w:bdr w:val="nil"/>
          <w:lang w:val="en-AU" w:eastAsia="en-AU"/>
        </w:rPr>
        <w:t>Raising the threshold for deductible gifts to $10 is supported among measures to reduce red</w:t>
      </w:r>
      <w:r>
        <w:rPr>
          <w:rFonts w:ascii="Calibri" w:eastAsia="Calibri" w:hAnsi="Calibri" w:cs="Calibri"/>
          <w:color w:val="000000"/>
          <w:u w:color="000000"/>
          <w:bdr w:val="nil"/>
          <w:lang w:val="en-AU" w:eastAsia="en-AU"/>
        </w:rPr>
        <w:t xml:space="preserve"> </w:t>
      </w:r>
      <w:r w:rsidRPr="00331AAA">
        <w:rPr>
          <w:rFonts w:ascii="Calibri" w:eastAsia="Calibri" w:hAnsi="Calibri" w:cs="Calibri"/>
          <w:color w:val="000000"/>
          <w:u w:color="000000"/>
          <w:bdr w:val="nil"/>
          <w:lang w:val="en-AU" w:eastAsia="en-AU"/>
        </w:rPr>
        <w:t>tape for the sector and donors. The measure would have greater merit if combined with the</w:t>
      </w:r>
      <w:r>
        <w:rPr>
          <w:rFonts w:ascii="Calibri" w:eastAsia="Calibri" w:hAnsi="Calibri" w:cs="Calibri"/>
          <w:color w:val="000000"/>
          <w:u w:color="000000"/>
          <w:bdr w:val="nil"/>
          <w:lang w:val="en-AU" w:eastAsia="en-AU"/>
        </w:rPr>
        <w:t xml:space="preserve"> </w:t>
      </w:r>
      <w:r w:rsidRPr="00331AAA">
        <w:rPr>
          <w:rFonts w:ascii="Calibri" w:eastAsia="Calibri" w:hAnsi="Calibri" w:cs="Calibri"/>
          <w:color w:val="000000"/>
          <w:u w:color="000000"/>
          <w:bdr w:val="nil"/>
          <w:lang w:val="en-AU" w:eastAsia="en-AU"/>
        </w:rPr>
        <w:t>introduction of tax offsets in place of tax deductions as the impact on low income earners</w:t>
      </w:r>
      <w:r>
        <w:rPr>
          <w:rFonts w:ascii="Calibri" w:eastAsia="Calibri" w:hAnsi="Calibri" w:cs="Calibri"/>
          <w:color w:val="000000"/>
          <w:u w:color="000000"/>
          <w:bdr w:val="nil"/>
          <w:lang w:val="en-AU" w:eastAsia="en-AU"/>
        </w:rPr>
        <w:t xml:space="preserve"> </w:t>
      </w:r>
      <w:r w:rsidRPr="00331AAA">
        <w:rPr>
          <w:rFonts w:ascii="Calibri" w:eastAsia="Calibri" w:hAnsi="Calibri" w:cs="Calibri"/>
          <w:color w:val="000000"/>
          <w:u w:color="000000"/>
          <w:bdr w:val="nil"/>
          <w:lang w:val="en-AU" w:eastAsia="en-AU"/>
        </w:rPr>
        <w:t>with limited capacity to give would be reduced.</w:t>
      </w:r>
    </w:p>
    <w:p w14:paraId="67D593A2" w14:textId="77777777" w:rsidR="00182369" w:rsidRDefault="00182369"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78DA6B7" w14:textId="77777777" w:rsidR="00182369" w:rsidRDefault="00182369"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182369">
        <w:rPr>
          <w:rFonts w:ascii="Calibri" w:eastAsia="Calibri" w:hAnsi="Calibri" w:cs="Calibri"/>
          <w:color w:val="000000"/>
          <w:u w:color="000000"/>
          <w:bdr w:val="nil"/>
          <w:lang w:val="en-AU" w:eastAsia="en-AU"/>
        </w:rPr>
        <w:t>The ACBC does not have any particular difficulty with the operation of GST– but compliance is complicated. A principle-based definition of the types of fundraising activities that are input taxed to reduce the compliance burden for entities that engage in fundraising is recommended. Given the small amounts of revenue involved, revenue efficiency and regulatory efficiency need to be balanced.</w:t>
      </w:r>
    </w:p>
    <w:p w14:paraId="60416D6E" w14:textId="77777777" w:rsidR="00326893" w:rsidRDefault="00326893"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49100295" w14:textId="77777777" w:rsidR="00326893" w:rsidRPr="00436896" w:rsidRDefault="00326893"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4B6562">
        <w:rPr>
          <w:rFonts w:ascii="Calibri" w:eastAsia="Calibri" w:hAnsi="Calibri" w:cs="Calibri"/>
          <w:color w:val="000000"/>
          <w:u w:color="000000"/>
          <w:bdr w:val="nil"/>
          <w:lang w:val="en-AU" w:eastAsia="en-AU"/>
        </w:rPr>
        <w:t>The ACBC support</w:t>
      </w:r>
      <w:r w:rsidR="005343ED">
        <w:rPr>
          <w:rFonts w:ascii="Calibri" w:eastAsia="Calibri" w:hAnsi="Calibri" w:cs="Calibri"/>
          <w:color w:val="000000"/>
          <w:u w:color="000000"/>
          <w:bdr w:val="nil"/>
          <w:lang w:val="en-AU" w:eastAsia="en-AU"/>
        </w:rPr>
        <w:t>s</w:t>
      </w:r>
      <w:r w:rsidRPr="004B6562">
        <w:rPr>
          <w:rFonts w:ascii="Calibri" w:eastAsia="Calibri" w:hAnsi="Calibri" w:cs="Calibri"/>
          <w:color w:val="000000"/>
          <w:u w:color="000000"/>
          <w:bdr w:val="nil"/>
          <w:lang w:val="en-AU" w:eastAsia="en-AU"/>
        </w:rPr>
        <w:t xml:space="preserve"> the Productivity Commission</w:t>
      </w:r>
      <w:r w:rsidR="0004582C" w:rsidRPr="004B6562">
        <w:rPr>
          <w:rFonts w:ascii="Calibri" w:eastAsia="Calibri" w:hAnsi="Calibri" w:cs="Calibri"/>
          <w:color w:val="000000"/>
          <w:u w:color="000000"/>
          <w:bdr w:val="nil"/>
          <w:lang w:val="en-AU" w:eastAsia="en-AU"/>
        </w:rPr>
        <w:t>’s</w:t>
      </w:r>
      <w:r w:rsidRPr="004B6562">
        <w:rPr>
          <w:rFonts w:ascii="Calibri" w:eastAsia="Calibri" w:hAnsi="Calibri" w:cs="Calibri"/>
          <w:color w:val="000000"/>
          <w:u w:color="000000"/>
          <w:bdr w:val="nil"/>
          <w:lang w:val="en-AU" w:eastAsia="en-AU"/>
        </w:rPr>
        <w:t xml:space="preserve"> comment that “tax concession arrangements could be simplified by … reducing the number of NFP tax concession categories”,</w:t>
      </w:r>
      <w:r w:rsidRPr="004B6562">
        <w:rPr>
          <w:rStyle w:val="FootnoteReference"/>
          <w:rFonts w:ascii="Calibri" w:eastAsia="Calibri" w:hAnsi="Calibri" w:cs="Calibri"/>
          <w:color w:val="000000"/>
          <w:u w:color="000000"/>
          <w:bdr w:val="nil"/>
          <w:lang w:val="en-AU" w:eastAsia="en-AU"/>
        </w:rPr>
        <w:footnoteReference w:id="16"/>
      </w:r>
      <w:r w:rsidRPr="004B6562">
        <w:rPr>
          <w:rFonts w:ascii="Calibri" w:eastAsia="Calibri" w:hAnsi="Calibri" w:cs="Calibri"/>
          <w:color w:val="000000"/>
          <w:u w:color="000000"/>
          <w:bdr w:val="nil"/>
          <w:lang w:val="en-AU" w:eastAsia="en-AU"/>
        </w:rPr>
        <w:t xml:space="preserve"> as long as no entity would be worse off after the changes.</w:t>
      </w:r>
      <w:r w:rsidR="00066CB7" w:rsidRPr="004B6562">
        <w:rPr>
          <w:rFonts w:ascii="Calibri" w:eastAsia="Calibri" w:hAnsi="Calibri" w:cs="Calibri"/>
          <w:color w:val="000000"/>
          <w:u w:color="000000"/>
          <w:bdr w:val="nil"/>
          <w:lang w:val="en-AU" w:eastAsia="en-AU"/>
        </w:rPr>
        <w:t xml:space="preserve"> The complexity of these arrangements add to administrative costs.</w:t>
      </w:r>
    </w:p>
    <w:p w14:paraId="063FDE02" w14:textId="77777777" w:rsidR="00331AAA" w:rsidRDefault="00331AAA" w:rsidP="00331AA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B3497F7" w14:textId="77777777" w:rsidR="00B26D88" w:rsidRPr="00B26D88" w:rsidRDefault="00B26D88" w:rsidP="00B26D88">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B26D88">
        <w:rPr>
          <w:rFonts w:ascii="Calibri" w:eastAsia="Calibri" w:hAnsi="Calibri" w:cs="Calibri"/>
          <w:color w:val="000000"/>
          <w:u w:color="000000"/>
          <w:bdr w:val="nil"/>
          <w:lang w:val="en-AU" w:eastAsia="en-AU"/>
        </w:rPr>
        <w:t xml:space="preserve">The </w:t>
      </w:r>
      <w:r w:rsidR="000A2F91">
        <w:rPr>
          <w:rFonts w:ascii="Calibri" w:eastAsia="Calibri" w:hAnsi="Calibri" w:cs="Calibri"/>
          <w:color w:val="000000"/>
          <w:u w:color="000000"/>
          <w:bdr w:val="nil"/>
          <w:lang w:val="en-AU" w:eastAsia="en-AU"/>
        </w:rPr>
        <w:t xml:space="preserve">ACBC </w:t>
      </w:r>
      <w:r w:rsidRPr="00B26D88">
        <w:rPr>
          <w:rFonts w:ascii="Calibri" w:eastAsia="Calibri" w:hAnsi="Calibri" w:cs="Calibri"/>
          <w:color w:val="000000"/>
          <w:u w:color="000000"/>
          <w:bdr w:val="nil"/>
          <w:lang w:val="en-AU" w:eastAsia="en-AU"/>
        </w:rPr>
        <w:t>considers tax ruling TR201</w:t>
      </w:r>
      <w:r w:rsidR="000A2F91">
        <w:rPr>
          <w:rFonts w:ascii="Calibri" w:eastAsia="Calibri" w:hAnsi="Calibri" w:cs="Calibri"/>
          <w:color w:val="000000"/>
          <w:u w:color="000000"/>
          <w:bdr w:val="nil"/>
          <w:lang w:val="en-AU" w:eastAsia="en-AU"/>
        </w:rPr>
        <w:t>5/1</w:t>
      </w:r>
      <w:r w:rsidRPr="00B26D88">
        <w:rPr>
          <w:rFonts w:ascii="Calibri" w:eastAsia="Calibri" w:hAnsi="Calibri" w:cs="Calibri"/>
          <w:color w:val="000000"/>
          <w:u w:color="000000"/>
          <w:bdr w:val="nil"/>
          <w:lang w:val="en-AU" w:eastAsia="en-AU"/>
        </w:rPr>
        <w:t xml:space="preserve"> “Income tax: special conditions for various entities whose ordinary and statutory income is exempt” to be unworkable and the legislation behind it should be repealed. </w:t>
      </w:r>
    </w:p>
    <w:p w14:paraId="0BB6C323" w14:textId="77777777" w:rsidR="00B26D88" w:rsidRPr="00B26D88" w:rsidRDefault="00B26D88" w:rsidP="00B26D88">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D68D879" w14:textId="77777777" w:rsidR="00B26D88" w:rsidRPr="00B26D88" w:rsidRDefault="005343ED" w:rsidP="00B26D88">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6079B9">
        <w:rPr>
          <w:rFonts w:ascii="Calibri" w:eastAsia="Calibri" w:hAnsi="Calibri" w:cs="Calibri"/>
          <w:color w:val="000000"/>
          <w:u w:color="000000"/>
          <w:bdr w:val="nil"/>
          <w:lang w:val="en-AU" w:eastAsia="en-AU"/>
        </w:rPr>
        <w:t xml:space="preserve">One area which concerns the ACBC is the increasing escalation of compliance costs and special conditions attaching to long standing and uncontroversial categories of tax exempt entities. As an example, </w:t>
      </w:r>
      <w:r>
        <w:rPr>
          <w:rFonts w:ascii="Calibri" w:eastAsia="Calibri" w:hAnsi="Calibri" w:cs="Calibri"/>
          <w:color w:val="000000"/>
          <w:u w:color="000000"/>
          <w:bdr w:val="nil"/>
          <w:lang w:val="en-AU" w:eastAsia="en-AU"/>
        </w:rPr>
        <w:t>t</w:t>
      </w:r>
      <w:r w:rsidR="00B26D88" w:rsidRPr="00B26D88">
        <w:rPr>
          <w:rFonts w:ascii="Calibri" w:eastAsia="Calibri" w:hAnsi="Calibri" w:cs="Calibri"/>
          <w:color w:val="000000"/>
          <w:u w:color="000000"/>
          <w:bdr w:val="nil"/>
          <w:lang w:val="en-AU" w:eastAsia="en-AU"/>
        </w:rPr>
        <w:t xml:space="preserve">he introduction of ‘special conditions’ by the former Government via the </w:t>
      </w:r>
      <w:r w:rsidR="00B26D88" w:rsidRPr="006C4441">
        <w:rPr>
          <w:rFonts w:ascii="Calibri" w:eastAsia="Calibri" w:hAnsi="Calibri" w:cs="Calibri"/>
          <w:i/>
          <w:color w:val="000000"/>
          <w:u w:color="000000"/>
          <w:bdr w:val="nil"/>
          <w:lang w:val="en-AU" w:eastAsia="en-AU"/>
        </w:rPr>
        <w:t>Tax Laws Amendment (2013 Measures No.2) Act 2013</w:t>
      </w:r>
      <w:r w:rsidR="00B26D88" w:rsidRPr="00B26D88">
        <w:rPr>
          <w:rFonts w:ascii="Calibri" w:eastAsia="Calibri" w:hAnsi="Calibri" w:cs="Calibri"/>
          <w:color w:val="000000"/>
          <w:u w:color="000000"/>
          <w:bdr w:val="nil"/>
          <w:lang w:val="en-AU" w:eastAsia="en-AU"/>
        </w:rPr>
        <w:t xml:space="preserve"> both adds red tape and has no </w:t>
      </w:r>
      <w:r w:rsidR="00B26D88" w:rsidRPr="00B26D88">
        <w:rPr>
          <w:rFonts w:ascii="Calibri" w:eastAsia="Calibri" w:hAnsi="Calibri" w:cs="Calibri"/>
          <w:color w:val="000000"/>
          <w:u w:color="000000"/>
          <w:bdr w:val="nil"/>
          <w:lang w:val="en-AU" w:eastAsia="en-AU"/>
        </w:rPr>
        <w:lastRenderedPageBreak/>
        <w:t>practical effect. The conditions generate uncertainty for both charities and professional advisers.</w:t>
      </w:r>
    </w:p>
    <w:p w14:paraId="3A459417" w14:textId="77777777" w:rsidR="00B26D88" w:rsidRPr="00B26D88" w:rsidRDefault="00B26D88" w:rsidP="00B26D88">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1A4F130B" w14:textId="77777777" w:rsidR="005343ED" w:rsidRPr="00B26D88" w:rsidRDefault="005343ED" w:rsidP="005343ED">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Pr>
          <w:rFonts w:ascii="Calibri" w:eastAsia="Calibri" w:hAnsi="Calibri" w:cs="Calibri"/>
          <w:color w:val="000000"/>
          <w:u w:color="000000"/>
          <w:bdr w:val="nil"/>
          <w:lang w:val="en-AU" w:eastAsia="en-AU"/>
        </w:rPr>
        <w:t>The ACBC considers that the ATO’s views in tax ruling, TR2015/1 “Income tax:  special conditions for various entities who’s ordinary statutory income is exempt”, adds to the confusion.  The reforms add cost for no discernible benefit and should be repealed.</w:t>
      </w:r>
    </w:p>
    <w:p w14:paraId="669A5AEB"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4A9EE5FA" w14:textId="77777777" w:rsidR="00103AE0" w:rsidRPr="00352D7C" w:rsidRDefault="00103AE0" w:rsidP="00103AE0">
      <w:pPr>
        <w:pBdr>
          <w:top w:val="nil"/>
          <w:left w:val="nil"/>
          <w:bottom w:val="nil"/>
          <w:right w:val="nil"/>
          <w:between w:val="nil"/>
          <w:bar w:val="nil"/>
        </w:pBdr>
        <w:outlineLvl w:val="0"/>
        <w:rPr>
          <w:rFonts w:ascii="Calibri" w:eastAsia="Calibri" w:hAnsi="Calibri" w:cs="Calibri"/>
          <w:b/>
          <w:color w:val="000000"/>
          <w:u w:color="000000"/>
          <w:bdr w:val="nil"/>
          <w:lang w:val="en-AU" w:eastAsia="en-AU"/>
        </w:rPr>
      </w:pPr>
      <w:r w:rsidRPr="00352D7C">
        <w:rPr>
          <w:rFonts w:ascii="Calibri" w:eastAsia="Calibri" w:hAnsi="Calibri" w:cs="Calibri"/>
          <w:b/>
          <w:color w:val="000000"/>
          <w:u w:color="000000"/>
          <w:bdr w:val="nil"/>
          <w:lang w:val="en-AU" w:eastAsia="en-AU"/>
        </w:rPr>
        <w:t>50. What, if any, changes could be made to the current tax arrangements for the NFP sector that would enable the sector to deliver benefits to the Australian community more efficiently or effectively?</w:t>
      </w:r>
    </w:p>
    <w:p w14:paraId="4CE98448" w14:textId="77777777" w:rsid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5849D8A" w14:textId="77777777" w:rsidR="00103AE0" w:rsidRPr="00103AE0" w:rsidRDefault="00F0621A" w:rsidP="00F0621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F0621A">
        <w:rPr>
          <w:rFonts w:ascii="Calibri" w:eastAsia="Calibri" w:hAnsi="Calibri" w:cs="Calibri"/>
          <w:color w:val="000000"/>
          <w:u w:color="000000"/>
          <w:bdr w:val="nil"/>
          <w:lang w:val="en-AU" w:eastAsia="en-AU"/>
        </w:rPr>
        <w:t>The Government should consider development of target rates for red tape reduction,</w:t>
      </w:r>
      <w:r>
        <w:rPr>
          <w:rFonts w:ascii="Calibri" w:eastAsia="Calibri" w:hAnsi="Calibri" w:cs="Calibri"/>
          <w:color w:val="000000"/>
          <w:u w:color="000000"/>
          <w:bdr w:val="nil"/>
          <w:lang w:val="en-AU" w:eastAsia="en-AU"/>
        </w:rPr>
        <w:t xml:space="preserve"> </w:t>
      </w:r>
      <w:r w:rsidRPr="00F0621A">
        <w:rPr>
          <w:rFonts w:ascii="Calibri" w:eastAsia="Calibri" w:hAnsi="Calibri" w:cs="Calibri"/>
          <w:color w:val="000000"/>
          <w:u w:color="000000"/>
          <w:bdr w:val="nil"/>
          <w:lang w:val="en-AU" w:eastAsia="en-AU"/>
        </w:rPr>
        <w:t>including the ‘principle of simplicity’ and reform of tax concessions, so that they are</w:t>
      </w:r>
      <w:r>
        <w:rPr>
          <w:rFonts w:ascii="Calibri" w:eastAsia="Calibri" w:hAnsi="Calibri" w:cs="Calibri"/>
          <w:color w:val="000000"/>
          <w:u w:color="000000"/>
          <w:bdr w:val="nil"/>
          <w:lang w:val="en-AU" w:eastAsia="en-AU"/>
        </w:rPr>
        <w:t xml:space="preserve"> </w:t>
      </w:r>
      <w:r w:rsidRPr="00F0621A">
        <w:rPr>
          <w:rFonts w:ascii="Calibri" w:eastAsia="Calibri" w:hAnsi="Calibri" w:cs="Calibri"/>
          <w:color w:val="000000"/>
          <w:u w:color="000000"/>
          <w:bdr w:val="nil"/>
          <w:lang w:val="en-AU" w:eastAsia="en-AU"/>
        </w:rPr>
        <w:t>measurable and transparent and costed to ensure budget-neutral positions for NFP entities.</w:t>
      </w:r>
    </w:p>
    <w:p w14:paraId="3B9C99BD" w14:textId="77777777" w:rsidR="00103AE0" w:rsidRPr="00103AE0" w:rsidRDefault="00103AE0"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01C2C300" w14:textId="77777777" w:rsidR="00103AE0" w:rsidRDefault="00F0621A"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F0621A">
        <w:rPr>
          <w:rFonts w:ascii="Calibri" w:eastAsia="Calibri" w:hAnsi="Calibri" w:cs="Calibri"/>
          <w:color w:val="000000"/>
          <w:u w:color="000000"/>
          <w:bdr w:val="nil"/>
          <w:lang w:val="en-AU" w:eastAsia="en-AU"/>
        </w:rPr>
        <w:t xml:space="preserve">The Government should work with states and territories to ensure a simplified </w:t>
      </w:r>
      <w:r>
        <w:rPr>
          <w:rFonts w:ascii="Calibri" w:eastAsia="Calibri" w:hAnsi="Calibri" w:cs="Calibri"/>
          <w:color w:val="000000"/>
          <w:u w:color="000000"/>
          <w:bdr w:val="nil"/>
          <w:lang w:val="en-AU" w:eastAsia="en-AU"/>
        </w:rPr>
        <w:t>tax system for charities which is budget neutral and does not lead to adverse fiscal responses by state and territory governments.</w:t>
      </w:r>
    </w:p>
    <w:p w14:paraId="27BF9A96" w14:textId="77777777" w:rsidR="00DA145E" w:rsidRDefault="00DA145E"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7C9A4030" w14:textId="77777777" w:rsidR="00DA145E" w:rsidRPr="004B6562" w:rsidRDefault="00DA145E"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4B6562">
        <w:rPr>
          <w:rFonts w:ascii="Calibri" w:eastAsia="Calibri" w:hAnsi="Calibri" w:cs="Calibri"/>
          <w:color w:val="000000"/>
          <w:u w:color="000000"/>
          <w:bdr w:val="nil"/>
          <w:lang w:val="en-AU" w:eastAsia="en-AU"/>
        </w:rPr>
        <w:t>The ACBC supports the following recommendations of the Not-for-Profit Sector Tax Concession Working Group:</w:t>
      </w:r>
    </w:p>
    <w:p w14:paraId="449D5E29" w14:textId="77777777" w:rsidR="00DA145E" w:rsidRPr="004B6562" w:rsidRDefault="00DA145E"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643213F3" w14:textId="77777777" w:rsidR="00DA145E" w:rsidRPr="004B6562" w:rsidRDefault="00DA145E" w:rsidP="00DA145E">
      <w:pPr>
        <w:pStyle w:val="ListParagraph"/>
        <w:numPr>
          <w:ilvl w:val="0"/>
          <w:numId w:val="8"/>
        </w:numPr>
        <w:pBdr>
          <w:top w:val="nil"/>
          <w:left w:val="nil"/>
          <w:bottom w:val="nil"/>
          <w:right w:val="nil"/>
          <w:between w:val="nil"/>
          <w:bar w:val="nil"/>
        </w:pBdr>
        <w:outlineLvl w:val="0"/>
        <w:rPr>
          <w:rFonts w:eastAsia="Calibri" w:cs="Calibri"/>
          <w:color w:val="000000"/>
          <w:u w:color="000000"/>
          <w:bdr w:val="nil"/>
          <w:lang w:eastAsia="en-AU"/>
        </w:rPr>
      </w:pPr>
      <w:r w:rsidRPr="004B6562">
        <w:rPr>
          <w:rFonts w:eastAsia="Calibri" w:cs="Calibri"/>
          <w:color w:val="000000"/>
          <w:u w:color="000000"/>
          <w:bdr w:val="nil"/>
          <w:lang w:eastAsia="en-AU"/>
        </w:rPr>
        <w:t>Income exempt status should be reserved for those entities that provide a “public benefit”</w:t>
      </w:r>
      <w:r w:rsidR="005343ED">
        <w:rPr>
          <w:rFonts w:eastAsia="Calibri" w:cs="Calibri"/>
          <w:color w:val="000000"/>
          <w:u w:color="000000"/>
          <w:bdr w:val="nil"/>
          <w:lang w:eastAsia="en-AU"/>
        </w:rPr>
        <w:t>, as is the case for charities</w:t>
      </w:r>
      <w:r w:rsidRPr="004B6562">
        <w:rPr>
          <w:rFonts w:eastAsia="Calibri" w:cs="Calibri"/>
          <w:color w:val="000000"/>
          <w:u w:color="000000"/>
          <w:bdr w:val="nil"/>
          <w:lang w:eastAsia="en-AU"/>
        </w:rPr>
        <w:t>;</w:t>
      </w:r>
    </w:p>
    <w:p w14:paraId="70342EEF" w14:textId="77777777" w:rsidR="00DA145E" w:rsidRPr="004B6562" w:rsidRDefault="00DA145E" w:rsidP="00DA145E">
      <w:pPr>
        <w:pStyle w:val="ListParagraph"/>
        <w:numPr>
          <w:ilvl w:val="0"/>
          <w:numId w:val="8"/>
        </w:numPr>
        <w:pBdr>
          <w:top w:val="nil"/>
          <w:left w:val="nil"/>
          <w:bottom w:val="nil"/>
          <w:right w:val="nil"/>
          <w:between w:val="nil"/>
          <w:bar w:val="nil"/>
        </w:pBdr>
        <w:outlineLvl w:val="0"/>
        <w:rPr>
          <w:rFonts w:eastAsia="Calibri" w:cs="Calibri"/>
          <w:color w:val="000000"/>
          <w:u w:color="000000"/>
          <w:bdr w:val="nil"/>
          <w:lang w:eastAsia="en-AU"/>
        </w:rPr>
      </w:pPr>
      <w:r w:rsidRPr="004B6562">
        <w:rPr>
          <w:rFonts w:eastAsia="Calibri" w:cs="Calibri"/>
          <w:color w:val="000000"/>
          <w:u w:color="000000"/>
          <w:bdr w:val="nil"/>
          <w:lang w:eastAsia="en-AU"/>
        </w:rPr>
        <w:t xml:space="preserve">The tax free threshold for </w:t>
      </w:r>
      <w:r w:rsidR="005343ED">
        <w:rPr>
          <w:rFonts w:eastAsia="Calibri" w:cs="Calibri"/>
          <w:color w:val="000000"/>
          <w:u w:color="000000"/>
          <w:bdr w:val="nil"/>
          <w:lang w:eastAsia="en-AU"/>
        </w:rPr>
        <w:t xml:space="preserve">non-exempt </w:t>
      </w:r>
      <w:r w:rsidRPr="004B6562">
        <w:rPr>
          <w:rFonts w:eastAsia="Calibri" w:cs="Calibri"/>
          <w:color w:val="000000"/>
          <w:u w:color="000000"/>
          <w:bdr w:val="nil"/>
          <w:lang w:eastAsia="en-AU"/>
        </w:rPr>
        <w:t>NFP entities should be lifted from $416 to $10,000 of taxable income, cutting administrative and compliance costs for small entities;</w:t>
      </w:r>
    </w:p>
    <w:p w14:paraId="1CF988FA" w14:textId="77777777" w:rsidR="00DA145E" w:rsidRPr="004B6562" w:rsidRDefault="005343ED" w:rsidP="00DA145E">
      <w:pPr>
        <w:pStyle w:val="ListParagraph"/>
        <w:numPr>
          <w:ilvl w:val="0"/>
          <w:numId w:val="8"/>
        </w:numPr>
        <w:pBdr>
          <w:top w:val="nil"/>
          <w:left w:val="nil"/>
          <w:bottom w:val="nil"/>
          <w:right w:val="nil"/>
          <w:between w:val="nil"/>
          <w:bar w:val="nil"/>
        </w:pBdr>
        <w:outlineLvl w:val="0"/>
        <w:rPr>
          <w:rFonts w:eastAsia="Calibri" w:cs="Calibri"/>
          <w:color w:val="000000"/>
          <w:u w:color="000000"/>
          <w:bdr w:val="nil"/>
          <w:lang w:eastAsia="en-AU"/>
        </w:rPr>
      </w:pPr>
      <w:r>
        <w:rPr>
          <w:rFonts w:eastAsia="Calibri" w:cs="Calibri"/>
          <w:color w:val="000000"/>
          <w:u w:color="000000"/>
          <w:bdr w:val="nil"/>
          <w:lang w:eastAsia="en-AU"/>
        </w:rPr>
        <w:t>As the Government has announced on Budget night, t</w:t>
      </w:r>
      <w:r w:rsidR="00DA145E" w:rsidRPr="004B6562">
        <w:rPr>
          <w:rFonts w:eastAsia="Calibri" w:cs="Calibri"/>
          <w:color w:val="000000"/>
          <w:u w:color="000000"/>
          <w:bdr w:val="nil"/>
          <w:lang w:eastAsia="en-AU"/>
        </w:rPr>
        <w:t>here should not be uncapped concessions for salary sacrificed meal entertainment and entertainment facility leasing fringe benefits;</w:t>
      </w:r>
    </w:p>
    <w:p w14:paraId="2C08A5EE" w14:textId="77777777" w:rsidR="00DA145E" w:rsidRPr="004B6562" w:rsidRDefault="00DA145E" w:rsidP="00DA145E">
      <w:pPr>
        <w:pStyle w:val="ListParagraph"/>
        <w:numPr>
          <w:ilvl w:val="0"/>
          <w:numId w:val="8"/>
        </w:numPr>
        <w:pBdr>
          <w:top w:val="nil"/>
          <w:left w:val="nil"/>
          <w:bottom w:val="nil"/>
          <w:right w:val="nil"/>
          <w:between w:val="nil"/>
          <w:bar w:val="nil"/>
        </w:pBdr>
        <w:outlineLvl w:val="0"/>
        <w:rPr>
          <w:rFonts w:eastAsia="Calibri" w:cs="Calibri"/>
          <w:color w:val="000000"/>
          <w:u w:color="000000"/>
          <w:bdr w:val="nil"/>
          <w:lang w:eastAsia="en-AU"/>
        </w:rPr>
      </w:pPr>
      <w:r w:rsidRPr="004B6562">
        <w:rPr>
          <w:rFonts w:eastAsia="Calibri" w:cs="Calibri"/>
          <w:color w:val="000000"/>
          <w:u w:color="000000"/>
          <w:bdr w:val="nil"/>
          <w:lang w:eastAsia="en-AU"/>
        </w:rPr>
        <w:t>Any savings from reforms to tax arrangements for the NFP sector should be passed back to the sector to support its work.</w:t>
      </w:r>
      <w:r w:rsidRPr="004B6562">
        <w:rPr>
          <w:rStyle w:val="FootnoteReference"/>
          <w:rFonts w:eastAsia="Calibri" w:cs="Calibri"/>
          <w:color w:val="000000"/>
          <w:u w:color="000000"/>
          <w:bdr w:val="nil"/>
          <w:lang w:eastAsia="en-AU"/>
        </w:rPr>
        <w:footnoteReference w:id="17"/>
      </w:r>
    </w:p>
    <w:p w14:paraId="62D25D65" w14:textId="77777777" w:rsidR="00F0621A" w:rsidRPr="00103AE0" w:rsidRDefault="00F0621A" w:rsidP="00103AE0">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3B55E5E6"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r w:rsidRPr="000D7DFA">
        <w:rPr>
          <w:rFonts w:ascii="Calibri" w:eastAsia="Calibri" w:hAnsi="Calibri" w:cs="Calibri"/>
          <w:color w:val="000000"/>
          <w:u w:color="000000"/>
          <w:bdr w:val="nil"/>
          <w:lang w:eastAsia="en-AU"/>
        </w:rPr>
        <w:t xml:space="preserve">I would welcome the opportunity to discuss </w:t>
      </w:r>
      <w:r w:rsidR="00B153EB">
        <w:rPr>
          <w:rFonts w:ascii="Calibri" w:eastAsia="Calibri" w:hAnsi="Calibri" w:cs="Calibri"/>
          <w:color w:val="000000"/>
          <w:u w:color="000000"/>
          <w:bdr w:val="nil"/>
          <w:lang w:eastAsia="en-AU"/>
        </w:rPr>
        <w:t>these issues further</w:t>
      </w:r>
      <w:r w:rsidRPr="000D7DFA">
        <w:rPr>
          <w:rFonts w:ascii="Calibri" w:eastAsia="Calibri" w:hAnsi="Calibri" w:cs="Calibri"/>
          <w:color w:val="000000"/>
          <w:u w:color="000000"/>
          <w:bdr w:val="nil"/>
          <w:lang w:eastAsia="en-AU"/>
        </w:rPr>
        <w:t>.</w:t>
      </w:r>
    </w:p>
    <w:p w14:paraId="69618C35"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val="en-AU" w:eastAsia="en-AU"/>
        </w:rPr>
      </w:pPr>
    </w:p>
    <w:p w14:paraId="5E4CBD6C" w14:textId="77777777" w:rsidR="00800198" w:rsidRPr="00CA7559" w:rsidRDefault="00800198" w:rsidP="00800198">
      <w:pPr>
        <w:rPr>
          <w:rFonts w:asciiTheme="minorHAnsi" w:hAnsiTheme="minorHAnsi"/>
        </w:rPr>
      </w:pPr>
      <w:r w:rsidRPr="00CA7559">
        <w:rPr>
          <w:rFonts w:asciiTheme="minorHAnsi" w:hAnsiTheme="minorHAnsi"/>
        </w:rPr>
        <w:t xml:space="preserve">Yours </w:t>
      </w:r>
      <w:r>
        <w:rPr>
          <w:rFonts w:asciiTheme="minorHAnsi" w:hAnsiTheme="minorHAnsi"/>
        </w:rPr>
        <w:t>faithfully</w:t>
      </w:r>
    </w:p>
    <w:p w14:paraId="410BAEDA" w14:textId="77777777" w:rsidR="00800198" w:rsidRPr="00476920" w:rsidRDefault="00800198" w:rsidP="00800198">
      <w:pPr>
        <w:rPr>
          <w:rFonts w:asciiTheme="minorHAnsi" w:hAnsiTheme="minorHAnsi"/>
        </w:rPr>
      </w:pPr>
    </w:p>
    <w:p w14:paraId="783FBA22" w14:textId="77777777" w:rsidR="00800198" w:rsidRPr="00476920" w:rsidRDefault="00800198" w:rsidP="00800198">
      <w:pPr>
        <w:rPr>
          <w:rFonts w:asciiTheme="minorHAnsi" w:hAnsiTheme="minorHAnsi"/>
        </w:rPr>
      </w:pPr>
    </w:p>
    <w:p w14:paraId="3FD49B7E" w14:textId="77777777" w:rsidR="00800198" w:rsidRPr="00476920" w:rsidRDefault="00800198" w:rsidP="00800198">
      <w:pPr>
        <w:rPr>
          <w:rFonts w:asciiTheme="minorHAnsi" w:hAnsiTheme="minorHAnsi"/>
        </w:rPr>
      </w:pPr>
      <w:r>
        <w:rPr>
          <w:rFonts w:asciiTheme="minorHAnsi" w:hAnsiTheme="minorHAnsi"/>
        </w:rPr>
        <w:t>R</w:t>
      </w:r>
      <w:r w:rsidRPr="00476920">
        <w:rPr>
          <w:rFonts w:asciiTheme="minorHAnsi" w:hAnsiTheme="minorHAnsi"/>
        </w:rPr>
        <w:t>ev Brian Lucas</w:t>
      </w:r>
      <w:r w:rsidRPr="00476920">
        <w:rPr>
          <w:rFonts w:asciiTheme="minorHAnsi" w:hAnsiTheme="minorHAnsi"/>
        </w:rPr>
        <w:br/>
        <w:t>General Secretary</w:t>
      </w:r>
    </w:p>
    <w:p w14:paraId="5A5E1540"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eastAsia="en-AU"/>
        </w:rPr>
      </w:pPr>
    </w:p>
    <w:p w14:paraId="66622857" w14:textId="77777777" w:rsidR="000D7DFA" w:rsidRPr="000D7DFA" w:rsidRDefault="000D7DFA" w:rsidP="000D7DFA">
      <w:pPr>
        <w:pBdr>
          <w:top w:val="nil"/>
          <w:left w:val="nil"/>
          <w:bottom w:val="nil"/>
          <w:right w:val="nil"/>
          <w:between w:val="nil"/>
          <w:bar w:val="nil"/>
        </w:pBdr>
        <w:outlineLvl w:val="0"/>
        <w:rPr>
          <w:rFonts w:ascii="Calibri" w:eastAsia="Calibri" w:hAnsi="Calibri" w:cs="Calibri"/>
          <w:color w:val="000000"/>
          <w:u w:color="000000"/>
          <w:bdr w:val="nil"/>
          <w:lang w:eastAsia="en-AU"/>
        </w:rPr>
      </w:pPr>
    </w:p>
    <w:sectPr w:rsidR="000D7DFA" w:rsidRPr="000D7DFA" w:rsidSect="00972A63">
      <w:headerReference w:type="default" r:id="rId15"/>
      <w:footerReference w:type="first" r:id="rId16"/>
      <w:pgSz w:w="11900" w:h="16840"/>
      <w:pgMar w:top="1440" w:right="1440" w:bottom="1440" w:left="1440"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15CE4" w14:textId="77777777" w:rsidR="00C23EF8" w:rsidRDefault="00C23EF8">
      <w:r>
        <w:separator/>
      </w:r>
    </w:p>
  </w:endnote>
  <w:endnote w:type="continuationSeparator" w:id="0">
    <w:p w14:paraId="6ADE5162" w14:textId="77777777" w:rsidR="00C23EF8" w:rsidRDefault="00C2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Neue-Thin-SC700">
    <w:panose1 w:val="00000000000000000000"/>
    <w:charset w:val="00"/>
    <w:family w:val="auto"/>
    <w:notTrueType/>
    <w:pitch w:val="default"/>
    <w:sig w:usb0="00000003" w:usb1="00000000" w:usb2="00000000" w:usb3="00000000" w:csb0="00000001" w:csb1="00000000"/>
  </w:font>
  <w:font w:name="HelveticaNeue-Thin">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5F382" w14:textId="77777777" w:rsidR="00DB1177" w:rsidRDefault="00DB1177" w:rsidP="00F63A7C">
    <w:pPr>
      <w:tabs>
        <w:tab w:val="left" w:pos="0"/>
        <w:tab w:val="center" w:pos="4153"/>
        <w:tab w:val="center" w:pos="4510"/>
        <w:tab w:val="right" w:pos="8306"/>
        <w:tab w:val="right" w:pos="9020"/>
      </w:tabs>
      <w:jc w:val="center"/>
      <w:outlineLvl w:val="0"/>
      <w:rPr>
        <w:rFonts w:ascii="Helvetica" w:eastAsia="Arial Unicode MS" w:hAnsi="Arial Unicode MS"/>
        <w:color w:val="333399"/>
        <w:sz w:val="20"/>
        <w:u w:color="333399"/>
      </w:rPr>
    </w:pPr>
  </w:p>
  <w:p w14:paraId="6ABB7A32" w14:textId="77777777" w:rsidR="00DB1177" w:rsidRDefault="00DB1177" w:rsidP="00F63A7C">
    <w:pPr>
      <w:tabs>
        <w:tab w:val="left" w:pos="0"/>
        <w:tab w:val="center" w:pos="4153"/>
        <w:tab w:val="center" w:pos="4510"/>
        <w:tab w:val="right" w:pos="8306"/>
        <w:tab w:val="right" w:pos="9020"/>
      </w:tabs>
      <w:jc w:val="center"/>
      <w:outlineLvl w:val="0"/>
      <w:rPr>
        <w:rFonts w:ascii="Helvetica" w:eastAsia="Arial Unicode MS" w:hAnsi="Helvetica"/>
        <w:color w:val="333399"/>
        <w:sz w:val="20"/>
        <w:u w:color="333399"/>
      </w:rPr>
    </w:pPr>
    <w:r>
      <w:rPr>
        <w:rFonts w:ascii="Helvetica" w:eastAsia="Arial Unicode MS" w:hAnsi="Arial Unicode MS"/>
        <w:color w:val="333399"/>
        <w:sz w:val="20"/>
        <w:u w:color="333399"/>
      </w:rPr>
      <w:t>GPO BOX 368 CANBERRA ACT 2601       TEL: 02) 6201 9845      FAX: 02) 6247 6083</w:t>
    </w:r>
  </w:p>
  <w:p w14:paraId="354BC44E" w14:textId="77777777" w:rsidR="00DB1177" w:rsidRDefault="00DB1177" w:rsidP="00F63A7C">
    <w:pPr>
      <w:tabs>
        <w:tab w:val="left" w:pos="0"/>
        <w:tab w:val="center" w:pos="4153"/>
        <w:tab w:val="center" w:pos="4510"/>
        <w:tab w:val="right" w:pos="8306"/>
        <w:tab w:val="right" w:pos="9020"/>
      </w:tabs>
      <w:jc w:val="center"/>
      <w:outlineLvl w:val="0"/>
      <w:rPr>
        <w:rFonts w:ascii="Helvetica" w:eastAsia="Arial Unicode MS" w:hAnsi="Helvetica"/>
        <w:color w:val="333399"/>
        <w:sz w:val="20"/>
        <w:u w:color="333399"/>
      </w:rPr>
    </w:pPr>
    <w:r>
      <w:rPr>
        <w:rFonts w:ascii="Helvetica" w:eastAsia="Arial Unicode MS" w:hAnsi="Arial Unicode MS"/>
        <w:color w:val="333399"/>
        <w:sz w:val="20"/>
        <w:u w:color="333399"/>
      </w:rPr>
      <w:t>Email:  gensec@catholic.org.au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79A45" w14:textId="77777777" w:rsidR="00C23EF8" w:rsidRDefault="00C23EF8">
      <w:r>
        <w:separator/>
      </w:r>
    </w:p>
  </w:footnote>
  <w:footnote w:type="continuationSeparator" w:id="0">
    <w:p w14:paraId="4CB54E83" w14:textId="77777777" w:rsidR="00C23EF8" w:rsidRDefault="00C23EF8">
      <w:r>
        <w:continuationSeparator/>
      </w:r>
    </w:p>
  </w:footnote>
  <w:footnote w:id="1">
    <w:p w14:paraId="2DED4CCB" w14:textId="77777777" w:rsidR="005343ED" w:rsidRPr="00A935DF" w:rsidRDefault="005343ED" w:rsidP="005343ED">
      <w:pPr>
        <w:pStyle w:val="FootnoteText"/>
        <w:rPr>
          <w:lang w:val="en-AU"/>
        </w:rPr>
      </w:pPr>
      <w:r>
        <w:rPr>
          <w:rStyle w:val="FootnoteReference"/>
        </w:rPr>
        <w:footnoteRef/>
      </w:r>
      <w:r>
        <w:t xml:space="preserve"> </w:t>
      </w:r>
      <w:r w:rsidRPr="00AE5C52">
        <w:rPr>
          <w:i/>
          <w:lang w:val="en-AU"/>
        </w:rPr>
        <w:t>Fairer, simpler and more effective tax concessions for the not for profit sector</w:t>
      </w:r>
      <w:r>
        <w:rPr>
          <w:lang w:val="en-AU"/>
        </w:rPr>
        <w:t xml:space="preserve">, </w:t>
      </w:r>
      <w:r w:rsidRPr="00A935DF">
        <w:rPr>
          <w:lang w:val="en-AU"/>
        </w:rPr>
        <w:t>May 2013</w:t>
      </w:r>
      <w:r>
        <w:rPr>
          <w:lang w:val="en-AU"/>
        </w:rPr>
        <w:t>.</w:t>
      </w:r>
    </w:p>
  </w:footnote>
  <w:footnote w:id="2">
    <w:p w14:paraId="03A7CB09" w14:textId="77777777" w:rsidR="00F8290A" w:rsidRDefault="005343ED" w:rsidP="00F8290A">
      <w:pPr>
        <w:pStyle w:val="FootnoteText"/>
      </w:pPr>
      <w:r>
        <w:rPr>
          <w:rStyle w:val="FootnoteReference"/>
        </w:rPr>
        <w:footnoteRef/>
      </w:r>
      <w:r>
        <w:t xml:space="preserve"> </w:t>
      </w:r>
      <w:r w:rsidR="00F8290A">
        <w:t xml:space="preserve">Productivity Commission 2010, </w:t>
      </w:r>
      <w:r w:rsidR="00F8290A" w:rsidRPr="00C52DA4">
        <w:rPr>
          <w:i/>
        </w:rPr>
        <w:t>Contribution of the Not-for-Profit Sector</w:t>
      </w:r>
      <w:r w:rsidR="00F8290A">
        <w:t>, Research</w:t>
      </w:r>
    </w:p>
    <w:p w14:paraId="5724D017" w14:textId="77777777" w:rsidR="005343ED" w:rsidRPr="00A935DF" w:rsidRDefault="00F8290A" w:rsidP="00F8290A">
      <w:pPr>
        <w:pStyle w:val="FootnoteText"/>
        <w:rPr>
          <w:lang w:val="en-AU"/>
        </w:rPr>
      </w:pPr>
      <w:r>
        <w:t>Report, Canberra.</w:t>
      </w:r>
    </w:p>
  </w:footnote>
  <w:footnote w:id="3">
    <w:p w14:paraId="3A4FE88F" w14:textId="77777777" w:rsidR="00464BF9" w:rsidRPr="00E83C1B" w:rsidRDefault="00464BF9">
      <w:pPr>
        <w:pStyle w:val="FootnoteText"/>
        <w:rPr>
          <w:lang w:val="en-AU"/>
        </w:rPr>
      </w:pPr>
      <w:r>
        <w:rPr>
          <w:rStyle w:val="FootnoteReference"/>
        </w:rPr>
        <w:footnoteRef/>
      </w:r>
      <w:r>
        <w:t xml:space="preserve"> </w:t>
      </w:r>
      <w:proofErr w:type="spellStart"/>
      <w:r w:rsidRPr="00C52DA4">
        <w:rPr>
          <w:rFonts w:ascii="Calibri" w:eastAsia="Calibri" w:hAnsi="Calibri" w:cs="Calibri"/>
          <w:i/>
          <w:color w:val="000000"/>
          <w:u w:color="000000"/>
          <w:bdr w:val="nil"/>
          <w:lang w:eastAsia="en-AU"/>
        </w:rPr>
        <w:t>Gaudium</w:t>
      </w:r>
      <w:proofErr w:type="spellEnd"/>
      <w:r w:rsidRPr="00C52DA4">
        <w:rPr>
          <w:rFonts w:ascii="Calibri" w:eastAsia="Calibri" w:hAnsi="Calibri" w:cs="Calibri"/>
          <w:i/>
          <w:color w:val="000000"/>
          <w:u w:color="000000"/>
          <w:bdr w:val="nil"/>
          <w:lang w:eastAsia="en-AU"/>
        </w:rPr>
        <w:t xml:space="preserve"> </w:t>
      </w:r>
      <w:proofErr w:type="gramStart"/>
      <w:r w:rsidRPr="00C52DA4">
        <w:rPr>
          <w:rFonts w:ascii="Calibri" w:eastAsia="Calibri" w:hAnsi="Calibri" w:cs="Calibri"/>
          <w:i/>
          <w:color w:val="000000"/>
          <w:u w:color="000000"/>
          <w:bdr w:val="nil"/>
          <w:lang w:eastAsia="en-AU"/>
        </w:rPr>
        <w:t>et</w:t>
      </w:r>
      <w:proofErr w:type="gramEnd"/>
      <w:r w:rsidRPr="00C52DA4">
        <w:rPr>
          <w:rFonts w:ascii="Calibri" w:eastAsia="Calibri" w:hAnsi="Calibri" w:cs="Calibri"/>
          <w:i/>
          <w:color w:val="000000"/>
          <w:u w:color="000000"/>
          <w:bdr w:val="nil"/>
          <w:lang w:eastAsia="en-AU"/>
        </w:rPr>
        <w:t xml:space="preserve"> </w:t>
      </w:r>
      <w:proofErr w:type="spellStart"/>
      <w:r w:rsidRPr="00C52DA4">
        <w:rPr>
          <w:rFonts w:ascii="Calibri" w:eastAsia="Calibri" w:hAnsi="Calibri" w:cs="Calibri"/>
          <w:i/>
          <w:color w:val="000000"/>
          <w:u w:color="000000"/>
          <w:bdr w:val="nil"/>
          <w:lang w:eastAsia="en-AU"/>
        </w:rPr>
        <w:t>Spes</w:t>
      </w:r>
      <w:proofErr w:type="spellEnd"/>
      <w:r w:rsidRPr="000D7DFA">
        <w:rPr>
          <w:rFonts w:ascii="Calibri" w:eastAsia="Calibri" w:hAnsi="Calibri" w:cs="Calibri"/>
          <w:color w:val="000000"/>
          <w:u w:color="000000"/>
          <w:bdr w:val="nil"/>
          <w:lang w:eastAsia="en-AU"/>
        </w:rPr>
        <w:t>, #26. Pastoral Constitution on the Church in the Modern World,</w:t>
      </w:r>
      <w:r w:rsidR="00E83C1B">
        <w:rPr>
          <w:rFonts w:ascii="Calibri" w:eastAsia="Calibri" w:hAnsi="Calibri" w:cs="Calibri"/>
          <w:color w:val="000000"/>
          <w:u w:color="000000"/>
          <w:bdr w:val="nil"/>
          <w:lang w:eastAsia="en-AU"/>
        </w:rPr>
        <w:t xml:space="preserve"> Pope Paul VI, 7 December 1965.</w:t>
      </w:r>
    </w:p>
  </w:footnote>
  <w:footnote w:id="4">
    <w:p w14:paraId="26998680" w14:textId="77777777" w:rsidR="00464BF9" w:rsidRPr="00E83C1B" w:rsidRDefault="00464BF9">
      <w:pPr>
        <w:pStyle w:val="FootnoteText"/>
        <w:rPr>
          <w:lang w:val="en-AU"/>
        </w:rPr>
      </w:pPr>
      <w:r>
        <w:rPr>
          <w:rStyle w:val="FootnoteReference"/>
        </w:rPr>
        <w:footnoteRef/>
      </w:r>
      <w:r>
        <w:t xml:space="preserve"> </w:t>
      </w:r>
      <w:r>
        <w:rPr>
          <w:lang w:val="en-AU"/>
        </w:rPr>
        <w:t xml:space="preserve">Apostolic Exhortation, </w:t>
      </w:r>
      <w:proofErr w:type="spellStart"/>
      <w:r w:rsidRPr="00C52DA4">
        <w:rPr>
          <w:i/>
          <w:lang w:val="en-AU"/>
        </w:rPr>
        <w:t>Evangelii</w:t>
      </w:r>
      <w:proofErr w:type="spellEnd"/>
      <w:r w:rsidRPr="00C52DA4">
        <w:rPr>
          <w:i/>
          <w:lang w:val="en-AU"/>
        </w:rPr>
        <w:t xml:space="preserve"> </w:t>
      </w:r>
      <w:proofErr w:type="spellStart"/>
      <w:r w:rsidRPr="00C52DA4">
        <w:rPr>
          <w:i/>
          <w:lang w:val="en-AU"/>
        </w:rPr>
        <w:t>Gaudium</w:t>
      </w:r>
      <w:proofErr w:type="spellEnd"/>
      <w:r>
        <w:rPr>
          <w:lang w:val="en-AU"/>
        </w:rPr>
        <w:t xml:space="preserve">, </w:t>
      </w:r>
      <w:r w:rsidR="009C0153">
        <w:rPr>
          <w:lang w:val="en-AU"/>
        </w:rPr>
        <w:t xml:space="preserve">24 November </w:t>
      </w:r>
      <w:r w:rsidR="00BC5D20">
        <w:rPr>
          <w:rFonts w:ascii="Calibri" w:eastAsia="Calibri" w:hAnsi="Calibri" w:cs="Calibri"/>
          <w:color w:val="000000"/>
          <w:u w:color="000000"/>
          <w:bdr w:val="nil"/>
          <w:lang w:val="en-AU" w:eastAsia="en-AU"/>
        </w:rPr>
        <w:t xml:space="preserve">2013, </w:t>
      </w:r>
      <w:r w:rsidRPr="000D7DFA">
        <w:rPr>
          <w:rFonts w:ascii="Calibri" w:eastAsia="Calibri" w:hAnsi="Calibri" w:cs="Calibri"/>
          <w:color w:val="000000"/>
          <w:u w:color="000000"/>
          <w:bdr w:val="nil"/>
          <w:lang w:val="en-AU" w:eastAsia="en-AU"/>
        </w:rPr>
        <w:t>#58</w:t>
      </w:r>
      <w:r w:rsidR="00BC5D20">
        <w:rPr>
          <w:rFonts w:ascii="Calibri" w:eastAsia="Calibri" w:hAnsi="Calibri" w:cs="Calibri"/>
          <w:color w:val="000000"/>
          <w:u w:color="000000"/>
          <w:bdr w:val="nil"/>
          <w:lang w:val="en-AU" w:eastAsia="en-AU"/>
        </w:rPr>
        <w:t>.</w:t>
      </w:r>
    </w:p>
  </w:footnote>
  <w:footnote w:id="5">
    <w:p w14:paraId="6AC99A17" w14:textId="77777777" w:rsidR="009256C7" w:rsidRDefault="00826AA1">
      <w:pPr>
        <w:pStyle w:val="FootnoteText"/>
      </w:pPr>
      <w:r>
        <w:rPr>
          <w:rStyle w:val="FootnoteReference"/>
        </w:rPr>
        <w:footnoteRef/>
      </w:r>
      <w:r>
        <w:t xml:space="preserve"> </w:t>
      </w:r>
      <w:r w:rsidRPr="00826AA1">
        <w:t xml:space="preserve">Productivity Commission, </w:t>
      </w:r>
      <w:r w:rsidRPr="009256C7">
        <w:rPr>
          <w:i/>
        </w:rPr>
        <w:t>Contribution of the Not-for-profit Sector</w:t>
      </w:r>
      <w:r>
        <w:t>. January 2010, page 156, 157.</w:t>
      </w:r>
      <w:r w:rsidR="009256C7">
        <w:t xml:space="preserve"> </w:t>
      </w:r>
    </w:p>
    <w:p w14:paraId="53294A08" w14:textId="77777777" w:rsidR="00826AA1" w:rsidRPr="00826AA1" w:rsidRDefault="009256C7">
      <w:pPr>
        <w:pStyle w:val="FootnoteText"/>
        <w:rPr>
          <w:lang w:val="en-AU"/>
        </w:rPr>
      </w:pPr>
      <w:r>
        <w:t xml:space="preserve">Not-for-Profit Sector Tax Concession Working Group, </w:t>
      </w:r>
      <w:r w:rsidRPr="009256C7">
        <w:rPr>
          <w:i/>
        </w:rPr>
        <w:t>Fairer, simpler and more effective tax concessions for the not-for-profit sector</w:t>
      </w:r>
      <w:r>
        <w:t>. Final Report, May 2013. Page 3.</w:t>
      </w:r>
    </w:p>
  </w:footnote>
  <w:footnote w:id="6">
    <w:p w14:paraId="720A017A" w14:textId="77777777" w:rsidR="00C52DA4" w:rsidRPr="00DF0822" w:rsidRDefault="00C52DA4">
      <w:pPr>
        <w:pStyle w:val="FootnoteText"/>
        <w:rPr>
          <w:lang w:val="en-AU"/>
        </w:rPr>
      </w:pPr>
      <w:r>
        <w:rPr>
          <w:rStyle w:val="FootnoteReference"/>
        </w:rPr>
        <w:footnoteRef/>
      </w:r>
      <w:r>
        <w:t xml:space="preserve"> </w:t>
      </w:r>
      <w:r>
        <w:rPr>
          <w:lang w:val="en-AU"/>
        </w:rPr>
        <w:t xml:space="preserve">Weston, R et al, Australian families with children and adolescents. </w:t>
      </w:r>
      <w:r w:rsidRPr="00DF0822">
        <w:rPr>
          <w:i/>
          <w:lang w:val="en-AU"/>
        </w:rPr>
        <w:t>Australian Family Trends</w:t>
      </w:r>
      <w:r>
        <w:rPr>
          <w:lang w:val="en-AU"/>
        </w:rPr>
        <w:t xml:space="preserve"> </w:t>
      </w:r>
      <w:r w:rsidRPr="008233EF">
        <w:rPr>
          <w:i/>
          <w:lang w:val="en-AU"/>
        </w:rPr>
        <w:t>No.5</w:t>
      </w:r>
      <w:r>
        <w:rPr>
          <w:lang w:val="en-AU"/>
        </w:rPr>
        <w:t>, July 2013. Figure 2, page 4.</w:t>
      </w:r>
    </w:p>
  </w:footnote>
  <w:footnote w:id="7">
    <w:p w14:paraId="04E786BB" w14:textId="77777777" w:rsidR="00423D49" w:rsidRPr="00DF0822" w:rsidRDefault="00423D49">
      <w:pPr>
        <w:pStyle w:val="FootnoteText"/>
        <w:rPr>
          <w:lang w:val="en-AU"/>
        </w:rPr>
      </w:pPr>
      <w:r>
        <w:rPr>
          <w:rStyle w:val="FootnoteReference"/>
        </w:rPr>
        <w:footnoteRef/>
      </w:r>
      <w:r>
        <w:t xml:space="preserve"> Wilson, K et al, Parents, the </w:t>
      </w:r>
      <w:proofErr w:type="spellStart"/>
      <w:r>
        <w:t>labour</w:t>
      </w:r>
      <w:proofErr w:type="spellEnd"/>
      <w:r>
        <w:t xml:space="preserve"> force and social security, </w:t>
      </w:r>
      <w:r w:rsidRPr="00DF0822">
        <w:rPr>
          <w:i/>
        </w:rPr>
        <w:t xml:space="preserve">Policy Research </w:t>
      </w:r>
      <w:r w:rsidRPr="008233EF">
        <w:rPr>
          <w:i/>
        </w:rPr>
        <w:t>Paper No.2</w:t>
      </w:r>
      <w:r>
        <w:t xml:space="preserve">, 1999, </w:t>
      </w:r>
      <w:r>
        <w:rPr>
          <w:lang w:val="en-AU"/>
        </w:rPr>
        <w:t>Page 15.</w:t>
      </w:r>
    </w:p>
  </w:footnote>
  <w:footnote w:id="8">
    <w:p w14:paraId="41286C81" w14:textId="77777777" w:rsidR="00662902" w:rsidRPr="00BC1432" w:rsidRDefault="00662902">
      <w:pPr>
        <w:pStyle w:val="FootnoteText"/>
        <w:rPr>
          <w:lang w:val="en-AU"/>
        </w:rPr>
      </w:pPr>
      <w:r>
        <w:rPr>
          <w:rStyle w:val="FootnoteReference"/>
        </w:rPr>
        <w:footnoteRef/>
      </w:r>
      <w:r>
        <w:t xml:space="preserve"> </w:t>
      </w:r>
      <w:r w:rsidRPr="00C52DA4">
        <w:rPr>
          <w:i/>
        </w:rPr>
        <w:t>2015 Intergenerational Report: Australia in 2055</w:t>
      </w:r>
      <w:r w:rsidRPr="00662902">
        <w:t>, Commonwealth of Australia, page viii</w:t>
      </w:r>
    </w:p>
  </w:footnote>
  <w:footnote w:id="9">
    <w:p w14:paraId="46D77006" w14:textId="77777777" w:rsidR="00662902" w:rsidRPr="00BC1432" w:rsidRDefault="00662902">
      <w:pPr>
        <w:pStyle w:val="FootnoteText"/>
        <w:rPr>
          <w:lang w:val="en-AU"/>
        </w:rPr>
      </w:pPr>
      <w:r>
        <w:rPr>
          <w:rStyle w:val="FootnoteReference"/>
        </w:rPr>
        <w:footnoteRef/>
      </w:r>
      <w:r>
        <w:t xml:space="preserve"> </w:t>
      </w:r>
      <w:r w:rsidRPr="00662902">
        <w:t>Australian Bureau of Statistics, 4442.0 - Family Characteristics, Australia, 2009-10</w:t>
      </w:r>
    </w:p>
  </w:footnote>
  <w:footnote w:id="10">
    <w:p w14:paraId="51F163E1" w14:textId="77777777" w:rsidR="006E6D04" w:rsidRPr="00BC1432" w:rsidRDefault="006E6D04">
      <w:pPr>
        <w:pStyle w:val="FootnoteText"/>
        <w:rPr>
          <w:lang w:val="en-AU"/>
        </w:rPr>
      </w:pPr>
      <w:r>
        <w:rPr>
          <w:rStyle w:val="FootnoteReference"/>
        </w:rPr>
        <w:footnoteRef/>
      </w:r>
      <w:r>
        <w:t xml:space="preserve"> </w:t>
      </w:r>
      <w:r>
        <w:rPr>
          <w:lang w:val="en-AU"/>
        </w:rPr>
        <w:t xml:space="preserve">Weston, R et al (2013), Australian families with children and adolescents. </w:t>
      </w:r>
      <w:r w:rsidRPr="00C52DA4">
        <w:rPr>
          <w:i/>
          <w:lang w:val="en-AU"/>
        </w:rPr>
        <w:t>Australian Family Trends No. 5</w:t>
      </w:r>
      <w:r>
        <w:rPr>
          <w:lang w:val="en-AU"/>
        </w:rPr>
        <w:t>, Australian Institute of Family Studies, Melbourne. Page 8.</w:t>
      </w:r>
    </w:p>
  </w:footnote>
  <w:footnote w:id="11">
    <w:p w14:paraId="34919671" w14:textId="77777777" w:rsidR="005343ED" w:rsidRDefault="005343ED" w:rsidP="005343ED">
      <w:pPr>
        <w:pStyle w:val="FootnoteText"/>
      </w:pPr>
      <w:r>
        <w:rPr>
          <w:rStyle w:val="FootnoteReference"/>
        </w:rPr>
        <w:footnoteRef/>
      </w:r>
      <w:r>
        <w:t xml:space="preserve"> </w:t>
      </w:r>
      <w:r w:rsidR="00BC5D20">
        <w:t>Productivity Commission</w:t>
      </w:r>
      <w:r w:rsidR="00F8290A">
        <w:t xml:space="preserve"> 2010</w:t>
      </w:r>
      <w:r w:rsidR="00BC5D20">
        <w:t xml:space="preserve">, </w:t>
      </w:r>
      <w:r w:rsidR="00BC5D20" w:rsidRPr="00C52DA4">
        <w:rPr>
          <w:i/>
        </w:rPr>
        <w:t xml:space="preserve">op </w:t>
      </w:r>
      <w:proofErr w:type="spellStart"/>
      <w:r w:rsidR="00BC5D20" w:rsidRPr="00C52DA4">
        <w:rPr>
          <w:i/>
        </w:rPr>
        <w:t>cit</w:t>
      </w:r>
      <w:proofErr w:type="gramStart"/>
      <w:r w:rsidR="00BC5D20">
        <w:t>,</w:t>
      </w:r>
      <w:r>
        <w:t>Page</w:t>
      </w:r>
      <w:proofErr w:type="spellEnd"/>
      <w:proofErr w:type="gramEnd"/>
      <w:r>
        <w:t xml:space="preserve"> 156.</w:t>
      </w:r>
    </w:p>
  </w:footnote>
  <w:footnote w:id="12">
    <w:p w14:paraId="50452F83" w14:textId="77777777" w:rsidR="005343ED" w:rsidRDefault="005343ED" w:rsidP="005343ED">
      <w:pPr>
        <w:pStyle w:val="FootnoteText"/>
      </w:pPr>
      <w:r>
        <w:rPr>
          <w:rStyle w:val="FootnoteReference"/>
        </w:rPr>
        <w:footnoteRef/>
      </w:r>
      <w:r>
        <w:t xml:space="preserve"> </w:t>
      </w:r>
      <w:r w:rsidR="00BC5D20" w:rsidRPr="00C52DA4">
        <w:rPr>
          <w:i/>
        </w:rPr>
        <w:t>Australia’s Future Tax System: Report to the Treasurer</w:t>
      </w:r>
      <w:r w:rsidR="00BC5D20">
        <w:t xml:space="preserve"> (Henry Review)</w:t>
      </w:r>
      <w:proofErr w:type="gramStart"/>
      <w:r w:rsidR="00BC5D20">
        <w:t>,</w:t>
      </w:r>
      <w:r>
        <w:t>Part</w:t>
      </w:r>
      <w:proofErr w:type="gramEnd"/>
      <w:r>
        <w:t xml:space="preserve"> 1, </w:t>
      </w:r>
      <w:r w:rsidR="00BC5D20">
        <w:t>Commonwealth of Australia, 2010. P</w:t>
      </w:r>
      <w:r>
        <w:t>age 43.</w:t>
      </w:r>
    </w:p>
  </w:footnote>
  <w:footnote w:id="13">
    <w:p w14:paraId="093C92DA" w14:textId="77777777" w:rsidR="005343ED" w:rsidRDefault="005343ED" w:rsidP="005343ED">
      <w:pPr>
        <w:pStyle w:val="FootnoteText"/>
      </w:pPr>
      <w:r>
        <w:rPr>
          <w:rStyle w:val="FootnoteReference"/>
        </w:rPr>
        <w:footnoteRef/>
      </w:r>
      <w:r>
        <w:t xml:space="preserve"> </w:t>
      </w:r>
      <w:r w:rsidR="00BC5D20">
        <w:t xml:space="preserve">Henry Review, </w:t>
      </w:r>
      <w:r w:rsidR="00BC5D20" w:rsidRPr="00C52DA4">
        <w:rPr>
          <w:i/>
        </w:rPr>
        <w:t xml:space="preserve">op </w:t>
      </w:r>
      <w:proofErr w:type="spellStart"/>
      <w:r w:rsidR="00BC5D20" w:rsidRPr="00C52DA4">
        <w:rPr>
          <w:i/>
        </w:rPr>
        <w:t>cit</w:t>
      </w:r>
      <w:proofErr w:type="spellEnd"/>
      <w:r w:rsidR="00BC5D20">
        <w:t xml:space="preserve">, </w:t>
      </w:r>
      <w:r>
        <w:t>Part 2, page 206.</w:t>
      </w:r>
    </w:p>
  </w:footnote>
  <w:footnote w:id="14">
    <w:p w14:paraId="73DA7C00" w14:textId="77777777" w:rsidR="005343ED" w:rsidRPr="00594DF6" w:rsidRDefault="005343ED" w:rsidP="005343ED">
      <w:pPr>
        <w:pStyle w:val="FootnoteText"/>
      </w:pPr>
      <w:r>
        <w:rPr>
          <w:rStyle w:val="FootnoteReference"/>
        </w:rPr>
        <w:footnoteRef/>
      </w:r>
      <w:r>
        <w:t xml:space="preserve"> </w:t>
      </w:r>
      <w:r w:rsidR="00F8290A">
        <w:t xml:space="preserve">Productivity Commission 2010, </w:t>
      </w:r>
      <w:r w:rsidR="00F8290A" w:rsidRPr="00C52DA4">
        <w:rPr>
          <w:i/>
        </w:rPr>
        <w:t xml:space="preserve">op </w:t>
      </w:r>
      <w:proofErr w:type="spellStart"/>
      <w:r w:rsidR="00F8290A" w:rsidRPr="00C52DA4">
        <w:rPr>
          <w:i/>
        </w:rPr>
        <w:t>cit</w:t>
      </w:r>
      <w:proofErr w:type="spellEnd"/>
      <w:r w:rsidR="00F8290A">
        <w:t>, p</w:t>
      </w:r>
      <w:r>
        <w:t>age 197.</w:t>
      </w:r>
    </w:p>
  </w:footnote>
  <w:footnote w:id="15">
    <w:p w14:paraId="1FD3FECB" w14:textId="77777777" w:rsidR="005343ED" w:rsidRDefault="005343ED" w:rsidP="005343ED">
      <w:pPr>
        <w:pStyle w:val="FootnoteText"/>
      </w:pPr>
      <w:r>
        <w:rPr>
          <w:rStyle w:val="FootnoteReference"/>
        </w:rPr>
        <w:footnoteRef/>
      </w:r>
      <w:r>
        <w:t xml:space="preserve"> </w:t>
      </w:r>
      <w:r w:rsidR="00F8290A">
        <w:t xml:space="preserve">Henry Review, </w:t>
      </w:r>
      <w:r w:rsidR="00F8290A" w:rsidRPr="00C52DA4">
        <w:rPr>
          <w:i/>
        </w:rPr>
        <w:t xml:space="preserve">op </w:t>
      </w:r>
      <w:proofErr w:type="spellStart"/>
      <w:r w:rsidR="00F8290A" w:rsidRPr="00C52DA4">
        <w:rPr>
          <w:i/>
        </w:rPr>
        <w:t>cit</w:t>
      </w:r>
      <w:proofErr w:type="spellEnd"/>
      <w:r w:rsidR="00F8290A">
        <w:t xml:space="preserve">, </w:t>
      </w:r>
      <w:r>
        <w:t>Part 2, page 209.</w:t>
      </w:r>
    </w:p>
  </w:footnote>
  <w:footnote w:id="16">
    <w:p w14:paraId="22E26FB7" w14:textId="77777777" w:rsidR="00326893" w:rsidRPr="00326893" w:rsidRDefault="00326893">
      <w:pPr>
        <w:pStyle w:val="FootnoteText"/>
        <w:rPr>
          <w:lang w:val="en-AU"/>
        </w:rPr>
      </w:pPr>
      <w:r>
        <w:rPr>
          <w:rStyle w:val="FootnoteReference"/>
        </w:rPr>
        <w:footnoteRef/>
      </w:r>
      <w:r>
        <w:t xml:space="preserve"> </w:t>
      </w:r>
      <w:r>
        <w:rPr>
          <w:lang w:val="en-AU"/>
        </w:rPr>
        <w:t xml:space="preserve">Productivity Commission2010, </w:t>
      </w:r>
      <w:r w:rsidR="00F8290A" w:rsidRPr="00C52DA4">
        <w:rPr>
          <w:i/>
          <w:lang w:val="en-AU"/>
        </w:rPr>
        <w:t xml:space="preserve">op </w:t>
      </w:r>
      <w:proofErr w:type="spellStart"/>
      <w:r w:rsidR="00F8290A" w:rsidRPr="00C52DA4">
        <w:rPr>
          <w:i/>
          <w:lang w:val="en-AU"/>
        </w:rPr>
        <w:t>cit</w:t>
      </w:r>
      <w:proofErr w:type="spellEnd"/>
      <w:r w:rsidR="00F8290A">
        <w:rPr>
          <w:lang w:val="en-AU"/>
        </w:rPr>
        <w:t xml:space="preserve">, </w:t>
      </w:r>
      <w:r>
        <w:rPr>
          <w:lang w:val="en-AU"/>
        </w:rPr>
        <w:t>page 165.</w:t>
      </w:r>
    </w:p>
  </w:footnote>
  <w:footnote w:id="17">
    <w:p w14:paraId="63E47B45" w14:textId="77777777" w:rsidR="00DA145E" w:rsidRPr="00DA145E" w:rsidRDefault="00DA145E">
      <w:pPr>
        <w:pStyle w:val="FootnoteText"/>
        <w:rPr>
          <w:lang w:val="en-AU"/>
        </w:rPr>
      </w:pPr>
      <w:r>
        <w:rPr>
          <w:rStyle w:val="FootnoteReference"/>
        </w:rPr>
        <w:footnoteRef/>
      </w:r>
      <w:r>
        <w:t xml:space="preserve"> Not-for-Profit Sector Tax Concession Working Group, </w:t>
      </w:r>
      <w:r w:rsidRPr="009256C7">
        <w:rPr>
          <w:i/>
        </w:rPr>
        <w:t>Fairer, simpler and more effective tax concessions for the not-for-profit sector</w:t>
      </w:r>
      <w:r>
        <w:t>. Final Report, May 2013. Pages 4, 9,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BBC67" w14:textId="77777777" w:rsidR="00DB1177" w:rsidRDefault="001C2C15" w:rsidP="00AC66F3">
    <w:pPr>
      <w:tabs>
        <w:tab w:val="left" w:pos="0"/>
        <w:tab w:val="center" w:pos="4153"/>
        <w:tab w:val="center" w:pos="4510"/>
        <w:tab w:val="right" w:pos="8306"/>
        <w:tab w:val="right" w:pos="9020"/>
      </w:tabs>
      <w:jc w:val="center"/>
      <w:outlineLvl w:val="0"/>
      <w:rPr>
        <w:rFonts w:ascii="Helvetica" w:eastAsia="Arial Unicode MS" w:hAnsi="Helvetica"/>
        <w:color w:val="000000"/>
        <w:sz w:val="22"/>
        <w:u w:color="000000"/>
      </w:rPr>
    </w:pPr>
    <w:r>
      <w:rPr>
        <w:rFonts w:ascii="Helvetica" w:eastAsia="Arial Unicode MS" w:hAnsi="Helvetica"/>
        <w:color w:val="000000"/>
        <w:sz w:val="22"/>
        <w:u w:color="000000"/>
      </w:rPr>
      <w:fldChar w:fldCharType="begin"/>
    </w:r>
    <w:r w:rsidR="00DB1177">
      <w:rPr>
        <w:rFonts w:ascii="Helvetica" w:eastAsia="Arial Unicode MS" w:hAnsi="Arial Unicode MS"/>
        <w:color w:val="000000"/>
        <w:sz w:val="22"/>
        <w:u w:color="000000"/>
      </w:rPr>
      <w:instrText xml:space="preserve"> PAGE </w:instrText>
    </w:r>
    <w:r>
      <w:rPr>
        <w:rFonts w:ascii="Helvetica" w:eastAsia="Arial Unicode MS" w:hAnsi="Helvetica"/>
        <w:color w:val="000000"/>
        <w:sz w:val="22"/>
        <w:u w:color="000000"/>
      </w:rPr>
      <w:fldChar w:fldCharType="separate"/>
    </w:r>
    <w:r w:rsidR="00446C3B">
      <w:rPr>
        <w:rFonts w:ascii="Helvetica" w:eastAsia="Arial Unicode MS" w:hAnsi="Arial Unicode MS"/>
        <w:noProof/>
        <w:color w:val="000000"/>
        <w:sz w:val="22"/>
        <w:u w:color="000000"/>
      </w:rPr>
      <w:t>10</w:t>
    </w:r>
    <w:r>
      <w:rPr>
        <w:rFonts w:ascii="Helvetica" w:eastAsia="Arial Unicode MS" w:hAnsi="Helvetica"/>
        <w:color w:val="000000"/>
        <w:sz w:val="22"/>
        <w:u w:color="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lowerLetter"/>
      <w:pStyle w:val="List0"/>
      <w:lvlText w:val="%1."/>
      <w:lvlJc w:val="left"/>
      <w:pPr>
        <w:tabs>
          <w:tab w:val="num" w:pos="153"/>
        </w:tabs>
        <w:ind w:left="153" w:firstLine="567"/>
      </w:pPr>
      <w:rPr>
        <w:rFonts w:hint="default"/>
        <w:position w:val="0"/>
      </w:rPr>
    </w:lvl>
    <w:lvl w:ilvl="1">
      <w:start w:val="1"/>
      <w:numFmt w:val="lowerLetter"/>
      <w:lvlText w:val="%2."/>
      <w:lvlJc w:val="left"/>
      <w:pPr>
        <w:tabs>
          <w:tab w:val="num" w:pos="360"/>
        </w:tabs>
        <w:ind w:left="360" w:firstLine="4389"/>
      </w:pPr>
      <w:rPr>
        <w:rFonts w:hint="default"/>
        <w:position w:val="0"/>
      </w:rPr>
    </w:lvl>
    <w:lvl w:ilvl="2">
      <w:start w:val="1"/>
      <w:numFmt w:val="lowerRoman"/>
      <w:lvlText w:val="%3."/>
      <w:lvlJc w:val="left"/>
      <w:pPr>
        <w:tabs>
          <w:tab w:val="num" w:pos="296"/>
        </w:tabs>
        <w:ind w:left="296" w:firstLine="5173"/>
      </w:pPr>
      <w:rPr>
        <w:rFonts w:hint="default"/>
        <w:position w:val="0"/>
      </w:rPr>
    </w:lvl>
    <w:lvl w:ilvl="3">
      <w:start w:val="1"/>
      <w:numFmt w:val="decimal"/>
      <w:lvlText w:val="%4."/>
      <w:lvlJc w:val="left"/>
      <w:pPr>
        <w:tabs>
          <w:tab w:val="num" w:pos="360"/>
        </w:tabs>
        <w:ind w:left="360" w:firstLine="5829"/>
      </w:pPr>
      <w:rPr>
        <w:rFonts w:hint="default"/>
        <w:position w:val="0"/>
      </w:rPr>
    </w:lvl>
    <w:lvl w:ilvl="4">
      <w:start w:val="1"/>
      <w:numFmt w:val="lowerLetter"/>
      <w:lvlText w:val="%5."/>
      <w:lvlJc w:val="left"/>
      <w:pPr>
        <w:tabs>
          <w:tab w:val="num" w:pos="360"/>
        </w:tabs>
        <w:ind w:left="360" w:firstLine="6549"/>
      </w:pPr>
      <w:rPr>
        <w:rFonts w:hint="default"/>
        <w:position w:val="0"/>
      </w:rPr>
    </w:lvl>
    <w:lvl w:ilvl="5">
      <w:start w:val="1"/>
      <w:numFmt w:val="lowerRoman"/>
      <w:lvlText w:val="%6."/>
      <w:lvlJc w:val="left"/>
      <w:pPr>
        <w:tabs>
          <w:tab w:val="num" w:pos="296"/>
        </w:tabs>
        <w:ind w:left="296" w:firstLine="7333"/>
      </w:pPr>
      <w:rPr>
        <w:rFonts w:hint="default"/>
        <w:position w:val="0"/>
      </w:rPr>
    </w:lvl>
    <w:lvl w:ilvl="6">
      <w:start w:val="1"/>
      <w:numFmt w:val="decimal"/>
      <w:lvlText w:val="%7."/>
      <w:lvlJc w:val="left"/>
      <w:pPr>
        <w:tabs>
          <w:tab w:val="num" w:pos="360"/>
        </w:tabs>
        <w:ind w:left="360" w:firstLine="7989"/>
      </w:pPr>
      <w:rPr>
        <w:rFonts w:hint="default"/>
        <w:position w:val="0"/>
      </w:rPr>
    </w:lvl>
    <w:lvl w:ilvl="7">
      <w:start w:val="1"/>
      <w:numFmt w:val="lowerLetter"/>
      <w:lvlText w:val="%8."/>
      <w:lvlJc w:val="left"/>
      <w:pPr>
        <w:tabs>
          <w:tab w:val="num" w:pos="360"/>
        </w:tabs>
        <w:ind w:left="360" w:firstLine="8709"/>
      </w:pPr>
      <w:rPr>
        <w:rFonts w:hint="default"/>
        <w:position w:val="0"/>
      </w:rPr>
    </w:lvl>
    <w:lvl w:ilvl="8">
      <w:start w:val="1"/>
      <w:numFmt w:val="lowerRoman"/>
      <w:lvlText w:val="%9."/>
      <w:lvlJc w:val="left"/>
      <w:pPr>
        <w:tabs>
          <w:tab w:val="num" w:pos="296"/>
        </w:tabs>
        <w:ind w:left="296" w:firstLine="9493"/>
      </w:pPr>
      <w:rPr>
        <w:rFonts w:hint="default"/>
        <w:position w:val="0"/>
      </w:rPr>
    </w:lvl>
  </w:abstractNum>
  <w:abstractNum w:abstractNumId="1">
    <w:nsid w:val="00000002"/>
    <w:multiLevelType w:val="multilevel"/>
    <w:tmpl w:val="894EE874"/>
    <w:lvl w:ilvl="0">
      <w:start w:val="1"/>
      <w:numFmt w:val="lowerLetter"/>
      <w:pStyle w:val="ImportWordListStyleDefinition1"/>
      <w:lvlText w:val="%1."/>
      <w:lvlJc w:val="left"/>
      <w:pPr>
        <w:tabs>
          <w:tab w:val="num" w:pos="1005"/>
        </w:tabs>
        <w:ind w:left="1005" w:firstLine="36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1">
      <w:start w:val="1"/>
      <w:numFmt w:val="lowerLetter"/>
      <w:lvlText w:val="%2."/>
      <w:lvlJc w:val="left"/>
      <w:pPr>
        <w:tabs>
          <w:tab w:val="num" w:pos="360"/>
        </w:tabs>
        <w:ind w:left="360" w:firstLine="438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2">
      <w:start w:val="1"/>
      <w:numFmt w:val="lowerRoman"/>
      <w:lvlText w:val="%3."/>
      <w:lvlJc w:val="left"/>
      <w:pPr>
        <w:tabs>
          <w:tab w:val="num" w:pos="296"/>
        </w:tabs>
        <w:ind w:left="296" w:firstLine="517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3">
      <w:start w:val="1"/>
      <w:numFmt w:val="decimal"/>
      <w:lvlText w:val="%4."/>
      <w:lvlJc w:val="left"/>
      <w:pPr>
        <w:tabs>
          <w:tab w:val="num" w:pos="360"/>
        </w:tabs>
        <w:ind w:left="360" w:firstLine="582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4">
      <w:start w:val="1"/>
      <w:numFmt w:val="lowerLetter"/>
      <w:lvlText w:val="%5."/>
      <w:lvlJc w:val="left"/>
      <w:pPr>
        <w:tabs>
          <w:tab w:val="num" w:pos="360"/>
        </w:tabs>
        <w:ind w:left="360" w:firstLine="65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5">
      <w:start w:val="1"/>
      <w:numFmt w:val="lowerRoman"/>
      <w:lvlText w:val="%6."/>
      <w:lvlJc w:val="left"/>
      <w:pPr>
        <w:tabs>
          <w:tab w:val="num" w:pos="296"/>
        </w:tabs>
        <w:ind w:left="296" w:firstLine="73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6">
      <w:start w:val="1"/>
      <w:numFmt w:val="decimal"/>
      <w:lvlText w:val="%7."/>
      <w:lvlJc w:val="left"/>
      <w:pPr>
        <w:tabs>
          <w:tab w:val="num" w:pos="360"/>
        </w:tabs>
        <w:ind w:left="360" w:firstLine="798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7">
      <w:start w:val="1"/>
      <w:numFmt w:val="lowerLetter"/>
      <w:lvlText w:val="%8."/>
      <w:lvlJc w:val="left"/>
      <w:pPr>
        <w:tabs>
          <w:tab w:val="num" w:pos="360"/>
        </w:tabs>
        <w:ind w:left="360" w:firstLine="87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lvl w:ilvl="8">
      <w:start w:val="1"/>
      <w:numFmt w:val="lowerRoman"/>
      <w:lvlText w:val="%9."/>
      <w:lvlJc w:val="left"/>
      <w:pPr>
        <w:tabs>
          <w:tab w:val="num" w:pos="296"/>
        </w:tabs>
        <w:ind w:left="296" w:firstLine="949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lang w:val="en-US"/>
        <w14:textOutline w14:w="0" w14:cap="rnd" w14:cmpd="sng" w14:algn="ctr">
          <w14:noFill/>
          <w14:prstDash w14:val="solid"/>
          <w14:bevel/>
        </w14:textOutline>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6022F3"/>
    <w:multiLevelType w:val="hybridMultilevel"/>
    <w:tmpl w:val="1BBA0D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76128DF"/>
    <w:multiLevelType w:val="hybridMultilevel"/>
    <w:tmpl w:val="7EE8FD6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
    <w:nsid w:val="22F7290B"/>
    <w:multiLevelType w:val="hybridMultilevel"/>
    <w:tmpl w:val="7BE0D95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57373462"/>
    <w:multiLevelType w:val="hybridMultilevel"/>
    <w:tmpl w:val="E18C46C6"/>
    <w:lvl w:ilvl="0" w:tplc="0C090001">
      <w:start w:val="1"/>
      <w:numFmt w:val="bullet"/>
      <w:lvlText w:val=""/>
      <w:lvlJc w:val="left"/>
      <w:pPr>
        <w:ind w:left="720" w:hanging="360"/>
      </w:pPr>
      <w:rPr>
        <w:rFonts w:ascii="Symbol" w:hAnsi="Symbol" w:hint="default"/>
      </w:rPr>
    </w:lvl>
    <w:lvl w:ilvl="1" w:tplc="11FC60F4">
      <w:numFmt w:val="bullet"/>
      <w:lvlText w:val="•"/>
      <w:lvlJc w:val="left"/>
      <w:pPr>
        <w:ind w:left="1440" w:hanging="360"/>
      </w:pPr>
      <w:rPr>
        <w:rFonts w:ascii="Calibri" w:eastAsiaTheme="minorHAnsi" w:hAnsi="Calibri"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F645675"/>
    <w:multiLevelType w:val="hybridMultilevel"/>
    <w:tmpl w:val="185CDEC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6EC41F48"/>
    <w:multiLevelType w:val="hybridMultilevel"/>
    <w:tmpl w:val="6C64AFBE"/>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71FA6749"/>
    <w:multiLevelType w:val="hybridMultilevel"/>
    <w:tmpl w:val="4FCCB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Y3NDI2NzW3NDc2NTBS0lEKTi0uzszPAykwMqgFAJPnbbAtAAAA"/>
  </w:docVars>
  <w:rsids>
    <w:rsidRoot w:val="000B38FC"/>
    <w:rsid w:val="00041077"/>
    <w:rsid w:val="0004189C"/>
    <w:rsid w:val="0004582C"/>
    <w:rsid w:val="000664DD"/>
    <w:rsid w:val="00066CB7"/>
    <w:rsid w:val="00081C88"/>
    <w:rsid w:val="000947B3"/>
    <w:rsid w:val="000A1009"/>
    <w:rsid w:val="000A2F91"/>
    <w:rsid w:val="000B2779"/>
    <w:rsid w:val="000B38FC"/>
    <w:rsid w:val="000C7BE5"/>
    <w:rsid w:val="000D7DFA"/>
    <w:rsid w:val="00103AE0"/>
    <w:rsid w:val="00107A26"/>
    <w:rsid w:val="001304BC"/>
    <w:rsid w:val="00167CAC"/>
    <w:rsid w:val="00182369"/>
    <w:rsid w:val="001852E7"/>
    <w:rsid w:val="00191FA5"/>
    <w:rsid w:val="001A2419"/>
    <w:rsid w:val="001A44C1"/>
    <w:rsid w:val="001A6E7B"/>
    <w:rsid w:val="001C2C15"/>
    <w:rsid w:val="002521FC"/>
    <w:rsid w:val="002563F5"/>
    <w:rsid w:val="002641AD"/>
    <w:rsid w:val="00274C2B"/>
    <w:rsid w:val="00291B88"/>
    <w:rsid w:val="002A0E37"/>
    <w:rsid w:val="002D058E"/>
    <w:rsid w:val="002D7908"/>
    <w:rsid w:val="002E4933"/>
    <w:rsid w:val="0032238F"/>
    <w:rsid w:val="00326893"/>
    <w:rsid w:val="00331AAA"/>
    <w:rsid w:val="00335221"/>
    <w:rsid w:val="00352D7C"/>
    <w:rsid w:val="00374678"/>
    <w:rsid w:val="003A38F6"/>
    <w:rsid w:val="003B1997"/>
    <w:rsid w:val="003D4699"/>
    <w:rsid w:val="003E787A"/>
    <w:rsid w:val="003F6248"/>
    <w:rsid w:val="0040315D"/>
    <w:rsid w:val="00422D82"/>
    <w:rsid w:val="00423D49"/>
    <w:rsid w:val="00436896"/>
    <w:rsid w:val="00437AFD"/>
    <w:rsid w:val="00446C3B"/>
    <w:rsid w:val="00450D3E"/>
    <w:rsid w:val="00464BF9"/>
    <w:rsid w:val="00465D8A"/>
    <w:rsid w:val="00490964"/>
    <w:rsid w:val="004A4610"/>
    <w:rsid w:val="004A4B60"/>
    <w:rsid w:val="004B47AF"/>
    <w:rsid w:val="004B6562"/>
    <w:rsid w:val="004C3079"/>
    <w:rsid w:val="004E5016"/>
    <w:rsid w:val="004F09E5"/>
    <w:rsid w:val="005014F8"/>
    <w:rsid w:val="00512057"/>
    <w:rsid w:val="005343ED"/>
    <w:rsid w:val="00566808"/>
    <w:rsid w:val="00585AA3"/>
    <w:rsid w:val="00590A27"/>
    <w:rsid w:val="00596F2E"/>
    <w:rsid w:val="005C482C"/>
    <w:rsid w:val="005C5600"/>
    <w:rsid w:val="0061233D"/>
    <w:rsid w:val="006257EC"/>
    <w:rsid w:val="00633A56"/>
    <w:rsid w:val="00662902"/>
    <w:rsid w:val="00676CFD"/>
    <w:rsid w:val="00680C9A"/>
    <w:rsid w:val="006C4441"/>
    <w:rsid w:val="006E582A"/>
    <w:rsid w:val="006E67D8"/>
    <w:rsid w:val="006E6D04"/>
    <w:rsid w:val="00700602"/>
    <w:rsid w:val="00741BA2"/>
    <w:rsid w:val="00742502"/>
    <w:rsid w:val="00746225"/>
    <w:rsid w:val="00766D3A"/>
    <w:rsid w:val="007B0958"/>
    <w:rsid w:val="007B3BEB"/>
    <w:rsid w:val="007D1CE1"/>
    <w:rsid w:val="007D5377"/>
    <w:rsid w:val="007F5F0F"/>
    <w:rsid w:val="00800198"/>
    <w:rsid w:val="00821A3E"/>
    <w:rsid w:val="008233EF"/>
    <w:rsid w:val="00824888"/>
    <w:rsid w:val="00826AA1"/>
    <w:rsid w:val="0085632C"/>
    <w:rsid w:val="00873907"/>
    <w:rsid w:val="0087684B"/>
    <w:rsid w:val="008947BD"/>
    <w:rsid w:val="008A36CA"/>
    <w:rsid w:val="008C1A01"/>
    <w:rsid w:val="008C4BCC"/>
    <w:rsid w:val="008E2725"/>
    <w:rsid w:val="008E37D8"/>
    <w:rsid w:val="00915898"/>
    <w:rsid w:val="0092043C"/>
    <w:rsid w:val="009256C7"/>
    <w:rsid w:val="009329F0"/>
    <w:rsid w:val="00944DF3"/>
    <w:rsid w:val="00955B3D"/>
    <w:rsid w:val="0096017E"/>
    <w:rsid w:val="00972A63"/>
    <w:rsid w:val="00985AAA"/>
    <w:rsid w:val="00995DC7"/>
    <w:rsid w:val="009C0153"/>
    <w:rsid w:val="009C13FB"/>
    <w:rsid w:val="009C360E"/>
    <w:rsid w:val="009D2AAA"/>
    <w:rsid w:val="009D4A2E"/>
    <w:rsid w:val="00A012F9"/>
    <w:rsid w:val="00A07714"/>
    <w:rsid w:val="00A143EF"/>
    <w:rsid w:val="00A23EF0"/>
    <w:rsid w:val="00A85220"/>
    <w:rsid w:val="00AA1FF5"/>
    <w:rsid w:val="00AC66F3"/>
    <w:rsid w:val="00AD3D0D"/>
    <w:rsid w:val="00B153EB"/>
    <w:rsid w:val="00B26D88"/>
    <w:rsid w:val="00B32303"/>
    <w:rsid w:val="00B3656F"/>
    <w:rsid w:val="00B9029F"/>
    <w:rsid w:val="00B93607"/>
    <w:rsid w:val="00B964BC"/>
    <w:rsid w:val="00BA5E5E"/>
    <w:rsid w:val="00BC1432"/>
    <w:rsid w:val="00BC5D20"/>
    <w:rsid w:val="00BC7AFD"/>
    <w:rsid w:val="00BD6A9C"/>
    <w:rsid w:val="00BE2000"/>
    <w:rsid w:val="00BE70F1"/>
    <w:rsid w:val="00BF1203"/>
    <w:rsid w:val="00BF7526"/>
    <w:rsid w:val="00C1074A"/>
    <w:rsid w:val="00C23DFA"/>
    <w:rsid w:val="00C23EF8"/>
    <w:rsid w:val="00C516EB"/>
    <w:rsid w:val="00C52DA4"/>
    <w:rsid w:val="00C74522"/>
    <w:rsid w:val="00C8756A"/>
    <w:rsid w:val="00CA4973"/>
    <w:rsid w:val="00CC1EB6"/>
    <w:rsid w:val="00CD16A4"/>
    <w:rsid w:val="00CD7B10"/>
    <w:rsid w:val="00D105E3"/>
    <w:rsid w:val="00D25861"/>
    <w:rsid w:val="00D32524"/>
    <w:rsid w:val="00D65759"/>
    <w:rsid w:val="00D711A1"/>
    <w:rsid w:val="00D7579F"/>
    <w:rsid w:val="00D92C0B"/>
    <w:rsid w:val="00DA145E"/>
    <w:rsid w:val="00DB1177"/>
    <w:rsid w:val="00DB5C0D"/>
    <w:rsid w:val="00DD31D5"/>
    <w:rsid w:val="00DD4B8E"/>
    <w:rsid w:val="00DF0822"/>
    <w:rsid w:val="00E056F5"/>
    <w:rsid w:val="00E07325"/>
    <w:rsid w:val="00E07331"/>
    <w:rsid w:val="00E20870"/>
    <w:rsid w:val="00E2507E"/>
    <w:rsid w:val="00E334BE"/>
    <w:rsid w:val="00E34B0F"/>
    <w:rsid w:val="00E436B1"/>
    <w:rsid w:val="00E5145A"/>
    <w:rsid w:val="00E64714"/>
    <w:rsid w:val="00E83C1B"/>
    <w:rsid w:val="00EA51C6"/>
    <w:rsid w:val="00ED7511"/>
    <w:rsid w:val="00EE2485"/>
    <w:rsid w:val="00F016D0"/>
    <w:rsid w:val="00F037D1"/>
    <w:rsid w:val="00F0621A"/>
    <w:rsid w:val="00F06515"/>
    <w:rsid w:val="00F075C7"/>
    <w:rsid w:val="00F21725"/>
    <w:rsid w:val="00F5530A"/>
    <w:rsid w:val="00F63A7C"/>
    <w:rsid w:val="00F8290A"/>
    <w:rsid w:val="00F9230F"/>
    <w:rsid w:val="00FA6860"/>
    <w:rsid w:val="00FB01FC"/>
    <w:rsid w:val="00FC545C"/>
    <w:rsid w:val="00FD653F"/>
    <w:rsid w:val="00FE72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wrap-style:none">
      <v:stroke weight="0" endcap="round"/>
      <v:textbox style="mso-column-count:0;mso-column-margin:0" inset="0,0,0,0"/>
    </o:shapedefaults>
    <o:shapelayout v:ext="edit">
      <o:idmap v:ext="edit" data="1"/>
    </o:shapelayout>
  </w:shapeDefaults>
  <w:doNotEmbedSmartTags/>
  <w:decimalSymbol w:val="."/>
  <w:listSeparator w:val=","/>
  <w14:docId w14:val="6D78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2A6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next w:val="Body1"/>
    <w:qFormat/>
    <w:rsid w:val="00972A63"/>
    <w:pPr>
      <w:keepNext/>
      <w:tabs>
        <w:tab w:val="left" w:pos="1276"/>
      </w:tabs>
      <w:spacing w:after="240"/>
      <w:ind w:left="1276" w:hanging="709"/>
      <w:outlineLvl w:val="1"/>
    </w:pPr>
    <w:rPr>
      <w:rFonts w:ascii="Helvetica" w:eastAsia="Arial Unicode MS" w:hAnsi="Helvetica"/>
      <w:b/>
      <w:color w:val="000000"/>
      <w:u w:color="000000"/>
    </w:rPr>
  </w:style>
  <w:style w:type="paragraph" w:customStyle="1" w:styleId="Body1">
    <w:name w:val="Body 1"/>
    <w:rsid w:val="00972A63"/>
    <w:pPr>
      <w:outlineLvl w:val="0"/>
    </w:pPr>
    <w:rPr>
      <w:rFonts w:ascii="Helvetica" w:eastAsia="Arial Unicode MS" w:hAnsi="Helvetica"/>
      <w:color w:val="000000"/>
      <w:sz w:val="22"/>
      <w:u w:color="000000"/>
    </w:rPr>
  </w:style>
  <w:style w:type="character" w:styleId="Hyperlink">
    <w:name w:val="Hyperlink"/>
    <w:autoRedefine/>
    <w:rsid w:val="00972A63"/>
    <w:rPr>
      <w:rFonts w:ascii="Helvetica" w:eastAsia="Arial Unicode MS" w:hAnsi="Helvetica"/>
      <w:sz w:val="24"/>
    </w:rPr>
  </w:style>
  <w:style w:type="paragraph" w:customStyle="1" w:styleId="List0">
    <w:name w:val="List 0"/>
    <w:basedOn w:val="ImportWordListStyleDefinition1"/>
    <w:semiHidden/>
    <w:rsid w:val="00972A63"/>
    <w:pPr>
      <w:numPr>
        <w:numId w:val="1"/>
      </w:numPr>
    </w:pPr>
  </w:style>
  <w:style w:type="paragraph" w:customStyle="1" w:styleId="ImportWordListStyleDefinition1">
    <w:name w:val="Import Word List Style Definition 1"/>
    <w:rsid w:val="00972A63"/>
    <w:pPr>
      <w:numPr>
        <w:numId w:val="2"/>
      </w:numPr>
    </w:pPr>
  </w:style>
  <w:style w:type="paragraph" w:styleId="Header">
    <w:name w:val="header"/>
    <w:basedOn w:val="Normal"/>
    <w:link w:val="HeaderChar"/>
    <w:locked/>
    <w:rsid w:val="00F63A7C"/>
    <w:pPr>
      <w:tabs>
        <w:tab w:val="center" w:pos="4513"/>
        <w:tab w:val="right" w:pos="9026"/>
      </w:tabs>
    </w:pPr>
  </w:style>
  <w:style w:type="character" w:customStyle="1" w:styleId="HeaderChar">
    <w:name w:val="Header Char"/>
    <w:basedOn w:val="DefaultParagraphFont"/>
    <w:link w:val="Header"/>
    <w:rsid w:val="00F63A7C"/>
    <w:rPr>
      <w:sz w:val="24"/>
      <w:szCs w:val="24"/>
      <w:lang w:val="en-US" w:eastAsia="en-US"/>
    </w:rPr>
  </w:style>
  <w:style w:type="paragraph" w:styleId="Footer">
    <w:name w:val="footer"/>
    <w:basedOn w:val="Normal"/>
    <w:link w:val="FooterChar"/>
    <w:locked/>
    <w:rsid w:val="00F63A7C"/>
    <w:pPr>
      <w:tabs>
        <w:tab w:val="center" w:pos="4513"/>
        <w:tab w:val="right" w:pos="9026"/>
      </w:tabs>
    </w:pPr>
  </w:style>
  <w:style w:type="character" w:customStyle="1" w:styleId="FooterChar">
    <w:name w:val="Footer Char"/>
    <w:basedOn w:val="DefaultParagraphFont"/>
    <w:link w:val="Footer"/>
    <w:rsid w:val="00F63A7C"/>
    <w:rPr>
      <w:sz w:val="24"/>
      <w:szCs w:val="24"/>
      <w:lang w:val="en-US" w:eastAsia="en-US"/>
    </w:rPr>
  </w:style>
  <w:style w:type="paragraph" w:styleId="ListParagraph">
    <w:name w:val="List Paragraph"/>
    <w:basedOn w:val="Normal"/>
    <w:link w:val="ListParagraphChar"/>
    <w:uiPriority w:val="34"/>
    <w:qFormat/>
    <w:rsid w:val="000947B3"/>
    <w:pPr>
      <w:ind w:left="720"/>
    </w:pPr>
    <w:rPr>
      <w:rFonts w:ascii="Calibri" w:eastAsiaTheme="minorHAnsi" w:hAnsi="Calibri"/>
      <w:sz w:val="22"/>
      <w:szCs w:val="22"/>
      <w:lang w:val="en-AU"/>
    </w:rPr>
  </w:style>
  <w:style w:type="character" w:customStyle="1" w:styleId="ListParagraphChar">
    <w:name w:val="List Paragraph Char"/>
    <w:basedOn w:val="DefaultParagraphFont"/>
    <w:link w:val="ListParagraph"/>
    <w:uiPriority w:val="34"/>
    <w:locked/>
    <w:rsid w:val="000947B3"/>
    <w:rPr>
      <w:rFonts w:ascii="Calibri" w:eastAsiaTheme="minorHAnsi" w:hAnsi="Calibri"/>
      <w:sz w:val="22"/>
      <w:szCs w:val="22"/>
      <w:lang w:eastAsia="en-US"/>
    </w:rPr>
  </w:style>
  <w:style w:type="character" w:styleId="CommentReference">
    <w:name w:val="annotation reference"/>
    <w:basedOn w:val="DefaultParagraphFont"/>
    <w:locked/>
    <w:rsid w:val="00BD6A9C"/>
    <w:rPr>
      <w:sz w:val="16"/>
      <w:szCs w:val="16"/>
    </w:rPr>
  </w:style>
  <w:style w:type="paragraph" w:styleId="CommentText">
    <w:name w:val="annotation text"/>
    <w:basedOn w:val="Normal"/>
    <w:link w:val="CommentTextChar"/>
    <w:locked/>
    <w:rsid w:val="00BD6A9C"/>
    <w:rPr>
      <w:sz w:val="20"/>
      <w:szCs w:val="20"/>
    </w:rPr>
  </w:style>
  <w:style w:type="character" w:customStyle="1" w:styleId="CommentTextChar">
    <w:name w:val="Comment Text Char"/>
    <w:basedOn w:val="DefaultParagraphFont"/>
    <w:link w:val="CommentText"/>
    <w:rsid w:val="00BD6A9C"/>
    <w:rPr>
      <w:lang w:val="en-US" w:eastAsia="en-US"/>
    </w:rPr>
  </w:style>
  <w:style w:type="paragraph" w:styleId="CommentSubject">
    <w:name w:val="annotation subject"/>
    <w:basedOn w:val="CommentText"/>
    <w:next w:val="CommentText"/>
    <w:link w:val="CommentSubjectChar"/>
    <w:locked/>
    <w:rsid w:val="00BD6A9C"/>
    <w:rPr>
      <w:b/>
      <w:bCs/>
    </w:rPr>
  </w:style>
  <w:style w:type="character" w:customStyle="1" w:styleId="CommentSubjectChar">
    <w:name w:val="Comment Subject Char"/>
    <w:basedOn w:val="CommentTextChar"/>
    <w:link w:val="CommentSubject"/>
    <w:rsid w:val="00BD6A9C"/>
    <w:rPr>
      <w:b/>
      <w:bCs/>
      <w:lang w:val="en-US" w:eastAsia="en-US"/>
    </w:rPr>
  </w:style>
  <w:style w:type="paragraph" w:styleId="BalloonText">
    <w:name w:val="Balloon Text"/>
    <w:basedOn w:val="Normal"/>
    <w:link w:val="BalloonTextChar"/>
    <w:locked/>
    <w:rsid w:val="00BD6A9C"/>
    <w:rPr>
      <w:rFonts w:ascii="Tahoma" w:hAnsi="Tahoma" w:cs="Tahoma"/>
      <w:sz w:val="16"/>
      <w:szCs w:val="16"/>
    </w:rPr>
  </w:style>
  <w:style w:type="character" w:customStyle="1" w:styleId="BalloonTextChar">
    <w:name w:val="Balloon Text Char"/>
    <w:basedOn w:val="DefaultParagraphFont"/>
    <w:link w:val="BalloonText"/>
    <w:rsid w:val="00BD6A9C"/>
    <w:rPr>
      <w:rFonts w:ascii="Tahoma" w:hAnsi="Tahoma" w:cs="Tahoma"/>
      <w:sz w:val="16"/>
      <w:szCs w:val="16"/>
      <w:lang w:val="en-US" w:eastAsia="en-US"/>
    </w:rPr>
  </w:style>
  <w:style w:type="paragraph" w:styleId="FootnoteText">
    <w:name w:val="footnote text"/>
    <w:basedOn w:val="Normal"/>
    <w:link w:val="FootnoteTextChar"/>
    <w:unhideWhenUsed/>
    <w:locked/>
    <w:rsid w:val="00291B88"/>
    <w:rPr>
      <w:sz w:val="20"/>
      <w:szCs w:val="20"/>
    </w:rPr>
  </w:style>
  <w:style w:type="character" w:customStyle="1" w:styleId="FootnoteTextChar">
    <w:name w:val="Footnote Text Char"/>
    <w:basedOn w:val="DefaultParagraphFont"/>
    <w:link w:val="FootnoteText"/>
    <w:rsid w:val="00291B88"/>
    <w:rPr>
      <w:lang w:val="en-US" w:eastAsia="en-US"/>
    </w:rPr>
  </w:style>
  <w:style w:type="character" w:styleId="FootnoteReference">
    <w:name w:val="footnote reference"/>
    <w:basedOn w:val="DefaultParagraphFont"/>
    <w:unhideWhenUsed/>
    <w:locked/>
    <w:rsid w:val="00291B88"/>
    <w:rPr>
      <w:vertAlign w:val="superscript"/>
    </w:rPr>
  </w:style>
  <w:style w:type="paragraph" w:styleId="Revision">
    <w:name w:val="Revision"/>
    <w:hidden/>
    <w:uiPriority w:val="99"/>
    <w:semiHidden/>
    <w:rsid w:val="00464BF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2A6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next w:val="Body1"/>
    <w:qFormat/>
    <w:rsid w:val="00972A63"/>
    <w:pPr>
      <w:keepNext/>
      <w:tabs>
        <w:tab w:val="left" w:pos="1276"/>
      </w:tabs>
      <w:spacing w:after="240"/>
      <w:ind w:left="1276" w:hanging="709"/>
      <w:outlineLvl w:val="1"/>
    </w:pPr>
    <w:rPr>
      <w:rFonts w:ascii="Helvetica" w:eastAsia="Arial Unicode MS" w:hAnsi="Helvetica"/>
      <w:b/>
      <w:color w:val="000000"/>
      <w:u w:color="000000"/>
    </w:rPr>
  </w:style>
  <w:style w:type="paragraph" w:customStyle="1" w:styleId="Body1">
    <w:name w:val="Body 1"/>
    <w:rsid w:val="00972A63"/>
    <w:pPr>
      <w:outlineLvl w:val="0"/>
    </w:pPr>
    <w:rPr>
      <w:rFonts w:ascii="Helvetica" w:eastAsia="Arial Unicode MS" w:hAnsi="Helvetica"/>
      <w:color w:val="000000"/>
      <w:sz w:val="22"/>
      <w:u w:color="000000"/>
    </w:rPr>
  </w:style>
  <w:style w:type="character" w:styleId="Hyperlink">
    <w:name w:val="Hyperlink"/>
    <w:autoRedefine/>
    <w:rsid w:val="00972A63"/>
    <w:rPr>
      <w:rFonts w:ascii="Helvetica" w:eastAsia="Arial Unicode MS" w:hAnsi="Helvetica"/>
      <w:sz w:val="24"/>
    </w:rPr>
  </w:style>
  <w:style w:type="paragraph" w:customStyle="1" w:styleId="List0">
    <w:name w:val="List 0"/>
    <w:basedOn w:val="ImportWordListStyleDefinition1"/>
    <w:semiHidden/>
    <w:rsid w:val="00972A63"/>
    <w:pPr>
      <w:numPr>
        <w:numId w:val="1"/>
      </w:numPr>
    </w:pPr>
  </w:style>
  <w:style w:type="paragraph" w:customStyle="1" w:styleId="ImportWordListStyleDefinition1">
    <w:name w:val="Import Word List Style Definition 1"/>
    <w:rsid w:val="00972A63"/>
    <w:pPr>
      <w:numPr>
        <w:numId w:val="2"/>
      </w:numPr>
    </w:pPr>
  </w:style>
  <w:style w:type="paragraph" w:styleId="Header">
    <w:name w:val="header"/>
    <w:basedOn w:val="Normal"/>
    <w:link w:val="HeaderChar"/>
    <w:locked/>
    <w:rsid w:val="00F63A7C"/>
    <w:pPr>
      <w:tabs>
        <w:tab w:val="center" w:pos="4513"/>
        <w:tab w:val="right" w:pos="9026"/>
      </w:tabs>
    </w:pPr>
  </w:style>
  <w:style w:type="character" w:customStyle="1" w:styleId="HeaderChar">
    <w:name w:val="Header Char"/>
    <w:basedOn w:val="DefaultParagraphFont"/>
    <w:link w:val="Header"/>
    <w:rsid w:val="00F63A7C"/>
    <w:rPr>
      <w:sz w:val="24"/>
      <w:szCs w:val="24"/>
      <w:lang w:val="en-US" w:eastAsia="en-US"/>
    </w:rPr>
  </w:style>
  <w:style w:type="paragraph" w:styleId="Footer">
    <w:name w:val="footer"/>
    <w:basedOn w:val="Normal"/>
    <w:link w:val="FooterChar"/>
    <w:locked/>
    <w:rsid w:val="00F63A7C"/>
    <w:pPr>
      <w:tabs>
        <w:tab w:val="center" w:pos="4513"/>
        <w:tab w:val="right" w:pos="9026"/>
      </w:tabs>
    </w:pPr>
  </w:style>
  <w:style w:type="character" w:customStyle="1" w:styleId="FooterChar">
    <w:name w:val="Footer Char"/>
    <w:basedOn w:val="DefaultParagraphFont"/>
    <w:link w:val="Footer"/>
    <w:rsid w:val="00F63A7C"/>
    <w:rPr>
      <w:sz w:val="24"/>
      <w:szCs w:val="24"/>
      <w:lang w:val="en-US" w:eastAsia="en-US"/>
    </w:rPr>
  </w:style>
  <w:style w:type="paragraph" w:styleId="ListParagraph">
    <w:name w:val="List Paragraph"/>
    <w:basedOn w:val="Normal"/>
    <w:link w:val="ListParagraphChar"/>
    <w:uiPriority w:val="34"/>
    <w:qFormat/>
    <w:rsid w:val="000947B3"/>
    <w:pPr>
      <w:ind w:left="720"/>
    </w:pPr>
    <w:rPr>
      <w:rFonts w:ascii="Calibri" w:eastAsiaTheme="minorHAnsi" w:hAnsi="Calibri"/>
      <w:sz w:val="22"/>
      <w:szCs w:val="22"/>
      <w:lang w:val="en-AU"/>
    </w:rPr>
  </w:style>
  <w:style w:type="character" w:customStyle="1" w:styleId="ListParagraphChar">
    <w:name w:val="List Paragraph Char"/>
    <w:basedOn w:val="DefaultParagraphFont"/>
    <w:link w:val="ListParagraph"/>
    <w:uiPriority w:val="34"/>
    <w:locked/>
    <w:rsid w:val="000947B3"/>
    <w:rPr>
      <w:rFonts w:ascii="Calibri" w:eastAsiaTheme="minorHAnsi" w:hAnsi="Calibri"/>
      <w:sz w:val="22"/>
      <w:szCs w:val="22"/>
      <w:lang w:eastAsia="en-US"/>
    </w:rPr>
  </w:style>
  <w:style w:type="character" w:styleId="CommentReference">
    <w:name w:val="annotation reference"/>
    <w:basedOn w:val="DefaultParagraphFont"/>
    <w:locked/>
    <w:rsid w:val="00BD6A9C"/>
    <w:rPr>
      <w:sz w:val="16"/>
      <w:szCs w:val="16"/>
    </w:rPr>
  </w:style>
  <w:style w:type="paragraph" w:styleId="CommentText">
    <w:name w:val="annotation text"/>
    <w:basedOn w:val="Normal"/>
    <w:link w:val="CommentTextChar"/>
    <w:locked/>
    <w:rsid w:val="00BD6A9C"/>
    <w:rPr>
      <w:sz w:val="20"/>
      <w:szCs w:val="20"/>
    </w:rPr>
  </w:style>
  <w:style w:type="character" w:customStyle="1" w:styleId="CommentTextChar">
    <w:name w:val="Comment Text Char"/>
    <w:basedOn w:val="DefaultParagraphFont"/>
    <w:link w:val="CommentText"/>
    <w:rsid w:val="00BD6A9C"/>
    <w:rPr>
      <w:lang w:val="en-US" w:eastAsia="en-US"/>
    </w:rPr>
  </w:style>
  <w:style w:type="paragraph" w:styleId="CommentSubject">
    <w:name w:val="annotation subject"/>
    <w:basedOn w:val="CommentText"/>
    <w:next w:val="CommentText"/>
    <w:link w:val="CommentSubjectChar"/>
    <w:locked/>
    <w:rsid w:val="00BD6A9C"/>
    <w:rPr>
      <w:b/>
      <w:bCs/>
    </w:rPr>
  </w:style>
  <w:style w:type="character" w:customStyle="1" w:styleId="CommentSubjectChar">
    <w:name w:val="Comment Subject Char"/>
    <w:basedOn w:val="CommentTextChar"/>
    <w:link w:val="CommentSubject"/>
    <w:rsid w:val="00BD6A9C"/>
    <w:rPr>
      <w:b/>
      <w:bCs/>
      <w:lang w:val="en-US" w:eastAsia="en-US"/>
    </w:rPr>
  </w:style>
  <w:style w:type="paragraph" w:styleId="BalloonText">
    <w:name w:val="Balloon Text"/>
    <w:basedOn w:val="Normal"/>
    <w:link w:val="BalloonTextChar"/>
    <w:locked/>
    <w:rsid w:val="00BD6A9C"/>
    <w:rPr>
      <w:rFonts w:ascii="Tahoma" w:hAnsi="Tahoma" w:cs="Tahoma"/>
      <w:sz w:val="16"/>
      <w:szCs w:val="16"/>
    </w:rPr>
  </w:style>
  <w:style w:type="character" w:customStyle="1" w:styleId="BalloonTextChar">
    <w:name w:val="Balloon Text Char"/>
    <w:basedOn w:val="DefaultParagraphFont"/>
    <w:link w:val="BalloonText"/>
    <w:rsid w:val="00BD6A9C"/>
    <w:rPr>
      <w:rFonts w:ascii="Tahoma" w:hAnsi="Tahoma" w:cs="Tahoma"/>
      <w:sz w:val="16"/>
      <w:szCs w:val="16"/>
      <w:lang w:val="en-US" w:eastAsia="en-US"/>
    </w:rPr>
  </w:style>
  <w:style w:type="paragraph" w:styleId="FootnoteText">
    <w:name w:val="footnote text"/>
    <w:basedOn w:val="Normal"/>
    <w:link w:val="FootnoteTextChar"/>
    <w:unhideWhenUsed/>
    <w:locked/>
    <w:rsid w:val="00291B88"/>
    <w:rPr>
      <w:sz w:val="20"/>
      <w:szCs w:val="20"/>
    </w:rPr>
  </w:style>
  <w:style w:type="character" w:customStyle="1" w:styleId="FootnoteTextChar">
    <w:name w:val="Footnote Text Char"/>
    <w:basedOn w:val="DefaultParagraphFont"/>
    <w:link w:val="FootnoteText"/>
    <w:rsid w:val="00291B88"/>
    <w:rPr>
      <w:lang w:val="en-US" w:eastAsia="en-US"/>
    </w:rPr>
  </w:style>
  <w:style w:type="character" w:styleId="FootnoteReference">
    <w:name w:val="footnote reference"/>
    <w:basedOn w:val="DefaultParagraphFont"/>
    <w:unhideWhenUsed/>
    <w:locked/>
    <w:rsid w:val="00291B88"/>
    <w:rPr>
      <w:vertAlign w:val="superscript"/>
    </w:rPr>
  </w:style>
  <w:style w:type="paragraph" w:styleId="Revision">
    <w:name w:val="Revision"/>
    <w:hidden/>
    <w:uiPriority w:val="99"/>
    <w:semiHidden/>
    <w:rsid w:val="00464BF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75014">
      <w:bodyDiv w:val="1"/>
      <w:marLeft w:val="0"/>
      <w:marRight w:val="0"/>
      <w:marTop w:val="0"/>
      <w:marBottom w:val="0"/>
      <w:divBdr>
        <w:top w:val="none" w:sz="0" w:space="0" w:color="auto"/>
        <w:left w:val="none" w:sz="0" w:space="0" w:color="auto"/>
        <w:bottom w:val="none" w:sz="0" w:space="0" w:color="auto"/>
        <w:right w:val="none" w:sz="0" w:space="0" w:color="auto"/>
      </w:divBdr>
    </w:div>
    <w:div w:id="395517917">
      <w:bodyDiv w:val="1"/>
      <w:marLeft w:val="0"/>
      <w:marRight w:val="0"/>
      <w:marTop w:val="0"/>
      <w:marBottom w:val="0"/>
      <w:divBdr>
        <w:top w:val="none" w:sz="0" w:space="0" w:color="auto"/>
        <w:left w:val="none" w:sz="0" w:space="0" w:color="auto"/>
        <w:bottom w:val="none" w:sz="0" w:space="0" w:color="auto"/>
        <w:right w:val="none" w:sz="0" w:space="0" w:color="auto"/>
      </w:divBdr>
    </w:div>
    <w:div w:id="645478567">
      <w:bodyDiv w:val="1"/>
      <w:marLeft w:val="0"/>
      <w:marRight w:val="0"/>
      <w:marTop w:val="0"/>
      <w:marBottom w:val="0"/>
      <w:divBdr>
        <w:top w:val="none" w:sz="0" w:space="0" w:color="auto"/>
        <w:left w:val="none" w:sz="0" w:space="0" w:color="auto"/>
        <w:bottom w:val="none" w:sz="0" w:space="0" w:color="auto"/>
        <w:right w:val="none" w:sz="0" w:space="0" w:color="auto"/>
      </w:divBdr>
    </w:div>
    <w:div w:id="192074505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ttertax@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2014RG-82-8083</_dlc_DocId>
    <_dlc_DocIdUrl xmlns="9f7bc583-7cbe-45b9-a2bd-8bbb6543b37e">
      <Url>http://tweb/sites/rg/project/twptf/_layouts/15/DocIdRedir.aspx?ID=2014RG-82-8083</Url>
      <Description>2014RG-82-8083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872A6-7891-4E30-857B-67228A20831F}"/>
</file>

<file path=customXml/itemProps2.xml><?xml version="1.0" encoding="utf-8"?>
<ds:datastoreItem xmlns:ds="http://schemas.openxmlformats.org/officeDocument/2006/customXml" ds:itemID="{57042E16-8A24-45B9-B2CC-9B96633C7CD7}"/>
</file>

<file path=customXml/itemProps3.xml><?xml version="1.0" encoding="utf-8"?>
<ds:datastoreItem xmlns:ds="http://schemas.openxmlformats.org/officeDocument/2006/customXml" ds:itemID="{DBD6391D-0DDA-4015-BC11-192EB1DCFC1A}"/>
</file>

<file path=customXml/itemProps4.xml><?xml version="1.0" encoding="utf-8"?>
<ds:datastoreItem xmlns:ds="http://schemas.openxmlformats.org/officeDocument/2006/customXml" ds:itemID="{8387A6C1-CA93-42CF-BDAF-993E1ACD2B8C}"/>
</file>

<file path=customXml/itemProps5.xml><?xml version="1.0" encoding="utf-8"?>
<ds:datastoreItem xmlns:ds="http://schemas.openxmlformats.org/officeDocument/2006/customXml" ds:itemID="{3E15BFBC-9B68-442F-84C1-02F940E639DE}"/>
</file>

<file path=docProps/app.xml><?xml version="1.0" encoding="utf-8"?>
<Properties xmlns="http://schemas.openxmlformats.org/officeDocument/2006/extended-properties" xmlns:vt="http://schemas.openxmlformats.org/officeDocument/2006/docPropsVTypes">
  <Template>Normal.dotm</Template>
  <TotalTime>2</TotalTime>
  <Pages>10</Pages>
  <Words>4092</Words>
  <Characters>22187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Australian Catholic Bishops Conference - Submission to the Tax Discussion Paper</vt:lpstr>
    </vt:vector>
  </TitlesOfParts>
  <Company/>
  <LinksUpToDate>false</LinksUpToDate>
  <CharactersWithSpaces>26227</CharactersWithSpaces>
  <SharedDoc>false</SharedDoc>
  <HLinks>
    <vt:vector size="6" baseType="variant">
      <vt:variant>
        <vt:i4>1114213</vt:i4>
      </vt:variant>
      <vt:variant>
        <vt:i4>0</vt:i4>
      </vt:variant>
      <vt:variant>
        <vt:i4>0</vt:i4>
      </vt:variant>
      <vt:variant>
        <vt:i4>5</vt:i4>
      </vt:variant>
      <vt:variant>
        <vt:lpwstr>mailto:nfpreform@treasury.gov.au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Catholic Bishops Conference - Submission to the Tax Discussion Paper</dc:title>
  <dc:creator>Australian Catholic Bishops Conference</dc:creator>
  <cp:lastModifiedBy>McLeod, Caitlin</cp:lastModifiedBy>
  <cp:revision>3</cp:revision>
  <cp:lastPrinted>2015-04-29T03:02:00Z</cp:lastPrinted>
  <dcterms:created xsi:type="dcterms:W3CDTF">2015-06-02T02:01:00Z</dcterms:created>
  <dcterms:modified xsi:type="dcterms:W3CDTF">2015-06-02T02:02:00Z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5338c0e5-ff86-405f-8260-bb4a14e29a9d</vt:lpwstr>
  </property>
  <property fmtid="{D5CDD505-2E9C-101B-9397-08002B2CF9AE}" pid="6" name="ContentTypeId">
    <vt:lpwstr>0x01010036BB8DE7EC542E42A8B2E98CC20CB69700AA356CCBB2B4204EB1CD923E8E69F50F</vt:lpwstr>
  </property>
</Properties>
</file>