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D15D4E" w14:textId="77777777" w:rsidR="00DC162B" w:rsidRDefault="00F637AA" w:rsidP="00020876">
      <w:pPr>
        <w:spacing w:after="0" w:line="290" w:lineRule="atLeast"/>
        <w:rPr>
          <w:rFonts w:ascii="Arial" w:hAnsi="Arial" w:cs="Arial"/>
          <w:sz w:val="20"/>
          <w:szCs w:val="20"/>
        </w:rPr>
      </w:pPr>
      <w:r>
        <w:rPr>
          <w:rFonts w:ascii="Arial" w:hAnsi="Arial" w:cs="Arial"/>
          <w:sz w:val="20"/>
          <w:szCs w:val="20"/>
        </w:rPr>
        <w:t>Tax White Paper Task Force</w:t>
      </w:r>
    </w:p>
    <w:p w14:paraId="66F55C9D" w14:textId="77777777" w:rsidR="00F637AA" w:rsidRDefault="00F637AA" w:rsidP="00020876">
      <w:pPr>
        <w:spacing w:after="0" w:line="290" w:lineRule="atLeast"/>
        <w:rPr>
          <w:rFonts w:ascii="Arial" w:hAnsi="Arial" w:cs="Arial"/>
          <w:sz w:val="20"/>
          <w:szCs w:val="20"/>
        </w:rPr>
      </w:pPr>
      <w:r>
        <w:rPr>
          <w:rFonts w:ascii="Arial" w:hAnsi="Arial" w:cs="Arial"/>
          <w:sz w:val="20"/>
          <w:szCs w:val="20"/>
        </w:rPr>
        <w:t>The Treasury</w:t>
      </w:r>
    </w:p>
    <w:p w14:paraId="6DEEE6B9" w14:textId="77777777" w:rsidR="00F637AA" w:rsidRDefault="00F637AA" w:rsidP="00020876">
      <w:pPr>
        <w:spacing w:after="0" w:line="290" w:lineRule="atLeast"/>
        <w:rPr>
          <w:rFonts w:ascii="Arial" w:hAnsi="Arial" w:cs="Arial"/>
          <w:sz w:val="20"/>
          <w:szCs w:val="20"/>
        </w:rPr>
      </w:pPr>
      <w:r>
        <w:rPr>
          <w:rFonts w:ascii="Arial" w:hAnsi="Arial" w:cs="Arial"/>
          <w:sz w:val="20"/>
          <w:szCs w:val="20"/>
        </w:rPr>
        <w:t>Langton Crescent</w:t>
      </w:r>
    </w:p>
    <w:p w14:paraId="0116326F" w14:textId="77777777" w:rsidR="00F637AA" w:rsidRDefault="00F637AA" w:rsidP="00020876">
      <w:pPr>
        <w:spacing w:after="0" w:line="290" w:lineRule="atLeast"/>
        <w:rPr>
          <w:rFonts w:ascii="Arial" w:hAnsi="Arial" w:cs="Arial"/>
          <w:sz w:val="20"/>
          <w:szCs w:val="20"/>
        </w:rPr>
      </w:pPr>
      <w:proofErr w:type="gramStart"/>
      <w:r>
        <w:rPr>
          <w:rFonts w:ascii="Arial" w:hAnsi="Arial" w:cs="Arial"/>
          <w:sz w:val="20"/>
          <w:szCs w:val="20"/>
        </w:rPr>
        <w:t>PARKES  ACT</w:t>
      </w:r>
      <w:proofErr w:type="gramEnd"/>
      <w:r>
        <w:rPr>
          <w:rFonts w:ascii="Arial" w:hAnsi="Arial" w:cs="Arial"/>
          <w:sz w:val="20"/>
          <w:szCs w:val="20"/>
        </w:rPr>
        <w:t xml:space="preserve">  2600</w:t>
      </w:r>
    </w:p>
    <w:p w14:paraId="4B997D1A" w14:textId="77777777" w:rsidR="00F637AA" w:rsidRPr="00020876" w:rsidRDefault="00F637AA" w:rsidP="00020876">
      <w:pPr>
        <w:spacing w:after="0" w:line="290" w:lineRule="atLeast"/>
        <w:rPr>
          <w:rFonts w:ascii="Arial" w:hAnsi="Arial" w:cs="Arial"/>
          <w:sz w:val="20"/>
          <w:szCs w:val="20"/>
        </w:rPr>
      </w:pPr>
    </w:p>
    <w:p w14:paraId="5A6131CD" w14:textId="77777777" w:rsidR="00AB4A9B" w:rsidRDefault="00AB4A9B" w:rsidP="00020876">
      <w:pPr>
        <w:spacing w:after="0" w:line="290" w:lineRule="atLeast"/>
        <w:rPr>
          <w:rFonts w:ascii="Arial" w:hAnsi="Arial" w:cs="Arial"/>
          <w:sz w:val="20"/>
          <w:szCs w:val="20"/>
        </w:rPr>
      </w:pPr>
    </w:p>
    <w:p w14:paraId="5DC0653B" w14:textId="77777777" w:rsidR="00F637AA" w:rsidRPr="00020876" w:rsidRDefault="00F637AA" w:rsidP="00020876">
      <w:pPr>
        <w:spacing w:after="0" w:line="290" w:lineRule="atLeast"/>
        <w:rPr>
          <w:rFonts w:ascii="Arial" w:hAnsi="Arial" w:cs="Arial"/>
          <w:sz w:val="20"/>
          <w:szCs w:val="20"/>
        </w:rPr>
      </w:pPr>
    </w:p>
    <w:p w14:paraId="38F86785" w14:textId="77777777" w:rsidR="0039262A" w:rsidRPr="00020876" w:rsidRDefault="00AB4A9B" w:rsidP="00020876">
      <w:pPr>
        <w:spacing w:after="0" w:line="290" w:lineRule="atLeast"/>
        <w:rPr>
          <w:rFonts w:ascii="Arial" w:hAnsi="Arial" w:cs="Arial"/>
          <w:sz w:val="20"/>
          <w:szCs w:val="20"/>
        </w:rPr>
      </w:pPr>
      <w:r w:rsidRPr="00020876">
        <w:rPr>
          <w:rFonts w:ascii="Arial" w:hAnsi="Arial" w:cs="Arial"/>
          <w:sz w:val="20"/>
          <w:szCs w:val="20"/>
        </w:rPr>
        <w:t>1 June 2015</w:t>
      </w:r>
    </w:p>
    <w:p w14:paraId="2CA8200D" w14:textId="77777777" w:rsidR="00AB4A9B" w:rsidRDefault="00AB4A9B" w:rsidP="00020876">
      <w:pPr>
        <w:spacing w:after="0" w:line="290" w:lineRule="atLeast"/>
        <w:rPr>
          <w:rFonts w:ascii="Arial" w:hAnsi="Arial" w:cs="Arial"/>
          <w:sz w:val="20"/>
          <w:szCs w:val="20"/>
        </w:rPr>
      </w:pPr>
    </w:p>
    <w:p w14:paraId="48E2582E" w14:textId="77777777" w:rsidR="00F637AA" w:rsidRPr="00020876" w:rsidRDefault="00F637AA" w:rsidP="00020876">
      <w:pPr>
        <w:spacing w:after="0" w:line="290" w:lineRule="atLeast"/>
        <w:rPr>
          <w:rFonts w:ascii="Arial" w:hAnsi="Arial" w:cs="Arial"/>
          <w:sz w:val="20"/>
          <w:szCs w:val="20"/>
        </w:rPr>
      </w:pPr>
      <w:bookmarkStart w:id="0" w:name="_GoBack"/>
      <w:bookmarkEnd w:id="0"/>
    </w:p>
    <w:p w14:paraId="2E5DC52A" w14:textId="77777777" w:rsidR="00AB4A9B" w:rsidRPr="00020876" w:rsidRDefault="00AB4A9B" w:rsidP="00020876">
      <w:pPr>
        <w:spacing w:after="0" w:line="290" w:lineRule="atLeast"/>
        <w:rPr>
          <w:rFonts w:ascii="Arial" w:hAnsi="Arial" w:cs="Arial"/>
          <w:sz w:val="20"/>
          <w:szCs w:val="20"/>
        </w:rPr>
      </w:pPr>
      <w:r w:rsidRPr="00020876">
        <w:rPr>
          <w:rFonts w:ascii="Arial" w:hAnsi="Arial" w:cs="Arial"/>
          <w:sz w:val="20"/>
          <w:szCs w:val="20"/>
        </w:rPr>
        <w:t>To whom it may concern</w:t>
      </w:r>
    </w:p>
    <w:p w14:paraId="5E6197AD" w14:textId="77777777" w:rsidR="00AB4A9B" w:rsidRPr="00020876" w:rsidRDefault="00AB4A9B" w:rsidP="00020876">
      <w:pPr>
        <w:spacing w:after="0" w:line="290" w:lineRule="atLeast"/>
        <w:rPr>
          <w:rFonts w:ascii="Arial" w:hAnsi="Arial" w:cs="Arial"/>
          <w:sz w:val="20"/>
          <w:szCs w:val="20"/>
        </w:rPr>
      </w:pPr>
    </w:p>
    <w:p w14:paraId="6104A342" w14:textId="77777777" w:rsidR="00AB4A9B" w:rsidRPr="00020876" w:rsidRDefault="00AB4A9B" w:rsidP="00020876">
      <w:pPr>
        <w:spacing w:after="0" w:line="290" w:lineRule="atLeast"/>
        <w:rPr>
          <w:rFonts w:ascii="Arial" w:hAnsi="Arial" w:cs="Arial"/>
          <w:b/>
          <w:sz w:val="20"/>
          <w:szCs w:val="20"/>
        </w:rPr>
      </w:pPr>
      <w:r w:rsidRPr="00020876">
        <w:rPr>
          <w:rFonts w:ascii="Arial" w:hAnsi="Arial" w:cs="Arial"/>
          <w:b/>
          <w:sz w:val="20"/>
          <w:szCs w:val="20"/>
        </w:rPr>
        <w:t>Submission to the Australian Government’s Tax Discussion Paper</w:t>
      </w:r>
    </w:p>
    <w:p w14:paraId="09F80BE6" w14:textId="77777777" w:rsidR="0039262A" w:rsidRPr="00020876" w:rsidRDefault="0039262A" w:rsidP="00020876">
      <w:pPr>
        <w:spacing w:after="0" w:line="290" w:lineRule="atLeast"/>
        <w:rPr>
          <w:rFonts w:ascii="Arial" w:hAnsi="Arial" w:cs="Arial"/>
          <w:sz w:val="20"/>
          <w:szCs w:val="20"/>
        </w:rPr>
      </w:pPr>
    </w:p>
    <w:p w14:paraId="0BED1FC5" w14:textId="77777777" w:rsidR="0039262A" w:rsidRPr="00020876" w:rsidRDefault="0039262A" w:rsidP="00020876">
      <w:pPr>
        <w:spacing w:after="0" w:line="290" w:lineRule="atLeast"/>
        <w:rPr>
          <w:rFonts w:ascii="Arial" w:hAnsi="Arial" w:cs="Arial"/>
          <w:sz w:val="20"/>
          <w:szCs w:val="20"/>
        </w:rPr>
      </w:pPr>
      <w:r w:rsidRPr="00020876">
        <w:rPr>
          <w:rFonts w:ascii="Arial" w:hAnsi="Arial" w:cs="Arial"/>
          <w:sz w:val="20"/>
          <w:szCs w:val="20"/>
        </w:rPr>
        <w:t>The Australian Government has commenced a process for considering future directions for Australia’s tax system.  Interested parties have been invited to provide submissions to the Government by 1 June 2015.</w:t>
      </w:r>
    </w:p>
    <w:p w14:paraId="22E8784C" w14:textId="77777777" w:rsidR="0039262A" w:rsidRPr="00020876" w:rsidRDefault="0039262A" w:rsidP="00020876">
      <w:pPr>
        <w:spacing w:after="0" w:line="290" w:lineRule="atLeast"/>
        <w:rPr>
          <w:rFonts w:ascii="Arial" w:hAnsi="Arial" w:cs="Arial"/>
          <w:sz w:val="20"/>
          <w:szCs w:val="20"/>
        </w:rPr>
      </w:pPr>
    </w:p>
    <w:p w14:paraId="4B5BCA22" w14:textId="77777777" w:rsidR="00AB4A9B" w:rsidRDefault="0039262A" w:rsidP="00020876">
      <w:pPr>
        <w:spacing w:after="0" w:line="290" w:lineRule="atLeast"/>
        <w:rPr>
          <w:rFonts w:ascii="Arial" w:hAnsi="Arial" w:cs="Arial"/>
          <w:sz w:val="20"/>
          <w:szCs w:val="20"/>
        </w:rPr>
      </w:pPr>
      <w:r w:rsidRPr="00020876">
        <w:rPr>
          <w:rFonts w:ascii="Arial" w:hAnsi="Arial" w:cs="Arial"/>
          <w:sz w:val="20"/>
          <w:szCs w:val="20"/>
        </w:rPr>
        <w:t>Aurizon is a top 50 ASX-listed company and Australia’s largest rail freight operator.  Aurizon provides a range of transport and logistics services in Australia.  Aurizon also owns and operates the 2,670 km of rail track (the Central Queensland Coal Network (CQCN)) connecting the coal mines of Central Queensland to their export facilities on the coast.</w:t>
      </w:r>
      <w:r w:rsidR="00582A59" w:rsidRPr="00020876">
        <w:rPr>
          <w:rFonts w:ascii="Arial" w:hAnsi="Arial" w:cs="Arial"/>
          <w:sz w:val="20"/>
          <w:szCs w:val="20"/>
        </w:rPr>
        <w:t xml:space="preserve">  </w:t>
      </w:r>
    </w:p>
    <w:p w14:paraId="1B6661FB" w14:textId="77777777" w:rsidR="00AB4A9B" w:rsidRDefault="00AB4A9B" w:rsidP="00020876">
      <w:pPr>
        <w:spacing w:after="0" w:line="290" w:lineRule="atLeast"/>
        <w:rPr>
          <w:rFonts w:ascii="Arial" w:hAnsi="Arial" w:cs="Arial"/>
          <w:sz w:val="20"/>
          <w:szCs w:val="20"/>
        </w:rPr>
      </w:pPr>
    </w:p>
    <w:p w14:paraId="41C995AD" w14:textId="77777777" w:rsidR="0039262A" w:rsidRPr="00020876" w:rsidRDefault="0039262A" w:rsidP="00020876">
      <w:pPr>
        <w:spacing w:after="0" w:line="290" w:lineRule="atLeast"/>
        <w:rPr>
          <w:rFonts w:ascii="Arial" w:hAnsi="Arial" w:cs="Arial"/>
          <w:sz w:val="20"/>
          <w:szCs w:val="20"/>
        </w:rPr>
      </w:pPr>
      <w:r w:rsidRPr="00020876">
        <w:rPr>
          <w:rFonts w:ascii="Arial" w:hAnsi="Arial" w:cs="Arial"/>
          <w:sz w:val="20"/>
          <w:szCs w:val="20"/>
        </w:rPr>
        <w:t xml:space="preserve">As an Australian </w:t>
      </w:r>
      <w:r w:rsidR="00092D65" w:rsidRPr="00020876">
        <w:rPr>
          <w:rFonts w:ascii="Arial" w:hAnsi="Arial" w:cs="Arial"/>
          <w:sz w:val="20"/>
          <w:szCs w:val="20"/>
        </w:rPr>
        <w:t xml:space="preserve">corporate taxpayer with a large Australian shareholder base, Aurizon has a strong interest in the Australian tax system and any tax reform process.  </w:t>
      </w:r>
    </w:p>
    <w:p w14:paraId="6D7FF03A" w14:textId="77777777" w:rsidR="0039262A" w:rsidRPr="00020876" w:rsidRDefault="00092D65" w:rsidP="00020876">
      <w:pPr>
        <w:spacing w:after="0" w:line="290" w:lineRule="atLeast"/>
        <w:rPr>
          <w:rFonts w:ascii="Arial" w:hAnsi="Arial" w:cs="Arial"/>
          <w:sz w:val="20"/>
          <w:szCs w:val="20"/>
        </w:rPr>
      </w:pPr>
      <w:r w:rsidRPr="00020876">
        <w:rPr>
          <w:rFonts w:ascii="Arial" w:hAnsi="Arial" w:cs="Arial"/>
          <w:sz w:val="20"/>
          <w:szCs w:val="20"/>
        </w:rPr>
        <w:t xml:space="preserve">Aurizon is making this </w:t>
      </w:r>
      <w:r w:rsidR="0039262A" w:rsidRPr="00020876">
        <w:rPr>
          <w:rFonts w:ascii="Arial" w:hAnsi="Arial" w:cs="Arial"/>
          <w:sz w:val="20"/>
          <w:szCs w:val="20"/>
        </w:rPr>
        <w:t xml:space="preserve">submission </w:t>
      </w:r>
      <w:r w:rsidRPr="00020876">
        <w:rPr>
          <w:rFonts w:ascii="Arial" w:hAnsi="Arial" w:cs="Arial"/>
          <w:sz w:val="20"/>
          <w:szCs w:val="20"/>
        </w:rPr>
        <w:t xml:space="preserve">to seek improvements to the tax treatment of financing arrangements for infrastructure projects.  </w:t>
      </w:r>
    </w:p>
    <w:p w14:paraId="602FCDDD" w14:textId="77777777" w:rsidR="0039262A" w:rsidRPr="00020876" w:rsidRDefault="0039262A" w:rsidP="00020876">
      <w:pPr>
        <w:spacing w:after="0" w:line="290" w:lineRule="atLeast"/>
        <w:rPr>
          <w:rFonts w:ascii="Arial" w:hAnsi="Arial" w:cs="Arial"/>
          <w:sz w:val="20"/>
          <w:szCs w:val="20"/>
        </w:rPr>
      </w:pPr>
    </w:p>
    <w:p w14:paraId="24F98D99" w14:textId="77777777" w:rsidR="00DC162B" w:rsidRPr="00020876" w:rsidRDefault="00C66AB4" w:rsidP="00020876">
      <w:pPr>
        <w:spacing w:after="0" w:line="290" w:lineRule="atLeast"/>
        <w:rPr>
          <w:rFonts w:ascii="Arial" w:hAnsi="Arial" w:cs="Arial"/>
          <w:sz w:val="20"/>
          <w:szCs w:val="20"/>
        </w:rPr>
      </w:pPr>
      <w:r w:rsidRPr="00020876">
        <w:rPr>
          <w:rFonts w:ascii="Arial" w:hAnsi="Arial" w:cs="Arial"/>
          <w:b/>
          <w:sz w:val="20"/>
          <w:szCs w:val="20"/>
        </w:rPr>
        <w:t>Executive Summary</w:t>
      </w:r>
    </w:p>
    <w:p w14:paraId="14B9F928" w14:textId="77777777" w:rsidR="00C66AB4" w:rsidRPr="00020876" w:rsidRDefault="009E60CD" w:rsidP="00020876">
      <w:pPr>
        <w:tabs>
          <w:tab w:val="left" w:pos="2085"/>
        </w:tabs>
        <w:spacing w:after="0" w:line="290" w:lineRule="atLeast"/>
        <w:rPr>
          <w:rFonts w:ascii="Arial" w:hAnsi="Arial" w:cs="Arial"/>
          <w:sz w:val="20"/>
          <w:szCs w:val="20"/>
        </w:rPr>
      </w:pPr>
      <w:r w:rsidRPr="00020876">
        <w:rPr>
          <w:rFonts w:ascii="Arial" w:hAnsi="Arial" w:cs="Arial"/>
          <w:sz w:val="20"/>
          <w:szCs w:val="20"/>
        </w:rPr>
        <w:tab/>
      </w:r>
    </w:p>
    <w:p w14:paraId="3D982D74" w14:textId="77777777" w:rsidR="00892BF3" w:rsidRPr="00020876" w:rsidRDefault="00892BF3" w:rsidP="00020876">
      <w:pPr>
        <w:spacing w:after="0" w:line="290" w:lineRule="atLeast"/>
        <w:rPr>
          <w:rFonts w:ascii="Arial" w:hAnsi="Arial" w:cs="Arial"/>
          <w:sz w:val="20"/>
          <w:szCs w:val="20"/>
        </w:rPr>
      </w:pPr>
      <w:r w:rsidRPr="00020876">
        <w:rPr>
          <w:rFonts w:ascii="Arial" w:hAnsi="Arial" w:cs="Arial"/>
          <w:sz w:val="20"/>
          <w:szCs w:val="20"/>
        </w:rPr>
        <w:t>There is increased need and/or desire for one party to fund (</w:t>
      </w:r>
      <w:r w:rsidRPr="00020876">
        <w:rPr>
          <w:rFonts w:ascii="Arial" w:hAnsi="Arial" w:cs="Arial"/>
          <w:b/>
          <w:sz w:val="20"/>
          <w:szCs w:val="20"/>
        </w:rPr>
        <w:t xml:space="preserve">Third Party </w:t>
      </w:r>
      <w:r w:rsidR="008574B3">
        <w:rPr>
          <w:rFonts w:ascii="Arial" w:hAnsi="Arial" w:cs="Arial"/>
          <w:b/>
          <w:sz w:val="20"/>
          <w:szCs w:val="20"/>
        </w:rPr>
        <w:t>F</w:t>
      </w:r>
      <w:r w:rsidRPr="00020876">
        <w:rPr>
          <w:rFonts w:ascii="Arial" w:hAnsi="Arial" w:cs="Arial"/>
          <w:b/>
          <w:sz w:val="20"/>
          <w:szCs w:val="20"/>
        </w:rPr>
        <w:t>unding</w:t>
      </w:r>
      <w:r w:rsidRPr="00020876">
        <w:rPr>
          <w:rStyle w:val="FootnoteReference"/>
          <w:rFonts w:ascii="Arial" w:hAnsi="Arial" w:cs="Arial"/>
          <w:b/>
          <w:sz w:val="20"/>
          <w:szCs w:val="20"/>
        </w:rPr>
        <w:footnoteReference w:id="1"/>
      </w:r>
      <w:r w:rsidR="008574B3">
        <w:rPr>
          <w:rFonts w:ascii="Arial" w:hAnsi="Arial" w:cs="Arial"/>
          <w:sz w:val="20"/>
          <w:szCs w:val="20"/>
        </w:rPr>
        <w:t>) significant infrastructure assets (</w:t>
      </w:r>
      <w:r w:rsidR="008574B3">
        <w:rPr>
          <w:rFonts w:ascii="Arial" w:hAnsi="Arial" w:cs="Arial"/>
          <w:b/>
          <w:sz w:val="20"/>
          <w:szCs w:val="20"/>
        </w:rPr>
        <w:t>Major Lineal Assets</w:t>
      </w:r>
      <w:r w:rsidR="008574B3" w:rsidRPr="00020876">
        <w:rPr>
          <w:rStyle w:val="FootnoteReference"/>
          <w:rFonts w:ascii="Arial" w:hAnsi="Arial" w:cs="Arial"/>
          <w:b/>
          <w:sz w:val="20"/>
          <w:szCs w:val="20"/>
        </w:rPr>
        <w:footnoteReference w:id="2"/>
      </w:r>
      <w:r w:rsidR="008574B3">
        <w:rPr>
          <w:rFonts w:ascii="Arial" w:hAnsi="Arial" w:cs="Arial"/>
          <w:sz w:val="20"/>
          <w:szCs w:val="20"/>
        </w:rPr>
        <w:t>)</w:t>
      </w:r>
      <w:r w:rsidRPr="00020876">
        <w:rPr>
          <w:rFonts w:ascii="Arial" w:hAnsi="Arial" w:cs="Arial"/>
          <w:sz w:val="20"/>
          <w:szCs w:val="20"/>
        </w:rPr>
        <w:t xml:space="preserve"> owned and operated by another </w:t>
      </w:r>
      <w:r w:rsidRPr="00020876">
        <w:rPr>
          <w:rFonts w:ascii="Arial" w:hAnsi="Arial" w:cs="Arial"/>
          <w:sz w:val="20"/>
          <w:szCs w:val="20"/>
        </w:rPr>
        <w:lastRenderedPageBreak/>
        <w:t>party (</w:t>
      </w:r>
      <w:r w:rsidRPr="00020876">
        <w:rPr>
          <w:rFonts w:ascii="Arial" w:hAnsi="Arial" w:cs="Arial"/>
          <w:b/>
          <w:sz w:val="20"/>
          <w:szCs w:val="20"/>
        </w:rPr>
        <w:t>Owner/Operator</w:t>
      </w:r>
      <w:r w:rsidR="00BD2D89" w:rsidRPr="00020876">
        <w:rPr>
          <w:rStyle w:val="FootnoteReference"/>
          <w:rFonts w:ascii="Arial" w:hAnsi="Arial" w:cs="Arial"/>
          <w:b/>
          <w:sz w:val="20"/>
          <w:szCs w:val="20"/>
        </w:rPr>
        <w:footnoteReference w:id="3"/>
      </w:r>
      <w:r w:rsidR="008574B3">
        <w:rPr>
          <w:rFonts w:ascii="Arial" w:hAnsi="Arial" w:cs="Arial"/>
          <w:sz w:val="20"/>
          <w:szCs w:val="20"/>
        </w:rPr>
        <w:t>)</w:t>
      </w:r>
      <w:r w:rsidRPr="001251E5">
        <w:rPr>
          <w:rFonts w:ascii="Arial" w:hAnsi="Arial" w:cs="Arial"/>
          <w:sz w:val="20"/>
          <w:szCs w:val="20"/>
        </w:rPr>
        <w:t>.</w:t>
      </w:r>
      <w:r w:rsidR="008574B3">
        <w:rPr>
          <w:rFonts w:ascii="Arial" w:hAnsi="Arial" w:cs="Arial"/>
          <w:sz w:val="20"/>
          <w:szCs w:val="20"/>
        </w:rPr>
        <w:t xml:space="preserve">  This increased need has arisen</w:t>
      </w:r>
      <w:r w:rsidR="001251E5">
        <w:rPr>
          <w:rFonts w:ascii="Arial" w:hAnsi="Arial" w:cs="Arial"/>
          <w:sz w:val="20"/>
          <w:szCs w:val="20"/>
        </w:rPr>
        <w:t>, in part,</w:t>
      </w:r>
      <w:r w:rsidR="008574B3">
        <w:rPr>
          <w:rFonts w:ascii="Arial" w:hAnsi="Arial" w:cs="Arial"/>
          <w:sz w:val="20"/>
          <w:szCs w:val="20"/>
        </w:rPr>
        <w:t xml:space="preserve"> due to the ongoing privatisation of Major Lineal Assets</w:t>
      </w:r>
      <w:r w:rsidR="005225C8">
        <w:rPr>
          <w:rFonts w:ascii="Arial" w:hAnsi="Arial" w:cs="Arial"/>
          <w:sz w:val="20"/>
          <w:szCs w:val="20"/>
        </w:rPr>
        <w:t xml:space="preserve"> and the increasing need to apply </w:t>
      </w:r>
      <w:r w:rsidR="000278ED">
        <w:rPr>
          <w:rFonts w:ascii="Arial" w:hAnsi="Arial" w:cs="Arial"/>
          <w:sz w:val="20"/>
          <w:szCs w:val="20"/>
        </w:rPr>
        <w:t>new</w:t>
      </w:r>
      <w:r w:rsidR="005225C8">
        <w:rPr>
          <w:rFonts w:ascii="Arial" w:hAnsi="Arial" w:cs="Arial"/>
          <w:sz w:val="20"/>
          <w:szCs w:val="20"/>
        </w:rPr>
        <w:t xml:space="preserve"> funding models to develop significant infrastructure</w:t>
      </w:r>
      <w:r w:rsidR="008574B3">
        <w:rPr>
          <w:rFonts w:ascii="Arial" w:hAnsi="Arial" w:cs="Arial"/>
          <w:sz w:val="20"/>
          <w:szCs w:val="20"/>
        </w:rPr>
        <w:t>.</w:t>
      </w:r>
      <w:r w:rsidR="001251E5">
        <w:rPr>
          <w:rFonts w:ascii="Arial" w:hAnsi="Arial" w:cs="Arial"/>
          <w:sz w:val="20"/>
          <w:szCs w:val="20"/>
        </w:rPr>
        <w:t xml:space="preserve">  </w:t>
      </w:r>
      <w:r w:rsidR="005225C8">
        <w:rPr>
          <w:rFonts w:ascii="Arial" w:hAnsi="Arial" w:cs="Arial"/>
          <w:sz w:val="20"/>
          <w:szCs w:val="20"/>
        </w:rPr>
        <w:t>Where Governments</w:t>
      </w:r>
      <w:r w:rsidR="001251E5">
        <w:rPr>
          <w:rFonts w:ascii="Arial" w:hAnsi="Arial" w:cs="Arial"/>
          <w:sz w:val="20"/>
          <w:szCs w:val="20"/>
        </w:rPr>
        <w:t xml:space="preserve"> retain ownership </w:t>
      </w:r>
      <w:r w:rsidR="005225C8">
        <w:rPr>
          <w:rFonts w:ascii="Arial" w:hAnsi="Arial" w:cs="Arial"/>
          <w:sz w:val="20"/>
          <w:szCs w:val="20"/>
        </w:rPr>
        <w:t>they</w:t>
      </w:r>
      <w:r w:rsidR="001251E5">
        <w:rPr>
          <w:rFonts w:ascii="Arial" w:hAnsi="Arial" w:cs="Arial"/>
          <w:sz w:val="20"/>
          <w:szCs w:val="20"/>
        </w:rPr>
        <w:t xml:space="preserve"> would also benefit from effective options for Third Party Funding as an option to asset divestment or leasing when budgets are constrained.</w:t>
      </w:r>
    </w:p>
    <w:p w14:paraId="12147E48" w14:textId="77777777" w:rsidR="00892BF3" w:rsidRPr="00020876" w:rsidRDefault="00892BF3" w:rsidP="00020876">
      <w:pPr>
        <w:spacing w:after="0" w:line="290" w:lineRule="atLeast"/>
        <w:rPr>
          <w:rFonts w:ascii="Arial" w:hAnsi="Arial" w:cs="Arial"/>
          <w:sz w:val="20"/>
          <w:szCs w:val="20"/>
        </w:rPr>
      </w:pPr>
    </w:p>
    <w:p w14:paraId="373D3A0B" w14:textId="77777777" w:rsidR="00A53A08" w:rsidRPr="00905BCB" w:rsidRDefault="008574B3" w:rsidP="00905BCB">
      <w:pPr>
        <w:spacing w:after="0" w:line="290" w:lineRule="atLeast"/>
        <w:rPr>
          <w:rFonts w:ascii="Arial" w:hAnsi="Arial" w:cs="Arial"/>
          <w:sz w:val="20"/>
          <w:szCs w:val="20"/>
        </w:rPr>
      </w:pPr>
      <w:r>
        <w:rPr>
          <w:rFonts w:ascii="Arial" w:hAnsi="Arial" w:cs="Arial"/>
          <w:sz w:val="20"/>
          <w:szCs w:val="20"/>
        </w:rPr>
        <w:t xml:space="preserve">Third Party Funding of Major Lineal Assets </w:t>
      </w:r>
      <w:r w:rsidR="00892BF3" w:rsidRPr="00020876">
        <w:rPr>
          <w:rFonts w:ascii="Arial" w:hAnsi="Arial" w:cs="Arial"/>
          <w:sz w:val="20"/>
          <w:szCs w:val="20"/>
        </w:rPr>
        <w:t>does not currently result in comparable tax treatment for the Third Party Funder compared to the Owner/Operator funding the same assets (</w:t>
      </w:r>
      <w:r w:rsidR="00892BF3" w:rsidRPr="00020876">
        <w:rPr>
          <w:rFonts w:ascii="Arial" w:hAnsi="Arial" w:cs="Arial"/>
          <w:b/>
          <w:sz w:val="20"/>
          <w:szCs w:val="20"/>
        </w:rPr>
        <w:t>Tax Neutrality</w:t>
      </w:r>
      <w:r w:rsidR="00BD2D89" w:rsidRPr="00020876">
        <w:rPr>
          <w:rStyle w:val="FootnoteReference"/>
          <w:rFonts w:ascii="Arial" w:hAnsi="Arial" w:cs="Arial"/>
          <w:b/>
          <w:sz w:val="20"/>
          <w:szCs w:val="20"/>
        </w:rPr>
        <w:footnoteReference w:id="4"/>
      </w:r>
      <w:r>
        <w:rPr>
          <w:rFonts w:ascii="Arial" w:hAnsi="Arial" w:cs="Arial"/>
          <w:sz w:val="20"/>
          <w:szCs w:val="20"/>
        </w:rPr>
        <w:t>)</w:t>
      </w:r>
      <w:r w:rsidR="00892BF3" w:rsidRPr="00020876">
        <w:rPr>
          <w:rFonts w:ascii="Arial" w:hAnsi="Arial" w:cs="Arial"/>
          <w:sz w:val="20"/>
          <w:szCs w:val="20"/>
        </w:rPr>
        <w:t>.</w:t>
      </w:r>
      <w:r w:rsidR="00A53A08">
        <w:rPr>
          <w:rFonts w:ascii="Arial" w:hAnsi="Arial" w:cs="Arial"/>
          <w:sz w:val="20"/>
          <w:szCs w:val="20"/>
        </w:rPr>
        <w:t xml:space="preserve">  This is because</w:t>
      </w:r>
      <w:r w:rsidR="00692720">
        <w:rPr>
          <w:rFonts w:ascii="Arial" w:hAnsi="Arial" w:cs="Arial"/>
          <w:sz w:val="20"/>
          <w:szCs w:val="20"/>
        </w:rPr>
        <w:t xml:space="preserve"> </w:t>
      </w:r>
      <w:r w:rsidR="002B48A1" w:rsidRPr="00905BCB">
        <w:rPr>
          <w:rFonts w:ascii="Arial" w:hAnsi="Arial" w:cs="Arial"/>
          <w:sz w:val="20"/>
          <w:szCs w:val="20"/>
        </w:rPr>
        <w:t>when an asset is funded by a third party</w:t>
      </w:r>
      <w:r w:rsidR="00A53A08" w:rsidRPr="00905BCB">
        <w:rPr>
          <w:rFonts w:ascii="Arial" w:hAnsi="Arial" w:cs="Arial"/>
          <w:sz w:val="20"/>
          <w:szCs w:val="20"/>
        </w:rPr>
        <w:t>:</w:t>
      </w:r>
    </w:p>
    <w:p w14:paraId="42E88014" w14:textId="77777777" w:rsidR="00A53A08" w:rsidRDefault="00A53A08" w:rsidP="00020876">
      <w:pPr>
        <w:spacing w:after="0" w:line="290" w:lineRule="atLeast"/>
        <w:rPr>
          <w:rFonts w:ascii="Arial" w:hAnsi="Arial" w:cs="Arial"/>
          <w:sz w:val="20"/>
          <w:szCs w:val="20"/>
        </w:rPr>
      </w:pPr>
    </w:p>
    <w:p w14:paraId="6C864F10" w14:textId="77777777" w:rsidR="00A53A08" w:rsidRDefault="00692720" w:rsidP="00905BCB">
      <w:pPr>
        <w:pStyle w:val="ListParagraph"/>
        <w:numPr>
          <w:ilvl w:val="0"/>
          <w:numId w:val="10"/>
        </w:numPr>
        <w:spacing w:after="0" w:line="290" w:lineRule="atLeast"/>
        <w:ind w:left="357" w:hanging="357"/>
        <w:rPr>
          <w:rFonts w:ascii="Arial" w:hAnsi="Arial" w:cs="Arial"/>
          <w:sz w:val="20"/>
          <w:szCs w:val="20"/>
        </w:rPr>
      </w:pPr>
      <w:r>
        <w:rPr>
          <w:rFonts w:ascii="Arial" w:hAnsi="Arial" w:cs="Arial"/>
          <w:sz w:val="20"/>
          <w:szCs w:val="20"/>
        </w:rPr>
        <w:t>t</w:t>
      </w:r>
      <w:r w:rsidR="00A53A08">
        <w:rPr>
          <w:rFonts w:ascii="Arial" w:hAnsi="Arial" w:cs="Arial"/>
          <w:sz w:val="20"/>
          <w:szCs w:val="20"/>
        </w:rPr>
        <w:t xml:space="preserve">he Owner/Operator </w:t>
      </w:r>
      <w:r>
        <w:rPr>
          <w:rFonts w:ascii="Arial" w:hAnsi="Arial" w:cs="Arial"/>
          <w:sz w:val="20"/>
          <w:szCs w:val="20"/>
        </w:rPr>
        <w:t>is assessed upfront on the contribution received and is only able to claim</w:t>
      </w:r>
      <w:r w:rsidR="00A53A08">
        <w:rPr>
          <w:rFonts w:ascii="Arial" w:hAnsi="Arial" w:cs="Arial"/>
          <w:sz w:val="20"/>
          <w:szCs w:val="20"/>
        </w:rPr>
        <w:t xml:space="preserve"> tax depreciation </w:t>
      </w:r>
      <w:r>
        <w:rPr>
          <w:rFonts w:ascii="Arial" w:hAnsi="Arial" w:cs="Arial"/>
          <w:sz w:val="20"/>
          <w:szCs w:val="20"/>
        </w:rPr>
        <w:t>on the constructed asset over the life of the asset resulting in a negative net present value impact for the transaction</w:t>
      </w:r>
      <w:r w:rsidR="004344EB">
        <w:rPr>
          <w:rFonts w:ascii="Arial" w:hAnsi="Arial" w:cs="Arial"/>
          <w:sz w:val="20"/>
          <w:szCs w:val="20"/>
        </w:rPr>
        <w:t>; and</w:t>
      </w:r>
    </w:p>
    <w:p w14:paraId="779403CF" w14:textId="77777777" w:rsidR="004344EB" w:rsidRPr="00692720" w:rsidRDefault="004344EB" w:rsidP="002B48A1">
      <w:pPr>
        <w:spacing w:after="0" w:line="290" w:lineRule="atLeast"/>
        <w:rPr>
          <w:rFonts w:ascii="Arial" w:hAnsi="Arial" w:cs="Arial"/>
          <w:sz w:val="20"/>
          <w:szCs w:val="20"/>
        </w:rPr>
      </w:pPr>
    </w:p>
    <w:p w14:paraId="046304BA" w14:textId="77777777" w:rsidR="004344EB" w:rsidRPr="00692720" w:rsidRDefault="00E55897" w:rsidP="00692720">
      <w:pPr>
        <w:pStyle w:val="ListParagraph"/>
        <w:numPr>
          <w:ilvl w:val="0"/>
          <w:numId w:val="10"/>
        </w:numPr>
        <w:spacing w:after="0" w:line="290" w:lineRule="atLeast"/>
        <w:rPr>
          <w:rFonts w:ascii="Arial" w:hAnsi="Arial" w:cs="Arial"/>
          <w:sz w:val="20"/>
          <w:szCs w:val="20"/>
        </w:rPr>
      </w:pPr>
      <w:proofErr w:type="gramStart"/>
      <w:r>
        <w:rPr>
          <w:rFonts w:ascii="Arial" w:hAnsi="Arial" w:cs="Arial"/>
          <w:sz w:val="20"/>
          <w:szCs w:val="20"/>
        </w:rPr>
        <w:t>t</w:t>
      </w:r>
      <w:r w:rsidR="004E5B46">
        <w:rPr>
          <w:rFonts w:ascii="Arial" w:hAnsi="Arial" w:cs="Arial"/>
          <w:sz w:val="20"/>
          <w:szCs w:val="20"/>
        </w:rPr>
        <w:t>he</w:t>
      </w:r>
      <w:proofErr w:type="gramEnd"/>
      <w:r w:rsidR="004E5B46">
        <w:rPr>
          <w:rFonts w:ascii="Arial" w:hAnsi="Arial" w:cs="Arial"/>
          <w:sz w:val="20"/>
          <w:szCs w:val="20"/>
        </w:rPr>
        <w:t xml:space="preserve"> Third Party Funder may not always </w:t>
      </w:r>
      <w:r w:rsidR="00692720">
        <w:rPr>
          <w:rFonts w:ascii="Arial" w:hAnsi="Arial" w:cs="Arial"/>
          <w:sz w:val="20"/>
          <w:szCs w:val="20"/>
        </w:rPr>
        <w:t>obtain a tax depreciation benefit for its funding cost – potentially resulting in an additional cost to the transaction.</w:t>
      </w:r>
    </w:p>
    <w:p w14:paraId="65B91608" w14:textId="77777777" w:rsidR="00A53A08" w:rsidRDefault="00A53A08" w:rsidP="00020876">
      <w:pPr>
        <w:spacing w:after="0" w:line="290" w:lineRule="atLeast"/>
        <w:rPr>
          <w:rFonts w:ascii="Arial" w:hAnsi="Arial" w:cs="Arial"/>
          <w:sz w:val="20"/>
          <w:szCs w:val="20"/>
        </w:rPr>
      </w:pPr>
    </w:p>
    <w:p w14:paraId="088F0F2B" w14:textId="77777777" w:rsidR="006527CC" w:rsidRDefault="0000716F" w:rsidP="009836DD">
      <w:pPr>
        <w:spacing w:after="0" w:line="290" w:lineRule="atLeast"/>
        <w:ind w:left="-1134"/>
        <w:rPr>
          <w:rFonts w:ascii="Arial" w:hAnsi="Arial" w:cs="Arial"/>
          <w:sz w:val="20"/>
          <w:szCs w:val="20"/>
        </w:rPr>
      </w:pPr>
      <w:r>
        <w:rPr>
          <w:rFonts w:ascii="Arial" w:hAnsi="Arial" w:cs="Arial"/>
          <w:noProof/>
          <w:sz w:val="20"/>
          <w:szCs w:val="20"/>
          <w:lang w:eastAsia="en-AU"/>
        </w:rPr>
        <w:drawing>
          <wp:inline distT="0" distB="0" distL="0" distR="0" wp14:anchorId="28E32BA7" wp14:editId="2E0E62A9">
            <wp:extent cx="6503035" cy="3179928"/>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hird Party Funding diagram v3A.jpg"/>
                    <pic:cNvPicPr/>
                  </pic:nvPicPr>
                  <pic:blipFill>
                    <a:blip r:embed="rId13">
                      <a:extLst>
                        <a:ext uri="{28A0092B-C50C-407E-A947-70E740481C1C}">
                          <a14:useLocalDpi xmlns:a14="http://schemas.microsoft.com/office/drawing/2010/main" val="0"/>
                        </a:ext>
                      </a:extLst>
                    </a:blip>
                    <a:stretch>
                      <a:fillRect/>
                    </a:stretch>
                  </pic:blipFill>
                  <pic:spPr>
                    <a:xfrm>
                      <a:off x="0" y="0"/>
                      <a:ext cx="6516722" cy="3186621"/>
                    </a:xfrm>
                    <a:prstGeom prst="rect">
                      <a:avLst/>
                    </a:prstGeom>
                  </pic:spPr>
                </pic:pic>
              </a:graphicData>
            </a:graphic>
          </wp:inline>
        </w:drawing>
      </w:r>
    </w:p>
    <w:p w14:paraId="7345AB6D" w14:textId="77777777" w:rsidR="006527CC" w:rsidRDefault="006527CC" w:rsidP="00020876">
      <w:pPr>
        <w:spacing w:after="0" w:line="290" w:lineRule="atLeast"/>
        <w:rPr>
          <w:rFonts w:ascii="Arial" w:hAnsi="Arial" w:cs="Arial"/>
          <w:sz w:val="20"/>
          <w:szCs w:val="20"/>
        </w:rPr>
      </w:pPr>
    </w:p>
    <w:p w14:paraId="52CE6763" w14:textId="77777777" w:rsidR="00892BF3" w:rsidRPr="00020876" w:rsidRDefault="008574B3" w:rsidP="00020876">
      <w:pPr>
        <w:spacing w:after="0" w:line="290" w:lineRule="atLeast"/>
        <w:rPr>
          <w:rFonts w:ascii="Arial" w:hAnsi="Arial" w:cs="Arial"/>
          <w:sz w:val="20"/>
          <w:szCs w:val="20"/>
        </w:rPr>
      </w:pPr>
      <w:r>
        <w:rPr>
          <w:rFonts w:ascii="Arial" w:hAnsi="Arial" w:cs="Arial"/>
          <w:sz w:val="20"/>
          <w:szCs w:val="20"/>
        </w:rPr>
        <w:lastRenderedPageBreak/>
        <w:t>This lack of Tax Neutrality represents a significant impediment to such Third Party Funding</w:t>
      </w:r>
      <w:r w:rsidR="000278ED">
        <w:rPr>
          <w:rFonts w:ascii="Arial" w:hAnsi="Arial" w:cs="Arial"/>
          <w:sz w:val="20"/>
          <w:szCs w:val="20"/>
        </w:rPr>
        <w:t xml:space="preserve"> and, thus, can act as a brake on investment in necessary infrastructure, with consequential negative impacts on economic growth</w:t>
      </w:r>
      <w:r>
        <w:rPr>
          <w:rFonts w:ascii="Arial" w:hAnsi="Arial" w:cs="Arial"/>
          <w:sz w:val="20"/>
          <w:szCs w:val="20"/>
        </w:rPr>
        <w:t>.</w:t>
      </w:r>
    </w:p>
    <w:p w14:paraId="5361254B" w14:textId="77777777" w:rsidR="00892BF3" w:rsidRPr="00020876" w:rsidRDefault="00892BF3" w:rsidP="00020876">
      <w:pPr>
        <w:spacing w:after="0" w:line="290" w:lineRule="atLeast"/>
        <w:rPr>
          <w:rFonts w:ascii="Arial" w:hAnsi="Arial" w:cs="Arial"/>
          <w:sz w:val="20"/>
          <w:szCs w:val="20"/>
        </w:rPr>
      </w:pPr>
    </w:p>
    <w:p w14:paraId="50E09067" w14:textId="77777777" w:rsidR="00892BF3" w:rsidRPr="00020876" w:rsidRDefault="00892BF3" w:rsidP="00020876">
      <w:pPr>
        <w:spacing w:after="0" w:line="290" w:lineRule="atLeast"/>
        <w:rPr>
          <w:rFonts w:ascii="Arial" w:hAnsi="Arial" w:cs="Arial"/>
          <w:sz w:val="20"/>
          <w:szCs w:val="20"/>
        </w:rPr>
      </w:pPr>
      <w:r w:rsidRPr="00020876">
        <w:rPr>
          <w:rFonts w:ascii="Arial" w:hAnsi="Arial" w:cs="Arial"/>
          <w:sz w:val="20"/>
          <w:szCs w:val="20"/>
        </w:rPr>
        <w:t>Correcting this situation to provide for tax neutrality</w:t>
      </w:r>
      <w:r w:rsidR="00B40EBF" w:rsidRPr="00020876">
        <w:rPr>
          <w:rFonts w:ascii="Arial" w:hAnsi="Arial" w:cs="Arial"/>
          <w:sz w:val="20"/>
          <w:szCs w:val="20"/>
        </w:rPr>
        <w:t xml:space="preserve"> </w:t>
      </w:r>
      <w:r w:rsidR="000278ED">
        <w:rPr>
          <w:rFonts w:ascii="Arial" w:hAnsi="Arial" w:cs="Arial"/>
          <w:sz w:val="20"/>
          <w:szCs w:val="20"/>
        </w:rPr>
        <w:t>would</w:t>
      </w:r>
      <w:r w:rsidR="00B40EBF" w:rsidRPr="00020876">
        <w:rPr>
          <w:rFonts w:ascii="Arial" w:hAnsi="Arial" w:cs="Arial"/>
          <w:sz w:val="20"/>
          <w:szCs w:val="20"/>
        </w:rPr>
        <w:t xml:space="preserve"> remove </w:t>
      </w:r>
      <w:r w:rsidR="008574B3">
        <w:rPr>
          <w:rFonts w:ascii="Arial" w:hAnsi="Arial" w:cs="Arial"/>
          <w:sz w:val="20"/>
          <w:szCs w:val="20"/>
        </w:rPr>
        <w:t xml:space="preserve">this </w:t>
      </w:r>
      <w:r w:rsidR="00B40EBF" w:rsidRPr="00020876">
        <w:rPr>
          <w:rFonts w:ascii="Arial" w:hAnsi="Arial" w:cs="Arial"/>
          <w:sz w:val="20"/>
          <w:szCs w:val="20"/>
        </w:rPr>
        <w:t>impediment and</w:t>
      </w:r>
      <w:r w:rsidRPr="00020876">
        <w:rPr>
          <w:rFonts w:ascii="Arial" w:hAnsi="Arial" w:cs="Arial"/>
          <w:sz w:val="20"/>
          <w:szCs w:val="20"/>
        </w:rPr>
        <w:t xml:space="preserve"> </w:t>
      </w:r>
      <w:r w:rsidR="00CC4B05">
        <w:rPr>
          <w:rFonts w:ascii="Arial" w:hAnsi="Arial" w:cs="Arial"/>
          <w:sz w:val="20"/>
          <w:szCs w:val="20"/>
        </w:rPr>
        <w:t xml:space="preserve">should enable </w:t>
      </w:r>
      <w:r w:rsidRPr="00020876">
        <w:rPr>
          <w:rFonts w:ascii="Arial" w:hAnsi="Arial" w:cs="Arial"/>
          <w:sz w:val="20"/>
          <w:szCs w:val="20"/>
        </w:rPr>
        <w:t>greater investment in assets, expansion</w:t>
      </w:r>
      <w:r w:rsidR="00CC4B05">
        <w:rPr>
          <w:rFonts w:ascii="Arial" w:hAnsi="Arial" w:cs="Arial"/>
          <w:sz w:val="20"/>
          <w:szCs w:val="20"/>
        </w:rPr>
        <w:t xml:space="preserve"> of </w:t>
      </w:r>
      <w:r w:rsidRPr="00020876">
        <w:rPr>
          <w:rFonts w:ascii="Arial" w:hAnsi="Arial" w:cs="Arial"/>
          <w:sz w:val="20"/>
          <w:szCs w:val="20"/>
        </w:rPr>
        <w:t>business</w:t>
      </w:r>
      <w:r w:rsidR="00CC4B05">
        <w:rPr>
          <w:rFonts w:ascii="Arial" w:hAnsi="Arial" w:cs="Arial"/>
          <w:sz w:val="20"/>
          <w:szCs w:val="20"/>
        </w:rPr>
        <w:t>es</w:t>
      </w:r>
      <w:r w:rsidRPr="00020876">
        <w:rPr>
          <w:rFonts w:ascii="Arial" w:hAnsi="Arial" w:cs="Arial"/>
          <w:sz w:val="20"/>
          <w:szCs w:val="20"/>
        </w:rPr>
        <w:t xml:space="preserve">, growth in </w:t>
      </w:r>
      <w:r w:rsidR="00CC4B05">
        <w:rPr>
          <w:rFonts w:ascii="Arial" w:hAnsi="Arial" w:cs="Arial"/>
          <w:sz w:val="20"/>
          <w:szCs w:val="20"/>
        </w:rPr>
        <w:t xml:space="preserve">the </w:t>
      </w:r>
      <w:r w:rsidRPr="00020876">
        <w:rPr>
          <w:rFonts w:ascii="Arial" w:hAnsi="Arial" w:cs="Arial"/>
          <w:sz w:val="20"/>
          <w:szCs w:val="20"/>
        </w:rPr>
        <w:t xml:space="preserve">Australian </w:t>
      </w:r>
      <w:r w:rsidR="008D7315" w:rsidRPr="00020876">
        <w:rPr>
          <w:rFonts w:ascii="Arial" w:hAnsi="Arial" w:cs="Arial"/>
          <w:sz w:val="20"/>
          <w:szCs w:val="20"/>
        </w:rPr>
        <w:t>economy</w:t>
      </w:r>
      <w:r w:rsidRPr="00020876">
        <w:rPr>
          <w:rFonts w:ascii="Arial" w:hAnsi="Arial" w:cs="Arial"/>
          <w:sz w:val="20"/>
          <w:szCs w:val="20"/>
        </w:rPr>
        <w:t xml:space="preserve"> and </w:t>
      </w:r>
      <w:r w:rsidR="00CC4B05">
        <w:rPr>
          <w:rFonts w:ascii="Arial" w:hAnsi="Arial" w:cs="Arial"/>
          <w:sz w:val="20"/>
          <w:szCs w:val="20"/>
        </w:rPr>
        <w:t xml:space="preserve">increased </w:t>
      </w:r>
      <w:r w:rsidRPr="00020876">
        <w:rPr>
          <w:rFonts w:ascii="Arial" w:hAnsi="Arial" w:cs="Arial"/>
          <w:sz w:val="20"/>
          <w:szCs w:val="20"/>
        </w:rPr>
        <w:t>taxable revenues for Australia.</w:t>
      </w:r>
    </w:p>
    <w:p w14:paraId="5210974F" w14:textId="77777777" w:rsidR="00892BF3" w:rsidRPr="00020876" w:rsidRDefault="00892BF3" w:rsidP="00020876">
      <w:pPr>
        <w:spacing w:after="0" w:line="290" w:lineRule="atLeast"/>
        <w:rPr>
          <w:rFonts w:ascii="Arial" w:hAnsi="Arial" w:cs="Arial"/>
          <w:sz w:val="20"/>
          <w:szCs w:val="20"/>
        </w:rPr>
      </w:pPr>
    </w:p>
    <w:p w14:paraId="61898E02" w14:textId="77777777" w:rsidR="00092D65" w:rsidRPr="00020876" w:rsidRDefault="00092D65" w:rsidP="00020876">
      <w:pPr>
        <w:spacing w:after="0" w:line="290" w:lineRule="atLeast"/>
        <w:rPr>
          <w:rFonts w:ascii="Arial" w:hAnsi="Arial" w:cs="Arial"/>
          <w:sz w:val="20"/>
          <w:szCs w:val="20"/>
        </w:rPr>
      </w:pPr>
      <w:r w:rsidRPr="00020876">
        <w:rPr>
          <w:rFonts w:ascii="Arial" w:hAnsi="Arial" w:cs="Arial"/>
          <w:sz w:val="20"/>
          <w:szCs w:val="20"/>
        </w:rPr>
        <w:t>A detailed explanation of the issue is provided in the attached Appendi</w:t>
      </w:r>
      <w:r w:rsidR="00AB4A9B">
        <w:rPr>
          <w:rFonts w:ascii="Arial" w:hAnsi="Arial" w:cs="Arial"/>
          <w:sz w:val="20"/>
          <w:szCs w:val="20"/>
        </w:rPr>
        <w:t>ces</w:t>
      </w:r>
      <w:r w:rsidRPr="00020876">
        <w:rPr>
          <w:rFonts w:ascii="Arial" w:hAnsi="Arial" w:cs="Arial"/>
          <w:sz w:val="20"/>
          <w:szCs w:val="20"/>
        </w:rPr>
        <w:t>.</w:t>
      </w:r>
    </w:p>
    <w:p w14:paraId="7519DA89" w14:textId="77777777" w:rsidR="00092D65" w:rsidRPr="00020876" w:rsidRDefault="00092D65" w:rsidP="00020876">
      <w:pPr>
        <w:spacing w:after="0" w:line="290" w:lineRule="atLeast"/>
        <w:rPr>
          <w:rFonts w:ascii="Arial" w:hAnsi="Arial" w:cs="Arial"/>
          <w:sz w:val="20"/>
          <w:szCs w:val="20"/>
        </w:rPr>
      </w:pPr>
    </w:p>
    <w:p w14:paraId="7BE1A49D" w14:textId="77777777" w:rsidR="00092D65" w:rsidRPr="00020876" w:rsidRDefault="00092D65" w:rsidP="00020876">
      <w:pPr>
        <w:spacing w:after="0" w:line="290" w:lineRule="atLeast"/>
        <w:rPr>
          <w:rFonts w:ascii="Arial" w:hAnsi="Arial" w:cs="Arial"/>
          <w:b/>
          <w:sz w:val="20"/>
          <w:szCs w:val="20"/>
        </w:rPr>
      </w:pPr>
      <w:r w:rsidRPr="00020876">
        <w:rPr>
          <w:rFonts w:ascii="Arial" w:hAnsi="Arial" w:cs="Arial"/>
          <w:b/>
          <w:sz w:val="20"/>
          <w:szCs w:val="20"/>
        </w:rPr>
        <w:t>Further Information</w:t>
      </w:r>
    </w:p>
    <w:p w14:paraId="1A751BFD" w14:textId="77777777" w:rsidR="00092D65" w:rsidRPr="00020876" w:rsidRDefault="00092D65" w:rsidP="00020876">
      <w:pPr>
        <w:spacing w:after="0" w:line="290" w:lineRule="atLeast"/>
        <w:rPr>
          <w:rFonts w:ascii="Arial" w:hAnsi="Arial" w:cs="Arial"/>
          <w:b/>
          <w:sz w:val="20"/>
          <w:szCs w:val="20"/>
        </w:rPr>
      </w:pPr>
    </w:p>
    <w:p w14:paraId="19BF839E" w14:textId="77777777" w:rsidR="00092D65" w:rsidRPr="00020876" w:rsidRDefault="00092D65" w:rsidP="00020876">
      <w:pPr>
        <w:spacing w:after="0" w:line="290" w:lineRule="atLeast"/>
        <w:rPr>
          <w:rFonts w:ascii="Arial" w:hAnsi="Arial" w:cs="Arial"/>
          <w:sz w:val="20"/>
          <w:szCs w:val="20"/>
        </w:rPr>
      </w:pPr>
      <w:r w:rsidRPr="00020876">
        <w:rPr>
          <w:rFonts w:ascii="Arial" w:hAnsi="Arial" w:cs="Arial"/>
          <w:sz w:val="20"/>
          <w:szCs w:val="20"/>
        </w:rPr>
        <w:t>Should you have any questions in relation to our submission, pleas</w:t>
      </w:r>
      <w:r w:rsidR="00AB4A9B" w:rsidRPr="00020876">
        <w:rPr>
          <w:rFonts w:ascii="Arial" w:hAnsi="Arial" w:cs="Arial"/>
          <w:sz w:val="20"/>
          <w:szCs w:val="20"/>
        </w:rPr>
        <w:t xml:space="preserve">e do not hesitate to contact </w:t>
      </w:r>
      <w:r w:rsidR="0065273A">
        <w:rPr>
          <w:rFonts w:ascii="Arial" w:hAnsi="Arial" w:cs="Arial"/>
          <w:sz w:val="20"/>
          <w:szCs w:val="20"/>
        </w:rPr>
        <w:t>the signatories below</w:t>
      </w:r>
      <w:r w:rsidRPr="00020876">
        <w:rPr>
          <w:rFonts w:ascii="Arial" w:hAnsi="Arial" w:cs="Arial"/>
          <w:sz w:val="20"/>
          <w:szCs w:val="20"/>
        </w:rPr>
        <w:t>.</w:t>
      </w:r>
    </w:p>
    <w:p w14:paraId="6328FB8B" w14:textId="77777777" w:rsidR="00AB4A9B" w:rsidRPr="00020876" w:rsidRDefault="00AB4A9B" w:rsidP="00020876">
      <w:pPr>
        <w:spacing w:after="0" w:line="290" w:lineRule="atLeast"/>
        <w:rPr>
          <w:rFonts w:ascii="Arial" w:hAnsi="Arial" w:cs="Arial"/>
          <w:sz w:val="20"/>
          <w:szCs w:val="20"/>
        </w:rPr>
      </w:pPr>
    </w:p>
    <w:p w14:paraId="3646F7B6" w14:textId="77777777" w:rsidR="00AB4A9B" w:rsidRPr="00020876" w:rsidRDefault="00AB4A9B" w:rsidP="00020876">
      <w:pPr>
        <w:spacing w:after="0" w:line="290" w:lineRule="atLeast"/>
        <w:rPr>
          <w:rFonts w:ascii="Arial" w:hAnsi="Arial" w:cs="Arial"/>
          <w:sz w:val="20"/>
          <w:szCs w:val="20"/>
        </w:rPr>
      </w:pPr>
      <w:r w:rsidRPr="00020876">
        <w:rPr>
          <w:rFonts w:ascii="Arial" w:hAnsi="Arial" w:cs="Arial"/>
          <w:sz w:val="20"/>
          <w:szCs w:val="20"/>
        </w:rPr>
        <w:t>Kind regards</w:t>
      </w:r>
    </w:p>
    <w:p w14:paraId="5B99D064" w14:textId="77777777" w:rsidR="00AB4A9B" w:rsidRPr="00020876" w:rsidRDefault="00AB4A9B" w:rsidP="00020876">
      <w:pPr>
        <w:spacing w:after="0" w:line="290" w:lineRule="atLeast"/>
        <w:rPr>
          <w:rFonts w:ascii="Arial" w:hAnsi="Arial" w:cs="Arial"/>
          <w:sz w:val="20"/>
          <w:szCs w:val="20"/>
        </w:rPr>
      </w:pPr>
    </w:p>
    <w:p w14:paraId="36DC6CE9" w14:textId="77777777" w:rsidR="00AB4A9B" w:rsidRDefault="00AB4A9B" w:rsidP="00020876">
      <w:pPr>
        <w:spacing w:after="0" w:line="290" w:lineRule="atLeast"/>
        <w:rPr>
          <w:rFonts w:ascii="Arial" w:hAnsi="Arial" w:cs="Arial"/>
          <w:sz w:val="20"/>
          <w:szCs w:val="20"/>
        </w:rPr>
      </w:pPr>
    </w:p>
    <w:p w14:paraId="414B05A7" w14:textId="77777777" w:rsidR="00AB4A9B" w:rsidRDefault="00AB4A9B" w:rsidP="00020876">
      <w:pPr>
        <w:spacing w:after="0" w:line="290" w:lineRule="atLeast"/>
        <w:rPr>
          <w:rFonts w:ascii="Arial" w:hAnsi="Arial" w:cs="Arial"/>
          <w:sz w:val="20"/>
          <w:szCs w:val="20"/>
        </w:rPr>
      </w:pPr>
    </w:p>
    <w:p w14:paraId="7624BDCB" w14:textId="77777777" w:rsidR="00AB4A9B" w:rsidRPr="00020876" w:rsidRDefault="00AB4A9B" w:rsidP="00020876">
      <w:pPr>
        <w:spacing w:after="0" w:line="290" w:lineRule="atLeast"/>
        <w:rPr>
          <w:rFonts w:ascii="Arial" w:hAnsi="Arial" w:cs="Arial"/>
          <w:sz w:val="20"/>
          <w:szCs w:val="20"/>
        </w:rPr>
      </w:pPr>
    </w:p>
    <w:p w14:paraId="7A9204B0" w14:textId="77777777" w:rsidR="00AB4A9B" w:rsidRPr="00020876" w:rsidRDefault="00AB4A9B" w:rsidP="00020876">
      <w:pPr>
        <w:spacing w:after="0" w:line="290" w:lineRule="atLeast"/>
        <w:rPr>
          <w:rFonts w:ascii="Arial" w:hAnsi="Arial" w:cs="Arial"/>
          <w:sz w:val="20"/>
          <w:szCs w:val="20"/>
        </w:rPr>
      </w:pPr>
      <w:r w:rsidRPr="00020876">
        <w:rPr>
          <w:rFonts w:ascii="Arial" w:hAnsi="Arial" w:cs="Arial"/>
          <w:sz w:val="20"/>
          <w:szCs w:val="20"/>
        </w:rPr>
        <w:t>John Short</w:t>
      </w:r>
      <w:r w:rsidR="00D172AD">
        <w:rPr>
          <w:rFonts w:ascii="Arial" w:hAnsi="Arial" w:cs="Arial"/>
          <w:sz w:val="20"/>
          <w:szCs w:val="20"/>
        </w:rPr>
        <w:tab/>
      </w:r>
      <w:r w:rsidR="00D172AD">
        <w:rPr>
          <w:rFonts w:ascii="Arial" w:hAnsi="Arial" w:cs="Arial"/>
          <w:sz w:val="20"/>
          <w:szCs w:val="20"/>
        </w:rPr>
        <w:tab/>
      </w:r>
      <w:r w:rsidR="00D172AD">
        <w:rPr>
          <w:rFonts w:ascii="Arial" w:hAnsi="Arial" w:cs="Arial"/>
          <w:sz w:val="20"/>
          <w:szCs w:val="20"/>
        </w:rPr>
        <w:tab/>
      </w:r>
      <w:r w:rsidR="00D172AD">
        <w:rPr>
          <w:rFonts w:ascii="Arial" w:hAnsi="Arial" w:cs="Arial"/>
          <w:sz w:val="20"/>
          <w:szCs w:val="20"/>
        </w:rPr>
        <w:tab/>
      </w:r>
      <w:r w:rsidR="00D172AD">
        <w:rPr>
          <w:rFonts w:ascii="Arial" w:hAnsi="Arial" w:cs="Arial"/>
          <w:sz w:val="20"/>
          <w:szCs w:val="20"/>
        </w:rPr>
        <w:tab/>
      </w:r>
      <w:r w:rsidR="00D172AD">
        <w:rPr>
          <w:rFonts w:ascii="Arial" w:hAnsi="Arial" w:cs="Arial"/>
          <w:sz w:val="20"/>
          <w:szCs w:val="20"/>
        </w:rPr>
        <w:tab/>
        <w:t xml:space="preserve">Peter </w:t>
      </w:r>
      <w:proofErr w:type="spellStart"/>
      <w:r w:rsidR="00D172AD">
        <w:rPr>
          <w:rFonts w:ascii="Arial" w:hAnsi="Arial" w:cs="Arial"/>
          <w:sz w:val="20"/>
          <w:szCs w:val="20"/>
        </w:rPr>
        <w:t>Nearhos</w:t>
      </w:r>
      <w:proofErr w:type="spellEnd"/>
    </w:p>
    <w:p w14:paraId="4ECABC03" w14:textId="77777777" w:rsidR="00AB4A9B" w:rsidRPr="00020876" w:rsidRDefault="00AB4A9B" w:rsidP="00020876">
      <w:pPr>
        <w:spacing w:after="0" w:line="290" w:lineRule="atLeast"/>
        <w:rPr>
          <w:rFonts w:ascii="Arial" w:hAnsi="Arial" w:cs="Arial"/>
          <w:sz w:val="20"/>
          <w:szCs w:val="20"/>
        </w:rPr>
      </w:pPr>
      <w:r w:rsidRPr="00020876">
        <w:rPr>
          <w:rFonts w:ascii="Arial" w:hAnsi="Arial" w:cs="Arial"/>
          <w:sz w:val="20"/>
          <w:szCs w:val="20"/>
        </w:rPr>
        <w:t xml:space="preserve">Aurizon Holdings </w:t>
      </w:r>
      <w:r w:rsidR="00C93F7D">
        <w:rPr>
          <w:rFonts w:ascii="Arial" w:hAnsi="Arial" w:cs="Arial"/>
          <w:sz w:val="20"/>
          <w:szCs w:val="20"/>
        </w:rPr>
        <w:t>Ltd</w:t>
      </w:r>
      <w:r w:rsidR="00D172AD">
        <w:rPr>
          <w:rFonts w:ascii="Arial" w:hAnsi="Arial" w:cs="Arial"/>
          <w:sz w:val="20"/>
          <w:szCs w:val="20"/>
        </w:rPr>
        <w:tab/>
      </w:r>
      <w:r w:rsidR="00D172AD">
        <w:rPr>
          <w:rFonts w:ascii="Arial" w:hAnsi="Arial" w:cs="Arial"/>
          <w:sz w:val="20"/>
          <w:szCs w:val="20"/>
        </w:rPr>
        <w:tab/>
      </w:r>
      <w:r w:rsidR="00D172AD">
        <w:rPr>
          <w:rFonts w:ascii="Arial" w:hAnsi="Arial" w:cs="Arial"/>
          <w:sz w:val="20"/>
          <w:szCs w:val="20"/>
        </w:rPr>
        <w:tab/>
      </w:r>
      <w:r w:rsidR="00D172AD">
        <w:rPr>
          <w:rFonts w:ascii="Arial" w:hAnsi="Arial" w:cs="Arial"/>
          <w:sz w:val="20"/>
          <w:szCs w:val="20"/>
        </w:rPr>
        <w:tab/>
      </w:r>
      <w:r w:rsidR="0071261F">
        <w:rPr>
          <w:rFonts w:ascii="Arial" w:hAnsi="Arial" w:cs="Arial"/>
          <w:sz w:val="20"/>
          <w:szCs w:val="20"/>
        </w:rPr>
        <w:tab/>
      </w:r>
      <w:r w:rsidR="00D172AD" w:rsidRPr="00020876">
        <w:rPr>
          <w:rFonts w:ascii="Arial" w:hAnsi="Arial" w:cs="Arial"/>
          <w:sz w:val="20"/>
          <w:szCs w:val="20"/>
        </w:rPr>
        <w:t xml:space="preserve">Aurizon Holdings </w:t>
      </w:r>
      <w:r w:rsidR="00D172AD">
        <w:rPr>
          <w:rFonts w:ascii="Arial" w:hAnsi="Arial" w:cs="Arial"/>
          <w:sz w:val="20"/>
          <w:szCs w:val="20"/>
        </w:rPr>
        <w:t>Ltd</w:t>
      </w:r>
    </w:p>
    <w:p w14:paraId="529BA478" w14:textId="77777777" w:rsidR="00AB4A9B" w:rsidRPr="00020876" w:rsidRDefault="00AB4A9B" w:rsidP="00020876">
      <w:pPr>
        <w:spacing w:after="0" w:line="290" w:lineRule="atLeast"/>
        <w:rPr>
          <w:rFonts w:ascii="Arial" w:hAnsi="Arial" w:cs="Arial"/>
          <w:sz w:val="20"/>
          <w:szCs w:val="20"/>
        </w:rPr>
      </w:pPr>
      <w:r w:rsidRPr="00020876">
        <w:rPr>
          <w:rFonts w:ascii="Arial" w:hAnsi="Arial" w:cs="Arial"/>
          <w:sz w:val="20"/>
          <w:szCs w:val="20"/>
        </w:rPr>
        <w:t>VP National Policy</w:t>
      </w:r>
      <w:r w:rsidR="00D172AD">
        <w:rPr>
          <w:rFonts w:ascii="Arial" w:hAnsi="Arial" w:cs="Arial"/>
          <w:sz w:val="20"/>
          <w:szCs w:val="20"/>
        </w:rPr>
        <w:tab/>
      </w:r>
      <w:r w:rsidR="00D172AD">
        <w:rPr>
          <w:rFonts w:ascii="Arial" w:hAnsi="Arial" w:cs="Arial"/>
          <w:sz w:val="20"/>
          <w:szCs w:val="20"/>
        </w:rPr>
        <w:tab/>
      </w:r>
      <w:r w:rsidR="00D172AD">
        <w:rPr>
          <w:rFonts w:ascii="Arial" w:hAnsi="Arial" w:cs="Arial"/>
          <w:sz w:val="20"/>
          <w:szCs w:val="20"/>
        </w:rPr>
        <w:tab/>
      </w:r>
      <w:r w:rsidR="00D172AD">
        <w:rPr>
          <w:rFonts w:ascii="Arial" w:hAnsi="Arial" w:cs="Arial"/>
          <w:sz w:val="20"/>
          <w:szCs w:val="20"/>
        </w:rPr>
        <w:tab/>
      </w:r>
      <w:r w:rsidR="00D172AD">
        <w:rPr>
          <w:rFonts w:ascii="Arial" w:hAnsi="Arial" w:cs="Arial"/>
          <w:sz w:val="20"/>
          <w:szCs w:val="20"/>
        </w:rPr>
        <w:tab/>
        <w:t>Manager Group Tax</w:t>
      </w:r>
    </w:p>
    <w:p w14:paraId="38016038" w14:textId="77777777" w:rsidR="00092D65" w:rsidRPr="00020876" w:rsidRDefault="00092D65" w:rsidP="00020876">
      <w:pPr>
        <w:spacing w:after="0" w:line="290" w:lineRule="atLeast"/>
        <w:rPr>
          <w:rFonts w:ascii="Arial" w:hAnsi="Arial" w:cs="Arial"/>
          <w:sz w:val="20"/>
          <w:szCs w:val="20"/>
        </w:rPr>
      </w:pPr>
    </w:p>
    <w:p w14:paraId="27D508E8" w14:textId="77777777" w:rsidR="00092D65" w:rsidRPr="00020876" w:rsidRDefault="00092D65" w:rsidP="00020876">
      <w:pPr>
        <w:spacing w:after="0" w:line="290" w:lineRule="atLeast"/>
        <w:rPr>
          <w:rFonts w:ascii="Arial" w:hAnsi="Arial" w:cs="Arial"/>
          <w:sz w:val="20"/>
          <w:szCs w:val="20"/>
        </w:rPr>
      </w:pPr>
    </w:p>
    <w:p w14:paraId="32C3677A" w14:textId="77777777" w:rsidR="00BD2D89" w:rsidRPr="00020876" w:rsidRDefault="00BD2D89" w:rsidP="00020876">
      <w:pPr>
        <w:spacing w:after="0" w:line="290" w:lineRule="atLeast"/>
        <w:rPr>
          <w:rFonts w:ascii="Arial" w:hAnsi="Arial" w:cs="Arial"/>
          <w:b/>
          <w:sz w:val="20"/>
          <w:szCs w:val="20"/>
        </w:rPr>
      </w:pPr>
      <w:r w:rsidRPr="00020876">
        <w:rPr>
          <w:rFonts w:ascii="Arial" w:hAnsi="Arial" w:cs="Arial"/>
          <w:b/>
          <w:sz w:val="20"/>
          <w:szCs w:val="20"/>
        </w:rPr>
        <w:br w:type="page"/>
      </w:r>
    </w:p>
    <w:p w14:paraId="0D6579D5" w14:textId="77777777" w:rsidR="00BD2D89" w:rsidRPr="00020876" w:rsidRDefault="00092D65" w:rsidP="00020876">
      <w:pPr>
        <w:spacing w:after="0" w:line="290" w:lineRule="atLeast"/>
        <w:jc w:val="right"/>
        <w:rPr>
          <w:rFonts w:ascii="Arial" w:hAnsi="Arial" w:cs="Arial"/>
          <w:b/>
          <w:sz w:val="20"/>
          <w:szCs w:val="20"/>
        </w:rPr>
      </w:pPr>
      <w:r w:rsidRPr="00020876">
        <w:rPr>
          <w:rFonts w:ascii="Arial" w:hAnsi="Arial" w:cs="Arial"/>
          <w:b/>
          <w:sz w:val="20"/>
          <w:szCs w:val="20"/>
        </w:rPr>
        <w:lastRenderedPageBreak/>
        <w:t>APPENEDIX</w:t>
      </w:r>
      <w:r w:rsidR="00AB4A9B">
        <w:rPr>
          <w:rFonts w:ascii="Arial" w:hAnsi="Arial" w:cs="Arial"/>
          <w:b/>
          <w:sz w:val="20"/>
          <w:szCs w:val="20"/>
        </w:rPr>
        <w:t xml:space="preserve"> A</w:t>
      </w:r>
    </w:p>
    <w:p w14:paraId="08FF90F0" w14:textId="77777777" w:rsidR="00877CD0" w:rsidRDefault="00877CD0" w:rsidP="00020876">
      <w:pPr>
        <w:spacing w:after="0" w:line="290" w:lineRule="atLeast"/>
        <w:rPr>
          <w:rFonts w:ascii="Arial" w:hAnsi="Arial" w:cs="Arial"/>
          <w:b/>
          <w:sz w:val="20"/>
          <w:szCs w:val="20"/>
        </w:rPr>
      </w:pPr>
    </w:p>
    <w:p w14:paraId="4F67EF46" w14:textId="77777777" w:rsidR="00092D65" w:rsidRPr="00020876" w:rsidRDefault="0061498E" w:rsidP="00020876">
      <w:pPr>
        <w:spacing w:after="0" w:line="290" w:lineRule="atLeast"/>
        <w:rPr>
          <w:rFonts w:ascii="Arial" w:hAnsi="Arial" w:cs="Arial"/>
          <w:sz w:val="20"/>
          <w:szCs w:val="20"/>
        </w:rPr>
      </w:pPr>
      <w:r w:rsidRPr="00020876">
        <w:rPr>
          <w:rFonts w:ascii="Arial" w:hAnsi="Arial" w:cs="Arial"/>
          <w:b/>
          <w:sz w:val="20"/>
          <w:szCs w:val="20"/>
        </w:rPr>
        <w:t>Why is third party funding required?</w:t>
      </w:r>
    </w:p>
    <w:p w14:paraId="61533116" w14:textId="77777777" w:rsidR="00F562E2" w:rsidRPr="00020876" w:rsidRDefault="00F562E2" w:rsidP="00020876">
      <w:pPr>
        <w:spacing w:after="0" w:line="290" w:lineRule="atLeast"/>
        <w:rPr>
          <w:rFonts w:ascii="Arial" w:hAnsi="Arial" w:cs="Arial"/>
          <w:sz w:val="20"/>
          <w:szCs w:val="20"/>
        </w:rPr>
      </w:pPr>
    </w:p>
    <w:p w14:paraId="4F8EFEF8" w14:textId="77777777" w:rsidR="00F562E2" w:rsidRPr="00020876" w:rsidRDefault="00BD2D89" w:rsidP="00020876">
      <w:pPr>
        <w:spacing w:after="0" w:line="290" w:lineRule="atLeast"/>
        <w:rPr>
          <w:rFonts w:ascii="Arial" w:hAnsi="Arial" w:cs="Arial"/>
          <w:sz w:val="20"/>
          <w:szCs w:val="20"/>
        </w:rPr>
      </w:pPr>
      <w:r w:rsidRPr="00B064DD">
        <w:rPr>
          <w:rFonts w:ascii="Arial" w:hAnsi="Arial" w:cs="Arial"/>
          <w:sz w:val="20"/>
          <w:szCs w:val="20"/>
        </w:rPr>
        <w:t>M</w:t>
      </w:r>
      <w:r w:rsidR="00281C97" w:rsidRPr="00B064DD">
        <w:rPr>
          <w:rFonts w:ascii="Arial" w:hAnsi="Arial" w:cs="Arial"/>
          <w:sz w:val="20"/>
          <w:szCs w:val="20"/>
        </w:rPr>
        <w:t xml:space="preserve">ajor </w:t>
      </w:r>
      <w:r w:rsidRPr="00B064DD">
        <w:rPr>
          <w:rFonts w:ascii="Arial" w:hAnsi="Arial" w:cs="Arial"/>
          <w:sz w:val="20"/>
          <w:szCs w:val="20"/>
        </w:rPr>
        <w:t>L</w:t>
      </w:r>
      <w:r w:rsidR="00281C97" w:rsidRPr="00B064DD">
        <w:rPr>
          <w:rFonts w:ascii="Arial" w:hAnsi="Arial" w:cs="Arial"/>
          <w:sz w:val="20"/>
          <w:szCs w:val="20"/>
        </w:rPr>
        <w:t xml:space="preserve">ineal </w:t>
      </w:r>
      <w:r w:rsidRPr="00B064DD">
        <w:rPr>
          <w:rFonts w:ascii="Arial" w:hAnsi="Arial" w:cs="Arial"/>
          <w:sz w:val="20"/>
          <w:szCs w:val="20"/>
        </w:rPr>
        <w:t>A</w:t>
      </w:r>
      <w:r w:rsidR="00281C97" w:rsidRPr="00B064DD">
        <w:rPr>
          <w:rFonts w:ascii="Arial" w:hAnsi="Arial" w:cs="Arial"/>
          <w:sz w:val="20"/>
          <w:szCs w:val="20"/>
        </w:rPr>
        <w:t>ssets</w:t>
      </w:r>
      <w:r w:rsidR="00281C97" w:rsidRPr="00020876">
        <w:rPr>
          <w:rFonts w:ascii="Arial" w:hAnsi="Arial" w:cs="Arial"/>
          <w:sz w:val="20"/>
          <w:szCs w:val="20"/>
        </w:rPr>
        <w:t xml:space="preserve"> </w:t>
      </w:r>
      <w:r w:rsidR="0061498E" w:rsidRPr="00020876">
        <w:rPr>
          <w:rFonts w:ascii="Arial" w:hAnsi="Arial" w:cs="Arial"/>
          <w:sz w:val="20"/>
          <w:szCs w:val="20"/>
        </w:rPr>
        <w:t xml:space="preserve">are </w:t>
      </w:r>
      <w:r w:rsidR="00E07BC9" w:rsidRPr="00020876">
        <w:rPr>
          <w:rFonts w:ascii="Arial" w:hAnsi="Arial" w:cs="Arial"/>
          <w:sz w:val="20"/>
          <w:szCs w:val="20"/>
        </w:rPr>
        <w:t xml:space="preserve">key infrastructure assets which are </w:t>
      </w:r>
      <w:r w:rsidR="0061498E" w:rsidRPr="00020876">
        <w:rPr>
          <w:rFonts w:ascii="Arial" w:hAnsi="Arial" w:cs="Arial"/>
          <w:sz w:val="20"/>
          <w:szCs w:val="20"/>
        </w:rPr>
        <w:t xml:space="preserve">generally natural monopolies and </w:t>
      </w:r>
      <w:r w:rsidR="008574B3">
        <w:rPr>
          <w:rFonts w:ascii="Arial" w:hAnsi="Arial" w:cs="Arial"/>
          <w:sz w:val="20"/>
          <w:szCs w:val="20"/>
        </w:rPr>
        <w:t xml:space="preserve">are </w:t>
      </w:r>
      <w:r w:rsidR="00E07BC9" w:rsidRPr="00020876">
        <w:rPr>
          <w:rFonts w:ascii="Arial" w:hAnsi="Arial" w:cs="Arial"/>
          <w:sz w:val="20"/>
          <w:szCs w:val="20"/>
        </w:rPr>
        <w:t xml:space="preserve">not able to be </w:t>
      </w:r>
      <w:r w:rsidR="00281C97" w:rsidRPr="00020876">
        <w:rPr>
          <w:rFonts w:ascii="Arial" w:hAnsi="Arial" w:cs="Arial"/>
          <w:sz w:val="20"/>
          <w:szCs w:val="20"/>
        </w:rPr>
        <w:t xml:space="preserve">duplicated </w:t>
      </w:r>
      <w:r w:rsidR="00E07BC9" w:rsidRPr="00020876">
        <w:rPr>
          <w:rFonts w:ascii="Arial" w:hAnsi="Arial" w:cs="Arial"/>
          <w:sz w:val="20"/>
          <w:szCs w:val="20"/>
        </w:rPr>
        <w:t xml:space="preserve">in an economic manner.  Historically, these assets have been held by government entities, however in recent years many Major Lineal Assets have been privatised.  These assets are often (but not always) regulated under Australia’s various competition regimes.  Broadly, the competition regimes regulate the </w:t>
      </w:r>
      <w:r w:rsidR="008574B3">
        <w:rPr>
          <w:rFonts w:ascii="Arial" w:hAnsi="Arial" w:cs="Arial"/>
          <w:sz w:val="20"/>
          <w:szCs w:val="20"/>
        </w:rPr>
        <w:t xml:space="preserve">pricing, </w:t>
      </w:r>
      <w:r w:rsidR="00E07BC9" w:rsidRPr="00020876">
        <w:rPr>
          <w:rFonts w:ascii="Arial" w:hAnsi="Arial" w:cs="Arial"/>
          <w:sz w:val="20"/>
          <w:szCs w:val="20"/>
        </w:rPr>
        <w:t xml:space="preserve">terms and conditions under which the </w:t>
      </w:r>
      <w:r w:rsidR="00AA4777" w:rsidRPr="00020876">
        <w:rPr>
          <w:rFonts w:ascii="Arial" w:hAnsi="Arial" w:cs="Arial"/>
          <w:sz w:val="20"/>
          <w:szCs w:val="20"/>
        </w:rPr>
        <w:t xml:space="preserve">existing </w:t>
      </w:r>
      <w:r w:rsidR="00E07BC9" w:rsidRPr="00020876">
        <w:rPr>
          <w:rFonts w:ascii="Arial" w:hAnsi="Arial" w:cs="Arial"/>
          <w:sz w:val="20"/>
          <w:szCs w:val="20"/>
        </w:rPr>
        <w:t xml:space="preserve">infrastructure assets are owned and operated </w:t>
      </w:r>
      <w:r w:rsidR="00AA4777" w:rsidRPr="00020876">
        <w:rPr>
          <w:rFonts w:ascii="Arial" w:hAnsi="Arial" w:cs="Arial"/>
          <w:sz w:val="20"/>
          <w:szCs w:val="20"/>
        </w:rPr>
        <w:t>and require asset owners to expand the assets</w:t>
      </w:r>
      <w:r w:rsidR="00281C97" w:rsidRPr="00020876">
        <w:rPr>
          <w:rFonts w:ascii="Arial" w:hAnsi="Arial" w:cs="Arial"/>
          <w:sz w:val="20"/>
          <w:szCs w:val="20"/>
        </w:rPr>
        <w:t xml:space="preserve"> </w:t>
      </w:r>
      <w:r w:rsidR="008574B3">
        <w:rPr>
          <w:rFonts w:ascii="Arial" w:hAnsi="Arial" w:cs="Arial"/>
          <w:sz w:val="20"/>
          <w:szCs w:val="20"/>
        </w:rPr>
        <w:t>(</w:t>
      </w:r>
      <w:r w:rsidR="008574B3">
        <w:rPr>
          <w:rFonts w:ascii="Arial" w:hAnsi="Arial" w:cs="Arial"/>
          <w:b/>
          <w:sz w:val="20"/>
          <w:szCs w:val="20"/>
        </w:rPr>
        <w:t>Expansions</w:t>
      </w:r>
      <w:r w:rsidR="008574B3">
        <w:rPr>
          <w:rFonts w:ascii="Arial" w:hAnsi="Arial" w:cs="Arial"/>
          <w:sz w:val="20"/>
          <w:szCs w:val="20"/>
        </w:rPr>
        <w:t xml:space="preserve">) </w:t>
      </w:r>
      <w:r w:rsidR="00281C97" w:rsidRPr="00020876">
        <w:rPr>
          <w:rFonts w:ascii="Arial" w:hAnsi="Arial" w:cs="Arial"/>
          <w:sz w:val="20"/>
          <w:szCs w:val="20"/>
        </w:rPr>
        <w:t>(except in limited circumstances)</w:t>
      </w:r>
      <w:r w:rsidR="00AA4777" w:rsidRPr="00020876">
        <w:rPr>
          <w:rStyle w:val="FootnoteReference"/>
          <w:rFonts w:ascii="Arial" w:hAnsi="Arial" w:cs="Arial"/>
          <w:sz w:val="20"/>
          <w:szCs w:val="20"/>
        </w:rPr>
        <w:footnoteReference w:id="5"/>
      </w:r>
      <w:r w:rsidR="00281C97" w:rsidRPr="00020876">
        <w:rPr>
          <w:rFonts w:ascii="Arial" w:hAnsi="Arial" w:cs="Arial"/>
          <w:sz w:val="20"/>
          <w:szCs w:val="20"/>
        </w:rPr>
        <w:t xml:space="preserve"> to facilitate growth and competition.  </w:t>
      </w:r>
    </w:p>
    <w:p w14:paraId="3BD8521A" w14:textId="77777777" w:rsidR="00F562E2" w:rsidRPr="00020876" w:rsidRDefault="00F562E2" w:rsidP="00020876">
      <w:pPr>
        <w:spacing w:after="0" w:line="290" w:lineRule="atLeast"/>
        <w:rPr>
          <w:rFonts w:ascii="Arial" w:hAnsi="Arial" w:cs="Arial"/>
          <w:sz w:val="20"/>
          <w:szCs w:val="20"/>
        </w:rPr>
      </w:pPr>
    </w:p>
    <w:p w14:paraId="74D27966" w14:textId="77777777" w:rsidR="00DB00BC" w:rsidRPr="00020876" w:rsidRDefault="00AA4777" w:rsidP="00020876">
      <w:pPr>
        <w:spacing w:after="0" w:line="290" w:lineRule="atLeast"/>
        <w:rPr>
          <w:rFonts w:ascii="Arial" w:hAnsi="Arial" w:cs="Arial"/>
          <w:sz w:val="20"/>
          <w:szCs w:val="20"/>
        </w:rPr>
      </w:pPr>
      <w:r w:rsidRPr="00020876">
        <w:rPr>
          <w:rFonts w:ascii="Arial" w:hAnsi="Arial" w:cs="Arial"/>
          <w:sz w:val="20"/>
          <w:szCs w:val="20"/>
        </w:rPr>
        <w:t xml:space="preserve">Due to the nature of Major Lineal Assets, </w:t>
      </w:r>
      <w:r w:rsidR="008574B3">
        <w:rPr>
          <w:rFonts w:ascii="Arial" w:hAnsi="Arial" w:cs="Arial"/>
          <w:sz w:val="20"/>
          <w:szCs w:val="20"/>
        </w:rPr>
        <w:t>E</w:t>
      </w:r>
      <w:r w:rsidR="008D7315" w:rsidRPr="00020876">
        <w:rPr>
          <w:rFonts w:ascii="Arial" w:hAnsi="Arial" w:cs="Arial"/>
          <w:sz w:val="20"/>
          <w:szCs w:val="20"/>
        </w:rPr>
        <w:t xml:space="preserve">xpansions are </w:t>
      </w:r>
      <w:r w:rsidR="00F562E2" w:rsidRPr="00020876">
        <w:rPr>
          <w:rFonts w:ascii="Arial" w:hAnsi="Arial" w:cs="Arial"/>
          <w:sz w:val="20"/>
          <w:szCs w:val="20"/>
        </w:rPr>
        <w:t>capital intensive and are</w:t>
      </w:r>
      <w:r w:rsidR="00B944C1" w:rsidRPr="00020876">
        <w:rPr>
          <w:rFonts w:ascii="Arial" w:hAnsi="Arial" w:cs="Arial"/>
          <w:sz w:val="20"/>
          <w:szCs w:val="20"/>
        </w:rPr>
        <w:t xml:space="preserve"> </w:t>
      </w:r>
      <w:r w:rsidR="00F562E2" w:rsidRPr="00020876">
        <w:rPr>
          <w:rFonts w:ascii="Arial" w:hAnsi="Arial" w:cs="Arial"/>
          <w:sz w:val="20"/>
          <w:szCs w:val="20"/>
        </w:rPr>
        <w:t xml:space="preserve">generally </w:t>
      </w:r>
      <w:r w:rsidR="008D7315" w:rsidRPr="00020876">
        <w:rPr>
          <w:rFonts w:ascii="Arial" w:hAnsi="Arial" w:cs="Arial"/>
          <w:sz w:val="20"/>
          <w:szCs w:val="20"/>
        </w:rPr>
        <w:t xml:space="preserve">integrated </w:t>
      </w:r>
      <w:r w:rsidRPr="00020876">
        <w:rPr>
          <w:rFonts w:ascii="Arial" w:hAnsi="Arial" w:cs="Arial"/>
          <w:sz w:val="20"/>
          <w:szCs w:val="20"/>
        </w:rPr>
        <w:t>with existing assets</w:t>
      </w:r>
      <w:r w:rsidR="00F24E6E">
        <w:rPr>
          <w:rFonts w:ascii="Arial" w:hAnsi="Arial" w:cs="Arial"/>
          <w:sz w:val="20"/>
          <w:szCs w:val="20"/>
        </w:rPr>
        <w:t>,</w:t>
      </w:r>
      <w:r w:rsidRPr="00020876">
        <w:rPr>
          <w:rFonts w:ascii="Arial" w:hAnsi="Arial" w:cs="Arial"/>
          <w:sz w:val="20"/>
          <w:szCs w:val="20"/>
        </w:rPr>
        <w:t xml:space="preserve"> </w:t>
      </w:r>
      <w:r w:rsidR="00F562E2" w:rsidRPr="00020876">
        <w:rPr>
          <w:rFonts w:ascii="Arial" w:hAnsi="Arial" w:cs="Arial"/>
          <w:sz w:val="20"/>
          <w:szCs w:val="20"/>
        </w:rPr>
        <w:t xml:space="preserve">preventing separation of ownership or operation </w:t>
      </w:r>
      <w:r w:rsidR="008D7315" w:rsidRPr="00020876">
        <w:rPr>
          <w:rFonts w:ascii="Arial" w:hAnsi="Arial" w:cs="Arial"/>
          <w:sz w:val="20"/>
          <w:szCs w:val="20"/>
        </w:rPr>
        <w:t xml:space="preserve">from the </w:t>
      </w:r>
      <w:r w:rsidRPr="00020876">
        <w:rPr>
          <w:rFonts w:ascii="Arial" w:hAnsi="Arial" w:cs="Arial"/>
          <w:sz w:val="20"/>
          <w:szCs w:val="20"/>
        </w:rPr>
        <w:t xml:space="preserve">existing </w:t>
      </w:r>
      <w:r w:rsidR="008D7315" w:rsidRPr="00020876">
        <w:rPr>
          <w:rFonts w:ascii="Arial" w:hAnsi="Arial" w:cs="Arial"/>
          <w:sz w:val="20"/>
          <w:szCs w:val="20"/>
        </w:rPr>
        <w:t>asset</w:t>
      </w:r>
      <w:r w:rsidRPr="00020876">
        <w:rPr>
          <w:rFonts w:ascii="Arial" w:hAnsi="Arial" w:cs="Arial"/>
          <w:sz w:val="20"/>
          <w:szCs w:val="20"/>
        </w:rPr>
        <w:t>s</w:t>
      </w:r>
      <w:r w:rsidR="008D7315" w:rsidRPr="00020876">
        <w:rPr>
          <w:rFonts w:ascii="Arial" w:hAnsi="Arial" w:cs="Arial"/>
          <w:sz w:val="20"/>
          <w:szCs w:val="20"/>
        </w:rPr>
        <w:t xml:space="preserve">.  </w:t>
      </w:r>
      <w:r w:rsidRPr="00020876">
        <w:rPr>
          <w:rFonts w:ascii="Arial" w:hAnsi="Arial" w:cs="Arial"/>
          <w:sz w:val="20"/>
          <w:szCs w:val="20"/>
        </w:rPr>
        <w:t xml:space="preserve">For example, an </w:t>
      </w:r>
      <w:r w:rsidR="008574B3">
        <w:rPr>
          <w:rFonts w:ascii="Arial" w:hAnsi="Arial" w:cs="Arial"/>
          <w:sz w:val="20"/>
          <w:szCs w:val="20"/>
        </w:rPr>
        <w:t>E</w:t>
      </w:r>
      <w:r w:rsidRPr="00020876">
        <w:rPr>
          <w:rFonts w:ascii="Arial" w:hAnsi="Arial" w:cs="Arial"/>
          <w:sz w:val="20"/>
          <w:szCs w:val="20"/>
        </w:rPr>
        <w:t xml:space="preserve">xpansion to a railway </w:t>
      </w:r>
      <w:r w:rsidR="00B944C1" w:rsidRPr="00020876">
        <w:rPr>
          <w:rFonts w:ascii="Arial" w:hAnsi="Arial" w:cs="Arial"/>
          <w:sz w:val="20"/>
          <w:szCs w:val="20"/>
        </w:rPr>
        <w:t xml:space="preserve">network </w:t>
      </w:r>
      <w:r w:rsidRPr="00020876">
        <w:rPr>
          <w:rFonts w:ascii="Arial" w:hAnsi="Arial" w:cs="Arial"/>
          <w:sz w:val="20"/>
          <w:szCs w:val="20"/>
        </w:rPr>
        <w:t xml:space="preserve">may include </w:t>
      </w:r>
      <w:r w:rsidR="00B944C1" w:rsidRPr="00020876">
        <w:rPr>
          <w:rFonts w:ascii="Arial" w:hAnsi="Arial" w:cs="Arial"/>
          <w:sz w:val="20"/>
          <w:szCs w:val="20"/>
        </w:rPr>
        <w:t>duplicating part of the track to enable trains to pass or strengthening</w:t>
      </w:r>
      <w:r w:rsidRPr="00020876">
        <w:rPr>
          <w:rFonts w:ascii="Arial" w:hAnsi="Arial" w:cs="Arial"/>
          <w:sz w:val="20"/>
          <w:szCs w:val="20"/>
        </w:rPr>
        <w:t xml:space="preserve"> existing bridges to carry longer and heavier trains</w:t>
      </w:r>
      <w:r w:rsidR="00B944C1" w:rsidRPr="00020876">
        <w:rPr>
          <w:rFonts w:ascii="Arial" w:hAnsi="Arial" w:cs="Arial"/>
          <w:sz w:val="20"/>
          <w:szCs w:val="20"/>
        </w:rPr>
        <w:t>.</w:t>
      </w:r>
      <w:r w:rsidR="00DB00BC" w:rsidRPr="00020876">
        <w:rPr>
          <w:rFonts w:ascii="Arial" w:hAnsi="Arial" w:cs="Arial"/>
          <w:sz w:val="20"/>
          <w:szCs w:val="20"/>
        </w:rPr>
        <w:t xml:space="preserve">  </w:t>
      </w:r>
      <w:r w:rsidR="00F562E2" w:rsidRPr="00020876">
        <w:rPr>
          <w:rFonts w:ascii="Arial" w:hAnsi="Arial" w:cs="Arial"/>
          <w:sz w:val="20"/>
          <w:szCs w:val="20"/>
        </w:rPr>
        <w:t xml:space="preserve">Further, significant </w:t>
      </w:r>
      <w:r w:rsidR="008574B3">
        <w:rPr>
          <w:rFonts w:ascii="Arial" w:hAnsi="Arial" w:cs="Arial"/>
          <w:sz w:val="20"/>
          <w:szCs w:val="20"/>
        </w:rPr>
        <w:t>E</w:t>
      </w:r>
      <w:r w:rsidR="00F562E2" w:rsidRPr="00020876">
        <w:rPr>
          <w:rFonts w:ascii="Arial" w:hAnsi="Arial" w:cs="Arial"/>
          <w:sz w:val="20"/>
          <w:szCs w:val="20"/>
        </w:rPr>
        <w:t xml:space="preserve">xpansions are </w:t>
      </w:r>
      <w:r w:rsidR="00DB00BC" w:rsidRPr="00020876">
        <w:rPr>
          <w:rFonts w:ascii="Arial" w:hAnsi="Arial" w:cs="Arial"/>
          <w:sz w:val="20"/>
          <w:szCs w:val="20"/>
        </w:rPr>
        <w:t xml:space="preserve">generally driven by demand from users of the assets </w:t>
      </w:r>
      <w:r w:rsidR="00F562E2" w:rsidRPr="00020876">
        <w:rPr>
          <w:rFonts w:ascii="Arial" w:hAnsi="Arial" w:cs="Arial"/>
          <w:sz w:val="20"/>
          <w:szCs w:val="20"/>
        </w:rPr>
        <w:t xml:space="preserve">(rather than the owner or operator) </w:t>
      </w:r>
      <w:r w:rsidR="00DB00BC" w:rsidRPr="00020876">
        <w:rPr>
          <w:rFonts w:ascii="Arial" w:hAnsi="Arial" w:cs="Arial"/>
          <w:sz w:val="20"/>
          <w:szCs w:val="20"/>
        </w:rPr>
        <w:t xml:space="preserve">and are required to be completed in conjunction with other developments.  For example, telecommunications systems and power distribution systems may need to be expanded at a certain time due to an expected increase in demand resulting from the construction or expansion of a mine or port.  </w:t>
      </w:r>
    </w:p>
    <w:p w14:paraId="4988229C" w14:textId="77777777" w:rsidR="00DB00BC" w:rsidRDefault="00DB00BC" w:rsidP="00020876">
      <w:pPr>
        <w:spacing w:after="0" w:line="290" w:lineRule="atLeast"/>
        <w:rPr>
          <w:rFonts w:ascii="Arial" w:hAnsi="Arial" w:cs="Arial"/>
          <w:sz w:val="20"/>
          <w:szCs w:val="20"/>
        </w:rPr>
      </w:pPr>
    </w:p>
    <w:p w14:paraId="06A48B60" w14:textId="77777777" w:rsidR="005225C8" w:rsidRPr="00020876" w:rsidRDefault="005225C8" w:rsidP="005225C8">
      <w:pPr>
        <w:spacing w:after="0" w:line="290" w:lineRule="atLeast"/>
        <w:rPr>
          <w:rFonts w:ascii="Arial" w:hAnsi="Arial" w:cs="Arial"/>
          <w:sz w:val="20"/>
          <w:szCs w:val="20"/>
        </w:rPr>
      </w:pPr>
      <w:r>
        <w:rPr>
          <w:rFonts w:ascii="Arial" w:hAnsi="Arial" w:cs="Arial"/>
          <w:sz w:val="20"/>
          <w:szCs w:val="20"/>
        </w:rPr>
        <w:t xml:space="preserve">The recent Infrastructure Australia audit also noted that </w:t>
      </w:r>
      <w:r w:rsidRPr="00B47468">
        <w:rPr>
          <w:rFonts w:ascii="Arial" w:hAnsi="Arial" w:cs="Arial"/>
          <w:sz w:val="20"/>
          <w:szCs w:val="20"/>
        </w:rPr>
        <w:t>Australia will have to increase the amount of funding available from both public and</w:t>
      </w:r>
      <w:r>
        <w:rPr>
          <w:rFonts w:ascii="Arial" w:hAnsi="Arial" w:cs="Arial"/>
          <w:sz w:val="20"/>
          <w:szCs w:val="20"/>
        </w:rPr>
        <w:t xml:space="preserve"> </w:t>
      </w:r>
      <w:r w:rsidRPr="00B47468">
        <w:rPr>
          <w:rFonts w:ascii="Arial" w:hAnsi="Arial" w:cs="Arial"/>
          <w:sz w:val="20"/>
          <w:szCs w:val="20"/>
        </w:rPr>
        <w:t>private sources, to maintain and grow our</w:t>
      </w:r>
      <w:r>
        <w:rPr>
          <w:rFonts w:ascii="Arial" w:hAnsi="Arial" w:cs="Arial"/>
          <w:sz w:val="20"/>
          <w:szCs w:val="20"/>
        </w:rPr>
        <w:t xml:space="preserve"> </w:t>
      </w:r>
      <w:r w:rsidRPr="00B47468">
        <w:rPr>
          <w:rFonts w:ascii="Arial" w:hAnsi="Arial" w:cs="Arial"/>
          <w:sz w:val="20"/>
          <w:szCs w:val="20"/>
        </w:rPr>
        <w:t>infrastructure networks</w:t>
      </w:r>
      <w:r>
        <w:rPr>
          <w:rStyle w:val="FootnoteReference"/>
          <w:rFonts w:ascii="Arial" w:hAnsi="Arial" w:cs="Arial"/>
          <w:sz w:val="20"/>
          <w:szCs w:val="20"/>
        </w:rPr>
        <w:footnoteReference w:id="6"/>
      </w:r>
      <w:r>
        <w:rPr>
          <w:rFonts w:ascii="Arial" w:hAnsi="Arial" w:cs="Arial"/>
          <w:sz w:val="20"/>
          <w:szCs w:val="20"/>
        </w:rPr>
        <w:t>.  This follows work by the Infrastructure Finance Working Group that concluded the primary issue preventing more projects proceeding was the lack of available funding and that Australia must embrace bold reforms to find new opportunities to fund projects</w:t>
      </w:r>
      <w:r>
        <w:rPr>
          <w:rStyle w:val="FootnoteReference"/>
          <w:rFonts w:ascii="Arial" w:hAnsi="Arial" w:cs="Arial"/>
          <w:sz w:val="20"/>
          <w:szCs w:val="20"/>
        </w:rPr>
        <w:footnoteReference w:id="7"/>
      </w:r>
      <w:r>
        <w:rPr>
          <w:rFonts w:ascii="Arial" w:hAnsi="Arial" w:cs="Arial"/>
          <w:sz w:val="20"/>
          <w:szCs w:val="20"/>
        </w:rPr>
        <w:t xml:space="preserve">. </w:t>
      </w:r>
    </w:p>
    <w:p w14:paraId="71838709" w14:textId="77777777" w:rsidR="005225C8" w:rsidRDefault="005225C8" w:rsidP="00020876">
      <w:pPr>
        <w:spacing w:after="0" w:line="290" w:lineRule="atLeast"/>
        <w:rPr>
          <w:rFonts w:ascii="Arial" w:hAnsi="Arial" w:cs="Arial"/>
          <w:sz w:val="20"/>
          <w:szCs w:val="20"/>
        </w:rPr>
      </w:pPr>
    </w:p>
    <w:p w14:paraId="5DE06811" w14:textId="77777777" w:rsidR="005225C8" w:rsidRPr="00020876" w:rsidRDefault="005225C8" w:rsidP="00020876">
      <w:pPr>
        <w:spacing w:after="0" w:line="290" w:lineRule="atLeast"/>
        <w:rPr>
          <w:rFonts w:ascii="Arial" w:hAnsi="Arial" w:cs="Arial"/>
          <w:sz w:val="20"/>
          <w:szCs w:val="20"/>
        </w:rPr>
      </w:pPr>
    </w:p>
    <w:p w14:paraId="05054180" w14:textId="77777777" w:rsidR="00DB00BC" w:rsidRPr="00020876" w:rsidRDefault="00DB00BC" w:rsidP="00020876">
      <w:pPr>
        <w:spacing w:after="0" w:line="290" w:lineRule="atLeast"/>
        <w:rPr>
          <w:rFonts w:ascii="Arial" w:hAnsi="Arial" w:cs="Arial"/>
          <w:sz w:val="20"/>
          <w:szCs w:val="20"/>
        </w:rPr>
      </w:pPr>
      <w:r w:rsidRPr="00020876">
        <w:rPr>
          <w:rFonts w:ascii="Arial" w:hAnsi="Arial" w:cs="Arial"/>
          <w:sz w:val="20"/>
          <w:szCs w:val="20"/>
        </w:rPr>
        <w:lastRenderedPageBreak/>
        <w:t xml:space="preserve">The owner and operator of a Major Lineal </w:t>
      </w:r>
      <w:r w:rsidRPr="005225C8">
        <w:rPr>
          <w:rFonts w:ascii="Arial" w:hAnsi="Arial" w:cs="Arial"/>
          <w:sz w:val="20"/>
          <w:szCs w:val="20"/>
        </w:rPr>
        <w:t xml:space="preserve">Asset (whether regulated or not) has the ability to determine whether they </w:t>
      </w:r>
      <w:r w:rsidR="00F562E2" w:rsidRPr="005225C8">
        <w:rPr>
          <w:rFonts w:ascii="Arial" w:hAnsi="Arial" w:cs="Arial"/>
          <w:sz w:val="20"/>
          <w:szCs w:val="20"/>
        </w:rPr>
        <w:t xml:space="preserve">expand the asset (including whether or not to fund the </w:t>
      </w:r>
      <w:r w:rsidR="008574B3" w:rsidRPr="005225C8">
        <w:rPr>
          <w:rFonts w:ascii="Arial" w:hAnsi="Arial" w:cs="Arial"/>
          <w:sz w:val="20"/>
          <w:szCs w:val="20"/>
        </w:rPr>
        <w:t>E</w:t>
      </w:r>
      <w:r w:rsidRPr="005225C8">
        <w:rPr>
          <w:rFonts w:ascii="Arial" w:hAnsi="Arial" w:cs="Arial"/>
          <w:sz w:val="20"/>
          <w:szCs w:val="20"/>
        </w:rPr>
        <w:t>xpansion</w:t>
      </w:r>
      <w:r w:rsidR="00F562E2" w:rsidRPr="005225C8">
        <w:rPr>
          <w:rFonts w:ascii="Arial" w:hAnsi="Arial" w:cs="Arial"/>
          <w:sz w:val="20"/>
          <w:szCs w:val="20"/>
        </w:rPr>
        <w:t>)</w:t>
      </w:r>
      <w:r w:rsidRPr="005225C8">
        <w:rPr>
          <w:rFonts w:ascii="Arial" w:hAnsi="Arial" w:cs="Arial"/>
          <w:sz w:val="20"/>
          <w:szCs w:val="20"/>
        </w:rPr>
        <w:t>.</w:t>
      </w:r>
      <w:r w:rsidR="00F562E2" w:rsidRPr="005225C8">
        <w:rPr>
          <w:rStyle w:val="FootnoteReference"/>
          <w:rFonts w:ascii="Arial" w:hAnsi="Arial" w:cs="Arial"/>
          <w:sz w:val="20"/>
          <w:szCs w:val="20"/>
        </w:rPr>
        <w:footnoteReference w:id="8"/>
      </w:r>
      <w:r w:rsidRPr="005225C8">
        <w:rPr>
          <w:rFonts w:ascii="Arial" w:hAnsi="Arial" w:cs="Arial"/>
          <w:sz w:val="20"/>
          <w:szCs w:val="20"/>
        </w:rPr>
        <w:t xml:space="preserve">  </w:t>
      </w:r>
      <w:r w:rsidR="00F562E2" w:rsidRPr="005225C8">
        <w:rPr>
          <w:rFonts w:ascii="Arial" w:hAnsi="Arial" w:cs="Arial"/>
          <w:sz w:val="20"/>
          <w:szCs w:val="20"/>
        </w:rPr>
        <w:t>The owner and operator of a Major Lineal Asset may choose not to fund</w:t>
      </w:r>
      <w:r w:rsidR="00F562E2" w:rsidRPr="00020876">
        <w:rPr>
          <w:rFonts w:ascii="Arial" w:hAnsi="Arial" w:cs="Arial"/>
          <w:sz w:val="20"/>
          <w:szCs w:val="20"/>
        </w:rPr>
        <w:t xml:space="preserve"> an </w:t>
      </w:r>
      <w:r w:rsidR="008574B3">
        <w:rPr>
          <w:rFonts w:ascii="Arial" w:hAnsi="Arial" w:cs="Arial"/>
          <w:sz w:val="20"/>
          <w:szCs w:val="20"/>
        </w:rPr>
        <w:t>E</w:t>
      </w:r>
      <w:r w:rsidR="00F562E2" w:rsidRPr="00020876">
        <w:rPr>
          <w:rFonts w:ascii="Arial" w:hAnsi="Arial" w:cs="Arial"/>
          <w:sz w:val="20"/>
          <w:szCs w:val="20"/>
        </w:rPr>
        <w:t>xpansion due to:</w:t>
      </w:r>
    </w:p>
    <w:p w14:paraId="35AE7F80" w14:textId="77777777" w:rsidR="005B15CC" w:rsidRPr="00020876" w:rsidRDefault="005B15CC" w:rsidP="00020876">
      <w:pPr>
        <w:pStyle w:val="ListParagraph"/>
        <w:spacing w:after="0" w:line="290" w:lineRule="atLeast"/>
        <w:rPr>
          <w:rFonts w:ascii="Arial" w:hAnsi="Arial" w:cs="Arial"/>
          <w:sz w:val="20"/>
          <w:szCs w:val="20"/>
        </w:rPr>
      </w:pPr>
    </w:p>
    <w:p w14:paraId="025E2D97" w14:textId="77777777" w:rsidR="005B15CC" w:rsidRPr="00020876" w:rsidRDefault="005B15CC" w:rsidP="00020876">
      <w:pPr>
        <w:pStyle w:val="ListParagraph"/>
        <w:numPr>
          <w:ilvl w:val="0"/>
          <w:numId w:val="1"/>
        </w:numPr>
        <w:spacing w:after="0" w:line="290" w:lineRule="atLeast"/>
        <w:rPr>
          <w:rFonts w:ascii="Arial" w:hAnsi="Arial" w:cs="Arial"/>
          <w:sz w:val="20"/>
          <w:szCs w:val="20"/>
        </w:rPr>
      </w:pPr>
      <w:r w:rsidRPr="00020876">
        <w:rPr>
          <w:rFonts w:ascii="Arial" w:hAnsi="Arial" w:cs="Arial"/>
          <w:sz w:val="20"/>
          <w:szCs w:val="20"/>
        </w:rPr>
        <w:t>hav</w:t>
      </w:r>
      <w:r w:rsidR="00F562E2" w:rsidRPr="00020876">
        <w:rPr>
          <w:rFonts w:ascii="Arial" w:hAnsi="Arial" w:cs="Arial"/>
          <w:sz w:val="20"/>
          <w:szCs w:val="20"/>
        </w:rPr>
        <w:t>ing</w:t>
      </w:r>
      <w:r w:rsidRPr="00020876">
        <w:rPr>
          <w:rFonts w:ascii="Arial" w:hAnsi="Arial" w:cs="Arial"/>
          <w:sz w:val="20"/>
          <w:szCs w:val="20"/>
        </w:rPr>
        <w:t xml:space="preserve"> insufficient funds available;</w:t>
      </w:r>
      <w:r w:rsidR="00A26CF8" w:rsidRPr="00020876">
        <w:rPr>
          <w:rStyle w:val="FootnoteReference"/>
          <w:rFonts w:ascii="Arial" w:hAnsi="Arial" w:cs="Arial"/>
          <w:sz w:val="20"/>
          <w:szCs w:val="20"/>
        </w:rPr>
        <w:footnoteReference w:id="9"/>
      </w:r>
    </w:p>
    <w:p w14:paraId="7207B665" w14:textId="77777777" w:rsidR="005B15CC" w:rsidRPr="00020876" w:rsidRDefault="005B15CC" w:rsidP="00020876">
      <w:pPr>
        <w:pStyle w:val="ListParagraph"/>
        <w:numPr>
          <w:ilvl w:val="0"/>
          <w:numId w:val="1"/>
        </w:numPr>
        <w:spacing w:after="0" w:line="290" w:lineRule="atLeast"/>
        <w:rPr>
          <w:rFonts w:ascii="Arial" w:hAnsi="Arial" w:cs="Arial"/>
          <w:sz w:val="20"/>
          <w:szCs w:val="20"/>
        </w:rPr>
      </w:pPr>
      <w:r w:rsidRPr="00020876">
        <w:rPr>
          <w:rFonts w:ascii="Arial" w:hAnsi="Arial" w:cs="Arial"/>
          <w:sz w:val="20"/>
          <w:szCs w:val="20"/>
        </w:rPr>
        <w:t>hav</w:t>
      </w:r>
      <w:r w:rsidR="00F562E2" w:rsidRPr="00020876">
        <w:rPr>
          <w:rFonts w:ascii="Arial" w:hAnsi="Arial" w:cs="Arial"/>
          <w:sz w:val="20"/>
          <w:szCs w:val="20"/>
        </w:rPr>
        <w:t>ing</w:t>
      </w:r>
      <w:r w:rsidRPr="00020876">
        <w:rPr>
          <w:rFonts w:ascii="Arial" w:hAnsi="Arial" w:cs="Arial"/>
          <w:sz w:val="20"/>
          <w:szCs w:val="20"/>
        </w:rPr>
        <w:t xml:space="preserve"> more attractive options for use of available funds</w:t>
      </w:r>
      <w:r w:rsidR="00F562E2" w:rsidRPr="00020876">
        <w:rPr>
          <w:rFonts w:ascii="Arial" w:hAnsi="Arial" w:cs="Arial"/>
          <w:sz w:val="20"/>
          <w:szCs w:val="20"/>
        </w:rPr>
        <w:t xml:space="preserve"> (particularly where the return is regulated under a competition regime)</w:t>
      </w:r>
      <w:r w:rsidRPr="00020876">
        <w:rPr>
          <w:rFonts w:ascii="Arial" w:hAnsi="Arial" w:cs="Arial"/>
          <w:sz w:val="20"/>
          <w:szCs w:val="20"/>
        </w:rPr>
        <w:t>; or</w:t>
      </w:r>
    </w:p>
    <w:p w14:paraId="2CED37E8" w14:textId="77777777" w:rsidR="005B15CC" w:rsidRPr="00020876" w:rsidRDefault="005B15CC" w:rsidP="00020876">
      <w:pPr>
        <w:pStyle w:val="ListParagraph"/>
        <w:numPr>
          <w:ilvl w:val="0"/>
          <w:numId w:val="1"/>
        </w:numPr>
        <w:spacing w:after="0" w:line="290" w:lineRule="atLeast"/>
        <w:rPr>
          <w:rFonts w:ascii="Arial" w:hAnsi="Arial" w:cs="Arial"/>
          <w:sz w:val="20"/>
          <w:szCs w:val="20"/>
        </w:rPr>
      </w:pPr>
      <w:proofErr w:type="gramStart"/>
      <w:r w:rsidRPr="00020876">
        <w:rPr>
          <w:rFonts w:ascii="Arial" w:hAnsi="Arial" w:cs="Arial"/>
          <w:sz w:val="20"/>
          <w:szCs w:val="20"/>
        </w:rPr>
        <w:t>not</w:t>
      </w:r>
      <w:proofErr w:type="gramEnd"/>
      <w:r w:rsidRPr="00020876">
        <w:rPr>
          <w:rFonts w:ascii="Arial" w:hAnsi="Arial" w:cs="Arial"/>
          <w:sz w:val="20"/>
          <w:szCs w:val="20"/>
        </w:rPr>
        <w:t xml:space="preserve"> find</w:t>
      </w:r>
      <w:r w:rsidR="00F562E2" w:rsidRPr="00020876">
        <w:rPr>
          <w:rFonts w:ascii="Arial" w:hAnsi="Arial" w:cs="Arial"/>
          <w:sz w:val="20"/>
          <w:szCs w:val="20"/>
        </w:rPr>
        <w:t>ing</w:t>
      </w:r>
      <w:r w:rsidRPr="00020876">
        <w:rPr>
          <w:rFonts w:ascii="Arial" w:hAnsi="Arial" w:cs="Arial"/>
          <w:sz w:val="20"/>
          <w:szCs w:val="20"/>
        </w:rPr>
        <w:t xml:space="preserve"> the business case for investment attractive</w:t>
      </w:r>
      <w:r w:rsidR="00F562E2" w:rsidRPr="00020876">
        <w:rPr>
          <w:rFonts w:ascii="Arial" w:hAnsi="Arial" w:cs="Arial"/>
          <w:sz w:val="20"/>
          <w:szCs w:val="20"/>
        </w:rPr>
        <w:t xml:space="preserve"> (particularly where the return is regulated under a competition regime).</w:t>
      </w:r>
    </w:p>
    <w:p w14:paraId="23868963" w14:textId="77777777" w:rsidR="00AB4A9B" w:rsidRDefault="00AB4A9B" w:rsidP="00020876">
      <w:pPr>
        <w:spacing w:after="0" w:line="290" w:lineRule="atLeast"/>
        <w:rPr>
          <w:rFonts w:ascii="Arial" w:hAnsi="Arial" w:cs="Arial"/>
          <w:sz w:val="20"/>
          <w:szCs w:val="20"/>
        </w:rPr>
      </w:pPr>
    </w:p>
    <w:p w14:paraId="7B516717" w14:textId="77777777" w:rsidR="00836DBA" w:rsidRPr="00020876" w:rsidRDefault="00F562E2" w:rsidP="00020876">
      <w:pPr>
        <w:spacing w:after="0" w:line="290" w:lineRule="atLeast"/>
        <w:rPr>
          <w:rFonts w:ascii="Arial" w:hAnsi="Arial" w:cs="Arial"/>
          <w:sz w:val="20"/>
          <w:szCs w:val="20"/>
        </w:rPr>
      </w:pPr>
      <w:r w:rsidRPr="00020876">
        <w:rPr>
          <w:rFonts w:ascii="Arial" w:hAnsi="Arial" w:cs="Arial"/>
          <w:sz w:val="20"/>
          <w:szCs w:val="20"/>
        </w:rPr>
        <w:t xml:space="preserve">Accordingly, it is necessary to have an effective mechanism for enabling third parties to fund an </w:t>
      </w:r>
      <w:r w:rsidR="008574B3">
        <w:rPr>
          <w:rFonts w:ascii="Arial" w:hAnsi="Arial" w:cs="Arial"/>
          <w:sz w:val="20"/>
          <w:szCs w:val="20"/>
        </w:rPr>
        <w:t>E</w:t>
      </w:r>
      <w:r w:rsidRPr="00020876">
        <w:rPr>
          <w:rFonts w:ascii="Arial" w:hAnsi="Arial" w:cs="Arial"/>
          <w:sz w:val="20"/>
          <w:szCs w:val="20"/>
        </w:rPr>
        <w:t>xpansion to Major Lineal Assets to facilitate economic growth</w:t>
      </w:r>
      <w:r w:rsidR="008574B3">
        <w:rPr>
          <w:rFonts w:ascii="Arial" w:hAnsi="Arial" w:cs="Arial"/>
          <w:sz w:val="20"/>
          <w:szCs w:val="20"/>
        </w:rPr>
        <w:t xml:space="preserve"> in circumstances where an Owner/Operator does not fund</w:t>
      </w:r>
      <w:r w:rsidRPr="00020876">
        <w:rPr>
          <w:rFonts w:ascii="Arial" w:hAnsi="Arial" w:cs="Arial"/>
          <w:sz w:val="20"/>
          <w:szCs w:val="20"/>
        </w:rPr>
        <w:t>.</w:t>
      </w:r>
      <w:r w:rsidR="00CC4B05">
        <w:rPr>
          <w:rStyle w:val="FootnoteReference"/>
          <w:rFonts w:ascii="Arial" w:hAnsi="Arial" w:cs="Arial"/>
          <w:sz w:val="20"/>
          <w:szCs w:val="20"/>
        </w:rPr>
        <w:footnoteReference w:id="10"/>
      </w:r>
      <w:r w:rsidR="00A26CF8" w:rsidRPr="00020876">
        <w:rPr>
          <w:rFonts w:ascii="Arial" w:hAnsi="Arial" w:cs="Arial"/>
          <w:sz w:val="20"/>
          <w:szCs w:val="20"/>
        </w:rPr>
        <w:t xml:space="preserve">  </w:t>
      </w:r>
    </w:p>
    <w:p w14:paraId="7CECCC2C" w14:textId="77777777" w:rsidR="00836DBA" w:rsidRPr="00020876" w:rsidRDefault="00836DBA" w:rsidP="00020876">
      <w:pPr>
        <w:spacing w:after="0" w:line="290" w:lineRule="atLeast"/>
        <w:rPr>
          <w:rFonts w:ascii="Arial" w:hAnsi="Arial" w:cs="Arial"/>
          <w:sz w:val="20"/>
          <w:szCs w:val="20"/>
        </w:rPr>
      </w:pPr>
    </w:p>
    <w:p w14:paraId="2361A6B4" w14:textId="77777777" w:rsidR="00F562E2" w:rsidRPr="00020876" w:rsidRDefault="008574B3" w:rsidP="00020876">
      <w:pPr>
        <w:spacing w:after="0" w:line="290" w:lineRule="atLeast"/>
        <w:rPr>
          <w:rFonts w:ascii="Arial" w:hAnsi="Arial" w:cs="Arial"/>
          <w:sz w:val="20"/>
          <w:szCs w:val="20"/>
        </w:rPr>
      </w:pPr>
      <w:r>
        <w:rPr>
          <w:rFonts w:ascii="Arial" w:hAnsi="Arial" w:cs="Arial"/>
          <w:sz w:val="20"/>
          <w:szCs w:val="20"/>
        </w:rPr>
        <w:t xml:space="preserve">This Third Party Funding must be competitively neutral to Owner/Operator funding in order to ensure Owner/Operators are not advantaged compared to third parties </w:t>
      </w:r>
      <w:r w:rsidR="00483F53">
        <w:rPr>
          <w:rFonts w:ascii="Arial" w:hAnsi="Arial" w:cs="Arial"/>
          <w:sz w:val="20"/>
          <w:szCs w:val="20"/>
        </w:rPr>
        <w:t>looking to fund Expansions</w:t>
      </w:r>
      <w:r w:rsidR="005225C8" w:rsidRPr="005225C8">
        <w:rPr>
          <w:rFonts w:ascii="Arial" w:hAnsi="Arial" w:cs="Arial"/>
          <w:sz w:val="20"/>
          <w:szCs w:val="20"/>
        </w:rPr>
        <w:t xml:space="preserve"> </w:t>
      </w:r>
      <w:r w:rsidR="005225C8">
        <w:rPr>
          <w:rFonts w:ascii="Arial" w:hAnsi="Arial" w:cs="Arial"/>
          <w:sz w:val="20"/>
          <w:szCs w:val="20"/>
        </w:rPr>
        <w:t>or that the transaction costs do not provide material disincentives for the investment</w:t>
      </w:r>
      <w:r w:rsidR="00483F53">
        <w:rPr>
          <w:rFonts w:ascii="Arial" w:hAnsi="Arial" w:cs="Arial"/>
          <w:sz w:val="20"/>
          <w:szCs w:val="20"/>
        </w:rPr>
        <w:t>.</w:t>
      </w:r>
    </w:p>
    <w:p w14:paraId="7444FE76" w14:textId="77777777" w:rsidR="00836DBA" w:rsidRPr="00020876" w:rsidRDefault="00836DBA" w:rsidP="00020876">
      <w:pPr>
        <w:spacing w:after="0" w:line="290" w:lineRule="atLeast"/>
        <w:rPr>
          <w:rFonts w:ascii="Arial" w:hAnsi="Arial" w:cs="Arial"/>
          <w:sz w:val="20"/>
          <w:szCs w:val="20"/>
        </w:rPr>
      </w:pPr>
    </w:p>
    <w:p w14:paraId="15E2E21E" w14:textId="77777777" w:rsidR="00FA41C1" w:rsidRPr="00020876" w:rsidRDefault="00FA41C1" w:rsidP="00020876">
      <w:pPr>
        <w:spacing w:after="0" w:line="290" w:lineRule="atLeast"/>
        <w:rPr>
          <w:rFonts w:ascii="Arial" w:hAnsi="Arial" w:cs="Arial"/>
          <w:sz w:val="20"/>
          <w:szCs w:val="20"/>
        </w:rPr>
      </w:pPr>
      <w:r w:rsidRPr="00020876">
        <w:rPr>
          <w:rFonts w:ascii="Arial" w:hAnsi="Arial" w:cs="Arial"/>
          <w:sz w:val="20"/>
          <w:szCs w:val="20"/>
        </w:rPr>
        <w:t xml:space="preserve">Third Party Funding under the current tax regime often does not result in Tax Neutrality (a component of the wider competitive neutrality) for the Owner/Operator or the Third Party Funder – </w:t>
      </w:r>
      <w:r w:rsidR="00CC4B05">
        <w:rPr>
          <w:rFonts w:ascii="Arial" w:hAnsi="Arial" w:cs="Arial"/>
          <w:sz w:val="20"/>
          <w:szCs w:val="20"/>
        </w:rPr>
        <w:t>that is,</w:t>
      </w:r>
      <w:r w:rsidRPr="00020876">
        <w:rPr>
          <w:rFonts w:ascii="Arial" w:hAnsi="Arial" w:cs="Arial"/>
          <w:sz w:val="20"/>
          <w:szCs w:val="20"/>
        </w:rPr>
        <w:t xml:space="preserve"> the </w:t>
      </w:r>
      <w:r w:rsidR="004C1EAF" w:rsidRPr="00020876">
        <w:rPr>
          <w:rFonts w:ascii="Arial" w:hAnsi="Arial" w:cs="Arial"/>
          <w:sz w:val="20"/>
          <w:szCs w:val="20"/>
        </w:rPr>
        <w:t>O</w:t>
      </w:r>
      <w:r w:rsidRPr="00020876">
        <w:rPr>
          <w:rFonts w:ascii="Arial" w:hAnsi="Arial" w:cs="Arial"/>
          <w:sz w:val="20"/>
          <w:szCs w:val="20"/>
        </w:rPr>
        <w:t>wner/</w:t>
      </w:r>
      <w:r w:rsidR="004C1EAF" w:rsidRPr="00020876">
        <w:rPr>
          <w:rFonts w:ascii="Arial" w:hAnsi="Arial" w:cs="Arial"/>
          <w:sz w:val="20"/>
          <w:szCs w:val="20"/>
        </w:rPr>
        <w:t>O</w:t>
      </w:r>
      <w:r w:rsidRPr="00020876">
        <w:rPr>
          <w:rFonts w:ascii="Arial" w:hAnsi="Arial" w:cs="Arial"/>
          <w:sz w:val="20"/>
          <w:szCs w:val="20"/>
        </w:rPr>
        <w:t>perator’s tax profile is affected by the capital contribution and the Third Party Funder is not placed economically in the same net position as the Owner/Operator when they fund.</w:t>
      </w:r>
      <w:r w:rsidR="00836DBA" w:rsidRPr="00020876">
        <w:rPr>
          <w:rFonts w:ascii="Arial" w:hAnsi="Arial" w:cs="Arial"/>
          <w:sz w:val="20"/>
          <w:szCs w:val="20"/>
        </w:rPr>
        <w:t xml:space="preserve">  Overall, this </w:t>
      </w:r>
      <w:r w:rsidRPr="00020876">
        <w:rPr>
          <w:rFonts w:ascii="Arial" w:hAnsi="Arial" w:cs="Arial"/>
          <w:sz w:val="20"/>
          <w:szCs w:val="20"/>
        </w:rPr>
        <w:t xml:space="preserve">results in a net higher transaction cost </w:t>
      </w:r>
      <w:r w:rsidR="00836DBA" w:rsidRPr="00020876">
        <w:rPr>
          <w:rFonts w:ascii="Arial" w:hAnsi="Arial" w:cs="Arial"/>
          <w:sz w:val="20"/>
          <w:szCs w:val="20"/>
        </w:rPr>
        <w:t xml:space="preserve">for Third Party Funding compared to </w:t>
      </w:r>
      <w:r w:rsidRPr="00020876">
        <w:rPr>
          <w:rFonts w:ascii="Arial" w:hAnsi="Arial" w:cs="Arial"/>
          <w:sz w:val="20"/>
          <w:szCs w:val="20"/>
        </w:rPr>
        <w:t>whe</w:t>
      </w:r>
      <w:r w:rsidR="00836DBA" w:rsidRPr="00020876">
        <w:rPr>
          <w:rFonts w:ascii="Arial" w:hAnsi="Arial" w:cs="Arial"/>
          <w:sz w:val="20"/>
          <w:szCs w:val="20"/>
        </w:rPr>
        <w:t>re</w:t>
      </w:r>
      <w:r w:rsidRPr="00020876">
        <w:rPr>
          <w:rFonts w:ascii="Arial" w:hAnsi="Arial" w:cs="Arial"/>
          <w:sz w:val="20"/>
          <w:szCs w:val="20"/>
        </w:rPr>
        <w:t xml:space="preserve"> the Owner/Operator funds.</w:t>
      </w:r>
      <w:r w:rsidR="00483F53">
        <w:rPr>
          <w:rFonts w:ascii="Arial" w:hAnsi="Arial" w:cs="Arial"/>
          <w:sz w:val="20"/>
          <w:szCs w:val="20"/>
        </w:rPr>
        <w:t xml:space="preserve">  That is, as the cost of the transaction is higher the Third Party Funder is competitively disadvantaged compared to the Owner/Operator.</w:t>
      </w:r>
    </w:p>
    <w:p w14:paraId="3C0945EE" w14:textId="77777777" w:rsidR="00FA41C1" w:rsidRPr="00020876" w:rsidRDefault="00FA41C1" w:rsidP="00020876">
      <w:pPr>
        <w:spacing w:after="0" w:line="290" w:lineRule="atLeast"/>
        <w:rPr>
          <w:rFonts w:ascii="Arial" w:hAnsi="Arial" w:cs="Arial"/>
          <w:sz w:val="20"/>
          <w:szCs w:val="20"/>
        </w:rPr>
      </w:pPr>
    </w:p>
    <w:p w14:paraId="4ACC9BAB" w14:textId="77777777" w:rsidR="007F0C5B" w:rsidRPr="00020876" w:rsidRDefault="007F0C5B" w:rsidP="00020876">
      <w:pPr>
        <w:spacing w:after="0" w:line="290" w:lineRule="atLeast"/>
        <w:rPr>
          <w:rFonts w:ascii="Arial" w:hAnsi="Arial" w:cs="Arial"/>
          <w:sz w:val="20"/>
          <w:szCs w:val="20"/>
        </w:rPr>
      </w:pPr>
      <w:r w:rsidRPr="00020876">
        <w:rPr>
          <w:rFonts w:ascii="Arial" w:hAnsi="Arial" w:cs="Arial"/>
          <w:sz w:val="20"/>
          <w:szCs w:val="20"/>
        </w:rPr>
        <w:t xml:space="preserve">There is an opportunity to provide for equitable, fair treatment of Third Party Funding.  This submission is </w:t>
      </w:r>
      <w:r w:rsidR="00CC4B05">
        <w:rPr>
          <w:rFonts w:ascii="Arial" w:hAnsi="Arial" w:cs="Arial"/>
          <w:sz w:val="20"/>
          <w:szCs w:val="20"/>
        </w:rPr>
        <w:t>encouraging</w:t>
      </w:r>
      <w:r w:rsidR="00CC4B05" w:rsidRPr="00020876">
        <w:rPr>
          <w:rFonts w:ascii="Arial" w:hAnsi="Arial" w:cs="Arial"/>
          <w:sz w:val="20"/>
          <w:szCs w:val="20"/>
        </w:rPr>
        <w:t xml:space="preserve"> </w:t>
      </w:r>
      <w:r w:rsidRPr="00020876">
        <w:rPr>
          <w:rFonts w:ascii="Arial" w:hAnsi="Arial" w:cs="Arial"/>
          <w:sz w:val="20"/>
          <w:szCs w:val="20"/>
        </w:rPr>
        <w:t xml:space="preserve">a </w:t>
      </w:r>
      <w:r w:rsidR="00836DBA" w:rsidRPr="00020876">
        <w:rPr>
          <w:rFonts w:ascii="Arial" w:hAnsi="Arial" w:cs="Arial"/>
          <w:sz w:val="20"/>
          <w:szCs w:val="20"/>
        </w:rPr>
        <w:t>change in tax law to enable Third Party Funding to be undertaken in a t</w:t>
      </w:r>
      <w:r w:rsidRPr="00020876">
        <w:rPr>
          <w:rFonts w:ascii="Arial" w:hAnsi="Arial" w:cs="Arial"/>
          <w:sz w:val="20"/>
          <w:szCs w:val="20"/>
        </w:rPr>
        <w:t xml:space="preserve">ax </w:t>
      </w:r>
      <w:r w:rsidR="00836DBA" w:rsidRPr="00020876">
        <w:rPr>
          <w:rFonts w:ascii="Arial" w:hAnsi="Arial" w:cs="Arial"/>
          <w:sz w:val="20"/>
          <w:szCs w:val="20"/>
        </w:rPr>
        <w:t>n</w:t>
      </w:r>
      <w:r w:rsidRPr="00020876">
        <w:rPr>
          <w:rFonts w:ascii="Arial" w:hAnsi="Arial" w:cs="Arial"/>
          <w:sz w:val="20"/>
          <w:szCs w:val="20"/>
        </w:rPr>
        <w:t>eutral</w:t>
      </w:r>
      <w:r w:rsidR="00836DBA" w:rsidRPr="00020876">
        <w:rPr>
          <w:rFonts w:ascii="Arial" w:hAnsi="Arial" w:cs="Arial"/>
          <w:sz w:val="20"/>
          <w:szCs w:val="20"/>
        </w:rPr>
        <w:t xml:space="preserve"> manner</w:t>
      </w:r>
      <w:r w:rsidRPr="00020876">
        <w:rPr>
          <w:rFonts w:ascii="Arial" w:hAnsi="Arial" w:cs="Arial"/>
          <w:sz w:val="20"/>
          <w:szCs w:val="20"/>
        </w:rPr>
        <w:t xml:space="preserve">.  </w:t>
      </w:r>
      <w:r w:rsidR="00836DBA" w:rsidRPr="00020876">
        <w:rPr>
          <w:rFonts w:ascii="Arial" w:hAnsi="Arial" w:cs="Arial"/>
          <w:sz w:val="20"/>
          <w:szCs w:val="20"/>
        </w:rPr>
        <w:t xml:space="preserve">This change in law </w:t>
      </w:r>
      <w:r w:rsidRPr="00020876">
        <w:rPr>
          <w:rFonts w:ascii="Arial" w:hAnsi="Arial" w:cs="Arial"/>
          <w:sz w:val="20"/>
          <w:szCs w:val="20"/>
        </w:rPr>
        <w:t xml:space="preserve">would not be expected to have a </w:t>
      </w:r>
      <w:r w:rsidRPr="00020876">
        <w:rPr>
          <w:rFonts w:ascii="Arial" w:hAnsi="Arial" w:cs="Arial"/>
          <w:sz w:val="20"/>
          <w:szCs w:val="20"/>
        </w:rPr>
        <w:lastRenderedPageBreak/>
        <w:t xml:space="preserve">negative effect on tax revenues.  </w:t>
      </w:r>
      <w:r w:rsidR="00836DBA" w:rsidRPr="00020876">
        <w:rPr>
          <w:rFonts w:ascii="Arial" w:hAnsi="Arial" w:cs="Arial"/>
          <w:sz w:val="20"/>
          <w:szCs w:val="20"/>
        </w:rPr>
        <w:t>This is because, t</w:t>
      </w:r>
      <w:r w:rsidRPr="00020876">
        <w:rPr>
          <w:rFonts w:ascii="Arial" w:hAnsi="Arial" w:cs="Arial"/>
          <w:sz w:val="20"/>
          <w:szCs w:val="20"/>
        </w:rPr>
        <w:t xml:space="preserve">o the extent tax neutrality is not </w:t>
      </w:r>
      <w:r w:rsidR="00836DBA" w:rsidRPr="00020876">
        <w:rPr>
          <w:rFonts w:ascii="Arial" w:hAnsi="Arial" w:cs="Arial"/>
          <w:sz w:val="20"/>
          <w:szCs w:val="20"/>
        </w:rPr>
        <w:t xml:space="preserve">able to be achieved </w:t>
      </w:r>
      <w:r w:rsidRPr="00020876">
        <w:rPr>
          <w:rFonts w:ascii="Arial" w:hAnsi="Arial" w:cs="Arial"/>
          <w:sz w:val="20"/>
          <w:szCs w:val="20"/>
        </w:rPr>
        <w:t xml:space="preserve">under </w:t>
      </w:r>
      <w:r w:rsidR="00836DBA" w:rsidRPr="00020876">
        <w:rPr>
          <w:rFonts w:ascii="Arial" w:hAnsi="Arial" w:cs="Arial"/>
          <w:sz w:val="20"/>
          <w:szCs w:val="20"/>
        </w:rPr>
        <w:t xml:space="preserve">the existing tax </w:t>
      </w:r>
      <w:r w:rsidRPr="00020876">
        <w:rPr>
          <w:rFonts w:ascii="Arial" w:hAnsi="Arial" w:cs="Arial"/>
          <w:sz w:val="20"/>
          <w:szCs w:val="20"/>
        </w:rPr>
        <w:t>rules</w:t>
      </w:r>
      <w:r w:rsidR="00836DBA" w:rsidRPr="00020876">
        <w:rPr>
          <w:rFonts w:ascii="Arial" w:hAnsi="Arial" w:cs="Arial"/>
          <w:sz w:val="20"/>
          <w:szCs w:val="20"/>
        </w:rPr>
        <w:t>,</w:t>
      </w:r>
      <w:r w:rsidRPr="00020876">
        <w:rPr>
          <w:rFonts w:ascii="Arial" w:hAnsi="Arial" w:cs="Arial"/>
          <w:sz w:val="20"/>
          <w:szCs w:val="20"/>
        </w:rPr>
        <w:t xml:space="preserve"> either the Owner/Operator is funding </w:t>
      </w:r>
      <w:r w:rsidR="00B0142E" w:rsidRPr="00020876">
        <w:rPr>
          <w:rFonts w:ascii="Arial" w:hAnsi="Arial" w:cs="Arial"/>
          <w:sz w:val="20"/>
          <w:szCs w:val="20"/>
        </w:rPr>
        <w:t xml:space="preserve">(i.e. Third Party Funding is not occurring) </w:t>
      </w:r>
      <w:r w:rsidRPr="00020876">
        <w:rPr>
          <w:rFonts w:ascii="Arial" w:hAnsi="Arial" w:cs="Arial"/>
          <w:sz w:val="20"/>
          <w:szCs w:val="20"/>
        </w:rPr>
        <w:t xml:space="preserve">or </w:t>
      </w:r>
      <w:r w:rsidR="00B0142E" w:rsidRPr="00020876">
        <w:rPr>
          <w:rFonts w:ascii="Arial" w:hAnsi="Arial" w:cs="Arial"/>
          <w:sz w:val="20"/>
          <w:szCs w:val="20"/>
        </w:rPr>
        <w:t xml:space="preserve">the expansion </w:t>
      </w:r>
      <w:r w:rsidRPr="00020876">
        <w:rPr>
          <w:rFonts w:ascii="Arial" w:hAnsi="Arial" w:cs="Arial"/>
          <w:sz w:val="20"/>
          <w:szCs w:val="20"/>
        </w:rPr>
        <w:t xml:space="preserve">projects </w:t>
      </w:r>
      <w:r w:rsidR="00B0142E" w:rsidRPr="00020876">
        <w:rPr>
          <w:rFonts w:ascii="Arial" w:hAnsi="Arial" w:cs="Arial"/>
          <w:sz w:val="20"/>
          <w:szCs w:val="20"/>
        </w:rPr>
        <w:t xml:space="preserve">themselves </w:t>
      </w:r>
      <w:r w:rsidR="004C1EAF" w:rsidRPr="00020876">
        <w:rPr>
          <w:rFonts w:ascii="Arial" w:hAnsi="Arial" w:cs="Arial"/>
          <w:sz w:val="20"/>
          <w:szCs w:val="20"/>
        </w:rPr>
        <w:t>(</w:t>
      </w:r>
      <w:r w:rsidRPr="00020876">
        <w:rPr>
          <w:rFonts w:ascii="Arial" w:hAnsi="Arial" w:cs="Arial"/>
          <w:sz w:val="20"/>
          <w:szCs w:val="20"/>
        </w:rPr>
        <w:t>and expansion of the Australian economy</w:t>
      </w:r>
      <w:r w:rsidR="004C1EAF" w:rsidRPr="00020876">
        <w:rPr>
          <w:rFonts w:ascii="Arial" w:hAnsi="Arial" w:cs="Arial"/>
          <w:sz w:val="20"/>
          <w:szCs w:val="20"/>
        </w:rPr>
        <w:t>)</w:t>
      </w:r>
      <w:r w:rsidRPr="00020876">
        <w:rPr>
          <w:rFonts w:ascii="Arial" w:hAnsi="Arial" w:cs="Arial"/>
          <w:sz w:val="20"/>
          <w:szCs w:val="20"/>
        </w:rPr>
        <w:t xml:space="preserve"> </w:t>
      </w:r>
      <w:r w:rsidR="00B0142E" w:rsidRPr="00020876">
        <w:rPr>
          <w:rFonts w:ascii="Arial" w:hAnsi="Arial" w:cs="Arial"/>
          <w:sz w:val="20"/>
          <w:szCs w:val="20"/>
        </w:rPr>
        <w:t xml:space="preserve">are </w:t>
      </w:r>
      <w:r w:rsidRPr="00020876">
        <w:rPr>
          <w:rFonts w:ascii="Arial" w:hAnsi="Arial" w:cs="Arial"/>
          <w:sz w:val="20"/>
          <w:szCs w:val="20"/>
        </w:rPr>
        <w:t>not occur</w:t>
      </w:r>
      <w:r w:rsidR="00B0142E" w:rsidRPr="00020876">
        <w:rPr>
          <w:rFonts w:ascii="Arial" w:hAnsi="Arial" w:cs="Arial"/>
          <w:sz w:val="20"/>
          <w:szCs w:val="20"/>
        </w:rPr>
        <w:t>r</w:t>
      </w:r>
      <w:r w:rsidRPr="00020876">
        <w:rPr>
          <w:rFonts w:ascii="Arial" w:hAnsi="Arial" w:cs="Arial"/>
          <w:sz w:val="20"/>
          <w:szCs w:val="20"/>
        </w:rPr>
        <w:t xml:space="preserve">ing. </w:t>
      </w:r>
      <w:r w:rsidR="008E095C" w:rsidRPr="00020876">
        <w:rPr>
          <w:rFonts w:ascii="Arial" w:hAnsi="Arial" w:cs="Arial"/>
          <w:sz w:val="20"/>
          <w:szCs w:val="20"/>
        </w:rPr>
        <w:t xml:space="preserve"> </w:t>
      </w:r>
      <w:r w:rsidR="00B0142E" w:rsidRPr="00020876">
        <w:rPr>
          <w:rFonts w:ascii="Arial" w:hAnsi="Arial" w:cs="Arial"/>
          <w:sz w:val="20"/>
          <w:szCs w:val="20"/>
        </w:rPr>
        <w:t xml:space="preserve">Accordingly, </w:t>
      </w:r>
      <w:r w:rsidR="008E095C" w:rsidRPr="00020876">
        <w:rPr>
          <w:rFonts w:ascii="Arial" w:hAnsi="Arial" w:cs="Arial"/>
          <w:sz w:val="20"/>
          <w:szCs w:val="20"/>
        </w:rPr>
        <w:t xml:space="preserve">the </w:t>
      </w:r>
      <w:r w:rsidR="00B0142E" w:rsidRPr="00020876">
        <w:rPr>
          <w:rFonts w:ascii="Arial" w:hAnsi="Arial" w:cs="Arial"/>
          <w:sz w:val="20"/>
          <w:szCs w:val="20"/>
        </w:rPr>
        <w:t xml:space="preserve">change in the law to enable </w:t>
      </w:r>
      <w:r w:rsidR="008E095C" w:rsidRPr="00020876">
        <w:rPr>
          <w:rFonts w:ascii="Arial" w:hAnsi="Arial" w:cs="Arial"/>
          <w:sz w:val="20"/>
          <w:szCs w:val="20"/>
        </w:rPr>
        <w:t xml:space="preserve">tax neutral </w:t>
      </w:r>
      <w:r w:rsidR="00B0142E" w:rsidRPr="00020876">
        <w:rPr>
          <w:rFonts w:ascii="Arial" w:hAnsi="Arial" w:cs="Arial"/>
          <w:sz w:val="20"/>
          <w:szCs w:val="20"/>
        </w:rPr>
        <w:t xml:space="preserve">Third Party Funding </w:t>
      </w:r>
      <w:r w:rsidR="008E095C" w:rsidRPr="00020876">
        <w:rPr>
          <w:rFonts w:ascii="Arial" w:hAnsi="Arial" w:cs="Arial"/>
          <w:sz w:val="20"/>
          <w:szCs w:val="20"/>
        </w:rPr>
        <w:t xml:space="preserve">should </w:t>
      </w:r>
      <w:r w:rsidR="00CC4B05">
        <w:rPr>
          <w:rFonts w:ascii="Arial" w:hAnsi="Arial" w:cs="Arial"/>
          <w:sz w:val="20"/>
          <w:szCs w:val="20"/>
        </w:rPr>
        <w:t xml:space="preserve">more readily </w:t>
      </w:r>
      <w:r w:rsidR="00483F53">
        <w:rPr>
          <w:rFonts w:ascii="Arial" w:hAnsi="Arial" w:cs="Arial"/>
          <w:sz w:val="20"/>
          <w:szCs w:val="20"/>
        </w:rPr>
        <w:t>enable an E</w:t>
      </w:r>
      <w:r w:rsidR="00B0142E" w:rsidRPr="00020876">
        <w:rPr>
          <w:rFonts w:ascii="Arial" w:hAnsi="Arial" w:cs="Arial"/>
          <w:sz w:val="20"/>
          <w:szCs w:val="20"/>
        </w:rPr>
        <w:t xml:space="preserve">xpansion of </w:t>
      </w:r>
      <w:r w:rsidR="004836B5">
        <w:rPr>
          <w:rFonts w:ascii="Arial" w:hAnsi="Arial" w:cs="Arial"/>
          <w:sz w:val="20"/>
          <w:szCs w:val="20"/>
        </w:rPr>
        <w:t>M</w:t>
      </w:r>
      <w:r w:rsidR="00B0142E" w:rsidRPr="00020876">
        <w:rPr>
          <w:rFonts w:ascii="Arial" w:hAnsi="Arial" w:cs="Arial"/>
          <w:sz w:val="20"/>
          <w:szCs w:val="20"/>
        </w:rPr>
        <w:t>ajor Lineal Assets in conjunction with the expansion of other economic activity</w:t>
      </w:r>
      <w:r w:rsidR="00F24E6E">
        <w:rPr>
          <w:rFonts w:ascii="Arial" w:hAnsi="Arial" w:cs="Arial"/>
          <w:sz w:val="20"/>
          <w:szCs w:val="20"/>
        </w:rPr>
        <w:t>,</w:t>
      </w:r>
      <w:r w:rsidR="00B0142E" w:rsidRPr="00020876">
        <w:rPr>
          <w:rFonts w:ascii="Arial" w:hAnsi="Arial" w:cs="Arial"/>
          <w:sz w:val="20"/>
          <w:szCs w:val="20"/>
        </w:rPr>
        <w:t xml:space="preserve"> </w:t>
      </w:r>
      <w:r w:rsidR="008E095C" w:rsidRPr="00020876">
        <w:rPr>
          <w:rFonts w:ascii="Arial" w:hAnsi="Arial" w:cs="Arial"/>
          <w:sz w:val="20"/>
          <w:szCs w:val="20"/>
        </w:rPr>
        <w:t>thereby increasing taxable revenues</w:t>
      </w:r>
      <w:r w:rsidR="00B0142E" w:rsidRPr="00020876">
        <w:rPr>
          <w:rFonts w:ascii="Arial" w:hAnsi="Arial" w:cs="Arial"/>
          <w:sz w:val="20"/>
          <w:szCs w:val="20"/>
        </w:rPr>
        <w:t xml:space="preserve"> compared to what would otherwise have been available</w:t>
      </w:r>
      <w:r w:rsidR="008E095C" w:rsidRPr="00020876">
        <w:rPr>
          <w:rFonts w:ascii="Arial" w:hAnsi="Arial" w:cs="Arial"/>
          <w:sz w:val="20"/>
          <w:szCs w:val="20"/>
        </w:rPr>
        <w:t>.</w:t>
      </w:r>
    </w:p>
    <w:p w14:paraId="267CD1A7" w14:textId="77777777" w:rsidR="00B0142E" w:rsidRPr="00020876" w:rsidRDefault="00B0142E" w:rsidP="00020876">
      <w:pPr>
        <w:spacing w:after="0" w:line="290" w:lineRule="atLeast"/>
        <w:rPr>
          <w:rFonts w:ascii="Arial" w:hAnsi="Arial" w:cs="Arial"/>
          <w:sz w:val="20"/>
          <w:szCs w:val="20"/>
        </w:rPr>
      </w:pPr>
    </w:p>
    <w:p w14:paraId="1D83C80A" w14:textId="77777777" w:rsidR="00B0142E" w:rsidRPr="00020876" w:rsidRDefault="00B0142E" w:rsidP="001251E5">
      <w:pPr>
        <w:keepNext/>
        <w:spacing w:after="0" w:line="290" w:lineRule="atLeast"/>
        <w:rPr>
          <w:rFonts w:ascii="Arial" w:hAnsi="Arial" w:cs="Arial"/>
          <w:b/>
          <w:sz w:val="20"/>
          <w:szCs w:val="20"/>
        </w:rPr>
      </w:pPr>
      <w:r w:rsidRPr="00020876">
        <w:rPr>
          <w:rFonts w:ascii="Arial" w:hAnsi="Arial" w:cs="Arial"/>
          <w:b/>
          <w:sz w:val="20"/>
          <w:szCs w:val="20"/>
        </w:rPr>
        <w:t>What is the tax issue with Third Party Funding?</w:t>
      </w:r>
    </w:p>
    <w:p w14:paraId="639DEF56" w14:textId="77777777" w:rsidR="00483F53" w:rsidRDefault="00483F53" w:rsidP="001251E5">
      <w:pPr>
        <w:keepNext/>
        <w:spacing w:after="0" w:line="290" w:lineRule="atLeast"/>
        <w:rPr>
          <w:rFonts w:ascii="Arial" w:hAnsi="Arial" w:cs="Arial"/>
          <w:sz w:val="20"/>
          <w:szCs w:val="20"/>
        </w:rPr>
      </w:pPr>
    </w:p>
    <w:p w14:paraId="3CF3AFED" w14:textId="77777777" w:rsidR="008E095C" w:rsidRDefault="008E095C" w:rsidP="001251E5">
      <w:pPr>
        <w:keepNext/>
        <w:spacing w:after="0" w:line="290" w:lineRule="atLeast"/>
        <w:rPr>
          <w:rFonts w:ascii="Arial" w:hAnsi="Arial" w:cs="Arial"/>
          <w:sz w:val="20"/>
          <w:szCs w:val="20"/>
        </w:rPr>
      </w:pPr>
      <w:r w:rsidRPr="00020876">
        <w:rPr>
          <w:rFonts w:ascii="Arial" w:hAnsi="Arial" w:cs="Arial"/>
          <w:sz w:val="20"/>
          <w:szCs w:val="20"/>
        </w:rPr>
        <w:t xml:space="preserve">There are </w:t>
      </w:r>
      <w:r w:rsidR="00B0142E" w:rsidRPr="00020876">
        <w:rPr>
          <w:rFonts w:ascii="Arial" w:hAnsi="Arial" w:cs="Arial"/>
          <w:sz w:val="20"/>
          <w:szCs w:val="20"/>
        </w:rPr>
        <w:t xml:space="preserve">two key </w:t>
      </w:r>
      <w:r w:rsidRPr="00020876">
        <w:rPr>
          <w:rFonts w:ascii="Arial" w:hAnsi="Arial" w:cs="Arial"/>
          <w:sz w:val="20"/>
          <w:szCs w:val="20"/>
        </w:rPr>
        <w:t xml:space="preserve">elements to achieving </w:t>
      </w:r>
      <w:r w:rsidR="00B0142E" w:rsidRPr="00020876">
        <w:rPr>
          <w:rFonts w:ascii="Arial" w:hAnsi="Arial" w:cs="Arial"/>
          <w:sz w:val="20"/>
          <w:szCs w:val="20"/>
        </w:rPr>
        <w:t>T</w:t>
      </w:r>
      <w:r w:rsidRPr="00020876">
        <w:rPr>
          <w:rFonts w:ascii="Arial" w:hAnsi="Arial" w:cs="Arial"/>
          <w:sz w:val="20"/>
          <w:szCs w:val="20"/>
        </w:rPr>
        <w:t xml:space="preserve">ax </w:t>
      </w:r>
      <w:r w:rsidR="00B0142E" w:rsidRPr="00020876">
        <w:rPr>
          <w:rFonts w:ascii="Arial" w:hAnsi="Arial" w:cs="Arial"/>
          <w:sz w:val="20"/>
          <w:szCs w:val="20"/>
        </w:rPr>
        <w:t>N</w:t>
      </w:r>
      <w:r w:rsidRPr="00020876">
        <w:rPr>
          <w:rFonts w:ascii="Arial" w:hAnsi="Arial" w:cs="Arial"/>
          <w:sz w:val="20"/>
          <w:szCs w:val="20"/>
        </w:rPr>
        <w:t>eutrality in the funding of Major Lineal Assets:</w:t>
      </w:r>
    </w:p>
    <w:p w14:paraId="6BB0F056" w14:textId="77777777" w:rsidR="00CC4B05" w:rsidRPr="00020876" w:rsidRDefault="00CC4B05" w:rsidP="001251E5">
      <w:pPr>
        <w:keepNext/>
        <w:spacing w:after="0" w:line="290" w:lineRule="atLeast"/>
        <w:rPr>
          <w:rFonts w:ascii="Arial" w:hAnsi="Arial" w:cs="Arial"/>
          <w:sz w:val="20"/>
          <w:szCs w:val="20"/>
        </w:rPr>
      </w:pPr>
    </w:p>
    <w:p w14:paraId="7E00F9E4" w14:textId="77777777" w:rsidR="00B0142E" w:rsidRPr="00020876" w:rsidRDefault="008E095C" w:rsidP="00020876">
      <w:pPr>
        <w:pStyle w:val="ListParagraph"/>
        <w:numPr>
          <w:ilvl w:val="0"/>
          <w:numId w:val="7"/>
        </w:numPr>
        <w:spacing w:after="0" w:line="290" w:lineRule="atLeast"/>
        <w:rPr>
          <w:rFonts w:ascii="Arial" w:hAnsi="Arial" w:cs="Arial"/>
          <w:sz w:val="20"/>
          <w:szCs w:val="20"/>
        </w:rPr>
      </w:pPr>
      <w:r w:rsidRPr="00020876">
        <w:rPr>
          <w:rFonts w:ascii="Arial" w:hAnsi="Arial" w:cs="Arial"/>
          <w:sz w:val="20"/>
          <w:szCs w:val="20"/>
        </w:rPr>
        <w:t xml:space="preserve">Treatment of </w:t>
      </w:r>
      <w:r w:rsidR="00B0142E" w:rsidRPr="00020876">
        <w:rPr>
          <w:rFonts w:ascii="Arial" w:hAnsi="Arial" w:cs="Arial"/>
          <w:sz w:val="20"/>
          <w:szCs w:val="20"/>
        </w:rPr>
        <w:t xml:space="preserve">funding </w:t>
      </w:r>
      <w:r w:rsidRPr="00020876">
        <w:rPr>
          <w:rFonts w:ascii="Arial" w:hAnsi="Arial" w:cs="Arial"/>
          <w:sz w:val="20"/>
          <w:szCs w:val="20"/>
        </w:rPr>
        <w:t xml:space="preserve">contributions </w:t>
      </w:r>
      <w:r w:rsidR="00B0142E" w:rsidRPr="00020876">
        <w:rPr>
          <w:rFonts w:ascii="Arial" w:hAnsi="Arial" w:cs="Arial"/>
          <w:sz w:val="20"/>
          <w:szCs w:val="20"/>
        </w:rPr>
        <w:t>by</w:t>
      </w:r>
      <w:r w:rsidRPr="00020876">
        <w:rPr>
          <w:rFonts w:ascii="Arial" w:hAnsi="Arial" w:cs="Arial"/>
          <w:sz w:val="20"/>
          <w:szCs w:val="20"/>
        </w:rPr>
        <w:t xml:space="preserve"> Owner/Operators; and</w:t>
      </w:r>
    </w:p>
    <w:p w14:paraId="067F9A31" w14:textId="77777777" w:rsidR="008E095C" w:rsidRPr="00020876" w:rsidRDefault="00B0142E" w:rsidP="00020876">
      <w:pPr>
        <w:pStyle w:val="ListParagraph"/>
        <w:numPr>
          <w:ilvl w:val="0"/>
          <w:numId w:val="7"/>
        </w:numPr>
        <w:spacing w:after="0" w:line="290" w:lineRule="atLeast"/>
        <w:rPr>
          <w:rFonts w:ascii="Arial" w:hAnsi="Arial" w:cs="Arial"/>
          <w:sz w:val="20"/>
          <w:szCs w:val="20"/>
        </w:rPr>
      </w:pPr>
      <w:r w:rsidRPr="00020876">
        <w:rPr>
          <w:rFonts w:ascii="Arial" w:hAnsi="Arial" w:cs="Arial"/>
          <w:sz w:val="20"/>
          <w:szCs w:val="20"/>
        </w:rPr>
        <w:t>Treatment of funding contributions by</w:t>
      </w:r>
      <w:r w:rsidR="008E095C" w:rsidRPr="00020876">
        <w:rPr>
          <w:rFonts w:ascii="Arial" w:hAnsi="Arial" w:cs="Arial"/>
          <w:sz w:val="20"/>
          <w:szCs w:val="20"/>
        </w:rPr>
        <w:t xml:space="preserve"> Third Party </w:t>
      </w:r>
      <w:proofErr w:type="gramStart"/>
      <w:r w:rsidR="008E095C" w:rsidRPr="00020876">
        <w:rPr>
          <w:rFonts w:ascii="Arial" w:hAnsi="Arial" w:cs="Arial"/>
          <w:sz w:val="20"/>
          <w:szCs w:val="20"/>
        </w:rPr>
        <w:t xml:space="preserve">Funders </w:t>
      </w:r>
      <w:r w:rsidRPr="00020876">
        <w:rPr>
          <w:rFonts w:ascii="Arial" w:hAnsi="Arial" w:cs="Arial"/>
          <w:sz w:val="20"/>
          <w:szCs w:val="20"/>
        </w:rPr>
        <w:t>.</w:t>
      </w:r>
      <w:proofErr w:type="gramEnd"/>
    </w:p>
    <w:p w14:paraId="684AEEBD" w14:textId="77777777" w:rsidR="008E095C" w:rsidRPr="00020876" w:rsidRDefault="008E095C" w:rsidP="00020876">
      <w:pPr>
        <w:spacing w:after="0" w:line="290" w:lineRule="atLeast"/>
        <w:ind w:left="720"/>
        <w:rPr>
          <w:rFonts w:ascii="Arial" w:hAnsi="Arial" w:cs="Arial"/>
          <w:sz w:val="20"/>
          <w:szCs w:val="20"/>
        </w:rPr>
      </w:pPr>
    </w:p>
    <w:p w14:paraId="1DB5B78E" w14:textId="77777777" w:rsidR="008E095C" w:rsidRPr="00020876" w:rsidRDefault="00B0142E" w:rsidP="00020876">
      <w:pPr>
        <w:spacing w:after="0" w:line="290" w:lineRule="atLeast"/>
        <w:rPr>
          <w:rFonts w:ascii="Arial" w:hAnsi="Arial" w:cs="Arial"/>
          <w:i/>
          <w:sz w:val="20"/>
          <w:szCs w:val="20"/>
        </w:rPr>
      </w:pPr>
      <w:r w:rsidRPr="00020876">
        <w:rPr>
          <w:rFonts w:ascii="Arial" w:hAnsi="Arial" w:cs="Arial"/>
          <w:i/>
          <w:sz w:val="20"/>
          <w:szCs w:val="20"/>
        </w:rPr>
        <w:t>Treatment of capital contributions by Owner/Operators</w:t>
      </w:r>
      <w:r w:rsidRPr="00020876" w:rsidDel="00B0142E">
        <w:rPr>
          <w:rFonts w:ascii="Arial" w:hAnsi="Arial" w:cs="Arial"/>
          <w:i/>
          <w:sz w:val="20"/>
          <w:szCs w:val="20"/>
        </w:rPr>
        <w:t xml:space="preserve"> </w:t>
      </w:r>
    </w:p>
    <w:p w14:paraId="5F4F95D4" w14:textId="77777777" w:rsidR="00AB4A9B" w:rsidRDefault="00AB4A9B" w:rsidP="00020876">
      <w:pPr>
        <w:spacing w:after="0" w:line="290" w:lineRule="atLeast"/>
        <w:rPr>
          <w:rFonts w:ascii="Arial" w:hAnsi="Arial" w:cs="Arial"/>
          <w:sz w:val="20"/>
          <w:szCs w:val="20"/>
        </w:rPr>
      </w:pPr>
    </w:p>
    <w:p w14:paraId="0B33DEA7" w14:textId="77777777" w:rsidR="00483F53" w:rsidRDefault="008E095C" w:rsidP="00020876">
      <w:pPr>
        <w:spacing w:after="0" w:line="290" w:lineRule="atLeast"/>
        <w:rPr>
          <w:rFonts w:ascii="Arial" w:hAnsi="Arial" w:cs="Arial"/>
          <w:sz w:val="20"/>
          <w:szCs w:val="20"/>
        </w:rPr>
      </w:pPr>
      <w:r w:rsidRPr="00020876">
        <w:rPr>
          <w:rFonts w:ascii="Arial" w:hAnsi="Arial" w:cs="Arial"/>
          <w:sz w:val="20"/>
          <w:szCs w:val="20"/>
        </w:rPr>
        <w:t>Currently</w:t>
      </w:r>
      <w:r w:rsidR="00CC4B05">
        <w:rPr>
          <w:rFonts w:ascii="Arial" w:hAnsi="Arial" w:cs="Arial"/>
          <w:sz w:val="20"/>
          <w:szCs w:val="20"/>
        </w:rPr>
        <w:t>,</w:t>
      </w:r>
      <w:r w:rsidRPr="00020876">
        <w:rPr>
          <w:rFonts w:ascii="Arial" w:hAnsi="Arial" w:cs="Arial"/>
          <w:sz w:val="20"/>
          <w:szCs w:val="20"/>
        </w:rPr>
        <w:t xml:space="preserve"> </w:t>
      </w:r>
      <w:r w:rsidR="00B0142E" w:rsidRPr="00020876">
        <w:rPr>
          <w:rFonts w:ascii="Arial" w:hAnsi="Arial" w:cs="Arial"/>
          <w:sz w:val="20"/>
          <w:szCs w:val="20"/>
        </w:rPr>
        <w:t xml:space="preserve">funding </w:t>
      </w:r>
      <w:r w:rsidRPr="00020876">
        <w:rPr>
          <w:rFonts w:ascii="Arial" w:hAnsi="Arial" w:cs="Arial"/>
          <w:sz w:val="20"/>
          <w:szCs w:val="20"/>
        </w:rPr>
        <w:t xml:space="preserve">contributions </w:t>
      </w:r>
      <w:r w:rsidR="00B0142E" w:rsidRPr="00020876">
        <w:rPr>
          <w:rFonts w:ascii="Arial" w:hAnsi="Arial" w:cs="Arial"/>
          <w:sz w:val="20"/>
          <w:szCs w:val="20"/>
        </w:rPr>
        <w:t xml:space="preserve">by Third Party Funders </w:t>
      </w:r>
      <w:r w:rsidRPr="00020876">
        <w:rPr>
          <w:rFonts w:ascii="Arial" w:hAnsi="Arial" w:cs="Arial"/>
          <w:sz w:val="20"/>
          <w:szCs w:val="20"/>
        </w:rPr>
        <w:t>are trea</w:t>
      </w:r>
      <w:r w:rsidR="00545099" w:rsidRPr="00020876">
        <w:rPr>
          <w:rFonts w:ascii="Arial" w:hAnsi="Arial" w:cs="Arial"/>
          <w:sz w:val="20"/>
          <w:szCs w:val="20"/>
        </w:rPr>
        <w:t xml:space="preserve">ted as </w:t>
      </w:r>
      <w:r w:rsidR="00B0142E" w:rsidRPr="00020876">
        <w:rPr>
          <w:rFonts w:ascii="Arial" w:hAnsi="Arial" w:cs="Arial"/>
          <w:sz w:val="20"/>
          <w:szCs w:val="20"/>
        </w:rPr>
        <w:t xml:space="preserve">assessable </w:t>
      </w:r>
      <w:r w:rsidR="00545099" w:rsidRPr="00020876">
        <w:rPr>
          <w:rFonts w:ascii="Arial" w:hAnsi="Arial" w:cs="Arial"/>
          <w:sz w:val="20"/>
          <w:szCs w:val="20"/>
        </w:rPr>
        <w:t xml:space="preserve">revenue </w:t>
      </w:r>
      <w:r w:rsidR="00B0142E" w:rsidRPr="00020876">
        <w:rPr>
          <w:rFonts w:ascii="Arial" w:hAnsi="Arial" w:cs="Arial"/>
          <w:sz w:val="20"/>
          <w:szCs w:val="20"/>
        </w:rPr>
        <w:t xml:space="preserve">in the income year the contribution is </w:t>
      </w:r>
      <w:r w:rsidR="00545099" w:rsidRPr="00020876">
        <w:rPr>
          <w:rFonts w:ascii="Arial" w:hAnsi="Arial" w:cs="Arial"/>
          <w:sz w:val="20"/>
          <w:szCs w:val="20"/>
        </w:rPr>
        <w:t>received by the Owner/O</w:t>
      </w:r>
      <w:r w:rsidRPr="00020876">
        <w:rPr>
          <w:rFonts w:ascii="Arial" w:hAnsi="Arial" w:cs="Arial"/>
          <w:sz w:val="20"/>
          <w:szCs w:val="20"/>
        </w:rPr>
        <w:t xml:space="preserve">perator and </w:t>
      </w:r>
      <w:r w:rsidR="00483F53">
        <w:rPr>
          <w:rFonts w:ascii="Arial" w:hAnsi="Arial" w:cs="Arial"/>
          <w:sz w:val="20"/>
          <w:szCs w:val="20"/>
        </w:rPr>
        <w:t xml:space="preserve">subject to tax at the relevant </w:t>
      </w:r>
      <w:r w:rsidRPr="00020876">
        <w:rPr>
          <w:rFonts w:ascii="Arial" w:hAnsi="Arial" w:cs="Arial"/>
          <w:sz w:val="20"/>
          <w:szCs w:val="20"/>
        </w:rPr>
        <w:t>rate.</w:t>
      </w:r>
      <w:r w:rsidR="00B0142E" w:rsidRPr="00020876">
        <w:rPr>
          <w:rFonts w:ascii="Arial" w:hAnsi="Arial" w:cs="Arial"/>
          <w:sz w:val="20"/>
          <w:szCs w:val="20"/>
        </w:rPr>
        <w:t xml:space="preserve">  The Owner/Operator is able to claim a tax deduction for the</w:t>
      </w:r>
      <w:r w:rsidR="00CC4B05">
        <w:rPr>
          <w:rFonts w:ascii="Arial" w:hAnsi="Arial" w:cs="Arial"/>
          <w:sz w:val="20"/>
          <w:szCs w:val="20"/>
        </w:rPr>
        <w:t xml:space="preserve"> cost of the</w:t>
      </w:r>
      <w:r w:rsidR="00B0142E" w:rsidRPr="00020876">
        <w:rPr>
          <w:rFonts w:ascii="Arial" w:hAnsi="Arial" w:cs="Arial"/>
          <w:sz w:val="20"/>
          <w:szCs w:val="20"/>
        </w:rPr>
        <w:t xml:space="preserve"> construction of the </w:t>
      </w:r>
      <w:r w:rsidR="00483F53">
        <w:rPr>
          <w:rFonts w:ascii="Arial" w:hAnsi="Arial" w:cs="Arial"/>
          <w:sz w:val="20"/>
          <w:szCs w:val="20"/>
        </w:rPr>
        <w:t>Expansion</w:t>
      </w:r>
      <w:r w:rsidR="00B0142E" w:rsidRPr="00020876">
        <w:rPr>
          <w:rFonts w:ascii="Arial" w:hAnsi="Arial" w:cs="Arial"/>
          <w:sz w:val="20"/>
          <w:szCs w:val="20"/>
        </w:rPr>
        <w:t xml:space="preserve"> over time.  </w:t>
      </w:r>
    </w:p>
    <w:p w14:paraId="5FF17113" w14:textId="77777777" w:rsidR="00483F53" w:rsidRPr="00020876" w:rsidRDefault="00483F53" w:rsidP="00020876">
      <w:pPr>
        <w:spacing w:after="0" w:line="290" w:lineRule="atLeast"/>
        <w:rPr>
          <w:rFonts w:ascii="Arial" w:hAnsi="Arial" w:cs="Arial"/>
          <w:sz w:val="20"/>
          <w:szCs w:val="20"/>
        </w:rPr>
      </w:pPr>
    </w:p>
    <w:p w14:paraId="4C8BDFE3" w14:textId="77777777" w:rsidR="008E095C" w:rsidRPr="00020876" w:rsidRDefault="00483F53" w:rsidP="00020876">
      <w:pPr>
        <w:spacing w:after="0" w:line="290" w:lineRule="atLeast"/>
        <w:rPr>
          <w:rFonts w:ascii="Arial" w:hAnsi="Arial" w:cs="Arial"/>
          <w:sz w:val="20"/>
          <w:szCs w:val="20"/>
        </w:rPr>
      </w:pPr>
      <w:r>
        <w:rPr>
          <w:rFonts w:ascii="Arial" w:hAnsi="Arial" w:cs="Arial"/>
          <w:sz w:val="20"/>
          <w:szCs w:val="20"/>
        </w:rPr>
        <w:t xml:space="preserve">Instead, these </w:t>
      </w:r>
      <w:r w:rsidR="00B0142E" w:rsidRPr="00020876">
        <w:rPr>
          <w:rFonts w:ascii="Arial" w:hAnsi="Arial" w:cs="Arial"/>
          <w:sz w:val="20"/>
          <w:szCs w:val="20"/>
        </w:rPr>
        <w:t xml:space="preserve">funding contributions </w:t>
      </w:r>
      <w:r w:rsidR="008E095C" w:rsidRPr="00020876">
        <w:rPr>
          <w:rFonts w:ascii="Arial" w:hAnsi="Arial" w:cs="Arial"/>
          <w:sz w:val="20"/>
          <w:szCs w:val="20"/>
        </w:rPr>
        <w:t xml:space="preserve">should not be treated as income </w:t>
      </w:r>
      <w:r w:rsidR="001C49C9" w:rsidRPr="00020876">
        <w:rPr>
          <w:rFonts w:ascii="Arial" w:hAnsi="Arial" w:cs="Arial"/>
          <w:sz w:val="20"/>
          <w:szCs w:val="20"/>
        </w:rPr>
        <w:t xml:space="preserve">for the Owner/Operator and the Owner/Operator should not be entitled to a tax deduction for the </w:t>
      </w:r>
      <w:r w:rsidR="00CC4B05">
        <w:rPr>
          <w:rFonts w:ascii="Arial" w:hAnsi="Arial" w:cs="Arial"/>
          <w:sz w:val="20"/>
          <w:szCs w:val="20"/>
        </w:rPr>
        <w:t xml:space="preserve">cost of the </w:t>
      </w:r>
      <w:r w:rsidR="001C49C9" w:rsidRPr="00020876">
        <w:rPr>
          <w:rFonts w:ascii="Arial" w:hAnsi="Arial" w:cs="Arial"/>
          <w:sz w:val="20"/>
          <w:szCs w:val="20"/>
        </w:rPr>
        <w:t xml:space="preserve">construction of the </w:t>
      </w:r>
      <w:r>
        <w:rPr>
          <w:rFonts w:ascii="Arial" w:hAnsi="Arial" w:cs="Arial"/>
          <w:sz w:val="20"/>
          <w:szCs w:val="20"/>
        </w:rPr>
        <w:t>Expansion</w:t>
      </w:r>
      <w:r w:rsidR="001C49C9" w:rsidRPr="00020876">
        <w:rPr>
          <w:rFonts w:ascii="Arial" w:hAnsi="Arial" w:cs="Arial"/>
          <w:sz w:val="20"/>
          <w:szCs w:val="20"/>
        </w:rPr>
        <w:t xml:space="preserve">.  In this way, the contribution should be </w:t>
      </w:r>
      <w:r w:rsidR="008E095C" w:rsidRPr="00020876">
        <w:rPr>
          <w:rFonts w:ascii="Arial" w:hAnsi="Arial" w:cs="Arial"/>
          <w:sz w:val="20"/>
          <w:szCs w:val="20"/>
        </w:rPr>
        <w:t>tax neutral</w:t>
      </w:r>
      <w:r w:rsidR="001C49C9" w:rsidRPr="00020876">
        <w:rPr>
          <w:rFonts w:ascii="Arial" w:hAnsi="Arial" w:cs="Arial"/>
          <w:sz w:val="20"/>
          <w:szCs w:val="20"/>
        </w:rPr>
        <w:t xml:space="preserve"> for the Owner/Operator</w:t>
      </w:r>
      <w:r w:rsidR="008E095C" w:rsidRPr="00020876">
        <w:rPr>
          <w:rFonts w:ascii="Arial" w:hAnsi="Arial" w:cs="Arial"/>
          <w:sz w:val="20"/>
          <w:szCs w:val="20"/>
        </w:rPr>
        <w:t>.</w:t>
      </w:r>
    </w:p>
    <w:p w14:paraId="2D18D637" w14:textId="77777777" w:rsidR="008E095C" w:rsidRPr="00020876" w:rsidRDefault="008E095C" w:rsidP="00020876">
      <w:pPr>
        <w:spacing w:after="0" w:line="290" w:lineRule="atLeast"/>
        <w:rPr>
          <w:rFonts w:ascii="Arial" w:hAnsi="Arial" w:cs="Arial"/>
          <w:sz w:val="20"/>
          <w:szCs w:val="20"/>
        </w:rPr>
      </w:pPr>
    </w:p>
    <w:p w14:paraId="2CDED226" w14:textId="77777777" w:rsidR="001C49C9" w:rsidRPr="00020876" w:rsidRDefault="001C49C9" w:rsidP="00020876">
      <w:pPr>
        <w:spacing w:after="0" w:line="290" w:lineRule="atLeast"/>
        <w:rPr>
          <w:rFonts w:ascii="Arial" w:hAnsi="Arial" w:cs="Arial"/>
          <w:i/>
          <w:sz w:val="20"/>
          <w:szCs w:val="20"/>
        </w:rPr>
      </w:pPr>
      <w:r w:rsidRPr="00020876">
        <w:rPr>
          <w:rFonts w:ascii="Arial" w:hAnsi="Arial" w:cs="Arial"/>
          <w:i/>
          <w:sz w:val="20"/>
          <w:szCs w:val="20"/>
        </w:rPr>
        <w:t xml:space="preserve">Treatment of funding contributions by Third Party Funders </w:t>
      </w:r>
    </w:p>
    <w:p w14:paraId="7B30D14B" w14:textId="77777777" w:rsidR="00AB4A9B" w:rsidRDefault="00AB4A9B" w:rsidP="00020876">
      <w:pPr>
        <w:spacing w:after="0" w:line="290" w:lineRule="atLeast"/>
        <w:rPr>
          <w:rFonts w:ascii="Arial" w:hAnsi="Arial" w:cs="Arial"/>
          <w:sz w:val="20"/>
          <w:szCs w:val="20"/>
        </w:rPr>
      </w:pPr>
    </w:p>
    <w:p w14:paraId="1ADA341E" w14:textId="77777777" w:rsidR="00601992" w:rsidRPr="00020876" w:rsidRDefault="001C49C9" w:rsidP="00020876">
      <w:pPr>
        <w:spacing w:after="0" w:line="290" w:lineRule="atLeast"/>
        <w:rPr>
          <w:rFonts w:ascii="Arial" w:hAnsi="Arial" w:cs="Arial"/>
          <w:sz w:val="20"/>
          <w:szCs w:val="20"/>
        </w:rPr>
      </w:pPr>
      <w:r w:rsidRPr="00020876">
        <w:rPr>
          <w:rFonts w:ascii="Arial" w:hAnsi="Arial" w:cs="Arial"/>
          <w:sz w:val="20"/>
          <w:szCs w:val="20"/>
        </w:rPr>
        <w:t>Currently</w:t>
      </w:r>
      <w:r w:rsidR="00CC4B05">
        <w:rPr>
          <w:rFonts w:ascii="Arial" w:hAnsi="Arial" w:cs="Arial"/>
          <w:sz w:val="20"/>
          <w:szCs w:val="20"/>
        </w:rPr>
        <w:t>,</w:t>
      </w:r>
      <w:r w:rsidRPr="00020876">
        <w:rPr>
          <w:rFonts w:ascii="Arial" w:hAnsi="Arial" w:cs="Arial"/>
          <w:sz w:val="20"/>
          <w:szCs w:val="20"/>
        </w:rPr>
        <w:t xml:space="preserve"> funding contributions by Third Party Funders to an Owner/Operator are treated in varying manners under the tax law (depending on the circumstances) and may </w:t>
      </w:r>
      <w:r w:rsidR="00902F5B">
        <w:rPr>
          <w:rFonts w:ascii="Arial" w:hAnsi="Arial" w:cs="Arial"/>
          <w:sz w:val="20"/>
          <w:szCs w:val="20"/>
        </w:rPr>
        <w:t xml:space="preserve">in some circumstances </w:t>
      </w:r>
      <w:r w:rsidRPr="00020876">
        <w:rPr>
          <w:rFonts w:ascii="Arial" w:hAnsi="Arial" w:cs="Arial"/>
          <w:sz w:val="20"/>
          <w:szCs w:val="20"/>
        </w:rPr>
        <w:t xml:space="preserve">not give rise to any tax deduction entitlement for the Third Party Funder.  The Third Party Funder should be entitled to a tax deduction for the </w:t>
      </w:r>
      <w:r w:rsidR="00483F53">
        <w:rPr>
          <w:rFonts w:ascii="Arial" w:hAnsi="Arial" w:cs="Arial"/>
          <w:sz w:val="20"/>
          <w:szCs w:val="20"/>
        </w:rPr>
        <w:t>cost of</w:t>
      </w:r>
      <w:r w:rsidR="00CC4B05">
        <w:rPr>
          <w:rFonts w:ascii="Arial" w:hAnsi="Arial" w:cs="Arial"/>
          <w:sz w:val="20"/>
          <w:szCs w:val="20"/>
        </w:rPr>
        <w:t xml:space="preserve"> the</w:t>
      </w:r>
      <w:r w:rsidR="00483F53">
        <w:rPr>
          <w:rFonts w:ascii="Arial" w:hAnsi="Arial" w:cs="Arial"/>
          <w:sz w:val="20"/>
          <w:szCs w:val="20"/>
        </w:rPr>
        <w:t xml:space="preserve"> </w:t>
      </w:r>
      <w:r w:rsidRPr="00020876">
        <w:rPr>
          <w:rFonts w:ascii="Arial" w:hAnsi="Arial" w:cs="Arial"/>
          <w:sz w:val="20"/>
          <w:szCs w:val="20"/>
        </w:rPr>
        <w:t xml:space="preserve">construction of the </w:t>
      </w:r>
      <w:r w:rsidR="00483F53">
        <w:rPr>
          <w:rFonts w:ascii="Arial" w:hAnsi="Arial" w:cs="Arial"/>
          <w:sz w:val="20"/>
          <w:szCs w:val="20"/>
        </w:rPr>
        <w:t>Expansion</w:t>
      </w:r>
      <w:r w:rsidRPr="00020876">
        <w:rPr>
          <w:rFonts w:ascii="Arial" w:hAnsi="Arial" w:cs="Arial"/>
          <w:sz w:val="20"/>
          <w:szCs w:val="20"/>
        </w:rPr>
        <w:t xml:space="preserve">, in the same way an Owner/Operator would be entitled to tax depreciation if it had funded the Expansion itself. In this way, the </w:t>
      </w:r>
      <w:r w:rsidR="00483F53">
        <w:rPr>
          <w:rFonts w:ascii="Arial" w:hAnsi="Arial" w:cs="Arial"/>
          <w:sz w:val="20"/>
          <w:szCs w:val="20"/>
        </w:rPr>
        <w:t>Third Party Funder would also be Tax Neutral</w:t>
      </w:r>
      <w:r w:rsidRPr="00020876">
        <w:rPr>
          <w:rFonts w:ascii="Arial" w:hAnsi="Arial" w:cs="Arial"/>
          <w:sz w:val="20"/>
          <w:szCs w:val="20"/>
        </w:rPr>
        <w:t>.</w:t>
      </w:r>
      <w:r w:rsidRPr="00020876" w:rsidDel="001C49C9">
        <w:rPr>
          <w:rFonts w:ascii="Arial" w:hAnsi="Arial" w:cs="Arial"/>
          <w:sz w:val="20"/>
          <w:szCs w:val="20"/>
        </w:rPr>
        <w:t xml:space="preserve"> </w:t>
      </w:r>
    </w:p>
    <w:p w14:paraId="400E1EC4" w14:textId="77777777" w:rsidR="00601992" w:rsidRPr="00020876" w:rsidRDefault="00601992" w:rsidP="00020876">
      <w:pPr>
        <w:spacing w:after="0" w:line="290" w:lineRule="atLeast"/>
        <w:rPr>
          <w:rFonts w:ascii="Arial" w:hAnsi="Arial" w:cs="Arial"/>
          <w:sz w:val="20"/>
          <w:szCs w:val="20"/>
        </w:rPr>
      </w:pPr>
    </w:p>
    <w:p w14:paraId="78BF240F" w14:textId="77777777" w:rsidR="008E095C" w:rsidRPr="00020876" w:rsidRDefault="00601992" w:rsidP="001251E5">
      <w:pPr>
        <w:spacing w:after="0" w:line="290" w:lineRule="atLeast"/>
        <w:rPr>
          <w:rFonts w:ascii="Arial" w:hAnsi="Arial" w:cs="Arial"/>
          <w:sz w:val="20"/>
          <w:szCs w:val="20"/>
        </w:rPr>
      </w:pPr>
      <w:r w:rsidRPr="00020876">
        <w:rPr>
          <w:rFonts w:ascii="Arial" w:hAnsi="Arial" w:cs="Arial"/>
          <w:sz w:val="20"/>
          <w:szCs w:val="20"/>
        </w:rPr>
        <w:lastRenderedPageBreak/>
        <w:t xml:space="preserve">Following this change of law, the funding transaction would effectively be ignored for tax purposes and the Third Party Funder </w:t>
      </w:r>
      <w:r w:rsidR="00CC4B05">
        <w:rPr>
          <w:rFonts w:ascii="Arial" w:hAnsi="Arial" w:cs="Arial"/>
          <w:sz w:val="20"/>
          <w:szCs w:val="20"/>
        </w:rPr>
        <w:t xml:space="preserve">would </w:t>
      </w:r>
      <w:r w:rsidR="00483F53">
        <w:rPr>
          <w:rFonts w:ascii="Arial" w:hAnsi="Arial" w:cs="Arial"/>
          <w:sz w:val="20"/>
          <w:szCs w:val="20"/>
        </w:rPr>
        <w:t xml:space="preserve">effectively </w:t>
      </w:r>
      <w:r w:rsidR="00CC4B05">
        <w:rPr>
          <w:rFonts w:ascii="Arial" w:hAnsi="Arial" w:cs="Arial"/>
          <w:sz w:val="20"/>
          <w:szCs w:val="20"/>
        </w:rPr>
        <w:t xml:space="preserve">be </w:t>
      </w:r>
      <w:r w:rsidRPr="00020876">
        <w:rPr>
          <w:rFonts w:ascii="Arial" w:hAnsi="Arial" w:cs="Arial"/>
          <w:sz w:val="20"/>
          <w:szCs w:val="20"/>
        </w:rPr>
        <w:t xml:space="preserve">treated </w:t>
      </w:r>
      <w:r w:rsidR="00483F53">
        <w:rPr>
          <w:rFonts w:ascii="Arial" w:hAnsi="Arial" w:cs="Arial"/>
          <w:sz w:val="20"/>
          <w:szCs w:val="20"/>
        </w:rPr>
        <w:t xml:space="preserve">for tax purposes </w:t>
      </w:r>
      <w:r w:rsidRPr="00020876">
        <w:rPr>
          <w:rFonts w:ascii="Arial" w:hAnsi="Arial" w:cs="Arial"/>
          <w:sz w:val="20"/>
          <w:szCs w:val="20"/>
        </w:rPr>
        <w:t xml:space="preserve">as if it owned the </w:t>
      </w:r>
      <w:r w:rsidR="00483F53">
        <w:rPr>
          <w:rFonts w:ascii="Arial" w:hAnsi="Arial" w:cs="Arial"/>
          <w:sz w:val="20"/>
          <w:szCs w:val="20"/>
        </w:rPr>
        <w:t>E</w:t>
      </w:r>
      <w:r w:rsidRPr="00020876">
        <w:rPr>
          <w:rFonts w:ascii="Arial" w:hAnsi="Arial" w:cs="Arial"/>
          <w:sz w:val="20"/>
          <w:szCs w:val="20"/>
        </w:rPr>
        <w:t xml:space="preserve">xpansion.  </w:t>
      </w:r>
      <w:r w:rsidR="008E095C" w:rsidRPr="00020876">
        <w:rPr>
          <w:rFonts w:ascii="Arial" w:hAnsi="Arial" w:cs="Arial"/>
          <w:sz w:val="20"/>
          <w:szCs w:val="20"/>
        </w:rPr>
        <w:t>Whilst this sounds simple</w:t>
      </w:r>
      <w:r w:rsidRPr="00020876">
        <w:rPr>
          <w:rFonts w:ascii="Arial" w:hAnsi="Arial" w:cs="Arial"/>
          <w:sz w:val="20"/>
          <w:szCs w:val="20"/>
        </w:rPr>
        <w:t>,</w:t>
      </w:r>
      <w:r w:rsidR="008E095C" w:rsidRPr="00020876">
        <w:rPr>
          <w:rFonts w:ascii="Arial" w:hAnsi="Arial" w:cs="Arial"/>
          <w:sz w:val="20"/>
          <w:szCs w:val="20"/>
        </w:rPr>
        <w:t xml:space="preserve"> there will no doubt be a level of consideration required to select the optimum mechanisms to provide these outcomes </w:t>
      </w:r>
      <w:r w:rsidRPr="00020876">
        <w:rPr>
          <w:rFonts w:ascii="Arial" w:hAnsi="Arial" w:cs="Arial"/>
          <w:sz w:val="20"/>
          <w:szCs w:val="20"/>
        </w:rPr>
        <w:t xml:space="preserve">without </w:t>
      </w:r>
      <w:r w:rsidR="008E095C" w:rsidRPr="00020876">
        <w:rPr>
          <w:rFonts w:ascii="Arial" w:hAnsi="Arial" w:cs="Arial"/>
          <w:sz w:val="20"/>
          <w:szCs w:val="20"/>
        </w:rPr>
        <w:t>unintended consequences.  Any new law would be subject to reasonable integrity provisions to prevent any potential abuse.</w:t>
      </w:r>
    </w:p>
    <w:p w14:paraId="57D75201" w14:textId="77777777" w:rsidR="00701EF3" w:rsidRPr="00020876" w:rsidRDefault="00701EF3" w:rsidP="001251E5">
      <w:pPr>
        <w:spacing w:after="0" w:line="290" w:lineRule="atLeast"/>
        <w:rPr>
          <w:rFonts w:ascii="Arial" w:hAnsi="Arial" w:cs="Arial"/>
          <w:i/>
          <w:sz w:val="20"/>
          <w:szCs w:val="20"/>
        </w:rPr>
      </w:pPr>
    </w:p>
    <w:p w14:paraId="7A71C242" w14:textId="77777777" w:rsidR="008D7315" w:rsidRPr="00020876" w:rsidRDefault="00545099" w:rsidP="001251E5">
      <w:pPr>
        <w:spacing w:after="0" w:line="290" w:lineRule="atLeast"/>
        <w:rPr>
          <w:rFonts w:ascii="Arial" w:hAnsi="Arial" w:cs="Arial"/>
          <w:sz w:val="20"/>
          <w:szCs w:val="20"/>
        </w:rPr>
      </w:pPr>
      <w:r w:rsidRPr="00020876">
        <w:rPr>
          <w:rFonts w:ascii="Arial" w:hAnsi="Arial" w:cs="Arial"/>
          <w:sz w:val="20"/>
          <w:szCs w:val="20"/>
        </w:rPr>
        <w:t>In summary</w:t>
      </w:r>
      <w:r w:rsidR="00601992" w:rsidRPr="00020876">
        <w:rPr>
          <w:rFonts w:ascii="Arial" w:hAnsi="Arial" w:cs="Arial"/>
          <w:sz w:val="20"/>
          <w:szCs w:val="20"/>
        </w:rPr>
        <w:t>,</w:t>
      </w:r>
      <w:r w:rsidRPr="00020876">
        <w:rPr>
          <w:rFonts w:ascii="Arial" w:hAnsi="Arial" w:cs="Arial"/>
          <w:sz w:val="20"/>
          <w:szCs w:val="20"/>
        </w:rPr>
        <w:t xml:space="preserve"> Aurizon believes there are </w:t>
      </w:r>
      <w:r w:rsidR="00601992" w:rsidRPr="00020876">
        <w:rPr>
          <w:rFonts w:ascii="Arial" w:hAnsi="Arial" w:cs="Arial"/>
          <w:sz w:val="20"/>
          <w:szCs w:val="20"/>
        </w:rPr>
        <w:t xml:space="preserve">significant </w:t>
      </w:r>
      <w:r w:rsidRPr="00020876">
        <w:rPr>
          <w:rFonts w:ascii="Arial" w:hAnsi="Arial" w:cs="Arial"/>
          <w:sz w:val="20"/>
          <w:szCs w:val="20"/>
        </w:rPr>
        <w:t xml:space="preserve">benefits to providing </w:t>
      </w:r>
      <w:r w:rsidR="00601992" w:rsidRPr="00020876">
        <w:rPr>
          <w:rFonts w:ascii="Arial" w:hAnsi="Arial" w:cs="Arial"/>
          <w:sz w:val="20"/>
          <w:szCs w:val="20"/>
        </w:rPr>
        <w:t>for T</w:t>
      </w:r>
      <w:r w:rsidRPr="00020876">
        <w:rPr>
          <w:rFonts w:ascii="Arial" w:hAnsi="Arial" w:cs="Arial"/>
          <w:sz w:val="20"/>
          <w:szCs w:val="20"/>
        </w:rPr>
        <w:t xml:space="preserve">ax </w:t>
      </w:r>
      <w:r w:rsidR="00601992" w:rsidRPr="00020876">
        <w:rPr>
          <w:rFonts w:ascii="Arial" w:hAnsi="Arial" w:cs="Arial"/>
          <w:sz w:val="20"/>
          <w:szCs w:val="20"/>
        </w:rPr>
        <w:t>N</w:t>
      </w:r>
      <w:r w:rsidRPr="00020876">
        <w:rPr>
          <w:rFonts w:ascii="Arial" w:hAnsi="Arial" w:cs="Arial"/>
          <w:sz w:val="20"/>
          <w:szCs w:val="20"/>
        </w:rPr>
        <w:t>eutrality</w:t>
      </w:r>
      <w:r w:rsidR="00601992" w:rsidRPr="00020876">
        <w:rPr>
          <w:rFonts w:ascii="Arial" w:hAnsi="Arial" w:cs="Arial"/>
          <w:sz w:val="20"/>
          <w:szCs w:val="20"/>
        </w:rPr>
        <w:t xml:space="preserve"> in Third Party Funding of </w:t>
      </w:r>
      <w:r w:rsidR="00483F53">
        <w:rPr>
          <w:rFonts w:ascii="Arial" w:hAnsi="Arial" w:cs="Arial"/>
          <w:sz w:val="20"/>
          <w:szCs w:val="20"/>
        </w:rPr>
        <w:t>E</w:t>
      </w:r>
      <w:r w:rsidR="00601992" w:rsidRPr="00020876">
        <w:rPr>
          <w:rFonts w:ascii="Arial" w:hAnsi="Arial" w:cs="Arial"/>
          <w:sz w:val="20"/>
          <w:szCs w:val="20"/>
        </w:rPr>
        <w:t>xpansions to Major Lineal Assets</w:t>
      </w:r>
      <w:r w:rsidR="00701EF3" w:rsidRPr="00020876">
        <w:rPr>
          <w:rFonts w:ascii="Arial" w:hAnsi="Arial" w:cs="Arial"/>
          <w:i/>
          <w:sz w:val="20"/>
          <w:szCs w:val="20"/>
        </w:rPr>
        <w:t>.</w:t>
      </w:r>
      <w:r w:rsidRPr="00020876">
        <w:rPr>
          <w:rFonts w:ascii="Arial" w:hAnsi="Arial" w:cs="Arial"/>
          <w:sz w:val="20"/>
          <w:szCs w:val="20"/>
        </w:rPr>
        <w:t xml:space="preserve">  Th</w:t>
      </w:r>
      <w:r w:rsidR="00601992" w:rsidRPr="00020876">
        <w:rPr>
          <w:rFonts w:ascii="Arial" w:hAnsi="Arial" w:cs="Arial"/>
          <w:sz w:val="20"/>
          <w:szCs w:val="20"/>
        </w:rPr>
        <w:t>ese</w:t>
      </w:r>
      <w:r w:rsidRPr="00020876">
        <w:rPr>
          <w:rFonts w:ascii="Arial" w:hAnsi="Arial" w:cs="Arial"/>
          <w:sz w:val="20"/>
          <w:szCs w:val="20"/>
        </w:rPr>
        <w:t xml:space="preserve"> benefit</w:t>
      </w:r>
      <w:r w:rsidR="00601992" w:rsidRPr="00020876">
        <w:rPr>
          <w:rFonts w:ascii="Arial" w:hAnsi="Arial" w:cs="Arial"/>
          <w:sz w:val="20"/>
          <w:szCs w:val="20"/>
        </w:rPr>
        <w:t>s</w:t>
      </w:r>
      <w:r w:rsidRPr="00020876">
        <w:rPr>
          <w:rFonts w:ascii="Arial" w:hAnsi="Arial" w:cs="Arial"/>
          <w:sz w:val="20"/>
          <w:szCs w:val="20"/>
        </w:rPr>
        <w:t xml:space="preserve"> extend to parties who directly and indirectly utilise the services provided by such assets</w:t>
      </w:r>
      <w:r w:rsidR="00601992" w:rsidRPr="00020876">
        <w:rPr>
          <w:rFonts w:ascii="Arial" w:hAnsi="Arial" w:cs="Arial"/>
          <w:sz w:val="20"/>
          <w:szCs w:val="20"/>
        </w:rPr>
        <w:t xml:space="preserve"> and to the broader Australian economy</w:t>
      </w:r>
      <w:r w:rsidRPr="00020876">
        <w:rPr>
          <w:rFonts w:ascii="Arial" w:hAnsi="Arial" w:cs="Arial"/>
          <w:sz w:val="20"/>
          <w:szCs w:val="20"/>
        </w:rPr>
        <w:t xml:space="preserve">. Aurizon has consulted </w:t>
      </w:r>
      <w:r w:rsidR="00601992" w:rsidRPr="00020876">
        <w:rPr>
          <w:rFonts w:ascii="Arial" w:hAnsi="Arial" w:cs="Arial"/>
          <w:sz w:val="20"/>
          <w:szCs w:val="20"/>
        </w:rPr>
        <w:t xml:space="preserve">with various </w:t>
      </w:r>
      <w:r w:rsidRPr="00020876">
        <w:rPr>
          <w:rFonts w:ascii="Arial" w:hAnsi="Arial" w:cs="Arial"/>
          <w:sz w:val="20"/>
          <w:szCs w:val="20"/>
        </w:rPr>
        <w:t xml:space="preserve">stakeholders </w:t>
      </w:r>
      <w:r w:rsidR="00601992" w:rsidRPr="00020876">
        <w:rPr>
          <w:rFonts w:ascii="Arial" w:hAnsi="Arial" w:cs="Arial"/>
          <w:sz w:val="20"/>
          <w:szCs w:val="20"/>
        </w:rPr>
        <w:t>(</w:t>
      </w:r>
      <w:r w:rsidR="002056DF" w:rsidRPr="00020876">
        <w:rPr>
          <w:rFonts w:ascii="Arial" w:hAnsi="Arial" w:cs="Arial"/>
          <w:sz w:val="20"/>
          <w:szCs w:val="20"/>
        </w:rPr>
        <w:t xml:space="preserve">including </w:t>
      </w:r>
      <w:r w:rsidR="00601992" w:rsidRPr="00020876">
        <w:rPr>
          <w:rFonts w:ascii="Arial" w:hAnsi="Arial" w:cs="Arial"/>
          <w:sz w:val="20"/>
          <w:szCs w:val="20"/>
        </w:rPr>
        <w:t>mining companies</w:t>
      </w:r>
      <w:r w:rsidR="004C1EAF" w:rsidRPr="00020876">
        <w:rPr>
          <w:rFonts w:ascii="Arial" w:hAnsi="Arial" w:cs="Arial"/>
          <w:sz w:val="20"/>
          <w:szCs w:val="20"/>
        </w:rPr>
        <w:t>, Owner/Operators</w:t>
      </w:r>
      <w:r w:rsidR="002056DF" w:rsidRPr="00020876">
        <w:rPr>
          <w:rFonts w:ascii="Arial" w:hAnsi="Arial" w:cs="Arial"/>
          <w:sz w:val="20"/>
          <w:szCs w:val="20"/>
        </w:rPr>
        <w:t xml:space="preserve"> and competition regulators</w:t>
      </w:r>
      <w:r w:rsidR="00601992" w:rsidRPr="00020876">
        <w:rPr>
          <w:rFonts w:ascii="Arial" w:hAnsi="Arial" w:cs="Arial"/>
          <w:sz w:val="20"/>
          <w:szCs w:val="20"/>
        </w:rPr>
        <w:t>)</w:t>
      </w:r>
      <w:r w:rsidR="002056DF" w:rsidRPr="00020876">
        <w:rPr>
          <w:rFonts w:ascii="Arial" w:hAnsi="Arial" w:cs="Arial"/>
          <w:sz w:val="20"/>
          <w:szCs w:val="20"/>
        </w:rPr>
        <w:t xml:space="preserve"> and has received broad support for the proposal included in this submission.  </w:t>
      </w:r>
      <w:r w:rsidR="008D7315" w:rsidRPr="00020876">
        <w:rPr>
          <w:rFonts w:ascii="Arial" w:hAnsi="Arial" w:cs="Arial"/>
          <w:sz w:val="20"/>
          <w:szCs w:val="20"/>
        </w:rPr>
        <w:br w:type="page"/>
      </w:r>
    </w:p>
    <w:p w14:paraId="79364C45" w14:textId="77777777" w:rsidR="00CC4B05" w:rsidRDefault="00CC4B05" w:rsidP="001251E5">
      <w:pPr>
        <w:spacing w:after="0" w:line="290" w:lineRule="atLeast"/>
        <w:jc w:val="right"/>
        <w:rPr>
          <w:rFonts w:ascii="Arial" w:hAnsi="Arial" w:cs="Arial"/>
          <w:b/>
          <w:sz w:val="20"/>
          <w:szCs w:val="20"/>
        </w:rPr>
      </w:pPr>
      <w:r>
        <w:rPr>
          <w:rFonts w:ascii="Arial" w:hAnsi="Arial" w:cs="Arial"/>
          <w:b/>
          <w:sz w:val="20"/>
          <w:szCs w:val="20"/>
        </w:rPr>
        <w:lastRenderedPageBreak/>
        <w:t>APPENDIX B</w:t>
      </w:r>
    </w:p>
    <w:p w14:paraId="3318DB4B" w14:textId="77777777" w:rsidR="00CC4B05" w:rsidRDefault="00CC4B05" w:rsidP="001251E5">
      <w:pPr>
        <w:spacing w:after="0" w:line="290" w:lineRule="atLeast"/>
        <w:rPr>
          <w:rFonts w:ascii="Arial" w:hAnsi="Arial" w:cs="Arial"/>
          <w:b/>
          <w:sz w:val="20"/>
          <w:szCs w:val="20"/>
        </w:rPr>
      </w:pPr>
    </w:p>
    <w:p w14:paraId="5BA19932" w14:textId="77777777" w:rsidR="004C1EAF" w:rsidRPr="00020876" w:rsidRDefault="004C1EAF" w:rsidP="001251E5">
      <w:pPr>
        <w:spacing w:after="0" w:line="290" w:lineRule="atLeast"/>
        <w:rPr>
          <w:rFonts w:ascii="Arial" w:hAnsi="Arial" w:cs="Arial"/>
          <w:sz w:val="20"/>
          <w:szCs w:val="20"/>
        </w:rPr>
      </w:pPr>
      <w:r w:rsidRPr="00020876">
        <w:rPr>
          <w:rFonts w:ascii="Arial" w:hAnsi="Arial" w:cs="Arial"/>
          <w:b/>
          <w:sz w:val="20"/>
          <w:szCs w:val="20"/>
        </w:rPr>
        <w:t xml:space="preserve">Extensions Provision in Access Regulation </w:t>
      </w:r>
    </w:p>
    <w:p w14:paraId="617F01E8" w14:textId="77777777" w:rsidR="004E43B5" w:rsidRPr="00020876" w:rsidRDefault="004E43B5" w:rsidP="001251E5">
      <w:pPr>
        <w:spacing w:after="0" w:line="290" w:lineRule="atLeast"/>
        <w:rPr>
          <w:rFonts w:ascii="Arial" w:hAnsi="Arial" w:cs="Arial"/>
          <w:sz w:val="20"/>
          <w:szCs w:val="20"/>
        </w:rPr>
      </w:pPr>
    </w:p>
    <w:p w14:paraId="60790CF4" w14:textId="77777777" w:rsidR="004C1EAF" w:rsidRPr="00020876" w:rsidRDefault="004C1EAF" w:rsidP="001251E5">
      <w:pPr>
        <w:spacing w:after="0" w:line="290" w:lineRule="atLeast"/>
        <w:rPr>
          <w:rFonts w:ascii="Arial" w:hAnsi="Arial" w:cs="Arial"/>
          <w:sz w:val="20"/>
          <w:szCs w:val="20"/>
        </w:rPr>
      </w:pPr>
      <w:r w:rsidRPr="00020876">
        <w:rPr>
          <w:rFonts w:ascii="Arial" w:hAnsi="Arial" w:cs="Arial"/>
          <w:sz w:val="20"/>
          <w:szCs w:val="20"/>
        </w:rPr>
        <w:t>A number of access regimes and economic regulatory models include the option or requirement for a customer of the service to make a capital contribution towards the extension of the facility.  Under various access regimes the regulator is empowered to make an enforceable and binding determination requiring the service provider to extend the facility</w:t>
      </w:r>
      <w:r w:rsidR="005225C8">
        <w:rPr>
          <w:rFonts w:ascii="Arial" w:hAnsi="Arial" w:cs="Arial"/>
          <w:sz w:val="20"/>
          <w:szCs w:val="20"/>
        </w:rPr>
        <w:t xml:space="preserve"> </w:t>
      </w:r>
      <w:r w:rsidR="005225C8" w:rsidRPr="00020876">
        <w:rPr>
          <w:rFonts w:ascii="Arial" w:hAnsi="Arial" w:cs="Arial"/>
          <w:sz w:val="20"/>
          <w:szCs w:val="20"/>
        </w:rPr>
        <w:t>(both linearly and capacity)</w:t>
      </w:r>
      <w:r w:rsidRPr="00020876">
        <w:rPr>
          <w:rFonts w:ascii="Arial" w:hAnsi="Arial" w:cs="Arial"/>
          <w:sz w:val="20"/>
          <w:szCs w:val="20"/>
        </w:rPr>
        <w:t xml:space="preserve"> provided the service provider does not bear any costs of that extension.  The rationale for these powers is summarised by the Productivity Commission in its Inquiry into the National Access Regime:</w:t>
      </w:r>
    </w:p>
    <w:p w14:paraId="1EF2C728" w14:textId="77777777" w:rsidR="004C1EAF" w:rsidRPr="00020876" w:rsidRDefault="004C1EAF" w:rsidP="001251E5">
      <w:pPr>
        <w:spacing w:after="0" w:line="290" w:lineRule="atLeast"/>
        <w:rPr>
          <w:rFonts w:ascii="Arial" w:hAnsi="Arial" w:cs="Arial"/>
          <w:sz w:val="20"/>
          <w:szCs w:val="20"/>
        </w:rPr>
      </w:pPr>
    </w:p>
    <w:p w14:paraId="62CF0D31" w14:textId="77777777" w:rsidR="004C1EAF" w:rsidRPr="00020876" w:rsidRDefault="004C1EAF" w:rsidP="001251E5">
      <w:pPr>
        <w:spacing w:after="0" w:line="290" w:lineRule="atLeast"/>
        <w:ind w:left="567"/>
        <w:rPr>
          <w:rFonts w:ascii="Arial" w:hAnsi="Arial" w:cs="Arial"/>
          <w:i/>
          <w:sz w:val="20"/>
          <w:szCs w:val="20"/>
        </w:rPr>
      </w:pPr>
      <w:r w:rsidRPr="00020876">
        <w:rPr>
          <w:rFonts w:ascii="Arial" w:hAnsi="Arial" w:cs="Arial"/>
          <w:i/>
          <w:sz w:val="20"/>
          <w:szCs w:val="20"/>
        </w:rPr>
        <w:t>The economic rationale for the ACCC’s powers to direct extensions is to prevent service providers undermining the objective of the regime by deliberately delaying infrastructure investment, or constructing facilities with suboptimal capacity, to limit competition and extract monopoly rents.</w:t>
      </w:r>
    </w:p>
    <w:p w14:paraId="3C39EB77" w14:textId="77777777" w:rsidR="004C1EAF" w:rsidRPr="00020876" w:rsidRDefault="004C1EAF" w:rsidP="001251E5">
      <w:pPr>
        <w:spacing w:after="0" w:line="290" w:lineRule="atLeast"/>
        <w:rPr>
          <w:rFonts w:ascii="Arial" w:hAnsi="Arial" w:cs="Arial"/>
          <w:sz w:val="20"/>
          <w:szCs w:val="20"/>
        </w:rPr>
      </w:pPr>
    </w:p>
    <w:p w14:paraId="150B05D5" w14:textId="77777777" w:rsidR="004C1EAF" w:rsidRPr="00020876" w:rsidRDefault="004C1EAF" w:rsidP="001251E5">
      <w:pPr>
        <w:spacing w:after="0" w:line="290" w:lineRule="atLeast"/>
        <w:rPr>
          <w:rFonts w:ascii="Arial" w:hAnsi="Arial" w:cs="Arial"/>
          <w:sz w:val="20"/>
          <w:szCs w:val="20"/>
        </w:rPr>
      </w:pPr>
      <w:r w:rsidRPr="00020876">
        <w:rPr>
          <w:rFonts w:ascii="Arial" w:hAnsi="Arial" w:cs="Arial"/>
          <w:sz w:val="20"/>
          <w:szCs w:val="20"/>
        </w:rPr>
        <w:t>The Productivity Commission also recognised that these powers are very strong and it is appropriate that safe guards are in place to protect the legitimate business interests of the service provider noting that:</w:t>
      </w:r>
    </w:p>
    <w:p w14:paraId="62EB686F" w14:textId="77777777" w:rsidR="004C1EAF" w:rsidRPr="00020876" w:rsidRDefault="004C1EAF" w:rsidP="001251E5">
      <w:pPr>
        <w:spacing w:after="0" w:line="290" w:lineRule="atLeast"/>
        <w:rPr>
          <w:rFonts w:ascii="Arial" w:hAnsi="Arial" w:cs="Arial"/>
          <w:sz w:val="20"/>
          <w:szCs w:val="20"/>
        </w:rPr>
      </w:pPr>
    </w:p>
    <w:p w14:paraId="7C126308" w14:textId="77777777" w:rsidR="004C1EAF" w:rsidRPr="00020876" w:rsidRDefault="004C1EAF" w:rsidP="001251E5">
      <w:pPr>
        <w:spacing w:after="0" w:line="290" w:lineRule="atLeast"/>
        <w:ind w:left="567"/>
        <w:rPr>
          <w:rFonts w:ascii="Arial" w:hAnsi="Arial" w:cs="Arial"/>
          <w:i/>
          <w:sz w:val="20"/>
          <w:szCs w:val="20"/>
        </w:rPr>
      </w:pPr>
      <w:r w:rsidRPr="00020876">
        <w:rPr>
          <w:rFonts w:ascii="Arial" w:hAnsi="Arial" w:cs="Arial"/>
          <w:i/>
          <w:sz w:val="20"/>
          <w:szCs w:val="20"/>
        </w:rPr>
        <w:t>Regulatory risk associated with access regulation could impede efficient investment in infrastructure facilities. Infrastructure developments typically involve large, sunk and lumpy capital investments and a requirement to extend a facility could pose a significant risk for prospective infrastructure developers. Appropriate safeguards are therefore needed to protect the infrastructure service provider’s legitimate business interests, reduce risks and preserve investment incentives.</w:t>
      </w:r>
    </w:p>
    <w:p w14:paraId="686E1BA5" w14:textId="77777777" w:rsidR="004C1EAF" w:rsidRPr="00020876" w:rsidRDefault="004C1EAF" w:rsidP="001251E5">
      <w:pPr>
        <w:spacing w:after="0" w:line="290" w:lineRule="atLeast"/>
        <w:rPr>
          <w:rFonts w:ascii="Arial" w:hAnsi="Arial" w:cs="Arial"/>
          <w:sz w:val="20"/>
          <w:szCs w:val="20"/>
        </w:rPr>
      </w:pPr>
    </w:p>
    <w:p w14:paraId="63277ECD" w14:textId="77777777" w:rsidR="004C1EAF" w:rsidRPr="00020876" w:rsidRDefault="004C1EAF" w:rsidP="001251E5">
      <w:pPr>
        <w:spacing w:after="0" w:line="290" w:lineRule="atLeast"/>
        <w:rPr>
          <w:rFonts w:ascii="Arial" w:hAnsi="Arial" w:cs="Arial"/>
          <w:sz w:val="20"/>
          <w:szCs w:val="20"/>
        </w:rPr>
      </w:pPr>
      <w:r w:rsidRPr="00020876">
        <w:rPr>
          <w:rFonts w:ascii="Arial" w:hAnsi="Arial" w:cs="Arial"/>
          <w:sz w:val="20"/>
          <w:szCs w:val="20"/>
        </w:rPr>
        <w:t>This attachment summarises the relevant arrangements within a sample of regulatory framework were these provisions are enshrined.</w:t>
      </w:r>
    </w:p>
    <w:p w14:paraId="7D3873F5" w14:textId="77777777" w:rsidR="00483F53" w:rsidRDefault="00483F53" w:rsidP="001251E5">
      <w:pPr>
        <w:pStyle w:val="Heading2"/>
        <w:spacing w:before="0" w:after="0" w:line="290" w:lineRule="atLeast"/>
        <w:rPr>
          <w:b/>
          <w:sz w:val="20"/>
          <w:szCs w:val="20"/>
        </w:rPr>
      </w:pPr>
    </w:p>
    <w:p w14:paraId="79C57703" w14:textId="77777777" w:rsidR="004C1EAF" w:rsidRPr="00020876" w:rsidRDefault="004C1EAF" w:rsidP="001251E5">
      <w:pPr>
        <w:pStyle w:val="Heading2"/>
        <w:spacing w:before="0" w:after="0" w:line="290" w:lineRule="atLeast"/>
        <w:rPr>
          <w:b/>
          <w:sz w:val="20"/>
          <w:szCs w:val="20"/>
        </w:rPr>
      </w:pPr>
      <w:r w:rsidRPr="00020876">
        <w:rPr>
          <w:b/>
          <w:sz w:val="20"/>
          <w:szCs w:val="20"/>
        </w:rPr>
        <w:t>National Access Regime</w:t>
      </w:r>
    </w:p>
    <w:p w14:paraId="2773956B" w14:textId="77777777" w:rsidR="004C1EAF" w:rsidRPr="00020876" w:rsidRDefault="004C1EAF" w:rsidP="001251E5">
      <w:pPr>
        <w:spacing w:after="0" w:line="290" w:lineRule="atLeast"/>
        <w:rPr>
          <w:rFonts w:ascii="Arial" w:hAnsi="Arial" w:cs="Arial"/>
          <w:sz w:val="20"/>
          <w:szCs w:val="20"/>
        </w:rPr>
      </w:pPr>
      <w:r w:rsidRPr="00020876">
        <w:rPr>
          <w:rFonts w:ascii="Arial" w:hAnsi="Arial" w:cs="Arial"/>
          <w:sz w:val="20"/>
          <w:szCs w:val="20"/>
        </w:rPr>
        <w:t xml:space="preserve">The National Access Regime </w:t>
      </w:r>
      <w:r w:rsidRPr="00020876">
        <w:rPr>
          <w:rFonts w:ascii="Arial" w:hAnsi="Arial" w:cs="Arial"/>
          <w:b/>
          <w:sz w:val="20"/>
          <w:szCs w:val="20"/>
        </w:rPr>
        <w:t>(NAR)</w:t>
      </w:r>
      <w:r w:rsidRPr="00020876">
        <w:rPr>
          <w:rFonts w:ascii="Arial" w:hAnsi="Arial" w:cs="Arial"/>
          <w:sz w:val="20"/>
          <w:szCs w:val="20"/>
        </w:rPr>
        <w:t xml:space="preserve"> is contained in Part IIIA of the </w:t>
      </w:r>
      <w:r w:rsidRPr="00020876">
        <w:rPr>
          <w:rFonts w:ascii="Arial" w:hAnsi="Arial" w:cs="Arial"/>
          <w:i/>
          <w:sz w:val="20"/>
          <w:szCs w:val="20"/>
        </w:rPr>
        <w:t xml:space="preserve">Competition and Consumer Act 2010 </w:t>
      </w:r>
      <w:r w:rsidRPr="00020876">
        <w:rPr>
          <w:rFonts w:ascii="Arial" w:hAnsi="Arial" w:cs="Arial"/>
          <w:b/>
          <w:sz w:val="20"/>
          <w:szCs w:val="20"/>
        </w:rPr>
        <w:t>(CCA)</w:t>
      </w:r>
      <w:r w:rsidRPr="00020876">
        <w:rPr>
          <w:rFonts w:ascii="Arial" w:hAnsi="Arial" w:cs="Arial"/>
          <w:sz w:val="20"/>
          <w:szCs w:val="20"/>
        </w:rPr>
        <w:t>.</w:t>
      </w:r>
      <w:bookmarkStart w:id="1" w:name="_Toc222641493"/>
      <w:r w:rsidRPr="00020876">
        <w:rPr>
          <w:rFonts w:ascii="Arial" w:hAnsi="Arial" w:cs="Arial"/>
          <w:sz w:val="20"/>
          <w:szCs w:val="20"/>
        </w:rPr>
        <w:t xml:space="preserve">   The regime applies to essential facilities which have been subject to declaration and an obligation to negotiate third party access to their facilities.</w:t>
      </w:r>
    </w:p>
    <w:p w14:paraId="1837EFEF" w14:textId="77777777" w:rsidR="004C1EAF" w:rsidRPr="00020876" w:rsidRDefault="004C1EAF" w:rsidP="001251E5">
      <w:pPr>
        <w:spacing w:after="0" w:line="290" w:lineRule="atLeast"/>
        <w:rPr>
          <w:rFonts w:ascii="Arial" w:hAnsi="Arial" w:cs="Arial"/>
          <w:sz w:val="20"/>
          <w:szCs w:val="20"/>
        </w:rPr>
      </w:pPr>
    </w:p>
    <w:p w14:paraId="34FC50EF" w14:textId="77777777" w:rsidR="004C1EAF" w:rsidRPr="00020876" w:rsidRDefault="004C1EAF" w:rsidP="001251E5">
      <w:pPr>
        <w:spacing w:after="0" w:line="290" w:lineRule="atLeast"/>
        <w:rPr>
          <w:rFonts w:ascii="Arial" w:hAnsi="Arial" w:cs="Arial"/>
          <w:sz w:val="20"/>
          <w:szCs w:val="20"/>
        </w:rPr>
      </w:pPr>
      <w:r w:rsidRPr="00020876">
        <w:rPr>
          <w:rFonts w:ascii="Arial" w:hAnsi="Arial" w:cs="Arial"/>
          <w:sz w:val="20"/>
          <w:szCs w:val="20"/>
        </w:rPr>
        <w:t xml:space="preserve">In the event of arbitration of a dispute between the service provider and an access seeker regarding the terms of access the Australian Competition and Consumer Commission </w:t>
      </w:r>
      <w:r w:rsidRPr="00020876">
        <w:rPr>
          <w:rFonts w:ascii="Arial" w:hAnsi="Arial" w:cs="Arial"/>
          <w:b/>
          <w:sz w:val="20"/>
          <w:szCs w:val="20"/>
        </w:rPr>
        <w:t>(ACCC)</w:t>
      </w:r>
      <w:r w:rsidRPr="00020876">
        <w:rPr>
          <w:rFonts w:ascii="Arial" w:hAnsi="Arial" w:cs="Arial"/>
          <w:sz w:val="20"/>
          <w:szCs w:val="20"/>
        </w:rPr>
        <w:t xml:space="preserve"> may, under clause 44V(2), make a determination which:</w:t>
      </w:r>
    </w:p>
    <w:p w14:paraId="4EB9A1A3" w14:textId="77777777" w:rsidR="004C1EAF" w:rsidRPr="00020876" w:rsidRDefault="004C1EAF" w:rsidP="001251E5">
      <w:pPr>
        <w:spacing w:after="0" w:line="290" w:lineRule="atLeast"/>
        <w:rPr>
          <w:rFonts w:ascii="Arial" w:hAnsi="Arial" w:cs="Arial"/>
          <w:sz w:val="20"/>
          <w:szCs w:val="20"/>
        </w:rPr>
      </w:pPr>
    </w:p>
    <w:p w14:paraId="427AC8A0" w14:textId="77777777" w:rsidR="004C1EAF" w:rsidRPr="00020876" w:rsidRDefault="004C1EAF" w:rsidP="001251E5">
      <w:pPr>
        <w:pStyle w:val="ListParagraph"/>
        <w:numPr>
          <w:ilvl w:val="0"/>
          <w:numId w:val="6"/>
        </w:numPr>
        <w:spacing w:after="0" w:line="290" w:lineRule="atLeast"/>
        <w:ind w:left="1134" w:hanging="567"/>
        <w:rPr>
          <w:rFonts w:ascii="Arial" w:hAnsi="Arial" w:cs="Arial"/>
          <w:i/>
          <w:sz w:val="20"/>
          <w:szCs w:val="20"/>
        </w:rPr>
      </w:pPr>
      <w:r w:rsidRPr="00020876">
        <w:rPr>
          <w:rFonts w:ascii="Arial" w:hAnsi="Arial" w:cs="Arial"/>
          <w:i/>
          <w:sz w:val="20"/>
          <w:szCs w:val="20"/>
        </w:rPr>
        <w:t>requires the provider to extend the facility</w:t>
      </w:r>
    </w:p>
    <w:p w14:paraId="7B6F76DE" w14:textId="77777777" w:rsidR="004C1EAF" w:rsidRPr="00020876" w:rsidRDefault="004C1EAF" w:rsidP="001251E5">
      <w:pPr>
        <w:spacing w:after="0" w:line="290" w:lineRule="atLeast"/>
        <w:rPr>
          <w:rFonts w:ascii="Arial" w:hAnsi="Arial" w:cs="Arial"/>
          <w:sz w:val="20"/>
          <w:szCs w:val="20"/>
        </w:rPr>
      </w:pPr>
    </w:p>
    <w:p w14:paraId="7E300D31" w14:textId="77777777" w:rsidR="004C1EAF" w:rsidRPr="00020876" w:rsidRDefault="004C1EAF" w:rsidP="001251E5">
      <w:pPr>
        <w:spacing w:after="0" w:line="290" w:lineRule="atLeast"/>
        <w:rPr>
          <w:rFonts w:ascii="Arial" w:hAnsi="Arial" w:cs="Arial"/>
          <w:sz w:val="20"/>
          <w:szCs w:val="20"/>
        </w:rPr>
      </w:pPr>
      <w:r w:rsidRPr="00020876">
        <w:rPr>
          <w:rFonts w:ascii="Arial" w:hAnsi="Arial" w:cs="Arial"/>
          <w:sz w:val="20"/>
          <w:szCs w:val="20"/>
        </w:rPr>
        <w:t xml:space="preserve">However, clause </w:t>
      </w:r>
      <w:proofErr w:type="gramStart"/>
      <w:r w:rsidRPr="00020876">
        <w:rPr>
          <w:rFonts w:ascii="Arial" w:hAnsi="Arial" w:cs="Arial"/>
          <w:sz w:val="20"/>
          <w:szCs w:val="20"/>
        </w:rPr>
        <w:t>44W(</w:t>
      </w:r>
      <w:proofErr w:type="gramEnd"/>
      <w:r w:rsidRPr="00020876">
        <w:rPr>
          <w:rFonts w:ascii="Arial" w:hAnsi="Arial" w:cs="Arial"/>
          <w:sz w:val="20"/>
          <w:szCs w:val="20"/>
        </w:rPr>
        <w:t>1) requires that the determination must not have the effect of:</w:t>
      </w:r>
    </w:p>
    <w:p w14:paraId="14771C3F" w14:textId="77777777" w:rsidR="004C1EAF" w:rsidRPr="00020876" w:rsidRDefault="004C1EAF" w:rsidP="001251E5">
      <w:pPr>
        <w:spacing w:after="0" w:line="290" w:lineRule="atLeast"/>
        <w:rPr>
          <w:rFonts w:ascii="Arial" w:hAnsi="Arial" w:cs="Arial"/>
          <w:sz w:val="20"/>
          <w:szCs w:val="20"/>
        </w:rPr>
      </w:pPr>
    </w:p>
    <w:p w14:paraId="388351B6" w14:textId="77777777" w:rsidR="004C1EAF" w:rsidRPr="00020876" w:rsidRDefault="004C1EAF" w:rsidP="001251E5">
      <w:pPr>
        <w:pStyle w:val="ListParagraph"/>
        <w:numPr>
          <w:ilvl w:val="0"/>
          <w:numId w:val="6"/>
        </w:numPr>
        <w:spacing w:after="0" w:line="290" w:lineRule="atLeast"/>
        <w:ind w:left="1134" w:hanging="567"/>
        <w:contextualSpacing w:val="0"/>
        <w:rPr>
          <w:rFonts w:ascii="Arial" w:hAnsi="Arial" w:cs="Arial"/>
          <w:i/>
          <w:sz w:val="20"/>
          <w:szCs w:val="20"/>
        </w:rPr>
      </w:pPr>
      <w:r w:rsidRPr="00020876">
        <w:rPr>
          <w:rFonts w:ascii="Arial" w:hAnsi="Arial" w:cs="Arial"/>
          <w:i/>
          <w:sz w:val="20"/>
          <w:szCs w:val="20"/>
        </w:rPr>
        <w:t xml:space="preserve">resulting in the </w:t>
      </w:r>
      <w:hyperlink r:id="rId14" w:anchor="third_party" w:history="1">
        <w:r w:rsidRPr="00020876">
          <w:rPr>
            <w:rFonts w:ascii="Arial" w:hAnsi="Arial" w:cs="Arial"/>
            <w:i/>
            <w:sz w:val="20"/>
            <w:szCs w:val="20"/>
          </w:rPr>
          <w:t>third party</w:t>
        </w:r>
      </w:hyperlink>
      <w:r w:rsidRPr="00020876">
        <w:rPr>
          <w:rFonts w:ascii="Arial" w:hAnsi="Arial" w:cs="Arial"/>
          <w:i/>
          <w:sz w:val="20"/>
          <w:szCs w:val="20"/>
        </w:rPr>
        <w:t xml:space="preserve"> becoming the owner (or one of the owners) of any part of the </w:t>
      </w:r>
      <w:hyperlink r:id="rId15" w:anchor="facility" w:history="1">
        <w:r w:rsidRPr="00020876">
          <w:rPr>
            <w:rFonts w:ascii="Arial" w:hAnsi="Arial" w:cs="Arial"/>
            <w:i/>
            <w:sz w:val="20"/>
            <w:szCs w:val="20"/>
          </w:rPr>
          <w:t>facility</w:t>
        </w:r>
      </w:hyperlink>
      <w:r w:rsidRPr="00020876">
        <w:rPr>
          <w:rFonts w:ascii="Arial" w:hAnsi="Arial" w:cs="Arial"/>
          <w:i/>
          <w:sz w:val="20"/>
          <w:szCs w:val="20"/>
        </w:rPr>
        <w:t xml:space="preserve">, or of extensions of the </w:t>
      </w:r>
      <w:hyperlink r:id="rId16" w:anchor="facility" w:history="1">
        <w:r w:rsidRPr="00020876">
          <w:rPr>
            <w:rFonts w:ascii="Arial" w:hAnsi="Arial" w:cs="Arial"/>
            <w:i/>
            <w:sz w:val="20"/>
            <w:szCs w:val="20"/>
          </w:rPr>
          <w:t>facility</w:t>
        </w:r>
      </w:hyperlink>
      <w:r w:rsidRPr="00020876">
        <w:rPr>
          <w:rFonts w:ascii="Arial" w:hAnsi="Arial" w:cs="Arial"/>
          <w:i/>
          <w:sz w:val="20"/>
          <w:szCs w:val="20"/>
        </w:rPr>
        <w:t xml:space="preserve">, without the consent of the </w:t>
      </w:r>
      <w:hyperlink r:id="rId17" w:anchor="provider" w:history="1">
        <w:r w:rsidRPr="00020876">
          <w:rPr>
            <w:rFonts w:ascii="Arial" w:hAnsi="Arial" w:cs="Arial"/>
            <w:i/>
            <w:sz w:val="20"/>
            <w:szCs w:val="20"/>
          </w:rPr>
          <w:t>provider</w:t>
        </w:r>
      </w:hyperlink>
      <w:r w:rsidRPr="00020876">
        <w:rPr>
          <w:rFonts w:ascii="Arial" w:hAnsi="Arial" w:cs="Arial"/>
          <w:i/>
          <w:sz w:val="20"/>
          <w:szCs w:val="20"/>
        </w:rPr>
        <w:t xml:space="preserve">; or </w:t>
      </w:r>
    </w:p>
    <w:p w14:paraId="20E28F22" w14:textId="77777777" w:rsidR="004C1EAF" w:rsidRPr="00020876" w:rsidRDefault="004C1EAF" w:rsidP="001251E5">
      <w:pPr>
        <w:pStyle w:val="ListParagraph"/>
        <w:numPr>
          <w:ilvl w:val="0"/>
          <w:numId w:val="6"/>
        </w:numPr>
        <w:spacing w:after="0" w:line="290" w:lineRule="atLeast"/>
        <w:ind w:left="1134" w:hanging="567"/>
        <w:rPr>
          <w:rFonts w:ascii="Arial" w:hAnsi="Arial" w:cs="Arial"/>
          <w:i/>
          <w:sz w:val="20"/>
          <w:szCs w:val="20"/>
        </w:rPr>
      </w:pPr>
      <w:r w:rsidRPr="00020876">
        <w:rPr>
          <w:rFonts w:ascii="Arial" w:hAnsi="Arial" w:cs="Arial"/>
          <w:i/>
          <w:sz w:val="20"/>
          <w:szCs w:val="20"/>
        </w:rPr>
        <w:t xml:space="preserve">requiring the </w:t>
      </w:r>
      <w:hyperlink r:id="rId18" w:anchor="provider" w:history="1">
        <w:r w:rsidRPr="00020876">
          <w:rPr>
            <w:rFonts w:ascii="Arial" w:hAnsi="Arial" w:cs="Arial"/>
            <w:i/>
            <w:sz w:val="20"/>
            <w:szCs w:val="20"/>
          </w:rPr>
          <w:t>provider</w:t>
        </w:r>
      </w:hyperlink>
      <w:r w:rsidRPr="00020876">
        <w:rPr>
          <w:rFonts w:ascii="Arial" w:hAnsi="Arial" w:cs="Arial"/>
          <w:i/>
          <w:sz w:val="20"/>
          <w:szCs w:val="20"/>
        </w:rPr>
        <w:t xml:space="preserve"> to bear some or all of the costs of extending the </w:t>
      </w:r>
      <w:hyperlink r:id="rId19" w:anchor="facility" w:history="1">
        <w:r w:rsidRPr="00020876">
          <w:rPr>
            <w:rFonts w:ascii="Arial" w:hAnsi="Arial" w:cs="Arial"/>
            <w:i/>
            <w:sz w:val="20"/>
            <w:szCs w:val="20"/>
          </w:rPr>
          <w:t>facility</w:t>
        </w:r>
      </w:hyperlink>
      <w:r w:rsidRPr="00020876">
        <w:rPr>
          <w:rFonts w:ascii="Arial" w:hAnsi="Arial" w:cs="Arial"/>
          <w:i/>
          <w:sz w:val="20"/>
          <w:szCs w:val="20"/>
        </w:rPr>
        <w:t xml:space="preserve"> or maintaining extensions of the </w:t>
      </w:r>
      <w:hyperlink r:id="rId20" w:anchor="facility" w:history="1">
        <w:r w:rsidRPr="00020876">
          <w:rPr>
            <w:rFonts w:ascii="Arial" w:hAnsi="Arial" w:cs="Arial"/>
            <w:i/>
            <w:sz w:val="20"/>
            <w:szCs w:val="20"/>
          </w:rPr>
          <w:t>facility</w:t>
        </w:r>
      </w:hyperlink>
      <w:r w:rsidRPr="00020876">
        <w:rPr>
          <w:rFonts w:ascii="Arial" w:hAnsi="Arial" w:cs="Arial"/>
          <w:i/>
          <w:sz w:val="20"/>
          <w:szCs w:val="20"/>
        </w:rPr>
        <w:t xml:space="preserve">; </w:t>
      </w:r>
    </w:p>
    <w:p w14:paraId="2E99C0ED" w14:textId="77777777" w:rsidR="00483F53" w:rsidRDefault="00483F53" w:rsidP="001251E5">
      <w:pPr>
        <w:pStyle w:val="Heading2"/>
        <w:spacing w:before="0" w:after="0" w:line="290" w:lineRule="atLeast"/>
        <w:rPr>
          <w:b/>
          <w:sz w:val="20"/>
          <w:szCs w:val="20"/>
        </w:rPr>
      </w:pPr>
    </w:p>
    <w:p w14:paraId="5B8B1911" w14:textId="77777777" w:rsidR="004C1EAF" w:rsidRPr="00020876" w:rsidRDefault="004C1EAF" w:rsidP="001251E5">
      <w:pPr>
        <w:pStyle w:val="Heading2"/>
        <w:spacing w:before="0" w:after="0" w:line="290" w:lineRule="atLeast"/>
        <w:rPr>
          <w:b/>
          <w:sz w:val="20"/>
          <w:szCs w:val="20"/>
        </w:rPr>
      </w:pPr>
      <w:r w:rsidRPr="00020876">
        <w:rPr>
          <w:b/>
          <w:sz w:val="20"/>
          <w:szCs w:val="20"/>
        </w:rPr>
        <w:t>Telecommunications Access Regime</w:t>
      </w:r>
    </w:p>
    <w:p w14:paraId="024D7A45" w14:textId="77777777" w:rsidR="004C1EAF" w:rsidRPr="00020876" w:rsidRDefault="004C1EAF" w:rsidP="001251E5">
      <w:pPr>
        <w:spacing w:after="0" w:line="290" w:lineRule="atLeast"/>
        <w:rPr>
          <w:rFonts w:ascii="Arial" w:hAnsi="Arial" w:cs="Arial"/>
          <w:sz w:val="20"/>
          <w:szCs w:val="20"/>
        </w:rPr>
      </w:pPr>
      <w:r w:rsidRPr="00020876">
        <w:rPr>
          <w:rFonts w:ascii="Arial" w:hAnsi="Arial" w:cs="Arial"/>
          <w:sz w:val="20"/>
          <w:szCs w:val="20"/>
        </w:rPr>
        <w:t xml:space="preserve">The Telecommunications Access Regime is contained in Part XI of the CCA.  The regime applies to declared carrier services.  In arbitrating a dispute between the carriage service provider and an access seeker the ACCC, may, under clause </w:t>
      </w:r>
      <w:proofErr w:type="gramStart"/>
      <w:r w:rsidRPr="00020876">
        <w:rPr>
          <w:rFonts w:ascii="Arial" w:hAnsi="Arial" w:cs="Arial"/>
          <w:sz w:val="20"/>
          <w:szCs w:val="20"/>
        </w:rPr>
        <w:t>152BC(</w:t>
      </w:r>
      <w:proofErr w:type="gramEnd"/>
      <w:r w:rsidRPr="00020876">
        <w:rPr>
          <w:rFonts w:ascii="Arial" w:hAnsi="Arial" w:cs="Arial"/>
          <w:sz w:val="20"/>
          <w:szCs w:val="20"/>
        </w:rPr>
        <w:t>3), make an access determination which:</w:t>
      </w:r>
    </w:p>
    <w:p w14:paraId="71585B6A" w14:textId="77777777" w:rsidR="004C1EAF" w:rsidRPr="00020876" w:rsidRDefault="004C1EAF" w:rsidP="001251E5">
      <w:pPr>
        <w:spacing w:after="0" w:line="290" w:lineRule="atLeast"/>
        <w:rPr>
          <w:rFonts w:ascii="Arial" w:hAnsi="Arial" w:cs="Arial"/>
          <w:sz w:val="20"/>
          <w:szCs w:val="20"/>
        </w:rPr>
      </w:pPr>
    </w:p>
    <w:p w14:paraId="65B7F41C" w14:textId="77777777" w:rsidR="004C1EAF" w:rsidRPr="00020876" w:rsidRDefault="008F3ADC" w:rsidP="001251E5">
      <w:pPr>
        <w:pStyle w:val="ListParagraph"/>
        <w:numPr>
          <w:ilvl w:val="0"/>
          <w:numId w:val="6"/>
        </w:numPr>
        <w:spacing w:after="0" w:line="290" w:lineRule="atLeast"/>
        <w:ind w:left="1134" w:hanging="567"/>
        <w:rPr>
          <w:rFonts w:ascii="Arial" w:hAnsi="Arial" w:cs="Arial"/>
          <w:i/>
          <w:sz w:val="20"/>
          <w:szCs w:val="20"/>
        </w:rPr>
      </w:pPr>
      <w:hyperlink r:id="rId21" w:anchor="require" w:history="1">
        <w:r w:rsidR="004C1EAF" w:rsidRPr="00020876">
          <w:rPr>
            <w:rFonts w:ascii="Arial" w:hAnsi="Arial" w:cs="Arial"/>
            <w:i/>
            <w:sz w:val="20"/>
            <w:szCs w:val="20"/>
          </w:rPr>
          <w:t>require</w:t>
        </w:r>
      </w:hyperlink>
      <w:r w:rsidR="004C1EAF" w:rsidRPr="00020876">
        <w:rPr>
          <w:rFonts w:ascii="Arial" w:hAnsi="Arial" w:cs="Arial"/>
          <w:i/>
          <w:sz w:val="20"/>
          <w:szCs w:val="20"/>
        </w:rPr>
        <w:t xml:space="preserve">s a </w:t>
      </w:r>
      <w:hyperlink r:id="rId22" w:anchor="carrier" w:history="1">
        <w:r w:rsidR="004C1EAF" w:rsidRPr="00020876">
          <w:rPr>
            <w:rFonts w:ascii="Arial" w:hAnsi="Arial" w:cs="Arial"/>
            <w:i/>
            <w:sz w:val="20"/>
            <w:szCs w:val="20"/>
          </w:rPr>
          <w:t>carrier</w:t>
        </w:r>
      </w:hyperlink>
      <w:r w:rsidR="004C1EAF" w:rsidRPr="00020876">
        <w:rPr>
          <w:rFonts w:ascii="Arial" w:hAnsi="Arial" w:cs="Arial"/>
          <w:i/>
          <w:sz w:val="20"/>
          <w:szCs w:val="20"/>
        </w:rPr>
        <w:t xml:space="preserve"> or </w:t>
      </w:r>
      <w:hyperlink r:id="rId23" w:anchor="carriage_service_provider" w:history="1">
        <w:r w:rsidR="004C1EAF" w:rsidRPr="00020876">
          <w:rPr>
            <w:rFonts w:ascii="Arial" w:hAnsi="Arial" w:cs="Arial"/>
            <w:i/>
            <w:sz w:val="20"/>
            <w:szCs w:val="20"/>
          </w:rPr>
          <w:t>carriage</w:t>
        </w:r>
      </w:hyperlink>
      <w:r w:rsidR="004C1EAF" w:rsidRPr="00020876">
        <w:rPr>
          <w:rFonts w:ascii="Arial" w:hAnsi="Arial" w:cs="Arial"/>
          <w:i/>
          <w:sz w:val="20"/>
          <w:szCs w:val="20"/>
        </w:rPr>
        <w:t xml:space="preserve"> </w:t>
      </w:r>
      <w:hyperlink r:id="rId24" w:anchor="carriage_service_provider" w:history="1">
        <w:r w:rsidR="004C1EAF" w:rsidRPr="00020876">
          <w:rPr>
            <w:rFonts w:ascii="Arial" w:hAnsi="Arial" w:cs="Arial"/>
            <w:i/>
            <w:sz w:val="20"/>
            <w:szCs w:val="20"/>
          </w:rPr>
          <w:t>service provider</w:t>
        </w:r>
      </w:hyperlink>
      <w:r w:rsidR="004C1EAF" w:rsidRPr="00020876">
        <w:rPr>
          <w:rFonts w:ascii="Arial" w:hAnsi="Arial" w:cs="Arial"/>
          <w:i/>
          <w:sz w:val="20"/>
          <w:szCs w:val="20"/>
        </w:rPr>
        <w:t xml:space="preserve"> to extend or enhance the capability of a </w:t>
      </w:r>
      <w:hyperlink r:id="rId25" w:anchor="facility" w:history="1">
        <w:r w:rsidR="004C1EAF" w:rsidRPr="00020876">
          <w:rPr>
            <w:rFonts w:ascii="Arial" w:hAnsi="Arial" w:cs="Arial"/>
            <w:i/>
            <w:sz w:val="20"/>
            <w:szCs w:val="20"/>
          </w:rPr>
          <w:t>facility</w:t>
        </w:r>
      </w:hyperlink>
      <w:r w:rsidR="004C1EAF" w:rsidRPr="00020876">
        <w:rPr>
          <w:rFonts w:ascii="Arial" w:hAnsi="Arial" w:cs="Arial"/>
          <w:i/>
          <w:sz w:val="20"/>
          <w:szCs w:val="20"/>
        </w:rPr>
        <w:t xml:space="preserve"> by means of which the </w:t>
      </w:r>
      <w:hyperlink r:id="rId26" w:anchor="declared_service" w:history="1">
        <w:r w:rsidR="004C1EAF" w:rsidRPr="00020876">
          <w:rPr>
            <w:rFonts w:ascii="Arial" w:hAnsi="Arial" w:cs="Arial"/>
            <w:i/>
            <w:sz w:val="20"/>
            <w:szCs w:val="20"/>
          </w:rPr>
          <w:t>declared service</w:t>
        </w:r>
      </w:hyperlink>
      <w:r w:rsidR="004C1EAF" w:rsidRPr="00020876">
        <w:rPr>
          <w:rFonts w:ascii="Arial" w:hAnsi="Arial" w:cs="Arial"/>
          <w:i/>
          <w:sz w:val="20"/>
          <w:szCs w:val="20"/>
        </w:rPr>
        <w:t xml:space="preserve"> is supplied</w:t>
      </w:r>
    </w:p>
    <w:p w14:paraId="5D1CB7A7" w14:textId="77777777" w:rsidR="004C1EAF" w:rsidRPr="00020876" w:rsidRDefault="004C1EAF" w:rsidP="001251E5">
      <w:pPr>
        <w:spacing w:after="0" w:line="290" w:lineRule="atLeast"/>
        <w:rPr>
          <w:rFonts w:ascii="Arial" w:hAnsi="Arial" w:cs="Arial"/>
          <w:sz w:val="20"/>
          <w:szCs w:val="20"/>
        </w:rPr>
      </w:pPr>
    </w:p>
    <w:p w14:paraId="31BE6792" w14:textId="77777777" w:rsidR="004C1EAF" w:rsidRPr="00020876" w:rsidRDefault="004C1EAF" w:rsidP="001251E5">
      <w:pPr>
        <w:spacing w:after="0" w:line="290" w:lineRule="atLeast"/>
        <w:rPr>
          <w:rFonts w:ascii="Arial" w:hAnsi="Arial" w:cs="Arial"/>
          <w:sz w:val="20"/>
          <w:szCs w:val="20"/>
        </w:rPr>
      </w:pPr>
      <w:r w:rsidRPr="00020876">
        <w:rPr>
          <w:rFonts w:ascii="Arial" w:hAnsi="Arial" w:cs="Arial"/>
          <w:sz w:val="20"/>
          <w:szCs w:val="20"/>
        </w:rPr>
        <w:t xml:space="preserve">However, clause </w:t>
      </w:r>
      <w:proofErr w:type="gramStart"/>
      <w:r w:rsidRPr="00020876">
        <w:rPr>
          <w:rFonts w:ascii="Arial" w:hAnsi="Arial" w:cs="Arial"/>
          <w:sz w:val="20"/>
          <w:szCs w:val="20"/>
        </w:rPr>
        <w:t>152BCB(</w:t>
      </w:r>
      <w:proofErr w:type="gramEnd"/>
      <w:r w:rsidRPr="00020876">
        <w:rPr>
          <w:rFonts w:ascii="Arial" w:hAnsi="Arial" w:cs="Arial"/>
          <w:sz w:val="20"/>
          <w:szCs w:val="20"/>
        </w:rPr>
        <w:t xml:space="preserve">1) requires that the determination must not have the effect of: </w:t>
      </w:r>
    </w:p>
    <w:p w14:paraId="70982713" w14:textId="77777777" w:rsidR="004C1EAF" w:rsidRPr="00020876" w:rsidRDefault="004C1EAF" w:rsidP="001251E5">
      <w:pPr>
        <w:spacing w:after="0" w:line="290" w:lineRule="atLeast"/>
        <w:rPr>
          <w:rFonts w:ascii="Arial" w:hAnsi="Arial" w:cs="Arial"/>
          <w:sz w:val="20"/>
          <w:szCs w:val="20"/>
        </w:rPr>
      </w:pPr>
    </w:p>
    <w:p w14:paraId="181FF858" w14:textId="77777777" w:rsidR="004C1EAF" w:rsidRPr="00020876" w:rsidRDefault="004C1EAF" w:rsidP="001251E5">
      <w:pPr>
        <w:pStyle w:val="ListParagraph"/>
        <w:numPr>
          <w:ilvl w:val="0"/>
          <w:numId w:val="6"/>
        </w:numPr>
        <w:spacing w:after="0" w:line="290" w:lineRule="atLeast"/>
        <w:ind w:left="1134" w:hanging="567"/>
        <w:contextualSpacing w:val="0"/>
        <w:rPr>
          <w:rFonts w:ascii="Arial" w:hAnsi="Arial" w:cs="Arial"/>
          <w:i/>
          <w:sz w:val="20"/>
          <w:szCs w:val="20"/>
        </w:rPr>
      </w:pPr>
      <w:r w:rsidRPr="00020876">
        <w:rPr>
          <w:rFonts w:ascii="Arial" w:hAnsi="Arial" w:cs="Arial"/>
          <w:i/>
          <w:sz w:val="20"/>
          <w:szCs w:val="20"/>
        </w:rPr>
        <w:t xml:space="preserve">resulting in an </w:t>
      </w:r>
      <w:hyperlink r:id="rId27" w:anchor="access_seeker" w:history="1">
        <w:r w:rsidRPr="00020876">
          <w:rPr>
            <w:rFonts w:ascii="Arial" w:hAnsi="Arial" w:cs="Arial"/>
            <w:i/>
            <w:sz w:val="20"/>
            <w:szCs w:val="20"/>
          </w:rPr>
          <w:t>access seeker</w:t>
        </w:r>
      </w:hyperlink>
      <w:r w:rsidRPr="00020876">
        <w:rPr>
          <w:rFonts w:ascii="Arial" w:hAnsi="Arial" w:cs="Arial"/>
          <w:i/>
          <w:sz w:val="20"/>
          <w:szCs w:val="20"/>
        </w:rPr>
        <w:t xml:space="preserve"> becoming the owner (or one of the owners) of any part of a </w:t>
      </w:r>
      <w:hyperlink r:id="rId28" w:anchor="facility" w:history="1">
        <w:r w:rsidRPr="00020876">
          <w:rPr>
            <w:rFonts w:ascii="Arial" w:hAnsi="Arial" w:cs="Arial"/>
            <w:i/>
            <w:sz w:val="20"/>
            <w:szCs w:val="20"/>
          </w:rPr>
          <w:t>facility</w:t>
        </w:r>
      </w:hyperlink>
      <w:r w:rsidRPr="00020876">
        <w:rPr>
          <w:rFonts w:ascii="Arial" w:hAnsi="Arial" w:cs="Arial"/>
          <w:i/>
          <w:sz w:val="20"/>
          <w:szCs w:val="20"/>
        </w:rPr>
        <w:t xml:space="preserve"> without the consent of the owner of the </w:t>
      </w:r>
      <w:hyperlink r:id="rId29" w:anchor="facility" w:history="1">
        <w:r w:rsidRPr="00020876">
          <w:rPr>
            <w:rFonts w:ascii="Arial" w:hAnsi="Arial" w:cs="Arial"/>
            <w:i/>
            <w:sz w:val="20"/>
            <w:szCs w:val="20"/>
          </w:rPr>
          <w:t>facility</w:t>
        </w:r>
      </w:hyperlink>
      <w:r w:rsidRPr="00020876">
        <w:rPr>
          <w:rFonts w:ascii="Arial" w:hAnsi="Arial" w:cs="Arial"/>
          <w:i/>
          <w:sz w:val="20"/>
          <w:szCs w:val="20"/>
        </w:rPr>
        <w:t xml:space="preserve">; </w:t>
      </w:r>
    </w:p>
    <w:p w14:paraId="1D8705C9" w14:textId="77777777" w:rsidR="004C1EAF" w:rsidRPr="00020876" w:rsidRDefault="004C1EAF" w:rsidP="001251E5">
      <w:pPr>
        <w:pStyle w:val="ListParagraph"/>
        <w:numPr>
          <w:ilvl w:val="0"/>
          <w:numId w:val="6"/>
        </w:numPr>
        <w:spacing w:after="0" w:line="290" w:lineRule="atLeast"/>
        <w:ind w:left="1134" w:hanging="567"/>
        <w:contextualSpacing w:val="0"/>
        <w:rPr>
          <w:rFonts w:ascii="Arial" w:hAnsi="Arial" w:cs="Arial"/>
          <w:i/>
          <w:sz w:val="20"/>
          <w:szCs w:val="20"/>
        </w:rPr>
      </w:pPr>
      <w:r w:rsidRPr="00020876">
        <w:rPr>
          <w:rFonts w:ascii="Arial" w:hAnsi="Arial" w:cs="Arial"/>
          <w:i/>
          <w:sz w:val="20"/>
          <w:szCs w:val="20"/>
        </w:rPr>
        <w:t xml:space="preserve">requiring a </w:t>
      </w:r>
      <w:hyperlink r:id="rId30" w:anchor="person" w:history="1">
        <w:r w:rsidRPr="00020876">
          <w:rPr>
            <w:rFonts w:ascii="Arial" w:hAnsi="Arial" w:cs="Arial"/>
            <w:i/>
            <w:sz w:val="20"/>
            <w:szCs w:val="20"/>
          </w:rPr>
          <w:t>person</w:t>
        </w:r>
      </w:hyperlink>
      <w:r w:rsidRPr="00020876">
        <w:rPr>
          <w:rFonts w:ascii="Arial" w:hAnsi="Arial" w:cs="Arial"/>
          <w:i/>
          <w:sz w:val="20"/>
          <w:szCs w:val="20"/>
        </w:rPr>
        <w:t xml:space="preserve"> (other than an </w:t>
      </w:r>
      <w:hyperlink r:id="rId31" w:anchor="access_seeker" w:history="1">
        <w:r w:rsidRPr="00020876">
          <w:rPr>
            <w:rFonts w:ascii="Arial" w:hAnsi="Arial" w:cs="Arial"/>
            <w:i/>
            <w:sz w:val="20"/>
            <w:szCs w:val="20"/>
          </w:rPr>
          <w:t>access seeker</w:t>
        </w:r>
      </w:hyperlink>
      <w:r w:rsidRPr="00020876">
        <w:rPr>
          <w:rFonts w:ascii="Arial" w:hAnsi="Arial" w:cs="Arial"/>
          <w:i/>
          <w:sz w:val="20"/>
          <w:szCs w:val="20"/>
        </w:rPr>
        <w:t xml:space="preserve">) to bear an unreasonable amount of the costs of: </w:t>
      </w:r>
    </w:p>
    <w:p w14:paraId="5FF5C43D" w14:textId="77777777" w:rsidR="004C1EAF" w:rsidRPr="00020876" w:rsidRDefault="004C1EAF" w:rsidP="001251E5">
      <w:pPr>
        <w:pStyle w:val="ListParagraph"/>
        <w:numPr>
          <w:ilvl w:val="1"/>
          <w:numId w:val="6"/>
        </w:numPr>
        <w:spacing w:after="0" w:line="290" w:lineRule="atLeast"/>
        <w:ind w:left="1701" w:hanging="567"/>
        <w:contextualSpacing w:val="0"/>
        <w:rPr>
          <w:rFonts w:ascii="Arial" w:hAnsi="Arial" w:cs="Arial"/>
          <w:i/>
          <w:sz w:val="20"/>
          <w:szCs w:val="20"/>
        </w:rPr>
      </w:pPr>
      <w:r w:rsidRPr="00020876">
        <w:rPr>
          <w:rFonts w:ascii="Arial" w:hAnsi="Arial" w:cs="Arial"/>
          <w:i/>
          <w:sz w:val="20"/>
          <w:szCs w:val="20"/>
        </w:rPr>
        <w:t xml:space="preserve">extending or enhancing the capability of a </w:t>
      </w:r>
      <w:hyperlink r:id="rId32" w:anchor="facility" w:history="1">
        <w:r w:rsidRPr="00020876">
          <w:rPr>
            <w:rFonts w:ascii="Arial" w:hAnsi="Arial" w:cs="Arial"/>
            <w:i/>
            <w:sz w:val="20"/>
            <w:szCs w:val="20"/>
          </w:rPr>
          <w:t>facility</w:t>
        </w:r>
      </w:hyperlink>
      <w:r w:rsidRPr="00020876">
        <w:rPr>
          <w:rFonts w:ascii="Arial" w:hAnsi="Arial" w:cs="Arial"/>
          <w:i/>
          <w:sz w:val="20"/>
          <w:szCs w:val="20"/>
        </w:rPr>
        <w:t xml:space="preserve">; or </w:t>
      </w:r>
    </w:p>
    <w:p w14:paraId="7276384A" w14:textId="77777777" w:rsidR="004C1EAF" w:rsidRPr="00020876" w:rsidRDefault="004C1EAF" w:rsidP="001251E5">
      <w:pPr>
        <w:pStyle w:val="ListParagraph"/>
        <w:numPr>
          <w:ilvl w:val="1"/>
          <w:numId w:val="6"/>
        </w:numPr>
        <w:spacing w:after="0" w:line="290" w:lineRule="atLeast"/>
        <w:ind w:left="1701" w:hanging="567"/>
        <w:contextualSpacing w:val="0"/>
        <w:rPr>
          <w:rFonts w:ascii="Arial" w:hAnsi="Arial" w:cs="Arial"/>
          <w:i/>
          <w:sz w:val="20"/>
          <w:szCs w:val="20"/>
        </w:rPr>
      </w:pPr>
      <w:r w:rsidRPr="00020876">
        <w:rPr>
          <w:rFonts w:ascii="Arial" w:hAnsi="Arial" w:cs="Arial"/>
          <w:i/>
          <w:sz w:val="20"/>
          <w:szCs w:val="20"/>
        </w:rPr>
        <w:t xml:space="preserve">maintaining extensions to or enhancements of the capability of a </w:t>
      </w:r>
      <w:hyperlink r:id="rId33" w:anchor="facility" w:history="1">
        <w:r w:rsidRPr="00020876">
          <w:rPr>
            <w:rFonts w:ascii="Arial" w:hAnsi="Arial" w:cs="Arial"/>
            <w:i/>
            <w:sz w:val="20"/>
            <w:szCs w:val="20"/>
          </w:rPr>
          <w:t>facility</w:t>
        </w:r>
      </w:hyperlink>
      <w:r w:rsidRPr="00020876">
        <w:rPr>
          <w:rFonts w:ascii="Arial" w:hAnsi="Arial" w:cs="Arial"/>
          <w:i/>
          <w:sz w:val="20"/>
          <w:szCs w:val="20"/>
        </w:rPr>
        <w:t xml:space="preserve">; </w:t>
      </w:r>
    </w:p>
    <w:p w14:paraId="3C5A70CF" w14:textId="77777777" w:rsidR="00483F53" w:rsidRDefault="00483F53" w:rsidP="001251E5">
      <w:pPr>
        <w:pStyle w:val="Heading2"/>
        <w:spacing w:before="0" w:after="0" w:line="290" w:lineRule="atLeast"/>
        <w:rPr>
          <w:b/>
          <w:sz w:val="20"/>
          <w:szCs w:val="20"/>
        </w:rPr>
      </w:pPr>
    </w:p>
    <w:p w14:paraId="74A68DB0" w14:textId="77777777" w:rsidR="004C1EAF" w:rsidRPr="00020876" w:rsidRDefault="004C1EAF" w:rsidP="001251E5">
      <w:pPr>
        <w:pStyle w:val="Heading2"/>
        <w:spacing w:before="0" w:after="0" w:line="290" w:lineRule="atLeast"/>
        <w:rPr>
          <w:b/>
          <w:sz w:val="20"/>
          <w:szCs w:val="20"/>
        </w:rPr>
      </w:pPr>
      <w:r w:rsidRPr="00020876">
        <w:rPr>
          <w:b/>
          <w:sz w:val="20"/>
          <w:szCs w:val="20"/>
        </w:rPr>
        <w:t>National Electricity Rules</w:t>
      </w:r>
    </w:p>
    <w:p w14:paraId="349686A2" w14:textId="77777777" w:rsidR="004C1EAF" w:rsidRPr="00020876" w:rsidRDefault="004C1EAF" w:rsidP="001251E5">
      <w:pPr>
        <w:spacing w:after="0" w:line="290" w:lineRule="atLeast"/>
        <w:rPr>
          <w:rFonts w:ascii="Arial" w:hAnsi="Arial" w:cs="Arial"/>
          <w:sz w:val="20"/>
          <w:szCs w:val="20"/>
        </w:rPr>
      </w:pPr>
      <w:r w:rsidRPr="00020876">
        <w:rPr>
          <w:rFonts w:ascii="Arial" w:hAnsi="Arial" w:cs="Arial"/>
          <w:sz w:val="20"/>
          <w:szCs w:val="20"/>
        </w:rPr>
        <w:t xml:space="preserve">The regulatory framework governing the achievement of the objectives of the National Electricity Market includes provision for a person wishing to connect to a declared network making a capital contribution to the augmentation of that network.  This is evident in clause </w:t>
      </w:r>
      <w:proofErr w:type="gramStart"/>
      <w:r w:rsidRPr="00020876">
        <w:rPr>
          <w:rFonts w:ascii="Arial" w:hAnsi="Arial" w:cs="Arial"/>
          <w:sz w:val="20"/>
          <w:szCs w:val="20"/>
        </w:rPr>
        <w:t>50E(</w:t>
      </w:r>
      <w:proofErr w:type="gramEnd"/>
      <w:r w:rsidRPr="00020876">
        <w:rPr>
          <w:rFonts w:ascii="Arial" w:hAnsi="Arial" w:cs="Arial"/>
          <w:sz w:val="20"/>
          <w:szCs w:val="20"/>
        </w:rPr>
        <w:t>3) of the National Electricity (South Australia) Act 1996 which requires that if</w:t>
      </w:r>
    </w:p>
    <w:p w14:paraId="0DB7CBB2" w14:textId="77777777" w:rsidR="004C1EAF" w:rsidRPr="00020876" w:rsidRDefault="004C1EAF" w:rsidP="001251E5">
      <w:pPr>
        <w:spacing w:after="0" w:line="290" w:lineRule="atLeast"/>
        <w:rPr>
          <w:rFonts w:ascii="Arial" w:hAnsi="Arial" w:cs="Arial"/>
          <w:sz w:val="20"/>
          <w:szCs w:val="20"/>
        </w:rPr>
      </w:pPr>
    </w:p>
    <w:p w14:paraId="5F0E3325" w14:textId="77777777" w:rsidR="004C1EAF" w:rsidRPr="00020876" w:rsidRDefault="004C1EAF" w:rsidP="001251E5">
      <w:pPr>
        <w:pStyle w:val="ListParagraph"/>
        <w:numPr>
          <w:ilvl w:val="0"/>
          <w:numId w:val="6"/>
        </w:numPr>
        <w:spacing w:after="0" w:line="290" w:lineRule="atLeast"/>
        <w:ind w:left="1134" w:hanging="567"/>
        <w:rPr>
          <w:rFonts w:ascii="Arial" w:hAnsi="Arial" w:cs="Arial"/>
          <w:i/>
          <w:sz w:val="20"/>
          <w:szCs w:val="20"/>
        </w:rPr>
      </w:pPr>
      <w:r w:rsidRPr="00020876">
        <w:rPr>
          <w:rFonts w:ascii="Arial" w:hAnsi="Arial" w:cs="Arial"/>
          <w:i/>
          <w:sz w:val="20"/>
          <w:szCs w:val="20"/>
        </w:rPr>
        <w:t>a person to whom this section applies (the applicant) wants to connect to a declared shared network; but</w:t>
      </w:r>
    </w:p>
    <w:p w14:paraId="3ECCF738" w14:textId="77777777" w:rsidR="004C1EAF" w:rsidRPr="00020876" w:rsidRDefault="004C1EAF" w:rsidP="001251E5">
      <w:pPr>
        <w:pStyle w:val="ListParagraph"/>
        <w:numPr>
          <w:ilvl w:val="0"/>
          <w:numId w:val="6"/>
        </w:numPr>
        <w:spacing w:after="0" w:line="290" w:lineRule="atLeast"/>
        <w:ind w:left="1134" w:hanging="567"/>
        <w:rPr>
          <w:rFonts w:ascii="Arial" w:hAnsi="Arial" w:cs="Arial"/>
          <w:i/>
          <w:sz w:val="20"/>
          <w:szCs w:val="20"/>
        </w:rPr>
      </w:pPr>
      <w:r w:rsidRPr="00020876">
        <w:rPr>
          <w:rFonts w:ascii="Arial" w:hAnsi="Arial" w:cs="Arial"/>
          <w:i/>
          <w:sz w:val="20"/>
          <w:szCs w:val="20"/>
        </w:rPr>
        <w:lastRenderedPageBreak/>
        <w:t>the fault levels at the proposed connection point would, if the connection were allowed, be likely to exceed the limits fixed under the Rules; then</w:t>
      </w:r>
    </w:p>
    <w:p w14:paraId="583504F2" w14:textId="77777777" w:rsidR="004C1EAF" w:rsidRPr="00020876" w:rsidRDefault="004C1EAF" w:rsidP="001251E5">
      <w:pPr>
        <w:pStyle w:val="ListParagraph"/>
        <w:numPr>
          <w:ilvl w:val="0"/>
          <w:numId w:val="6"/>
        </w:numPr>
        <w:spacing w:after="0" w:line="290" w:lineRule="atLeast"/>
        <w:ind w:left="1134" w:hanging="567"/>
        <w:rPr>
          <w:rFonts w:ascii="Arial" w:hAnsi="Arial" w:cs="Arial"/>
          <w:i/>
          <w:sz w:val="20"/>
          <w:szCs w:val="20"/>
        </w:rPr>
      </w:pPr>
      <w:r w:rsidRPr="00020876">
        <w:rPr>
          <w:rFonts w:ascii="Arial" w:hAnsi="Arial" w:cs="Arial"/>
          <w:i/>
          <w:sz w:val="20"/>
          <w:szCs w:val="20"/>
        </w:rPr>
        <w:t>AEMO may, as a condition of entering into a connection agreement with the applicant, require the applicant to make a contribution to the cost of carrying out the augmentation to the declared shared network necessary to reduce fault levels to an acceptable level</w:t>
      </w:r>
    </w:p>
    <w:p w14:paraId="050B9D72" w14:textId="77777777" w:rsidR="004C1EAF" w:rsidRPr="00020876" w:rsidRDefault="004C1EAF" w:rsidP="001251E5">
      <w:pPr>
        <w:spacing w:after="0" w:line="290" w:lineRule="atLeast"/>
        <w:rPr>
          <w:rFonts w:ascii="Arial" w:hAnsi="Arial" w:cs="Arial"/>
          <w:sz w:val="20"/>
          <w:szCs w:val="20"/>
        </w:rPr>
      </w:pPr>
    </w:p>
    <w:p w14:paraId="29A3D69D" w14:textId="77777777" w:rsidR="004C1EAF" w:rsidRPr="00020876" w:rsidRDefault="004C1EAF" w:rsidP="001251E5">
      <w:pPr>
        <w:spacing w:after="0" w:line="290" w:lineRule="atLeast"/>
        <w:rPr>
          <w:rFonts w:ascii="Arial" w:hAnsi="Arial" w:cs="Arial"/>
          <w:sz w:val="20"/>
          <w:szCs w:val="20"/>
        </w:rPr>
      </w:pPr>
      <w:r w:rsidRPr="00020876">
        <w:rPr>
          <w:rFonts w:ascii="Arial" w:hAnsi="Arial" w:cs="Arial"/>
          <w:sz w:val="20"/>
          <w:szCs w:val="20"/>
        </w:rPr>
        <w:t xml:space="preserve">Similarly, clause 6.21.2 of the National Electricity Rules allows for: </w:t>
      </w:r>
    </w:p>
    <w:p w14:paraId="0D6D015B" w14:textId="77777777" w:rsidR="004C1EAF" w:rsidRPr="00020876" w:rsidRDefault="004C1EAF" w:rsidP="001251E5">
      <w:pPr>
        <w:spacing w:after="0" w:line="290" w:lineRule="atLeast"/>
        <w:rPr>
          <w:rFonts w:ascii="Arial" w:hAnsi="Arial" w:cs="Arial"/>
          <w:sz w:val="20"/>
          <w:szCs w:val="20"/>
        </w:rPr>
      </w:pPr>
    </w:p>
    <w:p w14:paraId="29D9BC01" w14:textId="77777777" w:rsidR="004C1EAF" w:rsidRPr="00020876" w:rsidRDefault="004C1EAF" w:rsidP="001251E5">
      <w:pPr>
        <w:pStyle w:val="ListParagraph"/>
        <w:numPr>
          <w:ilvl w:val="0"/>
          <w:numId w:val="6"/>
        </w:numPr>
        <w:spacing w:after="0" w:line="290" w:lineRule="atLeast"/>
        <w:ind w:left="1134" w:hanging="567"/>
        <w:rPr>
          <w:rFonts w:ascii="Arial" w:hAnsi="Arial" w:cs="Arial"/>
          <w:i/>
          <w:sz w:val="20"/>
          <w:szCs w:val="20"/>
        </w:rPr>
      </w:pPr>
      <w:r w:rsidRPr="00020876">
        <w:rPr>
          <w:rFonts w:ascii="Arial" w:hAnsi="Arial" w:cs="Arial"/>
          <w:i/>
          <w:sz w:val="20"/>
          <w:szCs w:val="20"/>
        </w:rPr>
        <w:t>the Distribution Network Service Provider may receive a capital contribution, prepayment and/or financial guarantee up to the provider's future revenue related to the provision of direct control services for any new assets installed as part of a new connection or modification to an existing connection, including any augmentation to the distribution network</w:t>
      </w:r>
    </w:p>
    <w:p w14:paraId="210E31D4" w14:textId="77777777" w:rsidR="004C1EAF" w:rsidRPr="00020876" w:rsidRDefault="004C1EAF" w:rsidP="001251E5">
      <w:pPr>
        <w:spacing w:after="0" w:line="290" w:lineRule="atLeast"/>
        <w:rPr>
          <w:rFonts w:ascii="Arial" w:hAnsi="Arial" w:cs="Arial"/>
          <w:sz w:val="20"/>
          <w:szCs w:val="20"/>
        </w:rPr>
      </w:pPr>
    </w:p>
    <w:p w14:paraId="389A6616" w14:textId="77777777" w:rsidR="004C1EAF" w:rsidRPr="00020876" w:rsidRDefault="004C1EAF" w:rsidP="001251E5">
      <w:pPr>
        <w:spacing w:after="0" w:line="290" w:lineRule="atLeast"/>
        <w:rPr>
          <w:rFonts w:ascii="Arial" w:hAnsi="Arial" w:cs="Arial"/>
          <w:sz w:val="20"/>
          <w:szCs w:val="20"/>
        </w:rPr>
      </w:pPr>
      <w:r w:rsidRPr="00020876">
        <w:rPr>
          <w:rFonts w:ascii="Arial" w:hAnsi="Arial" w:cs="Arial"/>
          <w:sz w:val="20"/>
          <w:szCs w:val="20"/>
        </w:rPr>
        <w:t xml:space="preserve">These provisions are usually given effect through a Capital Contributions Policy approved by the regulator.  These policies may include a requirement that the customer provide additional compensation to the service provider for any additional tax liability as show in the following extract from the approved policy for Western Power. </w:t>
      </w:r>
    </w:p>
    <w:p w14:paraId="164B2C31" w14:textId="77777777" w:rsidR="004C1EAF" w:rsidRPr="00020876" w:rsidRDefault="004C1EAF" w:rsidP="001251E5">
      <w:pPr>
        <w:spacing w:after="0" w:line="290" w:lineRule="atLeast"/>
        <w:rPr>
          <w:rFonts w:ascii="Arial" w:hAnsi="Arial" w:cs="Arial"/>
          <w:sz w:val="20"/>
          <w:szCs w:val="20"/>
        </w:rPr>
      </w:pPr>
    </w:p>
    <w:p w14:paraId="5CEB113E" w14:textId="77777777" w:rsidR="004C1EAF" w:rsidRPr="00020876" w:rsidRDefault="004C1EAF" w:rsidP="001251E5">
      <w:pPr>
        <w:pStyle w:val="ListParagraph"/>
        <w:numPr>
          <w:ilvl w:val="0"/>
          <w:numId w:val="6"/>
        </w:numPr>
        <w:spacing w:after="0" w:line="290" w:lineRule="atLeast"/>
        <w:ind w:left="1134" w:hanging="567"/>
        <w:rPr>
          <w:rFonts w:ascii="Arial" w:hAnsi="Arial" w:cs="Arial"/>
          <w:i/>
          <w:sz w:val="20"/>
          <w:szCs w:val="20"/>
        </w:rPr>
      </w:pPr>
      <w:r w:rsidRPr="00020876">
        <w:rPr>
          <w:rFonts w:ascii="Arial" w:hAnsi="Arial" w:cs="Arial"/>
          <w:i/>
          <w:sz w:val="20"/>
          <w:szCs w:val="20"/>
        </w:rPr>
        <w:t>The receipt by Western Power of a contribution may result in Western Power incurring a tax liability (whether under Commonwealth or State income tax and other legislation or under a tax equivalent regime applicable to Western Power as a government owned enterprise) and Western Power may recover from the applicant, as part of the contribution payable by the applicant, Western Power’s forecast of the net tax liability it will incur as a result of the receipt of such contribution</w:t>
      </w:r>
    </w:p>
    <w:p w14:paraId="41014F44" w14:textId="77777777" w:rsidR="004C1EAF" w:rsidRPr="00020876" w:rsidRDefault="004C1EAF" w:rsidP="001251E5">
      <w:pPr>
        <w:spacing w:after="0" w:line="290" w:lineRule="atLeast"/>
        <w:rPr>
          <w:rFonts w:ascii="Arial" w:hAnsi="Arial" w:cs="Arial"/>
          <w:sz w:val="20"/>
          <w:szCs w:val="20"/>
        </w:rPr>
      </w:pPr>
    </w:p>
    <w:p w14:paraId="6A4AB213" w14:textId="77777777" w:rsidR="004C1EAF" w:rsidRPr="00020876" w:rsidRDefault="004C1EAF" w:rsidP="001251E5">
      <w:pPr>
        <w:spacing w:after="0" w:line="290" w:lineRule="atLeast"/>
        <w:rPr>
          <w:rFonts w:ascii="Arial" w:hAnsi="Arial" w:cs="Arial"/>
          <w:sz w:val="20"/>
          <w:szCs w:val="20"/>
        </w:rPr>
      </w:pPr>
      <w:r w:rsidRPr="00020876">
        <w:rPr>
          <w:rFonts w:ascii="Arial" w:hAnsi="Arial" w:cs="Arial"/>
          <w:sz w:val="20"/>
          <w:szCs w:val="20"/>
        </w:rPr>
        <w:t>Alternatively, the service provider incurs the upfront tax liability with recovery included in the tax asset base used to derive the annual allowable revenue.</w:t>
      </w:r>
    </w:p>
    <w:p w14:paraId="4E9E82F4" w14:textId="77777777" w:rsidR="004C1EAF" w:rsidRPr="00020876" w:rsidRDefault="004C1EAF" w:rsidP="001251E5">
      <w:pPr>
        <w:spacing w:after="0" w:line="290" w:lineRule="atLeast"/>
        <w:rPr>
          <w:rFonts w:ascii="Arial" w:hAnsi="Arial" w:cs="Arial"/>
          <w:sz w:val="20"/>
          <w:szCs w:val="20"/>
        </w:rPr>
      </w:pPr>
    </w:p>
    <w:p w14:paraId="3212B4BE" w14:textId="77777777" w:rsidR="004C1EAF" w:rsidRPr="00020876" w:rsidRDefault="004C1EAF" w:rsidP="001251E5">
      <w:pPr>
        <w:pStyle w:val="Heading2"/>
        <w:spacing w:before="0" w:after="0" w:line="290" w:lineRule="atLeast"/>
        <w:rPr>
          <w:b/>
          <w:sz w:val="20"/>
          <w:szCs w:val="20"/>
        </w:rPr>
      </w:pPr>
      <w:proofErr w:type="spellStart"/>
      <w:r w:rsidRPr="00020876">
        <w:rPr>
          <w:b/>
          <w:sz w:val="20"/>
          <w:szCs w:val="20"/>
        </w:rPr>
        <w:t>AustralAsia</w:t>
      </w:r>
      <w:proofErr w:type="spellEnd"/>
      <w:r w:rsidRPr="00020876">
        <w:rPr>
          <w:b/>
          <w:sz w:val="20"/>
          <w:szCs w:val="20"/>
        </w:rPr>
        <w:t xml:space="preserve"> Railway (Third Party Access) Code</w:t>
      </w:r>
    </w:p>
    <w:p w14:paraId="12AC984B" w14:textId="77777777" w:rsidR="004C1EAF" w:rsidRPr="00020876" w:rsidRDefault="004C1EAF" w:rsidP="001251E5">
      <w:pPr>
        <w:spacing w:after="0" w:line="290" w:lineRule="atLeast"/>
        <w:rPr>
          <w:rFonts w:ascii="Arial" w:hAnsi="Arial" w:cs="Arial"/>
          <w:sz w:val="20"/>
          <w:szCs w:val="20"/>
        </w:rPr>
      </w:pPr>
      <w:r w:rsidRPr="00020876">
        <w:rPr>
          <w:rFonts w:ascii="Arial" w:hAnsi="Arial" w:cs="Arial"/>
          <w:sz w:val="20"/>
          <w:szCs w:val="20"/>
        </w:rPr>
        <w:t xml:space="preserve">The </w:t>
      </w:r>
      <w:proofErr w:type="spellStart"/>
      <w:r w:rsidRPr="00020876">
        <w:rPr>
          <w:rFonts w:ascii="Arial" w:hAnsi="Arial" w:cs="Arial"/>
          <w:sz w:val="20"/>
          <w:szCs w:val="20"/>
        </w:rPr>
        <w:t>AustralAsia</w:t>
      </w:r>
      <w:proofErr w:type="spellEnd"/>
      <w:r w:rsidRPr="00020876">
        <w:rPr>
          <w:rFonts w:ascii="Arial" w:hAnsi="Arial" w:cs="Arial"/>
          <w:sz w:val="20"/>
          <w:szCs w:val="20"/>
        </w:rPr>
        <w:t xml:space="preserve"> Railway (Third Party Access) Code covers the facilities necessary for the operation of the railway from Tarcoola to Darwin. The access regime is certified as an effective regime for the purpose of the Competition Principles Agreement.</w:t>
      </w:r>
    </w:p>
    <w:p w14:paraId="025B42BA" w14:textId="77777777" w:rsidR="004C1EAF" w:rsidRPr="00020876" w:rsidRDefault="004C1EAF" w:rsidP="001251E5">
      <w:pPr>
        <w:spacing w:after="0" w:line="290" w:lineRule="atLeast"/>
        <w:rPr>
          <w:rFonts w:ascii="Arial" w:hAnsi="Arial" w:cs="Arial"/>
          <w:sz w:val="20"/>
          <w:szCs w:val="20"/>
        </w:rPr>
      </w:pPr>
    </w:p>
    <w:p w14:paraId="021B8602" w14:textId="77777777" w:rsidR="004C1EAF" w:rsidRPr="00020876" w:rsidRDefault="004C1EAF" w:rsidP="001251E5">
      <w:pPr>
        <w:spacing w:after="0" w:line="290" w:lineRule="atLeast"/>
        <w:rPr>
          <w:rFonts w:ascii="Arial" w:hAnsi="Arial" w:cs="Arial"/>
          <w:sz w:val="20"/>
          <w:szCs w:val="20"/>
        </w:rPr>
      </w:pPr>
      <w:r w:rsidRPr="00020876">
        <w:rPr>
          <w:rFonts w:ascii="Arial" w:hAnsi="Arial" w:cs="Arial"/>
          <w:sz w:val="20"/>
          <w:szCs w:val="20"/>
        </w:rPr>
        <w:t xml:space="preserve">The access regime establishes the right to negotiate access to use the railway infrastructure between Tarcoola and Darwin. It sets out the rights and responsibilities of </w:t>
      </w:r>
      <w:r w:rsidRPr="00020876">
        <w:rPr>
          <w:rFonts w:ascii="Arial" w:hAnsi="Arial" w:cs="Arial"/>
          <w:sz w:val="20"/>
          <w:szCs w:val="20"/>
        </w:rPr>
        <w:lastRenderedPageBreak/>
        <w:t>both access seekers and the infrastructure owner, covering matters such as terms and conditions of access, the negotiation process, and dispute resolution.</w:t>
      </w:r>
    </w:p>
    <w:p w14:paraId="74F0A330" w14:textId="77777777" w:rsidR="004C1EAF" w:rsidRPr="00020876" w:rsidRDefault="004C1EAF" w:rsidP="001251E5">
      <w:pPr>
        <w:spacing w:after="0" w:line="290" w:lineRule="atLeast"/>
        <w:rPr>
          <w:rFonts w:ascii="Arial" w:hAnsi="Arial" w:cs="Arial"/>
          <w:sz w:val="20"/>
          <w:szCs w:val="20"/>
        </w:rPr>
      </w:pPr>
    </w:p>
    <w:p w14:paraId="4EB15C92" w14:textId="77777777" w:rsidR="004C1EAF" w:rsidRPr="00020876" w:rsidRDefault="004C1EAF" w:rsidP="001251E5">
      <w:pPr>
        <w:spacing w:after="0" w:line="290" w:lineRule="atLeast"/>
        <w:rPr>
          <w:rFonts w:ascii="Arial" w:hAnsi="Arial" w:cs="Arial"/>
          <w:sz w:val="20"/>
          <w:szCs w:val="20"/>
        </w:rPr>
      </w:pPr>
      <w:r w:rsidRPr="00020876">
        <w:rPr>
          <w:rFonts w:ascii="Arial" w:hAnsi="Arial" w:cs="Arial"/>
          <w:sz w:val="20"/>
          <w:szCs w:val="20"/>
        </w:rPr>
        <w:t>The dispute resolution procedures provide for a commercial arbitrator may, under clause 19(2) make an award which:</w:t>
      </w:r>
    </w:p>
    <w:p w14:paraId="05393412" w14:textId="77777777" w:rsidR="004C1EAF" w:rsidRPr="00020876" w:rsidRDefault="004C1EAF" w:rsidP="001251E5">
      <w:pPr>
        <w:spacing w:after="0" w:line="290" w:lineRule="atLeast"/>
        <w:rPr>
          <w:rFonts w:ascii="Arial" w:hAnsi="Arial" w:cs="Arial"/>
          <w:sz w:val="20"/>
          <w:szCs w:val="20"/>
        </w:rPr>
      </w:pPr>
    </w:p>
    <w:p w14:paraId="7E8F40A5" w14:textId="77777777" w:rsidR="004C1EAF" w:rsidRPr="00020876" w:rsidRDefault="004C1EAF" w:rsidP="001251E5">
      <w:pPr>
        <w:pStyle w:val="ListParagraph"/>
        <w:numPr>
          <w:ilvl w:val="0"/>
          <w:numId w:val="6"/>
        </w:numPr>
        <w:spacing w:after="0" w:line="290" w:lineRule="atLeast"/>
        <w:ind w:left="1134" w:hanging="567"/>
        <w:rPr>
          <w:rFonts w:ascii="Arial" w:hAnsi="Arial" w:cs="Arial"/>
          <w:i/>
          <w:sz w:val="20"/>
          <w:szCs w:val="20"/>
        </w:rPr>
      </w:pPr>
      <w:r w:rsidRPr="00020876">
        <w:rPr>
          <w:rFonts w:ascii="Arial" w:hAnsi="Arial" w:cs="Arial"/>
          <w:i/>
          <w:sz w:val="20"/>
          <w:szCs w:val="20"/>
        </w:rPr>
        <w:t>require the access provider to extend the railway infrastructure facilities</w:t>
      </w:r>
    </w:p>
    <w:p w14:paraId="58AFFD4A" w14:textId="77777777" w:rsidR="004C1EAF" w:rsidRPr="00020876" w:rsidRDefault="004C1EAF" w:rsidP="001251E5">
      <w:pPr>
        <w:tabs>
          <w:tab w:val="left" w:pos="1455"/>
        </w:tabs>
        <w:spacing w:after="0" w:line="290" w:lineRule="atLeast"/>
        <w:rPr>
          <w:rFonts w:ascii="Arial" w:hAnsi="Arial" w:cs="Arial"/>
          <w:sz w:val="20"/>
          <w:szCs w:val="20"/>
        </w:rPr>
      </w:pPr>
      <w:r w:rsidRPr="00020876">
        <w:rPr>
          <w:rFonts w:ascii="Arial" w:hAnsi="Arial" w:cs="Arial"/>
          <w:sz w:val="20"/>
          <w:szCs w:val="20"/>
        </w:rPr>
        <w:tab/>
      </w:r>
    </w:p>
    <w:p w14:paraId="7294E9C1" w14:textId="77777777" w:rsidR="004C1EAF" w:rsidRPr="00020876" w:rsidRDefault="004C1EAF" w:rsidP="001251E5">
      <w:pPr>
        <w:spacing w:after="0" w:line="290" w:lineRule="atLeast"/>
        <w:rPr>
          <w:rFonts w:ascii="Arial" w:hAnsi="Arial" w:cs="Arial"/>
          <w:sz w:val="20"/>
          <w:szCs w:val="20"/>
        </w:rPr>
      </w:pPr>
      <w:r w:rsidRPr="00020876">
        <w:rPr>
          <w:rFonts w:ascii="Arial" w:hAnsi="Arial" w:cs="Arial"/>
          <w:sz w:val="20"/>
          <w:szCs w:val="20"/>
        </w:rPr>
        <w:t>However, clause 20(1) does not allow the arbitrator to make an award which would:</w:t>
      </w:r>
    </w:p>
    <w:p w14:paraId="55D88434" w14:textId="77777777" w:rsidR="004C1EAF" w:rsidRPr="00020876" w:rsidRDefault="004C1EAF" w:rsidP="001251E5">
      <w:pPr>
        <w:spacing w:after="0" w:line="290" w:lineRule="atLeast"/>
        <w:rPr>
          <w:rFonts w:ascii="Arial" w:hAnsi="Arial" w:cs="Arial"/>
          <w:sz w:val="20"/>
          <w:szCs w:val="20"/>
        </w:rPr>
      </w:pPr>
    </w:p>
    <w:p w14:paraId="6E5498BA" w14:textId="77777777" w:rsidR="004C1EAF" w:rsidRPr="00020876" w:rsidRDefault="004C1EAF" w:rsidP="001251E5">
      <w:pPr>
        <w:pStyle w:val="ListParagraph"/>
        <w:numPr>
          <w:ilvl w:val="0"/>
          <w:numId w:val="6"/>
        </w:numPr>
        <w:spacing w:after="0" w:line="290" w:lineRule="atLeast"/>
        <w:ind w:left="1134" w:hanging="567"/>
        <w:rPr>
          <w:rFonts w:ascii="Arial" w:hAnsi="Arial" w:cs="Arial"/>
          <w:i/>
          <w:sz w:val="20"/>
          <w:szCs w:val="20"/>
        </w:rPr>
      </w:pPr>
      <w:r w:rsidRPr="00020876">
        <w:rPr>
          <w:rFonts w:ascii="Arial" w:hAnsi="Arial" w:cs="Arial"/>
          <w:i/>
          <w:sz w:val="20"/>
          <w:szCs w:val="20"/>
        </w:rPr>
        <w:t>have the effect of requiring the access provider to bear any of the capital cost of any addition or extension to the railway infrastructure facilities, unless the access provider agrees</w:t>
      </w:r>
    </w:p>
    <w:p w14:paraId="3E740F9B" w14:textId="77777777" w:rsidR="00483F53" w:rsidRDefault="00483F53" w:rsidP="001251E5">
      <w:pPr>
        <w:pStyle w:val="Heading2"/>
        <w:spacing w:before="0" w:after="0" w:line="290" w:lineRule="atLeast"/>
        <w:rPr>
          <w:b/>
          <w:sz w:val="20"/>
          <w:szCs w:val="20"/>
        </w:rPr>
      </w:pPr>
    </w:p>
    <w:p w14:paraId="058786B4" w14:textId="77777777" w:rsidR="004C1EAF" w:rsidRPr="00020876" w:rsidRDefault="004C1EAF" w:rsidP="001251E5">
      <w:pPr>
        <w:pStyle w:val="Heading2"/>
        <w:spacing w:before="0" w:after="0" w:line="290" w:lineRule="atLeast"/>
        <w:rPr>
          <w:b/>
          <w:sz w:val="20"/>
          <w:szCs w:val="20"/>
        </w:rPr>
      </w:pPr>
      <w:r w:rsidRPr="00020876">
        <w:rPr>
          <w:b/>
          <w:sz w:val="20"/>
          <w:szCs w:val="20"/>
        </w:rPr>
        <w:t>Queensland Rail Access Regime</w:t>
      </w:r>
    </w:p>
    <w:p w14:paraId="3B474F41" w14:textId="77777777" w:rsidR="004C1EAF" w:rsidRPr="00020876" w:rsidRDefault="004C1EAF" w:rsidP="001251E5">
      <w:pPr>
        <w:spacing w:after="0" w:line="290" w:lineRule="atLeast"/>
        <w:rPr>
          <w:rFonts w:ascii="Arial" w:hAnsi="Arial" w:cs="Arial"/>
          <w:sz w:val="20"/>
          <w:szCs w:val="20"/>
        </w:rPr>
      </w:pPr>
      <w:r w:rsidRPr="00020876">
        <w:rPr>
          <w:rFonts w:ascii="Arial" w:hAnsi="Arial" w:cs="Arial"/>
          <w:sz w:val="20"/>
          <w:szCs w:val="20"/>
        </w:rPr>
        <w:t xml:space="preserve">The Queensland Rail access regime is contained in Part 5 of the </w:t>
      </w:r>
      <w:r w:rsidRPr="00020876">
        <w:rPr>
          <w:rFonts w:ascii="Arial" w:hAnsi="Arial" w:cs="Arial"/>
          <w:i/>
          <w:sz w:val="20"/>
          <w:szCs w:val="20"/>
        </w:rPr>
        <w:t>Queensland Competition Authority Act 1997</w:t>
      </w:r>
      <w:r w:rsidRPr="00020876">
        <w:rPr>
          <w:rFonts w:ascii="Arial" w:hAnsi="Arial" w:cs="Arial"/>
          <w:sz w:val="20"/>
          <w:szCs w:val="20"/>
        </w:rPr>
        <w:t xml:space="preserve">.  The regime was certified as effective for the purpose of the Competition Principles Agreement in 2010.  The regime includes </w:t>
      </w:r>
      <w:proofErr w:type="gramStart"/>
      <w:r w:rsidRPr="00020876">
        <w:rPr>
          <w:rFonts w:ascii="Arial" w:hAnsi="Arial" w:cs="Arial"/>
          <w:sz w:val="20"/>
          <w:szCs w:val="20"/>
        </w:rPr>
        <w:t>a negotiate</w:t>
      </w:r>
      <w:proofErr w:type="gramEnd"/>
      <w:r w:rsidRPr="00020876">
        <w:rPr>
          <w:rFonts w:ascii="Arial" w:hAnsi="Arial" w:cs="Arial"/>
          <w:sz w:val="20"/>
          <w:szCs w:val="20"/>
        </w:rPr>
        <w:t>-arbitrate model where the Queensland Competition Authority (QCA) may make a determination in the arbitration of a dispute under clause 118(1) which may include:</w:t>
      </w:r>
    </w:p>
    <w:p w14:paraId="39B83C5E" w14:textId="77777777" w:rsidR="004C1EAF" w:rsidRPr="00020876" w:rsidRDefault="004C1EAF" w:rsidP="001251E5">
      <w:pPr>
        <w:spacing w:after="0" w:line="290" w:lineRule="atLeast"/>
        <w:rPr>
          <w:rFonts w:ascii="Arial" w:hAnsi="Arial" w:cs="Arial"/>
          <w:sz w:val="20"/>
          <w:szCs w:val="20"/>
        </w:rPr>
      </w:pPr>
    </w:p>
    <w:p w14:paraId="6BF0AE20" w14:textId="77777777" w:rsidR="004C1EAF" w:rsidRPr="00020876" w:rsidRDefault="004C1EAF" w:rsidP="001251E5">
      <w:pPr>
        <w:pStyle w:val="ListParagraph"/>
        <w:numPr>
          <w:ilvl w:val="0"/>
          <w:numId w:val="6"/>
        </w:numPr>
        <w:spacing w:after="0" w:line="290" w:lineRule="atLeast"/>
        <w:ind w:left="1134" w:hanging="567"/>
        <w:rPr>
          <w:rFonts w:ascii="Arial" w:hAnsi="Arial" w:cs="Arial"/>
          <w:i/>
          <w:sz w:val="20"/>
          <w:szCs w:val="20"/>
        </w:rPr>
      </w:pPr>
      <w:r w:rsidRPr="00020876">
        <w:rPr>
          <w:rFonts w:ascii="Arial" w:hAnsi="Arial" w:cs="Arial"/>
          <w:i/>
          <w:sz w:val="20"/>
          <w:szCs w:val="20"/>
        </w:rPr>
        <w:t>require the access provider to extend, or permit the extension of, the facility</w:t>
      </w:r>
    </w:p>
    <w:p w14:paraId="0B54E283" w14:textId="77777777" w:rsidR="004C1EAF" w:rsidRPr="00020876" w:rsidRDefault="004C1EAF" w:rsidP="001251E5">
      <w:pPr>
        <w:spacing w:after="0" w:line="290" w:lineRule="atLeast"/>
        <w:rPr>
          <w:rFonts w:ascii="Arial" w:hAnsi="Arial" w:cs="Arial"/>
          <w:sz w:val="20"/>
          <w:szCs w:val="20"/>
        </w:rPr>
      </w:pPr>
    </w:p>
    <w:p w14:paraId="528269D2" w14:textId="77777777" w:rsidR="004C1EAF" w:rsidRPr="00020876" w:rsidRDefault="004C1EAF" w:rsidP="001251E5">
      <w:pPr>
        <w:spacing w:after="0" w:line="290" w:lineRule="atLeast"/>
        <w:rPr>
          <w:rFonts w:ascii="Arial" w:hAnsi="Arial" w:cs="Arial"/>
          <w:sz w:val="20"/>
          <w:szCs w:val="20"/>
        </w:rPr>
      </w:pPr>
      <w:r w:rsidRPr="00020876">
        <w:rPr>
          <w:rFonts w:ascii="Arial" w:hAnsi="Arial" w:cs="Arial"/>
          <w:sz w:val="20"/>
          <w:szCs w:val="20"/>
        </w:rPr>
        <w:t>However, clause 119(2) precludes the QCA from making an access determination which would have the effect of:</w:t>
      </w:r>
    </w:p>
    <w:p w14:paraId="702279E6" w14:textId="77777777" w:rsidR="004C1EAF" w:rsidRPr="00020876" w:rsidRDefault="004C1EAF" w:rsidP="001251E5">
      <w:pPr>
        <w:spacing w:after="0" w:line="290" w:lineRule="atLeast"/>
        <w:rPr>
          <w:rFonts w:ascii="Arial" w:hAnsi="Arial" w:cs="Arial"/>
          <w:sz w:val="20"/>
          <w:szCs w:val="20"/>
        </w:rPr>
      </w:pPr>
    </w:p>
    <w:p w14:paraId="75AB59DF" w14:textId="77777777" w:rsidR="004C1EAF" w:rsidRPr="00020876" w:rsidRDefault="004C1EAF" w:rsidP="001251E5">
      <w:pPr>
        <w:pStyle w:val="ListParagraph"/>
        <w:numPr>
          <w:ilvl w:val="0"/>
          <w:numId w:val="6"/>
        </w:numPr>
        <w:spacing w:after="0" w:line="290" w:lineRule="atLeast"/>
        <w:ind w:left="1134" w:hanging="567"/>
        <w:contextualSpacing w:val="0"/>
        <w:rPr>
          <w:rFonts w:ascii="Arial" w:hAnsi="Arial" w:cs="Arial"/>
          <w:i/>
          <w:sz w:val="20"/>
          <w:szCs w:val="20"/>
        </w:rPr>
      </w:pPr>
      <w:r w:rsidRPr="00020876">
        <w:rPr>
          <w:rFonts w:ascii="Arial" w:hAnsi="Arial" w:cs="Arial"/>
          <w:i/>
          <w:sz w:val="20"/>
          <w:szCs w:val="20"/>
        </w:rPr>
        <w:t>resulting in the access seeker, or someone else, becoming the owner, or 1 of the owners, of the facility, without the existing owner’s agreement; or</w:t>
      </w:r>
    </w:p>
    <w:p w14:paraId="49A3C0D0" w14:textId="77777777" w:rsidR="004C1EAF" w:rsidRPr="00020876" w:rsidRDefault="004C1EAF" w:rsidP="001251E5">
      <w:pPr>
        <w:pStyle w:val="ListParagraph"/>
        <w:numPr>
          <w:ilvl w:val="0"/>
          <w:numId w:val="6"/>
        </w:numPr>
        <w:spacing w:after="0" w:line="290" w:lineRule="atLeast"/>
        <w:ind w:left="1134" w:hanging="567"/>
        <w:contextualSpacing w:val="0"/>
        <w:rPr>
          <w:rFonts w:ascii="Arial" w:hAnsi="Arial" w:cs="Arial"/>
          <w:i/>
          <w:sz w:val="20"/>
          <w:szCs w:val="20"/>
        </w:rPr>
      </w:pPr>
      <w:r w:rsidRPr="00020876">
        <w:rPr>
          <w:rFonts w:ascii="Arial" w:hAnsi="Arial" w:cs="Arial"/>
          <w:i/>
          <w:sz w:val="20"/>
          <w:szCs w:val="20"/>
        </w:rPr>
        <w:t>requiring an access provider to pay some or all of the costs of extending the facility</w:t>
      </w:r>
    </w:p>
    <w:p w14:paraId="2A28CEB2" w14:textId="77777777" w:rsidR="00483F53" w:rsidRDefault="00483F53" w:rsidP="001251E5">
      <w:pPr>
        <w:pStyle w:val="Heading2"/>
        <w:spacing w:before="0" w:after="0" w:line="290" w:lineRule="atLeast"/>
        <w:rPr>
          <w:b/>
          <w:sz w:val="20"/>
          <w:szCs w:val="20"/>
        </w:rPr>
      </w:pPr>
    </w:p>
    <w:p w14:paraId="7A8E420D" w14:textId="77777777" w:rsidR="004C1EAF" w:rsidRPr="00020876" w:rsidRDefault="004C1EAF" w:rsidP="001251E5">
      <w:pPr>
        <w:pStyle w:val="Heading2"/>
        <w:spacing w:before="0" w:after="0" w:line="290" w:lineRule="atLeast"/>
        <w:rPr>
          <w:b/>
          <w:sz w:val="20"/>
          <w:szCs w:val="20"/>
        </w:rPr>
      </w:pPr>
      <w:r w:rsidRPr="00020876">
        <w:rPr>
          <w:b/>
          <w:sz w:val="20"/>
          <w:szCs w:val="20"/>
        </w:rPr>
        <w:t>South Australian Rail Access Regime</w:t>
      </w:r>
    </w:p>
    <w:p w14:paraId="3E88E030" w14:textId="77777777" w:rsidR="004C1EAF" w:rsidRPr="00020876" w:rsidRDefault="004C1EAF" w:rsidP="001251E5">
      <w:pPr>
        <w:spacing w:after="0" w:line="290" w:lineRule="atLeast"/>
        <w:rPr>
          <w:rFonts w:ascii="Arial" w:hAnsi="Arial" w:cs="Arial"/>
          <w:sz w:val="20"/>
          <w:szCs w:val="20"/>
        </w:rPr>
      </w:pPr>
      <w:r w:rsidRPr="00020876">
        <w:rPr>
          <w:rFonts w:ascii="Arial" w:hAnsi="Arial" w:cs="Arial"/>
          <w:sz w:val="20"/>
          <w:szCs w:val="20"/>
        </w:rPr>
        <w:t xml:space="preserve">The South Australian Rail Access Regime is embodied in the Railways Operations and Access Act 1997.  The regime is </w:t>
      </w:r>
      <w:proofErr w:type="gramStart"/>
      <w:r w:rsidRPr="00020876">
        <w:rPr>
          <w:rFonts w:ascii="Arial" w:hAnsi="Arial" w:cs="Arial"/>
          <w:sz w:val="20"/>
          <w:szCs w:val="20"/>
        </w:rPr>
        <w:t>a negotiate</w:t>
      </w:r>
      <w:proofErr w:type="gramEnd"/>
      <w:r w:rsidRPr="00020876">
        <w:rPr>
          <w:rFonts w:ascii="Arial" w:hAnsi="Arial" w:cs="Arial"/>
          <w:sz w:val="20"/>
          <w:szCs w:val="20"/>
        </w:rPr>
        <w:t xml:space="preserve"> arbitrate model with commercial arbitration. In making an award, clause 52(1) requires that arbitrator cannot:</w:t>
      </w:r>
    </w:p>
    <w:p w14:paraId="240D67D5" w14:textId="77777777" w:rsidR="004C1EAF" w:rsidRPr="00020876" w:rsidRDefault="004C1EAF" w:rsidP="001251E5">
      <w:pPr>
        <w:spacing w:after="0" w:line="290" w:lineRule="atLeast"/>
        <w:rPr>
          <w:rFonts w:ascii="Arial" w:hAnsi="Arial" w:cs="Arial"/>
          <w:sz w:val="20"/>
          <w:szCs w:val="20"/>
        </w:rPr>
      </w:pPr>
    </w:p>
    <w:p w14:paraId="31551A6A" w14:textId="77777777" w:rsidR="006A7565" w:rsidRPr="0071261F" w:rsidRDefault="004C1EAF" w:rsidP="0071261F">
      <w:pPr>
        <w:pStyle w:val="ListParagraph"/>
        <w:numPr>
          <w:ilvl w:val="0"/>
          <w:numId w:val="11"/>
        </w:numPr>
        <w:spacing w:after="0" w:line="290" w:lineRule="atLeast"/>
        <w:ind w:left="1134" w:hanging="567"/>
        <w:rPr>
          <w:rFonts w:ascii="Arial" w:hAnsi="Arial" w:cs="Arial"/>
          <w:sz w:val="20"/>
          <w:szCs w:val="20"/>
        </w:rPr>
      </w:pPr>
      <w:r w:rsidRPr="0071261F">
        <w:rPr>
          <w:rFonts w:ascii="Arial" w:hAnsi="Arial" w:cs="Arial"/>
          <w:i/>
          <w:sz w:val="20"/>
          <w:szCs w:val="20"/>
        </w:rPr>
        <w:t>make an award that would have the effect of requiring the operator to bear any of the capital cost of any addition or extension to railway infrastructure unless the operator agrees</w:t>
      </w:r>
      <w:bookmarkEnd w:id="1"/>
    </w:p>
    <w:sectPr w:rsidR="006A7565" w:rsidRPr="0071261F" w:rsidSect="00CC4B05">
      <w:headerReference w:type="default" r:id="rId34"/>
      <w:footerReference w:type="default" r:id="rId35"/>
      <w:pgSz w:w="11906" w:h="16838"/>
      <w:pgMar w:top="3799" w:right="2552" w:bottom="1701" w:left="1418" w:header="709" w:footer="4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CD960" w14:textId="77777777" w:rsidR="0075507D" w:rsidRDefault="0075507D" w:rsidP="00892BF3">
      <w:pPr>
        <w:spacing w:after="0" w:line="240" w:lineRule="auto"/>
      </w:pPr>
      <w:r>
        <w:separator/>
      </w:r>
    </w:p>
  </w:endnote>
  <w:endnote w:type="continuationSeparator" w:id="0">
    <w:p w14:paraId="4AE9919F" w14:textId="77777777" w:rsidR="0075507D" w:rsidRDefault="0075507D" w:rsidP="00892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altName w:val="Segoe UI"/>
    <w:panose1 w:val="020B0502040204020203"/>
    <w:charset w:val="00"/>
    <w:family w:val="swiss"/>
    <w:pitch w:val="variable"/>
    <w:sig w:usb0="E10022FF" w:usb1="C000E47F" w:usb2="00000029" w:usb3="00000000" w:csb0="000001D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1BE80" w14:textId="77777777" w:rsidR="00020876" w:rsidRDefault="00020876">
    <w:pPr>
      <w:pStyle w:val="Footer"/>
      <w:jc w:val="right"/>
    </w:pPr>
  </w:p>
  <w:p w14:paraId="0905E9A1" w14:textId="77777777" w:rsidR="00020876" w:rsidRDefault="00020876" w:rsidP="001251E5">
    <w:pPr>
      <w:pStyle w:val="Address"/>
      <w:tabs>
        <w:tab w:val="left" w:pos="3261"/>
      </w:tabs>
    </w:pPr>
    <w:r>
      <w:rPr>
        <w:b/>
        <w:noProof/>
        <w:lang w:eastAsia="en-AU"/>
      </w:rPr>
      <mc:AlternateContent>
        <mc:Choice Requires="wps">
          <w:drawing>
            <wp:anchor distT="0" distB="0" distL="114300" distR="114300" simplePos="0" relativeHeight="251663360" behindDoc="1" locked="0" layoutInCell="1" allowOverlap="1" wp14:anchorId="38250619" wp14:editId="7F67B4B6">
              <wp:simplePos x="0" y="0"/>
              <wp:positionH relativeFrom="column">
                <wp:posOffset>4502785</wp:posOffset>
              </wp:positionH>
              <wp:positionV relativeFrom="paragraph">
                <wp:posOffset>-314960</wp:posOffset>
              </wp:positionV>
              <wp:extent cx="1985010" cy="662940"/>
              <wp:effectExtent l="0" t="0" r="0" b="3810"/>
              <wp:wrapNone/>
              <wp:docPr id="1" name="Freeform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985010" cy="662940"/>
                      </a:xfrm>
                      <a:custGeom>
                        <a:avLst/>
                        <a:gdLst>
                          <a:gd name="connsiteX0" fmla="*/ 2585720 w 2585720"/>
                          <a:gd name="connsiteY0" fmla="*/ 858520 h 863600"/>
                          <a:gd name="connsiteX1" fmla="*/ 1717040 w 2585720"/>
                          <a:gd name="connsiteY1" fmla="*/ 0 h 863600"/>
                          <a:gd name="connsiteX2" fmla="*/ 0 w 2585720"/>
                          <a:gd name="connsiteY2" fmla="*/ 0 h 863600"/>
                          <a:gd name="connsiteX3" fmla="*/ 878840 w 2585720"/>
                          <a:gd name="connsiteY3" fmla="*/ 863600 h 863600"/>
                          <a:gd name="connsiteX4" fmla="*/ 2585720 w 2585720"/>
                          <a:gd name="connsiteY4" fmla="*/ 858520 h 8636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585720" h="863600">
                            <a:moveTo>
                              <a:pt x="2585720" y="858520"/>
                            </a:moveTo>
                            <a:lnTo>
                              <a:pt x="1717040" y="0"/>
                            </a:lnTo>
                            <a:lnTo>
                              <a:pt x="0" y="0"/>
                            </a:lnTo>
                            <a:lnTo>
                              <a:pt x="878840" y="863600"/>
                            </a:lnTo>
                            <a:lnTo>
                              <a:pt x="2585720" y="858520"/>
                            </a:lnTo>
                            <a:close/>
                          </a:path>
                        </a:pathLst>
                      </a:custGeom>
                      <a:solidFill>
                        <a:srgbClr val="FFE600"/>
                      </a:solidFill>
                      <a:ln w="9525" cap="flat" cmpd="sng" algn="ctr">
                        <a:noFill/>
                        <a:prstDash val="solid"/>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Lst>
                    </wps:spPr>
                    <wps:txbx>
                      <w:txbxContent>
                        <w:p w14:paraId="30E6EB80" w14:textId="77777777" w:rsidR="00020876" w:rsidRDefault="00020876" w:rsidP="00C70D61">
                          <w:pPr>
                            <w:jc w:val="center"/>
                            <w:rPr>
                              <w:rFonts w:cstheme="minorHAnsi"/>
                              <w:sz w:val="14"/>
                              <w:szCs w:val="16"/>
                            </w:rPr>
                          </w:pPr>
                        </w:p>
                        <w:p w14:paraId="25E56671" w14:textId="77777777" w:rsidR="00020876" w:rsidRPr="006C6D5A" w:rsidRDefault="00020876" w:rsidP="00C70D61">
                          <w:pPr>
                            <w:jc w:val="center"/>
                            <w:rPr>
                              <w:rFonts w:cstheme="minorHAnsi"/>
                              <w:sz w:val="14"/>
                              <w:szCs w:val="16"/>
                            </w:rPr>
                          </w:pPr>
                          <w:r w:rsidRPr="006C6D5A">
                            <w:rPr>
                              <w:rFonts w:cstheme="minorHAnsi"/>
                              <w:sz w:val="14"/>
                              <w:szCs w:val="16"/>
                            </w:rPr>
                            <w:fldChar w:fldCharType="begin"/>
                          </w:r>
                          <w:r w:rsidRPr="006C6D5A">
                            <w:rPr>
                              <w:rFonts w:cstheme="minorHAnsi"/>
                              <w:sz w:val="14"/>
                              <w:szCs w:val="16"/>
                            </w:rPr>
                            <w:instrText xml:space="preserve"> PAGE   \* MERGEFORMAT </w:instrText>
                          </w:r>
                          <w:r w:rsidRPr="006C6D5A">
                            <w:rPr>
                              <w:rFonts w:cstheme="minorHAnsi"/>
                              <w:sz w:val="14"/>
                              <w:szCs w:val="16"/>
                            </w:rPr>
                            <w:fldChar w:fldCharType="separate"/>
                          </w:r>
                          <w:r w:rsidR="008F3ADC">
                            <w:rPr>
                              <w:rFonts w:cstheme="minorHAnsi"/>
                              <w:noProof/>
                              <w:sz w:val="14"/>
                              <w:szCs w:val="16"/>
                            </w:rPr>
                            <w:t>1</w:t>
                          </w:r>
                          <w:r w:rsidRPr="006C6D5A">
                            <w:rPr>
                              <w:rFonts w:cstheme="minorHAnsi"/>
                              <w:noProof/>
                              <w:sz w:val="14"/>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Freeform 1" o:spid="_x0000_s1027" style="position:absolute;margin-left:354.55pt;margin-top:-24.8pt;width:156.3pt;height:52.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85720,863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" adj="-11796480,,5400" path="m2585720,858520l1717040,,,,878840,863600r1706880,-5080xe" fillcolor="#ffe600" stroked="f">
              <v:stroke joinstyle="miter"/>
              <v:formulas/>
              <v:path arrowok="t" o:connecttype="custom" o:connectlocs="1985010,659040;1318140,0;0,0;674669,662940;1985010,659040" o:connectangles="0,0,0,0,0" textboxrect="0,0,2585720,863600"/>
              <o:lock v:ext="edit" aspectratio="t"/>
              <v:textbox>
                <w:txbxContent>
                  <w:p w14:paraId="30E6EB80" w14:textId="77777777" w:rsidR="00020876" w:rsidRDefault="00020876" w:rsidP="00C70D61">
                    <w:pPr>
                      <w:jc w:val="center"/>
                      <w:rPr>
                        <w:rFonts w:cstheme="minorHAnsi"/>
                        <w:sz w:val="14"/>
                        <w:szCs w:val="16"/>
                      </w:rPr>
                    </w:pPr>
                  </w:p>
                  <w:p w14:paraId="25E56671" w14:textId="77777777" w:rsidR="00020876" w:rsidRPr="006C6D5A" w:rsidRDefault="00020876" w:rsidP="00C70D61">
                    <w:pPr>
                      <w:jc w:val="center"/>
                      <w:rPr>
                        <w:rFonts w:cstheme="minorHAnsi"/>
                        <w:sz w:val="14"/>
                        <w:szCs w:val="16"/>
                      </w:rPr>
                    </w:pPr>
                    <w:r w:rsidRPr="006C6D5A">
                      <w:rPr>
                        <w:rFonts w:cstheme="minorHAnsi"/>
                        <w:sz w:val="14"/>
                        <w:szCs w:val="16"/>
                      </w:rPr>
                      <w:fldChar w:fldCharType="begin"/>
                    </w:r>
                    <w:r w:rsidRPr="006C6D5A">
                      <w:rPr>
                        <w:rFonts w:cstheme="minorHAnsi"/>
                        <w:sz w:val="14"/>
                        <w:szCs w:val="16"/>
                      </w:rPr>
                      <w:instrText xml:space="preserve"> PAGE   \* MERGEFORMAT </w:instrText>
                    </w:r>
                    <w:r w:rsidRPr="006C6D5A">
                      <w:rPr>
                        <w:rFonts w:cstheme="minorHAnsi"/>
                        <w:sz w:val="14"/>
                        <w:szCs w:val="16"/>
                      </w:rPr>
                      <w:fldChar w:fldCharType="separate"/>
                    </w:r>
                    <w:r w:rsidR="008F3ADC">
                      <w:rPr>
                        <w:rFonts w:cstheme="minorHAnsi"/>
                        <w:noProof/>
                        <w:sz w:val="14"/>
                        <w:szCs w:val="16"/>
                      </w:rPr>
                      <w:t>1</w:t>
                    </w:r>
                    <w:r w:rsidRPr="006C6D5A">
                      <w:rPr>
                        <w:rFonts w:cstheme="minorHAnsi"/>
                        <w:noProof/>
                        <w:sz w:val="14"/>
                        <w:szCs w:val="16"/>
                      </w:rPr>
                      <w:fldChar w:fldCharType="end"/>
                    </w:r>
                  </w:p>
                </w:txbxContent>
              </v:textbox>
            </v:shape>
          </w:pict>
        </mc:Fallback>
      </mc:AlternateContent>
    </w:r>
    <w:r>
      <w:rPr>
        <w:b/>
      </w:rPr>
      <w:tab/>
    </w:r>
    <w:r>
      <w:t>Aurizon Holdings Limited ACN 146 335 622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EBC1B0" w14:textId="77777777" w:rsidR="0075507D" w:rsidRDefault="0075507D" w:rsidP="00892BF3">
      <w:pPr>
        <w:spacing w:after="0" w:line="240" w:lineRule="auto"/>
      </w:pPr>
      <w:r>
        <w:separator/>
      </w:r>
    </w:p>
  </w:footnote>
  <w:footnote w:type="continuationSeparator" w:id="0">
    <w:p w14:paraId="4A74AB13" w14:textId="77777777" w:rsidR="0075507D" w:rsidRDefault="0075507D" w:rsidP="00892BF3">
      <w:pPr>
        <w:spacing w:after="0" w:line="240" w:lineRule="auto"/>
      </w:pPr>
      <w:r>
        <w:continuationSeparator/>
      </w:r>
    </w:p>
  </w:footnote>
  <w:footnote w:id="1">
    <w:p w14:paraId="488C9CD5" w14:textId="77777777" w:rsidR="00020876" w:rsidRPr="001251E5" w:rsidRDefault="00020876">
      <w:pPr>
        <w:pStyle w:val="FootnoteText"/>
        <w:rPr>
          <w:rFonts w:ascii="Arial" w:hAnsi="Arial" w:cs="Arial"/>
          <w:sz w:val="18"/>
          <w:szCs w:val="18"/>
        </w:rPr>
      </w:pPr>
      <w:r w:rsidRPr="001251E5">
        <w:rPr>
          <w:rStyle w:val="FootnoteReference"/>
          <w:rFonts w:ascii="Arial" w:hAnsi="Arial" w:cs="Arial"/>
          <w:sz w:val="18"/>
          <w:szCs w:val="18"/>
        </w:rPr>
        <w:footnoteRef/>
      </w:r>
      <w:r w:rsidRPr="001251E5">
        <w:rPr>
          <w:rFonts w:ascii="Arial" w:hAnsi="Arial" w:cs="Arial"/>
          <w:b/>
          <w:sz w:val="18"/>
          <w:szCs w:val="18"/>
        </w:rPr>
        <w:t>Third Party Funding</w:t>
      </w:r>
      <w:r w:rsidRPr="001251E5">
        <w:rPr>
          <w:rFonts w:ascii="Arial" w:hAnsi="Arial" w:cs="Arial"/>
          <w:sz w:val="18"/>
          <w:szCs w:val="18"/>
        </w:rPr>
        <w:t xml:space="preserve"> is where one party </w:t>
      </w:r>
      <w:proofErr w:type="spellStart"/>
      <w:r w:rsidRPr="001251E5">
        <w:rPr>
          <w:rFonts w:ascii="Arial" w:hAnsi="Arial" w:cs="Arial"/>
          <w:sz w:val="18"/>
          <w:szCs w:val="18"/>
        </w:rPr>
        <w:t>funds</w:t>
      </w:r>
      <w:proofErr w:type="spellEnd"/>
      <w:r w:rsidRPr="001251E5">
        <w:rPr>
          <w:rFonts w:ascii="Arial" w:hAnsi="Arial" w:cs="Arial"/>
          <w:sz w:val="18"/>
          <w:szCs w:val="18"/>
        </w:rPr>
        <w:t xml:space="preserve"> assets which are to be owned and operated by a different party</w:t>
      </w:r>
      <w:r w:rsidR="00483F53" w:rsidRPr="001251E5">
        <w:rPr>
          <w:rFonts w:ascii="Arial" w:hAnsi="Arial" w:cs="Arial"/>
          <w:sz w:val="18"/>
          <w:szCs w:val="18"/>
        </w:rPr>
        <w:t>.</w:t>
      </w:r>
      <w:r w:rsidRPr="001251E5">
        <w:rPr>
          <w:rFonts w:ascii="Arial" w:hAnsi="Arial" w:cs="Arial"/>
          <w:sz w:val="18"/>
          <w:szCs w:val="18"/>
        </w:rPr>
        <w:t xml:space="preserve"> </w:t>
      </w:r>
      <w:r w:rsidR="00483F53" w:rsidRPr="001251E5">
        <w:rPr>
          <w:rFonts w:ascii="Arial" w:hAnsi="Arial" w:cs="Arial"/>
          <w:sz w:val="18"/>
          <w:szCs w:val="18"/>
        </w:rPr>
        <w:t xml:space="preserve"> I</w:t>
      </w:r>
      <w:r w:rsidRPr="001251E5">
        <w:rPr>
          <w:rFonts w:ascii="Arial" w:hAnsi="Arial" w:cs="Arial"/>
          <w:sz w:val="18"/>
          <w:szCs w:val="18"/>
        </w:rPr>
        <w:t>n Aurizon</w:t>
      </w:r>
      <w:r w:rsidR="008574B3" w:rsidRPr="001251E5">
        <w:rPr>
          <w:rFonts w:ascii="Arial" w:hAnsi="Arial" w:cs="Arial"/>
          <w:sz w:val="18"/>
          <w:szCs w:val="18"/>
        </w:rPr>
        <w:t>’</w:t>
      </w:r>
      <w:r w:rsidRPr="001251E5">
        <w:rPr>
          <w:rFonts w:ascii="Arial" w:hAnsi="Arial" w:cs="Arial"/>
          <w:sz w:val="18"/>
          <w:szCs w:val="18"/>
        </w:rPr>
        <w:t xml:space="preserve">s case this occurs where a mine or other third party funds an expansion to </w:t>
      </w:r>
      <w:r w:rsidR="0046544C" w:rsidRPr="001251E5">
        <w:rPr>
          <w:rFonts w:ascii="Arial" w:hAnsi="Arial" w:cs="Arial"/>
          <w:sz w:val="18"/>
          <w:szCs w:val="18"/>
        </w:rPr>
        <w:t>the CQCN</w:t>
      </w:r>
      <w:r w:rsidRPr="001251E5">
        <w:rPr>
          <w:rFonts w:ascii="Arial" w:hAnsi="Arial" w:cs="Arial"/>
          <w:sz w:val="18"/>
          <w:szCs w:val="18"/>
        </w:rPr>
        <w:t>.</w:t>
      </w:r>
    </w:p>
  </w:footnote>
  <w:footnote w:id="2">
    <w:p w14:paraId="556974D0" w14:textId="77777777" w:rsidR="008574B3" w:rsidRPr="001251E5" w:rsidRDefault="008574B3" w:rsidP="008574B3">
      <w:pPr>
        <w:pStyle w:val="FootnoteText"/>
        <w:rPr>
          <w:rFonts w:ascii="Arial" w:hAnsi="Arial" w:cs="Arial"/>
          <w:sz w:val="18"/>
          <w:szCs w:val="18"/>
        </w:rPr>
      </w:pPr>
      <w:r w:rsidRPr="001251E5">
        <w:rPr>
          <w:rStyle w:val="FootnoteReference"/>
          <w:rFonts w:ascii="Arial" w:hAnsi="Arial" w:cs="Arial"/>
          <w:sz w:val="18"/>
          <w:szCs w:val="18"/>
        </w:rPr>
        <w:footnoteRef/>
      </w:r>
      <w:r w:rsidRPr="001251E5">
        <w:rPr>
          <w:rFonts w:ascii="Arial" w:hAnsi="Arial" w:cs="Arial"/>
          <w:sz w:val="18"/>
          <w:szCs w:val="18"/>
        </w:rPr>
        <w:t xml:space="preserve"> </w:t>
      </w:r>
      <w:r w:rsidRPr="001251E5">
        <w:rPr>
          <w:rFonts w:ascii="Arial" w:hAnsi="Arial" w:cs="Arial"/>
          <w:b/>
          <w:sz w:val="18"/>
          <w:szCs w:val="18"/>
        </w:rPr>
        <w:t>Major Lineal Assets</w:t>
      </w:r>
      <w:r w:rsidRPr="001251E5">
        <w:rPr>
          <w:rFonts w:ascii="Arial" w:hAnsi="Arial" w:cs="Arial"/>
          <w:sz w:val="18"/>
          <w:szCs w:val="18"/>
        </w:rPr>
        <w:t xml:space="preserve"> are assets which are substantial, span long distances and do not have great width – for example roads, railways, pipelines, telecommunications cables and power distribution systems.  In Aurizon’s case the </w:t>
      </w:r>
      <w:r w:rsidR="0046544C" w:rsidRPr="001251E5">
        <w:rPr>
          <w:rFonts w:ascii="Arial" w:hAnsi="Arial" w:cs="Arial"/>
          <w:sz w:val="18"/>
          <w:szCs w:val="18"/>
        </w:rPr>
        <w:t xml:space="preserve">CQCN </w:t>
      </w:r>
      <w:r w:rsidRPr="001251E5">
        <w:rPr>
          <w:rFonts w:ascii="Arial" w:hAnsi="Arial" w:cs="Arial"/>
          <w:sz w:val="18"/>
          <w:szCs w:val="18"/>
        </w:rPr>
        <w:t>is a Major Lineal Asset.</w:t>
      </w:r>
    </w:p>
  </w:footnote>
  <w:footnote w:id="3">
    <w:p w14:paraId="49B33CCF" w14:textId="77777777" w:rsidR="00020876" w:rsidRPr="001251E5" w:rsidRDefault="00020876">
      <w:pPr>
        <w:pStyle w:val="FootnoteText"/>
        <w:rPr>
          <w:rFonts w:ascii="Arial" w:hAnsi="Arial" w:cs="Arial"/>
          <w:sz w:val="18"/>
          <w:szCs w:val="18"/>
        </w:rPr>
      </w:pPr>
      <w:r w:rsidRPr="001251E5">
        <w:rPr>
          <w:rStyle w:val="FootnoteReference"/>
          <w:rFonts w:ascii="Arial" w:hAnsi="Arial" w:cs="Arial"/>
          <w:sz w:val="18"/>
          <w:szCs w:val="18"/>
        </w:rPr>
        <w:footnoteRef/>
      </w:r>
      <w:r w:rsidRPr="001251E5">
        <w:rPr>
          <w:rFonts w:ascii="Arial" w:hAnsi="Arial" w:cs="Arial"/>
          <w:sz w:val="18"/>
          <w:szCs w:val="18"/>
        </w:rPr>
        <w:t xml:space="preserve"> An </w:t>
      </w:r>
      <w:r w:rsidRPr="001251E5">
        <w:rPr>
          <w:rFonts w:ascii="Arial" w:hAnsi="Arial" w:cs="Arial"/>
          <w:b/>
          <w:sz w:val="18"/>
          <w:szCs w:val="18"/>
        </w:rPr>
        <w:t>Owner/Operator</w:t>
      </w:r>
      <w:r w:rsidRPr="001251E5">
        <w:rPr>
          <w:rFonts w:ascii="Arial" w:hAnsi="Arial" w:cs="Arial"/>
          <w:sz w:val="18"/>
          <w:szCs w:val="18"/>
        </w:rPr>
        <w:t xml:space="preserve"> is a party who owns and operates an asset.  This party may, but does not necessarily have to, fund the asset.  In Aurizon’s case, it is the Owner/Operator of the </w:t>
      </w:r>
      <w:r w:rsidR="0046544C" w:rsidRPr="001251E5">
        <w:rPr>
          <w:rFonts w:ascii="Arial" w:hAnsi="Arial" w:cs="Arial"/>
          <w:sz w:val="18"/>
          <w:szCs w:val="18"/>
        </w:rPr>
        <w:t>CQCN</w:t>
      </w:r>
      <w:r w:rsidRPr="001251E5">
        <w:rPr>
          <w:rFonts w:ascii="Arial" w:hAnsi="Arial" w:cs="Arial"/>
          <w:sz w:val="18"/>
          <w:szCs w:val="18"/>
        </w:rPr>
        <w:t>.</w:t>
      </w:r>
    </w:p>
  </w:footnote>
  <w:footnote w:id="4">
    <w:p w14:paraId="7C30A497" w14:textId="77777777" w:rsidR="00020876" w:rsidRPr="001251E5" w:rsidRDefault="00020876">
      <w:pPr>
        <w:pStyle w:val="FootnoteText"/>
        <w:rPr>
          <w:rFonts w:ascii="Arial" w:hAnsi="Arial" w:cs="Arial"/>
          <w:sz w:val="18"/>
          <w:szCs w:val="18"/>
        </w:rPr>
      </w:pPr>
      <w:r w:rsidRPr="001251E5">
        <w:rPr>
          <w:rStyle w:val="FootnoteReference"/>
          <w:rFonts w:ascii="Arial" w:hAnsi="Arial" w:cs="Arial"/>
          <w:sz w:val="18"/>
          <w:szCs w:val="18"/>
        </w:rPr>
        <w:footnoteRef/>
      </w:r>
      <w:r w:rsidRPr="001251E5">
        <w:rPr>
          <w:rFonts w:ascii="Arial" w:hAnsi="Arial" w:cs="Arial"/>
          <w:sz w:val="18"/>
          <w:szCs w:val="18"/>
        </w:rPr>
        <w:t xml:space="preserve"> </w:t>
      </w:r>
      <w:r w:rsidRPr="001251E5">
        <w:rPr>
          <w:rFonts w:ascii="Arial" w:hAnsi="Arial" w:cs="Arial"/>
          <w:b/>
          <w:sz w:val="18"/>
          <w:szCs w:val="18"/>
        </w:rPr>
        <w:t>Tax Neutrality</w:t>
      </w:r>
      <w:r w:rsidRPr="001251E5">
        <w:rPr>
          <w:rFonts w:ascii="Arial" w:hAnsi="Arial" w:cs="Arial"/>
          <w:sz w:val="18"/>
          <w:szCs w:val="18"/>
        </w:rPr>
        <w:t xml:space="preserve"> is where </w:t>
      </w:r>
      <w:r w:rsidR="008574B3" w:rsidRPr="001251E5">
        <w:rPr>
          <w:rFonts w:ascii="Arial" w:hAnsi="Arial" w:cs="Arial"/>
          <w:sz w:val="18"/>
          <w:szCs w:val="18"/>
        </w:rPr>
        <w:t>two</w:t>
      </w:r>
      <w:r w:rsidRPr="001251E5">
        <w:rPr>
          <w:rFonts w:ascii="Arial" w:hAnsi="Arial" w:cs="Arial"/>
          <w:sz w:val="18"/>
          <w:szCs w:val="18"/>
        </w:rPr>
        <w:t xml:space="preserve"> parties have comparatively the same tax outcomes when either funds a given asset.</w:t>
      </w:r>
    </w:p>
  </w:footnote>
  <w:footnote w:id="5">
    <w:p w14:paraId="71273B6D" w14:textId="77777777" w:rsidR="00020876" w:rsidRPr="00692720" w:rsidRDefault="00020876" w:rsidP="00AA4777">
      <w:pPr>
        <w:pStyle w:val="FootnoteText"/>
        <w:rPr>
          <w:rFonts w:cs="Arial"/>
        </w:rPr>
      </w:pPr>
      <w:r w:rsidRPr="001251E5">
        <w:rPr>
          <w:rStyle w:val="FootnoteReference"/>
          <w:rFonts w:ascii="Arial" w:hAnsi="Arial" w:cs="Arial"/>
          <w:sz w:val="18"/>
          <w:szCs w:val="18"/>
        </w:rPr>
        <w:footnoteRef/>
      </w:r>
      <w:r w:rsidRPr="001251E5">
        <w:rPr>
          <w:rFonts w:ascii="Arial" w:hAnsi="Arial" w:cs="Arial"/>
          <w:sz w:val="18"/>
          <w:szCs w:val="18"/>
        </w:rPr>
        <w:t xml:space="preserve"> </w:t>
      </w:r>
      <w:r w:rsidRPr="00692720">
        <w:rPr>
          <w:rFonts w:cs="Arial"/>
        </w:rPr>
        <w:t xml:space="preserve">See </w:t>
      </w:r>
      <w:r w:rsidR="00483F53" w:rsidRPr="00692720">
        <w:rPr>
          <w:rFonts w:cs="Arial"/>
        </w:rPr>
        <w:t>Appendix B</w:t>
      </w:r>
      <w:r w:rsidRPr="00692720">
        <w:rPr>
          <w:rFonts w:cs="Arial"/>
        </w:rPr>
        <w:t xml:space="preserve"> for a summary of Extension provisions within Australian Access Regulation</w:t>
      </w:r>
      <w:r w:rsidR="00483F53" w:rsidRPr="00692720">
        <w:rPr>
          <w:rFonts w:cs="Arial"/>
        </w:rPr>
        <w:t>.</w:t>
      </w:r>
    </w:p>
  </w:footnote>
  <w:footnote w:id="6">
    <w:p w14:paraId="091FA722" w14:textId="77777777" w:rsidR="005225C8" w:rsidRDefault="005225C8" w:rsidP="005225C8">
      <w:pPr>
        <w:pStyle w:val="FootnoteText"/>
      </w:pPr>
      <w:r>
        <w:rPr>
          <w:rStyle w:val="FootnoteReference"/>
        </w:rPr>
        <w:footnoteRef/>
      </w:r>
      <w:r>
        <w:t xml:space="preserve"> Infrastructure Australia (2015) Australian Infrastructure Audit: Our infrastructure challenges, Canberra p. 14</w:t>
      </w:r>
    </w:p>
  </w:footnote>
  <w:footnote w:id="7">
    <w:p w14:paraId="1E5B716F" w14:textId="77777777" w:rsidR="005225C8" w:rsidRDefault="005225C8" w:rsidP="005225C8">
      <w:pPr>
        <w:pStyle w:val="FootnoteText"/>
      </w:pPr>
      <w:r>
        <w:rPr>
          <w:rStyle w:val="FootnoteReference"/>
        </w:rPr>
        <w:footnoteRef/>
      </w:r>
      <w:r>
        <w:t xml:space="preserve"> Infrastructure Finance Working Group (2012) Infrastructure Finance and Funding Reform: Report to Infrastructure Australia, Canberra, p. 3.</w:t>
      </w:r>
    </w:p>
  </w:footnote>
  <w:footnote w:id="8">
    <w:p w14:paraId="351B7E00" w14:textId="77777777" w:rsidR="00020876" w:rsidRPr="001251E5" w:rsidRDefault="00020876">
      <w:pPr>
        <w:pStyle w:val="FootnoteText"/>
        <w:rPr>
          <w:rFonts w:ascii="Arial" w:hAnsi="Arial" w:cs="Arial"/>
          <w:sz w:val="18"/>
          <w:szCs w:val="18"/>
        </w:rPr>
      </w:pPr>
      <w:r w:rsidRPr="001251E5">
        <w:rPr>
          <w:rStyle w:val="FootnoteReference"/>
          <w:rFonts w:ascii="Arial" w:hAnsi="Arial" w:cs="Arial"/>
          <w:sz w:val="18"/>
          <w:szCs w:val="18"/>
        </w:rPr>
        <w:footnoteRef/>
      </w:r>
      <w:r w:rsidRPr="001251E5">
        <w:rPr>
          <w:rFonts w:ascii="Arial" w:hAnsi="Arial" w:cs="Arial"/>
          <w:sz w:val="18"/>
          <w:szCs w:val="18"/>
        </w:rPr>
        <w:t xml:space="preserve"> Despite the requirement by competition regimes to expand Major Lineal Assets, the competition regimes recognise an Owner/Operator cannot be required to fund such an expansion.  </w:t>
      </w:r>
    </w:p>
  </w:footnote>
  <w:footnote w:id="9">
    <w:p w14:paraId="7ABD9532" w14:textId="77777777" w:rsidR="00020876" w:rsidRPr="001251E5" w:rsidRDefault="00020876">
      <w:pPr>
        <w:pStyle w:val="FootnoteText"/>
        <w:rPr>
          <w:rFonts w:ascii="Arial" w:hAnsi="Arial" w:cs="Arial"/>
          <w:sz w:val="18"/>
          <w:szCs w:val="18"/>
        </w:rPr>
      </w:pPr>
      <w:r w:rsidRPr="001251E5">
        <w:rPr>
          <w:rStyle w:val="FootnoteReference"/>
          <w:rFonts w:ascii="Arial" w:hAnsi="Arial" w:cs="Arial"/>
          <w:sz w:val="18"/>
          <w:szCs w:val="18"/>
        </w:rPr>
        <w:footnoteRef/>
      </w:r>
      <w:r w:rsidRPr="001251E5">
        <w:rPr>
          <w:rFonts w:ascii="Arial" w:hAnsi="Arial" w:cs="Arial"/>
          <w:sz w:val="18"/>
          <w:szCs w:val="18"/>
        </w:rPr>
        <w:t xml:space="preserve"> This position has been acknowledged by the Infrastructure Finance Working Group of Infrastructure Australia in 2012, which recommended Australia “</w:t>
      </w:r>
      <w:r w:rsidRPr="001251E5">
        <w:rPr>
          <w:rFonts w:ascii="Arial" w:hAnsi="Arial" w:cs="Arial"/>
          <w:bCs/>
          <w:iCs/>
          <w:sz w:val="18"/>
          <w:szCs w:val="18"/>
        </w:rPr>
        <w:t>embrace bold reforms to find new opportunities to fund projects</w:t>
      </w:r>
      <w:r w:rsidRPr="001251E5">
        <w:rPr>
          <w:rFonts w:ascii="Arial" w:hAnsi="Arial" w:cs="Arial"/>
          <w:iCs/>
          <w:sz w:val="18"/>
          <w:szCs w:val="18"/>
        </w:rPr>
        <w:t xml:space="preserve"> - and efficient finance - to support an enlarged program of infrastructure delivery.”</w:t>
      </w:r>
    </w:p>
  </w:footnote>
  <w:footnote w:id="10">
    <w:p w14:paraId="56119F24" w14:textId="77777777" w:rsidR="00CC4B05" w:rsidRPr="001251E5" w:rsidRDefault="00CC4B05">
      <w:pPr>
        <w:pStyle w:val="FootnoteText"/>
        <w:rPr>
          <w:rFonts w:ascii="Arial" w:hAnsi="Arial" w:cs="Arial"/>
          <w:sz w:val="18"/>
          <w:szCs w:val="18"/>
        </w:rPr>
      </w:pPr>
      <w:r w:rsidRPr="001251E5">
        <w:rPr>
          <w:rStyle w:val="FootnoteReference"/>
          <w:rFonts w:ascii="Arial" w:hAnsi="Arial" w:cs="Arial"/>
          <w:sz w:val="18"/>
          <w:szCs w:val="18"/>
        </w:rPr>
        <w:footnoteRef/>
      </w:r>
      <w:r w:rsidRPr="001251E5">
        <w:rPr>
          <w:rFonts w:ascii="Arial" w:hAnsi="Arial" w:cs="Arial"/>
          <w:sz w:val="18"/>
          <w:szCs w:val="18"/>
        </w:rPr>
        <w:t xml:space="preserve"> For regulated entities, there is generally a requirement that Owner/Operators enable third parties to fund an Expansion to their Major Lineal Asset.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1FE36" w14:textId="77777777" w:rsidR="00020876" w:rsidRDefault="00020876" w:rsidP="00C70D61">
    <w:pPr>
      <w:pStyle w:val="Header"/>
    </w:pPr>
    <w:r>
      <w:rPr>
        <w:noProof/>
        <w:lang w:eastAsia="en-AU"/>
      </w:rPr>
      <mc:AlternateContent>
        <mc:Choice Requires="wps">
          <w:drawing>
            <wp:anchor distT="0" distB="0" distL="114300" distR="114300" simplePos="0" relativeHeight="251659264" behindDoc="1" locked="0" layoutInCell="1" allowOverlap="1" wp14:anchorId="5422F7F1" wp14:editId="5C8EC9EA">
              <wp:simplePos x="0" y="0"/>
              <wp:positionH relativeFrom="column">
                <wp:posOffset>-1184275</wp:posOffset>
              </wp:positionH>
              <wp:positionV relativeFrom="paragraph">
                <wp:posOffset>1604010</wp:posOffset>
              </wp:positionV>
              <wp:extent cx="887730" cy="889000"/>
              <wp:effectExtent l="0" t="191135" r="197485" b="197485"/>
              <wp:wrapNone/>
              <wp:docPr id="5" name="AutoShap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13500000">
                        <a:off x="0" y="0"/>
                        <a:ext cx="887730" cy="889000"/>
                      </a:xfrm>
                      <a:prstGeom prst="rtTriangle">
                        <a:avLst/>
                      </a:prstGeom>
                      <a:solidFill>
                        <a:srgbClr val="BE0000">
                          <a:lumMod val="100000"/>
                          <a:lumOff val="0"/>
                        </a:srgbClr>
                      </a:solidFill>
                      <a:ln>
                        <a:noFill/>
                      </a:ln>
                      <a:extLs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C74178A" id="_x0000_t6" coordsize="21600,21600" o:spt="6" path="m,l,21600r21600,xe">
              <v:stroke joinstyle="miter"/>
              <v:path gradientshapeok="t" o:connecttype="custom" o:connectlocs="0,0;0,10800;0,21600;10800,21600;21600,21600;10800,10800" textboxrect="1800,12600,12600,19800"/>
            </v:shapetype>
            <v:shape id="AutoShape 8" o:spid="_x0000_s1026" type="#_x0000_t6" style="position:absolute;margin-left:-93.25pt;margin-top:126.3pt;width:69.9pt;height:70pt;rotation:-135;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" fillcolor="#be0000" stroked="f">
              <o:lock v:ext="edit" aspectratio="t"/>
            </v:shape>
          </w:pict>
        </mc:Fallback>
      </mc:AlternateContent>
    </w:r>
    <w:r>
      <w:rPr>
        <w:noProof/>
        <w:lang w:eastAsia="en-AU"/>
      </w:rPr>
      <mc:AlternateContent>
        <mc:Choice Requires="wps">
          <w:drawing>
            <wp:anchor distT="0" distB="0" distL="114300" distR="114300" simplePos="0" relativeHeight="251660288" behindDoc="0" locked="0" layoutInCell="1" allowOverlap="1" wp14:anchorId="6CE50F64" wp14:editId="2A8C530F">
              <wp:simplePos x="0" y="0"/>
              <wp:positionH relativeFrom="column">
                <wp:posOffset>4868545</wp:posOffset>
              </wp:positionH>
              <wp:positionV relativeFrom="paragraph">
                <wp:posOffset>-209550</wp:posOffset>
              </wp:positionV>
              <wp:extent cx="2014220" cy="1184275"/>
              <wp:effectExtent l="1270" t="0" r="3810" b="0"/>
              <wp:wrapNone/>
              <wp:docPr id="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220" cy="1184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A1D601" w14:textId="77777777" w:rsidR="00020876" w:rsidRPr="003A2764" w:rsidRDefault="00020876" w:rsidP="00C70D61">
                          <w:pPr>
                            <w:pStyle w:val="Address"/>
                            <w:rPr>
                              <w:color w:val="44546A" w:themeColor="text2"/>
                            </w:rPr>
                          </w:pPr>
                          <w:proofErr w:type="gramStart"/>
                          <w:r w:rsidRPr="003A2764">
                            <w:rPr>
                              <w:color w:val="44546A" w:themeColor="text2"/>
                            </w:rPr>
                            <w:t>T  13</w:t>
                          </w:r>
                          <w:proofErr w:type="gramEnd"/>
                          <w:r w:rsidRPr="003A2764">
                            <w:rPr>
                              <w:color w:val="44546A" w:themeColor="text2"/>
                            </w:rPr>
                            <w:t xml:space="preserve"> 23 32</w:t>
                          </w:r>
                        </w:p>
                        <w:p w14:paraId="019BD7D5" w14:textId="77777777" w:rsidR="00020876" w:rsidRPr="003A2764" w:rsidRDefault="00020876" w:rsidP="00C70D61">
                          <w:pPr>
                            <w:pStyle w:val="Address"/>
                            <w:rPr>
                              <w:color w:val="44546A" w:themeColor="text2"/>
                            </w:rPr>
                          </w:pPr>
                          <w:proofErr w:type="gramStart"/>
                          <w:r w:rsidRPr="003A2764">
                            <w:rPr>
                              <w:color w:val="44546A" w:themeColor="text2"/>
                            </w:rPr>
                            <w:t xml:space="preserve">E  </w:t>
                          </w:r>
                          <w:r>
                            <w:rPr>
                              <w:color w:val="44546A" w:themeColor="text2"/>
                            </w:rPr>
                            <w:t>info</w:t>
                          </w:r>
                          <w:r w:rsidRPr="003A2764">
                            <w:rPr>
                              <w:color w:val="44546A" w:themeColor="text2"/>
                            </w:rPr>
                            <w:t>@aurizon.com.au</w:t>
                          </w:r>
                          <w:proofErr w:type="gramEnd"/>
                        </w:p>
                        <w:p w14:paraId="52B3B655" w14:textId="77777777" w:rsidR="00020876" w:rsidRPr="003A2764" w:rsidRDefault="00020876" w:rsidP="00C70D61">
                          <w:pPr>
                            <w:pStyle w:val="Address"/>
                            <w:rPr>
                              <w:color w:val="44546A" w:themeColor="text2"/>
                            </w:rPr>
                          </w:pPr>
                          <w:proofErr w:type="gramStart"/>
                          <w:r w:rsidRPr="003A2764">
                            <w:rPr>
                              <w:color w:val="44546A" w:themeColor="text2"/>
                            </w:rPr>
                            <w:t>W  aurizon.com.au</w:t>
                          </w:r>
                          <w:proofErr w:type="gramEnd"/>
                        </w:p>
                        <w:p w14:paraId="5366BE4F" w14:textId="77777777" w:rsidR="00020876" w:rsidRPr="003A2764" w:rsidRDefault="00020876" w:rsidP="00C70D61">
                          <w:pPr>
                            <w:pStyle w:val="Address"/>
                            <w:rPr>
                              <w:color w:val="44546A" w:themeColor="text2"/>
                            </w:rPr>
                          </w:pPr>
                        </w:p>
                        <w:p w14:paraId="279FC36D" w14:textId="77777777" w:rsidR="00020876" w:rsidRPr="003A2764" w:rsidRDefault="00020876" w:rsidP="00C70D61">
                          <w:pPr>
                            <w:pStyle w:val="Address"/>
                            <w:rPr>
                              <w:color w:val="44546A" w:themeColor="text2"/>
                            </w:rPr>
                          </w:pPr>
                          <w:r>
                            <w:rPr>
                              <w:color w:val="44546A" w:themeColor="text2"/>
                            </w:rPr>
                            <w:t>Level 2, 175 Eagle Street</w:t>
                          </w:r>
                        </w:p>
                        <w:p w14:paraId="37190790" w14:textId="77777777" w:rsidR="00020876" w:rsidRPr="003A2764" w:rsidRDefault="00020876" w:rsidP="00C70D61">
                          <w:pPr>
                            <w:pStyle w:val="Address"/>
                            <w:rPr>
                              <w:color w:val="44546A" w:themeColor="text2"/>
                            </w:rPr>
                          </w:pPr>
                          <w:proofErr w:type="gramStart"/>
                          <w:r>
                            <w:rPr>
                              <w:color w:val="44546A" w:themeColor="text2"/>
                            </w:rPr>
                            <w:t>Brisbane  QLD</w:t>
                          </w:r>
                          <w:proofErr w:type="gramEnd"/>
                          <w:r>
                            <w:rPr>
                              <w:color w:val="44546A" w:themeColor="text2"/>
                            </w:rPr>
                            <w:t xml:space="preserve">  4000</w:t>
                          </w:r>
                        </w:p>
                        <w:p w14:paraId="5643E66B" w14:textId="77777777" w:rsidR="00020876" w:rsidRPr="003A2764" w:rsidRDefault="00020876" w:rsidP="00C70D61">
                          <w:pPr>
                            <w:pStyle w:val="Address"/>
                            <w:rPr>
                              <w:color w:val="44546A" w:themeColor="text2"/>
                            </w:rPr>
                          </w:pPr>
                        </w:p>
                        <w:p w14:paraId="05EB7F2D" w14:textId="77777777" w:rsidR="00020876" w:rsidRPr="003A2764" w:rsidRDefault="00020876" w:rsidP="00C70D61">
                          <w:pPr>
                            <w:pStyle w:val="Address"/>
                            <w:rPr>
                              <w:color w:val="44546A" w:themeColor="text2"/>
                            </w:rPr>
                          </w:pPr>
                          <w:r>
                            <w:rPr>
                              <w:color w:val="44546A" w:themeColor="text2"/>
                            </w:rPr>
                            <w:t>GPO Box 456</w:t>
                          </w:r>
                        </w:p>
                        <w:p w14:paraId="367A8ED4" w14:textId="77777777" w:rsidR="00020876" w:rsidRPr="003A2764" w:rsidRDefault="00020876" w:rsidP="00C70D61">
                          <w:pPr>
                            <w:pStyle w:val="Address"/>
                            <w:rPr>
                              <w:color w:val="44546A" w:themeColor="text2"/>
                            </w:rPr>
                          </w:pPr>
                          <w:proofErr w:type="gramStart"/>
                          <w:r>
                            <w:rPr>
                              <w:color w:val="44546A" w:themeColor="text2"/>
                            </w:rPr>
                            <w:t>Brisbane  QLD</w:t>
                          </w:r>
                          <w:proofErr w:type="gramEnd"/>
                          <w:r>
                            <w:rPr>
                              <w:color w:val="44546A" w:themeColor="text2"/>
                            </w:rPr>
                            <w:t xml:space="preserve">  4001</w:t>
                          </w:r>
                        </w:p>
                        <w:p w14:paraId="16C63EAC" w14:textId="77777777" w:rsidR="00020876" w:rsidRPr="003A2764" w:rsidRDefault="00020876" w:rsidP="00C70D61">
                          <w:pPr>
                            <w:rPr>
                              <w:color w:val="44546A" w:themeColor="text2"/>
                            </w:rPr>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type w14:anchorId="728D752D" id="_x0000_t202" coordsize="21600,21600" o:spt="202" path="m,l,21600r21600,l21600,xe">
              <v:stroke joinstyle="miter"/>
              <v:path gradientshapeok="t" o:connecttype="rect"/>
            </v:shapetype>
            <v:shape id="Text Box 19" o:spid="_x0000_s1026" type="#_x0000_t202" style="position:absolute;margin-left:383.35pt;margin-top:-16.5pt;width:158.6pt;height:93.2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" filled="f" stroked="f">
              <v:textbox style="mso-fit-shape-to-text:t">
                <w:txbxContent>
                  <w:p w:rsidR="00020876" w:rsidRPr="003A2764" w:rsidRDefault="00020876" w:rsidP="00C70D61">
                    <w:pPr>
                      <w:pStyle w:val="Address"/>
                      <w:rPr>
                        <w:color w:val="44546A" w:themeColor="text2"/>
                      </w:rPr>
                    </w:pPr>
                    <w:proofErr w:type="gramStart"/>
                    <w:r w:rsidRPr="003A2764">
                      <w:rPr>
                        <w:color w:val="44546A" w:themeColor="text2"/>
                      </w:rPr>
                      <w:t>T  13</w:t>
                    </w:r>
                    <w:proofErr w:type="gramEnd"/>
                    <w:r w:rsidRPr="003A2764">
                      <w:rPr>
                        <w:color w:val="44546A" w:themeColor="text2"/>
                      </w:rPr>
                      <w:t xml:space="preserve"> 23 32</w:t>
                    </w:r>
                  </w:p>
                  <w:p w:rsidR="00020876" w:rsidRPr="003A2764" w:rsidRDefault="00020876" w:rsidP="00C70D61">
                    <w:pPr>
                      <w:pStyle w:val="Address"/>
                      <w:rPr>
                        <w:color w:val="44546A" w:themeColor="text2"/>
                      </w:rPr>
                    </w:pPr>
                    <w:proofErr w:type="gramStart"/>
                    <w:r w:rsidRPr="003A2764">
                      <w:rPr>
                        <w:color w:val="44546A" w:themeColor="text2"/>
                      </w:rPr>
                      <w:t xml:space="preserve">E  </w:t>
                    </w:r>
                    <w:r>
                      <w:rPr>
                        <w:color w:val="44546A" w:themeColor="text2"/>
                      </w:rPr>
                      <w:t>info</w:t>
                    </w:r>
                    <w:r w:rsidRPr="003A2764">
                      <w:rPr>
                        <w:color w:val="44546A" w:themeColor="text2"/>
                      </w:rPr>
                      <w:t>@aurizon.com.au</w:t>
                    </w:r>
                    <w:proofErr w:type="gramEnd"/>
                  </w:p>
                  <w:p w:rsidR="00020876" w:rsidRPr="003A2764" w:rsidRDefault="00020876" w:rsidP="00C70D61">
                    <w:pPr>
                      <w:pStyle w:val="Address"/>
                      <w:rPr>
                        <w:color w:val="44546A" w:themeColor="text2"/>
                      </w:rPr>
                    </w:pPr>
                    <w:proofErr w:type="gramStart"/>
                    <w:r w:rsidRPr="003A2764">
                      <w:rPr>
                        <w:color w:val="44546A" w:themeColor="text2"/>
                      </w:rPr>
                      <w:t>W  aurizon.com.au</w:t>
                    </w:r>
                    <w:proofErr w:type="gramEnd"/>
                  </w:p>
                  <w:p w:rsidR="00020876" w:rsidRPr="003A2764" w:rsidRDefault="00020876" w:rsidP="00C70D61">
                    <w:pPr>
                      <w:pStyle w:val="Address"/>
                      <w:rPr>
                        <w:color w:val="44546A" w:themeColor="text2"/>
                      </w:rPr>
                    </w:pPr>
                  </w:p>
                  <w:p w:rsidR="00020876" w:rsidRPr="003A2764" w:rsidRDefault="00020876" w:rsidP="00C70D61">
                    <w:pPr>
                      <w:pStyle w:val="Address"/>
                      <w:rPr>
                        <w:color w:val="44546A" w:themeColor="text2"/>
                      </w:rPr>
                    </w:pPr>
                    <w:r>
                      <w:rPr>
                        <w:color w:val="44546A" w:themeColor="text2"/>
                      </w:rPr>
                      <w:t>Level 2, 175 Eagle Street</w:t>
                    </w:r>
                  </w:p>
                  <w:p w:rsidR="00020876" w:rsidRPr="003A2764" w:rsidRDefault="00020876" w:rsidP="00C70D61">
                    <w:pPr>
                      <w:pStyle w:val="Address"/>
                      <w:rPr>
                        <w:color w:val="44546A" w:themeColor="text2"/>
                      </w:rPr>
                    </w:pPr>
                    <w:proofErr w:type="gramStart"/>
                    <w:r>
                      <w:rPr>
                        <w:color w:val="44546A" w:themeColor="text2"/>
                      </w:rPr>
                      <w:t>Brisbane  QLD</w:t>
                    </w:r>
                    <w:proofErr w:type="gramEnd"/>
                    <w:r>
                      <w:rPr>
                        <w:color w:val="44546A" w:themeColor="text2"/>
                      </w:rPr>
                      <w:t xml:space="preserve">  4000</w:t>
                    </w:r>
                  </w:p>
                  <w:p w:rsidR="00020876" w:rsidRPr="003A2764" w:rsidRDefault="00020876" w:rsidP="00C70D61">
                    <w:pPr>
                      <w:pStyle w:val="Address"/>
                      <w:rPr>
                        <w:color w:val="44546A" w:themeColor="text2"/>
                      </w:rPr>
                    </w:pPr>
                  </w:p>
                  <w:p w:rsidR="00020876" w:rsidRPr="003A2764" w:rsidRDefault="00020876" w:rsidP="00C70D61">
                    <w:pPr>
                      <w:pStyle w:val="Address"/>
                      <w:rPr>
                        <w:color w:val="44546A" w:themeColor="text2"/>
                      </w:rPr>
                    </w:pPr>
                    <w:r>
                      <w:rPr>
                        <w:color w:val="44546A" w:themeColor="text2"/>
                      </w:rPr>
                      <w:t>GPO Box 456</w:t>
                    </w:r>
                  </w:p>
                  <w:p w:rsidR="00020876" w:rsidRPr="003A2764" w:rsidRDefault="00020876" w:rsidP="00C70D61">
                    <w:pPr>
                      <w:pStyle w:val="Address"/>
                      <w:rPr>
                        <w:color w:val="44546A" w:themeColor="text2"/>
                      </w:rPr>
                    </w:pPr>
                    <w:proofErr w:type="gramStart"/>
                    <w:r>
                      <w:rPr>
                        <w:color w:val="44546A" w:themeColor="text2"/>
                      </w:rPr>
                      <w:t>Brisbane  QLD</w:t>
                    </w:r>
                    <w:proofErr w:type="gramEnd"/>
                    <w:r>
                      <w:rPr>
                        <w:color w:val="44546A" w:themeColor="text2"/>
                      </w:rPr>
                      <w:t xml:space="preserve">  4001</w:t>
                    </w:r>
                  </w:p>
                  <w:p w:rsidR="00020876" w:rsidRPr="003A2764" w:rsidRDefault="00020876" w:rsidP="00C70D61">
                    <w:pPr>
                      <w:rPr>
                        <w:color w:val="44546A" w:themeColor="text2"/>
                      </w:rPr>
                    </w:pPr>
                  </w:p>
                </w:txbxContent>
              </v:textbox>
            </v:shape>
          </w:pict>
        </mc:Fallback>
      </mc:AlternateContent>
    </w:r>
    <w:r>
      <w:rPr>
        <w:noProof/>
        <w:lang w:eastAsia="en-AU"/>
      </w:rPr>
      <w:drawing>
        <wp:anchor distT="0" distB="0" distL="114300" distR="114300" simplePos="0" relativeHeight="251661312" behindDoc="1" locked="0" layoutInCell="1" allowOverlap="1" wp14:anchorId="645B374C" wp14:editId="1A653814">
          <wp:simplePos x="0" y="0"/>
          <wp:positionH relativeFrom="column">
            <wp:posOffset>-224155</wp:posOffset>
          </wp:positionH>
          <wp:positionV relativeFrom="paragraph">
            <wp:posOffset>-383540</wp:posOffset>
          </wp:positionV>
          <wp:extent cx="2009775" cy="1343025"/>
          <wp:effectExtent l="19050" t="0" r="9525" b="0"/>
          <wp:wrapTight wrapText="bothSides">
            <wp:wrapPolygon edited="0">
              <wp:start x="-205" y="0"/>
              <wp:lineTo x="-205" y="21447"/>
              <wp:lineTo x="21702" y="21447"/>
              <wp:lineTo x="21702" y="0"/>
              <wp:lineTo x="-205" y="0"/>
            </wp:wrapPolygon>
          </wp:wrapTight>
          <wp:docPr id="6" name="Picture 1" descr="\\bneprdfps18\redirect18$\O876638\Desktop\For Internal Use (JPG, PNG) [R]\Stacked\JPG_White_Background\Aurizon_Stack_[R]_Colour_Pos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neprdfps18\redirect18$\O876638\Desktop\For Internal Use (JPG, PNG) [R]\Stacked\JPG_White_Background\Aurizon_Stack_[R]_Colour_Pos_RGB.jpg"/>
                  <pic:cNvPicPr>
                    <a:picLocks noChangeAspect="1" noChangeArrowheads="1"/>
                  </pic:cNvPicPr>
                </pic:nvPicPr>
                <pic:blipFill>
                  <a:blip r:embed="rId1"/>
                  <a:srcRect/>
                  <a:stretch>
                    <a:fillRect/>
                  </a:stretch>
                </pic:blipFill>
                <pic:spPr bwMode="auto">
                  <a:xfrm>
                    <a:off x="0" y="0"/>
                    <a:ext cx="2009775" cy="1343025"/>
                  </a:xfrm>
                  <a:prstGeom prst="rect">
                    <a:avLst/>
                  </a:prstGeom>
                  <a:noFill/>
                  <a:ln w="9525">
                    <a:noFill/>
                    <a:miter lim="800000"/>
                    <a:headEnd/>
                    <a:tailEnd/>
                  </a:ln>
                </pic:spPr>
              </pic:pic>
            </a:graphicData>
          </a:graphic>
        </wp:anchor>
      </w:drawing>
    </w:r>
  </w:p>
  <w:p w14:paraId="3C824971" w14:textId="77777777" w:rsidR="00020876" w:rsidRDefault="000208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17D"/>
    <w:multiLevelType w:val="hybridMultilevel"/>
    <w:tmpl w:val="C1EC10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73A5B1E"/>
    <w:multiLevelType w:val="hybridMultilevel"/>
    <w:tmpl w:val="D16466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C4C6445"/>
    <w:multiLevelType w:val="hybridMultilevel"/>
    <w:tmpl w:val="CC3E1754"/>
    <w:lvl w:ilvl="0" w:tplc="0C090001">
      <w:start w:val="1"/>
      <w:numFmt w:val="bulle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
    <w:nsid w:val="105835D3"/>
    <w:multiLevelType w:val="hybridMultilevel"/>
    <w:tmpl w:val="46FCC75E"/>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4">
    <w:nsid w:val="3049199D"/>
    <w:multiLevelType w:val="hybridMultilevel"/>
    <w:tmpl w:val="B8B45FF0"/>
    <w:lvl w:ilvl="0" w:tplc="DE1C752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0CD5D77"/>
    <w:multiLevelType w:val="hybridMultilevel"/>
    <w:tmpl w:val="4CE20954"/>
    <w:lvl w:ilvl="0" w:tplc="64D6BCF4">
      <w:start w:val="2"/>
      <w:numFmt w:val="bullet"/>
      <w:lvlText w:val="-"/>
      <w:lvlJc w:val="left"/>
      <w:pPr>
        <w:ind w:left="1080" w:hanging="360"/>
      </w:pPr>
      <w:rPr>
        <w:rFonts w:ascii="Calibri" w:eastAsiaTheme="minorHAnsi" w:hAnsi="Calibri" w:cstheme="minorBidi"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nsid w:val="30D401F6"/>
    <w:multiLevelType w:val="hybridMultilevel"/>
    <w:tmpl w:val="D23A8498"/>
    <w:lvl w:ilvl="0" w:tplc="0106B3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D102782"/>
    <w:multiLevelType w:val="hybridMultilevel"/>
    <w:tmpl w:val="5608CEAE"/>
    <w:lvl w:ilvl="0" w:tplc="6C42BFC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4F7758C6"/>
    <w:multiLevelType w:val="hybridMultilevel"/>
    <w:tmpl w:val="5D8C1FA6"/>
    <w:lvl w:ilvl="0" w:tplc="0106B3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61D61916"/>
    <w:multiLevelType w:val="hybridMultilevel"/>
    <w:tmpl w:val="EA566A54"/>
    <w:lvl w:ilvl="0" w:tplc="0C090001">
      <w:start w:val="1"/>
      <w:numFmt w:val="bullet"/>
      <w:lvlText w:val=""/>
      <w:lvlJc w:val="left"/>
      <w:pPr>
        <w:ind w:left="1211" w:hanging="360"/>
      </w:pPr>
      <w:rPr>
        <w:rFonts w:ascii="Symbol" w:hAnsi="Symbol" w:hint="default"/>
      </w:rPr>
    </w:lvl>
    <w:lvl w:ilvl="1" w:tplc="0C090003" w:tentative="1">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10">
    <w:nsid w:val="78EC370C"/>
    <w:multiLevelType w:val="hybridMultilevel"/>
    <w:tmpl w:val="24DED7E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num>
  <w:num w:numId="2">
    <w:abstractNumId w:val="4"/>
  </w:num>
  <w:num w:numId="3">
    <w:abstractNumId w:val="8"/>
  </w:num>
  <w:num w:numId="4">
    <w:abstractNumId w:val="7"/>
  </w:num>
  <w:num w:numId="5">
    <w:abstractNumId w:val="6"/>
  </w:num>
  <w:num w:numId="6">
    <w:abstractNumId w:val="2"/>
  </w:num>
  <w:num w:numId="7">
    <w:abstractNumId w:val="10"/>
  </w:num>
  <w:num w:numId="8">
    <w:abstractNumId w:val="9"/>
  </w:num>
  <w:num w:numId="9">
    <w:abstractNumId w:val="1"/>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62B"/>
    <w:rsid w:val="00003F10"/>
    <w:rsid w:val="0000716F"/>
    <w:rsid w:val="00016E05"/>
    <w:rsid w:val="00020876"/>
    <w:rsid w:val="00027646"/>
    <w:rsid w:val="000278ED"/>
    <w:rsid w:val="00040BAD"/>
    <w:rsid w:val="000731B2"/>
    <w:rsid w:val="00073EB0"/>
    <w:rsid w:val="00092D65"/>
    <w:rsid w:val="001251E5"/>
    <w:rsid w:val="001414EB"/>
    <w:rsid w:val="001C49C9"/>
    <w:rsid w:val="001F3BA9"/>
    <w:rsid w:val="002056DF"/>
    <w:rsid w:val="00214030"/>
    <w:rsid w:val="00281C97"/>
    <w:rsid w:val="002B44FE"/>
    <w:rsid w:val="002B48A1"/>
    <w:rsid w:val="0031589A"/>
    <w:rsid w:val="003822C1"/>
    <w:rsid w:val="0039262A"/>
    <w:rsid w:val="004344EB"/>
    <w:rsid w:val="00460222"/>
    <w:rsid w:val="0046544C"/>
    <w:rsid w:val="00466CD6"/>
    <w:rsid w:val="00473676"/>
    <w:rsid w:val="004836B5"/>
    <w:rsid w:val="00483F53"/>
    <w:rsid w:val="004929B4"/>
    <w:rsid w:val="004C1EAF"/>
    <w:rsid w:val="004E43B5"/>
    <w:rsid w:val="004E5B46"/>
    <w:rsid w:val="005225C8"/>
    <w:rsid w:val="0053763C"/>
    <w:rsid w:val="00545099"/>
    <w:rsid w:val="00565C7B"/>
    <w:rsid w:val="00567992"/>
    <w:rsid w:val="00582A59"/>
    <w:rsid w:val="005A255F"/>
    <w:rsid w:val="005B0B39"/>
    <w:rsid w:val="005B15CC"/>
    <w:rsid w:val="005D6A6D"/>
    <w:rsid w:val="005E575B"/>
    <w:rsid w:val="00601992"/>
    <w:rsid w:val="0061498E"/>
    <w:rsid w:val="00641F91"/>
    <w:rsid w:val="0065273A"/>
    <w:rsid w:val="006527CC"/>
    <w:rsid w:val="0066508F"/>
    <w:rsid w:val="00692720"/>
    <w:rsid w:val="006A0025"/>
    <w:rsid w:val="006A7565"/>
    <w:rsid w:val="006B2434"/>
    <w:rsid w:val="00701EF3"/>
    <w:rsid w:val="0071261F"/>
    <w:rsid w:val="007204C4"/>
    <w:rsid w:val="007279D1"/>
    <w:rsid w:val="00742383"/>
    <w:rsid w:val="0075507D"/>
    <w:rsid w:val="007B2854"/>
    <w:rsid w:val="007C5796"/>
    <w:rsid w:val="007F0C5B"/>
    <w:rsid w:val="008012C8"/>
    <w:rsid w:val="00836DBA"/>
    <w:rsid w:val="00847077"/>
    <w:rsid w:val="00854524"/>
    <w:rsid w:val="0085495F"/>
    <w:rsid w:val="008574B3"/>
    <w:rsid w:val="00877CD0"/>
    <w:rsid w:val="00880CA9"/>
    <w:rsid w:val="00882681"/>
    <w:rsid w:val="00890615"/>
    <w:rsid w:val="00892BF3"/>
    <w:rsid w:val="008A2426"/>
    <w:rsid w:val="008D2381"/>
    <w:rsid w:val="008D7315"/>
    <w:rsid w:val="008E095C"/>
    <w:rsid w:val="008F227E"/>
    <w:rsid w:val="008F3ADC"/>
    <w:rsid w:val="00902F5B"/>
    <w:rsid w:val="00905BCB"/>
    <w:rsid w:val="00953937"/>
    <w:rsid w:val="009836DD"/>
    <w:rsid w:val="00987359"/>
    <w:rsid w:val="009955BA"/>
    <w:rsid w:val="009A335D"/>
    <w:rsid w:val="009D591B"/>
    <w:rsid w:val="009E60CD"/>
    <w:rsid w:val="00A15644"/>
    <w:rsid w:val="00A26CF8"/>
    <w:rsid w:val="00A53A08"/>
    <w:rsid w:val="00A87993"/>
    <w:rsid w:val="00AA4777"/>
    <w:rsid w:val="00AB2BB7"/>
    <w:rsid w:val="00AB4A9B"/>
    <w:rsid w:val="00AC38D1"/>
    <w:rsid w:val="00B0142E"/>
    <w:rsid w:val="00B064DD"/>
    <w:rsid w:val="00B40EBF"/>
    <w:rsid w:val="00B66B09"/>
    <w:rsid w:val="00B75644"/>
    <w:rsid w:val="00B944C1"/>
    <w:rsid w:val="00BD2D89"/>
    <w:rsid w:val="00BD3C31"/>
    <w:rsid w:val="00C3272E"/>
    <w:rsid w:val="00C66AB4"/>
    <w:rsid w:val="00C70D61"/>
    <w:rsid w:val="00C93F7D"/>
    <w:rsid w:val="00CC1FBB"/>
    <w:rsid w:val="00CC4B05"/>
    <w:rsid w:val="00CD03AE"/>
    <w:rsid w:val="00CD1A62"/>
    <w:rsid w:val="00CF0623"/>
    <w:rsid w:val="00D172AD"/>
    <w:rsid w:val="00D31600"/>
    <w:rsid w:val="00D5443B"/>
    <w:rsid w:val="00D82359"/>
    <w:rsid w:val="00DB00BC"/>
    <w:rsid w:val="00DC162B"/>
    <w:rsid w:val="00E07BC9"/>
    <w:rsid w:val="00E23864"/>
    <w:rsid w:val="00E3655C"/>
    <w:rsid w:val="00E40EC3"/>
    <w:rsid w:val="00E46884"/>
    <w:rsid w:val="00E55897"/>
    <w:rsid w:val="00EA2902"/>
    <w:rsid w:val="00EB2C65"/>
    <w:rsid w:val="00ED44AA"/>
    <w:rsid w:val="00EE23E8"/>
    <w:rsid w:val="00EF1806"/>
    <w:rsid w:val="00F037BC"/>
    <w:rsid w:val="00F05763"/>
    <w:rsid w:val="00F24E6E"/>
    <w:rsid w:val="00F562E2"/>
    <w:rsid w:val="00F637AA"/>
    <w:rsid w:val="00F71197"/>
    <w:rsid w:val="00F7635F"/>
    <w:rsid w:val="00FA1B28"/>
    <w:rsid w:val="00FA41C1"/>
    <w:rsid w:val="00FB203C"/>
    <w:rsid w:val="00FE39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0A7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autoRedefine/>
    <w:qFormat/>
    <w:rsid w:val="004C1EAF"/>
    <w:pPr>
      <w:keepNext/>
      <w:spacing w:before="240" w:after="120" w:line="240" w:lineRule="auto"/>
      <w:outlineLvl w:val="1"/>
    </w:pPr>
    <w:rPr>
      <w:rFonts w:ascii="Arial" w:eastAsia="Times New Roman" w:hAnsi="Arial" w:cs="Arial"/>
      <w:bCs/>
      <w:iCs/>
      <w:color w:val="7D6A56"/>
      <w:sz w:val="36"/>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5796"/>
    <w:pPr>
      <w:ind w:left="720"/>
      <w:contextualSpacing/>
    </w:pPr>
  </w:style>
  <w:style w:type="paragraph" w:styleId="FootnoteText">
    <w:name w:val="footnote text"/>
    <w:basedOn w:val="Normal"/>
    <w:link w:val="FootnoteTextChar"/>
    <w:uiPriority w:val="99"/>
    <w:semiHidden/>
    <w:unhideWhenUsed/>
    <w:rsid w:val="00892B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2BF3"/>
    <w:rPr>
      <w:sz w:val="20"/>
      <w:szCs w:val="20"/>
    </w:rPr>
  </w:style>
  <w:style w:type="character" w:styleId="FootnoteReference">
    <w:name w:val="footnote reference"/>
    <w:basedOn w:val="DefaultParagraphFont"/>
    <w:uiPriority w:val="99"/>
    <w:semiHidden/>
    <w:unhideWhenUsed/>
    <w:rsid w:val="00892BF3"/>
    <w:rPr>
      <w:vertAlign w:val="superscript"/>
    </w:rPr>
  </w:style>
  <w:style w:type="paragraph" w:styleId="BalloonText">
    <w:name w:val="Balloon Text"/>
    <w:basedOn w:val="Normal"/>
    <w:link w:val="BalloonTextChar"/>
    <w:uiPriority w:val="99"/>
    <w:semiHidden/>
    <w:unhideWhenUsed/>
    <w:rsid w:val="00892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2BF3"/>
    <w:rPr>
      <w:rFonts w:ascii="Segoe UI" w:hAnsi="Segoe UI" w:cs="Segoe UI"/>
      <w:sz w:val="18"/>
      <w:szCs w:val="18"/>
    </w:rPr>
  </w:style>
  <w:style w:type="character" w:styleId="CommentReference">
    <w:name w:val="annotation reference"/>
    <w:basedOn w:val="DefaultParagraphFont"/>
    <w:uiPriority w:val="99"/>
    <w:semiHidden/>
    <w:unhideWhenUsed/>
    <w:rsid w:val="008D7315"/>
    <w:rPr>
      <w:sz w:val="16"/>
      <w:szCs w:val="16"/>
    </w:rPr>
  </w:style>
  <w:style w:type="paragraph" w:styleId="CommentText">
    <w:name w:val="annotation text"/>
    <w:basedOn w:val="Normal"/>
    <w:link w:val="CommentTextChar"/>
    <w:uiPriority w:val="99"/>
    <w:semiHidden/>
    <w:unhideWhenUsed/>
    <w:rsid w:val="008D7315"/>
    <w:pPr>
      <w:spacing w:line="240" w:lineRule="auto"/>
    </w:pPr>
    <w:rPr>
      <w:sz w:val="20"/>
      <w:szCs w:val="20"/>
    </w:rPr>
  </w:style>
  <w:style w:type="character" w:customStyle="1" w:styleId="CommentTextChar">
    <w:name w:val="Comment Text Char"/>
    <w:basedOn w:val="DefaultParagraphFont"/>
    <w:link w:val="CommentText"/>
    <w:uiPriority w:val="99"/>
    <w:semiHidden/>
    <w:rsid w:val="008D7315"/>
    <w:rPr>
      <w:sz w:val="20"/>
      <w:szCs w:val="20"/>
    </w:rPr>
  </w:style>
  <w:style w:type="paragraph" w:styleId="CommentSubject">
    <w:name w:val="annotation subject"/>
    <w:basedOn w:val="CommentText"/>
    <w:next w:val="CommentText"/>
    <w:link w:val="CommentSubjectChar"/>
    <w:uiPriority w:val="99"/>
    <w:semiHidden/>
    <w:unhideWhenUsed/>
    <w:rsid w:val="008D7315"/>
    <w:rPr>
      <w:b/>
      <w:bCs/>
    </w:rPr>
  </w:style>
  <w:style w:type="character" w:customStyle="1" w:styleId="CommentSubjectChar">
    <w:name w:val="Comment Subject Char"/>
    <w:basedOn w:val="CommentTextChar"/>
    <w:link w:val="CommentSubject"/>
    <w:uiPriority w:val="99"/>
    <w:semiHidden/>
    <w:rsid w:val="008D7315"/>
    <w:rPr>
      <w:b/>
      <w:bCs/>
      <w:sz w:val="20"/>
      <w:szCs w:val="20"/>
    </w:rPr>
  </w:style>
  <w:style w:type="paragraph" w:styleId="Revision">
    <w:name w:val="Revision"/>
    <w:hidden/>
    <w:uiPriority w:val="99"/>
    <w:semiHidden/>
    <w:rsid w:val="008D7315"/>
    <w:pPr>
      <w:spacing w:after="0" w:line="240" w:lineRule="auto"/>
    </w:pPr>
  </w:style>
  <w:style w:type="paragraph" w:customStyle="1" w:styleId="Default">
    <w:name w:val="Default"/>
    <w:basedOn w:val="Normal"/>
    <w:rsid w:val="007F0C5B"/>
    <w:pPr>
      <w:autoSpaceDE w:val="0"/>
      <w:autoSpaceDN w:val="0"/>
      <w:spacing w:after="0" w:line="240" w:lineRule="auto"/>
    </w:pPr>
    <w:rPr>
      <w:rFonts w:ascii="Book Antiqua" w:hAnsi="Book Antiqua" w:cs="Times New Roman"/>
      <w:color w:val="000000"/>
      <w:sz w:val="24"/>
      <w:szCs w:val="24"/>
    </w:rPr>
  </w:style>
  <w:style w:type="character" w:customStyle="1" w:styleId="Heading2Char">
    <w:name w:val="Heading 2 Char"/>
    <w:basedOn w:val="DefaultParagraphFont"/>
    <w:link w:val="Heading2"/>
    <w:rsid w:val="004C1EAF"/>
    <w:rPr>
      <w:rFonts w:ascii="Arial" w:eastAsia="Times New Roman" w:hAnsi="Arial" w:cs="Arial"/>
      <w:bCs/>
      <w:iCs/>
      <w:color w:val="7D6A56"/>
      <w:sz w:val="36"/>
      <w:szCs w:val="28"/>
      <w:lang w:eastAsia="en-AU"/>
    </w:rPr>
  </w:style>
  <w:style w:type="paragraph" w:styleId="Header">
    <w:name w:val="header"/>
    <w:basedOn w:val="Normal"/>
    <w:link w:val="HeaderChar"/>
    <w:uiPriority w:val="99"/>
    <w:unhideWhenUsed/>
    <w:rsid w:val="009E60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60CD"/>
  </w:style>
  <w:style w:type="paragraph" w:styleId="Footer">
    <w:name w:val="footer"/>
    <w:basedOn w:val="Normal"/>
    <w:link w:val="FooterChar"/>
    <w:uiPriority w:val="99"/>
    <w:unhideWhenUsed/>
    <w:rsid w:val="009E60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60CD"/>
  </w:style>
  <w:style w:type="paragraph" w:customStyle="1" w:styleId="Address">
    <w:name w:val="Address"/>
    <w:basedOn w:val="Normal"/>
    <w:qFormat/>
    <w:rsid w:val="00C70D61"/>
    <w:pPr>
      <w:spacing w:after="0" w:line="160" w:lineRule="exact"/>
    </w:pPr>
    <w:rPr>
      <w:rFonts w:ascii="Arial" w:eastAsia="MS Mincho" w:hAnsi="Arial" w:cs="Arial"/>
      <w:sz w:val="14"/>
      <w:szCs w:val="14"/>
    </w:rPr>
  </w:style>
  <w:style w:type="character" w:styleId="Hyperlink">
    <w:name w:val="Hyperlink"/>
    <w:basedOn w:val="DefaultParagraphFont"/>
    <w:uiPriority w:val="99"/>
    <w:unhideWhenUsed/>
    <w:rsid w:val="0000716F"/>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autoRedefine/>
    <w:qFormat/>
    <w:rsid w:val="004C1EAF"/>
    <w:pPr>
      <w:keepNext/>
      <w:spacing w:before="240" w:after="120" w:line="240" w:lineRule="auto"/>
      <w:outlineLvl w:val="1"/>
    </w:pPr>
    <w:rPr>
      <w:rFonts w:ascii="Arial" w:eastAsia="Times New Roman" w:hAnsi="Arial" w:cs="Arial"/>
      <w:bCs/>
      <w:iCs/>
      <w:color w:val="7D6A56"/>
      <w:sz w:val="36"/>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5796"/>
    <w:pPr>
      <w:ind w:left="720"/>
      <w:contextualSpacing/>
    </w:pPr>
  </w:style>
  <w:style w:type="paragraph" w:styleId="FootnoteText">
    <w:name w:val="footnote text"/>
    <w:basedOn w:val="Normal"/>
    <w:link w:val="FootnoteTextChar"/>
    <w:uiPriority w:val="99"/>
    <w:semiHidden/>
    <w:unhideWhenUsed/>
    <w:rsid w:val="00892B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2BF3"/>
    <w:rPr>
      <w:sz w:val="20"/>
      <w:szCs w:val="20"/>
    </w:rPr>
  </w:style>
  <w:style w:type="character" w:styleId="FootnoteReference">
    <w:name w:val="footnote reference"/>
    <w:basedOn w:val="DefaultParagraphFont"/>
    <w:uiPriority w:val="99"/>
    <w:semiHidden/>
    <w:unhideWhenUsed/>
    <w:rsid w:val="00892BF3"/>
    <w:rPr>
      <w:vertAlign w:val="superscript"/>
    </w:rPr>
  </w:style>
  <w:style w:type="paragraph" w:styleId="BalloonText">
    <w:name w:val="Balloon Text"/>
    <w:basedOn w:val="Normal"/>
    <w:link w:val="BalloonTextChar"/>
    <w:uiPriority w:val="99"/>
    <w:semiHidden/>
    <w:unhideWhenUsed/>
    <w:rsid w:val="00892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2BF3"/>
    <w:rPr>
      <w:rFonts w:ascii="Segoe UI" w:hAnsi="Segoe UI" w:cs="Segoe UI"/>
      <w:sz w:val="18"/>
      <w:szCs w:val="18"/>
    </w:rPr>
  </w:style>
  <w:style w:type="character" w:styleId="CommentReference">
    <w:name w:val="annotation reference"/>
    <w:basedOn w:val="DefaultParagraphFont"/>
    <w:uiPriority w:val="99"/>
    <w:semiHidden/>
    <w:unhideWhenUsed/>
    <w:rsid w:val="008D7315"/>
    <w:rPr>
      <w:sz w:val="16"/>
      <w:szCs w:val="16"/>
    </w:rPr>
  </w:style>
  <w:style w:type="paragraph" w:styleId="CommentText">
    <w:name w:val="annotation text"/>
    <w:basedOn w:val="Normal"/>
    <w:link w:val="CommentTextChar"/>
    <w:uiPriority w:val="99"/>
    <w:semiHidden/>
    <w:unhideWhenUsed/>
    <w:rsid w:val="008D7315"/>
    <w:pPr>
      <w:spacing w:line="240" w:lineRule="auto"/>
    </w:pPr>
    <w:rPr>
      <w:sz w:val="20"/>
      <w:szCs w:val="20"/>
    </w:rPr>
  </w:style>
  <w:style w:type="character" w:customStyle="1" w:styleId="CommentTextChar">
    <w:name w:val="Comment Text Char"/>
    <w:basedOn w:val="DefaultParagraphFont"/>
    <w:link w:val="CommentText"/>
    <w:uiPriority w:val="99"/>
    <w:semiHidden/>
    <w:rsid w:val="008D7315"/>
    <w:rPr>
      <w:sz w:val="20"/>
      <w:szCs w:val="20"/>
    </w:rPr>
  </w:style>
  <w:style w:type="paragraph" w:styleId="CommentSubject">
    <w:name w:val="annotation subject"/>
    <w:basedOn w:val="CommentText"/>
    <w:next w:val="CommentText"/>
    <w:link w:val="CommentSubjectChar"/>
    <w:uiPriority w:val="99"/>
    <w:semiHidden/>
    <w:unhideWhenUsed/>
    <w:rsid w:val="008D7315"/>
    <w:rPr>
      <w:b/>
      <w:bCs/>
    </w:rPr>
  </w:style>
  <w:style w:type="character" w:customStyle="1" w:styleId="CommentSubjectChar">
    <w:name w:val="Comment Subject Char"/>
    <w:basedOn w:val="CommentTextChar"/>
    <w:link w:val="CommentSubject"/>
    <w:uiPriority w:val="99"/>
    <w:semiHidden/>
    <w:rsid w:val="008D7315"/>
    <w:rPr>
      <w:b/>
      <w:bCs/>
      <w:sz w:val="20"/>
      <w:szCs w:val="20"/>
    </w:rPr>
  </w:style>
  <w:style w:type="paragraph" w:styleId="Revision">
    <w:name w:val="Revision"/>
    <w:hidden/>
    <w:uiPriority w:val="99"/>
    <w:semiHidden/>
    <w:rsid w:val="008D7315"/>
    <w:pPr>
      <w:spacing w:after="0" w:line="240" w:lineRule="auto"/>
    </w:pPr>
  </w:style>
  <w:style w:type="paragraph" w:customStyle="1" w:styleId="Default">
    <w:name w:val="Default"/>
    <w:basedOn w:val="Normal"/>
    <w:rsid w:val="007F0C5B"/>
    <w:pPr>
      <w:autoSpaceDE w:val="0"/>
      <w:autoSpaceDN w:val="0"/>
      <w:spacing w:after="0" w:line="240" w:lineRule="auto"/>
    </w:pPr>
    <w:rPr>
      <w:rFonts w:ascii="Book Antiqua" w:hAnsi="Book Antiqua" w:cs="Times New Roman"/>
      <w:color w:val="000000"/>
      <w:sz w:val="24"/>
      <w:szCs w:val="24"/>
    </w:rPr>
  </w:style>
  <w:style w:type="character" w:customStyle="1" w:styleId="Heading2Char">
    <w:name w:val="Heading 2 Char"/>
    <w:basedOn w:val="DefaultParagraphFont"/>
    <w:link w:val="Heading2"/>
    <w:rsid w:val="004C1EAF"/>
    <w:rPr>
      <w:rFonts w:ascii="Arial" w:eastAsia="Times New Roman" w:hAnsi="Arial" w:cs="Arial"/>
      <w:bCs/>
      <w:iCs/>
      <w:color w:val="7D6A56"/>
      <w:sz w:val="36"/>
      <w:szCs w:val="28"/>
      <w:lang w:eastAsia="en-AU"/>
    </w:rPr>
  </w:style>
  <w:style w:type="paragraph" w:styleId="Header">
    <w:name w:val="header"/>
    <w:basedOn w:val="Normal"/>
    <w:link w:val="HeaderChar"/>
    <w:uiPriority w:val="99"/>
    <w:unhideWhenUsed/>
    <w:rsid w:val="009E60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60CD"/>
  </w:style>
  <w:style w:type="paragraph" w:styleId="Footer">
    <w:name w:val="footer"/>
    <w:basedOn w:val="Normal"/>
    <w:link w:val="FooterChar"/>
    <w:uiPriority w:val="99"/>
    <w:unhideWhenUsed/>
    <w:rsid w:val="009E60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60CD"/>
  </w:style>
  <w:style w:type="paragraph" w:customStyle="1" w:styleId="Address">
    <w:name w:val="Address"/>
    <w:basedOn w:val="Normal"/>
    <w:qFormat/>
    <w:rsid w:val="00C70D61"/>
    <w:pPr>
      <w:spacing w:after="0" w:line="160" w:lineRule="exact"/>
    </w:pPr>
    <w:rPr>
      <w:rFonts w:ascii="Arial" w:eastAsia="MS Mincho" w:hAnsi="Arial" w:cs="Arial"/>
      <w:sz w:val="14"/>
      <w:szCs w:val="14"/>
    </w:rPr>
  </w:style>
  <w:style w:type="character" w:styleId="Hyperlink">
    <w:name w:val="Hyperlink"/>
    <w:basedOn w:val="DefaultParagraphFont"/>
    <w:uiPriority w:val="99"/>
    <w:unhideWhenUsed/>
    <w:rsid w:val="0000716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83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g"/><Relationship Id="rId18" Type="http://schemas.openxmlformats.org/officeDocument/2006/relationships/hyperlink" Target="http://www.austlii.edu.au/au/legis/cth/consol_act/caca2010265/s44b.html" TargetMode="External"/><Relationship Id="rId26" Type="http://schemas.openxmlformats.org/officeDocument/2006/relationships/hyperlink" Target="http://www.austlii.edu.au/au/legis/cth/consol_act/caca2010265/s152ac.html" TargetMode="External"/><Relationship Id="rId3" Type="http://schemas.openxmlformats.org/officeDocument/2006/relationships/customXml" Target="../customXml/item3.xml"/><Relationship Id="rId21" Type="http://schemas.openxmlformats.org/officeDocument/2006/relationships/hyperlink" Target="http://www.austlii.edu.au/au/legis/cth/consol_act/caca2010265/s4.html" TargetMode="External"/><Relationship Id="rId34" Type="http://schemas.openxmlformats.org/officeDocument/2006/relationships/header" Target="head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austlii.edu.au/au/legis/cth/consol_act/caca2010265/s44b.html" TargetMode="External"/><Relationship Id="rId25" Type="http://schemas.openxmlformats.org/officeDocument/2006/relationships/hyperlink" Target="http://www.austlii.edu.au/au/legis/cth/consol_act/caca2010265/s152ac.html" TargetMode="External"/><Relationship Id="rId33" Type="http://schemas.openxmlformats.org/officeDocument/2006/relationships/hyperlink" Target="http://www.austlii.edu.au/au/legis/cth/consol_act/caca2010265/s152ac.html" TargetMode="External"/><Relationship Id="rId2" Type="http://schemas.openxmlformats.org/officeDocument/2006/relationships/customXml" Target="../customXml/item2.xml"/><Relationship Id="rId16" Type="http://schemas.openxmlformats.org/officeDocument/2006/relationships/hyperlink" Target="http://www.austlii.edu.au/au/legis/cth/consol_act/caca2010265/s152ac.html" TargetMode="External"/><Relationship Id="rId20" Type="http://schemas.openxmlformats.org/officeDocument/2006/relationships/hyperlink" Target="http://www.austlii.edu.au/au/legis/cth/consol_act/caca2010265/s152ac.html" TargetMode="External"/><Relationship Id="rId29" Type="http://schemas.openxmlformats.org/officeDocument/2006/relationships/hyperlink" Target="http://www.austlii.edu.au/au/legis/cth/consol_act/caca2010265/s152ac.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www.austlii.edu.au/au/legis/cth/consol_act/caca2010265/s152ac.html" TargetMode="External"/><Relationship Id="rId32" Type="http://schemas.openxmlformats.org/officeDocument/2006/relationships/hyperlink" Target="http://www.austlii.edu.au/au/legis/cth/consol_act/caca2010265/s152ac.html"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austlii.edu.au/au/legis/cth/consol_act/caca2010265/s152ac.html" TargetMode="External"/><Relationship Id="rId23" Type="http://schemas.openxmlformats.org/officeDocument/2006/relationships/hyperlink" Target="http://www.austlii.edu.au/au/legis/cth/consol_act/caca2010265/s152ac.html" TargetMode="External"/><Relationship Id="rId28" Type="http://schemas.openxmlformats.org/officeDocument/2006/relationships/hyperlink" Target="http://www.austlii.edu.au/au/legis/cth/consol_act/caca2010265/s152ac.html"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www.austlii.edu.au/au/legis/cth/consol_act/caca2010265/s152ac.html" TargetMode="External"/><Relationship Id="rId31" Type="http://schemas.openxmlformats.org/officeDocument/2006/relationships/hyperlink" Target="http://www.austlii.edu.au/au/legis/cth/consol_act/caca2010265/s152ac.html"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austlii.edu.au/au/legis/cth/consol_act/caca2010265/s44b.html" TargetMode="External"/><Relationship Id="rId22" Type="http://schemas.openxmlformats.org/officeDocument/2006/relationships/hyperlink" Target="http://www.austlii.edu.au/au/legis/cth/consol_act/caca2010265/s152ac.html" TargetMode="External"/><Relationship Id="rId27" Type="http://schemas.openxmlformats.org/officeDocument/2006/relationships/hyperlink" Target="http://www.austlii.edu.au/au/legis/cth/consol_act/caca2010265/s152ac.html" TargetMode="External"/><Relationship Id="rId30" Type="http://schemas.openxmlformats.org/officeDocument/2006/relationships/hyperlink" Target="http://www.austlii.edu.au/au/legis/cth/consol_act/caca2010265/s152ac.html"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2014RG-82-8079</_dlc_DocId>
    <_dlc_DocIdUrl xmlns="9f7bc583-7cbe-45b9-a2bd-8bbb6543b37e">
      <Url>http://tweb/sites/rg/project/twptf/_layouts/15/DocIdRedir.aspx?ID=2014RG-82-8079</Url>
      <Description>2014RG-82-8079</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B3368-EEC7-47D7-AA4F-76992FBFADCB}"/>
</file>

<file path=customXml/itemProps2.xml><?xml version="1.0" encoding="utf-8"?>
<ds:datastoreItem xmlns:ds="http://schemas.openxmlformats.org/officeDocument/2006/customXml" ds:itemID="{6E6393B9-3C8A-4529-8133-FC2BD885332B}"/>
</file>

<file path=customXml/itemProps3.xml><?xml version="1.0" encoding="utf-8"?>
<ds:datastoreItem xmlns:ds="http://schemas.openxmlformats.org/officeDocument/2006/customXml" ds:itemID="{A1DDEE3C-6ABB-48FD-BA56-5D23B8FFF05A}"/>
</file>

<file path=customXml/itemProps4.xml><?xml version="1.0" encoding="utf-8"?>
<ds:datastoreItem xmlns:ds="http://schemas.openxmlformats.org/officeDocument/2006/customXml" ds:itemID="{929CBE13-56D3-4CA6-A713-947CD465894B}"/>
</file>

<file path=customXml/itemProps5.xml><?xml version="1.0" encoding="utf-8"?>
<ds:datastoreItem xmlns:ds="http://schemas.openxmlformats.org/officeDocument/2006/customXml" ds:itemID="{CFDCFBB0-0471-4DB7-9611-71C296F094CC}"/>
</file>

<file path=docProps/app.xml><?xml version="1.0" encoding="utf-8"?>
<Properties xmlns="http://schemas.openxmlformats.org/officeDocument/2006/extended-properties" xmlns:vt="http://schemas.openxmlformats.org/officeDocument/2006/docPropsVTypes">
  <Template>Normal.dotm</Template>
  <TotalTime>0</TotalTime>
  <Pages>11</Pages>
  <Words>3090</Words>
  <Characters>17614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Aurizon</Company>
  <LinksUpToDate>false</LinksUpToDate>
  <CharactersWithSpaces>20663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Lock, Ian</dc:creator>
  <cp:lastModifiedBy>McLeod, Caitlin</cp:lastModifiedBy>
  <cp:revision>2</cp:revision>
  <cp:lastPrinted>2015-05-28T22:51:00Z</cp:lastPrinted>
  <dcterms:created xsi:type="dcterms:W3CDTF">2015-06-02T01:48:00Z</dcterms:created>
  <dcterms:modified xsi:type="dcterms:W3CDTF">2015-06-02T01:48:00Z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0x01010036BB8DE7EC542E42A8B2E98CC20CB69700AA356CCBB2B4204EB1CD923E8E69F50F</vt:lpwstr>
  </property>
  <property fmtid="{D5CDD505-2E9C-101B-9397-08002B2CF9AE}" pid="3" name="TSYRecordClass">
    <vt:lpwstr>20;#TSY RA-9152 - Retain as national archives|9ab56360-fc55-4e73-997a-d8add4432252</vt:lpwstr>
  </property>
  <property fmtid="{D5CDD505-2E9C-101B-9397-08002B2CF9AE}" pid="4" name="_dlc_DocIdItemGuid">
    <vt:lpwstr>7b201788-5994-43d2-bfae-fe11b0e5a429</vt:lpwstr>
  </property>
</Properties>
</file>