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f5d730e24ae34b20" Type="http://schemas.microsoft.com/office/2006/relationships/ui/extensibility" Target="customUI/customUI.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A3126" w14:textId="0F3B1E3F" w:rsidR="00E07793" w:rsidRDefault="005D6802" w:rsidP="00DF66B3">
      <w:pPr>
        <w:pStyle w:val="Heading1"/>
      </w:pPr>
      <w:bookmarkStart w:id="0" w:name="_Toc402520182"/>
      <w:bookmarkStart w:id="1" w:name="_GoBack"/>
      <w:bookmarkEnd w:id="1"/>
      <w:r>
        <w:t xml:space="preserve"> </w:t>
      </w:r>
      <w:r w:rsidR="00882A4F">
        <w:t>Not</w:t>
      </w:r>
      <w:r w:rsidR="00D77F97">
        <w:noBreakHyphen/>
      </w:r>
      <w:r w:rsidR="00882A4F">
        <w:t>for</w:t>
      </w:r>
      <w:r w:rsidR="00D77F97">
        <w:noBreakHyphen/>
      </w:r>
      <w:r w:rsidR="00882A4F">
        <w:t xml:space="preserve">profit sector </w:t>
      </w:r>
      <w:bookmarkEnd w:id="0"/>
    </w:p>
    <w:p w14:paraId="552C4849" w14:textId="52772C32" w:rsidR="00645953" w:rsidRDefault="00645953" w:rsidP="00645953">
      <w:r>
        <w:rPr>
          <w:noProof/>
        </w:rPr>
        <mc:AlternateContent>
          <mc:Choice Requires="wps">
            <w:drawing>
              <wp:anchor distT="0" distB="0" distL="114300" distR="114300" simplePos="0" relativeHeight="251658240" behindDoc="1" locked="0" layoutInCell="1" allowOverlap="1" wp14:anchorId="0F08280A" wp14:editId="1A344A41">
                <wp:simplePos x="0" y="0"/>
                <wp:positionH relativeFrom="column">
                  <wp:posOffset>-90805</wp:posOffset>
                </wp:positionH>
                <wp:positionV relativeFrom="paragraph">
                  <wp:posOffset>160655</wp:posOffset>
                </wp:positionV>
                <wp:extent cx="5975985" cy="3933825"/>
                <wp:effectExtent l="0" t="0" r="5715" b="9525"/>
                <wp:wrapNone/>
                <wp:docPr id="3" name="Rectangle 3"/>
                <wp:cNvGraphicFramePr/>
                <a:graphic xmlns:a="http://schemas.openxmlformats.org/drawingml/2006/main">
                  <a:graphicData uri="http://schemas.microsoft.com/office/word/2010/wordprocessingShape">
                    <wps:wsp>
                      <wps:cNvSpPr/>
                      <wps:spPr>
                        <a:xfrm>
                          <a:off x="0" y="0"/>
                          <a:ext cx="5975985" cy="3933825"/>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15pt;margin-top:12.65pt;width:470.55pt;height:30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" fillcolor="#d5edf6 [660]" stroked="f" strokeweight="2pt"/>
            </w:pict>
          </mc:Fallback>
        </mc:AlternateContent>
      </w:r>
    </w:p>
    <w:p w14:paraId="2ACF6A29" w14:textId="77777777" w:rsidR="00645953" w:rsidRPr="002B7F0E" w:rsidRDefault="00645953" w:rsidP="00DF66B3">
      <w:pPr>
        <w:pStyle w:val="Overviewheading"/>
        <w:numPr>
          <w:ilvl w:val="0"/>
          <w:numId w:val="0"/>
        </w:numPr>
      </w:pPr>
      <w:r w:rsidRPr="002B7F0E">
        <w:t>Overview</w:t>
      </w:r>
    </w:p>
    <w:p w14:paraId="722879FD" w14:textId="4FBBEFF1" w:rsidR="00645953" w:rsidRPr="002B7F0E" w:rsidRDefault="00645953" w:rsidP="00645953">
      <w:pPr>
        <w:pStyle w:val="Overviewtext"/>
        <w:rPr>
          <w:b/>
          <w:smallCaps/>
        </w:rPr>
      </w:pPr>
      <w:r w:rsidRPr="002B7F0E">
        <w:t>This chapter provides an overview of the not</w:t>
      </w:r>
      <w:r w:rsidR="00D77F97">
        <w:noBreakHyphen/>
      </w:r>
      <w:r w:rsidRPr="002B7F0E">
        <w:t>for</w:t>
      </w:r>
      <w:r w:rsidR="00D77F97">
        <w:noBreakHyphen/>
      </w:r>
      <w:r w:rsidRPr="002B7F0E">
        <w:t>profit (NFP) sector in Australia and the tax concessions available to different types of NFP organisations.</w:t>
      </w:r>
    </w:p>
    <w:p w14:paraId="15DCC99C" w14:textId="77777777" w:rsidR="00645953" w:rsidRPr="002B7F0E" w:rsidRDefault="00645953" w:rsidP="00DF66B3">
      <w:pPr>
        <w:pStyle w:val="Overviewheading2"/>
        <w:numPr>
          <w:ilvl w:val="0"/>
          <w:numId w:val="0"/>
        </w:numPr>
      </w:pPr>
      <w:r w:rsidRPr="002B7F0E">
        <w:t>Key points</w:t>
      </w:r>
    </w:p>
    <w:p w14:paraId="522F3253" w14:textId="77777777" w:rsidR="00645953" w:rsidRPr="002B7F0E" w:rsidRDefault="00645953" w:rsidP="00645953">
      <w:pPr>
        <w:pStyle w:val="Bullets"/>
      </w:pPr>
      <w:r w:rsidRPr="002B7F0E">
        <w:t>The NFP sector is large and diverse and provides important benefits for the Australian community.</w:t>
      </w:r>
    </w:p>
    <w:p w14:paraId="77AA6D05" w14:textId="7CE5C902" w:rsidR="00645953" w:rsidRPr="002B7F0E" w:rsidRDefault="00645953" w:rsidP="00645953">
      <w:pPr>
        <w:pStyle w:val="Bullets"/>
      </w:pPr>
      <w:r w:rsidRPr="002B7F0E">
        <w:t xml:space="preserve">Governments provide a number of tax concessions to support the NFP sector. While these tax concessions help increase the level of activity in the NFP sector, the value of revenue forgone from the concessions is significant and growing steadily. </w:t>
      </w:r>
    </w:p>
    <w:p w14:paraId="4442BE1C" w14:textId="01B74B14" w:rsidR="00645953" w:rsidRPr="002B7F0E" w:rsidRDefault="00645953" w:rsidP="00645953">
      <w:pPr>
        <w:pStyle w:val="Bullets"/>
      </w:pPr>
      <w:r w:rsidRPr="002B7F0E">
        <w:t xml:space="preserve">Tax concessions for the sector can also increase complexity, in part because they vary according to the type and purpose of NFP organisations. In some cases, NFP tax concessions </w:t>
      </w:r>
      <w:r w:rsidR="00497630" w:rsidRPr="002B7F0E">
        <w:t xml:space="preserve">may </w:t>
      </w:r>
      <w:r w:rsidRPr="002B7F0E">
        <w:t>provide NFPs with a competitive advantage over their commercial competitors.</w:t>
      </w:r>
    </w:p>
    <w:p w14:paraId="1DD82C7D" w14:textId="77777777" w:rsidR="00645953" w:rsidRPr="002B7F0E" w:rsidRDefault="00645953" w:rsidP="00645953"/>
    <w:p w14:paraId="4CCA3128" w14:textId="1FF73BB9" w:rsidR="002F377B" w:rsidRPr="002B7F0E" w:rsidRDefault="007547DD" w:rsidP="00DF66B3">
      <w:pPr>
        <w:pStyle w:val="Heading2"/>
      </w:pPr>
      <w:bookmarkStart w:id="2" w:name="_Toc402520183"/>
      <w:bookmarkStart w:id="3" w:name="_Toc404350004"/>
      <w:bookmarkEnd w:id="2"/>
      <w:bookmarkEnd w:id="3"/>
      <w:r w:rsidRPr="002B7F0E">
        <w:t>Not</w:t>
      </w:r>
      <w:r w:rsidR="00D77F97">
        <w:noBreakHyphen/>
      </w:r>
      <w:r w:rsidR="00645953" w:rsidRPr="002B7F0E">
        <w:t>f</w:t>
      </w:r>
      <w:r w:rsidRPr="002B7F0E">
        <w:t>or</w:t>
      </w:r>
      <w:r w:rsidR="00D77F97">
        <w:noBreakHyphen/>
      </w:r>
      <w:r w:rsidR="00645953" w:rsidRPr="002B7F0E">
        <w:t>p</w:t>
      </w:r>
      <w:r w:rsidRPr="002B7F0E">
        <w:t>rofit sector</w:t>
      </w:r>
    </w:p>
    <w:p w14:paraId="2E86CCE3" w14:textId="496CE551" w:rsidR="00882A4F" w:rsidRPr="002B7F0E" w:rsidRDefault="00882A4F" w:rsidP="00645953">
      <w:bookmarkStart w:id="4" w:name="_Toc396824763"/>
      <w:r w:rsidRPr="002B7F0E">
        <w:t>Not</w:t>
      </w:r>
      <w:r w:rsidR="00D77F97">
        <w:noBreakHyphen/>
      </w:r>
      <w:r w:rsidRPr="002B7F0E">
        <w:t>for</w:t>
      </w:r>
      <w:r w:rsidR="00D77F97">
        <w:noBreakHyphen/>
      </w:r>
      <w:r w:rsidRPr="002B7F0E">
        <w:t xml:space="preserve">profit (NFP) organisations play an important and intrinsic role in Australian society. NFPs are diverse, providing their members, clients </w:t>
      </w:r>
      <w:r w:rsidR="0084171D" w:rsidRPr="002B7F0E">
        <w:t>and</w:t>
      </w:r>
      <w:r w:rsidRPr="002B7F0E">
        <w:t xml:space="preserve"> the general community with a range of</w:t>
      </w:r>
      <w:r w:rsidR="005145AF" w:rsidRPr="002B7F0E">
        <w:t> </w:t>
      </w:r>
      <w:r w:rsidRPr="002B7F0E">
        <w:t>services</w:t>
      </w:r>
      <w:r w:rsidR="00996310">
        <w:t>,</w:t>
      </w:r>
      <w:r w:rsidRPr="002B7F0E">
        <w:t xml:space="preserve"> including welfare, education, </w:t>
      </w:r>
      <w:r w:rsidR="0006522F" w:rsidRPr="002B7F0E">
        <w:t xml:space="preserve">religion, health, </w:t>
      </w:r>
      <w:r w:rsidRPr="002B7F0E">
        <w:t>sport and cultur</w:t>
      </w:r>
      <w:r w:rsidR="00B63990">
        <w:t>e</w:t>
      </w:r>
      <w:r w:rsidRPr="002B7F0E">
        <w:t>.</w:t>
      </w:r>
    </w:p>
    <w:p w14:paraId="046EF044" w14:textId="100D2F96" w:rsidR="00882A4F" w:rsidRPr="002B7F0E" w:rsidRDefault="00882A4F" w:rsidP="00645953">
      <w:r w:rsidRPr="002B7F0E">
        <w:t>There are around 600,000 NFPs in Australia,</w:t>
      </w:r>
      <w:r w:rsidR="00623E4E" w:rsidRPr="002B7F0E">
        <w:t xml:space="preserve"> </w:t>
      </w:r>
      <w:r w:rsidR="0095798D" w:rsidRPr="002B7F0E">
        <w:t>the majority</w:t>
      </w:r>
      <w:r w:rsidRPr="002B7F0E">
        <w:t xml:space="preserve"> </w:t>
      </w:r>
      <w:r w:rsidR="00996310" w:rsidRPr="00996310">
        <w:t xml:space="preserve">of which </w:t>
      </w:r>
      <w:r w:rsidRPr="002B7F0E">
        <w:t>are small, unincorporated or non</w:t>
      </w:r>
      <w:r w:rsidR="00D77F97">
        <w:noBreakHyphen/>
      </w:r>
      <w:r w:rsidRPr="002B7F0E">
        <w:t xml:space="preserve">employing organisations that undertake activities to meet local needs and rely on the volunteer contributions of community members. </w:t>
      </w:r>
      <w:r w:rsidR="0095798D" w:rsidRPr="002B7F0E">
        <w:t>Of these NFPs, around 60,000 are registered charities.</w:t>
      </w:r>
      <w:r w:rsidR="00655728" w:rsidRPr="002B7F0E">
        <w:rPr>
          <w:rStyle w:val="FootnoteReference"/>
        </w:rPr>
        <w:footnoteReference w:id="2"/>
      </w:r>
      <w:r w:rsidR="00324B75" w:rsidRPr="002B7F0E">
        <w:t xml:space="preserve"> </w:t>
      </w:r>
    </w:p>
    <w:p w14:paraId="2F042557" w14:textId="0F907F99" w:rsidR="00882A4F" w:rsidRPr="002B7F0E" w:rsidRDefault="00882A4F" w:rsidP="00882A4F">
      <w:r w:rsidRPr="002B7F0E">
        <w:lastRenderedPageBreak/>
        <w:t xml:space="preserve">According to the </w:t>
      </w:r>
      <w:r w:rsidR="0084126E" w:rsidRPr="002B7F0E">
        <w:t>Australian Bureau of Statistics (</w:t>
      </w:r>
      <w:r w:rsidRPr="002B7F0E">
        <w:t>ABS</w:t>
      </w:r>
      <w:r w:rsidR="0084126E" w:rsidRPr="002B7F0E">
        <w:t>)</w:t>
      </w:r>
      <w:r w:rsidRPr="002B7F0E">
        <w:t xml:space="preserve">, there are almost 57,000 NFPs </w:t>
      </w:r>
      <w:r w:rsidR="00806398" w:rsidRPr="002B7F0E">
        <w:t>that</w:t>
      </w:r>
      <w:r w:rsidRPr="002B7F0E">
        <w:t xml:space="preserve"> are economically significant.</w:t>
      </w:r>
      <w:r w:rsidRPr="002B7F0E">
        <w:rPr>
          <w:rStyle w:val="FootnoteReference"/>
        </w:rPr>
        <w:footnoteReference w:id="3"/>
      </w:r>
      <w:r w:rsidRPr="002B7F0E">
        <w:t xml:space="preserve"> As a proportion of the economy,</w:t>
      </w:r>
      <w:r w:rsidR="00F075C2" w:rsidRPr="002B7F0E">
        <w:t xml:space="preserve"> in 2012</w:t>
      </w:r>
      <w:r w:rsidR="00D77F97">
        <w:noBreakHyphen/>
      </w:r>
      <w:r w:rsidR="00F075C2" w:rsidRPr="002B7F0E">
        <w:t>13</w:t>
      </w:r>
      <w:r w:rsidR="00996310">
        <w:t>,</w:t>
      </w:r>
      <w:r w:rsidRPr="002B7F0E">
        <w:t xml:space="preserve"> these NFPs account</w:t>
      </w:r>
      <w:r w:rsidR="00F075C2" w:rsidRPr="002B7F0E">
        <w:t>ed</w:t>
      </w:r>
      <w:r w:rsidRPr="002B7F0E">
        <w:t xml:space="preserve"> for around 3.8 per cent of GDP (up from 3.2 per cent of GDP in 2006</w:t>
      </w:r>
      <w:r w:rsidR="00D77F97">
        <w:noBreakHyphen/>
      </w:r>
      <w:r w:rsidRPr="002B7F0E">
        <w:t>07)</w:t>
      </w:r>
      <w:r w:rsidR="0006522F" w:rsidRPr="002B7F0E">
        <w:t>. They</w:t>
      </w:r>
      <w:r w:rsidRPr="002B7F0E">
        <w:t xml:space="preserve"> generated revenue of</w:t>
      </w:r>
      <w:r w:rsidR="0006522F" w:rsidRPr="002B7F0E">
        <w:t xml:space="preserve"> about</w:t>
      </w:r>
      <w:r w:rsidRPr="002B7F0E">
        <w:t xml:space="preserve"> $107 billion, had total assets worth</w:t>
      </w:r>
      <w:r w:rsidR="0006522F" w:rsidRPr="002B7F0E">
        <w:t xml:space="preserve"> about</w:t>
      </w:r>
      <w:r w:rsidRPr="002B7F0E">
        <w:t xml:space="preserve"> $176 billion and net worth of</w:t>
      </w:r>
      <w:r w:rsidR="0006522F" w:rsidRPr="002B7F0E">
        <w:t xml:space="preserve"> about</w:t>
      </w:r>
      <w:r w:rsidRPr="002B7F0E">
        <w:t xml:space="preserve"> $123 billion at the end of June 2013.</w:t>
      </w:r>
      <w:r w:rsidR="00A21420" w:rsidRPr="002B7F0E">
        <w:rPr>
          <w:rStyle w:val="FootnoteReference"/>
        </w:rPr>
        <w:footnoteReference w:id="4"/>
      </w:r>
      <w:r w:rsidR="00324B75" w:rsidRPr="002B7F0E">
        <w:t xml:space="preserve"> </w:t>
      </w:r>
    </w:p>
    <w:p w14:paraId="4D193CC4" w14:textId="6B02E3C1" w:rsidR="00882A4F" w:rsidRPr="002B7F0E" w:rsidRDefault="00882A4F" w:rsidP="005145AF">
      <w:pPr>
        <w:spacing w:after="0"/>
      </w:pPr>
      <w:r w:rsidRPr="002B7F0E">
        <w:t>Economically significant NFPs operate in both market and non</w:t>
      </w:r>
      <w:r w:rsidR="00D77F97">
        <w:noBreakHyphen/>
      </w:r>
      <w:r w:rsidRPr="002B7F0E">
        <w:t>market sectors (such as religion) (Chart </w:t>
      </w:r>
      <w:r w:rsidR="00573CEB" w:rsidRPr="002B7F0E">
        <w:t>7</w:t>
      </w:r>
      <w:r w:rsidR="0006522F" w:rsidRPr="002B7F0E">
        <w:t>.1)</w:t>
      </w:r>
      <w:r w:rsidRPr="002B7F0E">
        <w:t>. Government funding (including tied funding) accounts for just over 38 per cent of the revenue of these NFPs, donations</w:t>
      </w:r>
      <w:r w:rsidR="00352970" w:rsidRPr="002B7F0E">
        <w:t xml:space="preserve"> account</w:t>
      </w:r>
      <w:r w:rsidRPr="002B7F0E">
        <w:t xml:space="preserve"> for a further 5 per cent, while income from </w:t>
      </w:r>
      <w:r w:rsidR="00393E43" w:rsidRPr="002B7F0E">
        <w:t xml:space="preserve">donated </w:t>
      </w:r>
      <w:r w:rsidRPr="002B7F0E">
        <w:t xml:space="preserve">goods and services accounts for </w:t>
      </w:r>
      <w:r w:rsidR="00CC6BBC" w:rsidRPr="002B7F0E">
        <w:t>close to</w:t>
      </w:r>
      <w:r w:rsidRPr="002B7F0E">
        <w:t xml:space="preserve"> half of their revenue.</w:t>
      </w:r>
      <w:r w:rsidR="00A21420" w:rsidRPr="002B7F0E">
        <w:rPr>
          <w:rStyle w:val="FootnoteReference"/>
        </w:rPr>
        <w:footnoteReference w:id="5"/>
      </w:r>
      <w:r w:rsidR="00324B75" w:rsidRPr="002B7F0E">
        <w:t xml:space="preserve"> </w:t>
      </w:r>
    </w:p>
    <w:p w14:paraId="7FFC0B39" w14:textId="77777777" w:rsidR="00F34D75" w:rsidRPr="002B7F0E" w:rsidRDefault="00F34D75" w:rsidP="00645953">
      <w:pPr>
        <w:pStyle w:val="Singleparagraph0"/>
      </w:pPr>
      <w:bookmarkStart w:id="5" w:name="_Toc395714980"/>
      <w:bookmarkStart w:id="6" w:name="_Toc395714724"/>
      <w:bookmarkStart w:id="7" w:name="_Toc396824762"/>
    </w:p>
    <w:p w14:paraId="4A51B6F2" w14:textId="32099C48" w:rsidR="00F34D75" w:rsidRPr="002B7F0E" w:rsidRDefault="001309BA" w:rsidP="001309BA">
      <w:pPr>
        <w:pStyle w:val="ChartMainHeading"/>
      </w:pPr>
      <w:proofErr w:type="gramStart"/>
      <w:r w:rsidRPr="002B7F0E">
        <w:t xml:space="preserve">Chart </w:t>
      </w:r>
      <w:fldSimple w:instr=" STYLEREF 1 \s ">
        <w:r w:rsidR="00790FF4">
          <w:rPr>
            <w:noProof/>
          </w:rPr>
          <w:t>7</w:t>
        </w:r>
      </w:fldSimple>
      <w:r w:rsidRPr="002B7F0E">
        <w:t>.</w:t>
      </w:r>
      <w:proofErr w:type="gramEnd"/>
      <w:r w:rsidR="002E6BAA">
        <w:fldChar w:fldCharType="begin"/>
      </w:r>
      <w:r w:rsidR="002E6BAA">
        <w:instrText xml:space="preserve"> SEQ Chart \* ARABIC \s 1 </w:instrText>
      </w:r>
      <w:r w:rsidR="002E6BAA">
        <w:fldChar w:fldCharType="separate"/>
      </w:r>
      <w:r w:rsidR="00790FF4">
        <w:rPr>
          <w:noProof/>
        </w:rPr>
        <w:t>1</w:t>
      </w:r>
      <w:r w:rsidR="002E6BAA">
        <w:rPr>
          <w:noProof/>
        </w:rPr>
        <w:fldChar w:fldCharType="end"/>
      </w:r>
      <w:r w:rsidRPr="002B7F0E">
        <w:t xml:space="preserve"> Sh</w:t>
      </w:r>
      <w:r w:rsidR="00F34D75" w:rsidRPr="002B7F0E">
        <w:t>are of NFP organisations by activity</w:t>
      </w:r>
      <w:r w:rsidR="00CD649E" w:rsidRPr="002B7F0E">
        <w:t>, 2012</w:t>
      </w:r>
      <w:r w:rsidR="00D77F97">
        <w:noBreakHyphen/>
      </w:r>
      <w:r w:rsidR="00CD649E" w:rsidRPr="002B7F0E">
        <w:t xml:space="preserve">13 </w:t>
      </w:r>
    </w:p>
    <w:bookmarkStart w:id="8" w:name="_1479116015"/>
    <w:bookmarkStart w:id="9" w:name="_1479116350"/>
    <w:bookmarkStart w:id="10" w:name="_1479292305"/>
    <w:bookmarkStart w:id="11" w:name="_1479293113"/>
    <w:bookmarkStart w:id="12" w:name="_1480150416"/>
    <w:bookmarkEnd w:id="8"/>
    <w:bookmarkEnd w:id="9"/>
    <w:bookmarkEnd w:id="10"/>
    <w:bookmarkEnd w:id="11"/>
    <w:bookmarkEnd w:id="12"/>
    <w:p w14:paraId="4C0A248C" w14:textId="426FBC61" w:rsidR="00F34D75" w:rsidRPr="002B7F0E" w:rsidRDefault="00790FF4" w:rsidP="001C7FD5">
      <w:pPr>
        <w:pStyle w:val="ChartGraphic"/>
      </w:pPr>
      <w:r w:rsidRPr="002B7F0E">
        <w:object w:dxaOrig="8790" w:dyaOrig="3975" w14:anchorId="63B52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rt 7.1 Share of NFP organisations by activity, 2012-13.&#10;&#10;The chart shows the proportion of not-for-profit organisations classified by activity. Health accounts for the smallest proportion of organisations, while Environment, Development and Housing, Law, Advocacy, Philanthropic, International accounts for the largest proportion of not-for-profit organisations.&#10;" style="width:439.5pt;height:198.75pt" o:ole="">
            <v:imagedata r:id="rId13" o:title=""/>
          </v:shape>
          <o:OLEObject Type="Link" ProgID="Excel.Sheet.12" ShapeID="_x0000_i1025" DrawAspect="Content" r:id="rId14" UpdateMode="Always">
            <o:LinkType>EnhancedMetaFile</o:LinkType>
            <o:LockedField/>
            <o:FieldCodes>\* MERGEFORMAT</o:FieldCodes>
          </o:OLEObject>
        </w:object>
      </w:r>
    </w:p>
    <w:p w14:paraId="0BB2452B" w14:textId="0985012B" w:rsidR="00882A4F" w:rsidRPr="002B7F0E" w:rsidRDefault="00BF3536" w:rsidP="00645953">
      <w:pPr>
        <w:pStyle w:val="ChartandTableNote"/>
        <w:ind w:left="851"/>
      </w:pPr>
      <w:r w:rsidRPr="002B7F0E">
        <w:t xml:space="preserve">Source: </w:t>
      </w:r>
      <w:r w:rsidR="0084343F" w:rsidRPr="002B7F0E">
        <w:t>ABS</w:t>
      </w:r>
      <w:r w:rsidR="00655728" w:rsidRPr="002B7F0E">
        <w:t xml:space="preserve"> 2014, </w:t>
      </w:r>
      <w:r w:rsidR="00655728" w:rsidRPr="002B7F0E">
        <w:rPr>
          <w:i/>
        </w:rPr>
        <w:t>Australian National Accounts: Non</w:t>
      </w:r>
      <w:r w:rsidR="00D77F97">
        <w:rPr>
          <w:i/>
        </w:rPr>
        <w:noBreakHyphen/>
      </w:r>
      <w:r w:rsidR="00655728" w:rsidRPr="002B7F0E">
        <w:rPr>
          <w:i/>
        </w:rPr>
        <w:t>Profit Institutions Satellite Account, 2012</w:t>
      </w:r>
      <w:r w:rsidR="00D77F97">
        <w:rPr>
          <w:i/>
        </w:rPr>
        <w:noBreakHyphen/>
      </w:r>
      <w:r w:rsidR="00655728" w:rsidRPr="002B7F0E">
        <w:rPr>
          <w:i/>
        </w:rPr>
        <w:t>13,</w:t>
      </w:r>
      <w:r w:rsidR="00655728" w:rsidRPr="002B7F0E">
        <w:t xml:space="preserve"> </w:t>
      </w:r>
      <w:r w:rsidR="0084343F" w:rsidRPr="002B7F0E">
        <w:t>cat. </w:t>
      </w:r>
      <w:proofErr w:type="gramStart"/>
      <w:r w:rsidR="0084343F" w:rsidRPr="002B7F0E">
        <w:t>no</w:t>
      </w:r>
      <w:proofErr w:type="gramEnd"/>
      <w:r w:rsidR="0084343F" w:rsidRPr="002B7F0E">
        <w:t>. </w:t>
      </w:r>
      <w:r w:rsidR="00655728" w:rsidRPr="002B7F0E">
        <w:t xml:space="preserve">5256.0, </w:t>
      </w:r>
      <w:r w:rsidR="0084343F" w:rsidRPr="002B7F0E">
        <w:t>ABS</w:t>
      </w:r>
      <w:r w:rsidR="00655728" w:rsidRPr="002B7F0E">
        <w:t>, Canberra.</w:t>
      </w:r>
    </w:p>
    <w:p w14:paraId="45BF600E" w14:textId="77777777" w:rsidR="00A53639" w:rsidRPr="002B7F0E" w:rsidRDefault="00A53639" w:rsidP="00A53639">
      <w:pPr>
        <w:pStyle w:val="SingleParagraph"/>
      </w:pPr>
    </w:p>
    <w:p w14:paraId="5114441C" w14:textId="599ABD5D" w:rsidR="00882A4F" w:rsidRPr="002B7F0E" w:rsidRDefault="00882A4F" w:rsidP="00F34D75">
      <w:pPr>
        <w:spacing w:before="240"/>
      </w:pPr>
      <w:r w:rsidRPr="002B7F0E">
        <w:t>Almost 1.1 million people are employed by economically significant NFPs, with around 70 per cent employed in three sectors — social services, education and research and health.</w:t>
      </w:r>
      <w:r w:rsidR="00A21420" w:rsidRPr="002B7F0E">
        <w:rPr>
          <w:rStyle w:val="FootnoteReference"/>
        </w:rPr>
        <w:footnoteReference w:id="6"/>
      </w:r>
      <w:r w:rsidRPr="002B7F0E">
        <w:t xml:space="preserve"> These three sectors also dominate contributions to gross value added </w:t>
      </w:r>
      <w:r w:rsidR="002B37B7" w:rsidRPr="002B7F0E">
        <w:t>(</w:t>
      </w:r>
      <w:r w:rsidR="002B37B7" w:rsidRPr="002B7F0E">
        <w:fldChar w:fldCharType="begin"/>
      </w:r>
      <w:r w:rsidR="002B37B7" w:rsidRPr="002B7F0E">
        <w:instrText xml:space="preserve"> REF _Ref404343215 \h </w:instrText>
      </w:r>
      <w:r w:rsidR="002B7F0E">
        <w:instrText xml:space="preserve"> \* MERGEFORMAT </w:instrText>
      </w:r>
      <w:r w:rsidR="002B37B7" w:rsidRPr="002B7F0E">
        <w:fldChar w:fldCharType="separate"/>
      </w:r>
      <w:r w:rsidR="00790FF4" w:rsidRPr="002B7F0E">
        <w:t xml:space="preserve">Chart </w:t>
      </w:r>
      <w:r w:rsidR="00790FF4">
        <w:rPr>
          <w:noProof/>
        </w:rPr>
        <w:t>7</w:t>
      </w:r>
      <w:r w:rsidR="00790FF4" w:rsidRPr="002B7F0E">
        <w:rPr>
          <w:noProof/>
        </w:rPr>
        <w:t>.</w:t>
      </w:r>
      <w:r w:rsidR="00790FF4">
        <w:rPr>
          <w:noProof/>
        </w:rPr>
        <w:t>2</w:t>
      </w:r>
      <w:r w:rsidR="002B37B7" w:rsidRPr="002B7F0E">
        <w:fldChar w:fldCharType="end"/>
      </w:r>
      <w:r w:rsidRPr="002B7F0E">
        <w:t>).</w:t>
      </w:r>
      <w:r w:rsidR="00670F8E" w:rsidRPr="002B7F0E">
        <w:rPr>
          <w:rStyle w:val="FootnoteReference"/>
        </w:rPr>
        <w:footnoteReference w:id="7"/>
      </w:r>
    </w:p>
    <w:p w14:paraId="76EE8DC2" w14:textId="77777777" w:rsidR="00F062F8" w:rsidRPr="002B7F0E" w:rsidRDefault="00F062F8" w:rsidP="00F34D75">
      <w:pPr>
        <w:spacing w:before="240"/>
      </w:pPr>
    </w:p>
    <w:p w14:paraId="1185C213" w14:textId="5D588701" w:rsidR="00882A4F" w:rsidRPr="002B7F0E" w:rsidRDefault="001309BA" w:rsidP="001309BA">
      <w:pPr>
        <w:pStyle w:val="ChartMainHeading"/>
      </w:pPr>
      <w:bookmarkStart w:id="13" w:name="_Ref404343215"/>
      <w:proofErr w:type="gramStart"/>
      <w:r w:rsidRPr="002B7F0E">
        <w:lastRenderedPageBreak/>
        <w:t xml:space="preserve">Chart </w:t>
      </w:r>
      <w:fldSimple w:instr=" STYLEREF 1 \s ">
        <w:r w:rsidR="00790FF4">
          <w:rPr>
            <w:noProof/>
          </w:rPr>
          <w:t>7</w:t>
        </w:r>
      </w:fldSimple>
      <w:r w:rsidRPr="002B7F0E">
        <w:t>.</w:t>
      </w:r>
      <w:proofErr w:type="gramEnd"/>
      <w:r w:rsidR="002E6BAA">
        <w:fldChar w:fldCharType="begin"/>
      </w:r>
      <w:r w:rsidR="002E6BAA">
        <w:instrText xml:space="preserve"> SEQ Chart \* ARABIC \s 1 </w:instrText>
      </w:r>
      <w:r w:rsidR="002E6BAA">
        <w:fldChar w:fldCharType="separate"/>
      </w:r>
      <w:r w:rsidR="00790FF4">
        <w:rPr>
          <w:noProof/>
        </w:rPr>
        <w:t>2</w:t>
      </w:r>
      <w:r w:rsidR="002E6BAA">
        <w:rPr>
          <w:noProof/>
        </w:rPr>
        <w:fldChar w:fldCharType="end"/>
      </w:r>
      <w:bookmarkEnd w:id="13"/>
      <w:r w:rsidRPr="002B7F0E">
        <w:t xml:space="preserve"> </w:t>
      </w:r>
      <w:r w:rsidR="00882A4F" w:rsidRPr="002B7F0E">
        <w:t>Shares of total gross value added by activity</w:t>
      </w:r>
    </w:p>
    <w:bookmarkStart w:id="14" w:name="_1479116018"/>
    <w:bookmarkEnd w:id="14"/>
    <w:p w14:paraId="00695629" w14:textId="3DEF211B" w:rsidR="00882A4F" w:rsidRPr="002B7F0E" w:rsidRDefault="00D66999" w:rsidP="00A43264">
      <w:pPr>
        <w:pStyle w:val="ChartGraphic"/>
      </w:pPr>
      <w:r w:rsidRPr="002B7F0E">
        <w:object w:dxaOrig="8775" w:dyaOrig="4516" w14:anchorId="07C16540">
          <v:shape id="_x0000_i1026" type="#_x0000_t75" alt="Chart 7.2 Shares of total gross value added by activity.&#10;&#10;The chart shows the share of gross value added by activity in the not-for-profit sector for 2006-07 and 2012-13. Gross value added measures the value of output produced by  not-for-profit organisations less the cost of goods and services used up in their processes of production. These shares have remained broadly stable, with education and research comprising the largest share of gross value added in the not-for-profit sector.&#10;" style="width:438.75pt;height:225.75pt;mso-position-vertical:absolute" o:ole="">
            <v:imagedata r:id="rId15" o:title=""/>
          </v:shape>
          <o:OLEObject Type="Link" ProgID="Excel.Sheet.12" ShapeID="_x0000_i1026" DrawAspect="Content" r:id="rId16" UpdateMode="Always">
            <o:LinkType>EnhancedMetaFile</o:LinkType>
            <o:LockedField/>
            <o:FieldCodes>\* MERGEFORMAT</o:FieldCodes>
          </o:OLEObject>
        </w:object>
      </w:r>
      <w:r w:rsidR="00EA07D1" w:rsidRPr="002B7F0E" w:rsidDel="00C01764">
        <w:fldChar w:fldCharType="begin"/>
      </w:r>
      <w:bookmarkStart w:id="15" w:name="_1479116351"/>
      <w:bookmarkEnd w:id="15"/>
      <w:r w:rsidR="00EA07D1" w:rsidRPr="002B7F0E" w:rsidDel="00C01764">
        <w:fldChar w:fldCharType="end"/>
      </w:r>
      <w:bookmarkStart w:id="16" w:name="_1479292307"/>
      <w:bookmarkStart w:id="17" w:name="_1479293114"/>
      <w:bookmarkStart w:id="18" w:name="_1479116019"/>
      <w:bookmarkEnd w:id="16"/>
      <w:bookmarkEnd w:id="17"/>
      <w:bookmarkEnd w:id="18"/>
    </w:p>
    <w:p w14:paraId="40F136AC" w14:textId="29C1B02C" w:rsidR="001309BA" w:rsidRPr="002B7F0E" w:rsidRDefault="001309BA" w:rsidP="00645953">
      <w:pPr>
        <w:pStyle w:val="ChartandTableNote"/>
        <w:spacing w:after="240"/>
        <w:ind w:left="284"/>
      </w:pPr>
      <w:r w:rsidRPr="002B7F0E">
        <w:t xml:space="preserve">Source: ABS </w:t>
      </w:r>
      <w:r w:rsidR="009D0E84" w:rsidRPr="002B7F0E">
        <w:t xml:space="preserve">2014, </w:t>
      </w:r>
      <w:r w:rsidR="009D0E84" w:rsidRPr="002B7F0E">
        <w:rPr>
          <w:i/>
        </w:rPr>
        <w:t>Australian National Accounts: Non</w:t>
      </w:r>
      <w:r w:rsidR="00D77F97">
        <w:rPr>
          <w:i/>
        </w:rPr>
        <w:noBreakHyphen/>
      </w:r>
      <w:r w:rsidR="009D0E84" w:rsidRPr="002B7F0E">
        <w:rPr>
          <w:i/>
        </w:rPr>
        <w:t>Profit Institutions Satellite Account, 2012</w:t>
      </w:r>
      <w:r w:rsidR="00D77F97">
        <w:rPr>
          <w:i/>
        </w:rPr>
        <w:noBreakHyphen/>
      </w:r>
      <w:r w:rsidR="009D0E84" w:rsidRPr="002B7F0E">
        <w:rPr>
          <w:i/>
        </w:rPr>
        <w:t>13</w:t>
      </w:r>
      <w:r w:rsidR="009D0E84" w:rsidRPr="002B7F0E">
        <w:t xml:space="preserve">, </w:t>
      </w:r>
      <w:r w:rsidR="007A5E49" w:rsidRPr="002B7F0E">
        <w:t>cat. </w:t>
      </w:r>
      <w:proofErr w:type="gramStart"/>
      <w:r w:rsidR="007A5E49" w:rsidRPr="002B7F0E">
        <w:t>n</w:t>
      </w:r>
      <w:r w:rsidRPr="002B7F0E">
        <w:t>o</w:t>
      </w:r>
      <w:proofErr w:type="gramEnd"/>
      <w:r w:rsidR="007A5E49" w:rsidRPr="002B7F0E">
        <w:t>. </w:t>
      </w:r>
      <w:r w:rsidRPr="002B7F0E">
        <w:t>5256.0</w:t>
      </w:r>
      <w:r w:rsidR="009D0E84" w:rsidRPr="002B7F0E">
        <w:t xml:space="preserve">, </w:t>
      </w:r>
      <w:r w:rsidR="007A5E49" w:rsidRPr="002B7F0E">
        <w:t>ABS</w:t>
      </w:r>
      <w:r w:rsidR="009D0E84" w:rsidRPr="002B7F0E">
        <w:t>, Canberra.</w:t>
      </w:r>
    </w:p>
    <w:p w14:paraId="79B35596" w14:textId="77777777" w:rsidR="00645953" w:rsidRPr="002B7F0E" w:rsidRDefault="00645953" w:rsidP="005145AF">
      <w:pPr>
        <w:pStyle w:val="Singleparagraph0"/>
      </w:pPr>
    </w:p>
    <w:p w14:paraId="16D26D12" w14:textId="77777777" w:rsidR="005145AF" w:rsidRPr="002B7F0E" w:rsidRDefault="005145AF" w:rsidP="00645953"/>
    <w:p w14:paraId="641B262E" w14:textId="77777777" w:rsidR="00882A4F" w:rsidRPr="002B7F0E" w:rsidRDefault="00882A4F" w:rsidP="00DF66B3">
      <w:pPr>
        <w:pStyle w:val="Heading2"/>
      </w:pPr>
      <w:bookmarkStart w:id="19" w:name="_Toc402340337"/>
      <w:bookmarkStart w:id="20" w:name="_Toc402343431"/>
      <w:bookmarkStart w:id="21" w:name="_Toc402346667"/>
      <w:bookmarkStart w:id="22" w:name="_Toc402349123"/>
      <w:bookmarkStart w:id="23" w:name="_Toc402350651"/>
      <w:bookmarkStart w:id="24" w:name="_Toc402353672"/>
      <w:bookmarkStart w:id="25" w:name="_Toc402368789"/>
      <w:bookmarkStart w:id="26" w:name="_Toc402369874"/>
      <w:bookmarkStart w:id="27" w:name="_Toc402370539"/>
      <w:bookmarkStart w:id="28" w:name="_Toc402371486"/>
      <w:bookmarkStart w:id="29" w:name="_Toc404350005"/>
      <w:r w:rsidRPr="002B7F0E">
        <w:t>The role of tax concessions</w:t>
      </w:r>
      <w:bookmarkEnd w:id="19"/>
      <w:bookmarkEnd w:id="20"/>
      <w:bookmarkEnd w:id="21"/>
      <w:bookmarkEnd w:id="22"/>
      <w:bookmarkEnd w:id="23"/>
      <w:bookmarkEnd w:id="24"/>
      <w:bookmarkEnd w:id="25"/>
      <w:bookmarkEnd w:id="26"/>
      <w:bookmarkEnd w:id="27"/>
      <w:bookmarkEnd w:id="28"/>
      <w:bookmarkEnd w:id="29"/>
    </w:p>
    <w:p w14:paraId="009490E7" w14:textId="0BA56D43" w:rsidR="00882A4F" w:rsidRPr="002B7F0E" w:rsidRDefault="00882A4F" w:rsidP="00882A4F">
      <w:r w:rsidRPr="002B7F0E">
        <w:t>In recognition of the NFP sector</w:t>
      </w:r>
      <w:r w:rsidR="00D77F97">
        <w:t>’</w:t>
      </w:r>
      <w:r w:rsidRPr="002B7F0E">
        <w:t>s contribution to the Australian community, it has been a longstanding policy of successive governments to provide support to the sector in the form of tax concessions</w:t>
      </w:r>
      <w:r w:rsidR="00334D76" w:rsidRPr="002B7F0E">
        <w:t xml:space="preserve">. </w:t>
      </w:r>
    </w:p>
    <w:bookmarkEnd w:id="5"/>
    <w:bookmarkEnd w:id="6"/>
    <w:bookmarkEnd w:id="7"/>
    <w:p w14:paraId="5E8795C7" w14:textId="6BC9500A" w:rsidR="00882A4F" w:rsidRPr="002B7F0E" w:rsidRDefault="00882A4F" w:rsidP="005145AF">
      <w:r w:rsidRPr="002B7F0E">
        <w:t>At the state and local government level, many charitable institutions are exempt from state and local government taxes.</w:t>
      </w:r>
      <w:r w:rsidR="000C6268" w:rsidRPr="002B7F0E">
        <w:rPr>
          <w:rStyle w:val="FootnoteReference"/>
        </w:rPr>
        <w:footnoteReference w:id="8"/>
      </w:r>
      <w:r w:rsidRPr="002B7F0E">
        <w:t xml:space="preserve"> Exemptions differ across jurisdictions, but</w:t>
      </w:r>
      <w:r w:rsidR="0006522F" w:rsidRPr="002B7F0E">
        <w:t xml:space="preserve"> may be</w:t>
      </w:r>
      <w:r w:rsidRPr="002B7F0E">
        <w:t xml:space="preserve"> available for taxes</w:t>
      </w:r>
      <w:r w:rsidR="00996310">
        <w:t>,</w:t>
      </w:r>
      <w:r w:rsidRPr="002B7F0E">
        <w:t xml:space="preserve"> including municipal rates, payroll tax, stamp duty, motor vehicle registration and land tax. At the Commonwealth level, these tax concessions vary according to the type of entity as well as the activities that the NFP undertakes (</w:t>
      </w:r>
      <w:r w:rsidR="00497630" w:rsidRPr="002B7F0E">
        <w:t>Table 7.1)</w:t>
      </w:r>
      <w:r w:rsidRPr="002B7F0E">
        <w:t>. These tax concessions include income tax exemption; a higher GST registration threshold; the ability to make supplies GST</w:t>
      </w:r>
      <w:r w:rsidR="00D77F97">
        <w:noBreakHyphen/>
      </w:r>
      <w:r w:rsidRPr="002B7F0E">
        <w:t>free in certain circumstances; capped exemptions from (or rebates of) fringe benefits tax (FBT); and the ability to receive tax deductible gifts.</w:t>
      </w:r>
    </w:p>
    <w:p w14:paraId="6CFAF903" w14:textId="77777777" w:rsidR="00645953" w:rsidRPr="002B7F0E" w:rsidRDefault="00645953">
      <w:pPr>
        <w:spacing w:after="0" w:line="240" w:lineRule="auto"/>
        <w:rPr>
          <w:b/>
          <w:color w:val="31A7D4" w:themeColor="accent1"/>
        </w:rPr>
      </w:pPr>
      <w:bookmarkStart w:id="30" w:name="_Ref404172469"/>
      <w:r w:rsidRPr="002B7F0E">
        <w:br w:type="page"/>
      </w:r>
    </w:p>
    <w:p w14:paraId="1289E56A" w14:textId="54196315" w:rsidR="00882A4F" w:rsidRPr="002B7F0E" w:rsidRDefault="001309BA" w:rsidP="001309BA">
      <w:pPr>
        <w:pStyle w:val="TableMainHeading"/>
      </w:pPr>
      <w:proofErr w:type="gramStart"/>
      <w:r w:rsidRPr="002B7F0E">
        <w:lastRenderedPageBreak/>
        <w:t xml:space="preserve">Table </w:t>
      </w:r>
      <w:fldSimple w:instr=" STYLEREF 1 \s ">
        <w:r w:rsidR="00790FF4">
          <w:rPr>
            <w:noProof/>
          </w:rPr>
          <w:t>7</w:t>
        </w:r>
      </w:fldSimple>
      <w:r w:rsidRPr="002B7F0E">
        <w:t>.</w:t>
      </w:r>
      <w:proofErr w:type="gramEnd"/>
      <w:r w:rsidR="002E6BAA">
        <w:fldChar w:fldCharType="begin"/>
      </w:r>
      <w:r w:rsidR="002E6BAA">
        <w:instrText xml:space="preserve"> SEQ Table \* ARABIC \s 1 </w:instrText>
      </w:r>
      <w:r w:rsidR="002E6BAA">
        <w:fldChar w:fldCharType="separate"/>
      </w:r>
      <w:r w:rsidR="00790FF4">
        <w:rPr>
          <w:noProof/>
        </w:rPr>
        <w:t>1</w:t>
      </w:r>
      <w:r w:rsidR="002E6BAA">
        <w:rPr>
          <w:noProof/>
        </w:rPr>
        <w:fldChar w:fldCharType="end"/>
      </w:r>
      <w:bookmarkEnd w:id="30"/>
      <w:r w:rsidRPr="002B7F0E">
        <w:t xml:space="preserve"> </w:t>
      </w:r>
      <w:r w:rsidR="00882A4F" w:rsidRPr="002B7F0E">
        <w:t>Main tax concessions for main types of NFP entity</w:t>
      </w:r>
    </w:p>
    <w:tbl>
      <w:tblPr>
        <w:tblStyle w:val="MediumGrid1-Accent2"/>
        <w:tblW w:w="9071" w:type="dxa"/>
        <w:tblInd w:w="108" w:type="dxa"/>
        <w:tblBorders>
          <w:top w:val="single" w:sz="8" w:space="0" w:color="31A7D4" w:themeColor="accent1"/>
          <w:left w:val="single" w:sz="8" w:space="0" w:color="31A7D4" w:themeColor="accent1"/>
          <w:bottom w:val="single" w:sz="8" w:space="0" w:color="31A7D4" w:themeColor="accent1"/>
          <w:right w:val="single" w:sz="8" w:space="0" w:color="31A7D4" w:themeColor="accent1"/>
          <w:insideH w:val="single" w:sz="8" w:space="0" w:color="31A7D4" w:themeColor="accent1"/>
          <w:insideV w:val="single" w:sz="8" w:space="0" w:color="31A7D4" w:themeColor="accent1"/>
        </w:tblBorders>
        <w:tblLook w:val="04A0" w:firstRow="1" w:lastRow="0" w:firstColumn="1" w:lastColumn="0" w:noHBand="0" w:noVBand="1"/>
        <w:tblCaption w:val="Table 7.1 Main tax concessions for main types of NFP entity"/>
        <w:tblDescription w:val="The table shows the main tax concessions classified according to different types of not-for-profit organisations and whether or not they have access to various tax concessions.&#10;"/>
      </w:tblPr>
      <w:tblGrid>
        <w:gridCol w:w="1407"/>
        <w:gridCol w:w="1161"/>
        <w:gridCol w:w="1984"/>
        <w:gridCol w:w="1693"/>
        <w:gridCol w:w="1275"/>
        <w:gridCol w:w="1551"/>
      </w:tblGrid>
      <w:tr w:rsidR="00334D76" w:rsidRPr="00D77F97" w14:paraId="77CC11C8" w14:textId="77777777" w:rsidTr="00D77F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08" w:type="dxa"/>
            <w:tcBorders>
              <w:left w:val="single" w:sz="4" w:space="0" w:color="31A7D4" w:themeColor="accent1"/>
              <w:bottom w:val="single" w:sz="4" w:space="0" w:color="31A7D4" w:themeColor="accent1"/>
            </w:tcBorders>
            <w:shd w:val="clear" w:color="auto" w:fill="31A7D4" w:themeFill="accent1"/>
            <w:vAlign w:val="center"/>
          </w:tcPr>
          <w:p w14:paraId="4F32C496" w14:textId="77777777" w:rsidR="00882A4F" w:rsidRPr="00D77F97" w:rsidRDefault="00882A4F" w:rsidP="001309BA">
            <w:pPr>
              <w:pStyle w:val="TableColumnHeadingCentred"/>
              <w:rPr>
                <w:b/>
                <w:sz w:val="19"/>
                <w:szCs w:val="19"/>
              </w:rPr>
            </w:pPr>
          </w:p>
        </w:tc>
        <w:tc>
          <w:tcPr>
            <w:tcW w:w="1132" w:type="dxa"/>
            <w:tcBorders>
              <w:bottom w:val="single" w:sz="4" w:space="0" w:color="31A7D4" w:themeColor="accent1"/>
            </w:tcBorders>
            <w:shd w:val="clear" w:color="auto" w:fill="31A7D4" w:themeFill="accent1"/>
            <w:vAlign w:val="center"/>
          </w:tcPr>
          <w:p w14:paraId="69AC875B" w14:textId="77777777" w:rsidR="00882A4F" w:rsidRPr="00D77F97" w:rsidRDefault="00882A4F" w:rsidP="001309BA">
            <w:pPr>
              <w:pStyle w:val="TableColumnHeadingCentred"/>
              <w:cnfStyle w:val="100000000000" w:firstRow="1" w:lastRow="0" w:firstColumn="0" w:lastColumn="0" w:oddVBand="0" w:evenVBand="0" w:oddHBand="0" w:evenHBand="0" w:firstRowFirstColumn="0" w:firstRowLastColumn="0" w:lastRowFirstColumn="0" w:lastRowLastColumn="0"/>
              <w:rPr>
                <w:b/>
                <w:sz w:val="19"/>
                <w:szCs w:val="19"/>
              </w:rPr>
            </w:pPr>
            <w:r w:rsidRPr="00D77F97">
              <w:rPr>
                <w:b/>
                <w:sz w:val="19"/>
                <w:szCs w:val="19"/>
              </w:rPr>
              <w:t>Charities</w:t>
            </w:r>
            <w:r w:rsidRPr="00D77F97">
              <w:rPr>
                <w:b/>
                <w:sz w:val="19"/>
                <w:szCs w:val="19"/>
                <w:vertAlign w:val="superscript"/>
              </w:rPr>
              <w:t>1</w:t>
            </w:r>
          </w:p>
        </w:tc>
        <w:tc>
          <w:tcPr>
            <w:tcW w:w="1996" w:type="dxa"/>
            <w:tcBorders>
              <w:bottom w:val="single" w:sz="4" w:space="0" w:color="31A7D4" w:themeColor="accent1"/>
            </w:tcBorders>
            <w:shd w:val="clear" w:color="auto" w:fill="31A7D4" w:themeFill="accent1"/>
            <w:vAlign w:val="center"/>
          </w:tcPr>
          <w:p w14:paraId="1AD1983C" w14:textId="77777777" w:rsidR="00882A4F" w:rsidRPr="00D77F97" w:rsidRDefault="00882A4F" w:rsidP="001309BA">
            <w:pPr>
              <w:pStyle w:val="TableColumnHeadingCentred"/>
              <w:cnfStyle w:val="100000000000" w:firstRow="1" w:lastRow="0" w:firstColumn="0" w:lastColumn="0" w:oddVBand="0" w:evenVBand="0" w:oddHBand="0" w:evenHBand="0" w:firstRowFirstColumn="0" w:firstRowLastColumn="0" w:lastRowFirstColumn="0" w:lastRowLastColumn="0"/>
              <w:rPr>
                <w:b/>
                <w:sz w:val="19"/>
                <w:szCs w:val="19"/>
              </w:rPr>
            </w:pPr>
            <w:r w:rsidRPr="00D77F97">
              <w:rPr>
                <w:b/>
                <w:sz w:val="19"/>
                <w:szCs w:val="19"/>
              </w:rPr>
              <w:t>Public Benevolent Institutions (PBIs) and health promotion charities</w:t>
            </w:r>
          </w:p>
        </w:tc>
        <w:tc>
          <w:tcPr>
            <w:tcW w:w="1701" w:type="dxa"/>
            <w:tcBorders>
              <w:bottom w:val="single" w:sz="4" w:space="0" w:color="31A7D4" w:themeColor="accent1"/>
            </w:tcBorders>
            <w:shd w:val="clear" w:color="auto" w:fill="31A7D4" w:themeFill="accent1"/>
            <w:vAlign w:val="center"/>
          </w:tcPr>
          <w:p w14:paraId="75C9F808" w14:textId="77777777" w:rsidR="00882A4F" w:rsidRPr="00D77F97" w:rsidRDefault="00882A4F" w:rsidP="001309BA">
            <w:pPr>
              <w:pStyle w:val="TableColumnHeadingCentred"/>
              <w:cnfStyle w:val="100000000000" w:firstRow="1" w:lastRow="0" w:firstColumn="0" w:lastColumn="0" w:oddVBand="0" w:evenVBand="0" w:oddHBand="0" w:evenHBand="0" w:firstRowFirstColumn="0" w:firstRowLastColumn="0" w:lastRowFirstColumn="0" w:lastRowLastColumn="0"/>
              <w:rPr>
                <w:b/>
                <w:sz w:val="19"/>
                <w:szCs w:val="19"/>
              </w:rPr>
            </w:pPr>
            <w:r w:rsidRPr="00D77F97">
              <w:rPr>
                <w:b/>
                <w:sz w:val="19"/>
                <w:szCs w:val="19"/>
              </w:rPr>
              <w:t>NFP public hospitals and NFP public ambulance services</w:t>
            </w:r>
          </w:p>
        </w:tc>
        <w:tc>
          <w:tcPr>
            <w:tcW w:w="1276" w:type="dxa"/>
            <w:tcBorders>
              <w:bottom w:val="single" w:sz="4" w:space="0" w:color="31A7D4" w:themeColor="accent1"/>
            </w:tcBorders>
            <w:shd w:val="clear" w:color="auto" w:fill="31A7D4" w:themeFill="accent1"/>
            <w:vAlign w:val="center"/>
          </w:tcPr>
          <w:p w14:paraId="603D3A9F" w14:textId="77777777" w:rsidR="00882A4F" w:rsidRPr="00D77F97" w:rsidRDefault="00882A4F" w:rsidP="001309BA">
            <w:pPr>
              <w:pStyle w:val="TableColumnHeadingCentred"/>
              <w:cnfStyle w:val="100000000000" w:firstRow="1" w:lastRow="0" w:firstColumn="0" w:lastColumn="0" w:oddVBand="0" w:evenVBand="0" w:oddHBand="0" w:evenHBand="0" w:firstRowFirstColumn="0" w:firstRowLastColumn="0" w:lastRowFirstColumn="0" w:lastRowLastColumn="0"/>
              <w:rPr>
                <w:b/>
                <w:sz w:val="19"/>
                <w:szCs w:val="19"/>
              </w:rPr>
            </w:pPr>
            <w:r w:rsidRPr="00D77F97">
              <w:rPr>
                <w:b/>
                <w:sz w:val="19"/>
                <w:szCs w:val="19"/>
              </w:rPr>
              <w:t>Deductible gift recipients</w:t>
            </w:r>
            <w:r w:rsidRPr="00D77F97">
              <w:rPr>
                <w:b/>
                <w:sz w:val="19"/>
                <w:szCs w:val="19"/>
                <w:vertAlign w:val="superscript"/>
              </w:rPr>
              <w:t>2</w:t>
            </w:r>
          </w:p>
        </w:tc>
        <w:tc>
          <w:tcPr>
            <w:tcW w:w="1558" w:type="dxa"/>
            <w:tcBorders>
              <w:bottom w:val="single" w:sz="4" w:space="0" w:color="31A7D4" w:themeColor="accent1"/>
              <w:right w:val="single" w:sz="4" w:space="0" w:color="31A7D4" w:themeColor="accent1"/>
            </w:tcBorders>
            <w:shd w:val="clear" w:color="auto" w:fill="31A7D4" w:themeFill="accent1"/>
            <w:vAlign w:val="center"/>
          </w:tcPr>
          <w:p w14:paraId="27FEDF5F" w14:textId="4C5385D4" w:rsidR="00882A4F" w:rsidRPr="00D77F97" w:rsidRDefault="00043B1F" w:rsidP="001309BA">
            <w:pPr>
              <w:pStyle w:val="TableColumnHeadingCentred"/>
              <w:cnfStyle w:val="100000000000" w:firstRow="1" w:lastRow="0" w:firstColumn="0" w:lastColumn="0" w:oddVBand="0" w:evenVBand="0" w:oddHBand="0" w:evenHBand="0" w:firstRowFirstColumn="0" w:firstRowLastColumn="0" w:lastRowFirstColumn="0" w:lastRowLastColumn="0"/>
              <w:rPr>
                <w:b/>
                <w:sz w:val="19"/>
                <w:szCs w:val="19"/>
              </w:rPr>
            </w:pPr>
            <w:r w:rsidRPr="00D77F97">
              <w:rPr>
                <w:b/>
                <w:sz w:val="19"/>
                <w:szCs w:val="19"/>
              </w:rPr>
              <w:t>Tax exempt c</w:t>
            </w:r>
            <w:r w:rsidR="00882A4F" w:rsidRPr="00D77F97">
              <w:rPr>
                <w:b/>
                <w:sz w:val="19"/>
                <w:szCs w:val="19"/>
              </w:rPr>
              <w:t>lubs and other NFP entities</w:t>
            </w:r>
          </w:p>
        </w:tc>
      </w:tr>
      <w:tr w:rsidR="00882A4F" w:rsidRPr="002B7F0E" w14:paraId="7258E8D4" w14:textId="77777777" w:rsidTr="00D77F97">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140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vAlign w:val="center"/>
          </w:tcPr>
          <w:p w14:paraId="6AD3106D" w14:textId="77777777" w:rsidR="00882A4F" w:rsidRPr="002B7F0E" w:rsidRDefault="00882A4F" w:rsidP="001309BA">
            <w:pPr>
              <w:pStyle w:val="TableColumnHeadingLeft"/>
              <w:rPr>
                <w:color w:val="auto"/>
                <w:szCs w:val="20"/>
              </w:rPr>
            </w:pPr>
            <w:r w:rsidRPr="002B7F0E">
              <w:rPr>
                <w:color w:val="auto"/>
                <w:szCs w:val="20"/>
              </w:rPr>
              <w:t>Income tax exemption</w:t>
            </w:r>
          </w:p>
        </w:tc>
        <w:tc>
          <w:tcPr>
            <w:tcW w:w="1132" w:type="dxa"/>
            <w:tcBorders>
              <w:top w:val="single" w:sz="4" w:space="0" w:color="31A7D4" w:themeColor="accent1"/>
              <w:left w:val="single" w:sz="4" w:space="0" w:color="31A7D4" w:themeColor="accent1"/>
              <w:bottom w:val="single" w:sz="4" w:space="0" w:color="31A7D4" w:themeColor="accent1"/>
              <w:right w:val="nil"/>
            </w:tcBorders>
            <w:shd w:val="clear" w:color="auto" w:fill="auto"/>
            <w:vAlign w:val="center"/>
          </w:tcPr>
          <w:p w14:paraId="3E2A1FA8"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Yes</w:t>
            </w:r>
          </w:p>
        </w:tc>
        <w:tc>
          <w:tcPr>
            <w:tcW w:w="1996" w:type="dxa"/>
            <w:tcBorders>
              <w:top w:val="single" w:sz="4" w:space="0" w:color="31A7D4" w:themeColor="accent1"/>
              <w:left w:val="nil"/>
              <w:bottom w:val="single" w:sz="4" w:space="0" w:color="31A7D4" w:themeColor="accent1"/>
              <w:right w:val="nil"/>
            </w:tcBorders>
            <w:shd w:val="clear" w:color="auto" w:fill="auto"/>
            <w:vAlign w:val="center"/>
          </w:tcPr>
          <w:p w14:paraId="710D45D2"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Yes</w:t>
            </w:r>
          </w:p>
        </w:tc>
        <w:tc>
          <w:tcPr>
            <w:tcW w:w="1701" w:type="dxa"/>
            <w:tcBorders>
              <w:top w:val="single" w:sz="4" w:space="0" w:color="31A7D4" w:themeColor="accent1"/>
              <w:left w:val="nil"/>
              <w:bottom w:val="single" w:sz="4" w:space="0" w:color="31A7D4" w:themeColor="accent1"/>
              <w:right w:val="nil"/>
            </w:tcBorders>
            <w:shd w:val="clear" w:color="auto" w:fill="auto"/>
            <w:vAlign w:val="center"/>
          </w:tcPr>
          <w:p w14:paraId="253C88AB"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Yes</w:t>
            </w:r>
          </w:p>
        </w:tc>
        <w:tc>
          <w:tcPr>
            <w:tcW w:w="1276" w:type="dxa"/>
            <w:tcBorders>
              <w:top w:val="single" w:sz="4" w:space="0" w:color="31A7D4" w:themeColor="accent1"/>
              <w:left w:val="nil"/>
              <w:bottom w:val="single" w:sz="4" w:space="0" w:color="31A7D4" w:themeColor="accent1"/>
              <w:right w:val="nil"/>
            </w:tcBorders>
            <w:shd w:val="clear" w:color="auto" w:fill="auto"/>
            <w:vAlign w:val="center"/>
          </w:tcPr>
          <w:p w14:paraId="1E53D9DF"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No</w:t>
            </w:r>
          </w:p>
        </w:tc>
        <w:tc>
          <w:tcPr>
            <w:tcW w:w="1558" w:type="dxa"/>
            <w:tcBorders>
              <w:top w:val="single" w:sz="4" w:space="0" w:color="31A7D4" w:themeColor="accent1"/>
              <w:left w:val="nil"/>
              <w:bottom w:val="single" w:sz="4" w:space="0" w:color="31A7D4" w:themeColor="accent1"/>
              <w:right w:val="single" w:sz="4" w:space="0" w:color="31A7D4" w:themeColor="accent1"/>
            </w:tcBorders>
            <w:shd w:val="clear" w:color="auto" w:fill="auto"/>
            <w:vAlign w:val="center"/>
          </w:tcPr>
          <w:p w14:paraId="11D9FA02"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Yes</w:t>
            </w:r>
          </w:p>
        </w:tc>
      </w:tr>
      <w:tr w:rsidR="00882A4F" w:rsidRPr="002B7F0E" w14:paraId="1E957687" w14:textId="77777777" w:rsidTr="00D77F97">
        <w:trPr>
          <w:trHeight w:val="417"/>
        </w:trPr>
        <w:tc>
          <w:tcPr>
            <w:cnfStyle w:val="001000000000" w:firstRow="0" w:lastRow="0" w:firstColumn="1" w:lastColumn="0" w:oddVBand="0" w:evenVBand="0" w:oddHBand="0" w:evenHBand="0" w:firstRowFirstColumn="0" w:firstRowLastColumn="0" w:lastRowFirstColumn="0" w:lastRowLastColumn="0"/>
            <w:tcW w:w="140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vAlign w:val="center"/>
          </w:tcPr>
          <w:p w14:paraId="57E8FF81" w14:textId="77777777" w:rsidR="00882A4F" w:rsidRPr="002B7F0E" w:rsidRDefault="00882A4F" w:rsidP="001309BA">
            <w:pPr>
              <w:pStyle w:val="TableColumnHeadingLeft"/>
              <w:rPr>
                <w:color w:val="auto"/>
                <w:szCs w:val="20"/>
              </w:rPr>
            </w:pPr>
            <w:r w:rsidRPr="002B7F0E">
              <w:rPr>
                <w:color w:val="auto"/>
                <w:szCs w:val="20"/>
              </w:rPr>
              <w:t>Refundable franking credits</w:t>
            </w:r>
          </w:p>
        </w:tc>
        <w:tc>
          <w:tcPr>
            <w:tcW w:w="1132" w:type="dxa"/>
            <w:tcBorders>
              <w:top w:val="single" w:sz="4" w:space="0" w:color="31A7D4" w:themeColor="accent1"/>
              <w:left w:val="single" w:sz="4" w:space="0" w:color="31A7D4" w:themeColor="accent1"/>
              <w:bottom w:val="single" w:sz="4" w:space="0" w:color="31A7D4" w:themeColor="accent1"/>
              <w:right w:val="nil"/>
            </w:tcBorders>
            <w:shd w:val="clear" w:color="auto" w:fill="auto"/>
            <w:vAlign w:val="center"/>
          </w:tcPr>
          <w:p w14:paraId="209EE6AF"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Yes</w:t>
            </w:r>
          </w:p>
        </w:tc>
        <w:tc>
          <w:tcPr>
            <w:tcW w:w="1996" w:type="dxa"/>
            <w:tcBorders>
              <w:top w:val="single" w:sz="4" w:space="0" w:color="31A7D4" w:themeColor="accent1"/>
              <w:left w:val="nil"/>
              <w:bottom w:val="single" w:sz="4" w:space="0" w:color="31A7D4" w:themeColor="accent1"/>
              <w:right w:val="nil"/>
            </w:tcBorders>
            <w:shd w:val="clear" w:color="auto" w:fill="auto"/>
            <w:vAlign w:val="center"/>
          </w:tcPr>
          <w:p w14:paraId="0B0493DB"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Yes</w:t>
            </w:r>
          </w:p>
        </w:tc>
        <w:tc>
          <w:tcPr>
            <w:tcW w:w="1701" w:type="dxa"/>
            <w:tcBorders>
              <w:top w:val="single" w:sz="4" w:space="0" w:color="31A7D4" w:themeColor="accent1"/>
              <w:left w:val="nil"/>
              <w:bottom w:val="single" w:sz="4" w:space="0" w:color="31A7D4" w:themeColor="accent1"/>
              <w:right w:val="nil"/>
            </w:tcBorders>
            <w:shd w:val="clear" w:color="auto" w:fill="auto"/>
            <w:vAlign w:val="center"/>
          </w:tcPr>
          <w:p w14:paraId="49A8E896"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Yes</w:t>
            </w:r>
          </w:p>
        </w:tc>
        <w:tc>
          <w:tcPr>
            <w:tcW w:w="1276" w:type="dxa"/>
            <w:tcBorders>
              <w:top w:val="single" w:sz="4" w:space="0" w:color="31A7D4" w:themeColor="accent1"/>
              <w:left w:val="nil"/>
              <w:bottom w:val="single" w:sz="4" w:space="0" w:color="31A7D4" w:themeColor="accent1"/>
              <w:right w:val="nil"/>
            </w:tcBorders>
            <w:shd w:val="clear" w:color="auto" w:fill="auto"/>
            <w:vAlign w:val="center"/>
          </w:tcPr>
          <w:p w14:paraId="6FEFACE3"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Yes</w:t>
            </w:r>
          </w:p>
        </w:tc>
        <w:tc>
          <w:tcPr>
            <w:tcW w:w="1558" w:type="dxa"/>
            <w:tcBorders>
              <w:top w:val="single" w:sz="4" w:space="0" w:color="31A7D4" w:themeColor="accent1"/>
              <w:left w:val="nil"/>
              <w:bottom w:val="single" w:sz="4" w:space="0" w:color="31A7D4" w:themeColor="accent1"/>
              <w:right w:val="single" w:sz="4" w:space="0" w:color="31A7D4" w:themeColor="accent1"/>
            </w:tcBorders>
            <w:shd w:val="clear" w:color="auto" w:fill="auto"/>
            <w:vAlign w:val="center"/>
          </w:tcPr>
          <w:p w14:paraId="58C87DF8"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No</w:t>
            </w:r>
          </w:p>
        </w:tc>
      </w:tr>
      <w:tr w:rsidR="00882A4F" w:rsidRPr="002B7F0E" w14:paraId="3F26542B" w14:textId="77777777" w:rsidTr="00D77F97">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40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vAlign w:val="center"/>
          </w:tcPr>
          <w:p w14:paraId="66F0CDF1" w14:textId="77777777" w:rsidR="00882A4F" w:rsidRPr="002B7F0E" w:rsidRDefault="00882A4F" w:rsidP="001309BA">
            <w:pPr>
              <w:pStyle w:val="TableColumnHeadingLeft"/>
              <w:rPr>
                <w:color w:val="auto"/>
                <w:szCs w:val="20"/>
                <w:vertAlign w:val="superscript"/>
              </w:rPr>
            </w:pPr>
            <w:r w:rsidRPr="002B7F0E">
              <w:rPr>
                <w:color w:val="auto"/>
                <w:szCs w:val="20"/>
              </w:rPr>
              <w:t>FBT exemption ($17,000 cap)</w:t>
            </w:r>
            <w:r w:rsidRPr="002B7F0E">
              <w:rPr>
                <w:color w:val="auto"/>
                <w:szCs w:val="20"/>
                <w:vertAlign w:val="superscript"/>
              </w:rPr>
              <w:t>3</w:t>
            </w:r>
          </w:p>
        </w:tc>
        <w:tc>
          <w:tcPr>
            <w:tcW w:w="1132" w:type="dxa"/>
            <w:tcBorders>
              <w:top w:val="single" w:sz="4" w:space="0" w:color="31A7D4" w:themeColor="accent1"/>
              <w:left w:val="single" w:sz="4" w:space="0" w:color="31A7D4" w:themeColor="accent1"/>
              <w:bottom w:val="single" w:sz="4" w:space="0" w:color="31A7D4" w:themeColor="accent1"/>
              <w:right w:val="nil"/>
            </w:tcBorders>
            <w:shd w:val="clear" w:color="auto" w:fill="auto"/>
            <w:vAlign w:val="center"/>
          </w:tcPr>
          <w:p w14:paraId="3F197988"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No</w:t>
            </w:r>
          </w:p>
        </w:tc>
        <w:tc>
          <w:tcPr>
            <w:tcW w:w="1996" w:type="dxa"/>
            <w:tcBorders>
              <w:top w:val="single" w:sz="4" w:space="0" w:color="31A7D4" w:themeColor="accent1"/>
              <w:left w:val="nil"/>
              <w:bottom w:val="single" w:sz="4" w:space="0" w:color="31A7D4" w:themeColor="accent1"/>
              <w:right w:val="nil"/>
            </w:tcBorders>
            <w:shd w:val="clear" w:color="auto" w:fill="auto"/>
            <w:vAlign w:val="center"/>
          </w:tcPr>
          <w:p w14:paraId="4F582E39"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No</w:t>
            </w:r>
          </w:p>
        </w:tc>
        <w:tc>
          <w:tcPr>
            <w:tcW w:w="1701" w:type="dxa"/>
            <w:tcBorders>
              <w:top w:val="single" w:sz="4" w:space="0" w:color="31A7D4" w:themeColor="accent1"/>
              <w:left w:val="nil"/>
              <w:bottom w:val="single" w:sz="4" w:space="0" w:color="31A7D4" w:themeColor="accent1"/>
              <w:right w:val="nil"/>
            </w:tcBorders>
            <w:shd w:val="clear" w:color="auto" w:fill="auto"/>
            <w:vAlign w:val="center"/>
          </w:tcPr>
          <w:p w14:paraId="04F2160E"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Yes</w:t>
            </w:r>
          </w:p>
        </w:tc>
        <w:tc>
          <w:tcPr>
            <w:tcW w:w="1276" w:type="dxa"/>
            <w:tcBorders>
              <w:top w:val="single" w:sz="4" w:space="0" w:color="31A7D4" w:themeColor="accent1"/>
              <w:left w:val="nil"/>
              <w:bottom w:val="single" w:sz="4" w:space="0" w:color="31A7D4" w:themeColor="accent1"/>
              <w:right w:val="nil"/>
            </w:tcBorders>
            <w:shd w:val="clear" w:color="auto" w:fill="auto"/>
            <w:vAlign w:val="center"/>
          </w:tcPr>
          <w:p w14:paraId="5644C64A"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No</w:t>
            </w:r>
          </w:p>
        </w:tc>
        <w:tc>
          <w:tcPr>
            <w:tcW w:w="1558" w:type="dxa"/>
            <w:tcBorders>
              <w:top w:val="single" w:sz="4" w:space="0" w:color="31A7D4" w:themeColor="accent1"/>
              <w:left w:val="nil"/>
              <w:bottom w:val="single" w:sz="4" w:space="0" w:color="31A7D4" w:themeColor="accent1"/>
              <w:right w:val="single" w:sz="4" w:space="0" w:color="31A7D4" w:themeColor="accent1"/>
            </w:tcBorders>
            <w:shd w:val="clear" w:color="auto" w:fill="auto"/>
            <w:vAlign w:val="center"/>
          </w:tcPr>
          <w:p w14:paraId="2777EF5C"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No</w:t>
            </w:r>
          </w:p>
        </w:tc>
      </w:tr>
      <w:tr w:rsidR="00882A4F" w:rsidRPr="002B7F0E" w14:paraId="5A3A35E3" w14:textId="77777777" w:rsidTr="00D77F97">
        <w:trPr>
          <w:trHeight w:val="368"/>
        </w:trPr>
        <w:tc>
          <w:tcPr>
            <w:cnfStyle w:val="001000000000" w:firstRow="0" w:lastRow="0" w:firstColumn="1" w:lastColumn="0" w:oddVBand="0" w:evenVBand="0" w:oddHBand="0" w:evenHBand="0" w:firstRowFirstColumn="0" w:firstRowLastColumn="0" w:lastRowFirstColumn="0" w:lastRowLastColumn="0"/>
            <w:tcW w:w="140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vAlign w:val="center"/>
          </w:tcPr>
          <w:p w14:paraId="3C77D4DB" w14:textId="77777777" w:rsidR="00882A4F" w:rsidRPr="002B7F0E" w:rsidRDefault="00882A4F" w:rsidP="001309BA">
            <w:pPr>
              <w:pStyle w:val="TableColumnHeadingLeft"/>
              <w:rPr>
                <w:color w:val="auto"/>
                <w:szCs w:val="20"/>
                <w:vertAlign w:val="superscript"/>
              </w:rPr>
            </w:pPr>
            <w:r w:rsidRPr="002B7F0E">
              <w:rPr>
                <w:color w:val="auto"/>
                <w:szCs w:val="20"/>
              </w:rPr>
              <w:t>FBT exemption ($30,000 cap)</w:t>
            </w:r>
            <w:r w:rsidRPr="002B7F0E">
              <w:rPr>
                <w:color w:val="auto"/>
                <w:szCs w:val="20"/>
                <w:vertAlign w:val="superscript"/>
              </w:rPr>
              <w:t>3</w:t>
            </w:r>
          </w:p>
        </w:tc>
        <w:tc>
          <w:tcPr>
            <w:tcW w:w="1132" w:type="dxa"/>
            <w:tcBorders>
              <w:top w:val="single" w:sz="4" w:space="0" w:color="31A7D4" w:themeColor="accent1"/>
              <w:left w:val="single" w:sz="4" w:space="0" w:color="31A7D4" w:themeColor="accent1"/>
              <w:bottom w:val="single" w:sz="4" w:space="0" w:color="31A7D4" w:themeColor="accent1"/>
              <w:right w:val="nil"/>
            </w:tcBorders>
            <w:shd w:val="clear" w:color="auto" w:fill="auto"/>
            <w:vAlign w:val="center"/>
          </w:tcPr>
          <w:p w14:paraId="5C2DAA3A"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No</w:t>
            </w:r>
          </w:p>
        </w:tc>
        <w:tc>
          <w:tcPr>
            <w:tcW w:w="1996" w:type="dxa"/>
            <w:tcBorders>
              <w:top w:val="single" w:sz="4" w:space="0" w:color="31A7D4" w:themeColor="accent1"/>
              <w:left w:val="nil"/>
              <w:bottom w:val="single" w:sz="4" w:space="0" w:color="31A7D4" w:themeColor="accent1"/>
              <w:right w:val="nil"/>
            </w:tcBorders>
            <w:shd w:val="clear" w:color="auto" w:fill="auto"/>
            <w:vAlign w:val="center"/>
          </w:tcPr>
          <w:p w14:paraId="5EE856A6"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Yes</w:t>
            </w:r>
          </w:p>
        </w:tc>
        <w:tc>
          <w:tcPr>
            <w:tcW w:w="1701" w:type="dxa"/>
            <w:tcBorders>
              <w:top w:val="single" w:sz="4" w:space="0" w:color="31A7D4" w:themeColor="accent1"/>
              <w:left w:val="nil"/>
              <w:bottom w:val="single" w:sz="4" w:space="0" w:color="31A7D4" w:themeColor="accent1"/>
              <w:right w:val="nil"/>
            </w:tcBorders>
            <w:shd w:val="clear" w:color="auto" w:fill="auto"/>
            <w:vAlign w:val="center"/>
          </w:tcPr>
          <w:p w14:paraId="12510782"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No</w:t>
            </w:r>
          </w:p>
        </w:tc>
        <w:tc>
          <w:tcPr>
            <w:tcW w:w="1276" w:type="dxa"/>
            <w:tcBorders>
              <w:top w:val="single" w:sz="4" w:space="0" w:color="31A7D4" w:themeColor="accent1"/>
              <w:left w:val="nil"/>
              <w:bottom w:val="single" w:sz="4" w:space="0" w:color="31A7D4" w:themeColor="accent1"/>
              <w:right w:val="nil"/>
            </w:tcBorders>
            <w:shd w:val="clear" w:color="auto" w:fill="auto"/>
            <w:vAlign w:val="center"/>
          </w:tcPr>
          <w:p w14:paraId="4999BA9A"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No</w:t>
            </w:r>
          </w:p>
        </w:tc>
        <w:tc>
          <w:tcPr>
            <w:tcW w:w="1558" w:type="dxa"/>
            <w:tcBorders>
              <w:top w:val="single" w:sz="4" w:space="0" w:color="31A7D4" w:themeColor="accent1"/>
              <w:left w:val="nil"/>
              <w:bottom w:val="single" w:sz="4" w:space="0" w:color="31A7D4" w:themeColor="accent1"/>
              <w:right w:val="single" w:sz="4" w:space="0" w:color="31A7D4" w:themeColor="accent1"/>
            </w:tcBorders>
            <w:shd w:val="clear" w:color="auto" w:fill="auto"/>
            <w:vAlign w:val="center"/>
          </w:tcPr>
          <w:p w14:paraId="29987E83"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No</w:t>
            </w:r>
          </w:p>
        </w:tc>
      </w:tr>
      <w:tr w:rsidR="00882A4F" w:rsidRPr="002B7F0E" w14:paraId="687A7745" w14:textId="77777777" w:rsidTr="00D77F97">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40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vAlign w:val="center"/>
          </w:tcPr>
          <w:p w14:paraId="06323E8E" w14:textId="77777777" w:rsidR="00882A4F" w:rsidRPr="002B7F0E" w:rsidRDefault="00882A4F" w:rsidP="001309BA">
            <w:pPr>
              <w:pStyle w:val="TableColumnHeadingLeft"/>
              <w:rPr>
                <w:color w:val="auto"/>
                <w:szCs w:val="20"/>
              </w:rPr>
            </w:pPr>
            <w:r w:rsidRPr="002B7F0E">
              <w:rPr>
                <w:color w:val="auto"/>
                <w:szCs w:val="20"/>
              </w:rPr>
              <w:t>FBT rebate</w:t>
            </w:r>
          </w:p>
        </w:tc>
        <w:tc>
          <w:tcPr>
            <w:tcW w:w="1132" w:type="dxa"/>
            <w:tcBorders>
              <w:top w:val="single" w:sz="4" w:space="0" w:color="31A7D4" w:themeColor="accent1"/>
              <w:left w:val="single" w:sz="4" w:space="0" w:color="31A7D4" w:themeColor="accent1"/>
              <w:bottom w:val="single" w:sz="4" w:space="0" w:color="31A7D4" w:themeColor="accent1"/>
              <w:right w:val="nil"/>
            </w:tcBorders>
            <w:shd w:val="clear" w:color="auto" w:fill="auto"/>
            <w:vAlign w:val="center"/>
          </w:tcPr>
          <w:p w14:paraId="50966F14" w14:textId="77777777" w:rsidR="00882A4F" w:rsidRPr="002B7F0E" w:rsidRDefault="00882A4F" w:rsidP="002B37B7">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Charitable institutions only</w:t>
            </w:r>
          </w:p>
        </w:tc>
        <w:tc>
          <w:tcPr>
            <w:tcW w:w="1996" w:type="dxa"/>
            <w:tcBorders>
              <w:top w:val="single" w:sz="4" w:space="0" w:color="31A7D4" w:themeColor="accent1"/>
              <w:left w:val="nil"/>
              <w:bottom w:val="single" w:sz="4" w:space="0" w:color="31A7D4" w:themeColor="accent1"/>
              <w:right w:val="nil"/>
            </w:tcBorders>
            <w:shd w:val="clear" w:color="auto" w:fill="auto"/>
            <w:vAlign w:val="center"/>
          </w:tcPr>
          <w:p w14:paraId="36303386"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No</w:t>
            </w:r>
          </w:p>
        </w:tc>
        <w:tc>
          <w:tcPr>
            <w:tcW w:w="1701" w:type="dxa"/>
            <w:tcBorders>
              <w:top w:val="single" w:sz="4" w:space="0" w:color="31A7D4" w:themeColor="accent1"/>
              <w:left w:val="nil"/>
              <w:bottom w:val="single" w:sz="4" w:space="0" w:color="31A7D4" w:themeColor="accent1"/>
              <w:right w:val="nil"/>
            </w:tcBorders>
            <w:shd w:val="clear" w:color="auto" w:fill="auto"/>
            <w:vAlign w:val="center"/>
          </w:tcPr>
          <w:p w14:paraId="72356CAD"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No</w:t>
            </w:r>
          </w:p>
        </w:tc>
        <w:tc>
          <w:tcPr>
            <w:tcW w:w="1276" w:type="dxa"/>
            <w:tcBorders>
              <w:top w:val="single" w:sz="4" w:space="0" w:color="31A7D4" w:themeColor="accent1"/>
              <w:left w:val="nil"/>
              <w:bottom w:val="single" w:sz="4" w:space="0" w:color="31A7D4" w:themeColor="accent1"/>
              <w:right w:val="nil"/>
            </w:tcBorders>
            <w:shd w:val="clear" w:color="auto" w:fill="auto"/>
            <w:vAlign w:val="center"/>
          </w:tcPr>
          <w:p w14:paraId="06971041"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No</w:t>
            </w:r>
          </w:p>
        </w:tc>
        <w:tc>
          <w:tcPr>
            <w:tcW w:w="1558" w:type="dxa"/>
            <w:tcBorders>
              <w:top w:val="single" w:sz="4" w:space="0" w:color="31A7D4" w:themeColor="accent1"/>
              <w:left w:val="nil"/>
              <w:bottom w:val="single" w:sz="4" w:space="0" w:color="31A7D4" w:themeColor="accent1"/>
              <w:right w:val="single" w:sz="4" w:space="0" w:color="31A7D4" w:themeColor="accent1"/>
            </w:tcBorders>
            <w:shd w:val="clear" w:color="auto" w:fill="auto"/>
            <w:vAlign w:val="center"/>
          </w:tcPr>
          <w:p w14:paraId="6C573433" w14:textId="03126878"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Some non</w:t>
            </w:r>
            <w:r w:rsidR="00D77F97">
              <w:rPr>
                <w:color w:val="auto"/>
                <w:sz w:val="20"/>
                <w:szCs w:val="20"/>
              </w:rPr>
              <w:noBreakHyphen/>
            </w:r>
            <w:r w:rsidRPr="002B7F0E">
              <w:rPr>
                <w:color w:val="auto"/>
                <w:sz w:val="20"/>
                <w:szCs w:val="20"/>
              </w:rPr>
              <w:t>clubs only</w:t>
            </w:r>
          </w:p>
        </w:tc>
      </w:tr>
      <w:tr w:rsidR="00882A4F" w:rsidRPr="002B7F0E" w14:paraId="3B6AB6AA" w14:textId="77777777" w:rsidTr="00D77F97">
        <w:trPr>
          <w:trHeight w:val="368"/>
        </w:trPr>
        <w:tc>
          <w:tcPr>
            <w:cnfStyle w:val="001000000000" w:firstRow="0" w:lastRow="0" w:firstColumn="1" w:lastColumn="0" w:oddVBand="0" w:evenVBand="0" w:oddHBand="0" w:evenHBand="0" w:firstRowFirstColumn="0" w:firstRowLastColumn="0" w:lastRowFirstColumn="0" w:lastRowLastColumn="0"/>
            <w:tcW w:w="140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vAlign w:val="center"/>
          </w:tcPr>
          <w:p w14:paraId="3D3E7DBD" w14:textId="77777777" w:rsidR="00882A4F" w:rsidRPr="002B7F0E" w:rsidRDefault="00882A4F" w:rsidP="001309BA">
            <w:pPr>
              <w:pStyle w:val="TableColumnHeadingLeft"/>
              <w:rPr>
                <w:color w:val="auto"/>
                <w:szCs w:val="20"/>
              </w:rPr>
            </w:pPr>
            <w:r w:rsidRPr="002B7F0E">
              <w:rPr>
                <w:color w:val="auto"/>
                <w:szCs w:val="20"/>
              </w:rPr>
              <w:t>Other FBT concessions</w:t>
            </w:r>
          </w:p>
        </w:tc>
        <w:tc>
          <w:tcPr>
            <w:tcW w:w="1132" w:type="dxa"/>
            <w:tcBorders>
              <w:top w:val="single" w:sz="4" w:space="0" w:color="31A7D4" w:themeColor="accent1"/>
              <w:left w:val="single" w:sz="4" w:space="0" w:color="31A7D4" w:themeColor="accent1"/>
              <w:bottom w:val="single" w:sz="4" w:space="0" w:color="31A7D4" w:themeColor="accent1"/>
              <w:right w:val="nil"/>
            </w:tcBorders>
            <w:shd w:val="clear" w:color="auto" w:fill="auto"/>
            <w:vAlign w:val="center"/>
          </w:tcPr>
          <w:p w14:paraId="216A962D"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Yes</w:t>
            </w:r>
          </w:p>
        </w:tc>
        <w:tc>
          <w:tcPr>
            <w:tcW w:w="1996" w:type="dxa"/>
            <w:tcBorders>
              <w:top w:val="single" w:sz="4" w:space="0" w:color="31A7D4" w:themeColor="accent1"/>
              <w:left w:val="nil"/>
              <w:bottom w:val="single" w:sz="4" w:space="0" w:color="31A7D4" w:themeColor="accent1"/>
              <w:right w:val="nil"/>
            </w:tcBorders>
            <w:shd w:val="clear" w:color="auto" w:fill="auto"/>
            <w:vAlign w:val="center"/>
          </w:tcPr>
          <w:p w14:paraId="11100003"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Yes</w:t>
            </w:r>
          </w:p>
        </w:tc>
        <w:tc>
          <w:tcPr>
            <w:tcW w:w="1701" w:type="dxa"/>
            <w:tcBorders>
              <w:top w:val="single" w:sz="4" w:space="0" w:color="31A7D4" w:themeColor="accent1"/>
              <w:left w:val="nil"/>
              <w:bottom w:val="single" w:sz="4" w:space="0" w:color="31A7D4" w:themeColor="accent1"/>
              <w:right w:val="nil"/>
            </w:tcBorders>
            <w:shd w:val="clear" w:color="auto" w:fill="auto"/>
            <w:vAlign w:val="center"/>
          </w:tcPr>
          <w:p w14:paraId="2DDD2764"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Yes</w:t>
            </w:r>
          </w:p>
        </w:tc>
        <w:tc>
          <w:tcPr>
            <w:tcW w:w="1276" w:type="dxa"/>
            <w:tcBorders>
              <w:top w:val="single" w:sz="4" w:space="0" w:color="31A7D4" w:themeColor="accent1"/>
              <w:left w:val="nil"/>
              <w:bottom w:val="single" w:sz="4" w:space="0" w:color="31A7D4" w:themeColor="accent1"/>
              <w:right w:val="nil"/>
            </w:tcBorders>
            <w:shd w:val="clear" w:color="auto" w:fill="auto"/>
            <w:vAlign w:val="center"/>
          </w:tcPr>
          <w:p w14:paraId="183CF8EE"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No</w:t>
            </w:r>
          </w:p>
        </w:tc>
        <w:tc>
          <w:tcPr>
            <w:tcW w:w="1558" w:type="dxa"/>
            <w:tcBorders>
              <w:top w:val="single" w:sz="4" w:space="0" w:color="31A7D4" w:themeColor="accent1"/>
              <w:left w:val="nil"/>
              <w:bottom w:val="single" w:sz="4" w:space="0" w:color="31A7D4" w:themeColor="accent1"/>
              <w:right w:val="single" w:sz="4" w:space="0" w:color="31A7D4" w:themeColor="accent1"/>
            </w:tcBorders>
            <w:shd w:val="clear" w:color="auto" w:fill="auto"/>
            <w:vAlign w:val="center"/>
          </w:tcPr>
          <w:p w14:paraId="76266E84"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No</w:t>
            </w:r>
          </w:p>
        </w:tc>
      </w:tr>
      <w:tr w:rsidR="00882A4F" w:rsidRPr="002B7F0E" w14:paraId="4F555288" w14:textId="77777777" w:rsidTr="00D77F97">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40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vAlign w:val="center"/>
          </w:tcPr>
          <w:p w14:paraId="07EE6337" w14:textId="77777777" w:rsidR="00882A4F" w:rsidRPr="002B7F0E" w:rsidRDefault="00882A4F" w:rsidP="001309BA">
            <w:pPr>
              <w:pStyle w:val="TableColumnHeadingLeft"/>
              <w:rPr>
                <w:color w:val="auto"/>
                <w:szCs w:val="20"/>
              </w:rPr>
            </w:pPr>
            <w:r w:rsidRPr="002B7F0E">
              <w:rPr>
                <w:color w:val="auto"/>
                <w:szCs w:val="20"/>
              </w:rPr>
              <w:t>GST concessions</w:t>
            </w:r>
          </w:p>
        </w:tc>
        <w:tc>
          <w:tcPr>
            <w:tcW w:w="1132" w:type="dxa"/>
            <w:tcBorders>
              <w:top w:val="single" w:sz="4" w:space="0" w:color="31A7D4" w:themeColor="accent1"/>
              <w:left w:val="single" w:sz="4" w:space="0" w:color="31A7D4" w:themeColor="accent1"/>
              <w:bottom w:val="single" w:sz="4" w:space="0" w:color="31A7D4" w:themeColor="accent1"/>
              <w:right w:val="nil"/>
            </w:tcBorders>
            <w:shd w:val="clear" w:color="auto" w:fill="auto"/>
            <w:vAlign w:val="center"/>
          </w:tcPr>
          <w:p w14:paraId="5F60E515"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Yes</w:t>
            </w:r>
          </w:p>
        </w:tc>
        <w:tc>
          <w:tcPr>
            <w:tcW w:w="1996" w:type="dxa"/>
            <w:tcBorders>
              <w:top w:val="single" w:sz="4" w:space="0" w:color="31A7D4" w:themeColor="accent1"/>
              <w:left w:val="nil"/>
              <w:bottom w:val="single" w:sz="4" w:space="0" w:color="31A7D4" w:themeColor="accent1"/>
              <w:right w:val="nil"/>
            </w:tcBorders>
            <w:shd w:val="clear" w:color="auto" w:fill="auto"/>
            <w:vAlign w:val="center"/>
          </w:tcPr>
          <w:p w14:paraId="234147FF"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Yes</w:t>
            </w:r>
          </w:p>
        </w:tc>
        <w:tc>
          <w:tcPr>
            <w:tcW w:w="1701" w:type="dxa"/>
            <w:tcBorders>
              <w:top w:val="single" w:sz="4" w:space="0" w:color="31A7D4" w:themeColor="accent1"/>
              <w:left w:val="nil"/>
              <w:bottom w:val="single" w:sz="4" w:space="0" w:color="31A7D4" w:themeColor="accent1"/>
              <w:right w:val="nil"/>
            </w:tcBorders>
            <w:shd w:val="clear" w:color="auto" w:fill="auto"/>
            <w:vAlign w:val="center"/>
          </w:tcPr>
          <w:p w14:paraId="1A73D4A9"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Charities only</w:t>
            </w:r>
          </w:p>
        </w:tc>
        <w:tc>
          <w:tcPr>
            <w:tcW w:w="1276" w:type="dxa"/>
            <w:tcBorders>
              <w:top w:val="single" w:sz="4" w:space="0" w:color="31A7D4" w:themeColor="accent1"/>
              <w:left w:val="nil"/>
              <w:bottom w:val="single" w:sz="4" w:space="0" w:color="31A7D4" w:themeColor="accent1"/>
              <w:right w:val="nil"/>
            </w:tcBorders>
            <w:shd w:val="clear" w:color="auto" w:fill="auto"/>
            <w:vAlign w:val="center"/>
          </w:tcPr>
          <w:p w14:paraId="68B214C2"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Yes</w:t>
            </w:r>
          </w:p>
        </w:tc>
        <w:tc>
          <w:tcPr>
            <w:tcW w:w="1558" w:type="dxa"/>
            <w:tcBorders>
              <w:top w:val="single" w:sz="4" w:space="0" w:color="31A7D4" w:themeColor="accent1"/>
              <w:left w:val="nil"/>
              <w:bottom w:val="single" w:sz="4" w:space="0" w:color="31A7D4" w:themeColor="accent1"/>
              <w:right w:val="single" w:sz="4" w:space="0" w:color="31A7D4" w:themeColor="accent1"/>
            </w:tcBorders>
            <w:shd w:val="clear" w:color="auto" w:fill="auto"/>
            <w:vAlign w:val="center"/>
          </w:tcPr>
          <w:p w14:paraId="12D34D9E" w14:textId="77777777" w:rsidR="00882A4F" w:rsidRPr="002B7F0E" w:rsidRDefault="00882A4F" w:rsidP="001309BA">
            <w:pPr>
              <w:pStyle w:val="TableTextCentered"/>
              <w:cnfStyle w:val="000000100000" w:firstRow="0" w:lastRow="0" w:firstColumn="0" w:lastColumn="0" w:oddVBand="0" w:evenVBand="0" w:oddHBand="1" w:evenHBand="0" w:firstRowFirstColumn="0" w:firstRowLastColumn="0" w:lastRowFirstColumn="0" w:lastRowLastColumn="0"/>
              <w:rPr>
                <w:color w:val="auto"/>
                <w:sz w:val="20"/>
                <w:szCs w:val="20"/>
              </w:rPr>
            </w:pPr>
            <w:r w:rsidRPr="002B7F0E">
              <w:rPr>
                <w:color w:val="auto"/>
                <w:sz w:val="20"/>
                <w:szCs w:val="20"/>
              </w:rPr>
              <w:t>No</w:t>
            </w:r>
          </w:p>
        </w:tc>
      </w:tr>
      <w:tr w:rsidR="00882A4F" w:rsidRPr="002B7F0E" w14:paraId="46AC7A51" w14:textId="77777777" w:rsidTr="00D77F97">
        <w:trPr>
          <w:trHeight w:val="368"/>
        </w:trPr>
        <w:tc>
          <w:tcPr>
            <w:cnfStyle w:val="001000000000" w:firstRow="0" w:lastRow="0" w:firstColumn="1" w:lastColumn="0" w:oddVBand="0" w:evenVBand="0" w:oddHBand="0" w:evenHBand="0" w:firstRowFirstColumn="0" w:firstRowLastColumn="0" w:lastRowFirstColumn="0" w:lastRowLastColumn="0"/>
            <w:tcW w:w="140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vAlign w:val="center"/>
          </w:tcPr>
          <w:p w14:paraId="174C04B9" w14:textId="77777777" w:rsidR="00882A4F" w:rsidRPr="002B7F0E" w:rsidRDefault="00882A4F" w:rsidP="001309BA">
            <w:pPr>
              <w:pStyle w:val="TableColumnHeadingLeft"/>
              <w:rPr>
                <w:color w:val="auto"/>
                <w:szCs w:val="20"/>
              </w:rPr>
            </w:pPr>
            <w:r w:rsidRPr="002B7F0E">
              <w:rPr>
                <w:color w:val="auto"/>
                <w:szCs w:val="20"/>
              </w:rPr>
              <w:t>Deductible gifts</w:t>
            </w:r>
          </w:p>
        </w:tc>
        <w:tc>
          <w:tcPr>
            <w:tcW w:w="1132" w:type="dxa"/>
            <w:tcBorders>
              <w:top w:val="single" w:sz="4" w:space="0" w:color="31A7D4" w:themeColor="accent1"/>
              <w:left w:val="single" w:sz="4" w:space="0" w:color="31A7D4" w:themeColor="accent1"/>
              <w:bottom w:val="single" w:sz="4" w:space="0" w:color="31A7D4" w:themeColor="accent1"/>
              <w:right w:val="nil"/>
            </w:tcBorders>
            <w:shd w:val="clear" w:color="auto" w:fill="auto"/>
            <w:vAlign w:val="center"/>
          </w:tcPr>
          <w:p w14:paraId="5A5DF476"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No</w:t>
            </w:r>
          </w:p>
        </w:tc>
        <w:tc>
          <w:tcPr>
            <w:tcW w:w="1996" w:type="dxa"/>
            <w:tcBorders>
              <w:top w:val="single" w:sz="4" w:space="0" w:color="31A7D4" w:themeColor="accent1"/>
              <w:left w:val="nil"/>
              <w:bottom w:val="single" w:sz="4" w:space="0" w:color="31A7D4" w:themeColor="accent1"/>
              <w:right w:val="nil"/>
            </w:tcBorders>
            <w:shd w:val="clear" w:color="auto" w:fill="auto"/>
            <w:vAlign w:val="center"/>
          </w:tcPr>
          <w:p w14:paraId="6178491A"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Yes</w:t>
            </w:r>
          </w:p>
        </w:tc>
        <w:tc>
          <w:tcPr>
            <w:tcW w:w="1701" w:type="dxa"/>
            <w:tcBorders>
              <w:top w:val="single" w:sz="4" w:space="0" w:color="31A7D4" w:themeColor="accent1"/>
              <w:left w:val="nil"/>
              <w:bottom w:val="single" w:sz="4" w:space="0" w:color="31A7D4" w:themeColor="accent1"/>
              <w:right w:val="nil"/>
            </w:tcBorders>
            <w:shd w:val="clear" w:color="auto" w:fill="auto"/>
            <w:vAlign w:val="center"/>
          </w:tcPr>
          <w:p w14:paraId="5E995C69"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No</w:t>
            </w:r>
          </w:p>
        </w:tc>
        <w:tc>
          <w:tcPr>
            <w:tcW w:w="1276" w:type="dxa"/>
            <w:tcBorders>
              <w:top w:val="single" w:sz="4" w:space="0" w:color="31A7D4" w:themeColor="accent1"/>
              <w:left w:val="nil"/>
              <w:bottom w:val="single" w:sz="4" w:space="0" w:color="31A7D4" w:themeColor="accent1"/>
              <w:right w:val="nil"/>
            </w:tcBorders>
            <w:shd w:val="clear" w:color="auto" w:fill="auto"/>
            <w:vAlign w:val="center"/>
          </w:tcPr>
          <w:p w14:paraId="3C7B0C8D"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Yes</w:t>
            </w:r>
          </w:p>
        </w:tc>
        <w:tc>
          <w:tcPr>
            <w:tcW w:w="1558" w:type="dxa"/>
            <w:tcBorders>
              <w:top w:val="single" w:sz="4" w:space="0" w:color="31A7D4" w:themeColor="accent1"/>
              <w:left w:val="nil"/>
              <w:bottom w:val="single" w:sz="4" w:space="0" w:color="31A7D4" w:themeColor="accent1"/>
              <w:right w:val="single" w:sz="4" w:space="0" w:color="31A7D4" w:themeColor="accent1"/>
            </w:tcBorders>
            <w:shd w:val="clear" w:color="auto" w:fill="auto"/>
            <w:vAlign w:val="center"/>
          </w:tcPr>
          <w:p w14:paraId="579D3FFC" w14:textId="77777777" w:rsidR="00882A4F" w:rsidRPr="002B7F0E" w:rsidRDefault="00882A4F" w:rsidP="001309BA">
            <w:pPr>
              <w:pStyle w:val="TableTextCentered"/>
              <w:cnfStyle w:val="000000000000" w:firstRow="0" w:lastRow="0" w:firstColumn="0" w:lastColumn="0" w:oddVBand="0" w:evenVBand="0" w:oddHBand="0" w:evenHBand="0" w:firstRowFirstColumn="0" w:firstRowLastColumn="0" w:lastRowFirstColumn="0" w:lastRowLastColumn="0"/>
              <w:rPr>
                <w:color w:val="auto"/>
                <w:sz w:val="20"/>
                <w:szCs w:val="20"/>
              </w:rPr>
            </w:pPr>
            <w:r w:rsidRPr="002B7F0E">
              <w:rPr>
                <w:color w:val="auto"/>
                <w:sz w:val="20"/>
                <w:szCs w:val="20"/>
              </w:rPr>
              <w:t>No</w:t>
            </w:r>
          </w:p>
        </w:tc>
      </w:tr>
    </w:tbl>
    <w:p w14:paraId="1D032E80" w14:textId="12F826F4" w:rsidR="00C17B62" w:rsidRPr="002B7F0E" w:rsidRDefault="00882A4F" w:rsidP="00C17B62">
      <w:pPr>
        <w:pStyle w:val="ChartandTableFootnoteAlpha"/>
        <w:tabs>
          <w:tab w:val="clear" w:pos="360"/>
          <w:tab w:val="num" w:pos="283"/>
        </w:tabs>
        <w:ind w:left="283" w:hanging="283"/>
      </w:pPr>
      <w:r w:rsidRPr="002B7F0E">
        <w:t xml:space="preserve">Charities endorsed as deductible gift recipients or specifically listed in the </w:t>
      </w:r>
      <w:r w:rsidRPr="002B7F0E">
        <w:rPr>
          <w:i/>
        </w:rPr>
        <w:t>Income Tax Assessment Act 1997</w:t>
      </w:r>
      <w:r w:rsidRPr="002B7F0E">
        <w:t xml:space="preserve"> can receive deductible gifts.</w:t>
      </w:r>
    </w:p>
    <w:p w14:paraId="2C30F2F0" w14:textId="77777777" w:rsidR="00C17B62" w:rsidRPr="002B7F0E" w:rsidRDefault="00882A4F" w:rsidP="00C17B62">
      <w:pPr>
        <w:pStyle w:val="ChartandTableFootnoteAlpha"/>
        <w:tabs>
          <w:tab w:val="clear" w:pos="360"/>
          <w:tab w:val="num" w:pos="283"/>
        </w:tabs>
        <w:ind w:left="283" w:hanging="283"/>
      </w:pPr>
      <w:r w:rsidRPr="002B7F0E">
        <w:t>Deductible gift recipients are generally charities that also have income tax exemptions, but income tax and FBT concessions do not automatically flow from an entity having DGR status.</w:t>
      </w:r>
    </w:p>
    <w:p w14:paraId="664CB51C" w14:textId="18E3FC50" w:rsidR="00882A4F" w:rsidRPr="002B7F0E" w:rsidRDefault="00882A4F" w:rsidP="00D77F97">
      <w:pPr>
        <w:pStyle w:val="ChartandTableFootnoteAlpha"/>
        <w:tabs>
          <w:tab w:val="clear" w:pos="360"/>
          <w:tab w:val="num" w:pos="283"/>
        </w:tabs>
        <w:ind w:left="283" w:hanging="283"/>
      </w:pPr>
      <w:r w:rsidRPr="002B7F0E">
        <w:t xml:space="preserve">These caps were temporarily increased (to $17,667 and $31,177) as </w:t>
      </w:r>
      <w:r w:rsidR="0084171D" w:rsidRPr="002B7F0E">
        <w:t>part of the 2014</w:t>
      </w:r>
      <w:r w:rsidR="00D77F97">
        <w:noBreakHyphen/>
      </w:r>
      <w:r w:rsidR="0084171D" w:rsidRPr="002B7F0E">
        <w:t>15 Budget measure to introduce a Temporary Budget Repair levy</w:t>
      </w:r>
      <w:r w:rsidRPr="002B7F0E">
        <w:t>.</w:t>
      </w:r>
    </w:p>
    <w:p w14:paraId="27CCCFA3" w14:textId="77777777" w:rsidR="00882A4F" w:rsidRPr="00D77F97" w:rsidRDefault="00882A4F" w:rsidP="002B37B7">
      <w:pPr>
        <w:pStyle w:val="SingleParagraph"/>
        <w:rPr>
          <w:sz w:val="18"/>
          <w:szCs w:val="18"/>
        </w:rPr>
      </w:pPr>
    </w:p>
    <w:p w14:paraId="7746703C" w14:textId="01A199A1" w:rsidR="00882A4F" w:rsidRPr="002B7F0E" w:rsidRDefault="00882A4F" w:rsidP="00D77F97">
      <w:pPr>
        <w:spacing w:after="200"/>
      </w:pPr>
      <w:r w:rsidRPr="002B7F0E">
        <w:t xml:space="preserve">Recognising the wider benefits </w:t>
      </w:r>
      <w:r w:rsidR="003149FC">
        <w:t>of</w:t>
      </w:r>
      <w:r w:rsidR="003149FC" w:rsidRPr="002B7F0E">
        <w:t xml:space="preserve"> </w:t>
      </w:r>
      <w:r w:rsidRPr="002B7F0E">
        <w:t>NFP</w:t>
      </w:r>
      <w:r w:rsidR="00055975" w:rsidRPr="002B7F0E">
        <w:t xml:space="preserve"> activity (particularly where</w:t>
      </w:r>
      <w:r w:rsidRPr="002B7F0E">
        <w:t xml:space="preserve"> </w:t>
      </w:r>
      <w:r w:rsidR="00055975" w:rsidRPr="002B7F0E">
        <w:t xml:space="preserve">an </w:t>
      </w:r>
      <w:r w:rsidRPr="002B7F0E">
        <w:t xml:space="preserve">NFP </w:t>
      </w:r>
      <w:r w:rsidR="0006522F" w:rsidRPr="002B7F0E">
        <w:t>provide</w:t>
      </w:r>
      <w:r w:rsidR="00055975" w:rsidRPr="002B7F0E">
        <w:t>s</w:t>
      </w:r>
      <w:r w:rsidR="0006522F" w:rsidRPr="002B7F0E">
        <w:t xml:space="preserve"> services </w:t>
      </w:r>
      <w:r w:rsidR="003149FC">
        <w:t>that</w:t>
      </w:r>
      <w:r w:rsidR="003149FC" w:rsidRPr="002B7F0E">
        <w:t xml:space="preserve"> </w:t>
      </w:r>
      <w:r w:rsidRPr="002B7F0E">
        <w:t>for</w:t>
      </w:r>
      <w:r w:rsidR="00D77F97">
        <w:noBreakHyphen/>
      </w:r>
      <w:r w:rsidRPr="002B7F0E">
        <w:t>profit private sector organisations do not), these tax concessions</w:t>
      </w:r>
      <w:r w:rsidR="00F1391D" w:rsidRPr="002B7F0E">
        <w:t xml:space="preserve"> </w:t>
      </w:r>
      <w:r w:rsidR="003149FC">
        <w:t xml:space="preserve">arguably </w:t>
      </w:r>
      <w:r w:rsidRPr="002B7F0E">
        <w:t xml:space="preserve">help to </w:t>
      </w:r>
      <w:r w:rsidR="003149FC">
        <w:t xml:space="preserve">both </w:t>
      </w:r>
      <w:r w:rsidRPr="002B7F0E">
        <w:t>improve societal outcomes and ensur</w:t>
      </w:r>
      <w:r w:rsidR="003149FC">
        <w:t>e</w:t>
      </w:r>
      <w:r w:rsidRPr="002B7F0E">
        <w:t xml:space="preserve"> that the overall level of activity in the NFP sector is closer to optimal. Notwithstanding this, it i</w:t>
      </w:r>
      <w:r w:rsidR="00B6399A" w:rsidRPr="002B7F0E">
        <w:t>s important to assess their effe</w:t>
      </w:r>
      <w:r w:rsidRPr="002B7F0E">
        <w:t>c</w:t>
      </w:r>
      <w:r w:rsidR="00B6399A" w:rsidRPr="002B7F0E">
        <w:t>tiveness</w:t>
      </w:r>
      <w:r w:rsidRPr="002B7F0E">
        <w:t xml:space="preserve"> </w:t>
      </w:r>
      <w:r w:rsidR="00B6399A" w:rsidRPr="002B7F0E">
        <w:t>to</w:t>
      </w:r>
      <w:r w:rsidRPr="002B7F0E">
        <w:t xml:space="preserve"> ensur</w:t>
      </w:r>
      <w:r w:rsidR="00B6399A" w:rsidRPr="002B7F0E">
        <w:t>e</w:t>
      </w:r>
      <w:r w:rsidRPr="002B7F0E">
        <w:t xml:space="preserve"> that the concessions continue to meet their intended policy objectives, do not result in unintended consequences (such as high compliance costs</w:t>
      </w:r>
      <w:r w:rsidR="0041538A" w:rsidRPr="002B7F0E">
        <w:t xml:space="preserve"> or an uncompetitive advantage</w:t>
      </w:r>
      <w:r w:rsidRPr="002B7F0E">
        <w:t xml:space="preserve">) and deliver the greatest possible </w:t>
      </w:r>
      <w:r w:rsidR="0006522F" w:rsidRPr="002B7F0E">
        <w:t xml:space="preserve">community </w:t>
      </w:r>
      <w:r w:rsidRPr="002B7F0E">
        <w:t xml:space="preserve">benefit. This is particularly important </w:t>
      </w:r>
      <w:r w:rsidR="003149FC">
        <w:t>considering</w:t>
      </w:r>
      <w:r w:rsidR="003149FC" w:rsidRPr="002B7F0E">
        <w:t xml:space="preserve"> </w:t>
      </w:r>
      <w:r w:rsidRPr="002B7F0E">
        <w:t xml:space="preserve">the revenue forgone as a result of these tax concessions. </w:t>
      </w:r>
    </w:p>
    <w:p w14:paraId="2D30C416" w14:textId="2D80C8F9" w:rsidR="00FD5796" w:rsidRDefault="006C4AB9" w:rsidP="00D77F97">
      <w:pPr>
        <w:spacing w:after="0"/>
      </w:pPr>
      <w:r>
        <w:t xml:space="preserve">NFP tax concessions result in significant revenue forgone. </w:t>
      </w:r>
      <w:r w:rsidR="00D63309" w:rsidRPr="002B7F0E">
        <w:t xml:space="preserve">The two largest </w:t>
      </w:r>
      <w:r w:rsidR="002474BA">
        <w:t>groups of</w:t>
      </w:r>
      <w:r w:rsidR="003149FC">
        <w:t xml:space="preserve"> </w:t>
      </w:r>
      <w:r w:rsidR="00D63309" w:rsidRPr="002B7F0E">
        <w:t>tax concessions involve exemptions from paying fringe benefits tax (FBT)</w:t>
      </w:r>
      <w:r w:rsidR="00F25859">
        <w:t xml:space="preserve"> for</w:t>
      </w:r>
      <w:r w:rsidR="00D63309" w:rsidRPr="002B7F0E">
        <w:t> public benevolent institutions (PBIs)</w:t>
      </w:r>
      <w:r w:rsidR="003764EB">
        <w:t>,</w:t>
      </w:r>
      <w:r w:rsidR="00D63309" w:rsidRPr="002B7F0E">
        <w:t xml:space="preserve"> health promotion charities (HPCs)</w:t>
      </w:r>
      <w:r w:rsidR="003764EB">
        <w:t>,</w:t>
      </w:r>
      <w:r w:rsidR="00D63309" w:rsidRPr="002B7F0E">
        <w:t xml:space="preserve"> public hospitals</w:t>
      </w:r>
      <w:r w:rsidR="00F25859">
        <w:t>, non</w:t>
      </w:r>
      <w:r w:rsidR="00D77F97">
        <w:noBreakHyphen/>
      </w:r>
      <w:r w:rsidR="00F25859">
        <w:t>profit hospitals,</w:t>
      </w:r>
      <w:r w:rsidR="00D63309" w:rsidRPr="002B7F0E">
        <w:t xml:space="preserve"> </w:t>
      </w:r>
      <w:r w:rsidR="007462FC">
        <w:t xml:space="preserve">and </w:t>
      </w:r>
      <w:r w:rsidR="00D63309" w:rsidRPr="002B7F0E">
        <w:t>public ambulance services</w:t>
      </w:r>
      <w:r w:rsidR="007462FC">
        <w:t>;</w:t>
      </w:r>
      <w:r w:rsidR="00FD5796">
        <w:t xml:space="preserve"> and income tax deductions for making gifts to DGRs</w:t>
      </w:r>
      <w:r w:rsidR="00D63309" w:rsidRPr="002B7F0E">
        <w:t>. The amount of revenue forgone from these concessions has been increasing, particularly the</w:t>
      </w:r>
      <w:r w:rsidR="00FD5796">
        <w:t xml:space="preserve"> FBT exemptions.</w:t>
      </w:r>
    </w:p>
    <w:p w14:paraId="12DE6A1B" w14:textId="56B698EA" w:rsidR="00D63309" w:rsidRPr="002B7F0E" w:rsidRDefault="00D63309" w:rsidP="00D77F97">
      <w:r w:rsidRPr="002B7F0E">
        <w:lastRenderedPageBreak/>
        <w:t>By 2017</w:t>
      </w:r>
      <w:r w:rsidR="00D77F97">
        <w:noBreakHyphen/>
      </w:r>
      <w:r w:rsidRPr="002B7F0E">
        <w:t xml:space="preserve">18, the PBI concession is estimated to result in </w:t>
      </w:r>
      <w:r w:rsidR="00F25859">
        <w:t>revenue forgone of nearly</w:t>
      </w:r>
      <w:r w:rsidRPr="002B7F0E">
        <w:t xml:space="preserve"> $1.</w:t>
      </w:r>
      <w:r w:rsidR="00F25859">
        <w:t>6</w:t>
      </w:r>
      <w:r w:rsidRPr="002B7F0E">
        <w:t> billion, from a</w:t>
      </w:r>
      <w:r w:rsidR="00F25859">
        <w:t>lmost</w:t>
      </w:r>
      <w:r w:rsidRPr="002B7F0E">
        <w:t xml:space="preserve"> $1 billion in 2010</w:t>
      </w:r>
      <w:r w:rsidR="00D77F97">
        <w:noBreakHyphen/>
      </w:r>
      <w:r w:rsidRPr="002B7F0E">
        <w:t>11</w:t>
      </w:r>
      <w:r w:rsidR="00FD5796">
        <w:t xml:space="preserve"> (Chart 7.3)</w:t>
      </w:r>
      <w:r w:rsidRPr="002B7F0E">
        <w:t>. In comparison, the deduction for gifts to DGRs has remained relatively stable, increas</w:t>
      </w:r>
      <w:r w:rsidR="007462FC">
        <w:t>ing</w:t>
      </w:r>
      <w:r w:rsidRPr="002B7F0E">
        <w:t xml:space="preserve"> from </w:t>
      </w:r>
      <w:r w:rsidR="00F25859">
        <w:t>nearly $900 million</w:t>
      </w:r>
      <w:r w:rsidRPr="002B7F0E">
        <w:t xml:space="preserve"> in 2010</w:t>
      </w:r>
      <w:r w:rsidR="00D77F97">
        <w:noBreakHyphen/>
      </w:r>
      <w:r w:rsidRPr="002B7F0E">
        <w:t>11 to</w:t>
      </w:r>
      <w:r w:rsidR="00F25859">
        <w:t xml:space="preserve"> almost</w:t>
      </w:r>
      <w:r w:rsidRPr="002B7F0E">
        <w:t xml:space="preserve"> $1.</w:t>
      </w:r>
      <w:r w:rsidR="00F25859">
        <w:t>2</w:t>
      </w:r>
      <w:r w:rsidRPr="002B7F0E">
        <w:t> billion in 2017</w:t>
      </w:r>
      <w:r w:rsidR="00D77F97">
        <w:noBreakHyphen/>
      </w:r>
      <w:r w:rsidRPr="002B7F0E">
        <w:t xml:space="preserve">18. </w:t>
      </w:r>
      <w:r w:rsidR="006C4AB9">
        <w:t>However, the actual revenue forgone</w:t>
      </w:r>
      <w:r w:rsidR="009C341B">
        <w:t xml:space="preserve"> </w:t>
      </w:r>
      <w:r w:rsidR="00FD5796">
        <w:t xml:space="preserve">from NFP concessions </w:t>
      </w:r>
      <w:r w:rsidR="009C341B">
        <w:t xml:space="preserve">cannot be quantified because many organisations are not required to submit tax returns. This means that the actual revenue forgone </w:t>
      </w:r>
      <w:r w:rsidR="00FD5796">
        <w:t>is likely to be</w:t>
      </w:r>
      <w:r w:rsidR="009C341B">
        <w:t xml:space="preserve"> higher than is currently reported.</w:t>
      </w:r>
      <w:r w:rsidR="006C4AB9">
        <w:t xml:space="preserve"> </w:t>
      </w:r>
    </w:p>
    <w:p w14:paraId="6CB08843" w14:textId="64D545C5" w:rsidR="00882A4F" w:rsidRPr="002B7F0E" w:rsidRDefault="00882A4F" w:rsidP="00D77F97">
      <w:r w:rsidRPr="002B7F0E">
        <w:t>Given the size and reach of the NFP sector, some tax concessions may result in distortions that affect the broader allocation of resources in the economy, particularly where they operate in competition with for</w:t>
      </w:r>
      <w:r w:rsidR="00D77F97">
        <w:noBreakHyphen/>
      </w:r>
      <w:r w:rsidRPr="002B7F0E">
        <w:t>profit providers</w:t>
      </w:r>
      <w:r w:rsidR="00334D76" w:rsidRPr="002B7F0E">
        <w:t xml:space="preserve">. </w:t>
      </w:r>
      <w:r w:rsidRPr="002B7F0E">
        <w:t xml:space="preserve">These distortions arise when the prices that NFPs pay for their inputs (such as labour) are altered by the presence of concessions in the tax legislation. </w:t>
      </w:r>
    </w:p>
    <w:p w14:paraId="4B68632E" w14:textId="5389E0DE" w:rsidR="00882A4F" w:rsidRPr="002B7F0E" w:rsidRDefault="001309BA" w:rsidP="001309BA">
      <w:pPr>
        <w:pStyle w:val="ChartMainHeading"/>
      </w:pPr>
      <w:proofErr w:type="gramStart"/>
      <w:r w:rsidRPr="002B7F0E">
        <w:t xml:space="preserve">Chart </w:t>
      </w:r>
      <w:fldSimple w:instr=" STYLEREF 1 \s ">
        <w:r w:rsidR="00790FF4">
          <w:rPr>
            <w:noProof/>
          </w:rPr>
          <w:t>7</w:t>
        </w:r>
      </w:fldSimple>
      <w:r w:rsidRPr="002B7F0E">
        <w:t>.</w:t>
      </w:r>
      <w:proofErr w:type="gramEnd"/>
      <w:r w:rsidR="002E6BAA">
        <w:fldChar w:fldCharType="begin"/>
      </w:r>
      <w:r w:rsidR="002E6BAA">
        <w:instrText xml:space="preserve"> SEQ Chart \* ARABIC \s 1 </w:instrText>
      </w:r>
      <w:r w:rsidR="002E6BAA">
        <w:fldChar w:fldCharType="separate"/>
      </w:r>
      <w:proofErr w:type="gramStart"/>
      <w:r w:rsidR="00790FF4">
        <w:rPr>
          <w:noProof/>
        </w:rPr>
        <w:t>3</w:t>
      </w:r>
      <w:r w:rsidR="002E6BAA">
        <w:rPr>
          <w:noProof/>
        </w:rPr>
        <w:fldChar w:fldCharType="end"/>
      </w:r>
      <w:r w:rsidRPr="002B7F0E">
        <w:t xml:space="preserve"> </w:t>
      </w:r>
      <w:r w:rsidR="00340AE5" w:rsidRPr="002B7F0E">
        <w:t>Estimated</w:t>
      </w:r>
      <w:r w:rsidR="00882A4F" w:rsidRPr="002B7F0E">
        <w:t xml:space="preserve"> </w:t>
      </w:r>
      <w:r w:rsidR="007462FC">
        <w:t>revenue for</w:t>
      </w:r>
      <w:r w:rsidR="00340AE5" w:rsidRPr="002B7F0E">
        <w:t>gone</w:t>
      </w:r>
      <w:r w:rsidR="00882A4F" w:rsidRPr="002B7F0E">
        <w:t xml:space="preserve"> f</w:t>
      </w:r>
      <w:r w:rsidR="00340AE5" w:rsidRPr="002B7F0E">
        <w:t>or</w:t>
      </w:r>
      <w:r w:rsidR="00882A4F" w:rsidRPr="002B7F0E">
        <w:t xml:space="preserve"> </w:t>
      </w:r>
      <w:r w:rsidR="00D359E6">
        <w:t xml:space="preserve">selected </w:t>
      </w:r>
      <w:r w:rsidR="00882A4F" w:rsidRPr="002B7F0E">
        <w:t>Commonwealth tax concessions</w:t>
      </w:r>
      <w:proofErr w:type="gramEnd"/>
    </w:p>
    <w:p w14:paraId="7EB1CAAD" w14:textId="77D4EA89" w:rsidR="00882A4F" w:rsidRPr="002B7F0E" w:rsidRDefault="00D66999" w:rsidP="00D359E6">
      <w:pPr>
        <w:pStyle w:val="ChartGraphic"/>
      </w:pPr>
      <w:r>
        <w:object w:dxaOrig="8775" w:dyaOrig="4530" w14:anchorId="04D5FC35">
          <v:shape id="_x0000_i1027" type="#_x0000_t75" alt="Chart 7.3 Estimated cost of quantifiable Commonwealth tax concessions.&#10;&#10;The chart shows the estimated revenue forgone in 2010-11, 2014-15 and 2017-18 for four tax concessions given to the not-for-profit sector. These are: capped exemptions from paying Fringe Benefits Tax for public and non-profit hospitals and public ambulance services ($1.7 billion in 2017-18) and public benevolent institutions ($1.6 billion in 2017-18); an uncapped exemption for these organisations for meals and entertainment facility leasing expenses ($545 million in 2017-18); and personal income tax deductions for gifts to Deductible Gift Recipients ($1.2 billion in 2017-18).&#10;" style="width:438.75pt;height:226.5pt" o:ole="">
            <v:imagedata r:id="rId17" o:title=""/>
          </v:shape>
          <o:OLEObject Type="Link" ProgID="Excel.Sheet.12" ShapeID="_x0000_i1027" DrawAspect="Content" r:id="rId18" UpdateMode="Always">
            <o:LinkType>EnhancedMetaFile</o:LinkType>
            <o:LockedField/>
          </o:OLEObject>
        </w:object>
      </w:r>
    </w:p>
    <w:p w14:paraId="6E0BF189" w14:textId="4E1A3805" w:rsidR="002B37B7" w:rsidRPr="002B7F0E" w:rsidRDefault="002B37B7" w:rsidP="00A53639">
      <w:pPr>
        <w:pStyle w:val="Source"/>
        <w:ind w:left="567"/>
      </w:pPr>
      <w:r w:rsidRPr="002B7F0E">
        <w:t xml:space="preserve">Source: </w:t>
      </w:r>
      <w:r w:rsidR="007B38E7" w:rsidRPr="002B7F0E">
        <w:t xml:space="preserve">Australian Government </w:t>
      </w:r>
      <w:r w:rsidR="00843BCE" w:rsidRPr="002B7F0E">
        <w:t>201</w:t>
      </w:r>
      <w:r w:rsidR="001A680E" w:rsidRPr="002B7F0E">
        <w:t>5</w:t>
      </w:r>
      <w:r w:rsidR="00843BCE" w:rsidRPr="002B7F0E">
        <w:t xml:space="preserve">, </w:t>
      </w:r>
      <w:r w:rsidR="00800A69" w:rsidRPr="002B7F0E">
        <w:rPr>
          <w:i/>
        </w:rPr>
        <w:t>Tax Expenditure</w:t>
      </w:r>
      <w:r w:rsidR="00843BCE" w:rsidRPr="002B7F0E">
        <w:rPr>
          <w:i/>
        </w:rPr>
        <w:t>s</w:t>
      </w:r>
      <w:r w:rsidR="00800A69" w:rsidRPr="002B7F0E">
        <w:rPr>
          <w:i/>
        </w:rPr>
        <w:t xml:space="preserve"> Statement</w:t>
      </w:r>
      <w:r w:rsidR="00843BCE" w:rsidRPr="002B7F0E">
        <w:rPr>
          <w:i/>
        </w:rPr>
        <w:t xml:space="preserve"> 201</w:t>
      </w:r>
      <w:r w:rsidR="001A680E" w:rsidRPr="002B7F0E">
        <w:rPr>
          <w:i/>
        </w:rPr>
        <w:t>4</w:t>
      </w:r>
      <w:r w:rsidR="00843BCE" w:rsidRPr="002B7F0E">
        <w:t xml:space="preserve">, </w:t>
      </w:r>
      <w:r w:rsidR="007B38E7" w:rsidRPr="002B7F0E">
        <w:t>Australian Government</w:t>
      </w:r>
      <w:r w:rsidR="00843BCE" w:rsidRPr="002B7F0E">
        <w:t>, Canberra.</w:t>
      </w:r>
    </w:p>
    <w:p w14:paraId="2F4B3C01" w14:textId="77777777" w:rsidR="00645953" w:rsidRPr="00D77F97" w:rsidRDefault="00645953" w:rsidP="00D77F97"/>
    <w:p w14:paraId="3128D6C0" w14:textId="6CC28660" w:rsidR="00882A4F" w:rsidRPr="00D77F97" w:rsidRDefault="00B6399A" w:rsidP="00D77F97">
      <w:pPr>
        <w:pStyle w:val="Heading3"/>
      </w:pPr>
      <w:bookmarkStart w:id="31" w:name="_Toc402340338"/>
      <w:bookmarkStart w:id="32" w:name="_Toc402343432"/>
      <w:bookmarkStart w:id="33" w:name="_Toc402346668"/>
      <w:bookmarkStart w:id="34" w:name="_Toc402349124"/>
      <w:bookmarkStart w:id="35" w:name="_Toc402350652"/>
      <w:bookmarkStart w:id="36" w:name="_Toc402353673"/>
      <w:bookmarkStart w:id="37" w:name="_Toc402368790"/>
      <w:bookmarkStart w:id="38" w:name="_Toc402369875"/>
      <w:bookmarkStart w:id="39" w:name="_Toc402370540"/>
      <w:bookmarkStart w:id="40" w:name="_Toc402371487"/>
      <w:bookmarkStart w:id="41" w:name="_Toc404350006"/>
      <w:r w:rsidRPr="00D77F97">
        <w:t>Fringe benefits tax c</w:t>
      </w:r>
      <w:r w:rsidR="00882A4F" w:rsidRPr="00D77F97">
        <w:t>oncessions</w:t>
      </w:r>
      <w:bookmarkEnd w:id="31"/>
      <w:bookmarkEnd w:id="32"/>
      <w:bookmarkEnd w:id="33"/>
      <w:bookmarkEnd w:id="34"/>
      <w:bookmarkEnd w:id="35"/>
      <w:bookmarkEnd w:id="36"/>
      <w:bookmarkEnd w:id="37"/>
      <w:bookmarkEnd w:id="38"/>
      <w:bookmarkEnd w:id="39"/>
      <w:bookmarkEnd w:id="40"/>
      <w:bookmarkEnd w:id="41"/>
    </w:p>
    <w:p w14:paraId="06C3488A" w14:textId="530210D3" w:rsidR="00882A4F" w:rsidRPr="002B7F0E" w:rsidRDefault="00882A4F" w:rsidP="00D77F97">
      <w:r w:rsidRPr="002B7F0E">
        <w:t xml:space="preserve">A range of NFP entities are exempt from paying tax on fringe benefits provided to employees up to a monetary limit per employee (either $17,000 or $30,000 for certain NFPs, excluding the temporary increase associated with the </w:t>
      </w:r>
      <w:r w:rsidR="0084171D" w:rsidRPr="002B7F0E">
        <w:t>Temporary B</w:t>
      </w:r>
      <w:r w:rsidRPr="002B7F0E">
        <w:t xml:space="preserve">udget </w:t>
      </w:r>
      <w:r w:rsidR="0084171D" w:rsidRPr="002B7F0E">
        <w:t>R</w:t>
      </w:r>
      <w:r w:rsidRPr="002B7F0E">
        <w:t xml:space="preserve">epair </w:t>
      </w:r>
      <w:r w:rsidR="0084171D" w:rsidRPr="002B7F0E">
        <w:t>L</w:t>
      </w:r>
      <w:r w:rsidRPr="002B7F0E">
        <w:t>evy) or are entitled to a rebate. By utilising salary sacrificing arrangements, the cost of labour to these NFPs is reduced. This lower cost could be used by the NFP to offer employees a higher salary, providing them with an advantage in hiring and retaining staff. This concession effectively provides a wage subsidy to those employed by eligible NFP organisations, which must be paid for by all other taxpayers. This concessional treatment is particularly problematic where the NFP competes with for</w:t>
      </w:r>
      <w:r w:rsidR="00D77F97">
        <w:noBreakHyphen/>
      </w:r>
      <w:r w:rsidRPr="002B7F0E">
        <w:t>profit providers, in particular in the hospital sector.</w:t>
      </w:r>
      <w:r w:rsidR="004973E7" w:rsidRPr="002B7F0E">
        <w:t xml:space="preserve"> These concessions allow employees of eligible entities to spend from pre</w:t>
      </w:r>
      <w:r w:rsidR="00D77F97">
        <w:noBreakHyphen/>
      </w:r>
      <w:r w:rsidR="004973E7" w:rsidRPr="002B7F0E">
        <w:t xml:space="preserve">tax income, thereby </w:t>
      </w:r>
      <w:r w:rsidR="004973E7" w:rsidRPr="002B7F0E">
        <w:lastRenderedPageBreak/>
        <w:t>reducing income tax payable.</w:t>
      </w:r>
      <w:r w:rsidR="009A012F" w:rsidRPr="002B7F0E">
        <w:t xml:space="preserve"> There is evidence that some employers and employees have tax</w:t>
      </w:r>
      <w:r w:rsidR="00D77F97">
        <w:noBreakHyphen/>
      </w:r>
      <w:r w:rsidR="009A012F" w:rsidRPr="002B7F0E">
        <w:t>sharing arrangements to share this benefit.</w:t>
      </w:r>
      <w:r w:rsidR="009A012F" w:rsidRPr="002B7F0E">
        <w:rPr>
          <w:rStyle w:val="FootnoteReference"/>
        </w:rPr>
        <w:footnoteReference w:id="9"/>
      </w:r>
    </w:p>
    <w:p w14:paraId="0CC27FDF" w14:textId="5CA9850C" w:rsidR="00882A4F" w:rsidRPr="002B7F0E" w:rsidRDefault="00882A4F" w:rsidP="00882A4F">
      <w:r w:rsidRPr="002B7F0E">
        <w:t>While there are capping thresholds on the fringe benefits tax concession, meal entertainment and entertainment facility leasing benefits are excluded from the caps and are unlimited. Benefits received by eligible NFP employees exempt from tax and not limited by a cap include payments for holidays, weddings and family celebrations</w:t>
      </w:r>
      <w:r w:rsidR="004973E7" w:rsidRPr="002B7F0E">
        <w:t>.</w:t>
      </w:r>
      <w:r w:rsidRPr="002B7F0E">
        <w:t xml:space="preserve"> </w:t>
      </w:r>
      <w:r w:rsidR="00340AE5" w:rsidRPr="002B7F0E">
        <w:t xml:space="preserve">Expenditure on this </w:t>
      </w:r>
      <w:r w:rsidRPr="002B7F0E">
        <w:t xml:space="preserve">concession in </w:t>
      </w:r>
      <w:r w:rsidR="00340AE5" w:rsidRPr="002B7F0E">
        <w:t xml:space="preserve">terms of </w:t>
      </w:r>
      <w:r w:rsidRPr="002B7F0E">
        <w:t xml:space="preserve">revenue </w:t>
      </w:r>
      <w:r w:rsidR="00CE1A7A" w:rsidRPr="002B7F0E">
        <w:t>forgone</w:t>
      </w:r>
      <w:r w:rsidR="00340AE5" w:rsidRPr="002B7F0E">
        <w:t xml:space="preserve"> was estimated to be</w:t>
      </w:r>
      <w:r w:rsidRPr="002B7F0E">
        <w:t xml:space="preserve"> around $4</w:t>
      </w:r>
      <w:r w:rsidR="001A1B6C" w:rsidRPr="002B7F0E">
        <w:t>30</w:t>
      </w:r>
      <w:r w:rsidRPr="002B7F0E">
        <w:t> million in 201</w:t>
      </w:r>
      <w:r w:rsidR="001A1B6C" w:rsidRPr="002B7F0E">
        <w:t>3</w:t>
      </w:r>
      <w:r w:rsidR="00D77F97">
        <w:noBreakHyphen/>
      </w:r>
      <w:r w:rsidRPr="002B7F0E">
        <w:t>1</w:t>
      </w:r>
      <w:r w:rsidR="001A1B6C" w:rsidRPr="002B7F0E">
        <w:t>4</w:t>
      </w:r>
      <w:r w:rsidRPr="002B7F0E">
        <w:t>, and is e</w:t>
      </w:r>
      <w:r w:rsidR="00340AE5" w:rsidRPr="002B7F0E">
        <w:t>stima</w:t>
      </w:r>
      <w:r w:rsidRPr="002B7F0E">
        <w:t xml:space="preserve">ted to rise to </w:t>
      </w:r>
      <w:r w:rsidR="00340AE5" w:rsidRPr="002B7F0E">
        <w:t xml:space="preserve">around </w:t>
      </w:r>
      <w:r w:rsidRPr="002B7F0E">
        <w:t>$5</w:t>
      </w:r>
      <w:r w:rsidR="001A1B6C" w:rsidRPr="002B7F0E">
        <w:t>45</w:t>
      </w:r>
      <w:r w:rsidRPr="002B7F0E">
        <w:t xml:space="preserve"> million </w:t>
      </w:r>
      <w:r w:rsidR="00340AE5" w:rsidRPr="002B7F0E">
        <w:t>in</w:t>
      </w:r>
      <w:r w:rsidRPr="002B7F0E">
        <w:t xml:space="preserve"> 201</w:t>
      </w:r>
      <w:r w:rsidR="001A1B6C" w:rsidRPr="002B7F0E">
        <w:t>7</w:t>
      </w:r>
      <w:r w:rsidR="00D77F97">
        <w:noBreakHyphen/>
      </w:r>
      <w:r w:rsidRPr="002B7F0E">
        <w:t>1</w:t>
      </w:r>
      <w:r w:rsidR="001A1B6C" w:rsidRPr="002B7F0E">
        <w:t>8</w:t>
      </w:r>
      <w:r w:rsidRPr="002B7F0E">
        <w:t>.</w:t>
      </w:r>
      <w:r w:rsidR="00D14027" w:rsidRPr="002B7F0E">
        <w:rPr>
          <w:rStyle w:val="FootnoteReference"/>
        </w:rPr>
        <w:footnoteReference w:id="10"/>
      </w:r>
    </w:p>
    <w:p w14:paraId="12FF6607" w14:textId="785AD6E2" w:rsidR="00845E47" w:rsidRDefault="00845E47" w:rsidP="00882A4F">
      <w:r w:rsidRPr="002B7F0E">
        <w:t>Another issue results from FBT bein</w:t>
      </w:r>
      <w:r>
        <w:t>g levied on individual employers with caps assessed per</w:t>
      </w:r>
      <w:r w:rsidR="00587105">
        <w:t> </w:t>
      </w:r>
      <w:r>
        <w:t>employee. This allows employees with more than one employer to receive benefits with multiple caps.</w:t>
      </w:r>
    </w:p>
    <w:p w14:paraId="1CB04829" w14:textId="77777777" w:rsidR="00882A4F" w:rsidRDefault="00882A4F" w:rsidP="00882A4F">
      <w:pPr>
        <w:pStyle w:val="Heading3"/>
      </w:pPr>
      <w:bookmarkStart w:id="42" w:name="_Toc402340339"/>
      <w:bookmarkStart w:id="43" w:name="_Toc402343433"/>
      <w:bookmarkStart w:id="44" w:name="_Toc402346669"/>
      <w:bookmarkStart w:id="45" w:name="_Toc402349125"/>
      <w:bookmarkStart w:id="46" w:name="_Toc402350653"/>
      <w:bookmarkStart w:id="47" w:name="_Toc402353674"/>
      <w:bookmarkStart w:id="48" w:name="_Toc402368791"/>
      <w:bookmarkStart w:id="49" w:name="_Toc402369876"/>
      <w:bookmarkStart w:id="50" w:name="_Toc402370541"/>
      <w:bookmarkStart w:id="51" w:name="_Toc402371488"/>
      <w:bookmarkStart w:id="52" w:name="_Toc404350007"/>
      <w:r>
        <w:t>Income tax exemption and mutuality</w:t>
      </w:r>
      <w:bookmarkEnd w:id="42"/>
      <w:bookmarkEnd w:id="43"/>
      <w:bookmarkEnd w:id="44"/>
      <w:bookmarkEnd w:id="45"/>
      <w:bookmarkEnd w:id="46"/>
      <w:bookmarkEnd w:id="47"/>
      <w:bookmarkEnd w:id="48"/>
      <w:bookmarkEnd w:id="49"/>
      <w:bookmarkEnd w:id="50"/>
      <w:bookmarkEnd w:id="51"/>
      <w:bookmarkEnd w:id="52"/>
      <w:r>
        <w:t xml:space="preserve"> </w:t>
      </w:r>
    </w:p>
    <w:p w14:paraId="31CCFE93" w14:textId="3F3368C4" w:rsidR="00882A4F" w:rsidRDefault="00882A4F" w:rsidP="00882A4F">
      <w:r>
        <w:t>A range of NFP organisations are eligible for income tax exempt status, such as employee or</w:t>
      </w:r>
      <w:r w:rsidR="005145AF">
        <w:t> </w:t>
      </w:r>
      <w:r>
        <w:t>employer associations and clubs established to encourage animal racing, sport, art, literature or music. Although an income tax exemption does not pose as many concerns regarding competitive advantage and any retained earnings must ultimately be used</w:t>
      </w:r>
      <w:r w:rsidR="00DF393A">
        <w:t xml:space="preserve"> to</w:t>
      </w:r>
      <w:r>
        <w:t xml:space="preserve"> further their purpose</w:t>
      </w:r>
      <w:r w:rsidR="00DF393A">
        <w:t>s</w:t>
      </w:r>
      <w:r>
        <w:t>, there appears to be no clear rationale underlying this exemption.</w:t>
      </w:r>
    </w:p>
    <w:p w14:paraId="204F114A" w14:textId="3FDC4B1F" w:rsidR="00882A4F" w:rsidRDefault="003260C4" w:rsidP="00DF393A">
      <w:r>
        <w:t>Membership</w:t>
      </w:r>
      <w:r w:rsidR="00882A4F">
        <w:t xml:space="preserve"> organisations not prescribed as income tax exempt may utilise the mutuality principle</w:t>
      </w:r>
      <w:r w:rsidR="00645953">
        <w:t xml:space="preserve">. </w:t>
      </w:r>
      <w:r w:rsidR="00DF393A">
        <w:t>Under the mutuality principle, where a group of individuals join together to</w:t>
      </w:r>
      <w:r w:rsidR="005145AF">
        <w:t> </w:t>
      </w:r>
      <w:r w:rsidR="00DF393A">
        <w:t>contribute to a common fund, created and controlled by all of them for a common purpose, any surplus created in the fund from the individual contributions or dealings between the members of the fund is not considered to be income for tax purposes</w:t>
      </w:r>
      <w:r w:rsidR="00645953">
        <w:t xml:space="preserve">. </w:t>
      </w:r>
      <w:r w:rsidR="00DF393A">
        <w:t>For</w:t>
      </w:r>
      <w:r w:rsidR="005638FC">
        <w:t xml:space="preserve"> a</w:t>
      </w:r>
      <w:r w:rsidR="00DF393A">
        <w:t xml:space="preserve"> mutual organisation, </w:t>
      </w:r>
      <w:r w:rsidR="00882A4F" w:rsidRPr="006C421F">
        <w:t>income received from transac</w:t>
      </w:r>
      <w:r w:rsidR="00882A4F">
        <w:t xml:space="preserve">tions with their members is tax </w:t>
      </w:r>
      <w:r w:rsidR="00882A4F" w:rsidRPr="006C421F">
        <w:t>exempt</w:t>
      </w:r>
      <w:r w:rsidR="00882A4F">
        <w:t>. A range of licensed clubs and societies, co</w:t>
      </w:r>
      <w:r w:rsidR="00D77F97">
        <w:noBreakHyphen/>
      </w:r>
      <w:r w:rsidR="00882A4F">
        <w:t xml:space="preserve">operatives, strata title bodies </w:t>
      </w:r>
      <w:r>
        <w:t>corporate and other association</w:t>
      </w:r>
      <w:r w:rsidR="00882A4F">
        <w:t xml:space="preserve">s utilise the mutuality principle. </w:t>
      </w:r>
    </w:p>
    <w:p w14:paraId="14570D17" w14:textId="77777777" w:rsidR="00882A4F" w:rsidRDefault="00882A4F" w:rsidP="00882A4F">
      <w:pPr>
        <w:pStyle w:val="Heading3"/>
      </w:pPr>
      <w:bookmarkStart w:id="53" w:name="_Toc402340340"/>
      <w:bookmarkStart w:id="54" w:name="_Toc402343434"/>
      <w:bookmarkStart w:id="55" w:name="_Toc402346670"/>
      <w:bookmarkStart w:id="56" w:name="_Toc402349126"/>
      <w:bookmarkStart w:id="57" w:name="_Toc402350654"/>
      <w:bookmarkStart w:id="58" w:name="_Toc402353675"/>
      <w:bookmarkStart w:id="59" w:name="_Toc402368792"/>
      <w:bookmarkStart w:id="60" w:name="_Toc402369877"/>
      <w:bookmarkStart w:id="61" w:name="_Toc402370542"/>
      <w:bookmarkStart w:id="62" w:name="_Toc402371489"/>
      <w:bookmarkStart w:id="63" w:name="_Toc404350008"/>
      <w:r>
        <w:t>Deductible gift recipients</w:t>
      </w:r>
      <w:bookmarkEnd w:id="53"/>
      <w:bookmarkEnd w:id="54"/>
      <w:bookmarkEnd w:id="55"/>
      <w:bookmarkEnd w:id="56"/>
      <w:bookmarkEnd w:id="57"/>
      <w:bookmarkEnd w:id="58"/>
      <w:bookmarkEnd w:id="59"/>
      <w:bookmarkEnd w:id="60"/>
      <w:bookmarkEnd w:id="61"/>
      <w:bookmarkEnd w:id="62"/>
      <w:bookmarkEnd w:id="63"/>
      <w:r>
        <w:t xml:space="preserve"> </w:t>
      </w:r>
    </w:p>
    <w:p w14:paraId="6A9DF096" w14:textId="665F60EA" w:rsidR="00882A4F" w:rsidRDefault="00882A4F" w:rsidP="00882A4F">
      <w:r>
        <w:t>Some NFP organisations, including around half of all registered charities, are eligible for deductible gift recipient (DGR) status. This entitles donors to claim a tax deduction for any eligible gifts they make to such organisations</w:t>
      </w:r>
      <w:r w:rsidR="00334D76">
        <w:t xml:space="preserve">. </w:t>
      </w:r>
    </w:p>
    <w:p w14:paraId="24529831" w14:textId="292C394D" w:rsidR="00026FCF" w:rsidRDefault="00026FCF" w:rsidP="00882A4F">
      <w:r>
        <w:t>Organisations that seek DGR status generally apply to the ATO for endorsement as a DGR. However, in the areas of foreign aid, environment, culture and harm prevention, organisations must apply to the relevant department and seek the approval</w:t>
      </w:r>
      <w:r w:rsidR="00165D75">
        <w:t xml:space="preserve"> of the Minister</w:t>
      </w:r>
      <w:r>
        <w:t xml:space="preserve"> as well as the Treasurer.</w:t>
      </w:r>
      <w:r w:rsidR="00226670">
        <w:t xml:space="preserve"> </w:t>
      </w:r>
      <w:r w:rsidR="00684767">
        <w:t>I</w:t>
      </w:r>
      <w:r w:rsidR="00226670">
        <w:t>n exceptional cases</w:t>
      </w:r>
      <w:r w:rsidR="00684767">
        <w:t>,</w:t>
      </w:r>
      <w:r w:rsidR="00226670">
        <w:t xml:space="preserve"> organisations </w:t>
      </w:r>
      <w:r w:rsidR="00684767">
        <w:t xml:space="preserve">are </w:t>
      </w:r>
      <w:r w:rsidR="00226670">
        <w:t>specifically listed in the tax legislation.</w:t>
      </w:r>
    </w:p>
    <w:p w14:paraId="0DFFDABC" w14:textId="77777777" w:rsidR="00B345F3" w:rsidRDefault="00B345F3">
      <w:pPr>
        <w:spacing w:after="0" w:line="240" w:lineRule="auto"/>
      </w:pPr>
      <w:r>
        <w:br w:type="page"/>
      </w:r>
    </w:p>
    <w:p w14:paraId="66CA30FF" w14:textId="591B974E" w:rsidR="00F062F8" w:rsidRDefault="00882A4F" w:rsidP="00882A4F">
      <w:r>
        <w:lastRenderedPageBreak/>
        <w:t xml:space="preserve">While DGR status is highly valued, the process for applying for </w:t>
      </w:r>
      <w:r w:rsidR="0084171D">
        <w:t>it</w:t>
      </w:r>
      <w:r>
        <w:t xml:space="preserve"> can be time consuming. In addition, organisations that operate across a range of DGR categories may not be eligible to be endorsed under a single category. This may require them to restructure, seek specific listing by name in the</w:t>
      </w:r>
      <w:r w:rsidR="00E35E52">
        <w:t xml:space="preserve"> </w:t>
      </w:r>
      <w:r w:rsidR="00E35E52">
        <w:rPr>
          <w:i/>
        </w:rPr>
        <w:t>Income Tax Assessment Act 1997</w:t>
      </w:r>
      <w:r>
        <w:t xml:space="preserve">, or forgo DGR status altogether. There are also different requirements for DGR status across the different general </w:t>
      </w:r>
      <w:proofErr w:type="gramStart"/>
      <w:r w:rsidR="00016BD0">
        <w:t>categories</w:t>
      </w:r>
      <w:r w:rsidR="002E0914">
        <w:t>,</w:t>
      </w:r>
      <w:r w:rsidR="00016BD0">
        <w:t xml:space="preserve"> which create</w:t>
      </w:r>
      <w:r w:rsidR="002E0914">
        <w:t>s</w:t>
      </w:r>
      <w:proofErr w:type="gramEnd"/>
      <w:r>
        <w:t xml:space="preserve"> further complexity.</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645953" w14:paraId="4A4176A2" w14:textId="77777777" w:rsidTr="00C16353">
        <w:tc>
          <w:tcPr>
            <w:tcW w:w="9384" w:type="dxa"/>
          </w:tcPr>
          <w:p w14:paraId="3B788432" w14:textId="515ED555" w:rsidR="00645953" w:rsidRPr="00DB3915" w:rsidRDefault="00645953" w:rsidP="00C16353">
            <w:pPr>
              <w:pStyle w:val="Questionheading"/>
              <w:ind w:right="113"/>
            </w:pPr>
            <w:r w:rsidRPr="00DB3915">
              <w:t xml:space="preserve">Discussion questions: </w:t>
            </w:r>
          </w:p>
          <w:p w14:paraId="1974543F" w14:textId="6123A8EC" w:rsidR="00645953" w:rsidRDefault="00645953" w:rsidP="00964497">
            <w:pPr>
              <w:pStyle w:val="Questiontext"/>
            </w:pPr>
            <w:r w:rsidRPr="0032095B">
              <w:t xml:space="preserve">Are the current tax arrangements for the NFP </w:t>
            </w:r>
            <w:r w:rsidRPr="00645953">
              <w:t>sector</w:t>
            </w:r>
            <w:r w:rsidRPr="0032095B">
              <w:t xml:space="preserve"> appropriate? Why or why not?</w:t>
            </w:r>
          </w:p>
          <w:p w14:paraId="771B7AB3" w14:textId="454580FF" w:rsidR="00645953" w:rsidRDefault="00645953" w:rsidP="00645953">
            <w:pPr>
              <w:pStyle w:val="Questiontext"/>
            </w:pPr>
            <w:r>
              <w:t>To what extent d</w:t>
            </w:r>
            <w:r w:rsidRPr="00813F9E">
              <w:t>o the tax arrangements for the NFP sector raise particular concerns about competitive advantage compare</w:t>
            </w:r>
            <w:r>
              <w:t>d to the tax arrangements for for</w:t>
            </w:r>
            <w:r w:rsidR="00D77F97">
              <w:noBreakHyphen/>
            </w:r>
            <w:r w:rsidRPr="00813F9E">
              <w:t>profit organisations?</w:t>
            </w:r>
          </w:p>
          <w:p w14:paraId="39CE9908" w14:textId="12886B52" w:rsidR="00645953" w:rsidRDefault="00645953" w:rsidP="00645953">
            <w:pPr>
              <w:pStyle w:val="Questiontext"/>
            </w:pPr>
            <w:bookmarkStart w:id="64" w:name="_Toc404157745"/>
            <w:r>
              <w:t>What, if any,</w:t>
            </w:r>
            <w:r w:rsidRPr="00813F9E">
              <w:t xml:space="preserve"> administrative arrangements could be simplified that would result in similar outcomes</w:t>
            </w:r>
            <w:r w:rsidR="002E0914">
              <w:t>,</w:t>
            </w:r>
            <w:r w:rsidRPr="00813F9E">
              <w:t xml:space="preserve"> but with reduced compliance costs?</w:t>
            </w:r>
            <w:bookmarkEnd w:id="64"/>
          </w:p>
          <w:p w14:paraId="1ED0C5D0" w14:textId="65700C19" w:rsidR="00645953" w:rsidRDefault="00645953" w:rsidP="00645953">
            <w:pPr>
              <w:pStyle w:val="Questiontext"/>
            </w:pPr>
            <w:r>
              <w:t xml:space="preserve">What, if any, changes could be made to the current tax arrangements for the NFP sector that would </w:t>
            </w:r>
            <w:r w:rsidRPr="002B37B7">
              <w:t>enable</w:t>
            </w:r>
            <w:r>
              <w:t xml:space="preserve"> the sector to deliver benefits to the Australian community more efficiently or effectively?</w:t>
            </w:r>
          </w:p>
        </w:tc>
      </w:tr>
    </w:tbl>
    <w:p w14:paraId="66A7C943" w14:textId="77777777" w:rsidR="00645953" w:rsidRPr="00F362A1" w:rsidRDefault="00645953" w:rsidP="00F362A1"/>
    <w:p w14:paraId="785F7051" w14:textId="77777777" w:rsidR="008C6EE6" w:rsidRPr="00F362A1" w:rsidRDefault="008C6EE6" w:rsidP="00F362A1"/>
    <w:p w14:paraId="26726E37" w14:textId="0E5D5490" w:rsidR="00F362A1" w:rsidRDefault="00F362A1" w:rsidP="00F362A1"/>
    <w:bookmarkEnd w:id="4"/>
    <w:p w14:paraId="58CB34A3" w14:textId="77777777" w:rsidR="00C6239B" w:rsidRDefault="00C6239B" w:rsidP="00F362A1">
      <w:pPr>
        <w:sectPr w:rsidR="00C6239B" w:rsidSect="00C6239B">
          <w:headerReference w:type="even" r:id="rId19"/>
          <w:headerReference w:type="default" r:id="rId20"/>
          <w:footerReference w:type="even" r:id="rId21"/>
          <w:footerReference w:type="default" r:id="rId22"/>
          <w:headerReference w:type="first" r:id="rId23"/>
          <w:footerReference w:type="first" r:id="rId24"/>
          <w:footnotePr>
            <w:numStart w:val="141"/>
          </w:footnotePr>
          <w:type w:val="continuous"/>
          <w:pgSz w:w="11906" w:h="16838" w:code="9"/>
          <w:pgMar w:top="1418" w:right="1418" w:bottom="1418" w:left="1418" w:header="709" w:footer="709" w:gutter="0"/>
          <w:pgNumType w:start="121"/>
          <w:cols w:space="708"/>
          <w:titlePg/>
          <w:docGrid w:linePitch="360"/>
        </w:sectPr>
      </w:pPr>
    </w:p>
    <w:p w14:paraId="3A6F21CC" w14:textId="30EB954B" w:rsidR="00C32D91" w:rsidRDefault="00C32D91" w:rsidP="00F362A1"/>
    <w:p w14:paraId="568F0311" w14:textId="77777777" w:rsidR="00C6239B" w:rsidRPr="00F362A1" w:rsidRDefault="00C6239B" w:rsidP="00F362A1"/>
    <w:sectPr w:rsidR="00C6239B" w:rsidRPr="00F362A1" w:rsidSect="00C6239B">
      <w:headerReference w:type="first" r:id="rId25"/>
      <w:footerReference w:type="first" r:id="rId26"/>
      <w:footnotePr>
        <w:numStart w:val="141"/>
      </w:footnotePr>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DBB3D" w14:textId="77777777" w:rsidR="00883569" w:rsidRDefault="00883569">
      <w:r>
        <w:separator/>
      </w:r>
    </w:p>
  </w:endnote>
  <w:endnote w:type="continuationSeparator" w:id="0">
    <w:p w14:paraId="6CD484FF" w14:textId="77777777" w:rsidR="00883569" w:rsidRDefault="00883569">
      <w:r>
        <w:continuationSeparator/>
      </w:r>
    </w:p>
  </w:endnote>
  <w:endnote w:type="continuationNotice" w:id="1">
    <w:p w14:paraId="67DC9126" w14:textId="77777777" w:rsidR="00883569" w:rsidRDefault="008835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83569" w14:paraId="696A777A" w14:textId="77777777" w:rsidTr="00C16353">
      <w:tc>
        <w:tcPr>
          <w:tcW w:w="4643" w:type="dxa"/>
          <w:vAlign w:val="bottom"/>
        </w:tcPr>
        <w:p w14:paraId="2F523F4C" w14:textId="1CB83ACF" w:rsidR="00883569" w:rsidRDefault="00883569" w:rsidP="00C16353">
          <w:pPr>
            <w:pStyle w:val="FooterOdd"/>
          </w:pPr>
          <w:r w:rsidRPr="000217EE">
            <w:fldChar w:fldCharType="begin"/>
          </w:r>
          <w:r w:rsidRPr="000217EE">
            <w:instrText xml:space="preserve"> PAGE   \* MERGEFORMAT </w:instrText>
          </w:r>
          <w:r w:rsidRPr="000217EE">
            <w:fldChar w:fldCharType="separate"/>
          </w:r>
          <w:r w:rsidR="000B4774">
            <w:rPr>
              <w:noProof/>
            </w:rPr>
            <w:t>122</w:t>
          </w:r>
          <w:r w:rsidRPr="000217EE">
            <w:fldChar w:fldCharType="end"/>
          </w:r>
        </w:p>
      </w:tc>
      <w:tc>
        <w:tcPr>
          <w:tcW w:w="4643" w:type="dxa"/>
          <w:vAlign w:val="bottom"/>
        </w:tcPr>
        <w:p w14:paraId="0153081A" w14:textId="19138F48" w:rsidR="00883569" w:rsidRDefault="00D66999" w:rsidP="00C16353">
          <w:pPr>
            <w:pStyle w:val="FooterOdd"/>
            <w:jc w:val="right"/>
          </w:pPr>
          <w:r>
            <w:rPr>
              <w:noProof/>
            </w:rPr>
            <w:drawing>
              <wp:inline distT="0" distB="0" distL="0" distR="0" wp14:anchorId="1E6C69AB" wp14:editId="401E748D">
                <wp:extent cx="1008000" cy="287658"/>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2E5CE8DA" w14:textId="77777777" w:rsidR="00883569" w:rsidRPr="00C6239B" w:rsidRDefault="00883569">
    <w:pPr>
      <w:pStyle w:val="Foote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83569" w14:paraId="36ED3640" w14:textId="77777777" w:rsidTr="00C16353">
      <w:tc>
        <w:tcPr>
          <w:tcW w:w="4643" w:type="dxa"/>
          <w:vAlign w:val="bottom"/>
        </w:tcPr>
        <w:p w14:paraId="608D329C" w14:textId="6116DBE8" w:rsidR="00883569" w:rsidRDefault="00D66999" w:rsidP="00C16353">
          <w:pPr>
            <w:pStyle w:val="FooterOdd"/>
          </w:pPr>
          <w:r>
            <w:rPr>
              <w:noProof/>
            </w:rPr>
            <w:drawing>
              <wp:inline distT="0" distB="0" distL="0" distR="0" wp14:anchorId="44FF33B7" wp14:editId="0D6FC48E">
                <wp:extent cx="1008000" cy="28765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23DB80E9" w14:textId="77777777" w:rsidR="00883569" w:rsidRDefault="00883569" w:rsidP="00C16353">
          <w:pPr>
            <w:pStyle w:val="FooterOdd"/>
            <w:jc w:val="right"/>
          </w:pPr>
          <w:r w:rsidRPr="000217EE">
            <w:fldChar w:fldCharType="begin"/>
          </w:r>
          <w:r w:rsidRPr="000217EE">
            <w:instrText xml:space="preserve"> PAGE   \* MERGEFORMAT </w:instrText>
          </w:r>
          <w:r w:rsidRPr="000217EE">
            <w:fldChar w:fldCharType="separate"/>
          </w:r>
          <w:r w:rsidR="000B4774">
            <w:rPr>
              <w:noProof/>
            </w:rPr>
            <w:t>127</w:t>
          </w:r>
          <w:r w:rsidRPr="000217EE">
            <w:fldChar w:fldCharType="end"/>
          </w:r>
        </w:p>
      </w:tc>
    </w:tr>
  </w:tbl>
  <w:p w14:paraId="3E792C48" w14:textId="77777777" w:rsidR="00883569" w:rsidRPr="00C6239B" w:rsidRDefault="00883569">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83569" w14:paraId="41B1C394" w14:textId="77777777" w:rsidTr="00C16353">
      <w:tc>
        <w:tcPr>
          <w:tcW w:w="4643" w:type="dxa"/>
          <w:vAlign w:val="bottom"/>
        </w:tcPr>
        <w:p w14:paraId="15E0EB80" w14:textId="4D16BF88" w:rsidR="00883569" w:rsidRDefault="00D66999" w:rsidP="00C16353">
          <w:pPr>
            <w:pStyle w:val="FooterOdd"/>
          </w:pPr>
          <w:r>
            <w:rPr>
              <w:noProof/>
            </w:rPr>
            <w:drawing>
              <wp:inline distT="0" distB="0" distL="0" distR="0" wp14:anchorId="7CBE9BB2" wp14:editId="4FDF424A">
                <wp:extent cx="1008000" cy="287658"/>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70B743D2" w14:textId="77777777" w:rsidR="00883569" w:rsidRDefault="00883569" w:rsidP="00C16353">
          <w:pPr>
            <w:pStyle w:val="FooterOdd"/>
            <w:jc w:val="right"/>
          </w:pPr>
          <w:r w:rsidRPr="000217EE">
            <w:fldChar w:fldCharType="begin"/>
          </w:r>
          <w:r w:rsidRPr="000217EE">
            <w:instrText xml:space="preserve"> PAGE   \* MERGEFORMAT </w:instrText>
          </w:r>
          <w:r w:rsidRPr="000217EE">
            <w:fldChar w:fldCharType="separate"/>
          </w:r>
          <w:r w:rsidR="000B4774">
            <w:rPr>
              <w:noProof/>
            </w:rPr>
            <w:t>121</w:t>
          </w:r>
          <w:r w:rsidRPr="000217EE">
            <w:fldChar w:fldCharType="end"/>
          </w:r>
        </w:p>
      </w:tc>
    </w:tr>
  </w:tbl>
  <w:p w14:paraId="1D968C47" w14:textId="0D85EDD9" w:rsidR="00883569" w:rsidRPr="00C6239B" w:rsidRDefault="00883569" w:rsidP="00B345F3">
    <w:pPr>
      <w:pStyle w:val="Foote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F4D17" w14:textId="77777777" w:rsidR="00883569" w:rsidRPr="00B345F3" w:rsidRDefault="00883569" w:rsidP="00B345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173AB0" w14:textId="77777777" w:rsidR="00883569" w:rsidRDefault="00883569" w:rsidP="00F34D75">
      <w:pPr>
        <w:spacing w:after="60"/>
      </w:pPr>
      <w:r>
        <w:separator/>
      </w:r>
    </w:p>
  </w:footnote>
  <w:footnote w:type="continuationSeparator" w:id="0">
    <w:p w14:paraId="4FCE9659" w14:textId="77777777" w:rsidR="00883569" w:rsidRDefault="00883569">
      <w:r>
        <w:continuationSeparator/>
      </w:r>
    </w:p>
  </w:footnote>
  <w:footnote w:type="continuationNotice" w:id="1">
    <w:p w14:paraId="6E41244F" w14:textId="77777777" w:rsidR="00883569" w:rsidRDefault="00883569">
      <w:pPr>
        <w:spacing w:after="0"/>
      </w:pPr>
    </w:p>
  </w:footnote>
  <w:footnote w:id="2">
    <w:p w14:paraId="06158877" w14:textId="5C48CB0F" w:rsidR="00883569" w:rsidRPr="00051692" w:rsidRDefault="00D77F97" w:rsidP="00051692">
      <w:pPr>
        <w:pStyle w:val="FootnoteText"/>
      </w:pPr>
      <w:r w:rsidRPr="00D77F97">
        <w:rPr>
          <w:rStyle w:val="FootnoteReference"/>
          <w:vertAlign w:val="baseline"/>
        </w:rPr>
        <w:footnoteRef/>
      </w:r>
      <w:r w:rsidR="00883569" w:rsidRPr="00051692">
        <w:rPr>
          <w:rStyle w:val="FootnoteReference"/>
          <w:vertAlign w:val="baseline"/>
        </w:rPr>
        <w:t xml:space="preserve"> </w:t>
      </w:r>
      <w:r w:rsidR="00883569" w:rsidRPr="00051692">
        <w:tab/>
        <w:t>Australian Charities and Not</w:t>
      </w:r>
      <w:r>
        <w:noBreakHyphen/>
      </w:r>
      <w:r w:rsidR="00883569">
        <w:t>F</w:t>
      </w:r>
      <w:r w:rsidR="00883569" w:rsidRPr="00051692">
        <w:t>or</w:t>
      </w:r>
      <w:r>
        <w:noBreakHyphen/>
      </w:r>
      <w:r w:rsidR="00883569">
        <w:t>P</w:t>
      </w:r>
      <w:r w:rsidR="00883569" w:rsidRPr="00051692">
        <w:t xml:space="preserve">rofits Commission 2014, </w:t>
      </w:r>
      <w:r w:rsidR="00883569" w:rsidRPr="00B41559">
        <w:rPr>
          <w:i/>
        </w:rPr>
        <w:t>Homepage</w:t>
      </w:r>
      <w:r w:rsidR="00883569" w:rsidRPr="00051692">
        <w:t xml:space="preserve">, viewed 1 December 2014: </w:t>
      </w:r>
      <w:hyperlink r:id="rId1" w:history="1">
        <w:r w:rsidR="00883569" w:rsidRPr="002F3190">
          <w:rPr>
            <w:rStyle w:val="Hyperlink"/>
          </w:rPr>
          <w:t>http://acnc.gov.au/</w:t>
        </w:r>
      </w:hyperlink>
      <w:r>
        <w:rPr>
          <w:rStyle w:val="Hyperlink"/>
        </w:rPr>
        <w:t>.</w:t>
      </w:r>
      <w:r w:rsidR="00883569">
        <w:t xml:space="preserve"> </w:t>
      </w:r>
    </w:p>
  </w:footnote>
  <w:footnote w:id="3">
    <w:p w14:paraId="00655E79" w14:textId="6C90F9F7" w:rsidR="00883569" w:rsidRPr="00051692" w:rsidRDefault="00D77F97" w:rsidP="00051692">
      <w:pPr>
        <w:pStyle w:val="FootnoteText"/>
      </w:pPr>
      <w:r w:rsidRPr="00D77F97">
        <w:rPr>
          <w:rStyle w:val="FootnoteReference"/>
          <w:vertAlign w:val="baseline"/>
        </w:rPr>
        <w:footnoteRef/>
      </w:r>
      <w:r w:rsidR="00883569">
        <w:t xml:space="preserve"> </w:t>
      </w:r>
      <w:r w:rsidR="00883569">
        <w:tab/>
        <w:t>Economically significant NFPs</w:t>
      </w:r>
      <w:r w:rsidR="00883569" w:rsidRPr="00051692">
        <w:t xml:space="preserve"> are defined as organisations registered with the ATO </w:t>
      </w:r>
      <w:r w:rsidR="00883569">
        <w:t>with</w:t>
      </w:r>
      <w:r w:rsidR="00883569" w:rsidRPr="00051692">
        <w:t xml:space="preserve"> an ABN and classified to either the non</w:t>
      </w:r>
      <w:r>
        <w:noBreakHyphen/>
      </w:r>
      <w:r w:rsidR="00883569" w:rsidRPr="00051692">
        <w:t>financial corporations sector or the non</w:t>
      </w:r>
      <w:r>
        <w:noBreakHyphen/>
      </w:r>
      <w:r w:rsidR="00883569" w:rsidRPr="00051692">
        <w:t>profit institutions serving households sector in the national accounts.</w:t>
      </w:r>
    </w:p>
  </w:footnote>
  <w:footnote w:id="4">
    <w:p w14:paraId="40E41AD6" w14:textId="616AAF08" w:rsidR="00883569" w:rsidRPr="00051692" w:rsidRDefault="00D77F97" w:rsidP="00051692">
      <w:pPr>
        <w:pStyle w:val="FootnoteText"/>
      </w:pPr>
      <w:r w:rsidRPr="00D77F97">
        <w:rPr>
          <w:rStyle w:val="FootnoteReference"/>
          <w:vertAlign w:val="baseline"/>
        </w:rPr>
        <w:footnoteRef/>
      </w:r>
      <w:r w:rsidR="00883569" w:rsidRPr="00051692">
        <w:rPr>
          <w:rStyle w:val="FootnoteReference"/>
          <w:vertAlign w:val="baseline"/>
        </w:rPr>
        <w:t xml:space="preserve"> </w:t>
      </w:r>
      <w:r w:rsidR="00883569" w:rsidRPr="00051692">
        <w:tab/>
      </w:r>
      <w:r w:rsidR="00883569" w:rsidRPr="00051692">
        <w:rPr>
          <w:rStyle w:val="FootnoteReference"/>
          <w:vertAlign w:val="baseline"/>
        </w:rPr>
        <w:t>A</w:t>
      </w:r>
      <w:proofErr w:type="gramStart"/>
      <w:r w:rsidR="00883569" w:rsidRPr="00051692">
        <w:t>BS</w:t>
      </w:r>
      <w:r w:rsidR="00883569" w:rsidRPr="00051692">
        <w:rPr>
          <w:rStyle w:val="FootnoteReference"/>
          <w:vertAlign w:val="baseline"/>
        </w:rPr>
        <w:t xml:space="preserve"> 2014, </w:t>
      </w:r>
      <w:r w:rsidR="00883569" w:rsidRPr="00B41559">
        <w:rPr>
          <w:rStyle w:val="FootnoteReference"/>
          <w:i/>
          <w:vertAlign w:val="baseline"/>
        </w:rPr>
        <w:t>Australian National Accounts: Non</w:t>
      </w:r>
      <w:r>
        <w:rPr>
          <w:rStyle w:val="FootnoteReference"/>
          <w:i/>
          <w:vertAlign w:val="baseline"/>
        </w:rPr>
        <w:noBreakHyphen/>
      </w:r>
      <w:r w:rsidR="00883569" w:rsidRPr="00B41559">
        <w:rPr>
          <w:rStyle w:val="FootnoteReference"/>
          <w:i/>
          <w:vertAlign w:val="baseline"/>
        </w:rPr>
        <w:t>Profit Institutions Satellite Account, 2012</w:t>
      </w:r>
      <w:r>
        <w:rPr>
          <w:rStyle w:val="FootnoteReference"/>
          <w:i/>
          <w:vertAlign w:val="baseline"/>
        </w:rPr>
        <w:noBreakHyphen/>
      </w:r>
      <w:r w:rsidR="00883569" w:rsidRPr="00B41559">
        <w:rPr>
          <w:rStyle w:val="FootnoteReference"/>
          <w:i/>
          <w:vertAlign w:val="baseline"/>
        </w:rPr>
        <w:t>13</w:t>
      </w:r>
      <w:r w:rsidR="00883569" w:rsidRPr="00051692">
        <w:rPr>
          <w:rStyle w:val="FootnoteReference"/>
          <w:vertAlign w:val="baseline"/>
        </w:rPr>
        <w:t>, ca</w:t>
      </w:r>
      <w:r w:rsidR="00883569" w:rsidRPr="00051692">
        <w:t>t. no.</w:t>
      </w:r>
      <w:proofErr w:type="gramEnd"/>
      <w:r w:rsidR="00883569" w:rsidRPr="00051692">
        <w:t> </w:t>
      </w:r>
      <w:r w:rsidR="00883569" w:rsidRPr="00051692">
        <w:rPr>
          <w:rStyle w:val="FootnoteReference"/>
          <w:vertAlign w:val="baseline"/>
        </w:rPr>
        <w:t>5256.0, A</w:t>
      </w:r>
      <w:proofErr w:type="gramStart"/>
      <w:r w:rsidR="00883569" w:rsidRPr="00051692">
        <w:t>BS</w:t>
      </w:r>
      <w:r w:rsidR="00883569" w:rsidRPr="00051692">
        <w:rPr>
          <w:rStyle w:val="FootnoteReference"/>
          <w:vertAlign w:val="baseline"/>
        </w:rPr>
        <w:t>, Canberra</w:t>
      </w:r>
      <w:r w:rsidR="00883569" w:rsidRPr="00051692">
        <w:t>.</w:t>
      </w:r>
      <w:proofErr w:type="gramEnd"/>
    </w:p>
  </w:footnote>
  <w:footnote w:id="5">
    <w:p w14:paraId="290C323E" w14:textId="00D16F8D" w:rsidR="00883569" w:rsidRPr="00051692" w:rsidRDefault="00D77F97" w:rsidP="00051692">
      <w:pPr>
        <w:pStyle w:val="FootnoteText"/>
      </w:pPr>
      <w:r w:rsidRPr="00D77F97">
        <w:rPr>
          <w:rStyle w:val="FootnoteReference"/>
          <w:vertAlign w:val="baseline"/>
        </w:rPr>
        <w:footnoteRef/>
      </w:r>
      <w:r w:rsidR="00883569" w:rsidRPr="00051692">
        <w:t xml:space="preserve"> </w:t>
      </w:r>
      <w:r w:rsidR="00883569" w:rsidRPr="00051692">
        <w:tab/>
      </w:r>
      <w:r w:rsidR="00883569" w:rsidRPr="00051692">
        <w:rPr>
          <w:rStyle w:val="FootnoteReference"/>
          <w:vertAlign w:val="baseline"/>
        </w:rPr>
        <w:t>A</w:t>
      </w:r>
      <w:proofErr w:type="gramStart"/>
      <w:r w:rsidR="00883569" w:rsidRPr="00051692">
        <w:t>BS</w:t>
      </w:r>
      <w:r w:rsidR="00883569" w:rsidRPr="00051692">
        <w:rPr>
          <w:rStyle w:val="FootnoteReference"/>
          <w:vertAlign w:val="baseline"/>
        </w:rPr>
        <w:t xml:space="preserve"> 2014, </w:t>
      </w:r>
      <w:r w:rsidR="00883569" w:rsidRPr="00B41559">
        <w:rPr>
          <w:rStyle w:val="FootnoteReference"/>
          <w:i/>
          <w:vertAlign w:val="baseline"/>
        </w:rPr>
        <w:t>Australian National Accounts: Non</w:t>
      </w:r>
      <w:r>
        <w:rPr>
          <w:rStyle w:val="FootnoteReference"/>
          <w:i/>
          <w:vertAlign w:val="baseline"/>
        </w:rPr>
        <w:noBreakHyphen/>
      </w:r>
      <w:r w:rsidR="00883569" w:rsidRPr="00B41559">
        <w:rPr>
          <w:rStyle w:val="FootnoteReference"/>
          <w:i/>
          <w:vertAlign w:val="baseline"/>
        </w:rPr>
        <w:t>Profit Institutions Satellite Account, 2012</w:t>
      </w:r>
      <w:r>
        <w:rPr>
          <w:rStyle w:val="FootnoteReference"/>
          <w:i/>
          <w:vertAlign w:val="baseline"/>
        </w:rPr>
        <w:noBreakHyphen/>
      </w:r>
      <w:r w:rsidR="00883569" w:rsidRPr="00B41559">
        <w:rPr>
          <w:rStyle w:val="FootnoteReference"/>
          <w:i/>
          <w:vertAlign w:val="baseline"/>
        </w:rPr>
        <w:t>13</w:t>
      </w:r>
      <w:r w:rsidR="00883569" w:rsidRPr="00051692">
        <w:rPr>
          <w:rStyle w:val="FootnoteReference"/>
          <w:vertAlign w:val="baseline"/>
        </w:rPr>
        <w:t>, c</w:t>
      </w:r>
      <w:r w:rsidR="00883569" w:rsidRPr="00051692">
        <w:t>at.</w:t>
      </w:r>
      <w:proofErr w:type="gramEnd"/>
      <w:r w:rsidR="00883569" w:rsidRPr="00051692">
        <w:t> </w:t>
      </w:r>
      <w:proofErr w:type="gramStart"/>
      <w:r w:rsidR="00883569" w:rsidRPr="00051692">
        <w:t>no</w:t>
      </w:r>
      <w:proofErr w:type="gramEnd"/>
      <w:r w:rsidR="00883569" w:rsidRPr="00051692">
        <w:t>. </w:t>
      </w:r>
      <w:r w:rsidR="00883569" w:rsidRPr="00051692">
        <w:rPr>
          <w:rStyle w:val="FootnoteReference"/>
          <w:vertAlign w:val="baseline"/>
        </w:rPr>
        <w:t>5256.0, A</w:t>
      </w:r>
      <w:proofErr w:type="gramStart"/>
      <w:r w:rsidR="00883569" w:rsidRPr="00051692">
        <w:t>BS</w:t>
      </w:r>
      <w:r w:rsidR="00883569" w:rsidRPr="00051692">
        <w:rPr>
          <w:rStyle w:val="FootnoteReference"/>
          <w:vertAlign w:val="baseline"/>
        </w:rPr>
        <w:t>, Canberra</w:t>
      </w:r>
      <w:r w:rsidR="00883569" w:rsidRPr="00051692">
        <w:t>.</w:t>
      </w:r>
      <w:proofErr w:type="gramEnd"/>
    </w:p>
  </w:footnote>
  <w:footnote w:id="6">
    <w:p w14:paraId="53BA0F5B" w14:textId="61A5A723" w:rsidR="00883569" w:rsidRPr="00051692" w:rsidRDefault="00D77F97" w:rsidP="00051692">
      <w:pPr>
        <w:pStyle w:val="FootnoteText"/>
      </w:pPr>
      <w:r w:rsidRPr="00D77F97">
        <w:rPr>
          <w:rStyle w:val="FootnoteReference"/>
          <w:vertAlign w:val="baseline"/>
        </w:rPr>
        <w:footnoteRef/>
      </w:r>
      <w:r w:rsidR="00883569" w:rsidRPr="00051692">
        <w:tab/>
      </w:r>
      <w:proofErr w:type="gramStart"/>
      <w:r w:rsidR="00883569" w:rsidRPr="00051692">
        <w:t>ABS</w:t>
      </w:r>
      <w:r w:rsidR="00883569" w:rsidRPr="00051692">
        <w:rPr>
          <w:rStyle w:val="FootnoteReference"/>
          <w:vertAlign w:val="baseline"/>
        </w:rPr>
        <w:t xml:space="preserve"> 2014, </w:t>
      </w:r>
      <w:r w:rsidR="00883569" w:rsidRPr="00B41559">
        <w:rPr>
          <w:rStyle w:val="FootnoteReference"/>
          <w:i/>
          <w:vertAlign w:val="baseline"/>
        </w:rPr>
        <w:t>Australian National Accounts: Non</w:t>
      </w:r>
      <w:r>
        <w:rPr>
          <w:rStyle w:val="FootnoteReference"/>
          <w:i/>
          <w:vertAlign w:val="baseline"/>
        </w:rPr>
        <w:noBreakHyphen/>
      </w:r>
      <w:r w:rsidR="00883569" w:rsidRPr="00B41559">
        <w:rPr>
          <w:rStyle w:val="FootnoteReference"/>
          <w:i/>
          <w:vertAlign w:val="baseline"/>
        </w:rPr>
        <w:t>Profit Institutions Satellite Account, 2012</w:t>
      </w:r>
      <w:r>
        <w:rPr>
          <w:rStyle w:val="FootnoteReference"/>
          <w:i/>
          <w:vertAlign w:val="baseline"/>
        </w:rPr>
        <w:noBreakHyphen/>
      </w:r>
      <w:r w:rsidR="00883569" w:rsidRPr="00B41559">
        <w:rPr>
          <w:rStyle w:val="FootnoteReference"/>
          <w:i/>
          <w:vertAlign w:val="baseline"/>
        </w:rPr>
        <w:t>13</w:t>
      </w:r>
      <w:r w:rsidR="00883569" w:rsidRPr="00051692">
        <w:rPr>
          <w:rStyle w:val="FootnoteReference"/>
          <w:vertAlign w:val="baseline"/>
        </w:rPr>
        <w:t>, c</w:t>
      </w:r>
      <w:r w:rsidR="00883569" w:rsidRPr="00051692">
        <w:t>at.</w:t>
      </w:r>
      <w:proofErr w:type="gramEnd"/>
      <w:r w:rsidR="00883569" w:rsidRPr="00051692">
        <w:t> </w:t>
      </w:r>
      <w:proofErr w:type="gramStart"/>
      <w:r w:rsidR="00883569" w:rsidRPr="00051692">
        <w:t>no</w:t>
      </w:r>
      <w:proofErr w:type="gramEnd"/>
      <w:r w:rsidR="00883569" w:rsidRPr="00051692">
        <w:t>. </w:t>
      </w:r>
      <w:r w:rsidR="00883569" w:rsidRPr="00051692">
        <w:rPr>
          <w:rStyle w:val="FootnoteReference"/>
          <w:vertAlign w:val="baseline"/>
        </w:rPr>
        <w:t>5256.0, A</w:t>
      </w:r>
      <w:proofErr w:type="gramStart"/>
      <w:r w:rsidR="00883569" w:rsidRPr="00051692">
        <w:t>BS</w:t>
      </w:r>
      <w:r w:rsidR="00883569" w:rsidRPr="00051692">
        <w:rPr>
          <w:rStyle w:val="FootnoteReference"/>
          <w:vertAlign w:val="baseline"/>
        </w:rPr>
        <w:t>, Canberra</w:t>
      </w:r>
      <w:r w:rsidR="00883569" w:rsidRPr="00051692">
        <w:t>.</w:t>
      </w:r>
      <w:proofErr w:type="gramEnd"/>
    </w:p>
  </w:footnote>
  <w:footnote w:id="7">
    <w:p w14:paraId="37AB2C5D" w14:textId="746BB964" w:rsidR="00883569" w:rsidRDefault="00D77F97">
      <w:pPr>
        <w:pStyle w:val="FootnoteText"/>
      </w:pPr>
      <w:r w:rsidRPr="00D77F97">
        <w:rPr>
          <w:rStyle w:val="FootnoteReference"/>
          <w:vertAlign w:val="baseline"/>
        </w:rPr>
        <w:footnoteRef/>
      </w:r>
      <w:r w:rsidR="00883569" w:rsidRPr="002B7F0E">
        <w:t xml:space="preserve"> </w:t>
      </w:r>
      <w:r w:rsidR="00883569" w:rsidRPr="002B7F0E">
        <w:tab/>
        <w:t xml:space="preserve">As defined by the </w:t>
      </w:r>
      <w:r w:rsidR="00883569">
        <w:t>ABS</w:t>
      </w:r>
      <w:r w:rsidR="00883569" w:rsidRPr="002B7F0E">
        <w:t xml:space="preserve">, </w:t>
      </w:r>
      <w:r>
        <w:t>‘</w:t>
      </w:r>
      <w:r w:rsidR="00883569" w:rsidRPr="002B7F0E">
        <w:t>gross value added</w:t>
      </w:r>
      <w:r>
        <w:t>’</w:t>
      </w:r>
      <w:r w:rsidR="00883569" w:rsidRPr="002B7F0E">
        <w:t xml:space="preserve"> represents the total market value of goods and services produced in Australia within a given period after deducting the cost of goods and services used in the process of production.</w:t>
      </w:r>
      <w:r w:rsidR="00883569" w:rsidRPr="00670F8E">
        <w:t xml:space="preserve"> </w:t>
      </w:r>
    </w:p>
  </w:footnote>
  <w:footnote w:id="8">
    <w:p w14:paraId="556F111E" w14:textId="227C6530" w:rsidR="00883569" w:rsidRPr="00051692" w:rsidRDefault="00D77F97" w:rsidP="00051692">
      <w:pPr>
        <w:pStyle w:val="FootnoteText"/>
      </w:pPr>
      <w:r w:rsidRPr="00D77F97">
        <w:rPr>
          <w:rStyle w:val="FootnoteReference"/>
          <w:vertAlign w:val="baseline"/>
        </w:rPr>
        <w:footnoteRef/>
      </w:r>
      <w:r w:rsidR="00883569" w:rsidRPr="00051692">
        <w:t xml:space="preserve"> </w:t>
      </w:r>
      <w:r w:rsidR="00883569" w:rsidRPr="00051692">
        <w:tab/>
        <w:t xml:space="preserve">State and territory taxes are discussed in Chapter </w:t>
      </w:r>
      <w:r w:rsidR="00883569">
        <w:t>8</w:t>
      </w:r>
      <w:r w:rsidR="00883569" w:rsidRPr="00051692">
        <w:t>.</w:t>
      </w:r>
    </w:p>
  </w:footnote>
  <w:footnote w:id="9">
    <w:p w14:paraId="2AD9BA9E" w14:textId="3D2F86F1" w:rsidR="00883569" w:rsidRPr="00051692" w:rsidRDefault="00D77F97" w:rsidP="009A012F">
      <w:pPr>
        <w:pStyle w:val="FootnoteText"/>
      </w:pPr>
      <w:r w:rsidRPr="00D77F97">
        <w:rPr>
          <w:rStyle w:val="FootnoteReference"/>
          <w:vertAlign w:val="baseline"/>
        </w:rPr>
        <w:footnoteRef/>
      </w:r>
      <w:r w:rsidR="00883569" w:rsidRPr="00051692">
        <w:t xml:space="preserve"> </w:t>
      </w:r>
      <w:r w:rsidR="00883569" w:rsidRPr="00051692">
        <w:tab/>
        <w:t xml:space="preserve">For example, </w:t>
      </w:r>
      <w:r w:rsidR="00883569">
        <w:t xml:space="preserve">the </w:t>
      </w:r>
      <w:r w:rsidR="00883569" w:rsidRPr="00051692">
        <w:t xml:space="preserve">NSW Department of Health specifies in its Salary Packaging Policy and Procedure Manual that </w:t>
      </w:r>
      <w:r w:rsidR="00883569">
        <w:t>benefits</w:t>
      </w:r>
      <w:r w:rsidR="00883569" w:rsidRPr="00051692">
        <w:t xml:space="preserve"> made available for salary packaging will be shared on a 50</w:t>
      </w:r>
      <w:r>
        <w:noBreakHyphen/>
      </w:r>
      <w:r w:rsidR="00883569" w:rsidRPr="00051692">
        <w:t>50 basis.</w:t>
      </w:r>
    </w:p>
  </w:footnote>
  <w:footnote w:id="10">
    <w:p w14:paraId="4ABA646E" w14:textId="6C6E3DE1" w:rsidR="00883569" w:rsidRPr="00051692" w:rsidRDefault="00D77F97" w:rsidP="00051692">
      <w:pPr>
        <w:pStyle w:val="FootnoteText"/>
      </w:pPr>
      <w:r w:rsidRPr="00D77F97">
        <w:rPr>
          <w:rStyle w:val="FootnoteReference"/>
          <w:vertAlign w:val="baseline"/>
        </w:rPr>
        <w:footnoteRef/>
      </w:r>
      <w:r w:rsidR="00883569" w:rsidRPr="00051692">
        <w:rPr>
          <w:rStyle w:val="FootnoteReference"/>
          <w:vertAlign w:val="baseline"/>
        </w:rPr>
        <w:t xml:space="preserve"> </w:t>
      </w:r>
      <w:r w:rsidR="00883569" w:rsidRPr="00051692">
        <w:rPr>
          <w:rStyle w:val="FootnoteReference"/>
          <w:vertAlign w:val="baseline"/>
        </w:rPr>
        <w:tab/>
        <w:t xml:space="preserve">Australian Government 2014, </w:t>
      </w:r>
      <w:r w:rsidR="00883569" w:rsidRPr="007A568C">
        <w:rPr>
          <w:rStyle w:val="FootnoteReference"/>
          <w:i/>
          <w:vertAlign w:val="baseline"/>
        </w:rPr>
        <w:t>Tax Expenditures Statement 2013</w:t>
      </w:r>
      <w:r w:rsidR="00883569" w:rsidRPr="00051692">
        <w:rPr>
          <w:rStyle w:val="FootnoteReference"/>
          <w:vertAlign w:val="baseline"/>
        </w:rPr>
        <w:t>, Australian Government, Canberra.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47588" w14:textId="2E45F50F" w:rsidR="00883569" w:rsidRDefault="002E6BAA" w:rsidP="00C6239B">
    <w:pPr>
      <w:pStyle w:val="HeaderEven"/>
    </w:pPr>
    <w:fldSimple w:instr=" TITLE   \* MERGEFORMAT ">
      <w:r w:rsidR="00790FF4">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F1C77" w14:textId="29F92C6E" w:rsidR="00883569" w:rsidRDefault="00883569">
    <w:pPr>
      <w:pStyle w:val="Header"/>
    </w:pPr>
    <w:r>
      <w:t>Not</w:t>
    </w:r>
    <w:r w:rsidR="00D77F97">
      <w:noBreakHyphen/>
    </w:r>
    <w:r>
      <w:t>for</w:t>
    </w:r>
    <w:r w:rsidR="00D77F97">
      <w:noBreakHyphen/>
    </w:r>
    <w:r>
      <w:t>profit sector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8230C" w14:textId="17D852B2" w:rsidR="00883569" w:rsidRPr="005145AF" w:rsidRDefault="00883569" w:rsidP="005145AF">
    <w:pPr>
      <w:pStyle w:val="Header"/>
    </w:pPr>
    <w:r w:rsidRPr="009B64BA">
      <w:rPr>
        <w:noProof/>
        <w:sz w:val="12"/>
        <w:szCs w:val="12"/>
      </w:rPr>
      <mc:AlternateContent>
        <mc:Choice Requires="wps">
          <w:drawing>
            <wp:anchor distT="0" distB="0" distL="114300" distR="114300" simplePos="0" relativeHeight="251658240" behindDoc="1" locked="0" layoutInCell="1" allowOverlap="1" wp14:anchorId="60E943D7" wp14:editId="38DBA574">
              <wp:simplePos x="0" y="0"/>
              <wp:positionH relativeFrom="column">
                <wp:posOffset>-919480</wp:posOffset>
              </wp:positionH>
              <wp:positionV relativeFrom="paragraph">
                <wp:posOffset>-469265</wp:posOffset>
              </wp:positionV>
              <wp:extent cx="7595870" cy="1724400"/>
              <wp:effectExtent l="0" t="0" r="5080" b="9525"/>
              <wp:wrapNone/>
              <wp:docPr id="2" name="Rectangle 2"/>
              <wp:cNvGraphicFramePr/>
              <a:graphic xmlns:a="http://schemas.openxmlformats.org/drawingml/2006/main">
                <a:graphicData uri="http://schemas.microsoft.com/office/word/2010/wordprocessingShape">
                  <wps:wsp>
                    <wps:cNvSpPr/>
                    <wps:spPr>
                      <a:xfrm>
                        <a:off x="0" y="0"/>
                        <a:ext cx="7595870" cy="17244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2.4pt;margin-top:-36.95pt;width:598.1pt;height:13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" fillcolor="#31a7d4 [3204]" stroked="f" strokeweight="2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90008" w14:textId="77777777" w:rsidR="00883569" w:rsidRPr="005145AF" w:rsidRDefault="00883569" w:rsidP="005145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ED3FC7"/>
    <w:multiLevelType w:val="multilevel"/>
    <w:tmpl w:val="F8BE2F76"/>
    <w:lvl w:ilvl="0">
      <w:start w:val="1"/>
      <w:numFmt w:val="bullet"/>
      <w:lvlRestart w:val="0"/>
      <w:lvlText w:val="•"/>
      <w:lvlJc w:val="left"/>
      <w:pPr>
        <w:tabs>
          <w:tab w:val="num" w:pos="283"/>
        </w:tabs>
        <w:ind w:left="283" w:hanging="283"/>
      </w:pPr>
      <w:rPr>
        <w:rFonts w:ascii="Times New Roman" w:hAnsi="Times New Roman" w:cs="Times New Roman" w:hint="default"/>
        <w:b w:val="0"/>
        <w:i w:val="0"/>
        <w:sz w:val="20"/>
      </w:rPr>
    </w:lvl>
    <w:lvl w:ilvl="1">
      <w:start w:val="1"/>
      <w:numFmt w:val="bullet"/>
      <w:lvlText w:val="–"/>
      <w:lvlJc w:val="left"/>
      <w:pPr>
        <w:tabs>
          <w:tab w:val="num" w:pos="567"/>
        </w:tabs>
        <w:ind w:left="567" w:hanging="284"/>
      </w:pPr>
      <w:rPr>
        <w:rFonts w:hint="default"/>
        <w:b w:val="0"/>
        <w:i w:val="0"/>
      </w:rPr>
    </w:lvl>
    <w:lvl w:ilvl="2">
      <w:start w:val="1"/>
      <w:numFmt w:val="bulle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3">
    <w:nsid w:val="090B0DB0"/>
    <w:multiLevelType w:val="multilevel"/>
    <w:tmpl w:val="D9A8A212"/>
    <w:styleLink w:val="RomanNumeralList"/>
    <w:lvl w:ilvl="0">
      <w:start w:val="1"/>
      <w:numFmt w:val="lowerRoma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9D42DE5"/>
    <w:multiLevelType w:val="multilevel"/>
    <w:tmpl w:val="D430C00C"/>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2B26652"/>
    <w:multiLevelType w:val="multilevel"/>
    <w:tmpl w:val="ABE0332C"/>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1.%2"/>
      <w:lvlJc w:val="left"/>
      <w:pPr>
        <w:ind w:left="714" w:hanging="35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7">
    <w:nsid w:val="18313C8F"/>
    <w:multiLevelType w:val="multilevel"/>
    <w:tmpl w:val="692633DA"/>
    <w:name w:val="StandardNumberedList23"/>
    <w:lvl w:ilvl="0">
      <w:start w:val="7"/>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9">
    <w:nsid w:val="1DC4150C"/>
    <w:multiLevelType w:val="hybridMultilevel"/>
    <w:tmpl w:val="CA5E1236"/>
    <w:name w:val="HeadingList2233"/>
    <w:lvl w:ilvl="0" w:tplc="FFF4F152">
      <w:start w:val="1"/>
      <w:numFmt w:val="bullet"/>
      <w:pStyle w:val="Keyfinding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1">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7440C8B"/>
    <w:multiLevelType w:val="multilevel"/>
    <w:tmpl w:val="859E9682"/>
    <w:lvl w:ilvl="0">
      <w:start w:val="1"/>
      <w:numFmt w:val="bullet"/>
      <w:lvlRestart w:val="0"/>
      <w:pStyle w:val="TOC2"/>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3">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4">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6">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7">
    <w:nsid w:val="308C2710"/>
    <w:multiLevelType w:val="multilevel"/>
    <w:tmpl w:val="7026C81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8">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C542EA9"/>
    <w:multiLevelType w:val="multilevel"/>
    <w:tmpl w:val="0C09001F"/>
    <w:name w:val="StandardNumberedList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F34343"/>
    <w:multiLevelType w:val="multilevel"/>
    <w:tmpl w:val="EA00A7BE"/>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8D66B1F"/>
    <w:multiLevelType w:val="hybridMultilevel"/>
    <w:tmpl w:val="7DD0268A"/>
    <w:lvl w:ilvl="0" w:tplc="CE6C79D0">
      <w:start w:val="43"/>
      <w:numFmt w:val="decimal"/>
      <w:lvlText w:val="%1."/>
      <w:lvlJc w:val="left"/>
      <w:pPr>
        <w:ind w:left="720" w:hanging="360"/>
      </w:pPr>
      <w:rPr>
        <w:rFonts w:hint="default"/>
        <w:color w:val="31A7D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4">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5">
    <w:nsid w:val="5C6E37CD"/>
    <w:multiLevelType w:val="hybridMultilevel"/>
    <w:tmpl w:val="A9827286"/>
    <w:name w:val="HeadingList223222"/>
    <w:lvl w:ilvl="0" w:tplc="F7C27772">
      <w:start w:val="1"/>
      <w:numFmt w:val="bullet"/>
      <w:pStyle w:val="Keyfindingtex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7">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33A59A1"/>
    <w:multiLevelType w:val="hybridMultilevel"/>
    <w:tmpl w:val="13B431F8"/>
    <w:lvl w:ilvl="0" w:tplc="2BE68E22">
      <w:start w:val="47"/>
      <w:numFmt w:val="decimal"/>
      <w:pStyle w:val="Questiontext"/>
      <w:lvlText w:val="%1."/>
      <w:lvlJc w:val="left"/>
      <w:pPr>
        <w:tabs>
          <w:tab w:val="num" w:pos="425"/>
        </w:tabs>
        <w:ind w:left="425" w:hanging="425"/>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2"/>
  </w:num>
  <w:num w:numId="2">
    <w:abstractNumId w:val="10"/>
  </w:num>
  <w:num w:numId="3">
    <w:abstractNumId w:val="16"/>
  </w:num>
  <w:num w:numId="4">
    <w:abstractNumId w:val="23"/>
  </w:num>
  <w:num w:numId="5">
    <w:abstractNumId w:val="24"/>
  </w:num>
  <w:num w:numId="6">
    <w:abstractNumId w:val="8"/>
  </w:num>
  <w:num w:numId="7">
    <w:abstractNumId w:val="26"/>
  </w:num>
  <w:num w:numId="8">
    <w:abstractNumId w:val="13"/>
  </w:num>
  <w:num w:numId="9">
    <w:abstractNumId w:val="15"/>
  </w:num>
  <w:num w:numId="10">
    <w:abstractNumId w:val="10"/>
  </w:num>
  <w:num w:numId="11">
    <w:abstractNumId w:val="17"/>
  </w:num>
  <w:num w:numId="12">
    <w:abstractNumId w:val="3"/>
  </w:num>
  <w:num w:numId="13">
    <w:abstractNumId w:val="9"/>
  </w:num>
  <w:num w:numId="14">
    <w:abstractNumId w:val="22"/>
  </w:num>
  <w:num w:numId="15">
    <w:abstractNumId w:val="5"/>
  </w:num>
  <w:num w:numId="16">
    <w:abstractNumId w:val="31"/>
  </w:num>
  <w:num w:numId="17">
    <w:abstractNumId w:val="25"/>
  </w:num>
  <w:num w:numId="18">
    <w:abstractNumId w:val="11"/>
  </w:num>
  <w:num w:numId="19">
    <w:abstractNumId w:val="4"/>
  </w:num>
  <w:num w:numId="20">
    <w:abstractNumId w:val="12"/>
  </w:num>
  <w:num w:numId="21">
    <w:abstractNumId w:val="2"/>
  </w:num>
  <w:num w:numId="22">
    <w:abstractNumId w:val="21"/>
  </w:num>
  <w:num w:numId="23">
    <w:abstractNumId w:val="27"/>
  </w:num>
  <w:num w:numId="24">
    <w:abstractNumId w:val="28"/>
  </w:num>
  <w:num w:numId="25">
    <w:abstractNumId w:val="0"/>
  </w:num>
  <w:num w:numId="26">
    <w:abstractNumId w:val="14"/>
  </w:num>
  <w:num w:numId="27">
    <w:abstractNumId w:val="20"/>
  </w:num>
  <w:num w:numId="2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212993"/>
  </w:hdrShapeDefaults>
  <w:footnotePr>
    <w:numStart w:val="141"/>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9"/>
    <w:rsid w:val="00006F7E"/>
    <w:rsid w:val="0000739F"/>
    <w:rsid w:val="00016BD0"/>
    <w:rsid w:val="00022FFA"/>
    <w:rsid w:val="00025A65"/>
    <w:rsid w:val="00026FCF"/>
    <w:rsid w:val="00032D0F"/>
    <w:rsid w:val="00037517"/>
    <w:rsid w:val="00043B1F"/>
    <w:rsid w:val="0004481B"/>
    <w:rsid w:val="00046BF5"/>
    <w:rsid w:val="00051692"/>
    <w:rsid w:val="00055975"/>
    <w:rsid w:val="00057308"/>
    <w:rsid w:val="0006504F"/>
    <w:rsid w:val="0006522F"/>
    <w:rsid w:val="00091999"/>
    <w:rsid w:val="000A45C0"/>
    <w:rsid w:val="000B2D94"/>
    <w:rsid w:val="000B4774"/>
    <w:rsid w:val="000C50CF"/>
    <w:rsid w:val="000C6268"/>
    <w:rsid w:val="000F003C"/>
    <w:rsid w:val="00103EE9"/>
    <w:rsid w:val="001060CC"/>
    <w:rsid w:val="00110B35"/>
    <w:rsid w:val="001157ED"/>
    <w:rsid w:val="00116CCA"/>
    <w:rsid w:val="001211AA"/>
    <w:rsid w:val="0012637D"/>
    <w:rsid w:val="001309BA"/>
    <w:rsid w:val="00137D56"/>
    <w:rsid w:val="00141A3B"/>
    <w:rsid w:val="001456F2"/>
    <w:rsid w:val="00145986"/>
    <w:rsid w:val="00160A72"/>
    <w:rsid w:val="00163F01"/>
    <w:rsid w:val="00165095"/>
    <w:rsid w:val="00165D75"/>
    <w:rsid w:val="00167010"/>
    <w:rsid w:val="00180CE3"/>
    <w:rsid w:val="00191CA0"/>
    <w:rsid w:val="00194CEA"/>
    <w:rsid w:val="001A1B6C"/>
    <w:rsid w:val="001A680E"/>
    <w:rsid w:val="001A73F8"/>
    <w:rsid w:val="001B0827"/>
    <w:rsid w:val="001C561A"/>
    <w:rsid w:val="001C7FD5"/>
    <w:rsid w:val="001E07D7"/>
    <w:rsid w:val="001E2DFA"/>
    <w:rsid w:val="001F588D"/>
    <w:rsid w:val="0022385E"/>
    <w:rsid w:val="00224A32"/>
    <w:rsid w:val="00226670"/>
    <w:rsid w:val="002366CA"/>
    <w:rsid w:val="002371CE"/>
    <w:rsid w:val="00240AAC"/>
    <w:rsid w:val="0024227C"/>
    <w:rsid w:val="00245CA3"/>
    <w:rsid w:val="002474BA"/>
    <w:rsid w:val="00254752"/>
    <w:rsid w:val="00257F96"/>
    <w:rsid w:val="0028210D"/>
    <w:rsid w:val="0028318C"/>
    <w:rsid w:val="002845BF"/>
    <w:rsid w:val="00285298"/>
    <w:rsid w:val="00285777"/>
    <w:rsid w:val="002A0E02"/>
    <w:rsid w:val="002A1A8B"/>
    <w:rsid w:val="002A2C88"/>
    <w:rsid w:val="002A2FC5"/>
    <w:rsid w:val="002B26AD"/>
    <w:rsid w:val="002B37B7"/>
    <w:rsid w:val="002B5EE9"/>
    <w:rsid w:val="002B7F0E"/>
    <w:rsid w:val="002C1E4E"/>
    <w:rsid w:val="002D2743"/>
    <w:rsid w:val="002D6D88"/>
    <w:rsid w:val="002E0914"/>
    <w:rsid w:val="002E6BAA"/>
    <w:rsid w:val="002F2661"/>
    <w:rsid w:val="002F354C"/>
    <w:rsid w:val="002F377B"/>
    <w:rsid w:val="002F3D8E"/>
    <w:rsid w:val="00300CAF"/>
    <w:rsid w:val="00303688"/>
    <w:rsid w:val="003039C4"/>
    <w:rsid w:val="00304A0F"/>
    <w:rsid w:val="00312095"/>
    <w:rsid w:val="003149FC"/>
    <w:rsid w:val="0032095B"/>
    <w:rsid w:val="00324B75"/>
    <w:rsid w:val="003260C4"/>
    <w:rsid w:val="00326E9A"/>
    <w:rsid w:val="0033013B"/>
    <w:rsid w:val="0033172C"/>
    <w:rsid w:val="00334D76"/>
    <w:rsid w:val="00340AE5"/>
    <w:rsid w:val="00341CEB"/>
    <w:rsid w:val="00342C97"/>
    <w:rsid w:val="00352970"/>
    <w:rsid w:val="003536AF"/>
    <w:rsid w:val="00357B37"/>
    <w:rsid w:val="00357E2F"/>
    <w:rsid w:val="00362982"/>
    <w:rsid w:val="003707CD"/>
    <w:rsid w:val="00375ACE"/>
    <w:rsid w:val="003764EB"/>
    <w:rsid w:val="003816E7"/>
    <w:rsid w:val="00393E43"/>
    <w:rsid w:val="003A52A6"/>
    <w:rsid w:val="003B0496"/>
    <w:rsid w:val="003C3262"/>
    <w:rsid w:val="003E3BC4"/>
    <w:rsid w:val="003E73C6"/>
    <w:rsid w:val="004018FC"/>
    <w:rsid w:val="0041538A"/>
    <w:rsid w:val="00421697"/>
    <w:rsid w:val="00424549"/>
    <w:rsid w:val="00436291"/>
    <w:rsid w:val="00437CF7"/>
    <w:rsid w:val="00437E9B"/>
    <w:rsid w:val="00441854"/>
    <w:rsid w:val="00442E77"/>
    <w:rsid w:val="00445159"/>
    <w:rsid w:val="00446751"/>
    <w:rsid w:val="00450E79"/>
    <w:rsid w:val="0045178A"/>
    <w:rsid w:val="0045339B"/>
    <w:rsid w:val="004622CF"/>
    <w:rsid w:val="00467E7F"/>
    <w:rsid w:val="00470F6E"/>
    <w:rsid w:val="0047120F"/>
    <w:rsid w:val="00482849"/>
    <w:rsid w:val="00483DDD"/>
    <w:rsid w:val="0048777E"/>
    <w:rsid w:val="004973E7"/>
    <w:rsid w:val="00497630"/>
    <w:rsid w:val="004A1773"/>
    <w:rsid w:val="004A46FA"/>
    <w:rsid w:val="004A6B91"/>
    <w:rsid w:val="004B6865"/>
    <w:rsid w:val="004C77C2"/>
    <w:rsid w:val="004D107A"/>
    <w:rsid w:val="004D1FCD"/>
    <w:rsid w:val="004E7E9F"/>
    <w:rsid w:val="004F2557"/>
    <w:rsid w:val="004F4C1F"/>
    <w:rsid w:val="004F52D6"/>
    <w:rsid w:val="004F65A3"/>
    <w:rsid w:val="0050060F"/>
    <w:rsid w:val="005145AF"/>
    <w:rsid w:val="00522228"/>
    <w:rsid w:val="005224B7"/>
    <w:rsid w:val="00523FDB"/>
    <w:rsid w:val="0052543A"/>
    <w:rsid w:val="00532E77"/>
    <w:rsid w:val="00534087"/>
    <w:rsid w:val="005374E0"/>
    <w:rsid w:val="005574C7"/>
    <w:rsid w:val="0056123B"/>
    <w:rsid w:val="005638FC"/>
    <w:rsid w:val="00571A2A"/>
    <w:rsid w:val="00573CEB"/>
    <w:rsid w:val="005774C0"/>
    <w:rsid w:val="00585629"/>
    <w:rsid w:val="00587105"/>
    <w:rsid w:val="00592097"/>
    <w:rsid w:val="00593FE6"/>
    <w:rsid w:val="005A089C"/>
    <w:rsid w:val="005A3D75"/>
    <w:rsid w:val="005A6BFB"/>
    <w:rsid w:val="005B00BF"/>
    <w:rsid w:val="005B1DED"/>
    <w:rsid w:val="005D442D"/>
    <w:rsid w:val="005D5280"/>
    <w:rsid w:val="005D6802"/>
    <w:rsid w:val="005D7360"/>
    <w:rsid w:val="005E4FDA"/>
    <w:rsid w:val="005E76C1"/>
    <w:rsid w:val="005F14CD"/>
    <w:rsid w:val="005F3BFA"/>
    <w:rsid w:val="005F59CA"/>
    <w:rsid w:val="005F78AF"/>
    <w:rsid w:val="006002D8"/>
    <w:rsid w:val="006046BE"/>
    <w:rsid w:val="006116E2"/>
    <w:rsid w:val="006220EC"/>
    <w:rsid w:val="00623E4E"/>
    <w:rsid w:val="00625E1B"/>
    <w:rsid w:val="00634574"/>
    <w:rsid w:val="00634909"/>
    <w:rsid w:val="006360DD"/>
    <w:rsid w:val="0063737C"/>
    <w:rsid w:val="00645953"/>
    <w:rsid w:val="00655728"/>
    <w:rsid w:val="00657332"/>
    <w:rsid w:val="00660400"/>
    <w:rsid w:val="0066047A"/>
    <w:rsid w:val="00667F8D"/>
    <w:rsid w:val="00670F8E"/>
    <w:rsid w:val="006728EC"/>
    <w:rsid w:val="006800D5"/>
    <w:rsid w:val="00684767"/>
    <w:rsid w:val="006861E9"/>
    <w:rsid w:val="0068677D"/>
    <w:rsid w:val="00692958"/>
    <w:rsid w:val="00696D2E"/>
    <w:rsid w:val="006A771D"/>
    <w:rsid w:val="006A77FD"/>
    <w:rsid w:val="006A787E"/>
    <w:rsid w:val="006C4AB9"/>
    <w:rsid w:val="006C5F3B"/>
    <w:rsid w:val="006E1057"/>
    <w:rsid w:val="006E7D5A"/>
    <w:rsid w:val="006F3307"/>
    <w:rsid w:val="00702649"/>
    <w:rsid w:val="00722CCB"/>
    <w:rsid w:val="00725F08"/>
    <w:rsid w:val="007333B8"/>
    <w:rsid w:val="007349EB"/>
    <w:rsid w:val="00735237"/>
    <w:rsid w:val="00737153"/>
    <w:rsid w:val="00744B64"/>
    <w:rsid w:val="007462FC"/>
    <w:rsid w:val="007541B3"/>
    <w:rsid w:val="007547DD"/>
    <w:rsid w:val="00755B2A"/>
    <w:rsid w:val="00763B40"/>
    <w:rsid w:val="0077523B"/>
    <w:rsid w:val="00790FF4"/>
    <w:rsid w:val="00791CB9"/>
    <w:rsid w:val="00792F6F"/>
    <w:rsid w:val="007A568C"/>
    <w:rsid w:val="007A5E49"/>
    <w:rsid w:val="007B1577"/>
    <w:rsid w:val="007B38E7"/>
    <w:rsid w:val="007B5010"/>
    <w:rsid w:val="007B66D2"/>
    <w:rsid w:val="007C2061"/>
    <w:rsid w:val="007D042B"/>
    <w:rsid w:val="007D1AF0"/>
    <w:rsid w:val="007D2A9B"/>
    <w:rsid w:val="007D6A38"/>
    <w:rsid w:val="007E6524"/>
    <w:rsid w:val="007F0754"/>
    <w:rsid w:val="007F7AC1"/>
    <w:rsid w:val="007F7C8E"/>
    <w:rsid w:val="00800A69"/>
    <w:rsid w:val="00801766"/>
    <w:rsid w:val="00803193"/>
    <w:rsid w:val="0080366D"/>
    <w:rsid w:val="0080477D"/>
    <w:rsid w:val="00806398"/>
    <w:rsid w:val="00812756"/>
    <w:rsid w:val="00813F9E"/>
    <w:rsid w:val="00815210"/>
    <w:rsid w:val="008219A2"/>
    <w:rsid w:val="008227A8"/>
    <w:rsid w:val="00826DB3"/>
    <w:rsid w:val="008330F7"/>
    <w:rsid w:val="008354C2"/>
    <w:rsid w:val="0084126E"/>
    <w:rsid w:val="0084171D"/>
    <w:rsid w:val="00842070"/>
    <w:rsid w:val="0084343F"/>
    <w:rsid w:val="00843BCE"/>
    <w:rsid w:val="00845E47"/>
    <w:rsid w:val="008545AC"/>
    <w:rsid w:val="00861116"/>
    <w:rsid w:val="00861E71"/>
    <w:rsid w:val="00865B4D"/>
    <w:rsid w:val="00867263"/>
    <w:rsid w:val="008676F2"/>
    <w:rsid w:val="008725BB"/>
    <w:rsid w:val="00873F14"/>
    <w:rsid w:val="00876676"/>
    <w:rsid w:val="008773DC"/>
    <w:rsid w:val="00882640"/>
    <w:rsid w:val="00882A4F"/>
    <w:rsid w:val="00883569"/>
    <w:rsid w:val="00893FCE"/>
    <w:rsid w:val="0089621C"/>
    <w:rsid w:val="008B2331"/>
    <w:rsid w:val="008B39A1"/>
    <w:rsid w:val="008B4088"/>
    <w:rsid w:val="008B5519"/>
    <w:rsid w:val="008B69FA"/>
    <w:rsid w:val="008C5FB5"/>
    <w:rsid w:val="008C6EE6"/>
    <w:rsid w:val="008C7D42"/>
    <w:rsid w:val="008C7DBF"/>
    <w:rsid w:val="008D2E8B"/>
    <w:rsid w:val="008D647F"/>
    <w:rsid w:val="008D6825"/>
    <w:rsid w:val="008E05B1"/>
    <w:rsid w:val="008E0722"/>
    <w:rsid w:val="008E1120"/>
    <w:rsid w:val="008E3B84"/>
    <w:rsid w:val="008F1726"/>
    <w:rsid w:val="0090078E"/>
    <w:rsid w:val="00900811"/>
    <w:rsid w:val="009027B8"/>
    <w:rsid w:val="00906CBD"/>
    <w:rsid w:val="00907A18"/>
    <w:rsid w:val="00924955"/>
    <w:rsid w:val="00931983"/>
    <w:rsid w:val="009421D7"/>
    <w:rsid w:val="00942526"/>
    <w:rsid w:val="00944763"/>
    <w:rsid w:val="00944C23"/>
    <w:rsid w:val="009543FF"/>
    <w:rsid w:val="0095798D"/>
    <w:rsid w:val="00964497"/>
    <w:rsid w:val="00967473"/>
    <w:rsid w:val="00971E19"/>
    <w:rsid w:val="00973461"/>
    <w:rsid w:val="00981231"/>
    <w:rsid w:val="009872BD"/>
    <w:rsid w:val="00990728"/>
    <w:rsid w:val="00996310"/>
    <w:rsid w:val="009A012F"/>
    <w:rsid w:val="009B2A69"/>
    <w:rsid w:val="009C341B"/>
    <w:rsid w:val="009D0E84"/>
    <w:rsid w:val="009E5823"/>
    <w:rsid w:val="009F150D"/>
    <w:rsid w:val="009F2A8B"/>
    <w:rsid w:val="009F4106"/>
    <w:rsid w:val="009F5BD9"/>
    <w:rsid w:val="00A00F15"/>
    <w:rsid w:val="00A05598"/>
    <w:rsid w:val="00A06A2E"/>
    <w:rsid w:val="00A12959"/>
    <w:rsid w:val="00A16C23"/>
    <w:rsid w:val="00A21420"/>
    <w:rsid w:val="00A23070"/>
    <w:rsid w:val="00A3219D"/>
    <w:rsid w:val="00A36A0B"/>
    <w:rsid w:val="00A43264"/>
    <w:rsid w:val="00A53639"/>
    <w:rsid w:val="00A55A61"/>
    <w:rsid w:val="00A562C9"/>
    <w:rsid w:val="00A61250"/>
    <w:rsid w:val="00A70D38"/>
    <w:rsid w:val="00A7344C"/>
    <w:rsid w:val="00A907F9"/>
    <w:rsid w:val="00A92E4A"/>
    <w:rsid w:val="00A94DA6"/>
    <w:rsid w:val="00AA4C63"/>
    <w:rsid w:val="00AB3732"/>
    <w:rsid w:val="00AD0A7E"/>
    <w:rsid w:val="00AD1CBF"/>
    <w:rsid w:val="00AD2E23"/>
    <w:rsid w:val="00AE6CAE"/>
    <w:rsid w:val="00AF0602"/>
    <w:rsid w:val="00AF259C"/>
    <w:rsid w:val="00AF56D0"/>
    <w:rsid w:val="00B05FF4"/>
    <w:rsid w:val="00B10451"/>
    <w:rsid w:val="00B174B9"/>
    <w:rsid w:val="00B2418A"/>
    <w:rsid w:val="00B26E38"/>
    <w:rsid w:val="00B33E4A"/>
    <w:rsid w:val="00B345F3"/>
    <w:rsid w:val="00B347D9"/>
    <w:rsid w:val="00B34E96"/>
    <w:rsid w:val="00B41559"/>
    <w:rsid w:val="00B4173D"/>
    <w:rsid w:val="00B46B8A"/>
    <w:rsid w:val="00B51C5F"/>
    <w:rsid w:val="00B569BC"/>
    <w:rsid w:val="00B57C3D"/>
    <w:rsid w:val="00B6172B"/>
    <w:rsid w:val="00B63990"/>
    <w:rsid w:val="00B6399A"/>
    <w:rsid w:val="00B6525F"/>
    <w:rsid w:val="00B76F28"/>
    <w:rsid w:val="00B84AD6"/>
    <w:rsid w:val="00B85148"/>
    <w:rsid w:val="00BB2270"/>
    <w:rsid w:val="00BC0477"/>
    <w:rsid w:val="00BC57B4"/>
    <w:rsid w:val="00BC71EC"/>
    <w:rsid w:val="00BD32F3"/>
    <w:rsid w:val="00BD7778"/>
    <w:rsid w:val="00BF239E"/>
    <w:rsid w:val="00BF2FBF"/>
    <w:rsid w:val="00BF3536"/>
    <w:rsid w:val="00C013B8"/>
    <w:rsid w:val="00C01764"/>
    <w:rsid w:val="00C04A39"/>
    <w:rsid w:val="00C10585"/>
    <w:rsid w:val="00C12F63"/>
    <w:rsid w:val="00C16353"/>
    <w:rsid w:val="00C17B62"/>
    <w:rsid w:val="00C30FB3"/>
    <w:rsid w:val="00C32199"/>
    <w:rsid w:val="00C32D91"/>
    <w:rsid w:val="00C43238"/>
    <w:rsid w:val="00C43B54"/>
    <w:rsid w:val="00C466C6"/>
    <w:rsid w:val="00C52D05"/>
    <w:rsid w:val="00C55787"/>
    <w:rsid w:val="00C60A5C"/>
    <w:rsid w:val="00C622C8"/>
    <w:rsid w:val="00C6239B"/>
    <w:rsid w:val="00C6339F"/>
    <w:rsid w:val="00C65A56"/>
    <w:rsid w:val="00C66931"/>
    <w:rsid w:val="00C72C59"/>
    <w:rsid w:val="00C869C5"/>
    <w:rsid w:val="00C934DE"/>
    <w:rsid w:val="00C953CA"/>
    <w:rsid w:val="00CA0931"/>
    <w:rsid w:val="00CA2588"/>
    <w:rsid w:val="00CA447F"/>
    <w:rsid w:val="00CA78B1"/>
    <w:rsid w:val="00CB39C0"/>
    <w:rsid w:val="00CB594E"/>
    <w:rsid w:val="00CC250F"/>
    <w:rsid w:val="00CC40CD"/>
    <w:rsid w:val="00CC6BBC"/>
    <w:rsid w:val="00CD5A67"/>
    <w:rsid w:val="00CD649E"/>
    <w:rsid w:val="00CE1A7A"/>
    <w:rsid w:val="00CE2BC3"/>
    <w:rsid w:val="00CE3A8B"/>
    <w:rsid w:val="00CE71FD"/>
    <w:rsid w:val="00CF2175"/>
    <w:rsid w:val="00CF2215"/>
    <w:rsid w:val="00CF5CBF"/>
    <w:rsid w:val="00D03180"/>
    <w:rsid w:val="00D05A28"/>
    <w:rsid w:val="00D14027"/>
    <w:rsid w:val="00D262E9"/>
    <w:rsid w:val="00D359E6"/>
    <w:rsid w:val="00D3704D"/>
    <w:rsid w:val="00D3750D"/>
    <w:rsid w:val="00D44FC5"/>
    <w:rsid w:val="00D4764E"/>
    <w:rsid w:val="00D55847"/>
    <w:rsid w:val="00D6281E"/>
    <w:rsid w:val="00D63309"/>
    <w:rsid w:val="00D659FF"/>
    <w:rsid w:val="00D66999"/>
    <w:rsid w:val="00D772F2"/>
    <w:rsid w:val="00D77F97"/>
    <w:rsid w:val="00D84250"/>
    <w:rsid w:val="00D938E8"/>
    <w:rsid w:val="00D96A74"/>
    <w:rsid w:val="00D96AAB"/>
    <w:rsid w:val="00D9730D"/>
    <w:rsid w:val="00DA0A60"/>
    <w:rsid w:val="00DA28D7"/>
    <w:rsid w:val="00DB5EA2"/>
    <w:rsid w:val="00DC1AD1"/>
    <w:rsid w:val="00DF393A"/>
    <w:rsid w:val="00DF66B3"/>
    <w:rsid w:val="00DF71FC"/>
    <w:rsid w:val="00E07793"/>
    <w:rsid w:val="00E07913"/>
    <w:rsid w:val="00E22E94"/>
    <w:rsid w:val="00E25E02"/>
    <w:rsid w:val="00E35E52"/>
    <w:rsid w:val="00E42617"/>
    <w:rsid w:val="00E63746"/>
    <w:rsid w:val="00E71862"/>
    <w:rsid w:val="00E73797"/>
    <w:rsid w:val="00EA07D1"/>
    <w:rsid w:val="00EA349C"/>
    <w:rsid w:val="00EB2A00"/>
    <w:rsid w:val="00EB447E"/>
    <w:rsid w:val="00ED54B6"/>
    <w:rsid w:val="00EE776C"/>
    <w:rsid w:val="00EF59FB"/>
    <w:rsid w:val="00F03A9D"/>
    <w:rsid w:val="00F055F0"/>
    <w:rsid w:val="00F062F8"/>
    <w:rsid w:val="00F075C2"/>
    <w:rsid w:val="00F1391D"/>
    <w:rsid w:val="00F23AEE"/>
    <w:rsid w:val="00F25859"/>
    <w:rsid w:val="00F34D75"/>
    <w:rsid w:val="00F362A1"/>
    <w:rsid w:val="00F36EDF"/>
    <w:rsid w:val="00F44D2F"/>
    <w:rsid w:val="00F521CB"/>
    <w:rsid w:val="00F608F9"/>
    <w:rsid w:val="00F62C33"/>
    <w:rsid w:val="00F65A3A"/>
    <w:rsid w:val="00F77607"/>
    <w:rsid w:val="00F877FB"/>
    <w:rsid w:val="00F93FC7"/>
    <w:rsid w:val="00FC21C3"/>
    <w:rsid w:val="00FC3B5D"/>
    <w:rsid w:val="00FD0943"/>
    <w:rsid w:val="00FD31CE"/>
    <w:rsid w:val="00FD5796"/>
    <w:rsid w:val="00FD6341"/>
    <w:rsid w:val="00FE674C"/>
    <w:rsid w:val="00FE72AE"/>
    <w:rsid w:val="00FF2F55"/>
    <w:rsid w:val="00FF78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4CCA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5953"/>
    <w:pPr>
      <w:spacing w:after="240" w:line="276" w:lineRule="auto"/>
    </w:pPr>
    <w:rPr>
      <w:rFonts w:ascii="Arial" w:hAnsi="Arial"/>
      <w:sz w:val="22"/>
    </w:rPr>
  </w:style>
  <w:style w:type="paragraph" w:styleId="Heading1">
    <w:name w:val="heading 1"/>
    <w:basedOn w:val="Normal"/>
    <w:next w:val="Normal"/>
    <w:link w:val="Heading1Char"/>
    <w:qFormat/>
    <w:rsid w:val="00645953"/>
    <w:pPr>
      <w:keepNext/>
      <w:numPr>
        <w:numId w:val="28"/>
      </w:numPr>
      <w:spacing w:before="240" w:after="360" w:line="240" w:lineRule="auto"/>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DF66B3"/>
    <w:pPr>
      <w:numPr>
        <w:ilvl w:val="1"/>
      </w:numPr>
      <w:pBdr>
        <w:top w:val="single" w:sz="12" w:space="3" w:color="31A7D4" w:themeColor="accent1"/>
        <w:bottom w:val="single" w:sz="12" w:space="3" w:color="31A7D4" w:themeColor="accent1"/>
      </w:pBdr>
      <w:ind w:left="993" w:hanging="993"/>
      <w:outlineLvl w:val="1"/>
    </w:pPr>
    <w:rPr>
      <w:sz w:val="40"/>
    </w:rPr>
  </w:style>
  <w:style w:type="paragraph" w:styleId="Heading3">
    <w:name w:val="heading 3"/>
    <w:basedOn w:val="Normal"/>
    <w:next w:val="Normal"/>
    <w:link w:val="Heading3Char"/>
    <w:unhideWhenUsed/>
    <w:qFormat/>
    <w:rsid w:val="00645953"/>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645953"/>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645953"/>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F34D75"/>
    <w:pPr>
      <w:numPr>
        <w:ilvl w:val="5"/>
        <w:numId w:val="16"/>
      </w:numPr>
      <w:spacing w:after="120"/>
      <w:outlineLvl w:val="5"/>
    </w:pPr>
    <w:rPr>
      <w:bCs/>
      <w:sz w:val="22"/>
      <w:szCs w:val="22"/>
    </w:rPr>
  </w:style>
  <w:style w:type="paragraph" w:styleId="Heading7">
    <w:name w:val="heading 7"/>
    <w:basedOn w:val="HeadingBase"/>
    <w:next w:val="Normal"/>
    <w:semiHidden/>
    <w:rsid w:val="00F34D75"/>
    <w:pPr>
      <w:numPr>
        <w:ilvl w:val="6"/>
        <w:numId w:val="16"/>
      </w:numPr>
      <w:spacing w:after="120"/>
      <w:outlineLvl w:val="6"/>
    </w:pPr>
    <w:rPr>
      <w:szCs w:val="24"/>
    </w:rPr>
  </w:style>
  <w:style w:type="paragraph" w:styleId="Heading8">
    <w:name w:val="heading 8"/>
    <w:basedOn w:val="HeadingBase"/>
    <w:next w:val="Normal"/>
    <w:semiHidden/>
    <w:rsid w:val="00F34D75"/>
    <w:pPr>
      <w:numPr>
        <w:ilvl w:val="7"/>
        <w:numId w:val="16"/>
      </w:numPr>
      <w:spacing w:before="60" w:after="60"/>
      <w:jc w:val="center"/>
      <w:outlineLvl w:val="7"/>
    </w:pPr>
    <w:rPr>
      <w:iCs/>
      <w:smallCaps/>
      <w:sz w:val="22"/>
      <w:szCs w:val="24"/>
    </w:rPr>
  </w:style>
  <w:style w:type="paragraph" w:styleId="Heading9">
    <w:name w:val="heading 9"/>
    <w:basedOn w:val="HeadingBase"/>
    <w:next w:val="Normal"/>
    <w:semiHidden/>
    <w:rsid w:val="00F34D75"/>
    <w:pPr>
      <w:numPr>
        <w:ilvl w:val="8"/>
        <w:numId w:val="16"/>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F34D75"/>
    <w:pPr>
      <w:spacing w:after="0"/>
    </w:pPr>
  </w:style>
  <w:style w:type="character" w:styleId="Hyperlink">
    <w:name w:val="Hyperlink"/>
    <w:basedOn w:val="DefaultParagraphFont"/>
    <w:uiPriority w:val="99"/>
    <w:unhideWhenUsed/>
    <w:rsid w:val="00F34D75"/>
    <w:rPr>
      <w:color w:val="31A7D4" w:themeColor="text2"/>
      <w:u w:val="none"/>
    </w:rPr>
  </w:style>
  <w:style w:type="character" w:customStyle="1" w:styleId="BoldandItalic">
    <w:name w:val="Bold and Italic"/>
    <w:basedOn w:val="DefaultParagraphFont"/>
    <w:rsid w:val="00F34D75"/>
    <w:rPr>
      <w:rFonts w:ascii="Calibri" w:hAnsi="Calibri"/>
      <w:b/>
      <w:i/>
    </w:rPr>
  </w:style>
  <w:style w:type="table" w:styleId="TableGrid">
    <w:name w:val="Table Grid"/>
    <w:basedOn w:val="TableNormal"/>
    <w:uiPriority w:val="59"/>
    <w:rsid w:val="00645953"/>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2B37B7"/>
    <w:pPr>
      <w:spacing w:before="40" w:after="40"/>
    </w:pPr>
    <w:rPr>
      <w:b/>
      <w:color w:val="FFFFFF" w:themeColor="background1"/>
      <w:sz w:val="20"/>
    </w:rPr>
  </w:style>
  <w:style w:type="paragraph" w:styleId="FootnoteText">
    <w:name w:val="footnote text"/>
    <w:basedOn w:val="Normal"/>
    <w:link w:val="FootnoteTextChar"/>
    <w:uiPriority w:val="99"/>
    <w:rsid w:val="00645953"/>
    <w:pPr>
      <w:spacing w:before="40" w:after="0" w:line="240" w:lineRule="auto"/>
      <w:ind w:left="426" w:hanging="426"/>
    </w:pPr>
    <w:rPr>
      <w:sz w:val="18"/>
    </w:rPr>
  </w:style>
  <w:style w:type="paragraph" w:customStyle="1" w:styleId="Dash">
    <w:name w:val="Dash"/>
    <w:basedOn w:val="Normal"/>
    <w:rsid w:val="00645953"/>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645953"/>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uiPriority w:val="2"/>
    <w:rsid w:val="00F34D75"/>
    <w:pPr>
      <w:numPr>
        <w:numId w:val="2"/>
      </w:numPr>
      <w:spacing w:line="280" w:lineRule="exact"/>
      <w:jc w:val="both"/>
    </w:pPr>
  </w:style>
  <w:style w:type="paragraph" w:customStyle="1" w:styleId="OutlineNumbered2">
    <w:name w:val="Outline Numbered 2"/>
    <w:basedOn w:val="Normal"/>
    <w:uiPriority w:val="2"/>
    <w:rsid w:val="00F34D75"/>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F34D75"/>
    <w:pPr>
      <w:numPr>
        <w:numId w:val="3"/>
      </w:numPr>
    </w:pPr>
  </w:style>
  <w:style w:type="paragraph" w:customStyle="1" w:styleId="HeadingBase">
    <w:name w:val="Heading Base"/>
    <w:next w:val="Normal"/>
    <w:rsid w:val="00F34D75"/>
    <w:pPr>
      <w:keepNext/>
    </w:pPr>
    <w:rPr>
      <w:rFonts w:ascii="Calibri" w:hAnsi="Calibri"/>
      <w:color w:val="31A7D4" w:themeColor="accent1"/>
    </w:rPr>
  </w:style>
  <w:style w:type="paragraph" w:customStyle="1" w:styleId="AppendixHeading">
    <w:name w:val="Appendix Heading"/>
    <w:basedOn w:val="HeadingBase"/>
    <w:next w:val="Normal"/>
    <w:rsid w:val="00F34D75"/>
    <w:pPr>
      <w:spacing w:before="720" w:after="360"/>
      <w:outlineLvl w:val="0"/>
    </w:pPr>
    <w:rPr>
      <w:b/>
      <w:smallCaps/>
      <w:sz w:val="36"/>
      <w:szCs w:val="36"/>
    </w:rPr>
  </w:style>
  <w:style w:type="character" w:customStyle="1" w:styleId="Bold">
    <w:name w:val="Bold"/>
    <w:basedOn w:val="DefaultParagraphFont"/>
    <w:rsid w:val="00F34D75"/>
    <w:rPr>
      <w:b/>
    </w:rPr>
  </w:style>
  <w:style w:type="paragraph" w:customStyle="1" w:styleId="BoxHeading">
    <w:name w:val="Box Heading"/>
    <w:basedOn w:val="Caption"/>
    <w:next w:val="BoxText"/>
    <w:unhideWhenUsed/>
    <w:rsid w:val="00645953"/>
    <w:rPr>
      <w:sz w:val="28"/>
      <w:szCs w:val="28"/>
    </w:rPr>
  </w:style>
  <w:style w:type="paragraph" w:customStyle="1" w:styleId="BoxTextBase">
    <w:name w:val="Box Text Base"/>
    <w:basedOn w:val="Normal"/>
    <w:unhideWhenUsed/>
    <w:rsid w:val="00645953"/>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645953"/>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645953"/>
    <w:pPr>
      <w:keepNext/>
      <w:spacing w:after="0" w:line="240" w:lineRule="auto"/>
      <w:jc w:val="center"/>
    </w:pPr>
    <w:rPr>
      <w:color w:val="636363" w:themeColor="accent2"/>
    </w:rPr>
  </w:style>
  <w:style w:type="paragraph" w:customStyle="1" w:styleId="ChartMainHeading">
    <w:name w:val="Chart Main Heading"/>
    <w:basedOn w:val="Caption"/>
    <w:next w:val="ChartGraphic"/>
    <w:rsid w:val="00645953"/>
    <w:pPr>
      <w:keepNext/>
      <w:spacing w:before="120" w:after="60"/>
      <w:jc w:val="center"/>
    </w:pPr>
    <w:rPr>
      <w:sz w:val="20"/>
      <w:szCs w:val="20"/>
    </w:rPr>
  </w:style>
  <w:style w:type="paragraph" w:customStyle="1" w:styleId="ChartorTableNote">
    <w:name w:val="Chart or Table Note"/>
    <w:next w:val="Normal"/>
    <w:rsid w:val="00645953"/>
    <w:pPr>
      <w:jc w:val="both"/>
    </w:pPr>
    <w:rPr>
      <w:rFonts w:ascii="Arial" w:hAnsi="Arial"/>
      <w:color w:val="000000"/>
      <w:sz w:val="18"/>
    </w:rPr>
  </w:style>
  <w:style w:type="paragraph" w:customStyle="1" w:styleId="ChartSecondHeading">
    <w:name w:val="Chart Second Heading"/>
    <w:basedOn w:val="HeadingBase"/>
    <w:next w:val="ChartGraphic"/>
    <w:rsid w:val="00F34D75"/>
    <w:pPr>
      <w:spacing w:after="20"/>
      <w:jc w:val="center"/>
    </w:pPr>
  </w:style>
  <w:style w:type="paragraph" w:customStyle="1" w:styleId="Classification">
    <w:name w:val="Classification"/>
    <w:basedOn w:val="HeadingBase"/>
    <w:next w:val="Footer"/>
    <w:semiHidden/>
    <w:rsid w:val="00F34D75"/>
    <w:pPr>
      <w:spacing w:after="120"/>
      <w:jc w:val="center"/>
    </w:pPr>
    <w:rPr>
      <w:b/>
      <w:smallCaps/>
    </w:rPr>
  </w:style>
  <w:style w:type="paragraph" w:styleId="Footer">
    <w:name w:val="footer"/>
    <w:basedOn w:val="Normal"/>
    <w:link w:val="FooterChar"/>
    <w:uiPriority w:val="99"/>
    <w:unhideWhenUsed/>
    <w:rsid w:val="00645953"/>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F34D75"/>
    <w:pPr>
      <w:spacing w:after="360"/>
      <w:jc w:val="center"/>
    </w:pPr>
    <w:rPr>
      <w:smallCaps/>
      <w:sz w:val="40"/>
      <w:szCs w:val="36"/>
    </w:rPr>
  </w:style>
  <w:style w:type="paragraph" w:customStyle="1" w:styleId="CoverTitleMain">
    <w:name w:val="Cover Title Main"/>
    <w:basedOn w:val="HeadingBase"/>
    <w:next w:val="Normal"/>
    <w:uiPriority w:val="2"/>
    <w:rsid w:val="00F34D75"/>
    <w:pPr>
      <w:spacing w:before="720" w:after="480"/>
    </w:pPr>
    <w:rPr>
      <w:b/>
      <w:caps/>
      <w:sz w:val="48"/>
    </w:rPr>
  </w:style>
  <w:style w:type="paragraph" w:customStyle="1" w:styleId="CoverTitleSub">
    <w:name w:val="Cover Title Sub"/>
    <w:basedOn w:val="HeadingBase"/>
    <w:uiPriority w:val="2"/>
    <w:rsid w:val="00F34D75"/>
    <w:pPr>
      <w:pBdr>
        <w:top w:val="single" w:sz="4" w:space="1" w:color="009976"/>
      </w:pBdr>
      <w:spacing w:after="360"/>
      <w:jc w:val="right"/>
    </w:pPr>
    <w:rPr>
      <w:sz w:val="36"/>
    </w:rPr>
  </w:style>
  <w:style w:type="paragraph" w:customStyle="1" w:styleId="FooterCentered">
    <w:name w:val="Footer Centered"/>
    <w:basedOn w:val="Footer"/>
    <w:unhideWhenUsed/>
    <w:rsid w:val="00F34D75"/>
    <w:pPr>
      <w:jc w:val="center"/>
    </w:pPr>
  </w:style>
  <w:style w:type="paragraph" w:customStyle="1" w:styleId="FooterEven">
    <w:name w:val="Footer Even"/>
    <w:basedOn w:val="Footer"/>
    <w:unhideWhenUsed/>
    <w:rsid w:val="007B66D2"/>
    <w:rPr>
      <w:noProof/>
    </w:rPr>
  </w:style>
  <w:style w:type="paragraph" w:customStyle="1" w:styleId="FooterOdd">
    <w:name w:val="Footer Odd"/>
    <w:basedOn w:val="Footer"/>
    <w:unhideWhenUsed/>
    <w:rsid w:val="007B66D2"/>
  </w:style>
  <w:style w:type="character" w:customStyle="1" w:styleId="FramedFooter">
    <w:name w:val="Framed Footer"/>
    <w:semiHidden/>
    <w:rsid w:val="00F34D75"/>
    <w:rPr>
      <w:rFonts w:ascii="Arial" w:hAnsi="Arial"/>
      <w:color w:val="31A7D4" w:themeColor="accent1"/>
      <w:sz w:val="18"/>
    </w:rPr>
  </w:style>
  <w:style w:type="character" w:customStyle="1" w:styleId="FramedHeader">
    <w:name w:val="Framed Header"/>
    <w:basedOn w:val="DefaultParagraphFont"/>
    <w:semiHidden/>
    <w:rsid w:val="00F34D75"/>
    <w:rPr>
      <w:rFonts w:ascii="Arial" w:hAnsi="Arial"/>
      <w:dstrike w:val="0"/>
      <w:color w:val="31A7D4" w:themeColor="accent1"/>
      <w:sz w:val="18"/>
      <w:vertAlign w:val="baseline"/>
    </w:rPr>
  </w:style>
  <w:style w:type="paragraph" w:styleId="Header">
    <w:name w:val="header"/>
    <w:basedOn w:val="Normal"/>
    <w:link w:val="HeaderChar"/>
    <w:uiPriority w:val="99"/>
    <w:unhideWhenUsed/>
    <w:rsid w:val="00645953"/>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7B66D2"/>
    <w:pPr>
      <w:jc w:val="left"/>
    </w:pPr>
  </w:style>
  <w:style w:type="paragraph" w:customStyle="1" w:styleId="HeaderOdd">
    <w:name w:val="Header Odd"/>
    <w:basedOn w:val="Header"/>
    <w:rsid w:val="00F34D75"/>
  </w:style>
  <w:style w:type="paragraph" w:styleId="NormalIndent">
    <w:name w:val="Normal Indent"/>
    <w:basedOn w:val="Normal"/>
    <w:semiHidden/>
    <w:rsid w:val="00F34D75"/>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F34D75"/>
    <w:pPr>
      <w:spacing w:after="120"/>
    </w:pPr>
  </w:style>
  <w:style w:type="paragraph" w:customStyle="1" w:styleId="RecommendationText">
    <w:name w:val="Recommendation Text"/>
    <w:basedOn w:val="Normal"/>
    <w:qFormat/>
    <w:rsid w:val="00813F9E"/>
    <w:pPr>
      <w:spacing w:after="120"/>
      <w:ind w:left="459" w:hanging="425"/>
    </w:pPr>
    <w:rPr>
      <w:color w:val="000000"/>
    </w:rPr>
  </w:style>
  <w:style w:type="paragraph" w:customStyle="1" w:styleId="TableTextBase">
    <w:name w:val="Table Text Base"/>
    <w:uiPriority w:val="1"/>
    <w:unhideWhenUsed/>
    <w:rsid w:val="00645953"/>
    <w:pPr>
      <w:spacing w:before="40" w:after="40"/>
    </w:pPr>
    <w:rPr>
      <w:rFonts w:ascii="Arial" w:hAnsi="Arial"/>
      <w:color w:val="31A7D4" w:themeColor="accent1"/>
    </w:rPr>
  </w:style>
  <w:style w:type="paragraph" w:customStyle="1" w:styleId="TableColumnHeadingCentred">
    <w:name w:val="Table Column Heading Centred"/>
    <w:basedOn w:val="TableColumnHeadingBase"/>
    <w:uiPriority w:val="1"/>
    <w:unhideWhenUsed/>
    <w:rsid w:val="00F34D75"/>
    <w:pPr>
      <w:jc w:val="center"/>
    </w:pPr>
  </w:style>
  <w:style w:type="paragraph" w:customStyle="1" w:styleId="TableColumnHeadingLeft">
    <w:name w:val="Table Column Heading Left"/>
    <w:basedOn w:val="TableColumnHeadingBase"/>
    <w:uiPriority w:val="1"/>
    <w:unhideWhenUsed/>
    <w:rsid w:val="00334D76"/>
  </w:style>
  <w:style w:type="paragraph" w:customStyle="1" w:styleId="TableColumnHeadingRight">
    <w:name w:val="Table Column Heading Right"/>
    <w:basedOn w:val="TableColumnHeadingBase"/>
    <w:uiPriority w:val="1"/>
    <w:unhideWhenUsed/>
    <w:rsid w:val="00F34D75"/>
    <w:pPr>
      <w:jc w:val="right"/>
    </w:pPr>
  </w:style>
  <w:style w:type="paragraph" w:customStyle="1" w:styleId="TableGraphic">
    <w:name w:val="Table Graphic"/>
    <w:basedOn w:val="Normal"/>
    <w:next w:val="Normal"/>
    <w:rsid w:val="00645953"/>
    <w:pPr>
      <w:keepNext/>
      <w:spacing w:after="0" w:line="240" w:lineRule="auto"/>
    </w:pPr>
    <w:rPr>
      <w:color w:val="636363" w:themeColor="accent2"/>
    </w:rPr>
  </w:style>
  <w:style w:type="paragraph" w:customStyle="1" w:styleId="TableMainHeading">
    <w:name w:val="Table Main Heading"/>
    <w:basedOn w:val="Normal"/>
    <w:next w:val="Normal"/>
    <w:uiPriority w:val="1"/>
    <w:rsid w:val="005145AF"/>
    <w:pPr>
      <w:keepNext/>
      <w:spacing w:before="120" w:after="60"/>
    </w:pPr>
    <w:rPr>
      <w:b/>
      <w:color w:val="31A7D4" w:themeColor="accent1"/>
      <w:sz w:val="20"/>
    </w:rPr>
  </w:style>
  <w:style w:type="paragraph" w:customStyle="1" w:styleId="TableMainHeadingContd">
    <w:name w:val="Table Main Heading Contd"/>
    <w:basedOn w:val="HeadingBase"/>
    <w:next w:val="TableGraphic"/>
    <w:uiPriority w:val="1"/>
    <w:unhideWhenUsed/>
    <w:rsid w:val="00F34D75"/>
    <w:pPr>
      <w:pageBreakBefore/>
      <w:spacing w:after="20"/>
    </w:pPr>
    <w:rPr>
      <w:b/>
      <w:sz w:val="22"/>
    </w:rPr>
  </w:style>
  <w:style w:type="paragraph" w:customStyle="1" w:styleId="TableSecondHeading">
    <w:name w:val="Table Second Heading"/>
    <w:basedOn w:val="HeadingBase"/>
    <w:next w:val="TableGraphic"/>
    <w:uiPriority w:val="1"/>
    <w:unhideWhenUsed/>
    <w:rsid w:val="00F34D75"/>
    <w:pPr>
      <w:spacing w:after="20"/>
    </w:pPr>
  </w:style>
  <w:style w:type="paragraph" w:customStyle="1" w:styleId="TableTextCentered">
    <w:name w:val="Table Text Centered"/>
    <w:basedOn w:val="TableTextBase"/>
    <w:uiPriority w:val="1"/>
    <w:unhideWhenUsed/>
    <w:rsid w:val="00F34D75"/>
    <w:pPr>
      <w:jc w:val="center"/>
    </w:pPr>
  </w:style>
  <w:style w:type="paragraph" w:customStyle="1" w:styleId="TableTextIndented">
    <w:name w:val="Table Text Indented"/>
    <w:basedOn w:val="TableTextBase"/>
    <w:uiPriority w:val="1"/>
    <w:unhideWhenUsed/>
    <w:rsid w:val="00F34D75"/>
    <w:pPr>
      <w:ind w:left="284"/>
    </w:pPr>
  </w:style>
  <w:style w:type="paragraph" w:customStyle="1" w:styleId="TableTextLeft">
    <w:name w:val="Table Text Left"/>
    <w:basedOn w:val="Normal"/>
    <w:rsid w:val="00645953"/>
    <w:pPr>
      <w:spacing w:before="60" w:after="60"/>
    </w:pPr>
  </w:style>
  <w:style w:type="paragraph" w:customStyle="1" w:styleId="TableTextRight">
    <w:name w:val="Table Text Right"/>
    <w:basedOn w:val="TableTextBase"/>
    <w:uiPriority w:val="1"/>
    <w:unhideWhenUsed/>
    <w:rsid w:val="00F34D75"/>
    <w:pPr>
      <w:jc w:val="right"/>
    </w:pPr>
  </w:style>
  <w:style w:type="paragraph" w:styleId="TOC1">
    <w:name w:val="toc 1"/>
    <w:basedOn w:val="HeadingBase"/>
    <w:next w:val="Normal"/>
    <w:uiPriority w:val="39"/>
    <w:rsid w:val="00F34D75"/>
    <w:pPr>
      <w:tabs>
        <w:tab w:val="left" w:pos="284"/>
        <w:tab w:val="left" w:pos="567"/>
        <w:tab w:val="right" w:leader="dot" w:pos="9072"/>
      </w:tabs>
      <w:spacing w:before="180" w:after="60"/>
      <w:ind w:left="284" w:right="851" w:hanging="284"/>
    </w:pPr>
    <w:rPr>
      <w:caps/>
      <w:sz w:val="24"/>
      <w:szCs w:val="22"/>
    </w:rPr>
  </w:style>
  <w:style w:type="paragraph" w:styleId="TOC2">
    <w:name w:val="toc 2"/>
    <w:basedOn w:val="Normal"/>
    <w:next w:val="Normal"/>
    <w:uiPriority w:val="39"/>
    <w:rsid w:val="0022385E"/>
    <w:pPr>
      <w:numPr>
        <w:numId w:val="1"/>
      </w:num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F34D75"/>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F34D75"/>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F34D75"/>
    <w:rPr>
      <w:i/>
    </w:rPr>
  </w:style>
  <w:style w:type="paragraph" w:customStyle="1" w:styleId="OneLevelNumberedParagraph">
    <w:name w:val="One Level Numbered Paragraph"/>
    <w:basedOn w:val="Normal"/>
    <w:semiHidden/>
    <w:rsid w:val="00F34D75"/>
    <w:pPr>
      <w:numPr>
        <w:numId w:val="6"/>
      </w:numPr>
    </w:pPr>
  </w:style>
  <w:style w:type="paragraph" w:customStyle="1" w:styleId="BoxText">
    <w:name w:val="Box Text"/>
    <w:basedOn w:val="BoxTextBase"/>
    <w:unhideWhenUsed/>
    <w:rsid w:val="00645953"/>
    <w:pPr>
      <w:shd w:val="clear" w:color="auto" w:fill="auto"/>
      <w:spacing w:after="120"/>
    </w:pPr>
  </w:style>
  <w:style w:type="paragraph" w:customStyle="1" w:styleId="BoxBullet">
    <w:name w:val="Box Bullet"/>
    <w:basedOn w:val="BoxTextBase"/>
    <w:unhideWhenUsed/>
    <w:rsid w:val="00645953"/>
    <w:pPr>
      <w:numPr>
        <w:numId w:val="5"/>
      </w:numPr>
      <w:shd w:val="clear" w:color="auto" w:fill="auto"/>
    </w:pPr>
  </w:style>
  <w:style w:type="paragraph" w:customStyle="1" w:styleId="BoxDash">
    <w:name w:val="Box Dash"/>
    <w:basedOn w:val="BoxTextBase"/>
    <w:unhideWhenUsed/>
    <w:rsid w:val="00645953"/>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645953"/>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F34D75"/>
    <w:pPr>
      <w:numPr>
        <w:numId w:val="7"/>
      </w:numPr>
    </w:pPr>
  </w:style>
  <w:style w:type="paragraph" w:customStyle="1" w:styleId="RecommendationDash">
    <w:name w:val="Recommendation Dash"/>
    <w:basedOn w:val="RecommendationTextBase"/>
    <w:rsid w:val="00F34D75"/>
    <w:pPr>
      <w:numPr>
        <w:ilvl w:val="1"/>
        <w:numId w:val="7"/>
      </w:numPr>
    </w:pPr>
  </w:style>
  <w:style w:type="paragraph" w:customStyle="1" w:styleId="RecommendationDoubleDot">
    <w:name w:val="Recommendation Double Dot"/>
    <w:basedOn w:val="RecommendationTextBase"/>
    <w:rsid w:val="00F34D75"/>
    <w:pPr>
      <w:numPr>
        <w:ilvl w:val="2"/>
        <w:numId w:val="7"/>
      </w:numPr>
    </w:pPr>
  </w:style>
  <w:style w:type="character" w:styleId="FollowedHyperlink">
    <w:name w:val="FollowedHyperlink"/>
    <w:basedOn w:val="DefaultParagraphFont"/>
    <w:unhideWhenUsed/>
    <w:rsid w:val="00F34D75"/>
    <w:rPr>
      <w:color w:val="auto"/>
      <w:u w:val="none"/>
    </w:rPr>
  </w:style>
  <w:style w:type="paragraph" w:customStyle="1" w:styleId="Heading1NotNumbered">
    <w:name w:val="Heading 1 Not Numbered"/>
    <w:basedOn w:val="HeadingBase"/>
    <w:next w:val="Normal"/>
    <w:rsid w:val="00F34D75"/>
    <w:pPr>
      <w:spacing w:before="720" w:after="360"/>
    </w:pPr>
    <w:rPr>
      <w:smallCaps/>
      <w:sz w:val="40"/>
      <w:szCs w:val="36"/>
    </w:rPr>
  </w:style>
  <w:style w:type="paragraph" w:customStyle="1" w:styleId="Heading2NotNumbered">
    <w:name w:val="Heading 2 Not Numbered"/>
    <w:basedOn w:val="HeadingBase"/>
    <w:next w:val="Normal"/>
    <w:rsid w:val="00F34D75"/>
    <w:pPr>
      <w:spacing w:before="360" w:after="180"/>
    </w:pPr>
    <w:rPr>
      <w:smallCaps/>
      <w:sz w:val="32"/>
      <w:szCs w:val="28"/>
    </w:rPr>
  </w:style>
  <w:style w:type="paragraph" w:customStyle="1" w:styleId="Heading3NotNumbered">
    <w:name w:val="Heading 3 Not Numbered"/>
    <w:basedOn w:val="HeadingBase"/>
    <w:next w:val="Normal"/>
    <w:rsid w:val="00F34D75"/>
    <w:pPr>
      <w:spacing w:before="240" w:after="120"/>
    </w:pPr>
    <w:rPr>
      <w:sz w:val="28"/>
      <w:szCs w:val="26"/>
    </w:rPr>
  </w:style>
  <w:style w:type="paragraph" w:customStyle="1" w:styleId="Heading4NotNumbered">
    <w:name w:val="Heading 4 Not Numbered"/>
    <w:basedOn w:val="HeadingBase"/>
    <w:unhideWhenUsed/>
    <w:rsid w:val="00F34D75"/>
    <w:pPr>
      <w:spacing w:before="120" w:after="120"/>
      <w:outlineLvl w:val="3"/>
    </w:pPr>
    <w:rPr>
      <w:i/>
      <w:sz w:val="26"/>
    </w:rPr>
  </w:style>
  <w:style w:type="paragraph" w:styleId="BalloonText">
    <w:name w:val="Balloon Text"/>
    <w:basedOn w:val="Normal"/>
    <w:link w:val="BalloonTextChar"/>
    <w:uiPriority w:val="99"/>
    <w:semiHidden/>
    <w:unhideWhenUsed/>
    <w:rsid w:val="00645953"/>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645953"/>
    <w:pPr>
      <w:spacing w:after="200" w:line="240" w:lineRule="auto"/>
    </w:pPr>
    <w:rPr>
      <w:b/>
      <w:bCs/>
      <w:color w:val="31A7D4" w:themeColor="accent1"/>
      <w:sz w:val="18"/>
      <w:szCs w:val="18"/>
    </w:rPr>
  </w:style>
  <w:style w:type="character" w:styleId="CommentReference">
    <w:name w:val="annotation reference"/>
    <w:basedOn w:val="DefaultParagraphFont"/>
    <w:semiHidden/>
    <w:rsid w:val="00F34D75"/>
    <w:rPr>
      <w:sz w:val="16"/>
      <w:szCs w:val="16"/>
    </w:rPr>
  </w:style>
  <w:style w:type="paragraph" w:styleId="CommentText">
    <w:name w:val="annotation text"/>
    <w:basedOn w:val="Normal"/>
    <w:semiHidden/>
    <w:rsid w:val="00F34D75"/>
  </w:style>
  <w:style w:type="paragraph" w:styleId="CommentSubject">
    <w:name w:val="annotation subject"/>
    <w:basedOn w:val="CommentText"/>
    <w:next w:val="CommentText"/>
    <w:semiHidden/>
    <w:rsid w:val="00F34D75"/>
    <w:rPr>
      <w:b/>
      <w:bCs/>
    </w:rPr>
  </w:style>
  <w:style w:type="paragraph" w:styleId="DocumentMap">
    <w:name w:val="Document Map"/>
    <w:basedOn w:val="Normal"/>
    <w:semiHidden/>
    <w:rsid w:val="00F34D75"/>
    <w:pPr>
      <w:shd w:val="clear" w:color="auto" w:fill="000080"/>
    </w:pPr>
    <w:rPr>
      <w:rFonts w:ascii="Tahoma" w:hAnsi="Tahoma" w:cs="Tahoma"/>
    </w:rPr>
  </w:style>
  <w:style w:type="character" w:styleId="EndnoteReference">
    <w:name w:val="endnote reference"/>
    <w:basedOn w:val="DefaultParagraphFont"/>
    <w:semiHidden/>
    <w:rsid w:val="00F34D75"/>
    <w:rPr>
      <w:vertAlign w:val="superscript"/>
    </w:rPr>
  </w:style>
  <w:style w:type="paragraph" w:styleId="EndnoteText">
    <w:name w:val="endnote text"/>
    <w:basedOn w:val="Normal"/>
    <w:semiHidden/>
    <w:rsid w:val="00F34D75"/>
  </w:style>
  <w:style w:type="character" w:styleId="FootnoteReference">
    <w:name w:val="footnote reference"/>
    <w:basedOn w:val="DefaultParagraphFont"/>
    <w:uiPriority w:val="99"/>
    <w:unhideWhenUsed/>
    <w:rsid w:val="00645953"/>
    <w:rPr>
      <w:vertAlign w:val="superscript"/>
    </w:rPr>
  </w:style>
  <w:style w:type="paragraph" w:styleId="Index1">
    <w:name w:val="index 1"/>
    <w:basedOn w:val="Normal"/>
    <w:next w:val="Normal"/>
    <w:autoRedefine/>
    <w:semiHidden/>
    <w:rsid w:val="00F34D75"/>
    <w:pPr>
      <w:ind w:left="200" w:hanging="200"/>
    </w:pPr>
  </w:style>
  <w:style w:type="paragraph" w:styleId="Index2">
    <w:name w:val="index 2"/>
    <w:basedOn w:val="Normal"/>
    <w:next w:val="Normal"/>
    <w:autoRedefine/>
    <w:semiHidden/>
    <w:rsid w:val="00F34D75"/>
    <w:pPr>
      <w:ind w:left="400" w:hanging="200"/>
    </w:pPr>
  </w:style>
  <w:style w:type="paragraph" w:styleId="Index3">
    <w:name w:val="index 3"/>
    <w:basedOn w:val="Normal"/>
    <w:next w:val="Normal"/>
    <w:autoRedefine/>
    <w:semiHidden/>
    <w:rsid w:val="00F34D75"/>
    <w:pPr>
      <w:ind w:left="600" w:hanging="200"/>
    </w:pPr>
  </w:style>
  <w:style w:type="paragraph" w:styleId="Index4">
    <w:name w:val="index 4"/>
    <w:basedOn w:val="Normal"/>
    <w:next w:val="Normal"/>
    <w:autoRedefine/>
    <w:semiHidden/>
    <w:rsid w:val="00F34D75"/>
    <w:pPr>
      <w:ind w:left="800" w:hanging="200"/>
    </w:pPr>
  </w:style>
  <w:style w:type="paragraph" w:styleId="Index5">
    <w:name w:val="index 5"/>
    <w:basedOn w:val="Normal"/>
    <w:next w:val="Normal"/>
    <w:autoRedefine/>
    <w:semiHidden/>
    <w:rsid w:val="00F34D75"/>
    <w:pPr>
      <w:ind w:left="1000" w:hanging="200"/>
    </w:pPr>
  </w:style>
  <w:style w:type="paragraph" w:styleId="Index6">
    <w:name w:val="index 6"/>
    <w:basedOn w:val="Normal"/>
    <w:next w:val="Normal"/>
    <w:autoRedefine/>
    <w:semiHidden/>
    <w:rsid w:val="00F34D75"/>
    <w:pPr>
      <w:ind w:left="1200" w:hanging="200"/>
    </w:pPr>
  </w:style>
  <w:style w:type="paragraph" w:styleId="Index7">
    <w:name w:val="index 7"/>
    <w:basedOn w:val="Normal"/>
    <w:next w:val="Normal"/>
    <w:autoRedefine/>
    <w:semiHidden/>
    <w:rsid w:val="00F34D75"/>
    <w:pPr>
      <w:ind w:left="1400" w:hanging="200"/>
    </w:pPr>
  </w:style>
  <w:style w:type="paragraph" w:styleId="Index8">
    <w:name w:val="index 8"/>
    <w:basedOn w:val="Normal"/>
    <w:next w:val="Normal"/>
    <w:autoRedefine/>
    <w:semiHidden/>
    <w:rsid w:val="00F34D75"/>
    <w:pPr>
      <w:ind w:left="1600" w:hanging="200"/>
    </w:pPr>
  </w:style>
  <w:style w:type="paragraph" w:styleId="Index9">
    <w:name w:val="index 9"/>
    <w:basedOn w:val="Normal"/>
    <w:next w:val="Normal"/>
    <w:autoRedefine/>
    <w:semiHidden/>
    <w:rsid w:val="00F34D75"/>
    <w:pPr>
      <w:ind w:left="1800" w:hanging="200"/>
    </w:pPr>
  </w:style>
  <w:style w:type="paragraph" w:styleId="IndexHeading">
    <w:name w:val="index heading"/>
    <w:basedOn w:val="Normal"/>
    <w:next w:val="Index1"/>
    <w:semiHidden/>
    <w:rsid w:val="00F34D75"/>
    <w:rPr>
      <w:rFonts w:cs="Arial"/>
      <w:b/>
      <w:bCs/>
    </w:rPr>
  </w:style>
  <w:style w:type="paragraph" w:styleId="MacroText">
    <w:name w:val="macro"/>
    <w:semiHidden/>
    <w:rsid w:val="00F34D75"/>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F34D75"/>
    <w:pPr>
      <w:ind w:left="200" w:hanging="200"/>
    </w:pPr>
  </w:style>
  <w:style w:type="paragraph" w:styleId="TableofFigures">
    <w:name w:val="table of figures"/>
    <w:basedOn w:val="Normal"/>
    <w:next w:val="Normal"/>
    <w:semiHidden/>
    <w:rsid w:val="00F34D75"/>
  </w:style>
  <w:style w:type="paragraph" w:styleId="TOAHeading">
    <w:name w:val="toa heading"/>
    <w:basedOn w:val="Normal"/>
    <w:next w:val="Normal"/>
    <w:semiHidden/>
    <w:rsid w:val="00F34D75"/>
    <w:rPr>
      <w:rFonts w:cs="Arial"/>
      <w:b/>
      <w:bCs/>
      <w:szCs w:val="24"/>
    </w:rPr>
  </w:style>
  <w:style w:type="paragraph" w:styleId="TOC5">
    <w:name w:val="toc 5"/>
    <w:basedOn w:val="Normal"/>
    <w:next w:val="Normal"/>
    <w:autoRedefine/>
    <w:semiHidden/>
    <w:rsid w:val="00F34D75"/>
    <w:pPr>
      <w:ind w:left="800"/>
    </w:pPr>
  </w:style>
  <w:style w:type="paragraph" w:styleId="TOC6">
    <w:name w:val="toc 6"/>
    <w:basedOn w:val="Normal"/>
    <w:next w:val="Normal"/>
    <w:autoRedefine/>
    <w:semiHidden/>
    <w:rsid w:val="00F34D75"/>
    <w:pPr>
      <w:ind w:left="1000"/>
    </w:pPr>
  </w:style>
  <w:style w:type="paragraph" w:styleId="TOC7">
    <w:name w:val="toc 7"/>
    <w:basedOn w:val="Normal"/>
    <w:next w:val="Normal"/>
    <w:autoRedefine/>
    <w:semiHidden/>
    <w:rsid w:val="00F34D75"/>
    <w:pPr>
      <w:ind w:left="1200"/>
    </w:pPr>
  </w:style>
  <w:style w:type="paragraph" w:styleId="TOC8">
    <w:name w:val="toc 8"/>
    <w:basedOn w:val="Normal"/>
    <w:next w:val="Normal"/>
    <w:autoRedefine/>
    <w:semiHidden/>
    <w:rsid w:val="00F34D75"/>
    <w:pPr>
      <w:ind w:left="1400"/>
    </w:pPr>
  </w:style>
  <w:style w:type="paragraph" w:styleId="TOC9">
    <w:name w:val="toc 9"/>
    <w:basedOn w:val="Normal"/>
    <w:next w:val="Normal"/>
    <w:autoRedefine/>
    <w:semiHidden/>
    <w:rsid w:val="00F34D75"/>
    <w:pPr>
      <w:ind w:left="1600"/>
    </w:pPr>
  </w:style>
  <w:style w:type="paragraph" w:customStyle="1" w:styleId="Heading5NotNumbered">
    <w:name w:val="Heading 5 Not Numbered"/>
    <w:basedOn w:val="HeadingBase"/>
    <w:unhideWhenUsed/>
    <w:rsid w:val="00F34D75"/>
    <w:pPr>
      <w:spacing w:after="120"/>
      <w:outlineLvl w:val="4"/>
    </w:pPr>
    <w:rPr>
      <w:b/>
      <w:i/>
      <w:sz w:val="22"/>
    </w:rPr>
  </w:style>
  <w:style w:type="table" w:customStyle="1" w:styleId="OptionsTable">
    <w:name w:val="Options Table"/>
    <w:basedOn w:val="TableNormal"/>
    <w:rsid w:val="00F34D75"/>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F34D75"/>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F34D75"/>
    <w:pPr>
      <w:numPr>
        <w:ilvl w:val="4"/>
        <w:numId w:val="2"/>
      </w:numPr>
      <w:spacing w:line="280" w:lineRule="exact"/>
      <w:jc w:val="both"/>
    </w:pPr>
  </w:style>
  <w:style w:type="paragraph" w:customStyle="1" w:styleId="Crest">
    <w:name w:val="Crest"/>
    <w:basedOn w:val="Header"/>
    <w:uiPriority w:val="2"/>
    <w:rsid w:val="00F34D75"/>
    <w:pPr>
      <w:spacing w:after="480"/>
    </w:pPr>
  </w:style>
  <w:style w:type="character" w:customStyle="1" w:styleId="SingleParagraphChar">
    <w:name w:val="Single Paragraph Char"/>
    <w:basedOn w:val="DefaultParagraphFont"/>
    <w:link w:val="SingleParagraph"/>
    <w:rsid w:val="00F34D75"/>
    <w:rPr>
      <w:rFonts w:asciiTheme="minorHAnsi" w:hAnsiTheme="minorHAnsi"/>
      <w:color w:val="000000" w:themeColor="text1"/>
      <w:sz w:val="24"/>
    </w:rPr>
  </w:style>
  <w:style w:type="character" w:customStyle="1" w:styleId="Heading5Char">
    <w:name w:val="Heading 5 Char"/>
    <w:basedOn w:val="DefaultParagraphFont"/>
    <w:link w:val="Heading5"/>
    <w:rsid w:val="00645953"/>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645953"/>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645953"/>
    <w:rPr>
      <w:rFonts w:ascii="Arial" w:hAnsi="Arial"/>
      <w:color w:val="31A7D4" w:themeColor="accent1"/>
      <w:sz w:val="28"/>
    </w:rPr>
  </w:style>
  <w:style w:type="paragraph" w:customStyle="1" w:styleId="SecurityClassificationFooter">
    <w:name w:val="Security Classification Footer"/>
    <w:link w:val="SecurityClassificationFooterChar"/>
    <w:rsid w:val="00F34D75"/>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F34D75"/>
    <w:rPr>
      <w:b/>
      <w:caps/>
      <w:color w:val="009976"/>
      <w:sz w:val="24"/>
    </w:rPr>
  </w:style>
  <w:style w:type="paragraph" w:customStyle="1" w:styleId="MinuteNumber">
    <w:name w:val="Minute Number"/>
    <w:basedOn w:val="Header"/>
    <w:uiPriority w:val="2"/>
    <w:rsid w:val="00F34D75"/>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F34D75"/>
    <w:pPr>
      <w:spacing w:before="120"/>
    </w:pPr>
    <w:rPr>
      <w:b w:val="0"/>
      <w:sz w:val="24"/>
    </w:rPr>
  </w:style>
  <w:style w:type="paragraph" w:customStyle="1" w:styleId="QAText">
    <w:name w:val="QA Text"/>
    <w:basedOn w:val="Normal"/>
    <w:unhideWhenUsed/>
    <w:rsid w:val="00F34D75"/>
    <w:pPr>
      <w:spacing w:after="120"/>
    </w:pPr>
  </w:style>
  <w:style w:type="paragraph" w:customStyle="1" w:styleId="Copyrightheadings">
    <w:name w:val="Copyright headings"/>
    <w:basedOn w:val="HeadingBase"/>
    <w:uiPriority w:val="2"/>
    <w:rsid w:val="00F34D75"/>
    <w:pPr>
      <w:spacing w:after="80"/>
    </w:pPr>
    <w:rPr>
      <w:b/>
      <w:color w:val="000000" w:themeColor="text1"/>
      <w:sz w:val="22"/>
    </w:rPr>
  </w:style>
  <w:style w:type="paragraph" w:customStyle="1" w:styleId="Quotes">
    <w:name w:val="Quotes"/>
    <w:basedOn w:val="Normal"/>
    <w:qFormat/>
    <w:rsid w:val="00F34D75"/>
    <w:pPr>
      <w:spacing w:after="120"/>
      <w:ind w:left="567" w:right="423"/>
    </w:pPr>
    <w:rPr>
      <w:color w:val="595959" w:themeColor="text1" w:themeTint="A6"/>
    </w:rPr>
  </w:style>
  <w:style w:type="paragraph" w:customStyle="1" w:styleId="Keymessageheading">
    <w:name w:val="Key message heading"/>
    <w:basedOn w:val="Questionheading"/>
    <w:uiPriority w:val="1"/>
    <w:qFormat/>
    <w:rsid w:val="00F34D75"/>
  </w:style>
  <w:style w:type="paragraph" w:customStyle="1" w:styleId="Keyfindingtext">
    <w:name w:val="Key finding text"/>
    <w:basedOn w:val="BoxText"/>
    <w:uiPriority w:val="1"/>
    <w:qFormat/>
    <w:rsid w:val="00F34D75"/>
    <w:pPr>
      <w:numPr>
        <w:numId w:val="17"/>
      </w:numPr>
      <w:spacing w:line="260" w:lineRule="exact"/>
      <w:ind w:left="351"/>
      <w:jc w:val="both"/>
    </w:pPr>
  </w:style>
  <w:style w:type="paragraph" w:customStyle="1" w:styleId="Casestudyboxheading">
    <w:name w:val="Case study box heading"/>
    <w:basedOn w:val="Questionheading"/>
    <w:qFormat/>
    <w:rsid w:val="00F34D75"/>
    <w:pPr>
      <w:numPr>
        <w:ilvl w:val="1"/>
        <w:numId w:val="15"/>
      </w:numPr>
      <w:ind w:left="966" w:hanging="966"/>
    </w:pPr>
    <w:rPr>
      <w:color w:val="31A7D4" w:themeColor="text2"/>
    </w:rPr>
  </w:style>
  <w:style w:type="paragraph" w:customStyle="1" w:styleId="Casestudyboxtext">
    <w:name w:val="Case study box text"/>
    <w:basedOn w:val="BoxText"/>
    <w:qFormat/>
    <w:rsid w:val="00F34D75"/>
  </w:style>
  <w:style w:type="paragraph" w:styleId="ListParagraph">
    <w:name w:val="List Paragraph"/>
    <w:basedOn w:val="Normal"/>
    <w:uiPriority w:val="34"/>
    <w:unhideWhenUsed/>
    <w:qFormat/>
    <w:rsid w:val="00645953"/>
    <w:pPr>
      <w:ind w:left="720"/>
      <w:contextualSpacing/>
    </w:pPr>
  </w:style>
  <w:style w:type="paragraph" w:customStyle="1" w:styleId="Copyrightheading">
    <w:name w:val="Copyright heading"/>
    <w:basedOn w:val="Normal"/>
    <w:rsid w:val="00F34D75"/>
    <w:pPr>
      <w:spacing w:before="200" w:after="120"/>
    </w:pPr>
    <w:rPr>
      <w:rFonts w:eastAsiaTheme="minorHAnsi" w:cstheme="minorBidi"/>
      <w:b/>
      <w:szCs w:val="22"/>
      <w:lang w:eastAsia="en-US"/>
    </w:rPr>
  </w:style>
  <w:style w:type="character" w:styleId="PageNumber">
    <w:name w:val="page number"/>
    <w:basedOn w:val="DefaultParagraphFont"/>
    <w:rsid w:val="00F34D75"/>
  </w:style>
  <w:style w:type="numbering" w:customStyle="1" w:styleId="BulletedList">
    <w:name w:val="Bulleted List"/>
    <w:uiPriority w:val="99"/>
    <w:rsid w:val="00882A4F"/>
    <w:pPr>
      <w:numPr>
        <w:numId w:val="11"/>
      </w:numPr>
    </w:pPr>
  </w:style>
  <w:style w:type="character" w:customStyle="1" w:styleId="FootnoteTextChar">
    <w:name w:val="Footnote Text Char"/>
    <w:basedOn w:val="DefaultParagraphFont"/>
    <w:link w:val="FootnoteText"/>
    <w:uiPriority w:val="99"/>
    <w:rsid w:val="00645953"/>
    <w:rPr>
      <w:rFonts w:ascii="Arial" w:hAnsi="Arial"/>
      <w:sz w:val="18"/>
    </w:rPr>
  </w:style>
  <w:style w:type="table" w:styleId="MediumGrid1-Accent2">
    <w:name w:val="Medium Grid 1 Accent 2"/>
    <w:basedOn w:val="TableNormal"/>
    <w:uiPriority w:val="67"/>
    <w:rsid w:val="00882A4F"/>
    <w:rPr>
      <w:rFonts w:asciiTheme="minorHAnsi" w:eastAsiaTheme="minorHAnsi" w:hAnsiTheme="minorHAnsi" w:cstheme="minorBidi"/>
      <w:sz w:val="22"/>
      <w:szCs w:val="22"/>
      <w:lang w:eastAsia="en-US"/>
    </w:rPr>
    <w:tblPr>
      <w:tblStyleRowBandSize w:val="1"/>
      <w:tblStyleColBandSize w:val="1"/>
      <w:tblBorders>
        <w:top w:val="single" w:sz="8" w:space="0" w:color="8A8A8A" w:themeColor="accent2" w:themeTint="BF"/>
        <w:left w:val="single" w:sz="8" w:space="0" w:color="8A8A8A" w:themeColor="accent2" w:themeTint="BF"/>
        <w:bottom w:val="single" w:sz="8" w:space="0" w:color="8A8A8A" w:themeColor="accent2" w:themeTint="BF"/>
        <w:right w:val="single" w:sz="8" w:space="0" w:color="8A8A8A" w:themeColor="accent2" w:themeTint="BF"/>
        <w:insideH w:val="single" w:sz="8" w:space="0" w:color="8A8A8A" w:themeColor="accent2" w:themeTint="BF"/>
        <w:insideV w:val="single" w:sz="8" w:space="0" w:color="8A8A8A" w:themeColor="accent2" w:themeTint="BF"/>
      </w:tblBorders>
    </w:tblPr>
    <w:tcPr>
      <w:shd w:val="clear" w:color="auto" w:fill="D8D8D8" w:themeFill="accent2" w:themeFillTint="3F"/>
    </w:tcPr>
    <w:tblStylePr w:type="firstRow">
      <w:rPr>
        <w:b/>
        <w:bCs/>
      </w:rPr>
    </w:tblStylePr>
    <w:tblStylePr w:type="lastRow">
      <w:rPr>
        <w:b/>
        <w:bCs/>
      </w:rPr>
      <w:tblPr/>
      <w:tcPr>
        <w:tcBorders>
          <w:top w:val="single" w:sz="18" w:space="0" w:color="8A8A8A" w:themeColor="accent2" w:themeTint="BF"/>
        </w:tcBorders>
      </w:tcPr>
    </w:tblStylePr>
    <w:tblStylePr w:type="firstCol">
      <w:rPr>
        <w:b/>
        <w:bCs/>
      </w:rPr>
    </w:tblStylePr>
    <w:tblStylePr w:type="lastCol">
      <w:rPr>
        <w:b/>
        <w:bCs/>
      </w:rPr>
    </w:tblStylePr>
    <w:tblStylePr w:type="band1Vert">
      <w:tblPr/>
      <w:tcPr>
        <w:shd w:val="clear" w:color="auto" w:fill="B1B1B1" w:themeFill="accent2" w:themeFillTint="7F"/>
      </w:tcPr>
    </w:tblStylePr>
    <w:tblStylePr w:type="band1Horz">
      <w:tblPr/>
      <w:tcPr>
        <w:shd w:val="clear" w:color="auto" w:fill="B1B1B1" w:themeFill="accent2" w:themeFillTint="7F"/>
      </w:tcPr>
    </w:tblStylePr>
  </w:style>
  <w:style w:type="paragraph" w:customStyle="1" w:styleId="QuestionboxTextBase">
    <w:name w:val="Question box Text Base"/>
    <w:basedOn w:val="Normal"/>
    <w:next w:val="Normal"/>
    <w:rsid w:val="001C561A"/>
    <w:pPr>
      <w:keepLines/>
      <w:spacing w:line="260" w:lineRule="exact"/>
      <w:jc w:val="both"/>
    </w:pPr>
    <w:rPr>
      <w:rFonts w:cstheme="minorHAnsi"/>
      <w:szCs w:val="22"/>
    </w:rPr>
  </w:style>
  <w:style w:type="numbering" w:customStyle="1" w:styleId="RomanNumeralList">
    <w:name w:val="RomanNumeralList"/>
    <w:uiPriority w:val="99"/>
    <w:rsid w:val="001C561A"/>
    <w:pPr>
      <w:numPr>
        <w:numId w:val="12"/>
      </w:numPr>
    </w:pPr>
  </w:style>
  <w:style w:type="paragraph" w:customStyle="1" w:styleId="Keyfindingbullet">
    <w:name w:val="Key finding bullet"/>
    <w:basedOn w:val="Keyfindingtext"/>
    <w:uiPriority w:val="1"/>
    <w:qFormat/>
    <w:rsid w:val="00AA4C63"/>
    <w:pPr>
      <w:numPr>
        <w:numId w:val="13"/>
      </w:numPr>
      <w:ind w:left="351"/>
    </w:pPr>
  </w:style>
  <w:style w:type="paragraph" w:customStyle="1" w:styleId="Questionheading">
    <w:name w:val="Question heading"/>
    <w:basedOn w:val="Normal"/>
    <w:qFormat/>
    <w:rsid w:val="00645953"/>
    <w:pPr>
      <w:spacing w:before="80" w:line="240" w:lineRule="auto"/>
    </w:pPr>
    <w:rPr>
      <w:b/>
      <w:color w:val="31A7D4" w:themeColor="accent1"/>
      <w:sz w:val="28"/>
      <w:szCs w:val="28"/>
    </w:rPr>
  </w:style>
  <w:style w:type="paragraph" w:customStyle="1" w:styleId="Questiontext">
    <w:name w:val="Question text"/>
    <w:basedOn w:val="ListParagraph"/>
    <w:qFormat/>
    <w:rsid w:val="00645953"/>
    <w:pPr>
      <w:numPr>
        <w:numId w:val="24"/>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931983"/>
    <w:pPr>
      <w:spacing w:after="0" w:line="240" w:lineRule="auto"/>
    </w:pPr>
    <w:rPr>
      <w:color w:val="000000" w:themeColor="text1"/>
      <w:sz w:val="18"/>
    </w:rPr>
  </w:style>
  <w:style w:type="paragraph" w:customStyle="1" w:styleId="Overviewheading">
    <w:name w:val="Overview heading"/>
    <w:basedOn w:val="Heading2"/>
    <w:qFormat/>
    <w:rsid w:val="00645953"/>
    <w:pPr>
      <w:numPr>
        <w:numId w:val="0"/>
      </w:numPr>
      <w:spacing w:after="240"/>
    </w:pPr>
  </w:style>
  <w:style w:type="paragraph" w:styleId="NormalWeb">
    <w:name w:val="Normal (Web)"/>
    <w:basedOn w:val="Normal"/>
    <w:semiHidden/>
    <w:rsid w:val="00334D76"/>
    <w:rPr>
      <w:rFonts w:ascii="Times New Roman" w:hAnsi="Times New Roman"/>
      <w:szCs w:val="24"/>
    </w:rPr>
  </w:style>
  <w:style w:type="character" w:customStyle="1" w:styleId="Heading1Char">
    <w:name w:val="Heading 1 Char"/>
    <w:basedOn w:val="DefaultParagraphFont"/>
    <w:link w:val="Heading1"/>
    <w:rsid w:val="00645953"/>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DF66B3"/>
    <w:rPr>
      <w:rFonts w:ascii="Arial" w:hAnsi="Arial" w:cs="Arial"/>
      <w:b/>
      <w:bCs/>
      <w:color w:val="000000" w:themeColor="text1"/>
      <w:kern w:val="32"/>
      <w:sz w:val="40"/>
      <w:szCs w:val="36"/>
    </w:rPr>
  </w:style>
  <w:style w:type="paragraph" w:styleId="Title">
    <w:name w:val="Title"/>
    <w:basedOn w:val="Normal"/>
    <w:next w:val="Normal"/>
    <w:link w:val="TitleChar"/>
    <w:uiPriority w:val="10"/>
    <w:rsid w:val="00645953"/>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645953"/>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645953"/>
    <w:pPr>
      <w:numPr>
        <w:numId w:val="23"/>
      </w:numPr>
      <w:spacing w:after="120"/>
      <w:ind w:left="567" w:hanging="567"/>
      <w:contextualSpacing w:val="0"/>
    </w:pPr>
  </w:style>
  <w:style w:type="paragraph" w:styleId="Quote">
    <w:name w:val="Quote"/>
    <w:basedOn w:val="Normal"/>
    <w:next w:val="Normal"/>
    <w:link w:val="QuoteChar"/>
    <w:uiPriority w:val="29"/>
    <w:qFormat/>
    <w:rsid w:val="00645953"/>
    <w:pPr>
      <w:spacing w:before="120"/>
      <w:ind w:left="567"/>
    </w:pPr>
    <w:rPr>
      <w:iCs/>
      <w:color w:val="000000" w:themeColor="text1"/>
    </w:rPr>
  </w:style>
  <w:style w:type="character" w:customStyle="1" w:styleId="QuoteChar">
    <w:name w:val="Quote Char"/>
    <w:basedOn w:val="DefaultParagraphFont"/>
    <w:link w:val="Quote"/>
    <w:uiPriority w:val="29"/>
    <w:rsid w:val="00645953"/>
    <w:rPr>
      <w:rFonts w:ascii="Arial" w:hAnsi="Arial"/>
      <w:iCs/>
      <w:color w:val="000000" w:themeColor="text1"/>
      <w:sz w:val="22"/>
    </w:rPr>
  </w:style>
  <w:style w:type="character" w:customStyle="1" w:styleId="Heading3Char">
    <w:name w:val="Heading 3 Char"/>
    <w:basedOn w:val="DefaultParagraphFont"/>
    <w:link w:val="Heading3"/>
    <w:rsid w:val="00645953"/>
    <w:rPr>
      <w:rFonts w:ascii="Arial" w:eastAsiaTheme="majorEastAsia" w:hAnsi="Arial" w:cstheme="majorBidi"/>
      <w:b/>
      <w:bCs/>
      <w:color w:val="31A7D4" w:themeColor="accent1"/>
      <w:sz w:val="30"/>
    </w:rPr>
  </w:style>
  <w:style w:type="paragraph" w:customStyle="1" w:styleId="Overviewtext">
    <w:name w:val="Overview text"/>
    <w:basedOn w:val="Normal"/>
    <w:qFormat/>
    <w:rsid w:val="00645953"/>
    <w:rPr>
      <w:sz w:val="32"/>
      <w:szCs w:val="32"/>
    </w:rPr>
  </w:style>
  <w:style w:type="paragraph" w:customStyle="1" w:styleId="Singleparagraph0">
    <w:name w:val="Single paragraph"/>
    <w:basedOn w:val="Normal"/>
    <w:qFormat/>
    <w:rsid w:val="00645953"/>
    <w:pPr>
      <w:spacing w:after="0" w:line="240" w:lineRule="auto"/>
    </w:pPr>
  </w:style>
  <w:style w:type="character" w:customStyle="1" w:styleId="HeaderChar">
    <w:name w:val="Header Char"/>
    <w:basedOn w:val="DefaultParagraphFont"/>
    <w:link w:val="Header"/>
    <w:uiPriority w:val="99"/>
    <w:rsid w:val="00645953"/>
    <w:rPr>
      <w:rFonts w:ascii="Arial" w:hAnsi="Arial"/>
      <w:color w:val="636363" w:themeColor="accent2"/>
      <w:sz w:val="22"/>
    </w:rPr>
  </w:style>
  <w:style w:type="paragraph" w:customStyle="1" w:styleId="Overviewheading2">
    <w:name w:val="Overview heading 2"/>
    <w:basedOn w:val="Heading2"/>
    <w:qFormat/>
    <w:rsid w:val="00645953"/>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645953"/>
    <w:rPr>
      <w:rFonts w:ascii="Tahoma" w:hAnsi="Tahoma" w:cs="Tahoma"/>
      <w:sz w:val="16"/>
      <w:szCs w:val="16"/>
    </w:rPr>
  </w:style>
  <w:style w:type="paragraph" w:customStyle="1" w:styleId="ChartandTableNote">
    <w:name w:val="Chart and Table Note"/>
    <w:next w:val="Normal"/>
    <w:rsid w:val="00645953"/>
    <w:rPr>
      <w:rFonts w:ascii="Arial" w:hAnsi="Arial"/>
      <w:color w:val="000000" w:themeColor="tex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5953"/>
    <w:pPr>
      <w:spacing w:after="240" w:line="276" w:lineRule="auto"/>
    </w:pPr>
    <w:rPr>
      <w:rFonts w:ascii="Arial" w:hAnsi="Arial"/>
      <w:sz w:val="22"/>
    </w:rPr>
  </w:style>
  <w:style w:type="paragraph" w:styleId="Heading1">
    <w:name w:val="heading 1"/>
    <w:basedOn w:val="Normal"/>
    <w:next w:val="Normal"/>
    <w:link w:val="Heading1Char"/>
    <w:qFormat/>
    <w:rsid w:val="00645953"/>
    <w:pPr>
      <w:keepNext/>
      <w:numPr>
        <w:numId w:val="28"/>
      </w:numPr>
      <w:spacing w:before="240" w:after="360" w:line="240" w:lineRule="auto"/>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DF66B3"/>
    <w:pPr>
      <w:numPr>
        <w:ilvl w:val="1"/>
      </w:numPr>
      <w:pBdr>
        <w:top w:val="single" w:sz="12" w:space="3" w:color="31A7D4" w:themeColor="accent1"/>
        <w:bottom w:val="single" w:sz="12" w:space="3" w:color="31A7D4" w:themeColor="accent1"/>
      </w:pBdr>
      <w:ind w:left="993" w:hanging="993"/>
      <w:outlineLvl w:val="1"/>
    </w:pPr>
    <w:rPr>
      <w:sz w:val="40"/>
    </w:rPr>
  </w:style>
  <w:style w:type="paragraph" w:styleId="Heading3">
    <w:name w:val="heading 3"/>
    <w:basedOn w:val="Normal"/>
    <w:next w:val="Normal"/>
    <w:link w:val="Heading3Char"/>
    <w:unhideWhenUsed/>
    <w:qFormat/>
    <w:rsid w:val="00645953"/>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645953"/>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645953"/>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F34D75"/>
    <w:pPr>
      <w:numPr>
        <w:ilvl w:val="5"/>
        <w:numId w:val="16"/>
      </w:numPr>
      <w:spacing w:after="120"/>
      <w:outlineLvl w:val="5"/>
    </w:pPr>
    <w:rPr>
      <w:bCs/>
      <w:sz w:val="22"/>
      <w:szCs w:val="22"/>
    </w:rPr>
  </w:style>
  <w:style w:type="paragraph" w:styleId="Heading7">
    <w:name w:val="heading 7"/>
    <w:basedOn w:val="HeadingBase"/>
    <w:next w:val="Normal"/>
    <w:semiHidden/>
    <w:rsid w:val="00F34D75"/>
    <w:pPr>
      <w:numPr>
        <w:ilvl w:val="6"/>
        <w:numId w:val="16"/>
      </w:numPr>
      <w:spacing w:after="120"/>
      <w:outlineLvl w:val="6"/>
    </w:pPr>
    <w:rPr>
      <w:szCs w:val="24"/>
    </w:rPr>
  </w:style>
  <w:style w:type="paragraph" w:styleId="Heading8">
    <w:name w:val="heading 8"/>
    <w:basedOn w:val="HeadingBase"/>
    <w:next w:val="Normal"/>
    <w:semiHidden/>
    <w:rsid w:val="00F34D75"/>
    <w:pPr>
      <w:numPr>
        <w:ilvl w:val="7"/>
        <w:numId w:val="16"/>
      </w:numPr>
      <w:spacing w:before="60" w:after="60"/>
      <w:jc w:val="center"/>
      <w:outlineLvl w:val="7"/>
    </w:pPr>
    <w:rPr>
      <w:iCs/>
      <w:smallCaps/>
      <w:sz w:val="22"/>
      <w:szCs w:val="24"/>
    </w:rPr>
  </w:style>
  <w:style w:type="paragraph" w:styleId="Heading9">
    <w:name w:val="heading 9"/>
    <w:basedOn w:val="HeadingBase"/>
    <w:next w:val="Normal"/>
    <w:semiHidden/>
    <w:rsid w:val="00F34D75"/>
    <w:pPr>
      <w:numPr>
        <w:ilvl w:val="8"/>
        <w:numId w:val="16"/>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F34D75"/>
    <w:pPr>
      <w:spacing w:after="0"/>
    </w:pPr>
  </w:style>
  <w:style w:type="character" w:styleId="Hyperlink">
    <w:name w:val="Hyperlink"/>
    <w:basedOn w:val="DefaultParagraphFont"/>
    <w:uiPriority w:val="99"/>
    <w:unhideWhenUsed/>
    <w:rsid w:val="00F34D75"/>
    <w:rPr>
      <w:color w:val="31A7D4" w:themeColor="text2"/>
      <w:u w:val="none"/>
    </w:rPr>
  </w:style>
  <w:style w:type="character" w:customStyle="1" w:styleId="BoldandItalic">
    <w:name w:val="Bold and Italic"/>
    <w:basedOn w:val="DefaultParagraphFont"/>
    <w:rsid w:val="00F34D75"/>
    <w:rPr>
      <w:rFonts w:ascii="Calibri" w:hAnsi="Calibri"/>
      <w:b/>
      <w:i/>
    </w:rPr>
  </w:style>
  <w:style w:type="table" w:styleId="TableGrid">
    <w:name w:val="Table Grid"/>
    <w:basedOn w:val="TableNormal"/>
    <w:uiPriority w:val="59"/>
    <w:rsid w:val="00645953"/>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2B37B7"/>
    <w:pPr>
      <w:spacing w:before="40" w:after="40"/>
    </w:pPr>
    <w:rPr>
      <w:b/>
      <w:color w:val="FFFFFF" w:themeColor="background1"/>
      <w:sz w:val="20"/>
    </w:rPr>
  </w:style>
  <w:style w:type="paragraph" w:styleId="FootnoteText">
    <w:name w:val="footnote text"/>
    <w:basedOn w:val="Normal"/>
    <w:link w:val="FootnoteTextChar"/>
    <w:uiPriority w:val="99"/>
    <w:rsid w:val="00645953"/>
    <w:pPr>
      <w:spacing w:before="40" w:after="0" w:line="240" w:lineRule="auto"/>
      <w:ind w:left="426" w:hanging="426"/>
    </w:pPr>
    <w:rPr>
      <w:sz w:val="18"/>
    </w:rPr>
  </w:style>
  <w:style w:type="paragraph" w:customStyle="1" w:styleId="Dash">
    <w:name w:val="Dash"/>
    <w:basedOn w:val="Normal"/>
    <w:rsid w:val="00645953"/>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645953"/>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uiPriority w:val="2"/>
    <w:rsid w:val="00F34D75"/>
    <w:pPr>
      <w:numPr>
        <w:numId w:val="2"/>
      </w:numPr>
      <w:spacing w:line="280" w:lineRule="exact"/>
      <w:jc w:val="both"/>
    </w:pPr>
  </w:style>
  <w:style w:type="paragraph" w:customStyle="1" w:styleId="OutlineNumbered2">
    <w:name w:val="Outline Numbered 2"/>
    <w:basedOn w:val="Normal"/>
    <w:uiPriority w:val="2"/>
    <w:rsid w:val="00F34D75"/>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F34D75"/>
    <w:pPr>
      <w:numPr>
        <w:numId w:val="3"/>
      </w:numPr>
    </w:pPr>
  </w:style>
  <w:style w:type="paragraph" w:customStyle="1" w:styleId="HeadingBase">
    <w:name w:val="Heading Base"/>
    <w:next w:val="Normal"/>
    <w:rsid w:val="00F34D75"/>
    <w:pPr>
      <w:keepNext/>
    </w:pPr>
    <w:rPr>
      <w:rFonts w:ascii="Calibri" w:hAnsi="Calibri"/>
      <w:color w:val="31A7D4" w:themeColor="accent1"/>
    </w:rPr>
  </w:style>
  <w:style w:type="paragraph" w:customStyle="1" w:styleId="AppendixHeading">
    <w:name w:val="Appendix Heading"/>
    <w:basedOn w:val="HeadingBase"/>
    <w:next w:val="Normal"/>
    <w:rsid w:val="00F34D75"/>
    <w:pPr>
      <w:spacing w:before="720" w:after="360"/>
      <w:outlineLvl w:val="0"/>
    </w:pPr>
    <w:rPr>
      <w:b/>
      <w:smallCaps/>
      <w:sz w:val="36"/>
      <w:szCs w:val="36"/>
    </w:rPr>
  </w:style>
  <w:style w:type="character" w:customStyle="1" w:styleId="Bold">
    <w:name w:val="Bold"/>
    <w:basedOn w:val="DefaultParagraphFont"/>
    <w:rsid w:val="00F34D75"/>
    <w:rPr>
      <w:b/>
    </w:rPr>
  </w:style>
  <w:style w:type="paragraph" w:customStyle="1" w:styleId="BoxHeading">
    <w:name w:val="Box Heading"/>
    <w:basedOn w:val="Caption"/>
    <w:next w:val="BoxText"/>
    <w:unhideWhenUsed/>
    <w:rsid w:val="00645953"/>
    <w:rPr>
      <w:sz w:val="28"/>
      <w:szCs w:val="28"/>
    </w:rPr>
  </w:style>
  <w:style w:type="paragraph" w:customStyle="1" w:styleId="BoxTextBase">
    <w:name w:val="Box Text Base"/>
    <w:basedOn w:val="Normal"/>
    <w:unhideWhenUsed/>
    <w:rsid w:val="00645953"/>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645953"/>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645953"/>
    <w:pPr>
      <w:keepNext/>
      <w:spacing w:after="0" w:line="240" w:lineRule="auto"/>
      <w:jc w:val="center"/>
    </w:pPr>
    <w:rPr>
      <w:color w:val="636363" w:themeColor="accent2"/>
    </w:rPr>
  </w:style>
  <w:style w:type="paragraph" w:customStyle="1" w:styleId="ChartMainHeading">
    <w:name w:val="Chart Main Heading"/>
    <w:basedOn w:val="Caption"/>
    <w:next w:val="ChartGraphic"/>
    <w:rsid w:val="00645953"/>
    <w:pPr>
      <w:keepNext/>
      <w:spacing w:before="120" w:after="60"/>
      <w:jc w:val="center"/>
    </w:pPr>
    <w:rPr>
      <w:sz w:val="20"/>
      <w:szCs w:val="20"/>
    </w:rPr>
  </w:style>
  <w:style w:type="paragraph" w:customStyle="1" w:styleId="ChartorTableNote">
    <w:name w:val="Chart or Table Note"/>
    <w:next w:val="Normal"/>
    <w:rsid w:val="00645953"/>
    <w:pPr>
      <w:jc w:val="both"/>
    </w:pPr>
    <w:rPr>
      <w:rFonts w:ascii="Arial" w:hAnsi="Arial"/>
      <w:color w:val="000000"/>
      <w:sz w:val="18"/>
    </w:rPr>
  </w:style>
  <w:style w:type="paragraph" w:customStyle="1" w:styleId="ChartSecondHeading">
    <w:name w:val="Chart Second Heading"/>
    <w:basedOn w:val="HeadingBase"/>
    <w:next w:val="ChartGraphic"/>
    <w:rsid w:val="00F34D75"/>
    <w:pPr>
      <w:spacing w:after="20"/>
      <w:jc w:val="center"/>
    </w:pPr>
  </w:style>
  <w:style w:type="paragraph" w:customStyle="1" w:styleId="Classification">
    <w:name w:val="Classification"/>
    <w:basedOn w:val="HeadingBase"/>
    <w:next w:val="Footer"/>
    <w:semiHidden/>
    <w:rsid w:val="00F34D75"/>
    <w:pPr>
      <w:spacing w:after="120"/>
      <w:jc w:val="center"/>
    </w:pPr>
    <w:rPr>
      <w:b/>
      <w:smallCaps/>
    </w:rPr>
  </w:style>
  <w:style w:type="paragraph" w:styleId="Footer">
    <w:name w:val="footer"/>
    <w:basedOn w:val="Normal"/>
    <w:link w:val="FooterChar"/>
    <w:uiPriority w:val="99"/>
    <w:unhideWhenUsed/>
    <w:rsid w:val="00645953"/>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F34D75"/>
    <w:pPr>
      <w:spacing w:after="360"/>
      <w:jc w:val="center"/>
    </w:pPr>
    <w:rPr>
      <w:smallCaps/>
      <w:sz w:val="40"/>
      <w:szCs w:val="36"/>
    </w:rPr>
  </w:style>
  <w:style w:type="paragraph" w:customStyle="1" w:styleId="CoverTitleMain">
    <w:name w:val="Cover Title Main"/>
    <w:basedOn w:val="HeadingBase"/>
    <w:next w:val="Normal"/>
    <w:uiPriority w:val="2"/>
    <w:rsid w:val="00F34D75"/>
    <w:pPr>
      <w:spacing w:before="720" w:after="480"/>
    </w:pPr>
    <w:rPr>
      <w:b/>
      <w:caps/>
      <w:sz w:val="48"/>
    </w:rPr>
  </w:style>
  <w:style w:type="paragraph" w:customStyle="1" w:styleId="CoverTitleSub">
    <w:name w:val="Cover Title Sub"/>
    <w:basedOn w:val="HeadingBase"/>
    <w:uiPriority w:val="2"/>
    <w:rsid w:val="00F34D75"/>
    <w:pPr>
      <w:pBdr>
        <w:top w:val="single" w:sz="4" w:space="1" w:color="009976"/>
      </w:pBdr>
      <w:spacing w:after="360"/>
      <w:jc w:val="right"/>
    </w:pPr>
    <w:rPr>
      <w:sz w:val="36"/>
    </w:rPr>
  </w:style>
  <w:style w:type="paragraph" w:customStyle="1" w:styleId="FooterCentered">
    <w:name w:val="Footer Centered"/>
    <w:basedOn w:val="Footer"/>
    <w:unhideWhenUsed/>
    <w:rsid w:val="00F34D75"/>
    <w:pPr>
      <w:jc w:val="center"/>
    </w:pPr>
  </w:style>
  <w:style w:type="paragraph" w:customStyle="1" w:styleId="FooterEven">
    <w:name w:val="Footer Even"/>
    <w:basedOn w:val="Footer"/>
    <w:unhideWhenUsed/>
    <w:rsid w:val="007B66D2"/>
    <w:rPr>
      <w:noProof/>
    </w:rPr>
  </w:style>
  <w:style w:type="paragraph" w:customStyle="1" w:styleId="FooterOdd">
    <w:name w:val="Footer Odd"/>
    <w:basedOn w:val="Footer"/>
    <w:unhideWhenUsed/>
    <w:rsid w:val="007B66D2"/>
  </w:style>
  <w:style w:type="character" w:customStyle="1" w:styleId="FramedFooter">
    <w:name w:val="Framed Footer"/>
    <w:semiHidden/>
    <w:rsid w:val="00F34D75"/>
    <w:rPr>
      <w:rFonts w:ascii="Arial" w:hAnsi="Arial"/>
      <w:color w:val="31A7D4" w:themeColor="accent1"/>
      <w:sz w:val="18"/>
    </w:rPr>
  </w:style>
  <w:style w:type="character" w:customStyle="1" w:styleId="FramedHeader">
    <w:name w:val="Framed Header"/>
    <w:basedOn w:val="DefaultParagraphFont"/>
    <w:semiHidden/>
    <w:rsid w:val="00F34D75"/>
    <w:rPr>
      <w:rFonts w:ascii="Arial" w:hAnsi="Arial"/>
      <w:dstrike w:val="0"/>
      <w:color w:val="31A7D4" w:themeColor="accent1"/>
      <w:sz w:val="18"/>
      <w:vertAlign w:val="baseline"/>
    </w:rPr>
  </w:style>
  <w:style w:type="paragraph" w:styleId="Header">
    <w:name w:val="header"/>
    <w:basedOn w:val="Normal"/>
    <w:link w:val="HeaderChar"/>
    <w:uiPriority w:val="99"/>
    <w:unhideWhenUsed/>
    <w:rsid w:val="00645953"/>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7B66D2"/>
    <w:pPr>
      <w:jc w:val="left"/>
    </w:pPr>
  </w:style>
  <w:style w:type="paragraph" w:customStyle="1" w:styleId="HeaderOdd">
    <w:name w:val="Header Odd"/>
    <w:basedOn w:val="Header"/>
    <w:rsid w:val="00F34D75"/>
  </w:style>
  <w:style w:type="paragraph" w:styleId="NormalIndent">
    <w:name w:val="Normal Indent"/>
    <w:basedOn w:val="Normal"/>
    <w:semiHidden/>
    <w:rsid w:val="00F34D75"/>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F34D75"/>
    <w:pPr>
      <w:spacing w:after="120"/>
    </w:pPr>
  </w:style>
  <w:style w:type="paragraph" w:customStyle="1" w:styleId="RecommendationText">
    <w:name w:val="Recommendation Text"/>
    <w:basedOn w:val="Normal"/>
    <w:qFormat/>
    <w:rsid w:val="00813F9E"/>
    <w:pPr>
      <w:spacing w:after="120"/>
      <w:ind w:left="459" w:hanging="425"/>
    </w:pPr>
    <w:rPr>
      <w:color w:val="000000"/>
    </w:rPr>
  </w:style>
  <w:style w:type="paragraph" w:customStyle="1" w:styleId="TableTextBase">
    <w:name w:val="Table Text Base"/>
    <w:uiPriority w:val="1"/>
    <w:unhideWhenUsed/>
    <w:rsid w:val="00645953"/>
    <w:pPr>
      <w:spacing w:before="40" w:after="40"/>
    </w:pPr>
    <w:rPr>
      <w:rFonts w:ascii="Arial" w:hAnsi="Arial"/>
      <w:color w:val="31A7D4" w:themeColor="accent1"/>
    </w:rPr>
  </w:style>
  <w:style w:type="paragraph" w:customStyle="1" w:styleId="TableColumnHeadingCentred">
    <w:name w:val="Table Column Heading Centred"/>
    <w:basedOn w:val="TableColumnHeadingBase"/>
    <w:uiPriority w:val="1"/>
    <w:unhideWhenUsed/>
    <w:rsid w:val="00F34D75"/>
    <w:pPr>
      <w:jc w:val="center"/>
    </w:pPr>
  </w:style>
  <w:style w:type="paragraph" w:customStyle="1" w:styleId="TableColumnHeadingLeft">
    <w:name w:val="Table Column Heading Left"/>
    <w:basedOn w:val="TableColumnHeadingBase"/>
    <w:uiPriority w:val="1"/>
    <w:unhideWhenUsed/>
    <w:rsid w:val="00334D76"/>
  </w:style>
  <w:style w:type="paragraph" w:customStyle="1" w:styleId="TableColumnHeadingRight">
    <w:name w:val="Table Column Heading Right"/>
    <w:basedOn w:val="TableColumnHeadingBase"/>
    <w:uiPriority w:val="1"/>
    <w:unhideWhenUsed/>
    <w:rsid w:val="00F34D75"/>
    <w:pPr>
      <w:jc w:val="right"/>
    </w:pPr>
  </w:style>
  <w:style w:type="paragraph" w:customStyle="1" w:styleId="TableGraphic">
    <w:name w:val="Table Graphic"/>
    <w:basedOn w:val="Normal"/>
    <w:next w:val="Normal"/>
    <w:rsid w:val="00645953"/>
    <w:pPr>
      <w:keepNext/>
      <w:spacing w:after="0" w:line="240" w:lineRule="auto"/>
    </w:pPr>
    <w:rPr>
      <w:color w:val="636363" w:themeColor="accent2"/>
    </w:rPr>
  </w:style>
  <w:style w:type="paragraph" w:customStyle="1" w:styleId="TableMainHeading">
    <w:name w:val="Table Main Heading"/>
    <w:basedOn w:val="Normal"/>
    <w:next w:val="Normal"/>
    <w:uiPriority w:val="1"/>
    <w:rsid w:val="005145AF"/>
    <w:pPr>
      <w:keepNext/>
      <w:spacing w:before="120" w:after="60"/>
    </w:pPr>
    <w:rPr>
      <w:b/>
      <w:color w:val="31A7D4" w:themeColor="accent1"/>
      <w:sz w:val="20"/>
    </w:rPr>
  </w:style>
  <w:style w:type="paragraph" w:customStyle="1" w:styleId="TableMainHeadingContd">
    <w:name w:val="Table Main Heading Contd"/>
    <w:basedOn w:val="HeadingBase"/>
    <w:next w:val="TableGraphic"/>
    <w:uiPriority w:val="1"/>
    <w:unhideWhenUsed/>
    <w:rsid w:val="00F34D75"/>
    <w:pPr>
      <w:pageBreakBefore/>
      <w:spacing w:after="20"/>
    </w:pPr>
    <w:rPr>
      <w:b/>
      <w:sz w:val="22"/>
    </w:rPr>
  </w:style>
  <w:style w:type="paragraph" w:customStyle="1" w:styleId="TableSecondHeading">
    <w:name w:val="Table Second Heading"/>
    <w:basedOn w:val="HeadingBase"/>
    <w:next w:val="TableGraphic"/>
    <w:uiPriority w:val="1"/>
    <w:unhideWhenUsed/>
    <w:rsid w:val="00F34D75"/>
    <w:pPr>
      <w:spacing w:after="20"/>
    </w:pPr>
  </w:style>
  <w:style w:type="paragraph" w:customStyle="1" w:styleId="TableTextCentered">
    <w:name w:val="Table Text Centered"/>
    <w:basedOn w:val="TableTextBase"/>
    <w:uiPriority w:val="1"/>
    <w:unhideWhenUsed/>
    <w:rsid w:val="00F34D75"/>
    <w:pPr>
      <w:jc w:val="center"/>
    </w:pPr>
  </w:style>
  <w:style w:type="paragraph" w:customStyle="1" w:styleId="TableTextIndented">
    <w:name w:val="Table Text Indented"/>
    <w:basedOn w:val="TableTextBase"/>
    <w:uiPriority w:val="1"/>
    <w:unhideWhenUsed/>
    <w:rsid w:val="00F34D75"/>
    <w:pPr>
      <w:ind w:left="284"/>
    </w:pPr>
  </w:style>
  <w:style w:type="paragraph" w:customStyle="1" w:styleId="TableTextLeft">
    <w:name w:val="Table Text Left"/>
    <w:basedOn w:val="Normal"/>
    <w:rsid w:val="00645953"/>
    <w:pPr>
      <w:spacing w:before="60" w:after="60"/>
    </w:pPr>
  </w:style>
  <w:style w:type="paragraph" w:customStyle="1" w:styleId="TableTextRight">
    <w:name w:val="Table Text Right"/>
    <w:basedOn w:val="TableTextBase"/>
    <w:uiPriority w:val="1"/>
    <w:unhideWhenUsed/>
    <w:rsid w:val="00F34D75"/>
    <w:pPr>
      <w:jc w:val="right"/>
    </w:pPr>
  </w:style>
  <w:style w:type="paragraph" w:styleId="TOC1">
    <w:name w:val="toc 1"/>
    <w:basedOn w:val="HeadingBase"/>
    <w:next w:val="Normal"/>
    <w:uiPriority w:val="39"/>
    <w:rsid w:val="00F34D75"/>
    <w:pPr>
      <w:tabs>
        <w:tab w:val="left" w:pos="284"/>
        <w:tab w:val="left" w:pos="567"/>
        <w:tab w:val="right" w:leader="dot" w:pos="9072"/>
      </w:tabs>
      <w:spacing w:before="180" w:after="60"/>
      <w:ind w:left="284" w:right="851" w:hanging="284"/>
    </w:pPr>
    <w:rPr>
      <w:caps/>
      <w:sz w:val="24"/>
      <w:szCs w:val="22"/>
    </w:rPr>
  </w:style>
  <w:style w:type="paragraph" w:styleId="TOC2">
    <w:name w:val="toc 2"/>
    <w:basedOn w:val="Normal"/>
    <w:next w:val="Normal"/>
    <w:uiPriority w:val="39"/>
    <w:rsid w:val="0022385E"/>
    <w:pPr>
      <w:numPr>
        <w:numId w:val="1"/>
      </w:num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F34D75"/>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F34D75"/>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F34D75"/>
    <w:rPr>
      <w:i/>
    </w:rPr>
  </w:style>
  <w:style w:type="paragraph" w:customStyle="1" w:styleId="OneLevelNumberedParagraph">
    <w:name w:val="One Level Numbered Paragraph"/>
    <w:basedOn w:val="Normal"/>
    <w:semiHidden/>
    <w:rsid w:val="00F34D75"/>
    <w:pPr>
      <w:numPr>
        <w:numId w:val="6"/>
      </w:numPr>
    </w:pPr>
  </w:style>
  <w:style w:type="paragraph" w:customStyle="1" w:styleId="BoxText">
    <w:name w:val="Box Text"/>
    <w:basedOn w:val="BoxTextBase"/>
    <w:unhideWhenUsed/>
    <w:rsid w:val="00645953"/>
    <w:pPr>
      <w:shd w:val="clear" w:color="auto" w:fill="auto"/>
      <w:spacing w:after="120"/>
    </w:pPr>
  </w:style>
  <w:style w:type="paragraph" w:customStyle="1" w:styleId="BoxBullet">
    <w:name w:val="Box Bullet"/>
    <w:basedOn w:val="BoxTextBase"/>
    <w:unhideWhenUsed/>
    <w:rsid w:val="00645953"/>
    <w:pPr>
      <w:numPr>
        <w:numId w:val="5"/>
      </w:numPr>
      <w:shd w:val="clear" w:color="auto" w:fill="auto"/>
    </w:pPr>
  </w:style>
  <w:style w:type="paragraph" w:customStyle="1" w:styleId="BoxDash">
    <w:name w:val="Box Dash"/>
    <w:basedOn w:val="BoxTextBase"/>
    <w:unhideWhenUsed/>
    <w:rsid w:val="00645953"/>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645953"/>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F34D75"/>
    <w:pPr>
      <w:numPr>
        <w:numId w:val="7"/>
      </w:numPr>
    </w:pPr>
  </w:style>
  <w:style w:type="paragraph" w:customStyle="1" w:styleId="RecommendationDash">
    <w:name w:val="Recommendation Dash"/>
    <w:basedOn w:val="RecommendationTextBase"/>
    <w:rsid w:val="00F34D75"/>
    <w:pPr>
      <w:numPr>
        <w:ilvl w:val="1"/>
        <w:numId w:val="7"/>
      </w:numPr>
    </w:pPr>
  </w:style>
  <w:style w:type="paragraph" w:customStyle="1" w:styleId="RecommendationDoubleDot">
    <w:name w:val="Recommendation Double Dot"/>
    <w:basedOn w:val="RecommendationTextBase"/>
    <w:rsid w:val="00F34D75"/>
    <w:pPr>
      <w:numPr>
        <w:ilvl w:val="2"/>
        <w:numId w:val="7"/>
      </w:numPr>
    </w:pPr>
  </w:style>
  <w:style w:type="character" w:styleId="FollowedHyperlink">
    <w:name w:val="FollowedHyperlink"/>
    <w:basedOn w:val="DefaultParagraphFont"/>
    <w:unhideWhenUsed/>
    <w:rsid w:val="00F34D75"/>
    <w:rPr>
      <w:color w:val="auto"/>
      <w:u w:val="none"/>
    </w:rPr>
  </w:style>
  <w:style w:type="paragraph" w:customStyle="1" w:styleId="Heading1NotNumbered">
    <w:name w:val="Heading 1 Not Numbered"/>
    <w:basedOn w:val="HeadingBase"/>
    <w:next w:val="Normal"/>
    <w:rsid w:val="00F34D75"/>
    <w:pPr>
      <w:spacing w:before="720" w:after="360"/>
    </w:pPr>
    <w:rPr>
      <w:smallCaps/>
      <w:sz w:val="40"/>
      <w:szCs w:val="36"/>
    </w:rPr>
  </w:style>
  <w:style w:type="paragraph" w:customStyle="1" w:styleId="Heading2NotNumbered">
    <w:name w:val="Heading 2 Not Numbered"/>
    <w:basedOn w:val="HeadingBase"/>
    <w:next w:val="Normal"/>
    <w:rsid w:val="00F34D75"/>
    <w:pPr>
      <w:spacing w:before="360" w:after="180"/>
    </w:pPr>
    <w:rPr>
      <w:smallCaps/>
      <w:sz w:val="32"/>
      <w:szCs w:val="28"/>
    </w:rPr>
  </w:style>
  <w:style w:type="paragraph" w:customStyle="1" w:styleId="Heading3NotNumbered">
    <w:name w:val="Heading 3 Not Numbered"/>
    <w:basedOn w:val="HeadingBase"/>
    <w:next w:val="Normal"/>
    <w:rsid w:val="00F34D75"/>
    <w:pPr>
      <w:spacing w:before="240" w:after="120"/>
    </w:pPr>
    <w:rPr>
      <w:sz w:val="28"/>
      <w:szCs w:val="26"/>
    </w:rPr>
  </w:style>
  <w:style w:type="paragraph" w:customStyle="1" w:styleId="Heading4NotNumbered">
    <w:name w:val="Heading 4 Not Numbered"/>
    <w:basedOn w:val="HeadingBase"/>
    <w:unhideWhenUsed/>
    <w:rsid w:val="00F34D75"/>
    <w:pPr>
      <w:spacing w:before="120" w:after="120"/>
      <w:outlineLvl w:val="3"/>
    </w:pPr>
    <w:rPr>
      <w:i/>
      <w:sz w:val="26"/>
    </w:rPr>
  </w:style>
  <w:style w:type="paragraph" w:styleId="BalloonText">
    <w:name w:val="Balloon Text"/>
    <w:basedOn w:val="Normal"/>
    <w:link w:val="BalloonTextChar"/>
    <w:uiPriority w:val="99"/>
    <w:semiHidden/>
    <w:unhideWhenUsed/>
    <w:rsid w:val="00645953"/>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645953"/>
    <w:pPr>
      <w:spacing w:after="200" w:line="240" w:lineRule="auto"/>
    </w:pPr>
    <w:rPr>
      <w:b/>
      <w:bCs/>
      <w:color w:val="31A7D4" w:themeColor="accent1"/>
      <w:sz w:val="18"/>
      <w:szCs w:val="18"/>
    </w:rPr>
  </w:style>
  <w:style w:type="character" w:styleId="CommentReference">
    <w:name w:val="annotation reference"/>
    <w:basedOn w:val="DefaultParagraphFont"/>
    <w:semiHidden/>
    <w:rsid w:val="00F34D75"/>
    <w:rPr>
      <w:sz w:val="16"/>
      <w:szCs w:val="16"/>
    </w:rPr>
  </w:style>
  <w:style w:type="paragraph" w:styleId="CommentText">
    <w:name w:val="annotation text"/>
    <w:basedOn w:val="Normal"/>
    <w:semiHidden/>
    <w:rsid w:val="00F34D75"/>
  </w:style>
  <w:style w:type="paragraph" w:styleId="CommentSubject">
    <w:name w:val="annotation subject"/>
    <w:basedOn w:val="CommentText"/>
    <w:next w:val="CommentText"/>
    <w:semiHidden/>
    <w:rsid w:val="00F34D75"/>
    <w:rPr>
      <w:b/>
      <w:bCs/>
    </w:rPr>
  </w:style>
  <w:style w:type="paragraph" w:styleId="DocumentMap">
    <w:name w:val="Document Map"/>
    <w:basedOn w:val="Normal"/>
    <w:semiHidden/>
    <w:rsid w:val="00F34D75"/>
    <w:pPr>
      <w:shd w:val="clear" w:color="auto" w:fill="000080"/>
    </w:pPr>
    <w:rPr>
      <w:rFonts w:ascii="Tahoma" w:hAnsi="Tahoma" w:cs="Tahoma"/>
    </w:rPr>
  </w:style>
  <w:style w:type="character" w:styleId="EndnoteReference">
    <w:name w:val="endnote reference"/>
    <w:basedOn w:val="DefaultParagraphFont"/>
    <w:semiHidden/>
    <w:rsid w:val="00F34D75"/>
    <w:rPr>
      <w:vertAlign w:val="superscript"/>
    </w:rPr>
  </w:style>
  <w:style w:type="paragraph" w:styleId="EndnoteText">
    <w:name w:val="endnote text"/>
    <w:basedOn w:val="Normal"/>
    <w:semiHidden/>
    <w:rsid w:val="00F34D75"/>
  </w:style>
  <w:style w:type="character" w:styleId="FootnoteReference">
    <w:name w:val="footnote reference"/>
    <w:basedOn w:val="DefaultParagraphFont"/>
    <w:uiPriority w:val="99"/>
    <w:unhideWhenUsed/>
    <w:rsid w:val="00645953"/>
    <w:rPr>
      <w:vertAlign w:val="superscript"/>
    </w:rPr>
  </w:style>
  <w:style w:type="paragraph" w:styleId="Index1">
    <w:name w:val="index 1"/>
    <w:basedOn w:val="Normal"/>
    <w:next w:val="Normal"/>
    <w:autoRedefine/>
    <w:semiHidden/>
    <w:rsid w:val="00F34D75"/>
    <w:pPr>
      <w:ind w:left="200" w:hanging="200"/>
    </w:pPr>
  </w:style>
  <w:style w:type="paragraph" w:styleId="Index2">
    <w:name w:val="index 2"/>
    <w:basedOn w:val="Normal"/>
    <w:next w:val="Normal"/>
    <w:autoRedefine/>
    <w:semiHidden/>
    <w:rsid w:val="00F34D75"/>
    <w:pPr>
      <w:ind w:left="400" w:hanging="200"/>
    </w:pPr>
  </w:style>
  <w:style w:type="paragraph" w:styleId="Index3">
    <w:name w:val="index 3"/>
    <w:basedOn w:val="Normal"/>
    <w:next w:val="Normal"/>
    <w:autoRedefine/>
    <w:semiHidden/>
    <w:rsid w:val="00F34D75"/>
    <w:pPr>
      <w:ind w:left="600" w:hanging="200"/>
    </w:pPr>
  </w:style>
  <w:style w:type="paragraph" w:styleId="Index4">
    <w:name w:val="index 4"/>
    <w:basedOn w:val="Normal"/>
    <w:next w:val="Normal"/>
    <w:autoRedefine/>
    <w:semiHidden/>
    <w:rsid w:val="00F34D75"/>
    <w:pPr>
      <w:ind w:left="800" w:hanging="200"/>
    </w:pPr>
  </w:style>
  <w:style w:type="paragraph" w:styleId="Index5">
    <w:name w:val="index 5"/>
    <w:basedOn w:val="Normal"/>
    <w:next w:val="Normal"/>
    <w:autoRedefine/>
    <w:semiHidden/>
    <w:rsid w:val="00F34D75"/>
    <w:pPr>
      <w:ind w:left="1000" w:hanging="200"/>
    </w:pPr>
  </w:style>
  <w:style w:type="paragraph" w:styleId="Index6">
    <w:name w:val="index 6"/>
    <w:basedOn w:val="Normal"/>
    <w:next w:val="Normal"/>
    <w:autoRedefine/>
    <w:semiHidden/>
    <w:rsid w:val="00F34D75"/>
    <w:pPr>
      <w:ind w:left="1200" w:hanging="200"/>
    </w:pPr>
  </w:style>
  <w:style w:type="paragraph" w:styleId="Index7">
    <w:name w:val="index 7"/>
    <w:basedOn w:val="Normal"/>
    <w:next w:val="Normal"/>
    <w:autoRedefine/>
    <w:semiHidden/>
    <w:rsid w:val="00F34D75"/>
    <w:pPr>
      <w:ind w:left="1400" w:hanging="200"/>
    </w:pPr>
  </w:style>
  <w:style w:type="paragraph" w:styleId="Index8">
    <w:name w:val="index 8"/>
    <w:basedOn w:val="Normal"/>
    <w:next w:val="Normal"/>
    <w:autoRedefine/>
    <w:semiHidden/>
    <w:rsid w:val="00F34D75"/>
    <w:pPr>
      <w:ind w:left="1600" w:hanging="200"/>
    </w:pPr>
  </w:style>
  <w:style w:type="paragraph" w:styleId="Index9">
    <w:name w:val="index 9"/>
    <w:basedOn w:val="Normal"/>
    <w:next w:val="Normal"/>
    <w:autoRedefine/>
    <w:semiHidden/>
    <w:rsid w:val="00F34D75"/>
    <w:pPr>
      <w:ind w:left="1800" w:hanging="200"/>
    </w:pPr>
  </w:style>
  <w:style w:type="paragraph" w:styleId="IndexHeading">
    <w:name w:val="index heading"/>
    <w:basedOn w:val="Normal"/>
    <w:next w:val="Index1"/>
    <w:semiHidden/>
    <w:rsid w:val="00F34D75"/>
    <w:rPr>
      <w:rFonts w:cs="Arial"/>
      <w:b/>
      <w:bCs/>
    </w:rPr>
  </w:style>
  <w:style w:type="paragraph" w:styleId="MacroText">
    <w:name w:val="macro"/>
    <w:semiHidden/>
    <w:rsid w:val="00F34D75"/>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F34D75"/>
    <w:pPr>
      <w:ind w:left="200" w:hanging="200"/>
    </w:pPr>
  </w:style>
  <w:style w:type="paragraph" w:styleId="TableofFigures">
    <w:name w:val="table of figures"/>
    <w:basedOn w:val="Normal"/>
    <w:next w:val="Normal"/>
    <w:semiHidden/>
    <w:rsid w:val="00F34D75"/>
  </w:style>
  <w:style w:type="paragraph" w:styleId="TOAHeading">
    <w:name w:val="toa heading"/>
    <w:basedOn w:val="Normal"/>
    <w:next w:val="Normal"/>
    <w:semiHidden/>
    <w:rsid w:val="00F34D75"/>
    <w:rPr>
      <w:rFonts w:cs="Arial"/>
      <w:b/>
      <w:bCs/>
      <w:szCs w:val="24"/>
    </w:rPr>
  </w:style>
  <w:style w:type="paragraph" w:styleId="TOC5">
    <w:name w:val="toc 5"/>
    <w:basedOn w:val="Normal"/>
    <w:next w:val="Normal"/>
    <w:autoRedefine/>
    <w:semiHidden/>
    <w:rsid w:val="00F34D75"/>
    <w:pPr>
      <w:ind w:left="800"/>
    </w:pPr>
  </w:style>
  <w:style w:type="paragraph" w:styleId="TOC6">
    <w:name w:val="toc 6"/>
    <w:basedOn w:val="Normal"/>
    <w:next w:val="Normal"/>
    <w:autoRedefine/>
    <w:semiHidden/>
    <w:rsid w:val="00F34D75"/>
    <w:pPr>
      <w:ind w:left="1000"/>
    </w:pPr>
  </w:style>
  <w:style w:type="paragraph" w:styleId="TOC7">
    <w:name w:val="toc 7"/>
    <w:basedOn w:val="Normal"/>
    <w:next w:val="Normal"/>
    <w:autoRedefine/>
    <w:semiHidden/>
    <w:rsid w:val="00F34D75"/>
    <w:pPr>
      <w:ind w:left="1200"/>
    </w:pPr>
  </w:style>
  <w:style w:type="paragraph" w:styleId="TOC8">
    <w:name w:val="toc 8"/>
    <w:basedOn w:val="Normal"/>
    <w:next w:val="Normal"/>
    <w:autoRedefine/>
    <w:semiHidden/>
    <w:rsid w:val="00F34D75"/>
    <w:pPr>
      <w:ind w:left="1400"/>
    </w:pPr>
  </w:style>
  <w:style w:type="paragraph" w:styleId="TOC9">
    <w:name w:val="toc 9"/>
    <w:basedOn w:val="Normal"/>
    <w:next w:val="Normal"/>
    <w:autoRedefine/>
    <w:semiHidden/>
    <w:rsid w:val="00F34D75"/>
    <w:pPr>
      <w:ind w:left="1600"/>
    </w:pPr>
  </w:style>
  <w:style w:type="paragraph" w:customStyle="1" w:styleId="Heading5NotNumbered">
    <w:name w:val="Heading 5 Not Numbered"/>
    <w:basedOn w:val="HeadingBase"/>
    <w:unhideWhenUsed/>
    <w:rsid w:val="00F34D75"/>
    <w:pPr>
      <w:spacing w:after="120"/>
      <w:outlineLvl w:val="4"/>
    </w:pPr>
    <w:rPr>
      <w:b/>
      <w:i/>
      <w:sz w:val="22"/>
    </w:rPr>
  </w:style>
  <w:style w:type="table" w:customStyle="1" w:styleId="OptionsTable">
    <w:name w:val="Options Table"/>
    <w:basedOn w:val="TableNormal"/>
    <w:rsid w:val="00F34D75"/>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F34D75"/>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F34D75"/>
    <w:pPr>
      <w:numPr>
        <w:ilvl w:val="4"/>
        <w:numId w:val="2"/>
      </w:numPr>
      <w:spacing w:line="280" w:lineRule="exact"/>
      <w:jc w:val="both"/>
    </w:pPr>
  </w:style>
  <w:style w:type="paragraph" w:customStyle="1" w:styleId="Crest">
    <w:name w:val="Crest"/>
    <w:basedOn w:val="Header"/>
    <w:uiPriority w:val="2"/>
    <w:rsid w:val="00F34D75"/>
    <w:pPr>
      <w:spacing w:after="480"/>
    </w:pPr>
  </w:style>
  <w:style w:type="character" w:customStyle="1" w:styleId="SingleParagraphChar">
    <w:name w:val="Single Paragraph Char"/>
    <w:basedOn w:val="DefaultParagraphFont"/>
    <w:link w:val="SingleParagraph"/>
    <w:rsid w:val="00F34D75"/>
    <w:rPr>
      <w:rFonts w:asciiTheme="minorHAnsi" w:hAnsiTheme="minorHAnsi"/>
      <w:color w:val="000000" w:themeColor="text1"/>
      <w:sz w:val="24"/>
    </w:rPr>
  </w:style>
  <w:style w:type="character" w:customStyle="1" w:styleId="Heading5Char">
    <w:name w:val="Heading 5 Char"/>
    <w:basedOn w:val="DefaultParagraphFont"/>
    <w:link w:val="Heading5"/>
    <w:rsid w:val="00645953"/>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645953"/>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645953"/>
    <w:rPr>
      <w:rFonts w:ascii="Arial" w:hAnsi="Arial"/>
      <w:color w:val="31A7D4" w:themeColor="accent1"/>
      <w:sz w:val="28"/>
    </w:rPr>
  </w:style>
  <w:style w:type="paragraph" w:customStyle="1" w:styleId="SecurityClassificationFooter">
    <w:name w:val="Security Classification Footer"/>
    <w:link w:val="SecurityClassificationFooterChar"/>
    <w:rsid w:val="00F34D75"/>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F34D75"/>
    <w:rPr>
      <w:b/>
      <w:caps/>
      <w:color w:val="009976"/>
      <w:sz w:val="24"/>
    </w:rPr>
  </w:style>
  <w:style w:type="paragraph" w:customStyle="1" w:styleId="MinuteNumber">
    <w:name w:val="Minute Number"/>
    <w:basedOn w:val="Header"/>
    <w:uiPriority w:val="2"/>
    <w:rsid w:val="00F34D75"/>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F34D75"/>
    <w:pPr>
      <w:spacing w:before="120"/>
    </w:pPr>
    <w:rPr>
      <w:b w:val="0"/>
      <w:sz w:val="24"/>
    </w:rPr>
  </w:style>
  <w:style w:type="paragraph" w:customStyle="1" w:styleId="QAText">
    <w:name w:val="QA Text"/>
    <w:basedOn w:val="Normal"/>
    <w:unhideWhenUsed/>
    <w:rsid w:val="00F34D75"/>
    <w:pPr>
      <w:spacing w:after="120"/>
    </w:pPr>
  </w:style>
  <w:style w:type="paragraph" w:customStyle="1" w:styleId="Copyrightheadings">
    <w:name w:val="Copyright headings"/>
    <w:basedOn w:val="HeadingBase"/>
    <w:uiPriority w:val="2"/>
    <w:rsid w:val="00F34D75"/>
    <w:pPr>
      <w:spacing w:after="80"/>
    </w:pPr>
    <w:rPr>
      <w:b/>
      <w:color w:val="000000" w:themeColor="text1"/>
      <w:sz w:val="22"/>
    </w:rPr>
  </w:style>
  <w:style w:type="paragraph" w:customStyle="1" w:styleId="Quotes">
    <w:name w:val="Quotes"/>
    <w:basedOn w:val="Normal"/>
    <w:qFormat/>
    <w:rsid w:val="00F34D75"/>
    <w:pPr>
      <w:spacing w:after="120"/>
      <w:ind w:left="567" w:right="423"/>
    </w:pPr>
    <w:rPr>
      <w:color w:val="595959" w:themeColor="text1" w:themeTint="A6"/>
    </w:rPr>
  </w:style>
  <w:style w:type="paragraph" w:customStyle="1" w:styleId="Keymessageheading">
    <w:name w:val="Key message heading"/>
    <w:basedOn w:val="Questionheading"/>
    <w:uiPriority w:val="1"/>
    <w:qFormat/>
    <w:rsid w:val="00F34D75"/>
  </w:style>
  <w:style w:type="paragraph" w:customStyle="1" w:styleId="Keyfindingtext">
    <w:name w:val="Key finding text"/>
    <w:basedOn w:val="BoxText"/>
    <w:uiPriority w:val="1"/>
    <w:qFormat/>
    <w:rsid w:val="00F34D75"/>
    <w:pPr>
      <w:numPr>
        <w:numId w:val="17"/>
      </w:numPr>
      <w:spacing w:line="260" w:lineRule="exact"/>
      <w:ind w:left="351"/>
      <w:jc w:val="both"/>
    </w:pPr>
  </w:style>
  <w:style w:type="paragraph" w:customStyle="1" w:styleId="Casestudyboxheading">
    <w:name w:val="Case study box heading"/>
    <w:basedOn w:val="Questionheading"/>
    <w:qFormat/>
    <w:rsid w:val="00F34D75"/>
    <w:pPr>
      <w:numPr>
        <w:ilvl w:val="1"/>
        <w:numId w:val="15"/>
      </w:numPr>
      <w:ind w:left="966" w:hanging="966"/>
    </w:pPr>
    <w:rPr>
      <w:color w:val="31A7D4" w:themeColor="text2"/>
    </w:rPr>
  </w:style>
  <w:style w:type="paragraph" w:customStyle="1" w:styleId="Casestudyboxtext">
    <w:name w:val="Case study box text"/>
    <w:basedOn w:val="BoxText"/>
    <w:qFormat/>
    <w:rsid w:val="00F34D75"/>
  </w:style>
  <w:style w:type="paragraph" w:styleId="ListParagraph">
    <w:name w:val="List Paragraph"/>
    <w:basedOn w:val="Normal"/>
    <w:uiPriority w:val="34"/>
    <w:unhideWhenUsed/>
    <w:qFormat/>
    <w:rsid w:val="00645953"/>
    <w:pPr>
      <w:ind w:left="720"/>
      <w:contextualSpacing/>
    </w:pPr>
  </w:style>
  <w:style w:type="paragraph" w:customStyle="1" w:styleId="Copyrightheading">
    <w:name w:val="Copyright heading"/>
    <w:basedOn w:val="Normal"/>
    <w:rsid w:val="00F34D75"/>
    <w:pPr>
      <w:spacing w:before="200" w:after="120"/>
    </w:pPr>
    <w:rPr>
      <w:rFonts w:eastAsiaTheme="minorHAnsi" w:cstheme="minorBidi"/>
      <w:b/>
      <w:szCs w:val="22"/>
      <w:lang w:eastAsia="en-US"/>
    </w:rPr>
  </w:style>
  <w:style w:type="character" w:styleId="PageNumber">
    <w:name w:val="page number"/>
    <w:basedOn w:val="DefaultParagraphFont"/>
    <w:rsid w:val="00F34D75"/>
  </w:style>
  <w:style w:type="numbering" w:customStyle="1" w:styleId="BulletedList">
    <w:name w:val="Bulleted List"/>
    <w:uiPriority w:val="99"/>
    <w:rsid w:val="00882A4F"/>
    <w:pPr>
      <w:numPr>
        <w:numId w:val="11"/>
      </w:numPr>
    </w:pPr>
  </w:style>
  <w:style w:type="character" w:customStyle="1" w:styleId="FootnoteTextChar">
    <w:name w:val="Footnote Text Char"/>
    <w:basedOn w:val="DefaultParagraphFont"/>
    <w:link w:val="FootnoteText"/>
    <w:uiPriority w:val="99"/>
    <w:rsid w:val="00645953"/>
    <w:rPr>
      <w:rFonts w:ascii="Arial" w:hAnsi="Arial"/>
      <w:sz w:val="18"/>
    </w:rPr>
  </w:style>
  <w:style w:type="table" w:styleId="MediumGrid1-Accent2">
    <w:name w:val="Medium Grid 1 Accent 2"/>
    <w:basedOn w:val="TableNormal"/>
    <w:uiPriority w:val="67"/>
    <w:rsid w:val="00882A4F"/>
    <w:rPr>
      <w:rFonts w:asciiTheme="minorHAnsi" w:eastAsiaTheme="minorHAnsi" w:hAnsiTheme="minorHAnsi" w:cstheme="minorBidi"/>
      <w:sz w:val="22"/>
      <w:szCs w:val="22"/>
      <w:lang w:eastAsia="en-US"/>
    </w:rPr>
    <w:tblPr>
      <w:tblStyleRowBandSize w:val="1"/>
      <w:tblStyleColBandSize w:val="1"/>
      <w:tblBorders>
        <w:top w:val="single" w:sz="8" w:space="0" w:color="8A8A8A" w:themeColor="accent2" w:themeTint="BF"/>
        <w:left w:val="single" w:sz="8" w:space="0" w:color="8A8A8A" w:themeColor="accent2" w:themeTint="BF"/>
        <w:bottom w:val="single" w:sz="8" w:space="0" w:color="8A8A8A" w:themeColor="accent2" w:themeTint="BF"/>
        <w:right w:val="single" w:sz="8" w:space="0" w:color="8A8A8A" w:themeColor="accent2" w:themeTint="BF"/>
        <w:insideH w:val="single" w:sz="8" w:space="0" w:color="8A8A8A" w:themeColor="accent2" w:themeTint="BF"/>
        <w:insideV w:val="single" w:sz="8" w:space="0" w:color="8A8A8A" w:themeColor="accent2" w:themeTint="BF"/>
      </w:tblBorders>
    </w:tblPr>
    <w:tcPr>
      <w:shd w:val="clear" w:color="auto" w:fill="D8D8D8" w:themeFill="accent2" w:themeFillTint="3F"/>
    </w:tcPr>
    <w:tblStylePr w:type="firstRow">
      <w:rPr>
        <w:b/>
        <w:bCs/>
      </w:rPr>
    </w:tblStylePr>
    <w:tblStylePr w:type="lastRow">
      <w:rPr>
        <w:b/>
        <w:bCs/>
      </w:rPr>
      <w:tblPr/>
      <w:tcPr>
        <w:tcBorders>
          <w:top w:val="single" w:sz="18" w:space="0" w:color="8A8A8A" w:themeColor="accent2" w:themeTint="BF"/>
        </w:tcBorders>
      </w:tcPr>
    </w:tblStylePr>
    <w:tblStylePr w:type="firstCol">
      <w:rPr>
        <w:b/>
        <w:bCs/>
      </w:rPr>
    </w:tblStylePr>
    <w:tblStylePr w:type="lastCol">
      <w:rPr>
        <w:b/>
        <w:bCs/>
      </w:rPr>
    </w:tblStylePr>
    <w:tblStylePr w:type="band1Vert">
      <w:tblPr/>
      <w:tcPr>
        <w:shd w:val="clear" w:color="auto" w:fill="B1B1B1" w:themeFill="accent2" w:themeFillTint="7F"/>
      </w:tcPr>
    </w:tblStylePr>
    <w:tblStylePr w:type="band1Horz">
      <w:tblPr/>
      <w:tcPr>
        <w:shd w:val="clear" w:color="auto" w:fill="B1B1B1" w:themeFill="accent2" w:themeFillTint="7F"/>
      </w:tcPr>
    </w:tblStylePr>
  </w:style>
  <w:style w:type="paragraph" w:customStyle="1" w:styleId="QuestionboxTextBase">
    <w:name w:val="Question box Text Base"/>
    <w:basedOn w:val="Normal"/>
    <w:next w:val="Normal"/>
    <w:rsid w:val="001C561A"/>
    <w:pPr>
      <w:keepLines/>
      <w:spacing w:line="260" w:lineRule="exact"/>
      <w:jc w:val="both"/>
    </w:pPr>
    <w:rPr>
      <w:rFonts w:cstheme="minorHAnsi"/>
      <w:szCs w:val="22"/>
    </w:rPr>
  </w:style>
  <w:style w:type="numbering" w:customStyle="1" w:styleId="RomanNumeralList">
    <w:name w:val="RomanNumeralList"/>
    <w:uiPriority w:val="99"/>
    <w:rsid w:val="001C561A"/>
    <w:pPr>
      <w:numPr>
        <w:numId w:val="12"/>
      </w:numPr>
    </w:pPr>
  </w:style>
  <w:style w:type="paragraph" w:customStyle="1" w:styleId="Keyfindingbullet">
    <w:name w:val="Key finding bullet"/>
    <w:basedOn w:val="Keyfindingtext"/>
    <w:uiPriority w:val="1"/>
    <w:qFormat/>
    <w:rsid w:val="00AA4C63"/>
    <w:pPr>
      <w:numPr>
        <w:numId w:val="13"/>
      </w:numPr>
      <w:ind w:left="351"/>
    </w:pPr>
  </w:style>
  <w:style w:type="paragraph" w:customStyle="1" w:styleId="Questionheading">
    <w:name w:val="Question heading"/>
    <w:basedOn w:val="Normal"/>
    <w:qFormat/>
    <w:rsid w:val="00645953"/>
    <w:pPr>
      <w:spacing w:before="80" w:line="240" w:lineRule="auto"/>
    </w:pPr>
    <w:rPr>
      <w:b/>
      <w:color w:val="31A7D4" w:themeColor="accent1"/>
      <w:sz w:val="28"/>
      <w:szCs w:val="28"/>
    </w:rPr>
  </w:style>
  <w:style w:type="paragraph" w:customStyle="1" w:styleId="Questiontext">
    <w:name w:val="Question text"/>
    <w:basedOn w:val="ListParagraph"/>
    <w:qFormat/>
    <w:rsid w:val="00645953"/>
    <w:pPr>
      <w:numPr>
        <w:numId w:val="24"/>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931983"/>
    <w:pPr>
      <w:spacing w:after="0" w:line="240" w:lineRule="auto"/>
    </w:pPr>
    <w:rPr>
      <w:color w:val="000000" w:themeColor="text1"/>
      <w:sz w:val="18"/>
    </w:rPr>
  </w:style>
  <w:style w:type="paragraph" w:customStyle="1" w:styleId="Overviewheading">
    <w:name w:val="Overview heading"/>
    <w:basedOn w:val="Heading2"/>
    <w:qFormat/>
    <w:rsid w:val="00645953"/>
    <w:pPr>
      <w:numPr>
        <w:numId w:val="0"/>
      </w:numPr>
      <w:spacing w:after="240"/>
    </w:pPr>
  </w:style>
  <w:style w:type="paragraph" w:styleId="NormalWeb">
    <w:name w:val="Normal (Web)"/>
    <w:basedOn w:val="Normal"/>
    <w:semiHidden/>
    <w:rsid w:val="00334D76"/>
    <w:rPr>
      <w:rFonts w:ascii="Times New Roman" w:hAnsi="Times New Roman"/>
      <w:szCs w:val="24"/>
    </w:rPr>
  </w:style>
  <w:style w:type="character" w:customStyle="1" w:styleId="Heading1Char">
    <w:name w:val="Heading 1 Char"/>
    <w:basedOn w:val="DefaultParagraphFont"/>
    <w:link w:val="Heading1"/>
    <w:rsid w:val="00645953"/>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DF66B3"/>
    <w:rPr>
      <w:rFonts w:ascii="Arial" w:hAnsi="Arial" w:cs="Arial"/>
      <w:b/>
      <w:bCs/>
      <w:color w:val="000000" w:themeColor="text1"/>
      <w:kern w:val="32"/>
      <w:sz w:val="40"/>
      <w:szCs w:val="36"/>
    </w:rPr>
  </w:style>
  <w:style w:type="paragraph" w:styleId="Title">
    <w:name w:val="Title"/>
    <w:basedOn w:val="Normal"/>
    <w:next w:val="Normal"/>
    <w:link w:val="TitleChar"/>
    <w:uiPriority w:val="10"/>
    <w:rsid w:val="00645953"/>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645953"/>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645953"/>
    <w:pPr>
      <w:numPr>
        <w:numId w:val="23"/>
      </w:numPr>
      <w:spacing w:after="120"/>
      <w:ind w:left="567" w:hanging="567"/>
      <w:contextualSpacing w:val="0"/>
    </w:pPr>
  </w:style>
  <w:style w:type="paragraph" w:styleId="Quote">
    <w:name w:val="Quote"/>
    <w:basedOn w:val="Normal"/>
    <w:next w:val="Normal"/>
    <w:link w:val="QuoteChar"/>
    <w:uiPriority w:val="29"/>
    <w:qFormat/>
    <w:rsid w:val="00645953"/>
    <w:pPr>
      <w:spacing w:before="120"/>
      <w:ind w:left="567"/>
    </w:pPr>
    <w:rPr>
      <w:iCs/>
      <w:color w:val="000000" w:themeColor="text1"/>
    </w:rPr>
  </w:style>
  <w:style w:type="character" w:customStyle="1" w:styleId="QuoteChar">
    <w:name w:val="Quote Char"/>
    <w:basedOn w:val="DefaultParagraphFont"/>
    <w:link w:val="Quote"/>
    <w:uiPriority w:val="29"/>
    <w:rsid w:val="00645953"/>
    <w:rPr>
      <w:rFonts w:ascii="Arial" w:hAnsi="Arial"/>
      <w:iCs/>
      <w:color w:val="000000" w:themeColor="text1"/>
      <w:sz w:val="22"/>
    </w:rPr>
  </w:style>
  <w:style w:type="character" w:customStyle="1" w:styleId="Heading3Char">
    <w:name w:val="Heading 3 Char"/>
    <w:basedOn w:val="DefaultParagraphFont"/>
    <w:link w:val="Heading3"/>
    <w:rsid w:val="00645953"/>
    <w:rPr>
      <w:rFonts w:ascii="Arial" w:eastAsiaTheme="majorEastAsia" w:hAnsi="Arial" w:cstheme="majorBidi"/>
      <w:b/>
      <w:bCs/>
      <w:color w:val="31A7D4" w:themeColor="accent1"/>
      <w:sz w:val="30"/>
    </w:rPr>
  </w:style>
  <w:style w:type="paragraph" w:customStyle="1" w:styleId="Overviewtext">
    <w:name w:val="Overview text"/>
    <w:basedOn w:val="Normal"/>
    <w:qFormat/>
    <w:rsid w:val="00645953"/>
    <w:rPr>
      <w:sz w:val="32"/>
      <w:szCs w:val="32"/>
    </w:rPr>
  </w:style>
  <w:style w:type="paragraph" w:customStyle="1" w:styleId="Singleparagraph0">
    <w:name w:val="Single paragraph"/>
    <w:basedOn w:val="Normal"/>
    <w:qFormat/>
    <w:rsid w:val="00645953"/>
    <w:pPr>
      <w:spacing w:after="0" w:line="240" w:lineRule="auto"/>
    </w:pPr>
  </w:style>
  <w:style w:type="character" w:customStyle="1" w:styleId="HeaderChar">
    <w:name w:val="Header Char"/>
    <w:basedOn w:val="DefaultParagraphFont"/>
    <w:link w:val="Header"/>
    <w:uiPriority w:val="99"/>
    <w:rsid w:val="00645953"/>
    <w:rPr>
      <w:rFonts w:ascii="Arial" w:hAnsi="Arial"/>
      <w:color w:val="636363" w:themeColor="accent2"/>
      <w:sz w:val="22"/>
    </w:rPr>
  </w:style>
  <w:style w:type="paragraph" w:customStyle="1" w:styleId="Overviewheading2">
    <w:name w:val="Overview heading 2"/>
    <w:basedOn w:val="Heading2"/>
    <w:qFormat/>
    <w:rsid w:val="00645953"/>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645953"/>
    <w:rPr>
      <w:rFonts w:ascii="Tahoma" w:hAnsi="Tahoma" w:cs="Tahoma"/>
      <w:sz w:val="16"/>
      <w:szCs w:val="16"/>
    </w:rPr>
  </w:style>
  <w:style w:type="paragraph" w:customStyle="1" w:styleId="ChartandTableNote">
    <w:name w:val="Chart and Table Note"/>
    <w:next w:val="Normal"/>
    <w:rsid w:val="00645953"/>
    <w:rPr>
      <w:rFonts w:ascii="Arial" w:hAnsi="Arial"/>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49033">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oleObject" Target="http://tweb/sites/rg/project/twptf/twp/20.%20Issues%20Paper/Issues%20Paper%20soft%20close/Charts/07.%20Not%20for%20Profits/7-3%20Quantifiable%20Cwealth%20NFP%20concs%20TES2014.xlsx!Chart!%5b7-3%20Quantifiable%20Cwealth%20NFP%20concs%20TES2014.xlsx%5dChart%20Chart%201"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oleObject" Target="http://tweb/sites/rg/project/twptf/twp/20.%20Issues%20Paper/Issues%20Paper%20soft%20close/Charts/07.%20Not%20for%20Profits/7-2%20Shares%20of%20total%20gross%20valued%20added%20by%20activity.xlsx!Chart!%5b7-2%20Shares%20of%20total%20gross%20valued%20added%20by%20activity.xlsx%5dChart%20Chart%20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http://tweb/sites/rg/project/twptf/twp/20.%20Issues%20Paper/Issues%20Paper%20soft%20close/Charts/07.%20Not%20for%20Profits/7-1%20Share%20of%20NFP%20organisations%20by%20activity.xlsx!Chart!%5b7-1%20Share%20of%20NFP%20organisations%20by%20activity.xlsx%5dChart%20Chart%201" TargetMode="External"/><Relationship Id="rId22" Type="http://schemas.openxmlformats.org/officeDocument/2006/relationships/footer" Target="footer2.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hyperlink" Target="http://acnc.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customUI 
	xmlns="http://schemas.microsoft.com/office/2006/01/customui"
	onLoad="RibbonControlATRpt.Onload"
	xmlns:nsCustom="Custom Namespace">
		<ribbon>
			<tabs>
				<tab idQ="nsCustom:TabTreasury">
					<!--<group idMso="GroupFont"/>-->
					<group idQ="nsCustom:grpStylesATRpt" label="CPRS Report Styles">

						<menu id="mnuParagraphText" label="Paragraph Text" >
							<button id="btnNormal" label="Normal (no numbers) (Ctrl+Shift+N)" onAction="RibbonControlATRpt.ChangeParagraphText"/>
							<button id="btnNormalNumbered" label="Normal (numbered)" onAction="RibbonControlATRpt.ChangeParagraphText"/> 
							<button id="btnNormalIndent" label="Normal Indent" onAction="RibbonControlATRpt.ChangeParagraphText"/>
							<button id="btnSingleParagraph" label="Single Paragraph (Ctrl+Shift+S)" 
								onAction="RibbonControlATRpt.ChangeParagraphText"/>

							<menuSeparator id="sep10" />

							<button id="btnBullet" label="Bullet (Ctrl+Shift+B)" 
								onAction="RibbonControlATRpt.ChangeParagraphText"/>
							<button id="btnDash" label="Dash (Ctrl+Shift+D)" 
								onAction="RibbonControlATRpt.ChangeParagraphText"/>
							<button id="btnDDot" label="Double Dot (Ctrl+Shift+O)" 
								onAction="RibbonControlATRpt.ChangeParagraphText"/>

							<menuSeparator id="sep30" />

							<button id="btnOneLevel" label="One Level Numbered Paragraph (Ctrl+Shift+P)"
								imageMso="Numbering" 
								onAction="RibbonControlATRpt.ChangeParagraphText"/>
							<button id="btnAlphaPara" label="Alpha Paragraph (Alt+Ctrl+A)" 
								onAction="RibbonControlATRpt.ChangeParagraphText"/>
							<button id="btnRomanNum" label="Roman numeral Style" onAction="RibbonControlATRpt.ChangeParagraphText"/>
	
							<menuSeparator id="sep31" />

							<button idMso="NumberingRestart" visible="true" label="Restart Alpha Numbering" />
					
						</menu>

						<menu id="mnuHeadingsNoNumbers" label="Headings Styles">
							<button id="btnH1" label="Heading 1   Ctrl+Shift+1" onAction="RibbonControlATRpt.ChangeHeadings"/>
							<button id="btnH2" label="Heading 2   Ctrl+Shift+2" onAction="RibbonControlATRpt.ChangeHeadings"/>
							<button id="btnH3" label="Heading 3   Ctrl+Shift+3" onAction="RibbonControlATRpt.ChangeHeadings"/>
							<button id="btnH4" label="Heading 4   Ctrl+Shift+4" onAction="RibbonControlATRpt.ChangeHeadings"/>
							<button id="btnH5" label="Heading 5   Ctrl+Shift+5" onAction="RibbonControlATRpt.ChangeHeadings"/>
							<button id="btnH6" label="Heading 6   Ctrl+Shift+6" onAction="RibbonControlATRpt.ChangeHeadings"/>

							<menuSeparator id="sep40" />

							<button id="btnAppendixHeading" label="Appendix Heading" onAction="RibbonControlATRpt.ChangeHeadings"/>					
						</menu>



					</group>

					<group idQ="nsCustom:grpTablesChartsATRpt" label="Boxes, Tables and Charts">

						<menu id="mnuBoxes" label="Boxes" imageMso="CharacterShading">
							<button id="btnBoxHeading" label="Box Heading" onAction="RibbonControlATRpt.ChangeBoxes"/>
							<button id="btnBoxText" label="Box Text" onAction="RibbonControlATRpt.ChangeBoxes"/>
							<button id="btnBoxBullet" label="Box Bullet" onAction="RibbonControlATRpt.ChangeBoxes"/>
							<button id="btnBoxDash" label="Box Dash" onAction="RibbonControlATRpt.ChangeBoxes"/>
							<button id="btnBoxDDot" label="Box Double Dot" onAction="RibbonControlATRpt.ChangeBoxes"/>

							<menuSeparator id="sep41" />

							<button id="btnRecommendationHeading" label="Recommendation box heading" onAction="RibbonControlATRpt.ChangeBoxes"/>
							<button id="btnRecommendationText" label="Recommendation box text" onAction="RibbonControlATRpt.ChangeBoxes"/>

						</menu>

						<menu id="mnuTableStyles" label="Tables in Word" imageMso="CreateTable">
							<button id="btnTableMainHead" label="Table Main Heading (Ctrl+Shift+A)" 
								onAction="RibbonControlATRpt.ChangeTables"/>
							<button id="btnTableMainHeadCont" label="Table Main Heading Contd (Alt+A)" 
								onAction="RibbonControlATRpt.ChangeTables"/>
							<button id="btnTableSecondHead" label="Table Second Heading" onAction="RibbonControlATRpt.ChangeTables"/>

							<menuSeparator id="sep80" />

							<button id="btnInsert2ColTbl" label="Insert 2 column table" onAction="RibbonControlATRpt.ChangeTables"/>
							<button id="btnInsert3ColTbl" label="Insert 3 column table" onAction="RibbonControlATRpt.ChangeTables"/>
							<button id="btnInsert4ColTbl" label="Insert 4 column table" onAction="RibbonControlATRpt.ChangeTables"/>
							<button id="btnInsert5ColTbl" label="Insert 5 column table" onAction="RibbonControlATRpt.ChangeTables"/>

							<menuSeparator id="sep81" />
						
							<button id="btnColumnHeadLeft" label="Column Heading Left" onAction="RibbonControlATRpt.ChangeTables"/>
							<button id="btnColumnHeadRight" label="Column Heading Right" onAction="RibbonControlATRpt.ChangeTables"/>
							<button id="btnColumnHeadCentred" label="Column Heading Centred" 
								onAction="RibbonControlATRpt.ChangeTables"/>
							
							<menuSeparator id="sep90" />

							<button id="btnTextLeft" label="Text Left" imageMso="AlignLeft"
								onAction="RibbonControlATRpt.ChangeTables"/>
							<button id="btnTextRight" label="Text Right" imageMso="AlignRight"
								onAction="RibbonControlATRpt.ChangeTables"/>
							<button id="btnTextCentred" label="Text Centred" imageMso="AlignCenter"
								onAction="RibbonControlATRpt.ChangeTables"/>
							<button id="btnTextIndented" label="Text Indented" onAction="RibbonControlATRpt.ChangeTables"/>

							<menuSeparator id="sep100" />

							<button id="btnTableNoteSource" label="Table Note/Source (Ctrl+Shift+F)" 
								onAction="RibbonControlATRpt.ChangeTables"/>
							<button id="btnTableAlphaFootnote" label="Table Footnote Alpha (Alt+Ctrl+T)" 
								onAction="RibbonControlATRpt.ChangeTables"/>
							<button idMso="NumberingRestart" label="Restart Alpha Numbering"/>

							<menuSeparator id="sep101" />

							<button id="btnTableGraphic" label="Table Graphic - fixes line spacing" 
								onAction="RibbonControlATRpt.ChangeTables"/>						
						</menu>

						<menu id="mnuCharts" label="Charts" imageMso="Chart3DColumnChart">
							<button id="btnChartMainHeading" label="Chart Main Heading (Ctrl+Shift+C)" 
								onAction="RibbonControlATRpt.ChangeCharts"/>
							<button id="btnChartSecondHeading" label="Chart Second Heading (Alt+Ctrl+C)" 
								onAction="RibbonControlATRpt.ChangeCharts"/>

							<menuSeparator id="sep110"/>

				
							<button id="btnChartSideBySide" label="Side by Side Charts" onAction="RibbonControlATRpt.ChangeCharts"/>

							<menuSeparator id="sep112"/>

							<button id="btnChartAlphaFootnote" label="Chart Footnote Alpha (Alt+Ctrl+T)" 
								onAction="RibbonControlATRpt.ChangeCharts"/>
							<button id="btnChartNoteSource" label="Chart Note/Source (Ctrl+Shift+F)" 
								onAction="RibbonControlATRpt.ChangeCharts"/>
							<button idMso="NumberingRestart" label="Restart Alpha Numbering"/>

							<menuSeparator id="sep113"/>

							<button id="btnChartGraphic" label="Chart Graphic - fixes line spacing" 
								onAction="RibbonControlATRpt.ChangeCharts"/>
						</menu>
					</group>


					<group idQ="nsCustom:grpAutoTextATRpt" label="AutoText">
							<button id="btnShadedBox" label="Insert Shaded Box" onAction="RibbonControlATRpt.ChangeAT"/>
							<button id="btnKey_message" label="Insert Key message box" onAction="RibbonControlATRpt.ChangeAT"/>
							<button id="btnQuestion" label="Insert Question box" onAction="RibbonControlATRpt.ChangeAT"/>
							<button id="btnCase_study" label="Insert Case study box" onAction="RibbonControlATRpt.ChangeAT"/>
							

					</group>
					


					<group idQ="nsCustom:grpHeaderFooterATRpt" label="Header and Footers">
						<menu id="mnuLandscape" label="Landscape" imageMso="PageOrientationLandscape" size="large">
							<button id="btnLandscapeEvenFooter" label="Even Footer" onAction="RibbonControlATRpt.ChangeHeaderFooter"/>	
							<button id="btnLandscapeEvenHeader" label="Even Header" onAction="RibbonControlATRpt.ChangeHeaderFooter"/>
							<button id="btnLandscapeOddFooter" label="Odd Footer" onAction="RibbonControlATRpt.ChangeHeaderFooter"/>
							<button id="btnLandscapeOddHeader" label="Odd Header" onAction="RibbonControlATRpt.ChangeHeaderFooter"/>
						</menu>
						<menu id="mnuPortrait" label="Portrait" imageMso="PageOrientationPortrait" size="large">
							<button id="btnPortraitEvenFooter" label="Even Footer" onAction="RibbonControlATRpt.ChangeHeaderFooter"/>
							<button id="btnPortraitEvenHeader" label="Even Header" onAction="RibbonControlATRpt.ChangeHeaderFooter"/>
							<button id="btnPortraitOddFooter" label="Odd Footer" onAction="RibbonControlATRpt.ChangeHeaderFooter"/>
							<button id="btnPortraitOddHeader" label="Odd Header" onAction="RibbonControlATRpt.ChangeHeaderFooter"/>
						</menu>
					</group>

				</tab>				
<!--All other comments go here-->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2014RG-82-6640</_dlc_DocId>
    <TaxCatchAll xmlns="9f7bc583-7cbe-45b9-a2bd-8bbb6543b37e">
      <Value>20</Value>
    </TaxCatchAll>
    <_dlc_DocIdUrl xmlns="9f7bc583-7cbe-45b9-a2bd-8bbb6543b37e">
      <Url>http://tweb/sites/rg/project/twptf/_layouts/15/DocIdRedir.aspx?ID=2014RG-82-6640</Url>
      <Description>2014RG-82-6640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F0AB3-A095-4551-944B-DF58A30791DA}">
  <ds:schemaRefs>
    <ds:schemaRef ds:uri="http://schemas.microsoft.com/sharepoint/v3/contenttype/forms"/>
  </ds:schemaRefs>
</ds:datastoreItem>
</file>

<file path=customXml/itemProps2.xml><?xml version="1.0" encoding="utf-8"?>
<ds:datastoreItem xmlns:ds="http://schemas.openxmlformats.org/officeDocument/2006/customXml" ds:itemID="{8482BA0F-AD91-4F22-9FE8-F1BFF427AB8A}">
  <ds:schemaRefs>
    <ds:schemaRef ds:uri="http://schemas.microsoft.com/sharepoint/events"/>
  </ds:schemaRefs>
</ds:datastoreItem>
</file>

<file path=customXml/itemProps3.xml><?xml version="1.0" encoding="utf-8"?>
<ds:datastoreItem xmlns:ds="http://schemas.openxmlformats.org/officeDocument/2006/customXml" ds:itemID="{924D0A17-4A18-45EE-B51E-594AE714FC90}">
  <ds:schemaRefs>
    <ds:schemaRef ds:uri="http://schemas.microsoft.com/office/2006/documentManagement/types"/>
    <ds:schemaRef ds:uri="http://schemas.microsoft.com/office/2006/metadata/properties"/>
    <ds:schemaRef ds:uri="http://purl.org/dc/elements/1.1/"/>
    <ds:schemaRef ds:uri="http://www.w3.org/XML/1998/namespace"/>
    <ds:schemaRef ds:uri="http://schemas.microsoft.com/sharepoint/v3"/>
    <ds:schemaRef ds:uri="http://schemas.microsoft.com/office/infopath/2007/PartnerControls"/>
    <ds:schemaRef ds:uri="http://purl.org/dc/dcmitype/"/>
    <ds:schemaRef ds:uri="http://schemas.openxmlformats.org/package/2006/metadata/core-properties"/>
    <ds:schemaRef ds:uri="9f7bc583-7cbe-45b9-a2bd-8bbb6543b37e"/>
    <ds:schemaRef ds:uri="http://purl.org/dc/terms/"/>
  </ds:schemaRefs>
</ds:datastoreItem>
</file>

<file path=customXml/itemProps4.xml><?xml version="1.0" encoding="utf-8"?>
<ds:datastoreItem xmlns:ds="http://schemas.openxmlformats.org/officeDocument/2006/customXml" ds:itemID="{5A65D63F-EF1A-4693-9145-9FF53B8A3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C87F9E-D054-4855-9204-84E275CA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8</Pages>
  <Words>1790</Words>
  <Characters>11034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12799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7: Not-for-profit sector</dc:subject>
  <dc:creator/>
  <cp:lastModifiedBy/>
  <cp:revision>1</cp:revision>
  <dcterms:created xsi:type="dcterms:W3CDTF">2015-03-27T07:56:00Z</dcterms:created>
  <dcterms:modified xsi:type="dcterms:W3CDTF">2015-03-27T08:05:00Z</dcterms:modified>
  <dc:language>English</dc:language>
</cp:coreProperties>
</file>