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A4E07" w14:textId="2D88036A" w:rsidR="0028390B" w:rsidRDefault="00E0521E" w:rsidP="00AE61CA">
      <w:pPr>
        <w:pStyle w:val="Heading1"/>
      </w:pPr>
      <w:bookmarkStart w:id="0" w:name="_Toc402368745"/>
      <w:bookmarkStart w:id="1" w:name="_Toc402369831"/>
      <w:bookmarkStart w:id="2" w:name="_Toc402370496"/>
      <w:bookmarkStart w:id="3" w:name="_Toc402371443"/>
      <w:bookmarkStart w:id="4" w:name="_GoBack"/>
      <w:bookmarkEnd w:id="4"/>
      <w:r>
        <w:t>S</w:t>
      </w:r>
      <w:r w:rsidR="0051439B" w:rsidRPr="00E076B9">
        <w:t>avings</w:t>
      </w:r>
      <w:bookmarkEnd w:id="0"/>
      <w:bookmarkEnd w:id="1"/>
      <w:bookmarkEnd w:id="2"/>
      <w:bookmarkEnd w:id="3"/>
    </w:p>
    <w:p w14:paraId="51CA7E4A" w14:textId="55F7B680" w:rsidR="00AE61CA" w:rsidRDefault="00AE61CA" w:rsidP="00AE61CA">
      <w:r>
        <w:rPr>
          <w:noProof/>
        </w:rPr>
        <mc:AlternateContent>
          <mc:Choice Requires="wps">
            <w:drawing>
              <wp:anchor distT="0" distB="0" distL="114300" distR="114300" simplePos="0" relativeHeight="251658240" behindDoc="1" locked="0" layoutInCell="1" allowOverlap="1" wp14:anchorId="28ACCF03" wp14:editId="12FBA49C">
                <wp:simplePos x="0" y="0"/>
                <wp:positionH relativeFrom="column">
                  <wp:posOffset>-90805</wp:posOffset>
                </wp:positionH>
                <wp:positionV relativeFrom="paragraph">
                  <wp:posOffset>166370</wp:posOffset>
                </wp:positionV>
                <wp:extent cx="5975985" cy="4724400"/>
                <wp:effectExtent l="0" t="0" r="5715" b="0"/>
                <wp:wrapNone/>
                <wp:docPr id="3" name="Rectangle 3"/>
                <wp:cNvGraphicFramePr/>
                <a:graphic xmlns:a="http://schemas.openxmlformats.org/drawingml/2006/main">
                  <a:graphicData uri="http://schemas.microsoft.com/office/word/2010/wordprocessingShape">
                    <wps:wsp>
                      <wps:cNvSpPr/>
                      <wps:spPr>
                        <a:xfrm>
                          <a:off x="0" y="0"/>
                          <a:ext cx="5975985" cy="472440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15pt;margin-top:13.1pt;width:470.55pt;height:3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" fillcolor="#d5edf6 [660]" stroked="f" strokeweight="2pt"/>
            </w:pict>
          </mc:Fallback>
        </mc:AlternateContent>
      </w:r>
    </w:p>
    <w:p w14:paraId="0409C0A3" w14:textId="77777777" w:rsidR="00AE61CA" w:rsidRPr="0016266C" w:rsidRDefault="00AE61CA" w:rsidP="00AE61CA">
      <w:pPr>
        <w:pStyle w:val="Overviewheading"/>
        <w:numPr>
          <w:ilvl w:val="0"/>
          <w:numId w:val="0"/>
        </w:numPr>
      </w:pPr>
      <w:r w:rsidRPr="0016266C">
        <w:t>Overview</w:t>
      </w:r>
    </w:p>
    <w:p w14:paraId="052FDD06" w14:textId="77777777" w:rsidR="00AE61CA" w:rsidRPr="0016266C" w:rsidRDefault="00AE61CA" w:rsidP="00AE61CA">
      <w:pPr>
        <w:rPr>
          <w:sz w:val="32"/>
          <w:szCs w:val="32"/>
        </w:rPr>
      </w:pPr>
      <w:r w:rsidRPr="0016266C">
        <w:rPr>
          <w:sz w:val="32"/>
          <w:szCs w:val="32"/>
        </w:rPr>
        <w:t>This chapter outlines the tax treatment of domestic savings, and highlights a number of efficiency and equity issues in the current arrangements.</w:t>
      </w:r>
    </w:p>
    <w:p w14:paraId="183EDE50" w14:textId="77777777" w:rsidR="00AE61CA" w:rsidRPr="0016266C" w:rsidRDefault="00AE61CA" w:rsidP="00AE61CA">
      <w:pPr>
        <w:pStyle w:val="Overviewheading2"/>
        <w:numPr>
          <w:ilvl w:val="0"/>
          <w:numId w:val="0"/>
        </w:numPr>
      </w:pPr>
      <w:r w:rsidRPr="0016266C">
        <w:t>Key points</w:t>
      </w:r>
    </w:p>
    <w:p w14:paraId="3EE36034" w14:textId="0D76F3B0" w:rsidR="00AE61CA" w:rsidRPr="0016266C" w:rsidRDefault="00AE61CA" w:rsidP="00AE61CA">
      <w:pPr>
        <w:pStyle w:val="Bullets"/>
      </w:pPr>
      <w:r w:rsidRPr="0016266C">
        <w:t>Australia</w:t>
      </w:r>
      <w:r w:rsidR="00292115">
        <w:t>’</w:t>
      </w:r>
      <w:r w:rsidRPr="0016266C">
        <w:t xml:space="preserve">s current tax system taxes savings differently depending on the form of the saving. The result is that more savings are held in superannuation and housing than would otherwise be the case. </w:t>
      </w:r>
    </w:p>
    <w:p w14:paraId="33EE8D1F" w14:textId="530477CF" w:rsidR="00AE61CA" w:rsidRPr="0016266C" w:rsidRDefault="00AE61CA" w:rsidP="00AE61CA">
      <w:pPr>
        <w:pStyle w:val="Bullets"/>
      </w:pPr>
      <w:r w:rsidRPr="0016266C">
        <w:t>The</w:t>
      </w:r>
      <w:r w:rsidR="004F502C" w:rsidRPr="0016266C">
        <w:t xml:space="preserve"> effect of the tax system </w:t>
      </w:r>
      <w:r w:rsidRPr="0016266C">
        <w:t>on the aggregate level of domestic savings is uncertain</w:t>
      </w:r>
      <w:r w:rsidR="00851D1F" w:rsidRPr="0016266C">
        <w:t>. The effect of tax on domestic savings</w:t>
      </w:r>
      <w:r w:rsidR="004F502C" w:rsidRPr="0016266C">
        <w:t xml:space="preserve"> is</w:t>
      </w:r>
      <w:r w:rsidRPr="0016266C">
        <w:t xml:space="preserve"> unlikely to significantly affect the aggregate level of investment in Australia (which is determined largely by the decisions of foreign investors). This suggests that taxing income from savings (at least to a point) is a relatively efficient way of raising revenue. However, some level of concessional tax treatment for savings may be warranted to reduce any disincentives to save. </w:t>
      </w:r>
    </w:p>
    <w:p w14:paraId="1AC5B062" w14:textId="40078838" w:rsidR="00AE61CA" w:rsidRPr="0016266C" w:rsidRDefault="00AE61CA" w:rsidP="00AE61CA">
      <w:pPr>
        <w:pStyle w:val="Bullets"/>
        <w:spacing w:after="240"/>
      </w:pPr>
      <w:r w:rsidRPr="0016266C">
        <w:t>Taxing savings income also has distributional effects, in part because higher</w:t>
      </w:r>
      <w:r w:rsidR="00851D1F" w:rsidRPr="0016266C">
        <w:t xml:space="preserve"> </w:t>
      </w:r>
      <w:r w:rsidRPr="0016266C">
        <w:t xml:space="preserve">income individuals have a greater capability to save in lower taxed savings vehicles. </w:t>
      </w:r>
      <w:r w:rsidR="00851D1F" w:rsidRPr="0016266C">
        <w:t>However, distributional judg</w:t>
      </w:r>
      <w:r w:rsidRPr="0016266C">
        <w:t>ments must take into account the full amount of any income support received, such as the Age Pension.</w:t>
      </w:r>
    </w:p>
    <w:p w14:paraId="748931E0" w14:textId="388E516C" w:rsidR="00BC6268" w:rsidRPr="0016266C" w:rsidRDefault="00BC6268" w:rsidP="008F1905">
      <w:pPr>
        <w:spacing w:after="0"/>
      </w:pPr>
      <w:bookmarkStart w:id="5" w:name="_Toc402326862"/>
      <w:bookmarkStart w:id="6" w:name="_Toc402333514"/>
      <w:bookmarkStart w:id="7" w:name="_Toc402340290"/>
      <w:bookmarkStart w:id="8" w:name="_Toc402343385"/>
      <w:bookmarkStart w:id="9" w:name="_Toc402346621"/>
      <w:bookmarkStart w:id="10" w:name="_Toc402349078"/>
      <w:bookmarkStart w:id="11" w:name="_Toc402350607"/>
      <w:bookmarkStart w:id="12" w:name="_Toc402353628"/>
      <w:bookmarkStart w:id="13" w:name="_Toc402368746"/>
      <w:bookmarkStart w:id="14" w:name="_Toc402369832"/>
      <w:bookmarkStart w:id="15" w:name="_Toc402370497"/>
      <w:bookmarkStart w:id="16" w:name="_Toc402371444"/>
    </w:p>
    <w:p w14:paraId="6E9E8F77" w14:textId="0468EC35" w:rsidR="0051439B" w:rsidRPr="0016266C" w:rsidRDefault="0051439B" w:rsidP="00AE61CA">
      <w:pPr>
        <w:pStyle w:val="Heading2"/>
      </w:pPr>
      <w:bookmarkStart w:id="17" w:name="_Toc404348013"/>
      <w:r w:rsidRPr="0016266C">
        <w:t xml:space="preserve">What is the general tax treatment of </w:t>
      </w:r>
      <w:r w:rsidR="008E596C" w:rsidRPr="0016266C">
        <w:t xml:space="preserve">income from </w:t>
      </w:r>
      <w:r w:rsidRPr="0016266C">
        <w:t>saving</w:t>
      </w:r>
      <w:r w:rsidR="008E596C" w:rsidRPr="0016266C">
        <w:t>s</w:t>
      </w:r>
      <w:r w:rsidR="00E0521E" w:rsidRPr="0016266C">
        <w:t>?</w:t>
      </w:r>
      <w:bookmarkEnd w:id="5"/>
      <w:bookmarkEnd w:id="6"/>
      <w:bookmarkEnd w:id="7"/>
      <w:bookmarkEnd w:id="8"/>
      <w:bookmarkEnd w:id="9"/>
      <w:bookmarkEnd w:id="10"/>
      <w:bookmarkEnd w:id="11"/>
      <w:bookmarkEnd w:id="12"/>
      <w:bookmarkEnd w:id="13"/>
      <w:bookmarkEnd w:id="14"/>
      <w:bookmarkEnd w:id="15"/>
      <w:bookmarkEnd w:id="16"/>
      <w:bookmarkEnd w:id="17"/>
    </w:p>
    <w:p w14:paraId="53F2C968" w14:textId="2C1B7E4B" w:rsidR="0051439B" w:rsidRPr="0016266C" w:rsidRDefault="0051439B" w:rsidP="0051439B">
      <w:r w:rsidRPr="0016266C">
        <w:t>How income from</w:t>
      </w:r>
      <w:r w:rsidR="006E3A90" w:rsidRPr="0016266C">
        <w:t xml:space="preserve"> domestic </w:t>
      </w:r>
      <w:r w:rsidRPr="0016266C">
        <w:t>savings is taxed depends on various factors, including the form in which the savings are held</w:t>
      </w:r>
      <w:r w:rsidR="00E0521E" w:rsidRPr="0016266C">
        <w:t>.</w:t>
      </w:r>
      <w:r w:rsidR="006608C0" w:rsidRPr="0016266C">
        <w:rPr>
          <w:rStyle w:val="FootnoteReference"/>
        </w:rPr>
        <w:footnoteReference w:id="2"/>
      </w:r>
      <w:r w:rsidR="00E0521E" w:rsidRPr="0016266C">
        <w:t xml:space="preserve"> </w:t>
      </w:r>
      <w:r w:rsidRPr="0016266C">
        <w:t>In general, income from work (</w:t>
      </w:r>
      <w:r w:rsidR="003908CE" w:rsidRPr="0016266C">
        <w:t xml:space="preserve">that is, </w:t>
      </w:r>
      <w:r w:rsidRPr="0016266C">
        <w:t>labour income) is subject to full income tax</w:t>
      </w:r>
      <w:r w:rsidR="00E0521E" w:rsidRPr="0016266C">
        <w:t xml:space="preserve">. </w:t>
      </w:r>
      <w:r w:rsidR="009D20B9" w:rsidRPr="0016266C">
        <w:t xml:space="preserve">If </w:t>
      </w:r>
      <w:r w:rsidR="00BA7015" w:rsidRPr="0016266C">
        <w:t>an individual</w:t>
      </w:r>
      <w:r w:rsidR="009D20B9" w:rsidRPr="0016266C">
        <w:t xml:space="preserve"> place</w:t>
      </w:r>
      <w:r w:rsidR="00BA7015" w:rsidRPr="0016266C">
        <w:t>s</w:t>
      </w:r>
      <w:r w:rsidR="009D20B9" w:rsidRPr="0016266C">
        <w:t xml:space="preserve"> </w:t>
      </w:r>
      <w:r w:rsidR="00BA7015" w:rsidRPr="0016266C">
        <w:t>their</w:t>
      </w:r>
      <w:r w:rsidR="009D20B9" w:rsidRPr="0016266C">
        <w:t xml:space="preserve"> </w:t>
      </w:r>
      <w:r w:rsidR="00447CAC" w:rsidRPr="0016266C">
        <w:t>after</w:t>
      </w:r>
      <w:r w:rsidR="00292115">
        <w:noBreakHyphen/>
      </w:r>
      <w:r w:rsidR="009D20B9" w:rsidRPr="0016266C">
        <w:t xml:space="preserve">tax income in a bank account, </w:t>
      </w:r>
      <w:r w:rsidR="001A5965" w:rsidRPr="0016266C">
        <w:t xml:space="preserve">purchases </w:t>
      </w:r>
      <w:r w:rsidR="009D20B9" w:rsidRPr="0016266C">
        <w:t>shares or use</w:t>
      </w:r>
      <w:r w:rsidR="001A5965" w:rsidRPr="0016266C">
        <w:t>s</w:t>
      </w:r>
      <w:r w:rsidR="009D20B9" w:rsidRPr="0016266C">
        <w:t xml:space="preserve"> it to make a deposit on a house, the tax treatment of the income </w:t>
      </w:r>
      <w:r w:rsidR="001A5965" w:rsidRPr="0016266C">
        <w:t xml:space="preserve">earned </w:t>
      </w:r>
      <w:r w:rsidR="009D20B9" w:rsidRPr="0016266C">
        <w:t>from these savings varies significantly</w:t>
      </w:r>
      <w:r w:rsidR="00E0521E" w:rsidRPr="0016266C">
        <w:t xml:space="preserve">. </w:t>
      </w:r>
      <w:r w:rsidRPr="0016266C">
        <w:t>Interest</w:t>
      </w:r>
      <w:r w:rsidR="00166E41" w:rsidRPr="0016266C">
        <w:t>, rent and dividend</w:t>
      </w:r>
      <w:r w:rsidRPr="0016266C">
        <w:t xml:space="preserve"> income is subject to</w:t>
      </w:r>
      <w:r w:rsidR="00BA7015" w:rsidRPr="0016266C">
        <w:t xml:space="preserve"> tax at</w:t>
      </w:r>
      <w:r w:rsidRPr="0016266C">
        <w:t xml:space="preserve"> full marginal rates, while income from capital gains on shares i</w:t>
      </w:r>
      <w:r w:rsidR="00391B7B" w:rsidRPr="0016266C">
        <w:t>s subject to a discount (50 per </w:t>
      </w:r>
      <w:r w:rsidRPr="0016266C">
        <w:t xml:space="preserve">cent for individuals) and </w:t>
      </w:r>
      <w:r w:rsidR="00BA7015" w:rsidRPr="0016266C">
        <w:t xml:space="preserve">capital </w:t>
      </w:r>
      <w:r w:rsidRPr="0016266C">
        <w:t>gains on a family home are fully exempt</w:t>
      </w:r>
      <w:r w:rsidR="008864F2" w:rsidRPr="0016266C">
        <w:t xml:space="preserve"> from tax</w:t>
      </w:r>
      <w:r w:rsidR="00E0521E" w:rsidRPr="0016266C">
        <w:t xml:space="preserve">. </w:t>
      </w:r>
      <w:r w:rsidRPr="0016266C">
        <w:t xml:space="preserve">Superannuation is subject to </w:t>
      </w:r>
      <w:r w:rsidR="00341AAF" w:rsidRPr="0016266C">
        <w:t xml:space="preserve">yet another </w:t>
      </w:r>
      <w:r w:rsidRPr="0016266C">
        <w:t>tax treatment.</w:t>
      </w:r>
    </w:p>
    <w:p w14:paraId="24257A51" w14:textId="1DF8A8C6" w:rsidR="0051439B" w:rsidRPr="0016266C" w:rsidRDefault="000353C0" w:rsidP="0051439B">
      <w:r w:rsidRPr="0016266C">
        <w:lastRenderedPageBreak/>
        <w:t>Australian households</w:t>
      </w:r>
      <w:r w:rsidR="0051439B" w:rsidRPr="0016266C">
        <w:t xml:space="preserve"> save primarily through home</w:t>
      </w:r>
      <w:r w:rsidR="00BA7015" w:rsidRPr="0016266C">
        <w:t xml:space="preserve"> ownership</w:t>
      </w:r>
      <w:r w:rsidR="0051439B" w:rsidRPr="0016266C">
        <w:t xml:space="preserve"> (43</w:t>
      </w:r>
      <w:r w:rsidR="00530789" w:rsidRPr="0016266C">
        <w:t> </w:t>
      </w:r>
      <w:r w:rsidR="0051439B" w:rsidRPr="0016266C">
        <w:t>per</w:t>
      </w:r>
      <w:r w:rsidR="00530789" w:rsidRPr="0016266C">
        <w:t> </w:t>
      </w:r>
      <w:r w:rsidR="0051439B" w:rsidRPr="0016266C">
        <w:t>cent</w:t>
      </w:r>
      <w:r w:rsidRPr="0016266C">
        <w:t xml:space="preserve"> of total </w:t>
      </w:r>
      <w:r w:rsidR="003772DB" w:rsidRPr="0016266C">
        <w:t>household assets</w:t>
      </w:r>
      <w:r w:rsidR="0051439B" w:rsidRPr="0016266C">
        <w:t>), superannuation (15</w:t>
      </w:r>
      <w:r w:rsidR="00530789" w:rsidRPr="0016266C">
        <w:t> </w:t>
      </w:r>
      <w:r w:rsidR="0051439B" w:rsidRPr="0016266C">
        <w:t>per</w:t>
      </w:r>
      <w:r w:rsidR="00530789" w:rsidRPr="0016266C">
        <w:t> </w:t>
      </w:r>
      <w:r w:rsidR="0051439B" w:rsidRPr="0016266C">
        <w:t>cent</w:t>
      </w:r>
      <w:r w:rsidRPr="0016266C">
        <w:t xml:space="preserve"> of total </w:t>
      </w:r>
      <w:r w:rsidR="003772DB" w:rsidRPr="0016266C">
        <w:t>household assets</w:t>
      </w:r>
      <w:r w:rsidR="0051439B" w:rsidRPr="0016266C">
        <w:t xml:space="preserve">), and </w:t>
      </w:r>
      <w:r w:rsidR="00CB1D6D" w:rsidRPr="0016266C">
        <w:t xml:space="preserve">other property, including </w:t>
      </w:r>
      <w:r w:rsidR="0051439B" w:rsidRPr="0016266C">
        <w:t>investment propert</w:t>
      </w:r>
      <w:r w:rsidR="00CB1D6D" w:rsidRPr="0016266C">
        <w:t>y</w:t>
      </w:r>
      <w:r w:rsidR="00845675" w:rsidRPr="0016266C">
        <w:t xml:space="preserve"> (15 per </w:t>
      </w:r>
      <w:r w:rsidR="0051439B" w:rsidRPr="0016266C">
        <w:t>cent</w:t>
      </w:r>
      <w:r w:rsidRPr="0016266C">
        <w:t xml:space="preserve"> of total</w:t>
      </w:r>
      <w:r w:rsidR="003772DB" w:rsidRPr="0016266C">
        <w:t xml:space="preserve"> household assets</w:t>
      </w:r>
      <w:r w:rsidR="0051439B" w:rsidRPr="0016266C">
        <w:t>)</w:t>
      </w:r>
      <w:r w:rsidR="00845675" w:rsidRPr="0016266C">
        <w:t>.</w:t>
      </w:r>
      <w:r w:rsidR="00CB1D6D" w:rsidRPr="0016266C">
        <w:rPr>
          <w:rStyle w:val="FootnoteReference"/>
        </w:rPr>
        <w:footnoteReference w:id="3"/>
      </w:r>
      <w:r w:rsidR="00E0521E" w:rsidRPr="0016266C">
        <w:t xml:space="preserve"> </w:t>
      </w:r>
      <w:r w:rsidR="0051439B" w:rsidRPr="0016266C">
        <w:t xml:space="preserve">Other popular vehicles for savings include shares, bank accounts </w:t>
      </w:r>
      <w:r w:rsidR="008864F2" w:rsidRPr="0016266C">
        <w:t>and</w:t>
      </w:r>
      <w:r w:rsidR="0051439B" w:rsidRPr="0016266C">
        <w:t xml:space="preserve"> debt instruments</w:t>
      </w:r>
      <w:r w:rsidR="008864F2" w:rsidRPr="0016266C">
        <w:t>,</w:t>
      </w:r>
      <w:r w:rsidR="0051439B" w:rsidRPr="0016266C">
        <w:t xml:space="preserve"> as well as</w:t>
      </w:r>
      <w:r w:rsidR="00391B7B" w:rsidRPr="0016266C">
        <w:t> </w:t>
      </w:r>
      <w:r w:rsidR="0051439B" w:rsidRPr="0016266C">
        <w:t>trusts and company structures</w:t>
      </w:r>
      <w:r w:rsidR="00845675" w:rsidRPr="0016266C">
        <w:t>.</w:t>
      </w:r>
    </w:p>
    <w:p w14:paraId="5961AC18" w14:textId="2E4F9BAA" w:rsidR="00533A66" w:rsidRDefault="0051439B" w:rsidP="00533A66">
      <w:r w:rsidRPr="0016266C">
        <w:t xml:space="preserve">Taxation of income from </w:t>
      </w:r>
      <w:r w:rsidR="008864F2" w:rsidRPr="0016266C">
        <w:t xml:space="preserve">domestic </w:t>
      </w:r>
      <w:r w:rsidRPr="0016266C">
        <w:t xml:space="preserve">savings is a small but important revenue base for the </w:t>
      </w:r>
      <w:r w:rsidRPr="008C26F6">
        <w:t xml:space="preserve">Commonwealth. </w:t>
      </w:r>
      <w:r w:rsidR="00BA414D" w:rsidRPr="008C26F6">
        <w:t>In 2013</w:t>
      </w:r>
      <w:r w:rsidR="00292115">
        <w:noBreakHyphen/>
      </w:r>
      <w:r w:rsidR="00BA414D" w:rsidRPr="008C26F6">
        <w:t xml:space="preserve">14, receipts </w:t>
      </w:r>
      <w:r w:rsidRPr="008C26F6">
        <w:t>from superannuation alone raise</w:t>
      </w:r>
      <w:r w:rsidR="00BA414D" w:rsidRPr="008C26F6">
        <w:t>d</w:t>
      </w:r>
      <w:r w:rsidRPr="008C26F6">
        <w:t xml:space="preserve"> $</w:t>
      </w:r>
      <w:r w:rsidR="00BA414D" w:rsidRPr="008C26F6">
        <w:t>6.1 </w:t>
      </w:r>
      <w:r w:rsidRPr="008C26F6">
        <w:t>billion and ma</w:t>
      </w:r>
      <w:r w:rsidR="00491306" w:rsidRPr="008C26F6">
        <w:t>de</w:t>
      </w:r>
      <w:r w:rsidRPr="008C26F6">
        <w:t xml:space="preserve"> up </w:t>
      </w:r>
      <w:r w:rsidR="00BA414D" w:rsidRPr="008C26F6">
        <w:t>1.</w:t>
      </w:r>
      <w:r w:rsidR="00027DFD" w:rsidRPr="008C26F6">
        <w:t>8</w:t>
      </w:r>
      <w:r w:rsidRPr="008C26F6">
        <w:t> per cent of Commonwealth re</w:t>
      </w:r>
      <w:r w:rsidR="001D21E2" w:rsidRPr="008C26F6">
        <w:t>ceipts</w:t>
      </w:r>
      <w:r w:rsidR="00845675" w:rsidRPr="008C26F6">
        <w:t>.</w:t>
      </w:r>
      <w:r w:rsidR="00BA414D" w:rsidRPr="008C26F6">
        <w:rPr>
          <w:rStyle w:val="FootnoteReference"/>
        </w:rPr>
        <w:footnoteReference w:id="4"/>
      </w:r>
      <w:r w:rsidR="00745689" w:rsidRPr="008C26F6">
        <w:t xml:space="preserve"> In 2011</w:t>
      </w:r>
      <w:r w:rsidR="00292115">
        <w:noBreakHyphen/>
      </w:r>
      <w:r w:rsidR="00745689" w:rsidRPr="008C26F6">
        <w:t>2012</w:t>
      </w:r>
      <w:r w:rsidR="00336336" w:rsidRPr="008C26F6">
        <w:t>,</w:t>
      </w:r>
      <w:r w:rsidR="00745689" w:rsidRPr="008C26F6">
        <w:t xml:space="preserve"> c</w:t>
      </w:r>
      <w:r w:rsidRPr="008C26F6">
        <w:t xml:space="preserve">apital gains tax </w:t>
      </w:r>
      <w:r w:rsidR="007146D2" w:rsidRPr="008C26F6">
        <w:t>(CGT)</w:t>
      </w:r>
      <w:r w:rsidRPr="008C26F6">
        <w:t xml:space="preserve"> from individuals</w:t>
      </w:r>
      <w:r w:rsidR="00BA414D" w:rsidRPr="008C26F6">
        <w:t xml:space="preserve"> </w:t>
      </w:r>
      <w:r w:rsidR="00745689" w:rsidRPr="008C26F6">
        <w:t>raised</w:t>
      </w:r>
      <w:r w:rsidRPr="008C26F6">
        <w:t xml:space="preserve"> </w:t>
      </w:r>
      <w:r w:rsidR="00BA414D" w:rsidRPr="008C26F6">
        <w:t xml:space="preserve">around </w:t>
      </w:r>
      <w:r w:rsidRPr="008C26F6">
        <w:t>$3</w:t>
      </w:r>
      <w:r w:rsidR="00BA414D" w:rsidRPr="008C26F6">
        <w:t> </w:t>
      </w:r>
      <w:r w:rsidRPr="008C26F6">
        <w:t>billion</w:t>
      </w:r>
      <w:r w:rsidR="00BA414D" w:rsidRPr="008C26F6">
        <w:t>, while t</w:t>
      </w:r>
      <w:r w:rsidRPr="008C26F6">
        <w:t>axes paid on interest and dividend income</w:t>
      </w:r>
      <w:r w:rsidR="00745689" w:rsidRPr="008C26F6">
        <w:t xml:space="preserve"> for</w:t>
      </w:r>
      <w:r w:rsidR="00BA414D" w:rsidRPr="008C26F6">
        <w:t xml:space="preserve"> individuals </w:t>
      </w:r>
      <w:r w:rsidRPr="008C26F6">
        <w:t>yield</w:t>
      </w:r>
      <w:r w:rsidR="00745689" w:rsidRPr="008C26F6">
        <w:t>ed</w:t>
      </w:r>
      <w:r w:rsidRPr="008C26F6">
        <w:t xml:space="preserve"> </w:t>
      </w:r>
      <w:r w:rsidR="00BA414D" w:rsidRPr="008C26F6">
        <w:t>around</w:t>
      </w:r>
      <w:r w:rsidRPr="008C26F6">
        <w:t xml:space="preserve"> $</w:t>
      </w:r>
      <w:r w:rsidR="00BA414D" w:rsidRPr="008C26F6">
        <w:t>7 </w:t>
      </w:r>
      <w:r w:rsidRPr="008C26F6">
        <w:t>billion</w:t>
      </w:r>
      <w:r w:rsidR="00845675" w:rsidRPr="008C26F6">
        <w:t>.</w:t>
      </w:r>
      <w:r w:rsidR="00BA414D" w:rsidRPr="008C26F6">
        <w:rPr>
          <w:rStyle w:val="FootnoteReference"/>
        </w:rPr>
        <w:footnoteReference w:id="5"/>
      </w:r>
    </w:p>
    <w:p w14:paraId="139BB3C3" w14:textId="7E8B776E" w:rsidR="00AE61CA" w:rsidRPr="0016266C" w:rsidRDefault="00AE61CA" w:rsidP="00533A66">
      <w:pPr>
        <w:pStyle w:val="Singleparagraph0"/>
      </w:pPr>
    </w:p>
    <w:p w14:paraId="38DEF068" w14:textId="03A908BB" w:rsidR="0051439B" w:rsidRPr="0016266C" w:rsidRDefault="0051439B" w:rsidP="00AE61CA">
      <w:pPr>
        <w:pStyle w:val="Heading2"/>
        <w:rPr>
          <w:rFonts w:eastAsiaTheme="minorHAnsi"/>
        </w:rPr>
      </w:pPr>
      <w:bookmarkStart w:id="18" w:name="_Toc402326863"/>
      <w:bookmarkStart w:id="19" w:name="_Toc402333515"/>
      <w:bookmarkStart w:id="20" w:name="_Toc402340291"/>
      <w:bookmarkStart w:id="21" w:name="_Toc402343386"/>
      <w:bookmarkStart w:id="22" w:name="_Toc402346622"/>
      <w:bookmarkStart w:id="23" w:name="_Toc402349079"/>
      <w:bookmarkStart w:id="24" w:name="_Toc402350608"/>
      <w:bookmarkStart w:id="25" w:name="_Toc402353629"/>
      <w:bookmarkStart w:id="26" w:name="_Toc402368747"/>
      <w:bookmarkStart w:id="27" w:name="_Toc402369833"/>
      <w:bookmarkStart w:id="28" w:name="_Toc402370498"/>
      <w:bookmarkStart w:id="29" w:name="_Toc402371445"/>
      <w:bookmarkStart w:id="30" w:name="_Toc404348014"/>
      <w:r w:rsidRPr="0016266C">
        <w:rPr>
          <w:rFonts w:eastAsiaTheme="minorHAnsi"/>
        </w:rPr>
        <w:t xml:space="preserve">What principles should underpin the tax treatment of </w:t>
      </w:r>
      <w:r w:rsidR="008E596C" w:rsidRPr="0016266C">
        <w:rPr>
          <w:rFonts w:eastAsiaTheme="minorHAnsi"/>
        </w:rPr>
        <w:t xml:space="preserve">income from </w:t>
      </w:r>
      <w:r w:rsidRPr="0016266C">
        <w:rPr>
          <w:rFonts w:eastAsiaTheme="minorHAnsi"/>
        </w:rPr>
        <w:t>saving</w:t>
      </w:r>
      <w:r w:rsidR="008E596C" w:rsidRPr="0016266C">
        <w:rPr>
          <w:rFonts w:eastAsiaTheme="minorHAnsi"/>
        </w:rPr>
        <w:t>s</w:t>
      </w:r>
      <w:r w:rsidRPr="0016266C">
        <w:rPr>
          <w:rFonts w:eastAsiaTheme="minorHAnsi"/>
        </w:rPr>
        <w:t>?</w:t>
      </w:r>
      <w:bookmarkEnd w:id="18"/>
      <w:bookmarkEnd w:id="19"/>
      <w:bookmarkEnd w:id="20"/>
      <w:bookmarkEnd w:id="21"/>
      <w:bookmarkEnd w:id="22"/>
      <w:bookmarkEnd w:id="23"/>
      <w:bookmarkEnd w:id="24"/>
      <w:bookmarkEnd w:id="25"/>
      <w:bookmarkEnd w:id="26"/>
      <w:bookmarkEnd w:id="27"/>
      <w:bookmarkEnd w:id="28"/>
      <w:bookmarkEnd w:id="29"/>
      <w:bookmarkEnd w:id="30"/>
    </w:p>
    <w:p w14:paraId="5BB98A1D" w14:textId="7C01A8E0" w:rsidR="0051439B" w:rsidRPr="0016266C" w:rsidRDefault="0051439B" w:rsidP="0051439B">
      <w:r w:rsidRPr="0016266C">
        <w:t>The appropriate tax treatment of saving</w:t>
      </w:r>
      <w:r w:rsidR="00851D1F" w:rsidRPr="0016266C">
        <w:t>s</w:t>
      </w:r>
      <w:r w:rsidRPr="0016266C">
        <w:t xml:space="preserve"> is contentious</w:t>
      </w:r>
      <w:r w:rsidR="00E0521E" w:rsidRPr="0016266C">
        <w:t xml:space="preserve">. </w:t>
      </w:r>
      <w:r w:rsidRPr="0016266C">
        <w:t>The first point of contention is whether income from saving</w:t>
      </w:r>
      <w:r w:rsidR="006E3A90" w:rsidRPr="0016266C">
        <w:t>s</w:t>
      </w:r>
      <w:r w:rsidRPr="0016266C">
        <w:t xml:space="preserve"> should be taxed more concessionally than other forms of income, such as labour income</w:t>
      </w:r>
      <w:r w:rsidR="00CE1292" w:rsidRPr="0016266C">
        <w:t>.</w:t>
      </w:r>
      <w:r w:rsidR="006C2C0E" w:rsidRPr="0016266C">
        <w:rPr>
          <w:rStyle w:val="FootnoteReference"/>
        </w:rPr>
        <w:footnoteReference w:id="6"/>
      </w:r>
      <w:r w:rsidR="00E0521E" w:rsidRPr="0016266C">
        <w:t xml:space="preserve"> </w:t>
      </w:r>
    </w:p>
    <w:p w14:paraId="77F46D8C" w14:textId="5ABCBC47" w:rsidR="0051439B" w:rsidRPr="0016266C" w:rsidRDefault="0051439B" w:rsidP="00533A66">
      <w:r w:rsidRPr="0016266C">
        <w:t>The main argument against taxing income from savings is that this</w:t>
      </w:r>
      <w:r w:rsidR="00BA7015" w:rsidRPr="0016266C">
        <w:t xml:space="preserve"> can</w:t>
      </w:r>
      <w:r w:rsidRPr="0016266C">
        <w:t xml:space="preserve"> effectively amount</w:t>
      </w:r>
      <w:r w:rsidR="00D5147E" w:rsidRPr="0016266C">
        <w:t xml:space="preserve"> to a double taxation of saving </w:t>
      </w:r>
      <w:r w:rsidRPr="0016266C">
        <w:t xml:space="preserve">(once when </w:t>
      </w:r>
      <w:r w:rsidR="00BA7015" w:rsidRPr="0016266C">
        <w:t>it is</w:t>
      </w:r>
      <w:r w:rsidRPr="0016266C">
        <w:t xml:space="preserve"> earn</w:t>
      </w:r>
      <w:r w:rsidR="003772DB" w:rsidRPr="0016266C">
        <w:t>ed</w:t>
      </w:r>
      <w:r w:rsidRPr="0016266C">
        <w:t>, then again when</w:t>
      </w:r>
      <w:r w:rsidR="00BA7015" w:rsidRPr="0016266C">
        <w:t xml:space="preserve"> it earns a</w:t>
      </w:r>
      <w:r w:rsidRPr="0016266C">
        <w:t xml:space="preserve"> </w:t>
      </w:r>
      <w:r w:rsidR="00BA7015" w:rsidRPr="0016266C">
        <w:t>return</w:t>
      </w:r>
      <w:r w:rsidRPr="0016266C">
        <w:t>)</w:t>
      </w:r>
      <w:r w:rsidR="00E0521E" w:rsidRPr="0016266C">
        <w:t xml:space="preserve">. </w:t>
      </w:r>
      <w:r w:rsidR="008864F2" w:rsidRPr="0016266C">
        <w:t xml:space="preserve">This </w:t>
      </w:r>
      <w:r w:rsidR="00BA7015" w:rsidRPr="0016266C">
        <w:t xml:space="preserve">can </w:t>
      </w:r>
      <w:r w:rsidRPr="0016266C">
        <w:t xml:space="preserve">create a bias against </w:t>
      </w:r>
      <w:r w:rsidR="00851D1F" w:rsidRPr="0016266C">
        <w:t xml:space="preserve">saving for </w:t>
      </w:r>
      <w:r w:rsidRPr="0016266C">
        <w:t>future consumption</w:t>
      </w:r>
      <w:r w:rsidR="00E0521E" w:rsidRPr="0016266C">
        <w:t xml:space="preserve">. </w:t>
      </w:r>
      <w:r w:rsidRPr="0016266C">
        <w:t>There is also an argument that some of the return from saving</w:t>
      </w:r>
      <w:r w:rsidR="006B52CC" w:rsidRPr="0016266C">
        <w:t>s</w:t>
      </w:r>
      <w:r w:rsidRPr="0016266C">
        <w:t xml:space="preserve"> simply reflects inflation, which is not </w:t>
      </w:r>
      <w:r w:rsidR="00292115">
        <w:t>‘</w:t>
      </w:r>
      <w:r w:rsidRPr="0016266C">
        <w:t>income</w:t>
      </w:r>
      <w:r w:rsidR="00292115">
        <w:t>’</w:t>
      </w:r>
      <w:r w:rsidRPr="0016266C">
        <w:t xml:space="preserve"> in a real sense as it offsets the loss of value to maintain purchasing power</w:t>
      </w:r>
      <w:r w:rsidR="00E0521E" w:rsidRPr="0016266C">
        <w:t xml:space="preserve">. </w:t>
      </w:r>
      <w:r w:rsidRPr="0016266C">
        <w:t>Arguments of this nature are often used to suggest there should be little or no tax on income from savings</w:t>
      </w:r>
      <w:r w:rsidR="00E0521E" w:rsidRPr="0016266C">
        <w:t xml:space="preserve">. </w:t>
      </w:r>
    </w:p>
    <w:p w14:paraId="771B8D17" w14:textId="02B94CDB" w:rsidR="003244F4" w:rsidRPr="0016266C" w:rsidRDefault="00BA7015" w:rsidP="00533A66">
      <w:r w:rsidRPr="0016266C">
        <w:t>Another</w:t>
      </w:r>
      <w:r w:rsidR="003244F4" w:rsidRPr="0016266C">
        <w:t xml:space="preserve"> argument</w:t>
      </w:r>
      <w:r w:rsidRPr="0016266C">
        <w:t>,</w:t>
      </w:r>
      <w:r w:rsidR="003244F4" w:rsidRPr="0016266C">
        <w:t xml:space="preserve"> used in relation to</w:t>
      </w:r>
      <w:r w:rsidR="00775FB2" w:rsidRPr="0016266C">
        <w:t xml:space="preserve"> taxing</w:t>
      </w:r>
      <w:r w:rsidR="003244F4" w:rsidRPr="0016266C">
        <w:t xml:space="preserve"> retirement incomes</w:t>
      </w:r>
      <w:r w:rsidR="00775FB2" w:rsidRPr="0016266C">
        <w:t xml:space="preserve"> </w:t>
      </w:r>
      <w:r w:rsidR="00493BDE" w:rsidRPr="0016266C">
        <w:t>more lightly</w:t>
      </w:r>
      <w:r w:rsidRPr="0016266C">
        <w:t>,</w:t>
      </w:r>
      <w:r w:rsidR="003244F4" w:rsidRPr="0016266C">
        <w:t xml:space="preserve"> i</w:t>
      </w:r>
      <w:r w:rsidR="00865A0A" w:rsidRPr="0016266C">
        <w:t>s</w:t>
      </w:r>
      <w:r w:rsidR="003244F4" w:rsidRPr="0016266C">
        <w:t xml:space="preserve"> </w:t>
      </w:r>
      <w:r w:rsidR="000B55F3" w:rsidRPr="0016266C">
        <w:t xml:space="preserve">to address </w:t>
      </w:r>
      <w:r w:rsidR="00292115">
        <w:t>‘</w:t>
      </w:r>
      <w:r w:rsidR="000155F0" w:rsidRPr="0016266C">
        <w:t>life</w:t>
      </w:r>
      <w:r w:rsidR="00292115">
        <w:noBreakHyphen/>
      </w:r>
      <w:r w:rsidR="00C32564" w:rsidRPr="0016266C">
        <w:t xml:space="preserve">cycle </w:t>
      </w:r>
      <w:r w:rsidR="003244F4" w:rsidRPr="0016266C">
        <w:t>myopia</w:t>
      </w:r>
      <w:r w:rsidR="00292115">
        <w:t>’</w:t>
      </w:r>
      <w:r w:rsidR="00AD69A6" w:rsidRPr="0016266C">
        <w:t>. This is</w:t>
      </w:r>
      <w:r w:rsidR="00E0521E" w:rsidRPr="0016266C">
        <w:t xml:space="preserve"> </w:t>
      </w:r>
      <w:r w:rsidR="00982B51" w:rsidRPr="0016266C">
        <w:t>where</w:t>
      </w:r>
      <w:r w:rsidR="00C32564" w:rsidRPr="0016266C">
        <w:t xml:space="preserve"> individuals </w:t>
      </w:r>
      <w:r w:rsidR="00AD69A6" w:rsidRPr="0016266C">
        <w:t>may</w:t>
      </w:r>
      <w:r w:rsidR="00C32564" w:rsidRPr="0016266C">
        <w:t xml:space="preserve"> not save enough for retirement because it is too far</w:t>
      </w:r>
      <w:r w:rsidR="00982B51" w:rsidRPr="0016266C">
        <w:t xml:space="preserve"> in the future for them to</w:t>
      </w:r>
      <w:r w:rsidR="00C32564" w:rsidRPr="0016266C">
        <w:t xml:space="preserve"> </w:t>
      </w:r>
      <w:r w:rsidR="00ED2314" w:rsidRPr="0016266C">
        <w:t xml:space="preserve">see </w:t>
      </w:r>
      <w:r w:rsidR="00C32564" w:rsidRPr="0016266C">
        <w:t>clearly</w:t>
      </w:r>
      <w:r w:rsidR="00AD69A6" w:rsidRPr="0016266C">
        <w:t>,</w:t>
      </w:r>
      <w:r w:rsidR="00880A19" w:rsidRPr="0016266C">
        <w:t xml:space="preserve"> </w:t>
      </w:r>
      <w:r w:rsidR="00C32564" w:rsidRPr="0016266C">
        <w:t>and therefore</w:t>
      </w:r>
      <w:r w:rsidR="008C44D7" w:rsidRPr="0016266C">
        <w:t xml:space="preserve"> </w:t>
      </w:r>
      <w:r w:rsidR="00ED2314" w:rsidRPr="0016266C">
        <w:t xml:space="preserve">they </w:t>
      </w:r>
      <w:r w:rsidR="006B52CC" w:rsidRPr="0016266C">
        <w:t xml:space="preserve">need encouragement to save </w:t>
      </w:r>
      <w:r w:rsidR="00865A0A" w:rsidRPr="0016266C">
        <w:t>to achieve a higher standard of living</w:t>
      </w:r>
      <w:r w:rsidR="008C44D7" w:rsidRPr="0016266C">
        <w:t xml:space="preserve"> in retirement</w:t>
      </w:r>
      <w:r w:rsidR="00E0521E" w:rsidRPr="0016266C">
        <w:t xml:space="preserve">. </w:t>
      </w:r>
    </w:p>
    <w:p w14:paraId="5B037A36" w14:textId="54C15447" w:rsidR="00AE61CA" w:rsidRPr="0016266C" w:rsidRDefault="0051439B" w:rsidP="00292115">
      <w:r w:rsidRPr="0016266C">
        <w:t>There are, however, several arguments for imposing at least some tax on income from savings</w:t>
      </w:r>
      <w:r w:rsidR="00ED2314" w:rsidRPr="0016266C">
        <w:t>.</w:t>
      </w:r>
      <w:r w:rsidR="00504F21" w:rsidRPr="0016266C">
        <w:t xml:space="preserve"> </w:t>
      </w:r>
    </w:p>
    <w:p w14:paraId="6F2725AD" w14:textId="2F2EAACF" w:rsidR="00C32564" w:rsidRPr="0016266C" w:rsidRDefault="00504F21" w:rsidP="00533A66">
      <w:pPr>
        <w:keepNext/>
        <w:keepLines/>
        <w:spacing w:after="200"/>
      </w:pPr>
      <w:r w:rsidRPr="0016266C">
        <w:lastRenderedPageBreak/>
        <w:t>First, e</w:t>
      </w:r>
      <w:r w:rsidR="0051439B" w:rsidRPr="0016266C">
        <w:t>very tax discourages some economic activity. Taxing income from savings concessionally means other taxes (</w:t>
      </w:r>
      <w:r w:rsidR="00775FB2" w:rsidRPr="0016266C">
        <w:t>for example,</w:t>
      </w:r>
      <w:r w:rsidR="0051439B" w:rsidRPr="0016266C">
        <w:t xml:space="preserve"> on labour income) need to be higher</w:t>
      </w:r>
      <w:r w:rsidR="00775FB2" w:rsidRPr="0016266C">
        <w:t xml:space="preserve"> to maintain the same level of revenue overall</w:t>
      </w:r>
      <w:r w:rsidR="00E0521E" w:rsidRPr="0016266C">
        <w:t xml:space="preserve">. </w:t>
      </w:r>
      <w:r w:rsidR="0051439B" w:rsidRPr="0016266C">
        <w:t xml:space="preserve">This requires an assessment of the relative economic costs of </w:t>
      </w:r>
      <w:r w:rsidR="008864F2" w:rsidRPr="0016266C">
        <w:t>alternative taxes</w:t>
      </w:r>
      <w:r w:rsidR="0051439B" w:rsidRPr="0016266C">
        <w:t>.</w:t>
      </w:r>
      <w:r w:rsidR="00C32564" w:rsidRPr="0016266C">
        <w:t xml:space="preserve"> </w:t>
      </w:r>
    </w:p>
    <w:p w14:paraId="4BDD5D00" w14:textId="2E710EA2" w:rsidR="008864F2" w:rsidRPr="0016266C" w:rsidRDefault="00C32564" w:rsidP="00533A66">
      <w:pPr>
        <w:spacing w:after="200"/>
      </w:pPr>
      <w:r w:rsidRPr="0016266C">
        <w:t>Empirical evidence suggests the</w:t>
      </w:r>
      <w:r w:rsidR="00F51D7B" w:rsidRPr="0016266C">
        <w:t xml:space="preserve"> behavioural response to </w:t>
      </w:r>
      <w:r w:rsidR="00166E41" w:rsidRPr="0016266C">
        <w:t xml:space="preserve">taxing </w:t>
      </w:r>
      <w:r w:rsidRPr="0016266C">
        <w:t>savings is uncertain</w:t>
      </w:r>
      <w:r w:rsidR="002F07CD" w:rsidRPr="0016266C">
        <w:rPr>
          <w:rStyle w:val="FootnoteReference"/>
        </w:rPr>
        <w:footnoteReference w:id="7"/>
      </w:r>
      <w:r w:rsidRPr="0016266C">
        <w:t xml:space="preserve"> and </w:t>
      </w:r>
      <w:r w:rsidR="002F07CD" w:rsidRPr="0016266C">
        <w:t xml:space="preserve">may not be </w:t>
      </w:r>
      <w:r w:rsidRPr="0016266C">
        <w:t>significant</w:t>
      </w:r>
      <w:r w:rsidR="00845675" w:rsidRPr="0016266C">
        <w:t>.</w:t>
      </w:r>
      <w:r w:rsidR="00F51D7B" w:rsidRPr="0016266C">
        <w:rPr>
          <w:rStyle w:val="FootnoteReference"/>
        </w:rPr>
        <w:footnoteReference w:id="8"/>
      </w:r>
      <w:r w:rsidR="00E0521E" w:rsidRPr="0016266C">
        <w:t xml:space="preserve"> </w:t>
      </w:r>
      <w:r w:rsidRPr="0016266C">
        <w:t>This implies</w:t>
      </w:r>
      <w:r w:rsidR="008864F2" w:rsidRPr="0016266C">
        <w:t xml:space="preserve"> that the economic cost of taxing </w:t>
      </w:r>
      <w:r w:rsidR="008E596C" w:rsidRPr="0016266C">
        <w:t xml:space="preserve">income from </w:t>
      </w:r>
      <w:r w:rsidR="008864F2" w:rsidRPr="0016266C">
        <w:t>saving</w:t>
      </w:r>
      <w:r w:rsidR="008E596C" w:rsidRPr="0016266C">
        <w:t>s</w:t>
      </w:r>
      <w:r w:rsidR="008864F2" w:rsidRPr="0016266C">
        <w:t xml:space="preserve"> (at least to a point) is not large</w:t>
      </w:r>
      <w:r w:rsidR="000155F0" w:rsidRPr="0016266C">
        <w:t>. Therefore</w:t>
      </w:r>
      <w:r w:rsidR="00E77BB3" w:rsidRPr="0016266C">
        <w:t>,</w:t>
      </w:r>
      <w:r w:rsidRPr="0016266C">
        <w:t xml:space="preserve"> applying some tax on </w:t>
      </w:r>
      <w:r w:rsidR="00701B26" w:rsidRPr="0016266C">
        <w:t xml:space="preserve">income from </w:t>
      </w:r>
      <w:r w:rsidRPr="0016266C">
        <w:t>savings is likely to improve the efficiency of the overall tax system</w:t>
      </w:r>
      <w:r w:rsidR="00845675" w:rsidRPr="0016266C">
        <w:t>.</w:t>
      </w:r>
    </w:p>
    <w:p w14:paraId="0645AC49" w14:textId="630F024E" w:rsidR="007620E2" w:rsidRPr="0016266C" w:rsidRDefault="00504F21" w:rsidP="00533A66">
      <w:pPr>
        <w:spacing w:after="200"/>
      </w:pPr>
      <w:r w:rsidRPr="0016266C">
        <w:t>Second, e</w:t>
      </w:r>
      <w:r w:rsidR="00C32564" w:rsidRPr="0016266C">
        <w:t>xempting or providing c</w:t>
      </w:r>
      <w:r w:rsidR="0051439B" w:rsidRPr="0016266C">
        <w:t>oncessional taxation</w:t>
      </w:r>
      <w:r w:rsidR="000155F0" w:rsidRPr="0016266C">
        <w:t xml:space="preserve"> treatment</w:t>
      </w:r>
      <w:r w:rsidR="0051439B" w:rsidRPr="0016266C">
        <w:t xml:space="preserve"> of income from savings creates incentives to </w:t>
      </w:r>
      <w:r w:rsidR="00AD69A6" w:rsidRPr="0016266C">
        <w:t>minimise</w:t>
      </w:r>
      <w:r w:rsidR="0051439B" w:rsidRPr="0016266C">
        <w:t xml:space="preserve"> tax by artificially </w:t>
      </w:r>
      <w:r w:rsidR="00292115">
        <w:t>‘</w:t>
      </w:r>
      <w:r w:rsidR="0051439B" w:rsidRPr="0016266C">
        <w:t>converting</w:t>
      </w:r>
      <w:r w:rsidR="00292115">
        <w:t>’</w:t>
      </w:r>
      <w:r w:rsidR="0051439B" w:rsidRPr="0016266C">
        <w:t xml:space="preserve"> labour income into income from savings. </w:t>
      </w:r>
    </w:p>
    <w:p w14:paraId="39EF137C" w14:textId="75A18BA1" w:rsidR="0051439B" w:rsidRPr="0016266C" w:rsidRDefault="00504F21" w:rsidP="00533A66">
      <w:pPr>
        <w:spacing w:after="200"/>
      </w:pPr>
      <w:r w:rsidRPr="0016266C">
        <w:t>Third, i</w:t>
      </w:r>
      <w:r w:rsidR="004433FD" w:rsidRPr="0016266C">
        <w:t>ncome from savings contributes to a person</w:t>
      </w:r>
      <w:r w:rsidR="00292115">
        <w:t>’</w:t>
      </w:r>
      <w:r w:rsidR="004433FD" w:rsidRPr="0016266C">
        <w:t>s ability to pay tax. Further</w:t>
      </w:r>
      <w:r w:rsidR="0032087D" w:rsidRPr="0016266C">
        <w:t>,</w:t>
      </w:r>
      <w:r w:rsidR="004433FD" w:rsidRPr="0016266C">
        <w:t xml:space="preserve"> individuals with higher incomes tend to have higher levels of income from savings.</w:t>
      </w:r>
      <w:r w:rsidR="00E0521E" w:rsidRPr="0016266C">
        <w:t xml:space="preserve"> </w:t>
      </w:r>
    </w:p>
    <w:p w14:paraId="23CB40E8" w14:textId="615D31CC" w:rsidR="0051439B" w:rsidRPr="0016266C" w:rsidRDefault="00F87BAF" w:rsidP="00533A66">
      <w:pPr>
        <w:spacing w:after="200"/>
      </w:pPr>
      <w:proofErr w:type="gramStart"/>
      <w:r w:rsidRPr="0016266C">
        <w:t xml:space="preserve">Taxing the income from savings more lightly than labour income is a way of striking a balance between these competing </w:t>
      </w:r>
      <w:r w:rsidR="0051439B" w:rsidRPr="0016266C">
        <w:t>considerations</w:t>
      </w:r>
      <w:r w:rsidR="00E0521E" w:rsidRPr="0016266C">
        <w:t>.</w:t>
      </w:r>
      <w:proofErr w:type="gramEnd"/>
      <w:r w:rsidR="00E0521E" w:rsidRPr="0016266C">
        <w:t xml:space="preserve"> </w:t>
      </w:r>
      <w:r w:rsidRPr="0016266C">
        <w:t>For example, it can help address the effects of inflation (by reducing tax on th</w:t>
      </w:r>
      <w:r w:rsidR="00880A19" w:rsidRPr="0016266C">
        <w:t>e</w:t>
      </w:r>
      <w:r w:rsidRPr="0016266C">
        <w:t xml:space="preserve"> part of the return that simply reflects the saved money maintaining its real value)</w:t>
      </w:r>
      <w:r w:rsidR="00E77BB3" w:rsidRPr="0016266C">
        <w:t>,</w:t>
      </w:r>
      <w:r w:rsidRPr="0016266C">
        <w:t xml:space="preserve"> while ensuring that some tax revenue is raised so that other tax rates can be lower</w:t>
      </w:r>
      <w:r w:rsidR="00E0521E" w:rsidRPr="0016266C">
        <w:t xml:space="preserve">. </w:t>
      </w:r>
    </w:p>
    <w:p w14:paraId="3A563296" w14:textId="5121D5AD" w:rsidR="003772DB" w:rsidRPr="0016266C" w:rsidRDefault="001764A1" w:rsidP="00533A66">
      <w:pPr>
        <w:spacing w:after="200"/>
      </w:pPr>
      <w:r w:rsidRPr="0016266C">
        <w:t xml:space="preserve">The </w:t>
      </w:r>
      <w:r w:rsidRPr="0016266C">
        <w:rPr>
          <w:bCs/>
        </w:rPr>
        <w:t>second point of contention</w:t>
      </w:r>
      <w:r w:rsidRPr="0016266C">
        <w:t xml:space="preserve"> is the extent to which different forms of income from savings should be taxed differently. Different tax treatment can have an effect on the form in which savings are held.</w:t>
      </w:r>
      <w:r w:rsidR="0081631C" w:rsidRPr="0016266C">
        <w:rPr>
          <w:rStyle w:val="FootnoteReference"/>
        </w:rPr>
        <w:footnoteReference w:id="9"/>
      </w:r>
      <w:r w:rsidR="0081631C" w:rsidRPr="0016266C">
        <w:t xml:space="preserve"> </w:t>
      </w:r>
      <w:r w:rsidRPr="0016266C">
        <w:t>More favourable tax treatments for some assets may lead households to engage with a different risk</w:t>
      </w:r>
      <w:r w:rsidR="00292115">
        <w:noBreakHyphen/>
      </w:r>
      <w:r w:rsidRPr="0016266C">
        <w:t>return profile than</w:t>
      </w:r>
      <w:r w:rsidR="00F743C8">
        <w:t xml:space="preserve"> they</w:t>
      </w:r>
      <w:r w:rsidRPr="0016266C">
        <w:t xml:space="preserve"> otherwise</w:t>
      </w:r>
      <w:r w:rsidR="00F743C8">
        <w:t xml:space="preserve"> would</w:t>
      </w:r>
      <w:r w:rsidR="00AE61CA" w:rsidRPr="0016266C">
        <w:t xml:space="preserve">. </w:t>
      </w:r>
      <w:r w:rsidR="00ED2314" w:rsidRPr="0016266C">
        <w:t xml:space="preserve">An </w:t>
      </w:r>
      <w:r w:rsidR="00C94003" w:rsidRPr="0016266C">
        <w:t>OECD literature review concluded that low</w:t>
      </w:r>
      <w:r w:rsidR="00292115">
        <w:noBreakHyphen/>
      </w:r>
      <w:r w:rsidR="00C94003" w:rsidRPr="0016266C">
        <w:t xml:space="preserve">income individuals </w:t>
      </w:r>
      <w:r w:rsidR="00D70EA4" w:rsidRPr="0016266C">
        <w:t xml:space="preserve">may </w:t>
      </w:r>
      <w:r w:rsidR="00C94003" w:rsidRPr="0016266C">
        <w:t>respond to</w:t>
      </w:r>
      <w:r w:rsidR="00D70EA4" w:rsidRPr="0016266C">
        <w:t xml:space="preserve"> tax incentives with new saving</w:t>
      </w:r>
      <w:r w:rsidR="00AE61CA" w:rsidRPr="0016266C">
        <w:t xml:space="preserve">. </w:t>
      </w:r>
      <w:r w:rsidR="00D70EA4" w:rsidRPr="0016266C">
        <w:t>H</w:t>
      </w:r>
      <w:r w:rsidR="00C94003" w:rsidRPr="0016266C">
        <w:t>igh</w:t>
      </w:r>
      <w:r w:rsidR="00292115">
        <w:noBreakHyphen/>
      </w:r>
      <w:r w:rsidR="00C94003" w:rsidRPr="0016266C">
        <w:t>income individuals are more likely to divert savings</w:t>
      </w:r>
      <w:r w:rsidR="00D70EA4" w:rsidRPr="0016266C">
        <w:t xml:space="preserve"> to</w:t>
      </w:r>
      <w:r w:rsidR="00C045C9" w:rsidRPr="0016266C">
        <w:t xml:space="preserve"> more</w:t>
      </w:r>
      <w:r w:rsidR="00D70EA4" w:rsidRPr="0016266C">
        <w:t xml:space="preserve"> tax</w:t>
      </w:r>
      <w:r w:rsidR="00292115">
        <w:noBreakHyphen/>
      </w:r>
      <w:r w:rsidR="00D70EA4" w:rsidRPr="0016266C">
        <w:t>preferred savings</w:t>
      </w:r>
      <w:r w:rsidR="000C1C42" w:rsidRPr="0016266C">
        <w:t>,</w:t>
      </w:r>
      <w:r w:rsidR="00D70EA4" w:rsidRPr="0016266C">
        <w:rPr>
          <w:rStyle w:val="FootnoteReference"/>
        </w:rPr>
        <w:footnoteReference w:id="10"/>
      </w:r>
      <w:r w:rsidR="00C94003" w:rsidRPr="0016266C">
        <w:t xml:space="preserve"> likely resulting in some change in the risk</w:t>
      </w:r>
      <w:r w:rsidR="00292115">
        <w:noBreakHyphen/>
      </w:r>
      <w:r w:rsidR="00C94003" w:rsidRPr="0016266C">
        <w:t>return profile of their savings portfolio</w:t>
      </w:r>
      <w:r w:rsidR="000C1C42" w:rsidRPr="0016266C">
        <w:t>s</w:t>
      </w:r>
      <w:r w:rsidR="00C94003" w:rsidRPr="0016266C">
        <w:t xml:space="preserve">. </w:t>
      </w:r>
      <w:r w:rsidR="003772DB" w:rsidRPr="0016266C">
        <w:t>Th</w:t>
      </w:r>
      <w:r w:rsidR="00862BC6" w:rsidRPr="0016266C">
        <w:t>e</w:t>
      </w:r>
      <w:r w:rsidR="003772DB" w:rsidRPr="0016266C">
        <w:t xml:space="preserve"> Financial System Inquiry found that</w:t>
      </w:r>
      <w:r w:rsidR="000C1C42" w:rsidRPr="0016266C">
        <w:t>,</w:t>
      </w:r>
      <w:r w:rsidR="003772DB" w:rsidRPr="0016266C">
        <w:t xml:space="preserve"> to the extent that tax distortions direct savings to less productive investment opportunities, a more neutral tax treatment would likely increase productivity.</w:t>
      </w:r>
      <w:r w:rsidR="003772DB" w:rsidRPr="0016266C">
        <w:rPr>
          <w:rStyle w:val="FootnoteReference"/>
        </w:rPr>
        <w:footnoteReference w:id="11"/>
      </w:r>
    </w:p>
    <w:p w14:paraId="44B3B02A" w14:textId="77777777" w:rsidR="0051439B" w:rsidRPr="0016266C" w:rsidRDefault="0051439B" w:rsidP="00533A66">
      <w:pPr>
        <w:spacing w:after="200"/>
      </w:pPr>
      <w:r w:rsidRPr="0016266C">
        <w:t>A third point</w:t>
      </w:r>
      <w:r w:rsidR="00AE7549" w:rsidRPr="0016266C">
        <w:t xml:space="preserve"> of contention</w:t>
      </w:r>
      <w:r w:rsidRPr="0016266C">
        <w:t xml:space="preserve"> is whether the tax treatment of income from saving</w:t>
      </w:r>
      <w:r w:rsidR="000B55F3" w:rsidRPr="0016266C">
        <w:t>s</w:t>
      </w:r>
      <w:r w:rsidRPr="0016266C">
        <w:t xml:space="preserve"> has a distortionary effect on the real allocation of investment in the Australian economy</w:t>
      </w:r>
      <w:r w:rsidR="00E05486" w:rsidRPr="0016266C">
        <w:t xml:space="preserve">. </w:t>
      </w:r>
    </w:p>
    <w:p w14:paraId="3C7A238F" w14:textId="4FB950F6" w:rsidR="0051439B" w:rsidRPr="0016266C" w:rsidRDefault="0051439B" w:rsidP="00533A66">
      <w:pPr>
        <w:spacing w:after="0"/>
      </w:pPr>
      <w:r w:rsidRPr="0016266C">
        <w:t>It is probable that there is some effect</w:t>
      </w:r>
      <w:r w:rsidR="000C1C42" w:rsidRPr="0016266C">
        <w:t xml:space="preserve"> on investment</w:t>
      </w:r>
      <w:r w:rsidRPr="0016266C">
        <w:t>, particularly in Australia</w:t>
      </w:r>
      <w:r w:rsidR="00292115">
        <w:t>’</w:t>
      </w:r>
      <w:r w:rsidRPr="0016266C">
        <w:t>s real estate market, where investment is primarily domestic</w:t>
      </w:r>
      <w:r w:rsidR="00E0521E" w:rsidRPr="0016266C">
        <w:t xml:space="preserve">. </w:t>
      </w:r>
      <w:r w:rsidR="00205E01" w:rsidRPr="0016266C">
        <w:t xml:space="preserve">If this is the case, any </w:t>
      </w:r>
      <w:r w:rsidR="00865B0B" w:rsidRPr="0016266C">
        <w:t>additional</w:t>
      </w:r>
      <w:r w:rsidR="00205E01" w:rsidRPr="0016266C">
        <w:t xml:space="preserve"> savings in housing would </w:t>
      </w:r>
      <w:r w:rsidR="00865B0B" w:rsidRPr="0016266C">
        <w:t>amount</w:t>
      </w:r>
      <w:r w:rsidR="000126C2" w:rsidRPr="0016266C">
        <w:t xml:space="preserve"> </w:t>
      </w:r>
      <w:r w:rsidR="00205E01" w:rsidRPr="0016266C">
        <w:t xml:space="preserve">to </w:t>
      </w:r>
      <w:r w:rsidR="00865B0B" w:rsidRPr="0016266C">
        <w:t>additional</w:t>
      </w:r>
      <w:r w:rsidR="00205E01" w:rsidRPr="0016266C">
        <w:t xml:space="preserve"> investment </w:t>
      </w:r>
      <w:r w:rsidR="00862BC6" w:rsidRPr="0016266C">
        <w:t xml:space="preserve">in housing </w:t>
      </w:r>
      <w:r w:rsidR="00205E01" w:rsidRPr="0016266C">
        <w:t>and</w:t>
      </w:r>
      <w:r w:rsidR="00865B0B" w:rsidRPr="0016266C">
        <w:t xml:space="preserve">, given </w:t>
      </w:r>
      <w:r w:rsidR="0032087D" w:rsidRPr="0016266C">
        <w:t xml:space="preserve">housing </w:t>
      </w:r>
      <w:r w:rsidR="00865B0B" w:rsidRPr="0016266C">
        <w:t>supply constraints, lead to</w:t>
      </w:r>
      <w:r w:rsidR="00205E01" w:rsidRPr="0016266C">
        <w:t xml:space="preserve"> increase</w:t>
      </w:r>
      <w:r w:rsidR="001C3B29" w:rsidRPr="0016266C">
        <w:t>d</w:t>
      </w:r>
      <w:r w:rsidR="00205E01" w:rsidRPr="0016266C">
        <w:t xml:space="preserve"> house prices</w:t>
      </w:r>
      <w:r w:rsidR="00796629">
        <w:t>.</w:t>
      </w:r>
    </w:p>
    <w:p w14:paraId="712EA438" w14:textId="25EF80B8" w:rsidR="0051439B" w:rsidRPr="0016266C" w:rsidRDefault="0051439B" w:rsidP="008F1905">
      <w:pPr>
        <w:spacing w:after="120"/>
      </w:pPr>
      <w:r w:rsidRPr="0016266C">
        <w:lastRenderedPageBreak/>
        <w:t>It is important to note that</w:t>
      </w:r>
      <w:r w:rsidR="00526356" w:rsidRPr="0016266C">
        <w:t>,</w:t>
      </w:r>
      <w:r w:rsidRPr="0016266C">
        <w:t xml:space="preserve"> although taxes may affect the allocation of savings, they are unlikely to </w:t>
      </w:r>
      <w:r w:rsidR="000C1C42" w:rsidRPr="0016266C">
        <w:t xml:space="preserve">affect </w:t>
      </w:r>
      <w:r w:rsidRPr="0016266C">
        <w:t>significantly the overall level of investment in the economy</w:t>
      </w:r>
      <w:r w:rsidR="00E0521E" w:rsidRPr="0016266C">
        <w:t xml:space="preserve">. </w:t>
      </w:r>
      <w:r w:rsidRPr="0016266C">
        <w:t>If taxes on income from domestic savings are raised</w:t>
      </w:r>
      <w:r w:rsidR="005E2910" w:rsidRPr="0016266C">
        <w:t>,</w:t>
      </w:r>
      <w:r w:rsidRPr="0016266C">
        <w:t xml:space="preserve"> but not taxes on income from foreign investment in</w:t>
      </w:r>
      <w:r w:rsidR="00391B7B" w:rsidRPr="0016266C">
        <w:t> </w:t>
      </w:r>
      <w:r w:rsidRPr="0016266C">
        <w:t>Australia, it is likely that</w:t>
      </w:r>
      <w:r w:rsidR="00811315" w:rsidRPr="0016266C">
        <w:t xml:space="preserve"> </w:t>
      </w:r>
      <w:r w:rsidR="00F74A1F" w:rsidRPr="0016266C">
        <w:t>t</w:t>
      </w:r>
      <w:r w:rsidRPr="0016266C">
        <w:t>otal investment in Australia would be largely unaffected, as foreign sav</w:t>
      </w:r>
      <w:r w:rsidR="004F59BF" w:rsidRPr="0016266C">
        <w:t>ings</w:t>
      </w:r>
      <w:r w:rsidRPr="0016266C">
        <w:t xml:space="preserve"> would be expected to replace th</w:t>
      </w:r>
      <w:r w:rsidR="005516ED">
        <w:t>e</w:t>
      </w:r>
      <w:r w:rsidRPr="0016266C">
        <w:t xml:space="preserve"> fall in domestic savings</w:t>
      </w:r>
      <w:r w:rsidR="00E0521E" w:rsidRPr="0016266C">
        <w:t xml:space="preserve">. </w:t>
      </w:r>
      <w:r w:rsidRPr="0016266C">
        <w:t xml:space="preserve">As such, there would be little effect on the </w:t>
      </w:r>
      <w:r w:rsidR="001C3B29" w:rsidRPr="0016266C">
        <w:t>level of</w:t>
      </w:r>
      <w:r w:rsidR="00AD69A6" w:rsidRPr="0016266C">
        <w:t xml:space="preserve"> overall</w:t>
      </w:r>
      <w:r w:rsidR="001C3B29" w:rsidRPr="0016266C">
        <w:t xml:space="preserve"> </w:t>
      </w:r>
      <w:r w:rsidRPr="0016266C">
        <w:t>investment in Australia.</w:t>
      </w:r>
    </w:p>
    <w:p w14:paraId="255EF553" w14:textId="74AA7BC3" w:rsidR="001C3B29" w:rsidRPr="0016266C" w:rsidRDefault="00577BE2" w:rsidP="000E7B6B">
      <w:r w:rsidRPr="0016266C">
        <w:t>Further</w:t>
      </w:r>
      <w:r w:rsidR="005516ED">
        <w:t>more</w:t>
      </w:r>
      <w:r w:rsidRPr="0016266C">
        <w:t>, if individuals are saving through financial intermediaries (for example, banks or superannuation funds), then to the extent that those intermediaries</w:t>
      </w:r>
      <w:r w:rsidR="00292115">
        <w:t>’</w:t>
      </w:r>
      <w:r w:rsidRPr="0016266C">
        <w:t xml:space="preserve"> investment profiles are similar, there will be a muted effect on the pattern of investment. </w:t>
      </w:r>
    </w:p>
    <w:p w14:paraId="46F64A18" w14:textId="5235FF53" w:rsidR="006C2095" w:rsidRPr="0016266C" w:rsidRDefault="006C2095" w:rsidP="000E7B6B">
      <w:r w:rsidRPr="0016266C">
        <w:t xml:space="preserve">Finally, it is also worth </w:t>
      </w:r>
      <w:r w:rsidR="007A3FB8" w:rsidRPr="0016266C">
        <w:t xml:space="preserve">noting </w:t>
      </w:r>
      <w:r w:rsidRPr="0016266C">
        <w:t>that differential tax treatments may also have distributional effects</w:t>
      </w:r>
      <w:r w:rsidR="00E0521E" w:rsidRPr="0016266C">
        <w:t xml:space="preserve">. </w:t>
      </w:r>
      <w:r w:rsidRPr="0016266C">
        <w:t>Higher</w:t>
      </w:r>
      <w:r w:rsidR="00292115">
        <w:noBreakHyphen/>
      </w:r>
      <w:r w:rsidRPr="0016266C">
        <w:t xml:space="preserve">income earners tend to be more </w:t>
      </w:r>
      <w:r w:rsidR="007A3FB8" w:rsidRPr="0016266C">
        <w:t>cap</w:t>
      </w:r>
      <w:r w:rsidRPr="0016266C">
        <w:t xml:space="preserve">able </w:t>
      </w:r>
      <w:r w:rsidR="007A3FB8" w:rsidRPr="0016266C">
        <w:t xml:space="preserve">of </w:t>
      </w:r>
      <w:r w:rsidRPr="0016266C">
        <w:t>tak</w:t>
      </w:r>
      <w:r w:rsidR="007A3FB8" w:rsidRPr="0016266C">
        <w:t>ing</w:t>
      </w:r>
      <w:r w:rsidRPr="0016266C">
        <w:t xml:space="preserve"> advantage of</w:t>
      </w:r>
      <w:r w:rsidR="00EE0FCE" w:rsidRPr="0016266C">
        <w:t xml:space="preserve"> more</w:t>
      </w:r>
      <w:r w:rsidRPr="0016266C">
        <w:t xml:space="preserve"> </w:t>
      </w:r>
      <w:r w:rsidR="005A0D13" w:rsidRPr="0016266C">
        <w:t xml:space="preserve">favourable </w:t>
      </w:r>
      <w:r w:rsidRPr="0016266C">
        <w:t xml:space="preserve">tax </w:t>
      </w:r>
      <w:r w:rsidR="005A0D13" w:rsidRPr="0016266C">
        <w:t>treatments</w:t>
      </w:r>
      <w:r w:rsidRPr="0016266C">
        <w:t xml:space="preserve"> (</w:t>
      </w:r>
      <w:r w:rsidR="005A0D13" w:rsidRPr="0016266C">
        <w:t xml:space="preserve">like </w:t>
      </w:r>
      <w:r w:rsidRPr="0016266C">
        <w:t>superannuation)</w:t>
      </w:r>
      <w:r w:rsidR="007A3FB8" w:rsidRPr="0016266C">
        <w:t>,</w:t>
      </w:r>
      <w:r w:rsidRPr="0016266C">
        <w:t xml:space="preserve"> while those with the lowest ability to pay tend to save more in the more heavily taxed vehicles (</w:t>
      </w:r>
      <w:r w:rsidR="006E3A90" w:rsidRPr="0016266C">
        <w:t>such as</w:t>
      </w:r>
      <w:r w:rsidR="001C3B29" w:rsidRPr="0016266C">
        <w:t xml:space="preserve"> </w:t>
      </w:r>
      <w:r w:rsidRPr="0016266C">
        <w:t>bank accounts)</w:t>
      </w:r>
      <w:r w:rsidR="00E0521E" w:rsidRPr="0016266C">
        <w:t xml:space="preserve">. </w:t>
      </w:r>
    </w:p>
    <w:p w14:paraId="7185457F" w14:textId="77777777" w:rsidR="0051439B" w:rsidRPr="0016266C" w:rsidRDefault="0051439B" w:rsidP="00E076B9">
      <w:pPr>
        <w:pStyle w:val="Heading3"/>
      </w:pPr>
      <w:bookmarkStart w:id="31" w:name="_Toc402326864"/>
      <w:bookmarkStart w:id="32" w:name="_Toc402333516"/>
      <w:bookmarkStart w:id="33" w:name="_Toc402340292"/>
      <w:bookmarkStart w:id="34" w:name="_Toc402343387"/>
      <w:bookmarkStart w:id="35" w:name="_Toc402346623"/>
      <w:bookmarkStart w:id="36" w:name="_Toc402349080"/>
      <w:bookmarkStart w:id="37" w:name="_Toc402350609"/>
      <w:bookmarkStart w:id="38" w:name="_Toc402353630"/>
      <w:bookmarkStart w:id="39" w:name="_Toc402368748"/>
      <w:bookmarkStart w:id="40" w:name="_Toc402369834"/>
      <w:bookmarkStart w:id="41" w:name="_Toc402370499"/>
      <w:bookmarkStart w:id="42" w:name="_Toc402371446"/>
      <w:bookmarkStart w:id="43" w:name="_Toc404348015"/>
      <w:r w:rsidRPr="0016266C">
        <w:rPr>
          <w:rFonts w:eastAsiaTheme="minorHAnsi"/>
        </w:rPr>
        <w:t>Current tax treatment of key savings types</w:t>
      </w:r>
      <w:bookmarkEnd w:id="31"/>
      <w:bookmarkEnd w:id="32"/>
      <w:bookmarkEnd w:id="33"/>
      <w:bookmarkEnd w:id="34"/>
      <w:bookmarkEnd w:id="35"/>
      <w:bookmarkEnd w:id="36"/>
      <w:bookmarkEnd w:id="37"/>
      <w:bookmarkEnd w:id="38"/>
      <w:bookmarkEnd w:id="39"/>
      <w:bookmarkEnd w:id="40"/>
      <w:bookmarkEnd w:id="41"/>
      <w:bookmarkEnd w:id="42"/>
      <w:bookmarkEnd w:id="43"/>
    </w:p>
    <w:p w14:paraId="20C7FD9E" w14:textId="6047EDC7" w:rsidR="0051439B" w:rsidRPr="0016266C" w:rsidRDefault="0051439B" w:rsidP="00533A66">
      <w:pPr>
        <w:spacing w:after="120"/>
      </w:pPr>
      <w:r w:rsidRPr="0016266C">
        <w:t>In Australia</w:t>
      </w:r>
      <w:r w:rsidR="007A3FB8" w:rsidRPr="0016266C">
        <w:t>,</w:t>
      </w:r>
      <w:r w:rsidRPr="0016266C">
        <w:t xml:space="preserve"> the varying tax treatments of different vehicles, physical assets and types of savings income have led to wide disparities in their effective marginal tax rates</w:t>
      </w:r>
      <w:r w:rsidR="00E345EB" w:rsidRPr="0016266C">
        <w:t xml:space="preserve">, which show the actual tax paid as a proportion of the </w:t>
      </w:r>
      <w:r w:rsidR="00251A12" w:rsidRPr="0016266C">
        <w:t xml:space="preserve">nominal </w:t>
      </w:r>
      <w:r w:rsidR="00E345EB" w:rsidRPr="0016266C">
        <w:t>pre</w:t>
      </w:r>
      <w:r w:rsidR="00292115">
        <w:noBreakHyphen/>
      </w:r>
      <w:r w:rsidR="00E345EB" w:rsidRPr="0016266C">
        <w:t>tax return</w:t>
      </w:r>
      <w:r w:rsidR="00E0521E" w:rsidRPr="0016266C">
        <w:t xml:space="preserve">. </w:t>
      </w:r>
      <w:r w:rsidRPr="0016266C">
        <w:t xml:space="preserve">The </w:t>
      </w:r>
      <w:r w:rsidR="003B787B" w:rsidRPr="0016266C">
        <w:t>outcomes of these different treatments are</w:t>
      </w:r>
      <w:r w:rsidRPr="0016266C">
        <w:t xml:space="preserve"> illustrated in Chart </w:t>
      </w:r>
      <w:r w:rsidR="002202A9" w:rsidRPr="0016266C">
        <w:t>4</w:t>
      </w:r>
      <w:r w:rsidR="00E77F72" w:rsidRPr="0016266C">
        <w:t>.</w:t>
      </w:r>
      <w:r w:rsidR="00D70EA4" w:rsidRPr="0016266C">
        <w:t>1</w:t>
      </w:r>
      <w:r w:rsidRPr="0016266C">
        <w:t xml:space="preserve">. </w:t>
      </w:r>
    </w:p>
    <w:p w14:paraId="33596034" w14:textId="45C7A4C8" w:rsidR="0051439B" w:rsidRPr="0016266C" w:rsidRDefault="00845675" w:rsidP="00533A66">
      <w:pPr>
        <w:pStyle w:val="ChartMainHeading"/>
        <w:spacing w:after="0"/>
      </w:pPr>
      <w:r w:rsidRPr="0016266C">
        <w:t xml:space="preserve">Chart </w:t>
      </w:r>
      <w:fldSimple w:instr=" STYLEREF 1 \s ">
        <w:r w:rsidR="008A3803">
          <w:rPr>
            <w:noProof/>
          </w:rPr>
          <w:t>4</w:t>
        </w:r>
      </w:fldSimple>
      <w:r w:rsidR="00C7561F" w:rsidRPr="0016266C">
        <w:t>.</w:t>
      </w:r>
      <w:r w:rsidR="00D70EA4" w:rsidRPr="0016266C">
        <w:t xml:space="preserve">1 </w:t>
      </w:r>
      <w:r w:rsidR="00037D02" w:rsidRPr="0016266C">
        <w:t xml:space="preserve">Nominal </w:t>
      </w:r>
      <w:r w:rsidR="0051439B" w:rsidRPr="0016266C">
        <w:t xml:space="preserve">effective marginal tax rates </w:t>
      </w:r>
      <w:r w:rsidR="00037D02" w:rsidRPr="0016266C">
        <w:t xml:space="preserve">by </w:t>
      </w:r>
      <w:r w:rsidR="0051439B" w:rsidRPr="0016266C">
        <w:t xml:space="preserve">savings vehicles for an individual </w:t>
      </w:r>
      <w:r w:rsidR="00533A66">
        <w:t>on </w:t>
      </w:r>
      <w:r w:rsidR="0051439B" w:rsidRPr="0016266C">
        <w:t>3</w:t>
      </w:r>
      <w:r w:rsidR="00EB3940" w:rsidRPr="0016266C">
        <w:t>2</w:t>
      </w:r>
      <w:r w:rsidR="00414E88" w:rsidRPr="0016266C">
        <w:t>.5 </w:t>
      </w:r>
      <w:r w:rsidR="001C3B29" w:rsidRPr="0016266C">
        <w:t>per</w:t>
      </w:r>
      <w:r w:rsidR="00530789" w:rsidRPr="0016266C">
        <w:t> </w:t>
      </w:r>
      <w:r w:rsidR="001C3B29" w:rsidRPr="0016266C">
        <w:t xml:space="preserve">cent </w:t>
      </w:r>
      <w:r w:rsidR="0051439B" w:rsidRPr="0016266C">
        <w:t>marginal tax rate</w:t>
      </w:r>
      <w:r w:rsidR="00EB3940" w:rsidRPr="0016266C">
        <w:t xml:space="preserve"> (plus </w:t>
      </w:r>
      <w:r w:rsidR="001C3B29" w:rsidRPr="0016266C">
        <w:t>2</w:t>
      </w:r>
      <w:r w:rsidR="00530789" w:rsidRPr="0016266C">
        <w:t> </w:t>
      </w:r>
      <w:r w:rsidR="001C3B29" w:rsidRPr="0016266C">
        <w:t>per</w:t>
      </w:r>
      <w:r w:rsidR="00530789" w:rsidRPr="0016266C">
        <w:t> </w:t>
      </w:r>
      <w:r w:rsidR="001C3B29" w:rsidRPr="0016266C">
        <w:t xml:space="preserve">cent </w:t>
      </w:r>
      <w:r w:rsidR="00EB3940" w:rsidRPr="0016266C">
        <w:t>Medicare levy)</w:t>
      </w:r>
      <w:r w:rsidR="00CE1292" w:rsidRPr="0016266C">
        <w:rPr>
          <w:rStyle w:val="FootnoteReference"/>
        </w:rPr>
        <w:footnoteReference w:id="12"/>
      </w:r>
    </w:p>
    <w:bookmarkStart w:id="44" w:name="_1483968904"/>
    <w:bookmarkStart w:id="45" w:name="_1483969181"/>
    <w:bookmarkStart w:id="46" w:name="_1488723238"/>
    <w:bookmarkStart w:id="47" w:name="_1488722881"/>
    <w:bookmarkStart w:id="48" w:name="_1488723120"/>
    <w:bookmarkStart w:id="49" w:name="_1488728405"/>
    <w:bookmarkEnd w:id="44"/>
    <w:bookmarkEnd w:id="45"/>
    <w:bookmarkEnd w:id="46"/>
    <w:bookmarkEnd w:id="47"/>
    <w:bookmarkEnd w:id="48"/>
    <w:bookmarkEnd w:id="49"/>
    <w:p w14:paraId="06CC8183" w14:textId="28823378" w:rsidR="00327080" w:rsidRPr="0016266C" w:rsidRDefault="00AC1862" w:rsidP="00FE3A2A">
      <w:pPr>
        <w:pStyle w:val="ChartGraphic"/>
      </w:pPr>
      <w:r w:rsidRPr="0016266C">
        <w:object w:dxaOrig="8775" w:dyaOrig="4771" w14:anchorId="3A757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4.1 Nominal effective marginal tax rates by savings vehicles for an individual on 32.5 per cent marginal tax rate (plus 2 per cent Medicare levy)&#10;This chart shows the effective tax rate on savings held in different vehicles for an individual on a 34.5 per cent personal marginal tax rate (including the Medicare Levy). It shows that for this individual, savings held in a bank account face higher effective tax rates than savings held in domestic shares, investment property or foreign shares. Returns to savings in the family home are tax exempt. The chart also shows that superannuation faces a negative tax rate. This is a because the initial contribution is made out of pre-tax income which is then taxed at the superannuation fund rate of 15 per cent rather than being sourced from income that has been subject to the individual’s higher marginal tax rate.&#10;" style="width:438.75pt;height:238.5pt" o:ole="">
            <v:imagedata r:id="rId13" o:title=""/>
          </v:shape>
          <o:OLEObject Type="Link" ProgID="Excel.Sheet.12" ShapeID="_x0000_i1025" DrawAspect="Content" r:id="rId14" UpdateMode="Always">
            <o:LinkType>EnhancedMetaFile</o:LinkType>
            <o:LockedField/>
            <o:FieldCodes>\* MERGEFORMAT</o:FieldCodes>
          </o:OLEObject>
        </w:object>
      </w:r>
    </w:p>
    <w:p w14:paraId="36668BA2" w14:textId="5665610C" w:rsidR="00DE135E" w:rsidRPr="0016266C" w:rsidRDefault="0051439B" w:rsidP="00AE61CA">
      <w:pPr>
        <w:pStyle w:val="ChartandTableNote"/>
        <w:ind w:left="284"/>
      </w:pPr>
      <w:r w:rsidRPr="0016266C">
        <w:t xml:space="preserve">Assumptions: 6 per cent nominal return (except </w:t>
      </w:r>
      <w:r w:rsidR="00AD69A6" w:rsidRPr="0016266C">
        <w:t>shares</w:t>
      </w:r>
      <w:r w:rsidRPr="0016266C">
        <w:t>, which assumes 6 per c</w:t>
      </w:r>
      <w:r w:rsidR="00845675" w:rsidRPr="0016266C">
        <w:t xml:space="preserve">ent after company tax); </w:t>
      </w:r>
      <w:r w:rsidRPr="0016266C">
        <w:t xml:space="preserve">assets are all held for </w:t>
      </w:r>
      <w:r w:rsidR="00EB3940" w:rsidRPr="0016266C">
        <w:t xml:space="preserve">25 </w:t>
      </w:r>
      <w:r w:rsidRPr="0016266C">
        <w:t>years, and for rental property, 50 per cent of the return is attributable to capital gain and 50</w:t>
      </w:r>
      <w:r w:rsidR="00391B7B" w:rsidRPr="0016266C">
        <w:t> </w:t>
      </w:r>
      <w:r w:rsidRPr="0016266C">
        <w:t>per</w:t>
      </w:r>
      <w:r w:rsidR="00391B7B" w:rsidRPr="0016266C">
        <w:t> </w:t>
      </w:r>
      <w:r w:rsidRPr="0016266C">
        <w:t>cent to rental income and superannuation contributions do not exceed the prescribed contribution caps. No assets have been negatively geared.</w:t>
      </w:r>
      <w:r w:rsidR="003B299B" w:rsidRPr="0016266C">
        <w:t xml:space="preserve"> </w:t>
      </w:r>
      <w:r w:rsidR="00447CAC" w:rsidRPr="0016266C">
        <w:t>The own home has a nominal effective marginal tax rate of zero, as it is purchased out of after</w:t>
      </w:r>
      <w:r w:rsidR="00292115">
        <w:noBreakHyphen/>
      </w:r>
      <w:r w:rsidR="00447CAC" w:rsidRPr="0016266C">
        <w:t>tax income, but subsequent returns on it are not taxed. Bank accounts, property and shares also use after</w:t>
      </w:r>
      <w:r w:rsidR="00292115">
        <w:noBreakHyphen/>
      </w:r>
      <w:r w:rsidR="00447CAC" w:rsidRPr="0016266C">
        <w:t xml:space="preserve">tax income but their returns are taxed depending on the vehicle. </w:t>
      </w:r>
      <w:r w:rsidR="003B299B" w:rsidRPr="0016266C">
        <w:t xml:space="preserve">The nominal effective </w:t>
      </w:r>
      <w:r w:rsidR="003B299B" w:rsidRPr="0016266C">
        <w:lastRenderedPageBreak/>
        <w:t>marginal tax rate for superannuation is negative because contributions to superannuation are made pre</w:t>
      </w:r>
      <w:r w:rsidR="00292115">
        <w:noBreakHyphen/>
      </w:r>
      <w:r w:rsidR="003B299B" w:rsidRPr="0016266C">
        <w:t>tax an</w:t>
      </w:r>
      <w:r w:rsidR="00447CAC" w:rsidRPr="0016266C">
        <w:t xml:space="preserve">d are only taxed at 15 per cent. </w:t>
      </w:r>
      <w:r w:rsidR="003B299B" w:rsidRPr="0016266C">
        <w:t>For example, $100 of pre</w:t>
      </w:r>
      <w:r w:rsidR="00292115">
        <w:noBreakHyphen/>
      </w:r>
      <w:r w:rsidR="003B299B" w:rsidRPr="0016266C">
        <w:t>tax labour income would result in a super contribution of $85 (after 15 per cent tax) but an individual would only receive $65.50 if they put it into other saving vehicles because of the application of their marginal tax rate (34.5 per cent</w:t>
      </w:r>
      <w:r w:rsidR="00447CAC" w:rsidRPr="0016266C">
        <w:t xml:space="preserve"> in this case</w:t>
      </w:r>
      <w:r w:rsidR="003B299B" w:rsidRPr="0016266C">
        <w:t>)</w:t>
      </w:r>
      <w:r w:rsidR="00AE61CA" w:rsidRPr="0016266C">
        <w:t xml:space="preserve">. </w:t>
      </w:r>
    </w:p>
    <w:p w14:paraId="0404EDB6" w14:textId="77777777" w:rsidR="00391B7B" w:rsidRPr="0016266C" w:rsidRDefault="00391B7B" w:rsidP="00391B7B">
      <w:pPr>
        <w:pStyle w:val="Singleparagraph0"/>
      </w:pPr>
    </w:p>
    <w:p w14:paraId="53180966" w14:textId="77777777" w:rsidR="0051439B" w:rsidRPr="0016266C" w:rsidRDefault="0051439B" w:rsidP="00E076B9">
      <w:pPr>
        <w:pStyle w:val="Heading3"/>
      </w:pPr>
      <w:bookmarkStart w:id="50" w:name="_Toc402326865"/>
      <w:bookmarkStart w:id="51" w:name="_Toc402333517"/>
      <w:bookmarkStart w:id="52" w:name="_Toc402340293"/>
      <w:bookmarkStart w:id="53" w:name="_Toc402343388"/>
      <w:bookmarkStart w:id="54" w:name="_Toc402346624"/>
      <w:bookmarkStart w:id="55" w:name="_Toc402349081"/>
      <w:bookmarkStart w:id="56" w:name="_Toc402350610"/>
      <w:bookmarkStart w:id="57" w:name="_Toc402353631"/>
      <w:bookmarkStart w:id="58" w:name="_Toc402368749"/>
      <w:bookmarkStart w:id="59" w:name="_Toc402369835"/>
      <w:bookmarkStart w:id="60" w:name="_Toc402370500"/>
      <w:bookmarkStart w:id="61" w:name="_Toc402371447"/>
      <w:bookmarkStart w:id="62" w:name="_Toc404348016"/>
      <w:r w:rsidRPr="0016266C">
        <w:t>Bank accounts and debt instruments</w:t>
      </w:r>
      <w:bookmarkEnd w:id="50"/>
      <w:bookmarkEnd w:id="51"/>
      <w:bookmarkEnd w:id="52"/>
      <w:bookmarkEnd w:id="53"/>
      <w:bookmarkEnd w:id="54"/>
      <w:bookmarkEnd w:id="55"/>
      <w:bookmarkEnd w:id="56"/>
      <w:bookmarkEnd w:id="57"/>
      <w:bookmarkEnd w:id="58"/>
      <w:bookmarkEnd w:id="59"/>
      <w:bookmarkEnd w:id="60"/>
      <w:bookmarkEnd w:id="61"/>
      <w:bookmarkEnd w:id="62"/>
      <w:r w:rsidRPr="0016266C">
        <w:t xml:space="preserve"> </w:t>
      </w:r>
    </w:p>
    <w:p w14:paraId="6D75207D" w14:textId="3CEFBF73" w:rsidR="004D59BC" w:rsidRPr="0016266C" w:rsidRDefault="0051439B" w:rsidP="0051439B">
      <w:r w:rsidRPr="0016266C">
        <w:t xml:space="preserve">Bank accounts and debt instruments </w:t>
      </w:r>
      <w:r w:rsidR="00060B89" w:rsidRPr="0016266C">
        <w:t xml:space="preserve">are subject to </w:t>
      </w:r>
      <w:r w:rsidR="00ED182E" w:rsidRPr="0016266C">
        <w:t xml:space="preserve">tax at </w:t>
      </w:r>
      <w:r w:rsidR="00060B89" w:rsidRPr="0016266C">
        <w:t xml:space="preserve">full marginal </w:t>
      </w:r>
      <w:r w:rsidR="00ED182E" w:rsidRPr="0016266C">
        <w:t>rates</w:t>
      </w:r>
      <w:r w:rsidR="00060B89" w:rsidRPr="0016266C">
        <w:t xml:space="preserve">, with no allowance for </w:t>
      </w:r>
      <w:r w:rsidRPr="0016266C">
        <w:t>inflation</w:t>
      </w:r>
      <w:r w:rsidR="00E0521E" w:rsidRPr="0016266C">
        <w:t xml:space="preserve">. </w:t>
      </w:r>
      <w:r w:rsidRPr="0016266C">
        <w:t>This treatment is consistent with most other countries, although some provide exemptions for particular types of interest income</w:t>
      </w:r>
      <w:r w:rsidR="00E0521E" w:rsidRPr="0016266C">
        <w:t xml:space="preserve">. </w:t>
      </w:r>
      <w:r w:rsidRPr="0016266C">
        <w:t>For example</w:t>
      </w:r>
      <w:r w:rsidR="00740848" w:rsidRPr="0016266C">
        <w:t>,</w:t>
      </w:r>
      <w:r w:rsidRPr="0016266C">
        <w:t xml:space="preserve"> the US provides an exemption for interest earned on bonds issued by US states and municipalities for </w:t>
      </w:r>
      <w:r w:rsidR="00AE7549" w:rsidRPr="0016266C">
        <w:t>particular</w:t>
      </w:r>
      <w:r w:rsidRPr="0016266C">
        <w:t xml:space="preserve"> purposes</w:t>
      </w:r>
      <w:r w:rsidR="00E0521E" w:rsidRPr="0016266C">
        <w:t xml:space="preserve">. </w:t>
      </w:r>
      <w:r w:rsidR="00AE7549" w:rsidRPr="0016266C">
        <w:t>T</w:t>
      </w:r>
      <w:r w:rsidRPr="0016266C">
        <w:t>he UK and Japan have developed methods to exempt</w:t>
      </w:r>
      <w:r w:rsidR="00B342BA" w:rsidRPr="0016266C">
        <w:t xml:space="preserve"> </w:t>
      </w:r>
      <w:r w:rsidR="006E3A90" w:rsidRPr="0016266C">
        <w:t>the</w:t>
      </w:r>
      <w:r w:rsidRPr="0016266C">
        <w:t xml:space="preserve"> interest earned on certain types </w:t>
      </w:r>
      <w:r w:rsidR="00AE7549" w:rsidRPr="0016266C">
        <w:t xml:space="preserve">of </w:t>
      </w:r>
      <w:r w:rsidRPr="0016266C">
        <w:t>bank accounts</w:t>
      </w:r>
      <w:r w:rsidR="00880A19" w:rsidRPr="0016266C">
        <w:t xml:space="preserve"> from taxation</w:t>
      </w:r>
      <w:r w:rsidRPr="0016266C">
        <w:t>.</w:t>
      </w:r>
      <w:r w:rsidR="005B4FC7" w:rsidRPr="0016266C">
        <w:rPr>
          <w:rStyle w:val="FootnoteReference"/>
        </w:rPr>
        <w:footnoteReference w:id="13"/>
      </w:r>
      <w:r w:rsidRPr="0016266C">
        <w:t xml:space="preserve"> </w:t>
      </w:r>
    </w:p>
    <w:p w14:paraId="568FBB7F" w14:textId="77777777" w:rsidR="0051439B" w:rsidRPr="0016266C" w:rsidRDefault="0051439B" w:rsidP="0051439B">
      <w:r w:rsidRPr="0016266C">
        <w:t xml:space="preserve">While introducing a general discount on income from bank deposits may be desirable to address the </w:t>
      </w:r>
      <w:r w:rsidR="00740848" w:rsidRPr="0016266C">
        <w:t xml:space="preserve">impact of </w:t>
      </w:r>
      <w:r w:rsidRPr="0016266C">
        <w:t>inflation, doing so would introduce an asymmetry between the tax imposed on interest income earned from bank deposits and the deduction allowed for interest repayments on borrowings used to purchase an asset that generates income, leaving the system open to arbitrage</w:t>
      </w:r>
      <w:r w:rsidR="00E0521E" w:rsidRPr="0016266C">
        <w:t xml:space="preserve">. </w:t>
      </w:r>
      <w:r w:rsidR="00F400F9" w:rsidRPr="0016266C">
        <w:t xml:space="preserve">Given this asymmetry, introducing such a discount </w:t>
      </w:r>
      <w:r w:rsidRPr="0016266C">
        <w:t xml:space="preserve">would </w:t>
      </w:r>
      <w:r w:rsidR="00F400F9" w:rsidRPr="0016266C">
        <w:t xml:space="preserve">require </w:t>
      </w:r>
      <w:r w:rsidRPr="0016266C">
        <w:t>careful consideration.</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AE61CA" w:rsidRPr="0016266C" w14:paraId="0BD4D179" w14:textId="77777777" w:rsidTr="00094A69">
        <w:tc>
          <w:tcPr>
            <w:tcW w:w="9384" w:type="dxa"/>
          </w:tcPr>
          <w:p w14:paraId="3A79EC44" w14:textId="3D6766C1" w:rsidR="00AE61CA" w:rsidRPr="0016266C" w:rsidRDefault="00AE61CA" w:rsidP="00094A69">
            <w:pPr>
              <w:pStyle w:val="Questionheading"/>
              <w:ind w:right="113"/>
            </w:pPr>
            <w:r w:rsidRPr="0016266C">
              <w:t xml:space="preserve">Discussion questions: </w:t>
            </w:r>
          </w:p>
          <w:p w14:paraId="5C719102" w14:textId="5B5D754C" w:rsidR="00AE61CA" w:rsidRPr="0016266C" w:rsidRDefault="00AE61CA" w:rsidP="00972A99">
            <w:pPr>
              <w:pStyle w:val="Questiontext"/>
            </w:pPr>
            <w:r w:rsidRPr="0016266C">
              <w:t>What tax arrangements should apply to bank accounts and debt instruments held by individuals?</w:t>
            </w:r>
          </w:p>
        </w:tc>
      </w:tr>
    </w:tbl>
    <w:p w14:paraId="4447212E" w14:textId="77777777" w:rsidR="00AE61CA" w:rsidRPr="0016266C" w:rsidRDefault="00AE61CA" w:rsidP="0051439B"/>
    <w:p w14:paraId="4C27D38B" w14:textId="6D32114B" w:rsidR="0051439B" w:rsidRPr="0016266C" w:rsidRDefault="00F74A1F" w:rsidP="00E076B9">
      <w:pPr>
        <w:pStyle w:val="Heading3"/>
      </w:pPr>
      <w:bookmarkStart w:id="63" w:name="_Toc402326866"/>
      <w:bookmarkStart w:id="64" w:name="_Toc402333518"/>
      <w:bookmarkStart w:id="65" w:name="_Toc402340294"/>
      <w:bookmarkStart w:id="66" w:name="_Toc402343389"/>
      <w:bookmarkStart w:id="67" w:name="_Toc402346625"/>
      <w:bookmarkStart w:id="68" w:name="_Toc402349082"/>
      <w:bookmarkStart w:id="69" w:name="_Toc402350611"/>
      <w:bookmarkStart w:id="70" w:name="_Toc402353632"/>
      <w:bookmarkStart w:id="71" w:name="_Toc402369836"/>
      <w:bookmarkStart w:id="72" w:name="_Toc402370501"/>
      <w:bookmarkStart w:id="73" w:name="_Toc402371448"/>
      <w:bookmarkStart w:id="74" w:name="_Toc404348017"/>
      <w:r w:rsidRPr="0016266C">
        <w:t>Shares</w:t>
      </w:r>
      <w:r w:rsidR="0051439B" w:rsidRPr="0016266C">
        <w:t xml:space="preserve">, private companies and </w:t>
      </w:r>
      <w:bookmarkEnd w:id="63"/>
      <w:bookmarkEnd w:id="64"/>
      <w:r w:rsidR="0051439B" w:rsidRPr="0016266C">
        <w:t>trusts</w:t>
      </w:r>
      <w:bookmarkEnd w:id="65"/>
      <w:bookmarkEnd w:id="66"/>
      <w:bookmarkEnd w:id="67"/>
      <w:bookmarkEnd w:id="68"/>
      <w:bookmarkEnd w:id="69"/>
      <w:bookmarkEnd w:id="70"/>
      <w:bookmarkEnd w:id="71"/>
      <w:bookmarkEnd w:id="72"/>
      <w:bookmarkEnd w:id="73"/>
      <w:bookmarkEnd w:id="74"/>
      <w:r w:rsidR="0051439B" w:rsidRPr="0016266C">
        <w:t xml:space="preserve"> </w:t>
      </w:r>
    </w:p>
    <w:p w14:paraId="2EEB4959" w14:textId="280E380E" w:rsidR="0051439B" w:rsidRPr="0016266C" w:rsidRDefault="0051439B" w:rsidP="0051439B">
      <w:r w:rsidRPr="0016266C">
        <w:t>Investment in equities (or company shares) generally produce</w:t>
      </w:r>
      <w:r w:rsidR="001D6CB2" w:rsidRPr="0016266C">
        <w:t>s two types of income:</w:t>
      </w:r>
      <w:r w:rsidRPr="0016266C">
        <w:t xml:space="preserve"> divide</w:t>
      </w:r>
      <w:r w:rsidR="001D6CB2" w:rsidRPr="0016266C">
        <w:t>nd income from business profits;</w:t>
      </w:r>
      <w:r w:rsidRPr="0016266C">
        <w:t xml:space="preserve"> and capital gains from changes in the value of the share</w:t>
      </w:r>
      <w:r w:rsidR="000D5262" w:rsidRPr="0016266C">
        <w:t>. B</w:t>
      </w:r>
      <w:r w:rsidRPr="0016266C">
        <w:t>oth</w:t>
      </w:r>
      <w:r w:rsidR="000D5262" w:rsidRPr="0016266C">
        <w:t xml:space="preserve"> of these</w:t>
      </w:r>
      <w:r w:rsidRPr="0016266C">
        <w:t xml:space="preserve"> are subject to </w:t>
      </w:r>
      <w:proofErr w:type="gramStart"/>
      <w:r w:rsidR="00862BC6" w:rsidRPr="0016266C">
        <w:t>individuals</w:t>
      </w:r>
      <w:proofErr w:type="gramEnd"/>
      <w:r w:rsidR="00862BC6" w:rsidRPr="0016266C">
        <w:t xml:space="preserve"> </w:t>
      </w:r>
      <w:r w:rsidRPr="0016266C">
        <w:t>income tax to some extent.</w:t>
      </w:r>
    </w:p>
    <w:p w14:paraId="1369AA9C" w14:textId="5F5A2B02" w:rsidR="00030528" w:rsidRPr="0016266C" w:rsidRDefault="00030528" w:rsidP="0051439B">
      <w:r w:rsidRPr="0016266C">
        <w:t xml:space="preserve">The tax system may encourage Australian households to invest more of their savings in </w:t>
      </w:r>
      <w:r w:rsidR="001E7C22" w:rsidRPr="0016266C">
        <w:t xml:space="preserve">companies, particularly </w:t>
      </w:r>
      <w:r w:rsidRPr="0016266C">
        <w:t>Australian</w:t>
      </w:r>
      <w:r w:rsidR="005C43DF" w:rsidRPr="0016266C">
        <w:t xml:space="preserve"> </w:t>
      </w:r>
      <w:r w:rsidRPr="0016266C">
        <w:t>companies</w:t>
      </w:r>
      <w:r w:rsidR="005C43DF" w:rsidRPr="0016266C">
        <w:t>,</w:t>
      </w:r>
      <w:r w:rsidR="00851D1F" w:rsidRPr="0016266C">
        <w:t xml:space="preserve"> than they would otherwise</w:t>
      </w:r>
      <w:r w:rsidRPr="0016266C">
        <w:t>.</w:t>
      </w:r>
    </w:p>
    <w:p w14:paraId="69A0F5D6" w14:textId="356F357F" w:rsidR="00E70206" w:rsidRPr="008C26F6" w:rsidRDefault="00030528" w:rsidP="0081631C">
      <w:pPr>
        <w:spacing w:after="120"/>
      </w:pPr>
      <w:r w:rsidRPr="0016266C">
        <w:t>There are three key reasons for this</w:t>
      </w:r>
      <w:r w:rsidR="00E05486" w:rsidRPr="0016266C">
        <w:t xml:space="preserve">. </w:t>
      </w:r>
      <w:r w:rsidRPr="0016266C">
        <w:t>First,</w:t>
      </w:r>
      <w:r w:rsidR="004F502C" w:rsidRPr="0016266C">
        <w:t xml:space="preserve"> </w:t>
      </w:r>
      <w:r w:rsidR="007146D2" w:rsidRPr="0016266C">
        <w:t>CGT</w:t>
      </w:r>
      <w:r w:rsidR="001D6CB2" w:rsidRPr="0016266C">
        <w:t xml:space="preserve"> is </w:t>
      </w:r>
      <w:r w:rsidR="004F502C" w:rsidRPr="0016266C">
        <w:t xml:space="preserve">generally </w:t>
      </w:r>
      <w:r w:rsidR="003519D4" w:rsidRPr="0016266C">
        <w:t>paid on</w:t>
      </w:r>
      <w:r w:rsidRPr="0016266C">
        <w:t xml:space="preserve"> 50</w:t>
      </w:r>
      <w:r w:rsidR="00530789" w:rsidRPr="0016266C">
        <w:t> </w:t>
      </w:r>
      <w:r w:rsidR="003519D4" w:rsidRPr="0016266C">
        <w:t>per</w:t>
      </w:r>
      <w:r w:rsidR="00530789" w:rsidRPr="0016266C">
        <w:t> </w:t>
      </w:r>
      <w:r w:rsidR="003519D4" w:rsidRPr="0016266C">
        <w:t xml:space="preserve">cent </w:t>
      </w:r>
      <w:r w:rsidRPr="0016266C">
        <w:t>of the gain</w:t>
      </w:r>
      <w:r w:rsidR="00E70206" w:rsidRPr="0016266C">
        <w:t xml:space="preserve"> </w:t>
      </w:r>
      <w:r w:rsidR="000C1C42" w:rsidRPr="0016266C">
        <w:t>(B</w:t>
      </w:r>
      <w:r w:rsidR="00E70206" w:rsidRPr="0016266C">
        <w:t xml:space="preserve">ox </w:t>
      </w:r>
      <w:r w:rsidR="002202A9" w:rsidRPr="0016266C">
        <w:t>4</w:t>
      </w:r>
      <w:r w:rsidR="00862BC6" w:rsidRPr="0016266C">
        <w:t>.1</w:t>
      </w:r>
      <w:r w:rsidR="000C1C42" w:rsidRPr="0016266C">
        <w:t>)</w:t>
      </w:r>
      <w:r w:rsidR="00E70206" w:rsidRPr="0016266C">
        <w:t>. This</w:t>
      </w:r>
      <w:r w:rsidR="001E7C22" w:rsidRPr="0016266C">
        <w:t xml:space="preserve"> discourages </w:t>
      </w:r>
      <w:r w:rsidRPr="0016266C">
        <w:t>s</w:t>
      </w:r>
      <w:r w:rsidR="00504058">
        <w:t>aving in instruments</w:t>
      </w:r>
      <w:r w:rsidRPr="0016266C">
        <w:t xml:space="preserve"> such as bank deposits</w:t>
      </w:r>
      <w:r w:rsidR="001E7C22" w:rsidRPr="0016266C">
        <w:t>,</w:t>
      </w:r>
      <w:r w:rsidRPr="0016266C">
        <w:t xml:space="preserve"> a</w:t>
      </w:r>
      <w:r w:rsidR="001E7C22" w:rsidRPr="0016266C">
        <w:t>nd supports saving</w:t>
      </w:r>
      <w:r w:rsidRPr="0016266C">
        <w:t xml:space="preserve"> in capital assets such as equities or property</w:t>
      </w:r>
      <w:r w:rsidR="00E05486" w:rsidRPr="0016266C">
        <w:t xml:space="preserve">. </w:t>
      </w:r>
      <w:r w:rsidRPr="0016266C">
        <w:t>Second, because the imputation system only benefits Australian shareholders, it has the effect of increasing the return for Australian shareholders in Australian equities (for a more detailed explanation see Chapter </w:t>
      </w:r>
      <w:r w:rsidR="00C17174" w:rsidRPr="0016266C">
        <w:t>5</w:t>
      </w:r>
      <w:r w:rsidR="00E05486" w:rsidRPr="0016266C">
        <w:t xml:space="preserve"> — </w:t>
      </w:r>
      <w:r w:rsidRPr="0016266C">
        <w:t>Business)</w:t>
      </w:r>
      <w:r w:rsidR="00E05486" w:rsidRPr="0016266C">
        <w:t xml:space="preserve">. </w:t>
      </w:r>
      <w:r w:rsidRPr="0016266C">
        <w:t xml:space="preserve">Finally, because Australian households do not receive imputation credits for foreign company tax paid, they </w:t>
      </w:r>
      <w:r w:rsidR="00862BC6" w:rsidRPr="0016266C">
        <w:t xml:space="preserve">may </w:t>
      </w:r>
      <w:r w:rsidRPr="0016266C">
        <w:t xml:space="preserve">face an </w:t>
      </w:r>
      <w:r w:rsidR="001E7C22" w:rsidRPr="0016266C">
        <w:t xml:space="preserve">extra layer of tax on </w:t>
      </w:r>
      <w:r w:rsidRPr="0016266C">
        <w:t>s</w:t>
      </w:r>
      <w:r w:rsidR="001E7C22" w:rsidRPr="0016266C">
        <w:t>avings</w:t>
      </w:r>
      <w:r w:rsidRPr="0016266C">
        <w:t xml:space="preserve"> in foreign equities </w:t>
      </w:r>
      <w:r w:rsidR="00AB1434">
        <w:lastRenderedPageBreak/>
        <w:t>(</w:t>
      </w:r>
      <w:r w:rsidR="00862BC6" w:rsidRPr="0016266C">
        <w:t xml:space="preserve">subject to tax </w:t>
      </w:r>
      <w:r w:rsidR="00862BC6" w:rsidRPr="008C26F6">
        <w:t>treaties</w:t>
      </w:r>
      <w:r w:rsidR="00AB1434" w:rsidRPr="008C26F6">
        <w:t>)</w:t>
      </w:r>
      <w:r w:rsidRPr="008C26F6">
        <w:t xml:space="preserve"> compared to Australian equities.</w:t>
      </w:r>
      <w:r w:rsidR="0081631C" w:rsidRPr="008C26F6">
        <w:t xml:space="preserve"> </w:t>
      </w:r>
      <w:r w:rsidR="00E70206" w:rsidRPr="008C26F6">
        <w:t xml:space="preserve">These </w:t>
      </w:r>
      <w:r w:rsidR="00504058" w:rsidRPr="008C26F6">
        <w:t xml:space="preserve">factors </w:t>
      </w:r>
      <w:r w:rsidR="00E70206" w:rsidRPr="008C26F6">
        <w:t xml:space="preserve">may also have effects on the broader financial system as noted recently </w:t>
      </w:r>
      <w:r w:rsidR="00B61378" w:rsidRPr="008C26F6">
        <w:t>by</w:t>
      </w:r>
      <w:r w:rsidR="00E70206" w:rsidRPr="008C26F6">
        <w:t xml:space="preserve"> the Financial System Inquiry.</w:t>
      </w:r>
      <w:r w:rsidR="00F30EED" w:rsidRPr="008C26F6">
        <w:rPr>
          <w:rStyle w:val="FootnoteReference"/>
        </w:rPr>
        <w:footnoteReference w:id="14"/>
      </w:r>
    </w:p>
    <w:p w14:paraId="1B76A42F" w14:textId="22054444" w:rsidR="001D6CB2" w:rsidRPr="008C26F6" w:rsidRDefault="001D6CB2" w:rsidP="001D6CB2">
      <w:pPr>
        <w:rPr>
          <w:b/>
        </w:rPr>
      </w:pPr>
      <w:r w:rsidRPr="008C26F6">
        <w:t xml:space="preserve">Many companies use retained earnings as </w:t>
      </w:r>
      <w:r w:rsidR="006E5ED8" w:rsidRPr="008C26F6">
        <w:t xml:space="preserve">an </w:t>
      </w:r>
      <w:r w:rsidRPr="008C26F6">
        <w:t>easily accessible source of funds for new investments. However, retention of earnings within private companies also allows</w:t>
      </w:r>
      <w:r w:rsidR="006E5ED8" w:rsidRPr="008C26F6">
        <w:t xml:space="preserve"> for the</w:t>
      </w:r>
      <w:r w:rsidRPr="008C26F6">
        <w:t xml:space="preserve"> payment of any additional tax on dividends to be delayed</w:t>
      </w:r>
      <w:r w:rsidR="00B87D6C" w:rsidRPr="008C26F6">
        <w:t>.</w:t>
      </w:r>
      <w:r w:rsidRPr="008C26F6">
        <w:t xml:space="preserve"> </w:t>
      </w:r>
      <w:r w:rsidR="00B87D6C" w:rsidRPr="008C26F6">
        <w:t>T</w:t>
      </w:r>
      <w:r w:rsidR="003A02F3" w:rsidRPr="008C26F6">
        <w:t xml:space="preserve">his </w:t>
      </w:r>
      <w:r w:rsidRPr="008C26F6">
        <w:t xml:space="preserve">can be a preferred means of saving for individuals facing marginal tax rates higher than the corporate tax rate. </w:t>
      </w:r>
    </w:p>
    <w:p w14:paraId="31855B78" w14:textId="768B01F0" w:rsidR="001D6CB2" w:rsidRPr="008C26F6" w:rsidRDefault="001D6CB2" w:rsidP="001D6CB2">
      <w:r w:rsidRPr="008C26F6">
        <w:t>In addition to benefits from this delay, in some cases dividends can be made in periods when an individual</w:t>
      </w:r>
      <w:r w:rsidR="00292115">
        <w:t>’</w:t>
      </w:r>
      <w:r w:rsidRPr="008C26F6">
        <w:t>s income from other sources is lower to ensure that dividends are taxed at relatively low marginal tax rates.</w:t>
      </w:r>
      <w:r w:rsidR="000729AD" w:rsidRPr="008C26F6">
        <w:t xml:space="preserve"> For example, an investor who is close to retirement but is on the top marginal tax rate, may structure their affairs so that dividends are paid after they retire</w:t>
      </w:r>
      <w:r w:rsidR="009F0B5D" w:rsidRPr="008C26F6">
        <w:t xml:space="preserve"> with</w:t>
      </w:r>
      <w:r w:rsidR="000729AD" w:rsidRPr="008C26F6">
        <w:t xml:space="preserve"> a lower marginal rate.</w:t>
      </w:r>
      <w:r w:rsidRPr="008C26F6">
        <w:t xml:space="preserve"> Alternatively, if dividends are not paid and earnings are retained indefinitely in a company, individuals can access these funds by selling shares in the company and receiving a 50 per</w:t>
      </w:r>
      <w:r w:rsidR="00530789" w:rsidRPr="008C26F6">
        <w:t> </w:t>
      </w:r>
      <w:r w:rsidRPr="008C26F6">
        <w:t>cent discount on capital gains (this is discussed further in Chapt</w:t>
      </w:r>
      <w:r w:rsidR="002202A9" w:rsidRPr="008C26F6">
        <w:t>er 6</w:t>
      </w:r>
      <w:r w:rsidRPr="008C26F6">
        <w:t xml:space="preserve"> — Small business). </w:t>
      </w:r>
    </w:p>
    <w:p w14:paraId="41445D66" w14:textId="73675884" w:rsidR="001D6CB2" w:rsidRPr="008C26F6" w:rsidRDefault="001D6CB2" w:rsidP="001D6CB2">
      <w:r w:rsidRPr="008C26F6">
        <w:t xml:space="preserve">Australian households </w:t>
      </w:r>
      <w:r w:rsidR="006E5ED8" w:rsidRPr="008C26F6">
        <w:t xml:space="preserve">can also </w:t>
      </w:r>
      <w:r w:rsidRPr="008C26F6">
        <w:t>u</w:t>
      </w:r>
      <w:r w:rsidR="00CC7531" w:rsidRPr="008C26F6">
        <w:t>se discretionary trusts to save</w:t>
      </w:r>
      <w:r w:rsidRPr="008C26F6">
        <w:t xml:space="preserve">. Discretionary trusts offer tax advantages to groups of individuals who share the income from savings, and the trustee of a discretionary trust usually has complete discretion to choose which beneficiaries receive distributions from the trust in any particular year. This can provide tax benefits if beneficiaries have different levels of income from other sources. </w:t>
      </w:r>
    </w:p>
    <w:p w14:paraId="68BDD97C" w14:textId="1C36BD18" w:rsidR="003620D1" w:rsidRPr="0016266C" w:rsidRDefault="00426D05" w:rsidP="001D6CB2">
      <w:r w:rsidRPr="008C26F6">
        <w:t>A common example is</w:t>
      </w:r>
      <w:r w:rsidR="001D6CB2" w:rsidRPr="008C26F6">
        <w:t xml:space="preserve"> a small family business, operated through a discretionary trust. The trustee of the trust can decide each year which family members should receive distributions of income </w:t>
      </w:r>
      <w:r w:rsidRPr="008C26F6">
        <w:t xml:space="preserve">or capital </w:t>
      </w:r>
      <w:r w:rsidR="001D6CB2" w:rsidRPr="008C26F6">
        <w:t>from the business. This typically results in all beneficiaries paying less tax than if all of the business</w:t>
      </w:r>
      <w:r w:rsidR="001D6CB2" w:rsidRPr="0016266C">
        <w:t xml:space="preserve"> income were taxable in the hands of a single taxpayer business owner or if a corporate structure</w:t>
      </w:r>
      <w:r w:rsidR="009F0B5D">
        <w:t xml:space="preserve"> was</w:t>
      </w:r>
      <w:r w:rsidR="001D6CB2" w:rsidRPr="0016266C">
        <w:t xml:space="preserve"> used</w:t>
      </w:r>
      <w:r w:rsidR="002202A9" w:rsidRPr="0016266C">
        <w:t xml:space="preserve"> (Box 3</w:t>
      </w:r>
      <w:r w:rsidR="00862BC6" w:rsidRPr="0016266C">
        <w:t xml:space="preserve">.3 on income splitting in Chapter </w:t>
      </w:r>
      <w:r w:rsidR="002202A9" w:rsidRPr="0016266C">
        <w:t>3</w:t>
      </w:r>
      <w:r w:rsidR="00862BC6" w:rsidRPr="0016266C">
        <w:t>)</w:t>
      </w:r>
      <w:r w:rsidR="001D6CB2" w:rsidRPr="0016266C">
        <w:t>.</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AE61CA" w:rsidRPr="0016266C" w14:paraId="23586F8E" w14:textId="77777777" w:rsidTr="00094A69">
        <w:tc>
          <w:tcPr>
            <w:tcW w:w="9384" w:type="dxa"/>
          </w:tcPr>
          <w:p w14:paraId="6BE99693" w14:textId="7441D97C" w:rsidR="00AE61CA" w:rsidRPr="0016266C" w:rsidRDefault="00AE61CA" w:rsidP="00094A69">
            <w:pPr>
              <w:pStyle w:val="Questionheading"/>
              <w:ind w:right="113"/>
            </w:pPr>
            <w:r w:rsidRPr="0016266C">
              <w:t xml:space="preserve">Discussion questions: </w:t>
            </w:r>
          </w:p>
          <w:p w14:paraId="7B426575" w14:textId="1786FA69" w:rsidR="00AE61CA" w:rsidRPr="0016266C" w:rsidRDefault="00AE61CA" w:rsidP="00391B7B">
            <w:pPr>
              <w:pStyle w:val="Questiontext"/>
              <w:ind w:left="426" w:right="113" w:hanging="426"/>
            </w:pPr>
            <w:r w:rsidRPr="0016266C">
              <w:t>To what extent is the rationale for the CGT discount, and the size of the discount, still appropriate?</w:t>
            </w:r>
          </w:p>
          <w:p w14:paraId="3D3B3476" w14:textId="16C117CE" w:rsidR="00AE61CA" w:rsidRPr="0016266C" w:rsidRDefault="00AE61CA" w:rsidP="00391B7B">
            <w:pPr>
              <w:pStyle w:val="Questiontext"/>
              <w:ind w:left="426" w:right="113" w:hanging="426"/>
            </w:pPr>
            <w:r w:rsidRPr="0016266C">
              <w:t>To what extent does the dividend imputation system impact savings decisions?</w:t>
            </w:r>
          </w:p>
        </w:tc>
      </w:tr>
    </w:tbl>
    <w:p w14:paraId="6965BF98" w14:textId="7A1F82F8" w:rsidR="00533A66" w:rsidRDefault="00533A66" w:rsidP="001D6CB2"/>
    <w:p w14:paraId="25F05C95" w14:textId="77777777" w:rsidR="00533A66" w:rsidRDefault="00533A66">
      <w:pPr>
        <w:spacing w:after="0" w:line="240" w:lineRule="auto"/>
      </w:pPr>
      <w:r>
        <w:br w:type="page"/>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AE61CA" w:rsidRPr="0016266C" w14:paraId="0E3B06D6" w14:textId="77777777" w:rsidTr="00391B7B">
        <w:tc>
          <w:tcPr>
            <w:tcW w:w="9384" w:type="dxa"/>
            <w:tcBorders>
              <w:top w:val="nil"/>
              <w:left w:val="nil"/>
              <w:bottom w:val="nil"/>
              <w:right w:val="nil"/>
            </w:tcBorders>
            <w:shd w:val="clear" w:color="auto" w:fill="EBEAEA" w:themeFill="accent6" w:themeFillTint="33"/>
          </w:tcPr>
          <w:p w14:paraId="502C6742" w14:textId="4E9CE432" w:rsidR="00AE61CA" w:rsidRPr="0016266C" w:rsidRDefault="00AE61CA" w:rsidP="00094A69">
            <w:pPr>
              <w:pStyle w:val="BoxHeading"/>
            </w:pPr>
            <w:r w:rsidRPr="0016266C">
              <w:lastRenderedPageBreak/>
              <w:t>Box 4.</w:t>
            </w:r>
            <w:fldSimple w:instr=" SEQ Box \* ARABIC \s 1 ">
              <w:r w:rsidR="008A3803">
                <w:rPr>
                  <w:noProof/>
                </w:rPr>
                <w:t>1</w:t>
              </w:r>
            </w:fldSimple>
            <w:r w:rsidRPr="0016266C">
              <w:t xml:space="preserve">: Capital </w:t>
            </w:r>
            <w:r w:rsidR="00C3688C" w:rsidRPr="0016266C">
              <w:t>g</w:t>
            </w:r>
            <w:r w:rsidRPr="0016266C">
              <w:t xml:space="preserve">ains </w:t>
            </w:r>
            <w:r w:rsidR="00C3688C" w:rsidRPr="0016266C">
              <w:t>t</w:t>
            </w:r>
            <w:r w:rsidRPr="0016266C">
              <w:t>ax explained</w:t>
            </w:r>
          </w:p>
          <w:p w14:paraId="58328590" w14:textId="2B497AA2" w:rsidR="00AE61CA" w:rsidRPr="0016266C" w:rsidRDefault="00AE61CA" w:rsidP="00AE61CA">
            <w:pPr>
              <w:pStyle w:val="BoxText"/>
            </w:pPr>
            <w:r w:rsidRPr="0016266C">
              <w:t>Capital gains tax (CGT) is a form of income tax that is levied on an individual</w:t>
            </w:r>
            <w:r w:rsidR="00292115">
              <w:t>’</w:t>
            </w:r>
            <w:r w:rsidRPr="0016266C">
              <w:t xml:space="preserve">s </w:t>
            </w:r>
            <w:r w:rsidR="00292115">
              <w:t>‘</w:t>
            </w:r>
            <w:r w:rsidRPr="0016266C">
              <w:t>net capital gains</w:t>
            </w:r>
            <w:r w:rsidR="00292115">
              <w:t>’</w:t>
            </w:r>
            <w:r w:rsidRPr="0016266C">
              <w:t xml:space="preserve"> at their relevant marginal tax rate. </w:t>
            </w:r>
          </w:p>
          <w:p w14:paraId="253ACAB1" w14:textId="3A0D3A28" w:rsidR="00AE61CA" w:rsidRPr="0016266C" w:rsidRDefault="00AE61CA" w:rsidP="00AE61CA">
            <w:pPr>
              <w:pStyle w:val="BoxText"/>
            </w:pPr>
            <w:r w:rsidRPr="0016266C">
              <w:t>CGT is payable on a realisation basis. An individual needs to trigger a capital gains event (such as by selling an asset) to realise a capital gain or loss. A capital gain or loss is the difference between what it cost an individual to</w:t>
            </w:r>
            <w:r w:rsidR="00E06B92" w:rsidRPr="0016266C">
              <w:t xml:space="preserve"> acquire the</w:t>
            </w:r>
            <w:r w:rsidRPr="0016266C">
              <w:t xml:space="preserve"> asset and</w:t>
            </w:r>
            <w:r w:rsidR="00E06B92" w:rsidRPr="0016266C">
              <w:t xml:space="preserve"> the proceeds from realising the asset (i.e. sale proceeds).</w:t>
            </w:r>
            <w:r w:rsidRPr="0016266C">
              <w:t xml:space="preserve"> If a net gain is realised, the net gain forms part of the individual</w:t>
            </w:r>
            <w:r w:rsidR="00292115">
              <w:t>’</w:t>
            </w:r>
            <w:r w:rsidR="00E06B92" w:rsidRPr="0016266C">
              <w:t>s</w:t>
            </w:r>
            <w:r w:rsidRPr="0016266C">
              <w:t xml:space="preserve"> taxable income for that year, which is subject to income tax. If a net loss is realised, the i</w:t>
            </w:r>
            <w:r w:rsidR="00E06B92" w:rsidRPr="0016266C">
              <w:t>ndividual can use it to reduce other realised</w:t>
            </w:r>
            <w:r w:rsidRPr="0016266C">
              <w:t xml:space="preserve"> capital gain</w:t>
            </w:r>
            <w:r w:rsidR="00E06B92" w:rsidRPr="0016266C">
              <w:t>s</w:t>
            </w:r>
            <w:r w:rsidRPr="0016266C">
              <w:t xml:space="preserve"> in the current income year</w:t>
            </w:r>
            <w:r w:rsidR="00E06B92" w:rsidRPr="0016266C">
              <w:t xml:space="preserve"> (if they have any), otherwise</w:t>
            </w:r>
            <w:r w:rsidRPr="0016266C">
              <w:t xml:space="preserve"> they can carry it forward to apply against future capital gains. </w:t>
            </w:r>
          </w:p>
          <w:p w14:paraId="59D65300" w14:textId="3779556E" w:rsidR="00AE61CA" w:rsidRPr="0016266C" w:rsidRDefault="00AE61CA" w:rsidP="00E06B92">
            <w:pPr>
              <w:pStyle w:val="BoxText"/>
            </w:pPr>
            <w:r w:rsidRPr="0016266C">
              <w:t xml:space="preserve">CGT is subject to a number of exemptions and concessions (see also Chapter 6 — Small Business). Most importantly, individuals can generally discount a realised capital gain by 50 per cent if they have held the asset for more than a year. </w:t>
            </w:r>
            <w:r w:rsidR="00E06B92" w:rsidRPr="0016266C">
              <w:t>The</w:t>
            </w:r>
            <w:r w:rsidRPr="0016266C">
              <w:t xml:space="preserve"> 50</w:t>
            </w:r>
            <w:r w:rsidR="00530789" w:rsidRPr="0016266C">
              <w:t> </w:t>
            </w:r>
            <w:r w:rsidRPr="0016266C">
              <w:t>per</w:t>
            </w:r>
            <w:r w:rsidR="00530789" w:rsidRPr="0016266C">
              <w:t> </w:t>
            </w:r>
            <w:r w:rsidRPr="0016266C">
              <w:t>cent discount</w:t>
            </w:r>
            <w:r w:rsidR="00E06B92" w:rsidRPr="0016266C">
              <w:t xml:space="preserve"> was introduced in 1999</w:t>
            </w:r>
            <w:r w:rsidR="009B4F09">
              <w:t>. This</w:t>
            </w:r>
            <w:r w:rsidR="00E06B92" w:rsidRPr="0016266C">
              <w:t xml:space="preserve"> replac</w:t>
            </w:r>
            <w:r w:rsidR="009B4F09">
              <w:t>ed</w:t>
            </w:r>
            <w:r w:rsidRPr="0016266C">
              <w:t xml:space="preserve"> the arrangement</w:t>
            </w:r>
            <w:r w:rsidR="00E06B92" w:rsidRPr="0016266C">
              <w:t xml:space="preserve"> that had been in operation since 1985</w:t>
            </w:r>
            <w:r w:rsidRPr="0016266C">
              <w:t xml:space="preserve"> whereby the capital gain to be included in ta</w:t>
            </w:r>
            <w:r w:rsidR="00E06B92" w:rsidRPr="0016266C">
              <w:t>xable income could be adjusted for</w:t>
            </w:r>
            <w:r w:rsidRPr="0016266C">
              <w:t xml:space="preserve"> price inflation (CPI) since purchase</w:t>
            </w:r>
            <w:r w:rsidR="00E06B92" w:rsidRPr="0016266C">
              <w:t xml:space="preserve"> to ensure only real gains were subject to tax. </w:t>
            </w:r>
          </w:p>
        </w:tc>
      </w:tr>
    </w:tbl>
    <w:p w14:paraId="213AFFC0" w14:textId="1A8FFFB8" w:rsidR="003620D1" w:rsidRPr="0016266C" w:rsidRDefault="003620D1" w:rsidP="00DE6A49">
      <w:pPr>
        <w:pStyle w:val="SingleParagraph"/>
      </w:pPr>
    </w:p>
    <w:p w14:paraId="48D5EA72" w14:textId="31C67BBC" w:rsidR="0051439B" w:rsidRPr="0016266C" w:rsidRDefault="0051439B" w:rsidP="001D6CB2">
      <w:pPr>
        <w:pStyle w:val="Heading3"/>
      </w:pPr>
      <w:bookmarkStart w:id="75" w:name="_Toc402326867"/>
      <w:bookmarkStart w:id="76" w:name="_Toc402333519"/>
      <w:bookmarkStart w:id="77" w:name="_Toc402340295"/>
      <w:bookmarkStart w:id="78" w:name="_Toc402343390"/>
      <w:bookmarkStart w:id="79" w:name="_Toc402346626"/>
      <w:bookmarkStart w:id="80" w:name="_Toc402349083"/>
      <w:bookmarkStart w:id="81" w:name="_Toc402350612"/>
      <w:bookmarkStart w:id="82" w:name="_Toc402353633"/>
      <w:bookmarkStart w:id="83" w:name="_Toc402368751"/>
      <w:bookmarkStart w:id="84" w:name="_Toc402369837"/>
      <w:bookmarkStart w:id="85" w:name="_Toc402370502"/>
      <w:bookmarkStart w:id="86" w:name="_Toc402371449"/>
      <w:bookmarkStart w:id="87" w:name="_Toc404348018"/>
      <w:r w:rsidRPr="0016266C">
        <w:t xml:space="preserve">Investment </w:t>
      </w:r>
      <w:r w:rsidR="00B342BA" w:rsidRPr="0016266C">
        <w:t>p</w:t>
      </w:r>
      <w:r w:rsidRPr="0016266C">
        <w:t>roperties</w:t>
      </w:r>
      <w:bookmarkEnd w:id="75"/>
      <w:bookmarkEnd w:id="76"/>
      <w:bookmarkEnd w:id="77"/>
      <w:bookmarkEnd w:id="78"/>
      <w:bookmarkEnd w:id="79"/>
      <w:bookmarkEnd w:id="80"/>
      <w:bookmarkEnd w:id="81"/>
      <w:bookmarkEnd w:id="82"/>
      <w:bookmarkEnd w:id="83"/>
      <w:bookmarkEnd w:id="84"/>
      <w:bookmarkEnd w:id="85"/>
      <w:bookmarkEnd w:id="86"/>
      <w:bookmarkEnd w:id="87"/>
    </w:p>
    <w:p w14:paraId="7D7733FC" w14:textId="5BA82B23" w:rsidR="003620D1" w:rsidRPr="0016266C" w:rsidRDefault="0051439B" w:rsidP="003620D1">
      <w:r w:rsidRPr="0016266C">
        <w:t>The tax treatment of invest</w:t>
      </w:r>
      <w:r w:rsidR="00774A16" w:rsidRPr="0016266C">
        <w:t>ment</w:t>
      </w:r>
      <w:r w:rsidRPr="0016266C">
        <w:t xml:space="preserve"> propert</w:t>
      </w:r>
      <w:r w:rsidR="003764A6" w:rsidRPr="0016266C">
        <w:t>ies</w:t>
      </w:r>
      <w:r w:rsidRPr="0016266C">
        <w:t xml:space="preserve"> is the same as </w:t>
      </w:r>
      <w:r w:rsidR="00915F2B" w:rsidRPr="0016266C">
        <w:t xml:space="preserve">it is </w:t>
      </w:r>
      <w:r w:rsidRPr="0016266C">
        <w:t xml:space="preserve">for </w:t>
      </w:r>
      <w:r w:rsidR="00B342BA" w:rsidRPr="0016266C">
        <w:t>investment in an</w:t>
      </w:r>
      <w:r w:rsidR="008C5C09" w:rsidRPr="0016266C">
        <w:t>y</w:t>
      </w:r>
      <w:r w:rsidR="00B342BA" w:rsidRPr="0016266C">
        <w:t xml:space="preserve"> </w:t>
      </w:r>
      <w:r w:rsidRPr="0016266C">
        <w:t>asset that produce</w:t>
      </w:r>
      <w:r w:rsidR="00AE7549" w:rsidRPr="0016266C">
        <w:t>s</w:t>
      </w:r>
      <w:r w:rsidRPr="0016266C">
        <w:t xml:space="preserve"> a mix of current income and capital gain</w:t>
      </w:r>
      <w:r w:rsidR="00E0521E" w:rsidRPr="0016266C">
        <w:t xml:space="preserve">. </w:t>
      </w:r>
      <w:r w:rsidR="00B342BA" w:rsidRPr="0016266C">
        <w:t>That is, t</w:t>
      </w:r>
      <w:r w:rsidRPr="0016266C">
        <w:t>he rent</w:t>
      </w:r>
      <w:r w:rsidR="00B342BA" w:rsidRPr="0016266C">
        <w:t>al</w:t>
      </w:r>
      <w:r w:rsidRPr="0016266C">
        <w:t xml:space="preserve"> income is taxed at the individual</w:t>
      </w:r>
      <w:r w:rsidR="00292115">
        <w:t>’</w:t>
      </w:r>
      <w:r w:rsidRPr="0016266C">
        <w:t xml:space="preserve">s marginal tax rate as it is earned, while </w:t>
      </w:r>
      <w:r w:rsidR="008C5C09" w:rsidRPr="0016266C">
        <w:t xml:space="preserve">generally </w:t>
      </w:r>
      <w:r w:rsidRPr="0016266C">
        <w:t>only half of the capital gain is taxed</w:t>
      </w:r>
      <w:r w:rsidR="00B342BA" w:rsidRPr="0016266C">
        <w:t>,</w:t>
      </w:r>
      <w:r w:rsidRPr="0016266C">
        <w:t xml:space="preserve"> and only when the property is sold</w:t>
      </w:r>
      <w:r w:rsidR="002F4440" w:rsidRPr="0016266C">
        <w:t xml:space="preserve"> (or realised in some other way)</w:t>
      </w:r>
      <w:r w:rsidRPr="0016266C">
        <w:t>.</w:t>
      </w:r>
      <w:r w:rsidR="003620D1" w:rsidRPr="0016266C">
        <w:t xml:space="preserve"> </w:t>
      </w:r>
    </w:p>
    <w:p w14:paraId="256E0A88" w14:textId="0844E44F" w:rsidR="003620D1" w:rsidRPr="0016266C" w:rsidRDefault="003620D1" w:rsidP="003620D1">
      <w:r w:rsidRPr="0016266C">
        <w:t>Investment propert</w:t>
      </w:r>
      <w:r w:rsidR="003764A6" w:rsidRPr="0016266C">
        <w:t>ies</w:t>
      </w:r>
      <w:r w:rsidRPr="0016266C">
        <w:t xml:space="preserve"> </w:t>
      </w:r>
      <w:r w:rsidR="003764A6" w:rsidRPr="0016266C">
        <w:t>are</w:t>
      </w:r>
      <w:r w:rsidRPr="0016266C">
        <w:t xml:space="preserve"> t</w:t>
      </w:r>
      <w:r w:rsidR="002F4440" w:rsidRPr="0016266C">
        <w:t>he third most popular saving</w:t>
      </w:r>
      <w:r w:rsidRPr="0016266C">
        <w:t xml:space="preserve"> vehicle after the family home and superannuation. Many of the reasons people invest i</w:t>
      </w:r>
      <w:r w:rsidR="002F4440" w:rsidRPr="0016266C">
        <w:t xml:space="preserve">n housing over other assets </w:t>
      </w:r>
      <w:r w:rsidR="00915F2B" w:rsidRPr="0016266C">
        <w:t>have</w:t>
      </w:r>
      <w:r w:rsidRPr="0016266C">
        <w:t xml:space="preserve"> little to do with </w:t>
      </w:r>
      <w:r w:rsidR="002F4440" w:rsidRPr="0016266C">
        <w:t xml:space="preserve">the </w:t>
      </w:r>
      <w:r w:rsidRPr="0016266C">
        <w:t>tax treatment. However, the</w:t>
      </w:r>
      <w:r w:rsidR="002F4440" w:rsidRPr="0016266C">
        <w:t xml:space="preserve"> role of the tax treatment in driving </w:t>
      </w:r>
      <w:r w:rsidRPr="0016266C">
        <w:t>investment in real estate and the impact that this has on hous</w:t>
      </w:r>
      <w:r w:rsidR="00231813" w:rsidRPr="0016266C">
        <w:t>ing supply and affordability is</w:t>
      </w:r>
      <w:r w:rsidRPr="0016266C">
        <w:t xml:space="preserve"> a contentious issue. One issue that is contested is the role </w:t>
      </w:r>
      <w:r w:rsidR="007146D2" w:rsidRPr="0016266C">
        <w:t>that</w:t>
      </w:r>
      <w:r w:rsidR="00915F2B" w:rsidRPr="0016266C">
        <w:t xml:space="preserve"> </w:t>
      </w:r>
      <w:r w:rsidR="00292115">
        <w:t>‘</w:t>
      </w:r>
      <w:r w:rsidRPr="0016266C">
        <w:t>negative gearing</w:t>
      </w:r>
      <w:r w:rsidR="00292115">
        <w:t>’</w:t>
      </w:r>
      <w:r w:rsidRPr="0016266C">
        <w:t xml:space="preserve"> (Box </w:t>
      </w:r>
      <w:r w:rsidR="002202A9" w:rsidRPr="0016266C">
        <w:t>4</w:t>
      </w:r>
      <w:r w:rsidRPr="0016266C">
        <w:t xml:space="preserve">.2) plays in driving investment in rental properties.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AE61CA" w:rsidRPr="0016266C" w14:paraId="70CFF2A4" w14:textId="77777777" w:rsidTr="00533A66">
        <w:trPr>
          <w:trHeight w:val="8755"/>
        </w:trPr>
        <w:tc>
          <w:tcPr>
            <w:tcW w:w="9384" w:type="dxa"/>
            <w:tcBorders>
              <w:top w:val="nil"/>
              <w:left w:val="nil"/>
              <w:bottom w:val="nil"/>
              <w:right w:val="nil"/>
            </w:tcBorders>
            <w:shd w:val="clear" w:color="auto" w:fill="EBEAEA" w:themeFill="accent6" w:themeFillTint="33"/>
          </w:tcPr>
          <w:p w14:paraId="702D92A7" w14:textId="6EBFF58E" w:rsidR="00AE61CA" w:rsidRPr="0016266C" w:rsidRDefault="00AE61CA" w:rsidP="00AE61CA">
            <w:pPr>
              <w:pStyle w:val="BoxHeading"/>
            </w:pPr>
            <w:r w:rsidRPr="0016266C">
              <w:lastRenderedPageBreak/>
              <w:t xml:space="preserve">Box </w:t>
            </w:r>
            <w:fldSimple w:instr=" STYLEREF 1 \s ">
              <w:r w:rsidR="008A3803">
                <w:rPr>
                  <w:noProof/>
                </w:rPr>
                <w:t>4</w:t>
              </w:r>
            </w:fldSimple>
            <w:r w:rsidRPr="0016266C">
              <w:t>.</w:t>
            </w:r>
            <w:fldSimple w:instr=" SEQ Box \* ARABIC \s 1 ">
              <w:r w:rsidR="008A3803">
                <w:rPr>
                  <w:noProof/>
                </w:rPr>
                <w:t>2</w:t>
              </w:r>
            </w:fldSimple>
            <w:r w:rsidRPr="0016266C">
              <w:t xml:space="preserve">: </w:t>
            </w:r>
            <w:r w:rsidRPr="0016266C">
              <w:rPr>
                <w:rStyle w:val="Heading5Char"/>
                <w:rFonts w:cstheme="minorBidi"/>
                <w:b/>
                <w:sz w:val="28"/>
              </w:rPr>
              <w:t>Negative</w:t>
            </w:r>
            <w:r w:rsidRPr="0016266C">
              <w:rPr>
                <w:rStyle w:val="Heading5Char"/>
                <w:b/>
                <w:bCs w:val="0"/>
                <w:color w:val="31A7D4" w:themeColor="text2"/>
                <w:sz w:val="28"/>
              </w:rPr>
              <w:t xml:space="preserve"> gearing</w:t>
            </w:r>
          </w:p>
          <w:p w14:paraId="57E75D71" w14:textId="55B0E57A" w:rsidR="00AE61CA" w:rsidRPr="008C26F6" w:rsidRDefault="00AE61CA" w:rsidP="00AE61CA">
            <w:pPr>
              <w:pStyle w:val="BoxText"/>
            </w:pPr>
            <w:r w:rsidRPr="0016266C">
              <w:t>A property is said to be negatively geared when the mortgage interest repayments exceed the net income from the property (rental income minus other deductible expenses such as property agent fees, insurance,</w:t>
            </w:r>
            <w:r w:rsidR="00E06B92" w:rsidRPr="0016266C">
              <w:t xml:space="preserve"> gardening,</w:t>
            </w:r>
            <w:r w:rsidRPr="0016266C">
              <w:t xml:space="preserve"> land tax</w:t>
            </w:r>
            <w:r w:rsidR="00E06B92" w:rsidRPr="0016266C">
              <w:t xml:space="preserve"> and depreciation</w:t>
            </w:r>
            <w:r w:rsidRPr="0016266C">
              <w:t xml:space="preserve">). In these circumstances the taxpayer can apply this </w:t>
            </w:r>
            <w:r w:rsidR="00292115">
              <w:t>‘</w:t>
            </w:r>
            <w:r w:rsidRPr="0016266C">
              <w:t>loss</w:t>
            </w:r>
            <w:r w:rsidR="00292115">
              <w:t>’</w:t>
            </w:r>
            <w:r w:rsidRPr="0016266C">
              <w:t xml:space="preserve"> against their other income, such as salary and wages. This </w:t>
            </w:r>
            <w:r w:rsidRPr="008C26F6">
              <w:t xml:space="preserve">strategy is only financially effective where the taxpayer expects a future capital gain more than offsetting this </w:t>
            </w:r>
            <w:r w:rsidR="00292115">
              <w:t>‘</w:t>
            </w:r>
            <w:r w:rsidRPr="008C26F6">
              <w:t>loss</w:t>
            </w:r>
            <w:r w:rsidR="00292115">
              <w:t>’</w:t>
            </w:r>
            <w:r w:rsidR="00504058" w:rsidRPr="008C26F6">
              <w:t xml:space="preserve">. Generally </w:t>
            </w:r>
            <w:r w:rsidRPr="008C26F6">
              <w:t>only 50</w:t>
            </w:r>
            <w:r w:rsidR="00530789" w:rsidRPr="008C26F6">
              <w:t> </w:t>
            </w:r>
            <w:r w:rsidRPr="008C26F6">
              <w:t>per</w:t>
            </w:r>
            <w:r w:rsidR="00530789" w:rsidRPr="008C26F6">
              <w:t> </w:t>
            </w:r>
            <w:r w:rsidRPr="008C26F6">
              <w:t xml:space="preserve">cent of that capital gain </w:t>
            </w:r>
            <w:r w:rsidR="00504058" w:rsidRPr="008C26F6">
              <w:t>is subject to tax upon realisation, which the Financial System Inquiry</w:t>
            </w:r>
            <w:r w:rsidR="00292115">
              <w:t>’</w:t>
            </w:r>
            <w:r w:rsidR="00504058" w:rsidRPr="008C26F6">
              <w:t xml:space="preserve">s final report noted could encourage </w:t>
            </w:r>
            <w:r w:rsidR="00292115">
              <w:t>‘</w:t>
            </w:r>
            <w:r w:rsidR="00504058" w:rsidRPr="008C26F6">
              <w:t>leveraged and speculative investment</w:t>
            </w:r>
            <w:r w:rsidR="00292115">
              <w:t>’</w:t>
            </w:r>
            <w:r w:rsidR="00504058" w:rsidRPr="008C26F6">
              <w:t xml:space="preserve"> in housing.</w:t>
            </w:r>
            <w:r w:rsidR="00504058" w:rsidRPr="008C26F6">
              <w:rPr>
                <w:rStyle w:val="FootnoteReference"/>
              </w:rPr>
              <w:footnoteReference w:id="15"/>
            </w:r>
          </w:p>
          <w:p w14:paraId="61F8A465" w14:textId="77777777" w:rsidR="00AE61CA" w:rsidRPr="008C26F6" w:rsidRDefault="00AE61CA" w:rsidP="00AE61CA">
            <w:pPr>
              <w:pStyle w:val="BoxText"/>
            </w:pPr>
            <w:r w:rsidRPr="008C26F6">
              <w:t>Negative gearing does not, in itself, cause a tax distortion, but it does allow more people to enter the market than those who might have had the equity alone to do so. Purchasers can make bigger investments in property by borrowing, in addition to using their own savings. This behaviour is encouraged by the CGT discount, as larger investments can result in greater capital gains and therefore benefit more from the CGT discount.</w:t>
            </w:r>
          </w:p>
          <w:p w14:paraId="1AC7A98F" w14:textId="4FE4A342" w:rsidR="00AE61CA" w:rsidRPr="008C26F6" w:rsidRDefault="00AE61CA" w:rsidP="004A7BB0">
            <w:pPr>
              <w:pStyle w:val="BoxText"/>
              <w:rPr>
                <w:rFonts w:eastAsia="Calibri"/>
              </w:rPr>
            </w:pPr>
            <w:r w:rsidRPr="008C26F6">
              <w:t>Contrary to popular perception, negative gearing is not a specific tax concession for taxpayers with investment properties — it is simply the operation of Australia</w:t>
            </w:r>
            <w:r w:rsidR="00292115">
              <w:t>’</w:t>
            </w:r>
            <w:r w:rsidRPr="008C26F6">
              <w:t xml:space="preserve">s tax system allowing deductions for expenses incurred in producing assessable income (Chapter 3 — Individuals). </w:t>
            </w:r>
            <w:r w:rsidRPr="008C26F6">
              <w:rPr>
                <w:rFonts w:eastAsia="Calibri"/>
              </w:rPr>
              <w:t>Expenses incurred in producing income from other types of investments are also generally deductible. This includes interest costs incurred when borrowing to purchase assets like shares. In 2011</w:t>
            </w:r>
            <w:r w:rsidR="00292115">
              <w:rPr>
                <w:rFonts w:eastAsia="Calibri"/>
              </w:rPr>
              <w:noBreakHyphen/>
            </w:r>
            <w:r w:rsidRPr="008C26F6">
              <w:rPr>
                <w:rFonts w:eastAsia="Calibri"/>
              </w:rPr>
              <w:t>12, around 285,000 individuals deducted a total of nearly $1.4 billion for expenses incurred in earning dividend income</w:t>
            </w:r>
            <w:r w:rsidRPr="008C26F6">
              <w:rPr>
                <w:rFonts w:ascii="Calibri" w:eastAsia="Calibri" w:hAnsi="Calibri"/>
                <w:color w:val="auto"/>
              </w:rPr>
              <w:t>.</w:t>
            </w:r>
            <w:r w:rsidRPr="008C26F6">
              <w:rPr>
                <w:rStyle w:val="FootnoteReference"/>
              </w:rPr>
              <w:footnoteReference w:id="16"/>
            </w:r>
            <w:r w:rsidRPr="008C26F6">
              <w:rPr>
                <w:rFonts w:ascii="Calibri" w:eastAsia="Calibri" w:hAnsi="Calibri"/>
                <w:color w:val="auto"/>
              </w:rPr>
              <w:t xml:space="preserve"> (</w:t>
            </w:r>
            <w:r w:rsidRPr="008C26F6">
              <w:rPr>
                <w:rFonts w:eastAsia="Calibri"/>
              </w:rPr>
              <w:t>See chapter 6 for a comparison with the tax treatment of non</w:t>
            </w:r>
            <w:r w:rsidR="00292115">
              <w:rPr>
                <w:rFonts w:eastAsia="Calibri"/>
              </w:rPr>
              <w:noBreakHyphen/>
            </w:r>
            <w:r w:rsidRPr="008C26F6">
              <w:rPr>
                <w:rFonts w:eastAsia="Calibri"/>
              </w:rPr>
              <w:t>commercial losses</w:t>
            </w:r>
            <w:r w:rsidR="00602A16" w:rsidRPr="008C26F6">
              <w:rPr>
                <w:rFonts w:eastAsia="Calibri"/>
              </w:rPr>
              <w:t>.)</w:t>
            </w:r>
          </w:p>
          <w:p w14:paraId="78C097E1" w14:textId="0370B523" w:rsidR="00AE61CA" w:rsidRPr="0016266C" w:rsidRDefault="004C7CBC" w:rsidP="00AE61CA">
            <w:pPr>
              <w:pStyle w:val="BoxText"/>
            </w:pPr>
            <w:r w:rsidRPr="008C26F6">
              <w:t xml:space="preserve">However, </w:t>
            </w:r>
            <w:r w:rsidR="00AE61CA" w:rsidRPr="008C26F6">
              <w:t>investment properties</w:t>
            </w:r>
            <w:r w:rsidRPr="008C26F6">
              <w:t xml:space="preserve"> constitute a substantial proportion of the total value of negatively geared assets</w:t>
            </w:r>
            <w:r w:rsidR="00AE61CA" w:rsidRPr="008C26F6">
              <w:t>. Chart 4.2 shows that deductions claimed for investment properties as a proportion of gross rental income have increased over the last 15 years and are now greater than gross rental income.</w:t>
            </w:r>
          </w:p>
          <w:p w14:paraId="672E2861" w14:textId="66066183" w:rsidR="00094A69" w:rsidRPr="0016266C" w:rsidRDefault="00AE61CA" w:rsidP="00391B7B">
            <w:pPr>
              <w:pStyle w:val="BoxText"/>
              <w:spacing w:after="0"/>
            </w:pPr>
            <w:r w:rsidRPr="0016266C">
              <w:t>Chart 4.3 shows the proportion of tax filers with negatively geared investment property, and indicates that the majority of tax filers with negatively geared properties fall into the middle income bands. This largely reflects the distribution of taxpayers across taxable income bands — with the majority of taxpayers at the low to mid</w:t>
            </w:r>
            <w:r w:rsidR="00292115">
              <w:noBreakHyphen/>
            </w:r>
            <w:r w:rsidRPr="0016266C">
              <w:t>point of the income distribution (for</w:t>
            </w:r>
            <w:r w:rsidR="00391B7B" w:rsidRPr="0016266C">
              <w:t> </w:t>
            </w:r>
            <w:r w:rsidRPr="0016266C">
              <w:t>more information on the distribution of taxpayers across taxable income bands Chart</w:t>
            </w:r>
            <w:r w:rsidR="00391B7B" w:rsidRPr="0016266C">
              <w:t> </w:t>
            </w:r>
            <w:r w:rsidRPr="0016266C">
              <w:t>3.2, Chapter 3 — Individuals). Chart 4.3 also shows that the proportion of tax filers with negatively geared properties increases as taxable income increases.</w:t>
            </w:r>
          </w:p>
        </w:tc>
      </w:tr>
      <w:tr w:rsidR="00094A69" w:rsidRPr="0016266C" w14:paraId="348F27F7" w14:textId="77777777" w:rsidTr="00533A66">
        <w:trPr>
          <w:trHeight w:val="12015"/>
        </w:trPr>
        <w:tc>
          <w:tcPr>
            <w:tcW w:w="9384" w:type="dxa"/>
            <w:tcBorders>
              <w:top w:val="nil"/>
              <w:left w:val="nil"/>
              <w:bottom w:val="nil"/>
              <w:right w:val="nil"/>
            </w:tcBorders>
            <w:shd w:val="clear" w:color="auto" w:fill="EBEAEA" w:themeFill="accent6" w:themeFillTint="33"/>
          </w:tcPr>
          <w:p w14:paraId="3BF1B70C" w14:textId="74B41A7A" w:rsidR="00094A69" w:rsidRPr="0016266C" w:rsidRDefault="00094A69" w:rsidP="00094A69">
            <w:pPr>
              <w:pStyle w:val="Casestudyboxheading"/>
              <w:keepNext/>
              <w:keepLines/>
              <w:numPr>
                <w:ilvl w:val="0"/>
                <w:numId w:val="0"/>
              </w:numPr>
              <w:ind w:left="142"/>
              <w:rPr>
                <w:sz w:val="24"/>
                <w:szCs w:val="24"/>
              </w:rPr>
            </w:pPr>
            <w:r w:rsidRPr="0016266C">
              <w:rPr>
                <w:sz w:val="24"/>
                <w:szCs w:val="24"/>
              </w:rPr>
              <w:lastRenderedPageBreak/>
              <w:t>Box 4.2 Con</w:t>
            </w:r>
            <w:r w:rsidR="00851D1F" w:rsidRPr="0016266C">
              <w:rPr>
                <w:sz w:val="24"/>
                <w:szCs w:val="24"/>
              </w:rPr>
              <w:t>t</w:t>
            </w:r>
            <w:r w:rsidR="00292115">
              <w:rPr>
                <w:sz w:val="24"/>
                <w:szCs w:val="24"/>
              </w:rPr>
              <w:t>’</w:t>
            </w:r>
            <w:r w:rsidR="00851D1F" w:rsidRPr="0016266C">
              <w:rPr>
                <w:sz w:val="24"/>
                <w:szCs w:val="24"/>
              </w:rPr>
              <w:t>d</w:t>
            </w:r>
          </w:p>
          <w:p w14:paraId="43082D43" w14:textId="3F4D06A4" w:rsidR="00094A69" w:rsidRPr="0016266C" w:rsidRDefault="00094A69" w:rsidP="00094A69">
            <w:pPr>
              <w:pStyle w:val="ChartMainHeading"/>
              <w:keepLines/>
            </w:pPr>
            <w:r w:rsidRPr="0016266C">
              <w:t>Chart 4.2 Expenses claimed for investment properties over</w:t>
            </w:r>
            <w:r w:rsidR="00292115">
              <w:t xml:space="preserve"> time, as a percentage of </w:t>
            </w:r>
            <w:r w:rsidR="00533A66">
              <w:t>gross </w:t>
            </w:r>
            <w:r w:rsidRPr="0016266C">
              <w:t>rental income</w:t>
            </w:r>
          </w:p>
          <w:bookmarkStart w:id="88" w:name="_1479636603"/>
          <w:bookmarkStart w:id="89" w:name="_1479636332"/>
          <w:bookmarkStart w:id="90" w:name="_1479716657"/>
          <w:bookmarkStart w:id="91" w:name="_1479736546"/>
          <w:bookmarkStart w:id="92" w:name="_1479736786"/>
          <w:bookmarkStart w:id="93" w:name="_1479736748"/>
          <w:bookmarkStart w:id="94" w:name="_1479737799"/>
          <w:bookmarkStart w:id="95" w:name="_1479804442"/>
          <w:bookmarkStart w:id="96" w:name="_1479996612"/>
          <w:bookmarkStart w:id="97" w:name="_1483968908"/>
          <w:bookmarkStart w:id="98" w:name="_1483969186"/>
          <w:bookmarkStart w:id="99" w:name="_1488723243"/>
          <w:bookmarkStart w:id="100" w:name="_1488722883"/>
          <w:bookmarkStart w:id="101" w:name="_1488723122"/>
          <w:bookmarkStart w:id="102" w:name="_148872840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2BBD3E61" w14:textId="32E39364" w:rsidR="00094A69" w:rsidRPr="0016266C" w:rsidRDefault="00AC1862" w:rsidP="00094A69">
            <w:pPr>
              <w:pStyle w:val="ChartGraphic"/>
            </w:pPr>
            <w:r w:rsidRPr="0016266C">
              <w:rPr>
                <w:rFonts w:cs="Times New Roman"/>
                <w:szCs w:val="20"/>
                <w:lang w:eastAsia="en-AU"/>
              </w:rPr>
              <w:object w:dxaOrig="8116" w:dyaOrig="4110" w14:anchorId="2C0E125F">
                <v:shape id="_x0000_i1026" type="#_x0000_t75" alt="Chart 4.2 Expenses claimed for rental properties over time, as a percentage of gross rental income&#10;TAD/PRID&#10;This chart shows the expenses claimed for rental properties over time from 1997-98 to 2011-12, including interest, capital works and other rental deductions. The chart shows the deductions as a percentage of gross rental income. From 1997-98 to 1999-2000, the amount of gross rental income generally exceeded the expenses claimed. From 2000-01 onwards, expenses claimed have exceeded the amount of gross rental income, mainly due to an increase in interest deductions. At its peak in 2007-08, the amount of expenses claimed was just over 130 per cent of gross rental income.&#10;" style="width:405.75pt;height:205.5pt" o:ole="">
                  <v:imagedata r:id="rId15" o:title=""/>
                </v:shape>
                <o:OLEObject Type="Link" ProgID="Excel.Sheet.12" ShapeID="_x0000_i1026" DrawAspect="Content" r:id="rId16" UpdateMode="Always">
                  <o:LinkType>EnhancedMetaFile</o:LinkType>
                  <o:LockedField/>
                  <o:FieldCodes>\* MERGEFORMAT</o:FieldCodes>
                </o:OLEObject>
              </w:object>
            </w:r>
          </w:p>
          <w:p w14:paraId="160EDD51" w14:textId="7ABC43BF" w:rsidR="00094A69" w:rsidRPr="0016266C" w:rsidRDefault="00094A69" w:rsidP="00391B7B">
            <w:pPr>
              <w:pStyle w:val="ChartandTableNote"/>
              <w:ind w:left="567"/>
            </w:pPr>
            <w:r w:rsidRPr="0016266C">
              <w:t xml:space="preserve">Source: ATO 2014, </w:t>
            </w:r>
            <w:r w:rsidRPr="00EF4DD1">
              <w:rPr>
                <w:i/>
              </w:rPr>
              <w:t>Taxation Statistics 2011</w:t>
            </w:r>
            <w:r w:rsidR="00292115">
              <w:rPr>
                <w:i/>
              </w:rPr>
              <w:noBreakHyphen/>
            </w:r>
            <w:r w:rsidRPr="00EF4DD1">
              <w:rPr>
                <w:i/>
              </w:rPr>
              <w:t>12</w:t>
            </w:r>
            <w:r w:rsidRPr="0016266C">
              <w:t xml:space="preserve">, ATO, Canberra </w:t>
            </w:r>
          </w:p>
          <w:p w14:paraId="4EAE5CF3" w14:textId="77777777" w:rsidR="00094A69" w:rsidRPr="0016266C" w:rsidRDefault="00094A69" w:rsidP="00094A69"/>
          <w:p w14:paraId="534D2A3E" w14:textId="0D294664" w:rsidR="00094A69" w:rsidRPr="0016266C" w:rsidRDefault="00094A69" w:rsidP="00AC1862">
            <w:pPr>
              <w:pStyle w:val="ChartMainHeading"/>
              <w:spacing w:after="0"/>
            </w:pPr>
            <w:r w:rsidRPr="0016266C">
              <w:t>Chart 4.3 Proportion of tax filers with negatively gear</w:t>
            </w:r>
            <w:r w:rsidR="00292115">
              <w:t>ed investment properties, split </w:t>
            </w:r>
            <w:r w:rsidRPr="0016266C">
              <w:t>according</w:t>
            </w:r>
            <w:r w:rsidR="00292115">
              <w:t> </w:t>
            </w:r>
            <w:r w:rsidRPr="0016266C">
              <w:t>to taxable income</w:t>
            </w:r>
            <w:r w:rsidR="00533A66">
              <w:t>,</w:t>
            </w:r>
            <w:r w:rsidRPr="0016266C">
              <w:rPr>
                <w:rStyle w:val="FootnoteReference"/>
              </w:rPr>
              <w:footnoteReference w:id="17"/>
            </w:r>
            <w:r w:rsidRPr="0016266C">
              <w:t xml:space="preserve"> 2011</w:t>
            </w:r>
            <w:r w:rsidR="00292115">
              <w:noBreakHyphen/>
            </w:r>
            <w:r w:rsidRPr="0016266C">
              <w:t>12</w:t>
            </w:r>
          </w:p>
          <w:p w14:paraId="525A60BE" w14:textId="2F3C349B" w:rsidR="00094A69" w:rsidRPr="0016266C" w:rsidRDefault="00AC1862" w:rsidP="0016025F">
            <w:pPr>
              <w:pStyle w:val="ChartGraphic"/>
            </w:pPr>
            <w:r w:rsidRPr="0016266C">
              <w:fldChar w:fldCharType="begin" w:fldLock="1"/>
            </w:r>
            <w:r w:rsidRPr="0016266C">
              <w:rPr>
                <w:rFonts w:cs="Times New Roman"/>
                <w:szCs w:val="20"/>
                <w:lang w:eastAsia="en-AU"/>
              </w:rPr>
              <w:instrText xml:space="preserve"> LINK Excel.Sheet.12 "" "" \a \p </w:instrText>
            </w:r>
            <w:r>
              <w:rPr>
                <w:rFonts w:cs="Times New Roman"/>
                <w:szCs w:val="20"/>
                <w:lang w:eastAsia="en-AU"/>
              </w:rPr>
              <w:instrText xml:space="preserve"> \* MERGEFORMAT </w:instrText>
            </w:r>
            <w:r w:rsidRPr="0016266C">
              <w:fldChar w:fldCharType="separate"/>
            </w:r>
            <w:r>
              <w:rPr>
                <w:noProof/>
              </w:rPr>
              <w:drawing>
                <wp:inline distT="0" distB="0" distL="0" distR="0" wp14:anchorId="33BAECFC" wp14:editId="25224EBF">
                  <wp:extent cx="5581650" cy="3209925"/>
                  <wp:effectExtent l="0" t="0" r="0" b="0"/>
                  <wp:docPr id="1" name="Picture 1" descr="This chart shows the proportion of tax filers with negatively geared investment properties, split according to taxable income in 2011-12. It shows that as taxable income increases, the proportion of tax filers with negatively geared investment properties increases, rising from around 5 per cent of those with taxable incomes between $10,000 and $20,000 to around 24 per cent of those with incomes between $240,000 and $250,000. This chart also shows how the number of negatively geared tax filers varies with income, with around half having a taxable income between $40,000 and $90,000. Taken together, these two lines on the chart highlight the fact that although the majority of negatively geared tax filers are in the lower income bands, tax filers in the higher bands are more likely to take advantage of negative gearing strategies. " title="Chart 4.3 Proportion of tax filers with negatively geared investment properties, split according to taxable income,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81650" cy="3209925"/>
                          </a:xfrm>
                          <a:prstGeom prst="rect">
                            <a:avLst/>
                          </a:prstGeom>
                          <a:noFill/>
                          <a:ln>
                            <a:noFill/>
                          </a:ln>
                        </pic:spPr>
                      </pic:pic>
                    </a:graphicData>
                  </a:graphic>
                </wp:inline>
              </w:drawing>
            </w:r>
            <w:r w:rsidRPr="0016266C">
              <w:fldChar w:fldCharType="end"/>
            </w:r>
          </w:p>
          <w:p w14:paraId="3F8F493F" w14:textId="39355E38" w:rsidR="00094A69" w:rsidRPr="0016266C" w:rsidRDefault="00094A69" w:rsidP="00391B7B">
            <w:pPr>
              <w:pStyle w:val="ChartandTableNote"/>
              <w:ind w:left="567"/>
            </w:pPr>
            <w:r w:rsidRPr="0016266C">
              <w:t>Source:</w:t>
            </w:r>
            <w:r w:rsidRPr="0016266C" w:rsidDel="00C52EA4">
              <w:t xml:space="preserve"> </w:t>
            </w:r>
            <w:r w:rsidRPr="0016266C">
              <w:t>Treasury calculations using administrative data from 2011</w:t>
            </w:r>
            <w:r w:rsidR="00292115">
              <w:noBreakHyphen/>
            </w:r>
            <w:r w:rsidRPr="0016266C">
              <w:t>12 tax returns for individuals</w:t>
            </w:r>
          </w:p>
          <w:p w14:paraId="3EBEB0BD" w14:textId="0CDE19C5" w:rsidR="00094A69" w:rsidRPr="0016266C" w:rsidRDefault="00094A69" w:rsidP="00533A66">
            <w:pPr>
              <w:spacing w:after="0"/>
            </w:pPr>
          </w:p>
        </w:tc>
      </w:tr>
      <w:tr w:rsidR="00094A69" w:rsidRPr="0016266C" w14:paraId="0CEF4CEB" w14:textId="77777777" w:rsidTr="00094A69">
        <w:trPr>
          <w:trHeight w:val="1185"/>
        </w:trPr>
        <w:tc>
          <w:tcPr>
            <w:tcW w:w="9384" w:type="dxa"/>
            <w:tcBorders>
              <w:top w:val="nil"/>
              <w:left w:val="nil"/>
              <w:bottom w:val="nil"/>
              <w:right w:val="nil"/>
            </w:tcBorders>
            <w:shd w:val="clear" w:color="auto" w:fill="EBEAEA" w:themeFill="accent6" w:themeFillTint="33"/>
          </w:tcPr>
          <w:p w14:paraId="2E31F05A" w14:textId="46CC897E" w:rsidR="00094A69" w:rsidRPr="00ED12A2" w:rsidRDefault="00ED12A2" w:rsidP="00094A69">
            <w:pPr>
              <w:pStyle w:val="BoxHeading"/>
            </w:pPr>
            <w:r>
              <w:lastRenderedPageBreak/>
              <w:t>Box 4.2 c</w:t>
            </w:r>
            <w:r w:rsidR="00094A69" w:rsidRPr="00ED12A2">
              <w:t>on</w:t>
            </w:r>
            <w:r w:rsidR="00851D1F" w:rsidRPr="00ED12A2">
              <w:t>t</w:t>
            </w:r>
            <w:r w:rsidR="00292115" w:rsidRPr="00ED12A2">
              <w:t>’</w:t>
            </w:r>
            <w:r w:rsidR="00851D1F" w:rsidRPr="00ED12A2">
              <w:t>d</w:t>
            </w:r>
          </w:p>
          <w:p w14:paraId="4CDE8197" w14:textId="77777777" w:rsidR="00094A69" w:rsidRPr="0016266C" w:rsidRDefault="00094A69" w:rsidP="00094A69">
            <w:pPr>
              <w:pStyle w:val="BoxText"/>
            </w:pPr>
            <w:r w:rsidRPr="0016266C">
              <w:t>Allowing investors to claim deductions for interest expenses ensures consistent tax treatment between debt and equity financing, as is illustrated in the stylised example below.</w:t>
            </w:r>
          </w:p>
          <w:p w14:paraId="0F1E5B7B" w14:textId="4136B719" w:rsidR="00094A69" w:rsidRPr="0016266C" w:rsidRDefault="00094A69" w:rsidP="00094A69">
            <w:pPr>
              <w:pStyle w:val="BoxText"/>
            </w:pPr>
            <w:r w:rsidRPr="0016266C">
              <w:t xml:space="preserve">Let us say two individuals both earn a salary of $90,000. One has equity of $100,000 and decides to use this money to invest in </w:t>
            </w:r>
            <w:proofErr w:type="gramStart"/>
            <w:r w:rsidRPr="0016266C">
              <w:t>a</w:t>
            </w:r>
            <w:proofErr w:type="gramEnd"/>
            <w:r w:rsidRPr="0016266C">
              <w:t xml:space="preserve"> one</w:t>
            </w:r>
            <w:r w:rsidR="00292115">
              <w:noBreakHyphen/>
            </w:r>
            <w:r w:rsidRPr="0016266C">
              <w:t xml:space="preserve">bedroom unit worth $200,000. The other individual also invests in </w:t>
            </w:r>
            <w:proofErr w:type="gramStart"/>
            <w:r w:rsidRPr="0016266C">
              <w:t>a</w:t>
            </w:r>
            <w:proofErr w:type="gramEnd"/>
            <w:r w:rsidRPr="0016266C">
              <w:t xml:space="preserve"> one</w:t>
            </w:r>
            <w:r w:rsidR="00292115">
              <w:noBreakHyphen/>
            </w:r>
            <w:r w:rsidRPr="0016266C">
              <w:t xml:space="preserve">bedroom unit worth $200,000, but borrows the entire $200,000. </w:t>
            </w:r>
          </w:p>
          <w:p w14:paraId="1AA842D8" w14:textId="0CE7B902" w:rsidR="00094A69" w:rsidRPr="0016266C" w:rsidRDefault="00094A69" w:rsidP="00094A69">
            <w:pPr>
              <w:pStyle w:val="BoxText"/>
            </w:pPr>
            <w:r w:rsidRPr="0016266C">
              <w:t>Both individuals receive $10,000 in annual rent from the property, which is subject to tax at their marginal rates (39</w:t>
            </w:r>
            <w:r w:rsidR="00530789" w:rsidRPr="0016266C">
              <w:t> </w:t>
            </w:r>
            <w:r w:rsidRPr="0016266C">
              <w:t>per</w:t>
            </w:r>
            <w:r w:rsidR="00530789" w:rsidRPr="0016266C">
              <w:t> </w:t>
            </w:r>
            <w:r w:rsidRPr="0016266C">
              <w:t xml:space="preserve">cent, including the Medicare levy). </w:t>
            </w:r>
          </w:p>
          <w:p w14:paraId="4419250C" w14:textId="1A1C4279" w:rsidR="00094A69" w:rsidRPr="0016266C" w:rsidRDefault="00094A69" w:rsidP="00094A69">
            <w:pPr>
              <w:pStyle w:val="BoxText"/>
            </w:pPr>
            <w:r w:rsidRPr="0016266C">
              <w:t>The individual who borrowed the full $200,000 to purchase the property faces an interest rate of 6</w:t>
            </w:r>
            <w:r w:rsidR="00530789" w:rsidRPr="0016266C">
              <w:t> </w:t>
            </w:r>
            <w:r w:rsidRPr="0016266C">
              <w:t>per</w:t>
            </w:r>
            <w:r w:rsidR="00530789" w:rsidRPr="0016266C">
              <w:t> </w:t>
            </w:r>
            <w:r w:rsidRPr="0016266C">
              <w:t xml:space="preserve">cent on the mortgage, or $12,000 per year. As the interest payments can be deducted from assessable income, the tax liability can be reduced by $4,680 (amount of the deduction multiplied by the marginal tax rate). </w:t>
            </w:r>
          </w:p>
          <w:p w14:paraId="13AF0944" w14:textId="1E95580C" w:rsidR="00094A69" w:rsidRPr="0016266C" w:rsidRDefault="00094A69" w:rsidP="00094A69">
            <w:pPr>
              <w:pStyle w:val="BoxText"/>
            </w:pPr>
            <w:r w:rsidRPr="0016266C">
              <w:t>The individual who funded 50</w:t>
            </w:r>
            <w:r w:rsidR="00530789" w:rsidRPr="0016266C">
              <w:t> </w:t>
            </w:r>
            <w:r w:rsidRPr="0016266C">
              <w:t>per</w:t>
            </w:r>
            <w:r w:rsidR="00530789" w:rsidRPr="0016266C">
              <w:t> </w:t>
            </w:r>
            <w:r w:rsidRPr="0016266C">
              <w:t>cent of the property with equity has a smaller borrowing of $100,000, and therefore faces interest expenses of $6,000 per annum. This reduces the tax liability by $2,340. However, because they have used equity, they forgo the earnings that would have otherwise received and which would have been subject to tax. Given an earnings rate of 6 per cent</w:t>
            </w:r>
            <w:r w:rsidRPr="0016266C">
              <w:rPr>
                <w:rStyle w:val="FootnoteReference"/>
                <w:rFonts w:cstheme="minorHAnsi"/>
              </w:rPr>
              <w:footnoteReference w:id="18"/>
            </w:r>
            <w:r w:rsidRPr="0016266C">
              <w:t xml:space="preserve"> and the individual</w:t>
            </w:r>
            <w:r w:rsidR="00292115">
              <w:t>’</w:t>
            </w:r>
            <w:r w:rsidRPr="0016266C">
              <w:t xml:space="preserve">s marginal tax rate of 39 per cent, this equates to income of $6,000 forgone and so $2,340 less tax paid. This means, in total, this individual has reduced the tax liability by $4,680. </w:t>
            </w:r>
          </w:p>
          <w:p w14:paraId="3D032941" w14:textId="6499CD56" w:rsidR="00094A69" w:rsidRPr="0016266C" w:rsidRDefault="00094A69" w:rsidP="00094A69">
            <w:pPr>
              <w:pStyle w:val="BoxText"/>
              <w:rPr>
                <w:rFonts w:cstheme="minorHAnsi"/>
              </w:rPr>
            </w:pPr>
            <w:r w:rsidRPr="0016266C">
              <w:rPr>
                <w:rFonts w:cstheme="minorHAnsi"/>
              </w:rPr>
              <w:t xml:space="preserve">This illustrates </w:t>
            </w:r>
            <w:r w:rsidR="00D5147E" w:rsidRPr="0016266C">
              <w:rPr>
                <w:rFonts w:cstheme="minorHAnsi"/>
              </w:rPr>
              <w:t>that any tax advantage for</w:t>
            </w:r>
            <w:r w:rsidRPr="0016266C">
              <w:rPr>
                <w:rFonts w:cstheme="minorHAnsi"/>
              </w:rPr>
              <w:t xml:space="preserve"> </w:t>
            </w:r>
            <w:r w:rsidR="00D5147E" w:rsidRPr="0016266C">
              <w:rPr>
                <w:rFonts w:cstheme="minorHAnsi"/>
              </w:rPr>
              <w:t xml:space="preserve">individuals </w:t>
            </w:r>
            <w:r w:rsidRPr="0016266C">
              <w:rPr>
                <w:rFonts w:cstheme="minorHAnsi"/>
              </w:rPr>
              <w:t xml:space="preserve">investing in property does not come from borrowing. </w:t>
            </w:r>
          </w:p>
          <w:p w14:paraId="69917982" w14:textId="2C9D9BC3" w:rsidR="00094A69" w:rsidRPr="0016266C" w:rsidRDefault="00094A69" w:rsidP="00504058">
            <w:pPr>
              <w:pStyle w:val="BoxText"/>
              <w:rPr>
                <w:sz w:val="24"/>
                <w:szCs w:val="24"/>
              </w:rPr>
            </w:pPr>
            <w:r w:rsidRPr="0016266C">
              <w:rPr>
                <w:rFonts w:cstheme="minorHAnsi"/>
              </w:rPr>
              <w:t>The potential tax advantage comes on the income side from the taxation of the capital gain earned from the asset. If the individual realises a capital gain when selling the property, only 50</w:t>
            </w:r>
            <w:r w:rsidR="00391B7B" w:rsidRPr="0016266C">
              <w:rPr>
                <w:rFonts w:cstheme="minorHAnsi"/>
              </w:rPr>
              <w:t> </w:t>
            </w:r>
            <w:r w:rsidRPr="0016266C">
              <w:rPr>
                <w:rFonts w:cstheme="minorHAnsi"/>
              </w:rPr>
              <w:t>per</w:t>
            </w:r>
            <w:r w:rsidR="00391B7B" w:rsidRPr="0016266C">
              <w:rPr>
                <w:rFonts w:cstheme="minorHAnsi"/>
              </w:rPr>
              <w:t> </w:t>
            </w:r>
            <w:r w:rsidRPr="0016266C">
              <w:rPr>
                <w:rFonts w:cstheme="minorHAnsi"/>
              </w:rPr>
              <w:t>cent of this income is included in their taxable return. In this situation, the effective tax rate on the investment is lower than their statutory rate (in this case, their statutory rate is 39 per</w:t>
            </w:r>
            <w:r w:rsidR="00530789" w:rsidRPr="0016266C">
              <w:rPr>
                <w:rFonts w:cstheme="minorHAnsi"/>
              </w:rPr>
              <w:t> </w:t>
            </w:r>
            <w:r w:rsidRPr="0016266C">
              <w:rPr>
                <w:rFonts w:cstheme="minorHAnsi"/>
              </w:rPr>
              <w:t xml:space="preserve">cent). This is not a result of the gearing but of the taxation of the capital gain. </w:t>
            </w:r>
          </w:p>
        </w:tc>
      </w:tr>
    </w:tbl>
    <w:p w14:paraId="5A3958C8" w14:textId="77777777" w:rsidR="00AE61CA" w:rsidRPr="0016266C" w:rsidRDefault="00AE61CA" w:rsidP="003620D1"/>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AE61CA" w:rsidRPr="0016266C" w14:paraId="03F17AB5" w14:textId="77777777" w:rsidTr="00094A69">
        <w:tc>
          <w:tcPr>
            <w:tcW w:w="9384" w:type="dxa"/>
          </w:tcPr>
          <w:p w14:paraId="7C65DFDD" w14:textId="25BA4494" w:rsidR="00AE61CA" w:rsidRPr="0016266C" w:rsidRDefault="00AE61CA" w:rsidP="00094A69">
            <w:pPr>
              <w:pStyle w:val="Questionheading"/>
              <w:ind w:right="113"/>
            </w:pPr>
            <w:r w:rsidRPr="0016266C">
              <w:t xml:space="preserve">Discussion questions: </w:t>
            </w:r>
          </w:p>
          <w:p w14:paraId="1594AE5A" w14:textId="4BFB7E26" w:rsidR="00AE61CA" w:rsidRPr="0016266C" w:rsidRDefault="00AE61CA" w:rsidP="00391B7B">
            <w:pPr>
              <w:pStyle w:val="Questiontext"/>
              <w:ind w:left="426" w:right="113" w:hanging="426"/>
            </w:pPr>
            <w:r w:rsidRPr="0016266C">
              <w:t>Do the CGT and negative gearing influence savings and investment decisions, and if so, how?</w:t>
            </w:r>
          </w:p>
        </w:tc>
      </w:tr>
    </w:tbl>
    <w:p w14:paraId="4F861A6C" w14:textId="77777777" w:rsidR="003620D1" w:rsidRPr="0016266C" w:rsidRDefault="003620D1" w:rsidP="00E05486">
      <w:pPr>
        <w:pStyle w:val="SingleParagraph"/>
      </w:pPr>
    </w:p>
    <w:p w14:paraId="4F4155BC" w14:textId="0A6D642D" w:rsidR="00D63D8B" w:rsidRPr="0016266C" w:rsidRDefault="00D63D8B" w:rsidP="003F60FF">
      <w:pPr>
        <w:pStyle w:val="Heading3"/>
      </w:pPr>
      <w:bookmarkStart w:id="103" w:name="_Toc402326869"/>
      <w:bookmarkStart w:id="104" w:name="_Toc402333521"/>
      <w:bookmarkStart w:id="105" w:name="_Toc402340297"/>
      <w:bookmarkStart w:id="106" w:name="_Toc402343392"/>
      <w:bookmarkStart w:id="107" w:name="_Toc402346628"/>
      <w:bookmarkStart w:id="108" w:name="_Toc402349085"/>
      <w:bookmarkStart w:id="109" w:name="_Toc402350614"/>
      <w:bookmarkStart w:id="110" w:name="_Toc402353635"/>
      <w:bookmarkStart w:id="111" w:name="_Toc402368753"/>
      <w:bookmarkStart w:id="112" w:name="_Toc402369839"/>
      <w:bookmarkStart w:id="113" w:name="_Toc402370504"/>
      <w:bookmarkStart w:id="114" w:name="_Toc402371451"/>
      <w:bookmarkStart w:id="115" w:name="_Toc404348020"/>
      <w:r w:rsidRPr="0016266C">
        <w:t>Owner</w:t>
      </w:r>
      <w:r w:rsidR="00292115">
        <w:noBreakHyphen/>
      </w:r>
      <w:r w:rsidR="00724A4C" w:rsidRPr="0016266C">
        <w:t>o</w:t>
      </w:r>
      <w:r w:rsidRPr="0016266C">
        <w:t xml:space="preserve">ccupied </w:t>
      </w:r>
      <w:r w:rsidR="00724A4C" w:rsidRPr="0016266C">
        <w:t>h</w:t>
      </w:r>
      <w:r w:rsidRPr="0016266C">
        <w:t>ousing</w:t>
      </w:r>
      <w:bookmarkEnd w:id="103"/>
      <w:bookmarkEnd w:id="104"/>
      <w:bookmarkEnd w:id="105"/>
      <w:bookmarkEnd w:id="106"/>
      <w:bookmarkEnd w:id="107"/>
      <w:bookmarkEnd w:id="108"/>
      <w:bookmarkEnd w:id="109"/>
      <w:bookmarkEnd w:id="110"/>
      <w:bookmarkEnd w:id="111"/>
      <w:bookmarkEnd w:id="112"/>
      <w:bookmarkEnd w:id="113"/>
      <w:bookmarkEnd w:id="114"/>
      <w:bookmarkEnd w:id="115"/>
    </w:p>
    <w:p w14:paraId="1882F79F" w14:textId="05166EA2" w:rsidR="00D63D8B" w:rsidRPr="0016266C" w:rsidRDefault="00D63D8B" w:rsidP="008F1905">
      <w:pPr>
        <w:pStyle w:val="ListParagraph"/>
        <w:ind w:left="0"/>
      </w:pPr>
      <w:r w:rsidRPr="0016266C">
        <w:t xml:space="preserve">A dwelling is both a consumer durable — a house provides benefits over time like a washing machine or a </w:t>
      </w:r>
      <w:r w:rsidR="001D086F" w:rsidRPr="0016266C">
        <w:t>television</w:t>
      </w:r>
      <w:r w:rsidRPr="0016266C">
        <w:t xml:space="preserve"> — and also a savings vehicle</w:t>
      </w:r>
      <w:r w:rsidR="00E0521E" w:rsidRPr="0016266C">
        <w:t xml:space="preserve">. </w:t>
      </w:r>
      <w:r w:rsidRPr="0016266C">
        <w:t>Australian households hold</w:t>
      </w:r>
      <w:r w:rsidR="00391B7B" w:rsidRPr="0016266C">
        <w:t xml:space="preserve"> 43 per </w:t>
      </w:r>
      <w:r w:rsidRPr="0016266C">
        <w:t xml:space="preserve">cent of </w:t>
      </w:r>
      <w:r w:rsidR="007D5AEC" w:rsidRPr="0016266C">
        <w:t>total household assets</w:t>
      </w:r>
      <w:r w:rsidRPr="0016266C">
        <w:t xml:space="preserve"> in the value of the family home</w:t>
      </w:r>
      <w:r w:rsidR="00E0521E" w:rsidRPr="0016266C">
        <w:t>.</w:t>
      </w:r>
      <w:r w:rsidR="001B7D0A" w:rsidRPr="0016266C">
        <w:rPr>
          <w:rStyle w:val="FootnoteReference"/>
        </w:rPr>
        <w:footnoteReference w:id="19"/>
      </w:r>
      <w:r w:rsidR="00E0521E" w:rsidRPr="0016266C">
        <w:rPr>
          <w:vertAlign w:val="superscript"/>
        </w:rPr>
        <w:t xml:space="preserve"> </w:t>
      </w:r>
      <w:r w:rsidR="001B7D0A" w:rsidRPr="0016266C">
        <w:t>O</w:t>
      </w:r>
      <w:r w:rsidR="00A15E67">
        <w:t>f the 7.8 </w:t>
      </w:r>
      <w:r w:rsidR="001D086F" w:rsidRPr="0016266C">
        <w:t xml:space="preserve">million </w:t>
      </w:r>
      <w:r w:rsidR="001D086F" w:rsidRPr="0016266C">
        <w:lastRenderedPageBreak/>
        <w:t>households living in private dwellings in Australia in 2011, 5.2 million or 67</w:t>
      </w:r>
      <w:r w:rsidR="00530789" w:rsidRPr="0016266C">
        <w:t> </w:t>
      </w:r>
      <w:r w:rsidR="001D086F" w:rsidRPr="0016266C">
        <w:t>per</w:t>
      </w:r>
      <w:r w:rsidR="00530789" w:rsidRPr="0016266C">
        <w:t> </w:t>
      </w:r>
      <w:r w:rsidR="001D086F" w:rsidRPr="0016266C">
        <w:t>cent owned their own home (with or without a mortgage) and a further 2.3 million were renting either private</w:t>
      </w:r>
      <w:r w:rsidR="007202D3" w:rsidRPr="0016266C">
        <w:t>ly</w:t>
      </w:r>
      <w:r w:rsidR="001D086F" w:rsidRPr="0016266C">
        <w:t xml:space="preserve"> (25 per</w:t>
      </w:r>
      <w:r w:rsidR="00530789" w:rsidRPr="0016266C">
        <w:t> </w:t>
      </w:r>
      <w:r w:rsidR="001D086F" w:rsidRPr="0016266C">
        <w:t xml:space="preserve">cent) or </w:t>
      </w:r>
      <w:r w:rsidR="007202D3" w:rsidRPr="0016266C">
        <w:t xml:space="preserve">in </w:t>
      </w:r>
      <w:r w:rsidR="001D086F" w:rsidRPr="0016266C">
        <w:t>social housing (5</w:t>
      </w:r>
      <w:r w:rsidR="00530789" w:rsidRPr="0016266C">
        <w:t> </w:t>
      </w:r>
      <w:r w:rsidR="001D086F" w:rsidRPr="0016266C">
        <w:t>per</w:t>
      </w:r>
      <w:r w:rsidR="00530789" w:rsidRPr="0016266C">
        <w:t> </w:t>
      </w:r>
      <w:r w:rsidR="001D086F" w:rsidRPr="0016266C">
        <w:t>cent).</w:t>
      </w:r>
      <w:r w:rsidR="001D086F" w:rsidRPr="0016266C">
        <w:rPr>
          <w:vertAlign w:val="superscript"/>
        </w:rPr>
        <w:footnoteReference w:id="20"/>
      </w:r>
    </w:p>
    <w:p w14:paraId="73625EEF" w14:textId="152E69AD" w:rsidR="00D63D8B" w:rsidRPr="0016266C" w:rsidRDefault="00D63D8B" w:rsidP="00D63D8B">
      <w:r w:rsidRPr="0016266C">
        <w:t>Like most other OECD countries, Australia taxes owner</w:t>
      </w:r>
      <w:r w:rsidR="00292115">
        <w:noBreakHyphen/>
      </w:r>
      <w:r w:rsidRPr="0016266C">
        <w:t>occupied housing more favourably than other types of investment (including dwellings purchased purely for investment)</w:t>
      </w:r>
      <w:r w:rsidR="00E0521E" w:rsidRPr="0016266C">
        <w:t xml:space="preserve">. </w:t>
      </w:r>
      <w:r w:rsidRPr="0016266C">
        <w:t xml:space="preserve">Both the </w:t>
      </w:r>
      <w:r w:rsidR="00292115">
        <w:t>‘</w:t>
      </w:r>
      <w:r w:rsidRPr="0016266C">
        <w:t>imputed rent</w:t>
      </w:r>
      <w:r w:rsidR="00292115">
        <w:t>’</w:t>
      </w:r>
      <w:r w:rsidRPr="0016266C">
        <w:t xml:space="preserve"> — i</w:t>
      </w:r>
      <w:r w:rsidR="00724A4C" w:rsidRPr="0016266C">
        <w:t>n other words,</w:t>
      </w:r>
      <w:r w:rsidRPr="0016266C">
        <w:t xml:space="preserve"> the value of housing services a home owner receives from their own home — and capital gains on the property are exempt from income tax</w:t>
      </w:r>
      <w:r w:rsidR="00AC4FFA" w:rsidRPr="0016266C">
        <w:t>;</w:t>
      </w:r>
      <w:r w:rsidRPr="0016266C">
        <w:t xml:space="preserve"> </w:t>
      </w:r>
      <w:r w:rsidR="00BB2C98" w:rsidRPr="0016266C">
        <w:t>C</w:t>
      </w:r>
      <w:r w:rsidR="00AE61CA" w:rsidRPr="0016266C">
        <w:t>hart </w:t>
      </w:r>
      <w:r w:rsidR="00B10097" w:rsidRPr="0016266C">
        <w:t>4</w:t>
      </w:r>
      <w:r w:rsidR="00E77F72" w:rsidRPr="0016266C">
        <w:t>.</w:t>
      </w:r>
      <w:r w:rsidR="00D70EA4" w:rsidRPr="0016266C">
        <w:t>1</w:t>
      </w:r>
      <w:r w:rsidRPr="0016266C">
        <w:t xml:space="preserve"> </w:t>
      </w:r>
      <w:r w:rsidR="00AC4FFA" w:rsidRPr="0016266C">
        <w:t xml:space="preserve">accordingly </w:t>
      </w:r>
      <w:r w:rsidRPr="0016266C">
        <w:t>shows the effective tax rate of zero</w:t>
      </w:r>
      <w:r w:rsidR="00E0521E" w:rsidRPr="0016266C">
        <w:t xml:space="preserve">. </w:t>
      </w:r>
      <w:r w:rsidRPr="0016266C">
        <w:t>This makes it an attractive vehicle for saving</w:t>
      </w:r>
      <w:r w:rsidR="00E0521E" w:rsidRPr="0016266C">
        <w:t xml:space="preserve">. </w:t>
      </w:r>
      <w:r w:rsidRPr="0016266C">
        <w:t>The primary home is also exempted from the means</w:t>
      </w:r>
      <w:r w:rsidR="00292115">
        <w:noBreakHyphen/>
      </w:r>
      <w:r w:rsidRPr="0016266C">
        <w:t>test for transfer payments.</w:t>
      </w:r>
    </w:p>
    <w:p w14:paraId="1FE0DE4D" w14:textId="4F3BD6EE" w:rsidR="00D63D8B" w:rsidRPr="0016266C" w:rsidRDefault="00D63D8B" w:rsidP="00E33965">
      <w:r w:rsidRPr="0016266C">
        <w:t xml:space="preserve">While the family home is exempt from paying land tax, </w:t>
      </w:r>
      <w:r w:rsidR="001C2E07" w:rsidRPr="0016266C">
        <w:t xml:space="preserve">it is </w:t>
      </w:r>
      <w:r w:rsidRPr="0016266C">
        <w:t>subject to stamp duties and municipal rates levied by local and state governments (</w:t>
      </w:r>
      <w:r w:rsidR="00AC4FFA" w:rsidRPr="0016266C">
        <w:t>C</w:t>
      </w:r>
      <w:r w:rsidRPr="0016266C">
        <w:t>hapter </w:t>
      </w:r>
      <w:r w:rsidR="00C17174" w:rsidRPr="0016266C">
        <w:t>8</w:t>
      </w:r>
      <w:r w:rsidR="00E0521E" w:rsidRPr="0016266C">
        <w:t xml:space="preserve"> — </w:t>
      </w:r>
      <w:r w:rsidR="00FD2EB3" w:rsidRPr="0016266C">
        <w:t>GST and state taxes</w:t>
      </w:r>
      <w:r w:rsidRPr="0016266C">
        <w:t>)</w:t>
      </w:r>
      <w:r w:rsidR="00E0521E" w:rsidRPr="0016266C">
        <w:t xml:space="preserve">. </w:t>
      </w:r>
    </w:p>
    <w:p w14:paraId="10BD03F8" w14:textId="605724D4" w:rsidR="00D63D8B" w:rsidRPr="0016266C" w:rsidRDefault="00D63D8B" w:rsidP="00D63D8B">
      <w:r w:rsidRPr="0016266C">
        <w:t>Given the central importance of the home for Australian families, there is a strong consensus that it would not be appropriate to tax either the imputed rent on owner</w:t>
      </w:r>
      <w:r w:rsidR="00292115">
        <w:noBreakHyphen/>
      </w:r>
      <w:r w:rsidRPr="0016266C">
        <w:t xml:space="preserve">occupied housing or capital gains derived from it. </w:t>
      </w:r>
    </w:p>
    <w:p w14:paraId="3E4E0C52" w14:textId="77777777" w:rsidR="00D63D8B" w:rsidRPr="0016266C" w:rsidRDefault="00D63D8B" w:rsidP="00E076B9">
      <w:pPr>
        <w:pStyle w:val="Heading3"/>
      </w:pPr>
      <w:bookmarkStart w:id="116" w:name="_Toc402326870"/>
      <w:bookmarkStart w:id="117" w:name="_Toc402333522"/>
      <w:bookmarkStart w:id="118" w:name="_Toc402340298"/>
      <w:bookmarkStart w:id="119" w:name="_Toc402343393"/>
      <w:bookmarkStart w:id="120" w:name="_Toc402346629"/>
      <w:bookmarkStart w:id="121" w:name="_Toc402349086"/>
      <w:bookmarkStart w:id="122" w:name="_Toc402350615"/>
      <w:bookmarkStart w:id="123" w:name="_Toc402353636"/>
      <w:bookmarkStart w:id="124" w:name="_Toc402368754"/>
      <w:bookmarkStart w:id="125" w:name="_Toc402369840"/>
      <w:bookmarkStart w:id="126" w:name="_Toc402370505"/>
      <w:bookmarkStart w:id="127" w:name="_Toc402371452"/>
      <w:bookmarkStart w:id="128" w:name="_Toc404348021"/>
      <w:r w:rsidRPr="0016266C">
        <w:t>Superannuation</w:t>
      </w:r>
      <w:bookmarkEnd w:id="116"/>
      <w:bookmarkEnd w:id="117"/>
      <w:bookmarkEnd w:id="118"/>
      <w:bookmarkEnd w:id="119"/>
      <w:bookmarkEnd w:id="120"/>
      <w:bookmarkEnd w:id="121"/>
      <w:bookmarkEnd w:id="122"/>
      <w:bookmarkEnd w:id="123"/>
      <w:bookmarkEnd w:id="124"/>
      <w:bookmarkEnd w:id="125"/>
      <w:bookmarkEnd w:id="126"/>
      <w:bookmarkEnd w:id="127"/>
      <w:bookmarkEnd w:id="128"/>
    </w:p>
    <w:p w14:paraId="533B8DB7" w14:textId="0AD5036D" w:rsidR="00A8728B" w:rsidRPr="0016266C" w:rsidRDefault="00A672E3" w:rsidP="00533A66">
      <w:r w:rsidRPr="00BB37CC">
        <w:t>P</w:t>
      </w:r>
      <w:r w:rsidRPr="0016266C">
        <w:t>re</w:t>
      </w:r>
      <w:r w:rsidR="00292115">
        <w:noBreakHyphen/>
      </w:r>
      <w:r w:rsidRPr="0016266C">
        <w:t>tax contributions to superannuation are more concessionally taxed than other forms of savings for many, but not all, taxpayers</w:t>
      </w:r>
      <w:r w:rsidR="00E0521E" w:rsidRPr="0016266C">
        <w:t xml:space="preserve">. </w:t>
      </w:r>
      <w:r w:rsidR="000A003D" w:rsidRPr="0016266C">
        <w:t>This</w:t>
      </w:r>
      <w:r w:rsidR="005B1972" w:rsidRPr="0016266C">
        <w:t>,</w:t>
      </w:r>
      <w:r w:rsidR="000A003D" w:rsidRPr="0016266C">
        <w:t xml:space="preserve"> in part</w:t>
      </w:r>
      <w:r w:rsidR="005B1972" w:rsidRPr="0016266C">
        <w:t>,</w:t>
      </w:r>
      <w:r w:rsidR="000A003D" w:rsidRPr="0016266C">
        <w:t xml:space="preserve"> reflects that these savings have restricted access until retirement. </w:t>
      </w:r>
      <w:r w:rsidR="009B212F" w:rsidRPr="0016266C">
        <w:t xml:space="preserve">Because superannuation </w:t>
      </w:r>
      <w:r w:rsidR="00D77450" w:rsidRPr="0016266C">
        <w:t>contributions</w:t>
      </w:r>
      <w:r w:rsidR="00FF5535" w:rsidRPr="0016266C">
        <w:t xml:space="preserve"> </w:t>
      </w:r>
      <w:r w:rsidR="00A84B20" w:rsidRPr="0016266C">
        <w:t>and earnings</w:t>
      </w:r>
      <w:r w:rsidR="00D77450" w:rsidRPr="0016266C">
        <w:t xml:space="preserve"> are</w:t>
      </w:r>
      <w:r w:rsidR="009B212F" w:rsidRPr="0016266C">
        <w:t xml:space="preserve"> generally taxed at flat rates, the level of </w:t>
      </w:r>
      <w:r w:rsidR="00D63D8B" w:rsidRPr="0016266C">
        <w:t>concessionality differs depending on the individual</w:t>
      </w:r>
      <w:r w:rsidR="00292115">
        <w:t>’</w:t>
      </w:r>
      <w:r w:rsidR="00D63D8B" w:rsidRPr="0016266C">
        <w:t>s marginal tax rate</w:t>
      </w:r>
      <w:r w:rsidR="00E0521E" w:rsidRPr="0016266C">
        <w:t>.</w:t>
      </w:r>
      <w:r w:rsidR="00493BDE" w:rsidRPr="0016266C">
        <w:rPr>
          <w:rStyle w:val="FootnoteReference"/>
        </w:rPr>
        <w:footnoteReference w:id="21"/>
      </w:r>
      <w:r w:rsidR="00E0521E" w:rsidRPr="0016266C">
        <w:t xml:space="preserve"> </w:t>
      </w:r>
      <w:r w:rsidR="00A84B20" w:rsidRPr="0016266C">
        <w:t>Those with high incomes receive the greatest tax discount relative to their marginal tax rates, and will generally save a higher proportion of their income. As such they will receive the largest aggregate level of tax expenditure, measured against a benchmark of full nominal income taxation.</w:t>
      </w:r>
      <w:r w:rsidR="000545F3" w:rsidRPr="0016266C">
        <w:t xml:space="preserve"> However, the policy merit of</w:t>
      </w:r>
      <w:r w:rsidR="00FF5535" w:rsidRPr="0016266C">
        <w:t xml:space="preserve"> this level of tax concessionalit</w:t>
      </w:r>
      <w:r w:rsidR="000545F3" w:rsidRPr="0016266C">
        <w:t>y has to be judged taking into account Australia</w:t>
      </w:r>
      <w:r w:rsidR="00292115">
        <w:t>’</w:t>
      </w:r>
      <w:r w:rsidR="000545F3" w:rsidRPr="0016266C">
        <w:t>s full retirement inco</w:t>
      </w:r>
      <w:r w:rsidR="00B61378" w:rsidRPr="0016266C">
        <w:t xml:space="preserve">me </w:t>
      </w:r>
      <w:r w:rsidR="000A003D" w:rsidRPr="0016266C">
        <w:t xml:space="preserve">support </w:t>
      </w:r>
      <w:r w:rsidR="00B61378" w:rsidRPr="0016266C">
        <w:t xml:space="preserve">arrangements, including the </w:t>
      </w:r>
      <w:r w:rsidR="002B2C41" w:rsidRPr="0016266C">
        <w:t>means</w:t>
      </w:r>
      <w:r w:rsidR="00292115">
        <w:noBreakHyphen/>
      </w:r>
      <w:r w:rsidR="002B2C41" w:rsidRPr="0016266C">
        <w:t xml:space="preserve">tested </w:t>
      </w:r>
      <w:r w:rsidR="00B61378" w:rsidRPr="0016266C">
        <w:t>Age P</w:t>
      </w:r>
      <w:r w:rsidR="000545F3" w:rsidRPr="0016266C">
        <w:t>ension</w:t>
      </w:r>
      <w:r w:rsidR="00B61378" w:rsidRPr="0016266C">
        <w:t>.</w:t>
      </w:r>
    </w:p>
    <w:p w14:paraId="12815EC0" w14:textId="440F5A18" w:rsidR="00A60826" w:rsidRPr="0016266C" w:rsidRDefault="00A60826" w:rsidP="00A15E67">
      <w:r w:rsidRPr="0016266C">
        <w:t xml:space="preserve">There are two </w:t>
      </w:r>
      <w:r w:rsidR="005B1972" w:rsidRPr="0016266C">
        <w:t xml:space="preserve">common </w:t>
      </w:r>
      <w:r w:rsidRPr="0016266C">
        <w:t>public policy arguments for the concessional tax treatment of superannuation. First, for many people, saving through superannuation is compulsory (the</w:t>
      </w:r>
      <w:r w:rsidR="00391B7B" w:rsidRPr="0016266C">
        <w:t> </w:t>
      </w:r>
      <w:r w:rsidRPr="0016266C">
        <w:t>current Superannuation Guarantee rate is 9.5</w:t>
      </w:r>
      <w:r w:rsidR="00530789" w:rsidRPr="0016266C">
        <w:t> </w:t>
      </w:r>
      <w:r w:rsidRPr="0016266C">
        <w:t>per</w:t>
      </w:r>
      <w:r w:rsidR="00530789" w:rsidRPr="0016266C">
        <w:t> </w:t>
      </w:r>
      <w:r w:rsidRPr="0016266C">
        <w:t>cent</w:t>
      </w:r>
      <w:r w:rsidR="00CE1292" w:rsidRPr="0016266C">
        <w:t xml:space="preserve"> of </w:t>
      </w:r>
      <w:r w:rsidR="00B61378" w:rsidRPr="0016266C">
        <w:t>an employee</w:t>
      </w:r>
      <w:r w:rsidR="00292115">
        <w:t>’</w:t>
      </w:r>
      <w:r w:rsidR="00B61378" w:rsidRPr="0016266C">
        <w:t xml:space="preserve">s </w:t>
      </w:r>
      <w:r w:rsidR="00CE1292" w:rsidRPr="0016266C">
        <w:t>ordinary time earnings</w:t>
      </w:r>
      <w:r w:rsidRPr="0016266C">
        <w:t>)</w:t>
      </w:r>
      <w:r w:rsidR="00AE61CA" w:rsidRPr="0016266C">
        <w:t xml:space="preserve">. </w:t>
      </w:r>
      <w:r w:rsidRPr="0016266C">
        <w:t>A lower rate of taxation can be justified as individual</w:t>
      </w:r>
      <w:r w:rsidR="00066BC7" w:rsidRPr="0016266C">
        <w:t>s</w:t>
      </w:r>
      <w:r w:rsidRPr="0016266C">
        <w:t xml:space="preserve"> cannot choose to save less. On the other hand, tax concessions are generally</w:t>
      </w:r>
      <w:r w:rsidR="00FF5535" w:rsidRPr="0016266C">
        <w:t xml:space="preserve"> provided</w:t>
      </w:r>
      <w:r w:rsidRPr="0016266C">
        <w:t xml:space="preserve"> to encourage people to undertake more of an activity or behaviour, which is not the case with compulsory savings for retirement</w:t>
      </w:r>
      <w:r w:rsidR="00796629">
        <w:t>.</w:t>
      </w:r>
    </w:p>
    <w:p w14:paraId="797721B4" w14:textId="081F3DD3" w:rsidR="000545F3" w:rsidRPr="0016266C" w:rsidRDefault="005426AE" w:rsidP="00D63D8B">
      <w:r w:rsidRPr="0016266C">
        <w:lastRenderedPageBreak/>
        <w:t>The s</w:t>
      </w:r>
      <w:r w:rsidR="00697504" w:rsidRPr="0016266C">
        <w:t>econd</w:t>
      </w:r>
      <w:r w:rsidR="0003658E" w:rsidRPr="0016266C">
        <w:t xml:space="preserve"> argument for the </w:t>
      </w:r>
      <w:r w:rsidR="00066BC7" w:rsidRPr="0016266C">
        <w:t>lower taxation of</w:t>
      </w:r>
      <w:r w:rsidR="0003658E" w:rsidRPr="0016266C">
        <w:t xml:space="preserve"> superannuation</w:t>
      </w:r>
      <w:r w:rsidRPr="0016266C">
        <w:t xml:space="preserve"> </w:t>
      </w:r>
      <w:r w:rsidR="003764A6" w:rsidRPr="0016266C">
        <w:t xml:space="preserve">contributions </w:t>
      </w:r>
      <w:r w:rsidRPr="0016266C">
        <w:t>is that</w:t>
      </w:r>
      <w:r w:rsidR="00697504" w:rsidRPr="0016266C">
        <w:t xml:space="preserve"> unlike other savings, superannuation cannot be accessed on demand, but</w:t>
      </w:r>
      <w:r w:rsidR="000545F3" w:rsidRPr="0016266C">
        <w:t xml:space="preserve"> </w:t>
      </w:r>
      <w:r w:rsidR="000A003D" w:rsidRPr="0016266C">
        <w:t xml:space="preserve">is </w:t>
      </w:r>
      <w:r w:rsidR="00292115">
        <w:t>‘</w:t>
      </w:r>
      <w:r w:rsidR="00697504" w:rsidRPr="0016266C">
        <w:t>locked up</w:t>
      </w:r>
      <w:r w:rsidR="00292115">
        <w:t>’</w:t>
      </w:r>
      <w:r w:rsidR="000545F3" w:rsidRPr="0016266C">
        <w:t xml:space="preserve"> for retirement</w:t>
      </w:r>
      <w:r w:rsidR="00AE61CA" w:rsidRPr="0016266C">
        <w:t xml:space="preserve">. </w:t>
      </w:r>
      <w:r w:rsidR="000545F3" w:rsidRPr="0016266C">
        <w:t xml:space="preserve">The </w:t>
      </w:r>
      <w:r w:rsidR="00697504" w:rsidRPr="0016266C">
        <w:t>preservation age</w:t>
      </w:r>
      <w:r w:rsidR="000545F3" w:rsidRPr="0016266C">
        <w:t xml:space="preserve"> for superannuation</w:t>
      </w:r>
      <w:r w:rsidR="00697504" w:rsidRPr="0016266C">
        <w:t xml:space="preserve"> </w:t>
      </w:r>
      <w:r w:rsidR="000545F3" w:rsidRPr="0016266C">
        <w:t xml:space="preserve">is </w:t>
      </w:r>
      <w:r w:rsidR="00004F60" w:rsidRPr="0016266C">
        <w:t>currently</w:t>
      </w:r>
      <w:r w:rsidR="00AC4FFA" w:rsidRPr="0016266C">
        <w:t xml:space="preserve"> </w:t>
      </w:r>
      <w:r w:rsidR="00697504" w:rsidRPr="0016266C">
        <w:t>55</w:t>
      </w:r>
      <w:r w:rsidR="00AC4FFA" w:rsidRPr="0016266C">
        <w:t xml:space="preserve">, </w:t>
      </w:r>
      <w:r w:rsidR="00004F60" w:rsidRPr="0016266C">
        <w:t>gradually increasing to 60 with effect from</w:t>
      </w:r>
      <w:r w:rsidR="00697504" w:rsidRPr="0016266C">
        <w:t xml:space="preserve"> 1 July 202</w:t>
      </w:r>
      <w:r w:rsidR="00004F60" w:rsidRPr="0016266C">
        <w:t>4</w:t>
      </w:r>
      <w:r w:rsidR="00E0521E" w:rsidRPr="0016266C">
        <w:t xml:space="preserve">. </w:t>
      </w:r>
    </w:p>
    <w:p w14:paraId="68B27B77" w14:textId="03C49D32" w:rsidR="00D63D8B" w:rsidRPr="0016266C" w:rsidRDefault="00B61378" w:rsidP="00D63D8B">
      <w:r w:rsidRPr="0016266C">
        <w:t>S</w:t>
      </w:r>
      <w:r w:rsidR="00FF5535" w:rsidRPr="0016266C">
        <w:t>uperannuation is</w:t>
      </w:r>
      <w:r w:rsidR="005C7E12" w:rsidRPr="0016266C">
        <w:t xml:space="preserve"> designed to improv</w:t>
      </w:r>
      <w:r w:rsidR="00C417F6" w:rsidRPr="0016266C">
        <w:t>e individuals</w:t>
      </w:r>
      <w:r w:rsidR="00292115">
        <w:t>’</w:t>
      </w:r>
      <w:r w:rsidR="00C417F6" w:rsidRPr="0016266C">
        <w:t xml:space="preserve"> </w:t>
      </w:r>
      <w:r w:rsidR="005C7E12" w:rsidRPr="0016266C">
        <w:t>retirement incomes.</w:t>
      </w:r>
      <w:r w:rsidR="00C417F6" w:rsidRPr="0016266C">
        <w:t xml:space="preserve"> </w:t>
      </w:r>
      <w:r w:rsidR="00FF5535" w:rsidRPr="0016266C">
        <w:t>I</w:t>
      </w:r>
      <w:r w:rsidR="00915F2B" w:rsidRPr="0016266C">
        <w:t>n</w:t>
      </w:r>
      <w:r w:rsidR="002B2C41" w:rsidRPr="0016266C">
        <w:t xml:space="preserve"> doing so, it</w:t>
      </w:r>
      <w:r w:rsidR="00FF5535" w:rsidRPr="0016266C">
        <w:t xml:space="preserve"> </w:t>
      </w:r>
      <w:r w:rsidR="005C7E12" w:rsidRPr="0016266C">
        <w:t>also reduc</w:t>
      </w:r>
      <w:r w:rsidR="00C417F6" w:rsidRPr="0016266C">
        <w:t>e</w:t>
      </w:r>
      <w:r w:rsidR="00AD3660" w:rsidRPr="0016266C">
        <w:t>s</w:t>
      </w:r>
      <w:r w:rsidR="005C7E12" w:rsidRPr="0016266C">
        <w:t xml:space="preserve"> pressure on Age Pension </w:t>
      </w:r>
      <w:r w:rsidR="00CA3459" w:rsidRPr="0016266C">
        <w:t>expenditures</w:t>
      </w:r>
      <w:r w:rsidR="00A73852" w:rsidRPr="0016266C">
        <w:t>.</w:t>
      </w:r>
    </w:p>
    <w:p w14:paraId="22376C02" w14:textId="4AC453CB" w:rsidR="00D63D8B" w:rsidRPr="0016266C" w:rsidRDefault="00D63D8B" w:rsidP="00D63D8B">
      <w:r w:rsidRPr="0016266C">
        <w:t xml:space="preserve">At </w:t>
      </w:r>
      <w:r w:rsidR="000E5409">
        <w:t>31</w:t>
      </w:r>
      <w:r w:rsidR="000A003D" w:rsidRPr="0016266C">
        <w:t xml:space="preserve"> </w:t>
      </w:r>
      <w:r w:rsidR="000E5409">
        <w:t>December</w:t>
      </w:r>
      <w:r w:rsidRPr="0016266C">
        <w:t xml:space="preserve"> 2014, total Australian supera</w:t>
      </w:r>
      <w:r w:rsidR="000E5409">
        <w:t>nnuation assets amounted to $1.93</w:t>
      </w:r>
      <w:r w:rsidRPr="0016266C">
        <w:t xml:space="preserve"> trillion</w:t>
      </w:r>
      <w:r w:rsidR="00E0521E" w:rsidRPr="0016266C">
        <w:t xml:space="preserve">. </w:t>
      </w:r>
      <w:r w:rsidRPr="0016266C">
        <w:t xml:space="preserve">This constitutes </w:t>
      </w:r>
      <w:r w:rsidR="00130A29" w:rsidRPr="0016266C">
        <w:t>around</w:t>
      </w:r>
      <w:r w:rsidRPr="0016266C">
        <w:t xml:space="preserve"> </w:t>
      </w:r>
      <w:r w:rsidR="000E5409">
        <w:t>121</w:t>
      </w:r>
      <w:r w:rsidR="00454836" w:rsidRPr="0016266C">
        <w:t> </w:t>
      </w:r>
      <w:r w:rsidRPr="0016266C">
        <w:t>per</w:t>
      </w:r>
      <w:r w:rsidR="00530789" w:rsidRPr="0016266C">
        <w:t> </w:t>
      </w:r>
      <w:r w:rsidRPr="0016266C">
        <w:t>cent of GDP</w:t>
      </w:r>
      <w:r w:rsidR="00D805A2" w:rsidRPr="0016266C">
        <w:t>.</w:t>
      </w:r>
      <w:r w:rsidR="00B22832" w:rsidRPr="0016266C">
        <w:rPr>
          <w:rStyle w:val="FootnoteReference"/>
        </w:rPr>
        <w:footnoteReference w:id="22"/>
      </w:r>
      <w:r w:rsidR="00E0521E" w:rsidRPr="0016266C">
        <w:t xml:space="preserve"> </w:t>
      </w:r>
      <w:r w:rsidR="00A8728B" w:rsidRPr="0016266C">
        <w:t xml:space="preserve">Superannuation assets are expected to continue to grow </w:t>
      </w:r>
      <w:r w:rsidR="00777169" w:rsidRPr="0016266C">
        <w:t>as the system matures and wages grow</w:t>
      </w:r>
      <w:r w:rsidR="00A8728B" w:rsidRPr="0016266C">
        <w:t>.</w:t>
      </w:r>
    </w:p>
    <w:p w14:paraId="43375228" w14:textId="1D432D7D" w:rsidR="00BA31DF" w:rsidRPr="0016266C" w:rsidRDefault="00BA31DF" w:rsidP="00D63D8B">
      <w:r w:rsidRPr="0016266C">
        <w:t>Compulsory superannuation savings appear to have made a significant contribution to national savings (around 1.5</w:t>
      </w:r>
      <w:r w:rsidR="00530789" w:rsidRPr="0016266C">
        <w:t> </w:t>
      </w:r>
      <w:r w:rsidRPr="0016266C">
        <w:t>per</w:t>
      </w:r>
      <w:r w:rsidR="00530789" w:rsidRPr="0016266C">
        <w:t> </w:t>
      </w:r>
      <w:r w:rsidRPr="0016266C">
        <w:t>cent of GDP</w:t>
      </w:r>
      <w:r w:rsidR="00227427" w:rsidRPr="0016266C">
        <w:t xml:space="preserve"> in 2011 and ris</w:t>
      </w:r>
      <w:r w:rsidR="000822FD" w:rsidRPr="0016266C">
        <w:t>ing</w:t>
      </w:r>
      <w:r w:rsidR="00227427" w:rsidRPr="0016266C">
        <w:t xml:space="preserve"> to </w:t>
      </w:r>
      <w:r w:rsidR="000822FD" w:rsidRPr="0016266C">
        <w:t>close</w:t>
      </w:r>
      <w:r w:rsidR="00227427" w:rsidRPr="0016266C">
        <w:t xml:space="preserve"> to </w:t>
      </w:r>
      <w:r w:rsidR="00391B7B" w:rsidRPr="0016266C">
        <w:t>3</w:t>
      </w:r>
      <w:r w:rsidR="00227427" w:rsidRPr="0016266C">
        <w:t> per cent over the next few decades</w:t>
      </w:r>
      <w:r w:rsidRPr="0016266C">
        <w:t>)</w:t>
      </w:r>
      <w:r w:rsidR="00E0521E" w:rsidRPr="0016266C">
        <w:t xml:space="preserve">. </w:t>
      </w:r>
      <w:r w:rsidRPr="0016266C">
        <w:t>This is despite some reduction in other forms of savings</w:t>
      </w:r>
      <w:r w:rsidR="007B0C4E" w:rsidRPr="0016266C">
        <w:t>.</w:t>
      </w:r>
      <w:r w:rsidRPr="0016266C">
        <w:rPr>
          <w:rStyle w:val="FootnoteReference"/>
        </w:rPr>
        <w:footnoteReference w:id="23"/>
      </w:r>
    </w:p>
    <w:p w14:paraId="3C57A2AC" w14:textId="5EEFE45B" w:rsidR="00D63D8B" w:rsidRPr="0016266C" w:rsidRDefault="00D63D8B" w:rsidP="00D63D8B">
      <w:r w:rsidRPr="0016266C">
        <w:t>Voluntary savings can also be made to superannuation funds. Individuals, including the self</w:t>
      </w:r>
      <w:r w:rsidR="00292115">
        <w:noBreakHyphen/>
      </w:r>
      <w:r w:rsidRPr="0016266C">
        <w:t>employed and those who do not work, can choose to save in a superannuation fund to have a higher income in retirement</w:t>
      </w:r>
      <w:r w:rsidR="00E0521E" w:rsidRPr="0016266C">
        <w:t xml:space="preserve">. </w:t>
      </w:r>
    </w:p>
    <w:p w14:paraId="090867AC" w14:textId="31EF6CE8" w:rsidR="00AA3BEA" w:rsidRPr="0016266C" w:rsidRDefault="00D63D8B" w:rsidP="00C52EA4">
      <w:pPr>
        <w:spacing w:before="240"/>
      </w:pPr>
      <w:r w:rsidRPr="0016266C">
        <w:t>The majority of superannuation savings in Australia is in accumulation funds</w:t>
      </w:r>
      <w:r w:rsidR="001E78E9" w:rsidRPr="0016266C">
        <w:t xml:space="preserve"> (where the final </w:t>
      </w:r>
      <w:r w:rsidR="00B22832" w:rsidRPr="0016266C">
        <w:t xml:space="preserve">retirement </w:t>
      </w:r>
      <w:r w:rsidR="001E78E9" w:rsidRPr="0016266C">
        <w:t>benefit depends on contributions made</w:t>
      </w:r>
      <w:r w:rsidR="00B22832" w:rsidRPr="0016266C">
        <w:t>,</w:t>
      </w:r>
      <w:r w:rsidR="001E78E9" w:rsidRPr="0016266C">
        <w:t xml:space="preserve"> the earnings accrued </w:t>
      </w:r>
      <w:r w:rsidR="00B22832" w:rsidRPr="0016266C">
        <w:t xml:space="preserve">and fees paid </w:t>
      </w:r>
      <w:r w:rsidR="001E78E9" w:rsidRPr="0016266C">
        <w:t>over the period invested)</w:t>
      </w:r>
      <w:r w:rsidR="00E0521E" w:rsidRPr="0016266C">
        <w:t xml:space="preserve">. </w:t>
      </w:r>
      <w:r w:rsidR="002636E7" w:rsidRPr="0016266C">
        <w:t>Pre</w:t>
      </w:r>
      <w:r w:rsidR="00292115">
        <w:noBreakHyphen/>
      </w:r>
      <w:r w:rsidR="001730E1" w:rsidRPr="0016266C">
        <w:t>tax c</w:t>
      </w:r>
      <w:r w:rsidRPr="0016266C">
        <w:t xml:space="preserve">ontributions, whether compulsory or voluntary, are </w:t>
      </w:r>
      <w:r w:rsidR="00E932B5" w:rsidRPr="0016266C">
        <w:t>generally</w:t>
      </w:r>
      <w:r w:rsidRPr="0016266C">
        <w:t xml:space="preserve"> taxed at the rate of 15</w:t>
      </w:r>
      <w:r w:rsidR="007C0CE5" w:rsidRPr="0016266C">
        <w:t> </w:t>
      </w:r>
      <w:r w:rsidRPr="0016266C">
        <w:t>per</w:t>
      </w:r>
      <w:r w:rsidR="007C0CE5" w:rsidRPr="0016266C">
        <w:t> </w:t>
      </w:r>
      <w:r w:rsidRPr="0016266C">
        <w:t>cent</w:t>
      </w:r>
      <w:r w:rsidR="00E0521E" w:rsidRPr="0016266C">
        <w:t xml:space="preserve">. </w:t>
      </w:r>
      <w:r w:rsidR="00BA31DF" w:rsidRPr="0016266C">
        <w:t>I</w:t>
      </w:r>
      <w:r w:rsidRPr="0016266C">
        <w:t xml:space="preserve">ncome </w:t>
      </w:r>
      <w:r w:rsidR="003764A6" w:rsidRPr="0016266C">
        <w:t>generated</w:t>
      </w:r>
      <w:r w:rsidRPr="0016266C">
        <w:t xml:space="preserve"> in the fund is</w:t>
      </w:r>
      <w:r w:rsidR="00F51D7B" w:rsidRPr="0016266C">
        <w:t xml:space="preserve"> generally</w:t>
      </w:r>
      <w:r w:rsidRPr="0016266C">
        <w:t xml:space="preserve"> taxed at 15</w:t>
      </w:r>
      <w:r w:rsidR="00743E22" w:rsidRPr="0016266C">
        <w:t> </w:t>
      </w:r>
      <w:r w:rsidRPr="0016266C">
        <w:t>per</w:t>
      </w:r>
      <w:r w:rsidR="005B1972" w:rsidRPr="0016266C">
        <w:t> </w:t>
      </w:r>
      <w:r w:rsidRPr="0016266C">
        <w:t xml:space="preserve">cent during the accumulation phase, and </w:t>
      </w:r>
      <w:r w:rsidR="009B212F" w:rsidRPr="0016266C">
        <w:t xml:space="preserve">tax </w:t>
      </w:r>
      <w:r w:rsidRPr="0016266C">
        <w:t>exempt in the retirement phase</w:t>
      </w:r>
      <w:r w:rsidR="00AF7CB4" w:rsidRPr="0016266C">
        <w:t xml:space="preserve"> where assets are supporting a retirement income stream</w:t>
      </w:r>
      <w:r w:rsidR="00E0521E" w:rsidRPr="0016266C">
        <w:t xml:space="preserve">. </w:t>
      </w:r>
      <w:r w:rsidRPr="0016266C">
        <w:t>Benefits withdrawn in retirement are then generally exempt from tax (Box </w:t>
      </w:r>
      <w:r w:rsidR="00710C21" w:rsidRPr="0016266C">
        <w:t>4</w:t>
      </w:r>
      <w:r w:rsidR="007B0C4E" w:rsidRPr="0016266C">
        <w:t>.3</w:t>
      </w:r>
      <w:r w:rsidRPr="0016266C">
        <w:t>)</w:t>
      </w:r>
      <w:r w:rsidR="00E0521E" w:rsidRPr="0016266C">
        <w:t xml:space="preserve">. </w:t>
      </w:r>
      <w:r w:rsidRPr="0016266C">
        <w:t>Australia</w:t>
      </w:r>
      <w:r w:rsidR="00292115">
        <w:t>’</w:t>
      </w:r>
      <w:r w:rsidRPr="0016266C">
        <w:t xml:space="preserve">s system </w:t>
      </w:r>
      <w:r w:rsidR="001E78E9" w:rsidRPr="0016266C">
        <w:t>is unique</w:t>
      </w:r>
      <w:r w:rsidRPr="0016266C">
        <w:t xml:space="preserve"> </w:t>
      </w:r>
      <w:r w:rsidR="00AC4FFA" w:rsidRPr="0016266C">
        <w:t xml:space="preserve">in that </w:t>
      </w:r>
      <w:r w:rsidRPr="0016266C">
        <w:t>other countries do not tax contributions and earnings, but rather tax retirement savings when benefits are paid.</w:t>
      </w:r>
    </w:p>
    <w:p w14:paraId="4B7A3C67" w14:textId="2B6C1077" w:rsidR="004A7BB0" w:rsidRPr="0016266C" w:rsidRDefault="004A7BB0">
      <w:pPr>
        <w:spacing w:after="0" w:line="240" w:lineRule="auto"/>
      </w:pPr>
      <w:r w:rsidRPr="0016266C">
        <w:br w:type="page"/>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4A7BB0" w:rsidRPr="0016266C" w14:paraId="6CC1496A" w14:textId="77777777" w:rsidTr="004A7BB0">
        <w:tc>
          <w:tcPr>
            <w:tcW w:w="9384" w:type="dxa"/>
            <w:tcBorders>
              <w:top w:val="nil"/>
              <w:left w:val="nil"/>
              <w:bottom w:val="nil"/>
              <w:right w:val="nil"/>
            </w:tcBorders>
            <w:shd w:val="clear" w:color="auto" w:fill="EBEAEA" w:themeFill="accent6" w:themeFillTint="33"/>
          </w:tcPr>
          <w:p w14:paraId="5B65517C" w14:textId="0A2298B0" w:rsidR="004A7BB0" w:rsidRPr="0016266C" w:rsidRDefault="004A7BB0" w:rsidP="00094A69">
            <w:pPr>
              <w:pStyle w:val="BoxHeading"/>
            </w:pPr>
            <w:r w:rsidRPr="0016266C">
              <w:lastRenderedPageBreak/>
              <w:t xml:space="preserve">Box </w:t>
            </w:r>
            <w:fldSimple w:instr=" STYLEREF 1 \s ">
              <w:r w:rsidR="008A3803">
                <w:rPr>
                  <w:noProof/>
                </w:rPr>
                <w:t>4</w:t>
              </w:r>
            </w:fldSimple>
            <w:r w:rsidRPr="0016266C">
              <w:t>.</w:t>
            </w:r>
            <w:fldSimple w:instr=" SEQ Box \* ARABIC \s 1 ">
              <w:r w:rsidR="008A3803">
                <w:rPr>
                  <w:noProof/>
                </w:rPr>
                <w:t>3</w:t>
              </w:r>
            </w:fldSimple>
            <w:r w:rsidRPr="0016266C">
              <w:t>: Tax treatment of superannuation savings: accumulation funds</w:t>
            </w:r>
          </w:p>
          <w:tbl>
            <w:tblPr>
              <w:tblStyle w:val="TableGrid"/>
              <w:tblW w:w="0" w:type="auto"/>
              <w:jc w:val="center"/>
              <w:tblLook w:val="04A0" w:firstRow="1" w:lastRow="0" w:firstColumn="1" w:lastColumn="0" w:noHBand="0" w:noVBand="1"/>
            </w:tblPr>
            <w:tblGrid>
              <w:gridCol w:w="2729"/>
              <w:gridCol w:w="2730"/>
              <w:gridCol w:w="2730"/>
            </w:tblGrid>
            <w:tr w:rsidR="004A7BB0" w:rsidRPr="0016266C" w14:paraId="03EF7814" w14:textId="77777777" w:rsidTr="00E617FB">
              <w:trPr>
                <w:jc w:val="center"/>
              </w:trPr>
              <w:tc>
                <w:tcPr>
                  <w:tcW w:w="2729" w:type="dxa"/>
                  <w:shd w:val="clear" w:color="auto" w:fill="auto"/>
                </w:tcPr>
                <w:p w14:paraId="36946853" w14:textId="77777777" w:rsidR="004A7BB0" w:rsidRPr="0016266C" w:rsidRDefault="004A7BB0" w:rsidP="00094A69">
                  <w:pPr>
                    <w:pStyle w:val="TableColumnHeadingLeft"/>
                    <w:rPr>
                      <w:color w:val="31A7D4" w:themeColor="accent1"/>
                    </w:rPr>
                  </w:pPr>
                  <w:r w:rsidRPr="0016266C">
                    <w:rPr>
                      <w:color w:val="31A7D4" w:themeColor="accent1"/>
                    </w:rPr>
                    <w:t>Contributions</w:t>
                  </w:r>
                </w:p>
              </w:tc>
              <w:tc>
                <w:tcPr>
                  <w:tcW w:w="2730" w:type="dxa"/>
                  <w:shd w:val="clear" w:color="auto" w:fill="auto"/>
                </w:tcPr>
                <w:p w14:paraId="7673052D" w14:textId="77777777" w:rsidR="004A7BB0" w:rsidRPr="0016266C" w:rsidRDefault="004A7BB0" w:rsidP="00094A69">
                  <w:pPr>
                    <w:pStyle w:val="TableColumnHeadingLeft"/>
                    <w:rPr>
                      <w:color w:val="31A7D4" w:themeColor="accent1"/>
                    </w:rPr>
                  </w:pPr>
                  <w:r w:rsidRPr="0016266C">
                    <w:rPr>
                      <w:color w:val="31A7D4" w:themeColor="accent1"/>
                    </w:rPr>
                    <w:t>Earnings</w:t>
                  </w:r>
                </w:p>
              </w:tc>
              <w:tc>
                <w:tcPr>
                  <w:tcW w:w="2730" w:type="dxa"/>
                  <w:shd w:val="clear" w:color="auto" w:fill="auto"/>
                </w:tcPr>
                <w:p w14:paraId="359A8510" w14:textId="77777777" w:rsidR="004A7BB0" w:rsidRPr="0016266C" w:rsidRDefault="004A7BB0" w:rsidP="00094A69">
                  <w:pPr>
                    <w:pStyle w:val="TableColumnHeadingLeft"/>
                    <w:rPr>
                      <w:color w:val="31A7D4" w:themeColor="accent1"/>
                    </w:rPr>
                  </w:pPr>
                  <w:r w:rsidRPr="0016266C">
                    <w:rPr>
                      <w:color w:val="31A7D4" w:themeColor="accent1"/>
                    </w:rPr>
                    <w:t>Benefits</w:t>
                  </w:r>
                </w:p>
              </w:tc>
            </w:tr>
            <w:tr w:rsidR="004A7BB0" w:rsidRPr="0016266C" w14:paraId="45B4FDD2" w14:textId="77777777" w:rsidTr="00E617FB">
              <w:trPr>
                <w:jc w:val="center"/>
              </w:trPr>
              <w:tc>
                <w:tcPr>
                  <w:tcW w:w="2729" w:type="dxa"/>
                  <w:shd w:val="clear" w:color="auto" w:fill="auto"/>
                </w:tcPr>
                <w:p w14:paraId="14DE52C3" w14:textId="3792BEDB" w:rsidR="004A7BB0" w:rsidRPr="0016266C" w:rsidRDefault="004A7BB0" w:rsidP="00094A69">
                  <w:pPr>
                    <w:pStyle w:val="TableTextLeft"/>
                    <w:spacing w:line="240" w:lineRule="auto"/>
                  </w:pPr>
                  <w:r w:rsidRPr="0016266C">
                    <w:t>Pre</w:t>
                  </w:r>
                  <w:r w:rsidR="00292115">
                    <w:noBreakHyphen/>
                  </w:r>
                  <w:r w:rsidRPr="0016266C">
                    <w:t>tax contributions: taxed at 15%; for high</w:t>
                  </w:r>
                  <w:r w:rsidR="00292115">
                    <w:noBreakHyphen/>
                  </w:r>
                  <w:r w:rsidRPr="0016266C">
                    <w:t>income earners 30% up to an annual cap (currently $30,000 for people aged under 50 and $35,000 for people aged 50 and over).</w:t>
                  </w:r>
                </w:p>
                <w:p w14:paraId="3019BEDC" w14:textId="77777777" w:rsidR="004A7BB0" w:rsidRPr="0016266C" w:rsidRDefault="004A7BB0" w:rsidP="00094A69">
                  <w:pPr>
                    <w:pStyle w:val="TableTextLeft"/>
                    <w:spacing w:line="240" w:lineRule="auto"/>
                  </w:pPr>
                  <w:r w:rsidRPr="0016266C">
                    <w:t xml:space="preserve">The government effectively refunds the 15% tax for people with income under $37,000 up to an amount of $500 (until 2017). </w:t>
                  </w:r>
                </w:p>
                <w:p w14:paraId="66BBC45A" w14:textId="78E0B246" w:rsidR="004A7BB0" w:rsidRPr="0016266C" w:rsidRDefault="004A7BB0" w:rsidP="00AC1862">
                  <w:pPr>
                    <w:pStyle w:val="TableTextLeft"/>
                    <w:spacing w:line="240" w:lineRule="auto"/>
                  </w:pPr>
                  <w:r w:rsidRPr="0016266C">
                    <w:t>Post</w:t>
                  </w:r>
                  <w:r w:rsidR="00292115">
                    <w:noBreakHyphen/>
                  </w:r>
                  <w:r w:rsidRPr="0016266C">
                    <w:t>tax contributions: no additional tax if below an annual cap (currently $180,000).</w:t>
                  </w:r>
                </w:p>
              </w:tc>
              <w:tc>
                <w:tcPr>
                  <w:tcW w:w="2730" w:type="dxa"/>
                  <w:shd w:val="clear" w:color="auto" w:fill="auto"/>
                </w:tcPr>
                <w:p w14:paraId="4C68A702" w14:textId="77777777" w:rsidR="004A7BB0" w:rsidRPr="0016266C" w:rsidRDefault="004A7BB0" w:rsidP="00094A69">
                  <w:pPr>
                    <w:pStyle w:val="TableTextLeft"/>
                    <w:spacing w:line="240" w:lineRule="auto"/>
                  </w:pPr>
                  <w:r w:rsidRPr="0016266C">
                    <w:t>Taxed at 15%.</w:t>
                  </w:r>
                </w:p>
                <w:p w14:paraId="65DBCA4C" w14:textId="05374FE3" w:rsidR="004A7BB0" w:rsidRPr="0016266C" w:rsidRDefault="004A7BB0" w:rsidP="00094A69">
                  <w:pPr>
                    <w:pStyle w:val="TableTextLeft"/>
                    <w:spacing w:line="240" w:lineRule="auto"/>
                  </w:pPr>
                  <w:r w:rsidRPr="0016266C">
                    <w:t>Earnings on assets supporting income streams (i.e. pensions) are tax</w:t>
                  </w:r>
                  <w:r w:rsidR="00292115">
                    <w:noBreakHyphen/>
                  </w:r>
                  <w:r w:rsidRPr="0016266C">
                    <w:t>free.</w:t>
                  </w:r>
                </w:p>
                <w:p w14:paraId="3BECA5E5" w14:textId="481F1C37" w:rsidR="004A7BB0" w:rsidRPr="0016266C" w:rsidRDefault="004A7BB0" w:rsidP="004A7BB0">
                  <w:pPr>
                    <w:pStyle w:val="TableTextLeft"/>
                    <w:spacing w:line="240" w:lineRule="auto"/>
                  </w:pPr>
                  <w:r w:rsidRPr="0016266C">
                    <w:t>CGT: if asset is sold during accumulation phase, effectively taxed at 10%; if sold while supporting an income stream, tax</w:t>
                  </w:r>
                  <w:r w:rsidR="00292115">
                    <w:noBreakHyphen/>
                  </w:r>
                  <w:r w:rsidRPr="0016266C">
                    <w:t>free.</w:t>
                  </w:r>
                </w:p>
              </w:tc>
              <w:tc>
                <w:tcPr>
                  <w:tcW w:w="2730" w:type="dxa"/>
                  <w:shd w:val="clear" w:color="auto" w:fill="auto"/>
                </w:tcPr>
                <w:p w14:paraId="00A50555" w14:textId="1007F913" w:rsidR="004A7BB0" w:rsidRPr="0016266C" w:rsidRDefault="004A7BB0" w:rsidP="00094A69">
                  <w:pPr>
                    <w:pStyle w:val="TableTextLeft"/>
                  </w:pPr>
                  <w:r w:rsidRPr="0016266C">
                    <w:t>60 and over: tax</w:t>
                  </w:r>
                  <w:r w:rsidR="00292115">
                    <w:noBreakHyphen/>
                  </w:r>
                  <w:r w:rsidRPr="0016266C">
                    <w:t>free</w:t>
                  </w:r>
                </w:p>
                <w:p w14:paraId="55CA37C3" w14:textId="77777777" w:rsidR="004A7BB0" w:rsidRPr="0016266C" w:rsidRDefault="004A7BB0" w:rsidP="00094A69">
                  <w:pPr>
                    <w:pStyle w:val="TableTextLeft"/>
                  </w:pPr>
                  <w:r w:rsidRPr="0016266C">
                    <w:t>Between preservation age and age 60:</w:t>
                  </w:r>
                </w:p>
                <w:p w14:paraId="49CA2249" w14:textId="01249AF2" w:rsidR="004A7BB0" w:rsidRPr="0016266C" w:rsidRDefault="004A7BB0" w:rsidP="00094A69">
                  <w:pPr>
                    <w:pStyle w:val="Tablettextbullet"/>
                    <w:spacing w:line="240" w:lineRule="auto"/>
                  </w:pPr>
                  <w:r w:rsidRPr="0016266C">
                    <w:t>Lump sums are tax</w:t>
                  </w:r>
                  <w:r w:rsidR="00292115">
                    <w:noBreakHyphen/>
                  </w:r>
                  <w:r w:rsidRPr="0016266C">
                    <w:t>free up to $185,000 and taxed at a maximum of 15% thereafter.</w:t>
                  </w:r>
                </w:p>
                <w:p w14:paraId="6A9225C8" w14:textId="77777777" w:rsidR="004A7BB0" w:rsidRPr="0016266C" w:rsidRDefault="004A7BB0" w:rsidP="00094A69">
                  <w:pPr>
                    <w:pStyle w:val="Tablettextbullet"/>
                    <w:spacing w:line="240" w:lineRule="auto"/>
                  </w:pPr>
                  <w:r w:rsidRPr="0016266C">
                    <w:t>Income streams are taxed at marginal rates less a 15% offset.</w:t>
                  </w:r>
                </w:p>
                <w:p w14:paraId="03C04CA4" w14:textId="77777777" w:rsidR="004A7BB0" w:rsidRPr="0016266C" w:rsidRDefault="004A7BB0" w:rsidP="00094A69">
                  <w:pPr>
                    <w:pStyle w:val="TableTextLeft"/>
                  </w:pPr>
                  <w:r w:rsidRPr="0016266C">
                    <w:t>Below preservation age:</w:t>
                  </w:r>
                </w:p>
                <w:p w14:paraId="0348E109" w14:textId="77777777" w:rsidR="004A7BB0" w:rsidRPr="0016266C" w:rsidRDefault="004A7BB0" w:rsidP="00094A69">
                  <w:pPr>
                    <w:pStyle w:val="Tablettextbullet"/>
                    <w:spacing w:line="240" w:lineRule="auto"/>
                  </w:pPr>
                  <w:r w:rsidRPr="0016266C">
                    <w:t>Lump sums are taxed at a maximum of 20%.</w:t>
                  </w:r>
                </w:p>
                <w:p w14:paraId="1DEDC541" w14:textId="77777777" w:rsidR="004A7BB0" w:rsidRPr="0016266C" w:rsidRDefault="004A7BB0" w:rsidP="00094A69">
                  <w:pPr>
                    <w:pStyle w:val="Tablettextbullet"/>
                    <w:spacing w:line="240" w:lineRule="auto"/>
                  </w:pPr>
                  <w:r w:rsidRPr="0016266C">
                    <w:t>Income streams are taxed at marginal rates.</w:t>
                  </w:r>
                </w:p>
              </w:tc>
            </w:tr>
          </w:tbl>
          <w:p w14:paraId="6031ACDB" w14:textId="470B921F" w:rsidR="004A7BB0" w:rsidRPr="0016266C" w:rsidRDefault="004A7BB0" w:rsidP="004A7BB0">
            <w:pPr>
              <w:pStyle w:val="BoxText"/>
            </w:pPr>
          </w:p>
        </w:tc>
      </w:tr>
    </w:tbl>
    <w:p w14:paraId="2C9A130E" w14:textId="119137EB" w:rsidR="00AE61CA" w:rsidRPr="0016266C" w:rsidRDefault="004A7BB0" w:rsidP="004A7BB0">
      <w:pPr>
        <w:pStyle w:val="ChartandTableNote"/>
      </w:pPr>
      <w:r w:rsidRPr="0016266C">
        <w:t>Note: Pre</w:t>
      </w:r>
      <w:r w:rsidR="00292115">
        <w:noBreakHyphen/>
      </w:r>
      <w:r w:rsidRPr="0016266C">
        <w:t>tax contributions include personal deductable contributions. Tax rates on benefits exclude the Medicare</w:t>
      </w:r>
      <w:r w:rsidR="00E617FB" w:rsidRPr="0016266C">
        <w:t> </w:t>
      </w:r>
      <w:r w:rsidRPr="0016266C">
        <w:t>levy.</w:t>
      </w:r>
    </w:p>
    <w:p w14:paraId="0A092EB0" w14:textId="77777777" w:rsidR="004A7BB0" w:rsidRPr="0016266C" w:rsidRDefault="004A7BB0" w:rsidP="004A7BB0"/>
    <w:p w14:paraId="2D059E8B" w14:textId="152CE1AC" w:rsidR="001730E1" w:rsidRPr="0016266C" w:rsidRDefault="001730E1" w:rsidP="001730E1">
      <w:bookmarkStart w:id="129" w:name="_Toc404348022"/>
      <w:bookmarkStart w:id="130" w:name="_Toc402326871"/>
      <w:bookmarkStart w:id="131" w:name="_Toc402333523"/>
      <w:bookmarkStart w:id="132" w:name="_Toc402340299"/>
      <w:bookmarkStart w:id="133" w:name="_Toc402343394"/>
      <w:bookmarkStart w:id="134" w:name="_Toc402346630"/>
      <w:bookmarkStart w:id="135" w:name="_Toc402349087"/>
      <w:bookmarkStart w:id="136" w:name="_Toc402350616"/>
      <w:bookmarkStart w:id="137" w:name="_Toc402353637"/>
      <w:bookmarkStart w:id="138" w:name="_Toc402368755"/>
      <w:bookmarkStart w:id="139" w:name="_Toc402369841"/>
      <w:bookmarkStart w:id="140" w:name="_Toc402370506"/>
      <w:bookmarkStart w:id="141" w:name="_Toc402371453"/>
      <w:bookmarkEnd w:id="129"/>
      <w:r w:rsidRPr="0016266C">
        <w:t>While there are policy grounds for superannuation</w:t>
      </w:r>
      <w:r w:rsidR="005426AE" w:rsidRPr="0016266C">
        <w:t xml:space="preserve"> being taxed at a lower rate than labour income</w:t>
      </w:r>
      <w:r w:rsidRPr="0016266C">
        <w:t xml:space="preserve">, there are issues around the </w:t>
      </w:r>
      <w:r w:rsidR="00493BDE" w:rsidRPr="0016266C">
        <w:t>distribution</w:t>
      </w:r>
      <w:r w:rsidRPr="0016266C">
        <w:t xml:space="preserve"> of the</w:t>
      </w:r>
      <w:r w:rsidR="0077469D" w:rsidRPr="0016266C">
        <w:t xml:space="preserve"> impacts</w:t>
      </w:r>
      <w:r w:rsidRPr="0016266C">
        <w:t xml:space="preserve"> </w:t>
      </w:r>
      <w:r w:rsidR="00E81D65" w:rsidRPr="0016266C">
        <w:t xml:space="preserve">and </w:t>
      </w:r>
      <w:r w:rsidRPr="0016266C">
        <w:t>their effectiveness in supporting higher retirement incomes</w:t>
      </w:r>
      <w:r w:rsidR="000F24CB" w:rsidRPr="0016266C">
        <w:t>,</w:t>
      </w:r>
      <w:r w:rsidRPr="0016266C">
        <w:t xml:space="preserve"> </w:t>
      </w:r>
      <w:r w:rsidR="004848B3" w:rsidRPr="0016266C">
        <w:t xml:space="preserve">as well as their </w:t>
      </w:r>
      <w:r w:rsidRPr="0016266C">
        <w:t>complexity</w:t>
      </w:r>
      <w:r w:rsidR="00E0521E" w:rsidRPr="0016266C">
        <w:t xml:space="preserve">. </w:t>
      </w:r>
      <w:r w:rsidR="00130A29" w:rsidRPr="0016266C">
        <w:t xml:space="preserve">The Financial System Inquiry </w:t>
      </w:r>
      <w:r w:rsidR="00AD3660" w:rsidRPr="0016266C">
        <w:t xml:space="preserve">made observations relating to the differential </w:t>
      </w:r>
      <w:r w:rsidR="00130A29" w:rsidRPr="0016266C">
        <w:t>earnings tax rate</w:t>
      </w:r>
      <w:r w:rsidR="00FE4DD6" w:rsidRPr="0016266C">
        <w:t xml:space="preserve"> across the accumulation and retirement phases,</w:t>
      </w:r>
      <w:r w:rsidR="00FF5535" w:rsidRPr="0016266C">
        <w:t xml:space="preserve"> as well as</w:t>
      </w:r>
      <w:r w:rsidR="00AD3660" w:rsidRPr="0016266C">
        <w:t xml:space="preserve"> the</w:t>
      </w:r>
      <w:r w:rsidR="00FE4DD6" w:rsidRPr="0016266C">
        <w:t xml:space="preserve"> target</w:t>
      </w:r>
      <w:r w:rsidR="00AD3660" w:rsidRPr="0016266C">
        <w:t>ing of</w:t>
      </w:r>
      <w:r w:rsidR="00FE4DD6" w:rsidRPr="0016266C">
        <w:t xml:space="preserve"> superannuation tax concessions</w:t>
      </w:r>
      <w:r w:rsidR="00130A29" w:rsidRPr="0016266C">
        <w:t>.</w:t>
      </w:r>
      <w:r w:rsidR="00130A29" w:rsidRPr="0016266C">
        <w:rPr>
          <w:rStyle w:val="FootnoteReference"/>
        </w:rPr>
        <w:footnoteReference w:id="24"/>
      </w:r>
      <w:r w:rsidR="00AD3660" w:rsidRPr="0016266C">
        <w:t xml:space="preserve"> The Government has indicated these will be considered as part of the </w:t>
      </w:r>
      <w:r w:rsidR="00710487" w:rsidRPr="0016266C">
        <w:t>T</w:t>
      </w:r>
      <w:r w:rsidR="00AD3660" w:rsidRPr="0016266C">
        <w:t>ax</w:t>
      </w:r>
      <w:r w:rsidR="00E617FB" w:rsidRPr="0016266C">
        <w:t> </w:t>
      </w:r>
      <w:r w:rsidR="00AD3660" w:rsidRPr="0016266C">
        <w:t xml:space="preserve">White Paper process. </w:t>
      </w:r>
    </w:p>
    <w:p w14:paraId="4BA0105D" w14:textId="2ED7A9B5" w:rsidR="001730E1" w:rsidRPr="0016266C" w:rsidRDefault="001730E1" w:rsidP="001730E1">
      <w:pPr>
        <w:pStyle w:val="Heading4"/>
      </w:pPr>
      <w:bookmarkStart w:id="142" w:name="_Toc404348023"/>
      <w:r w:rsidRPr="0016266C">
        <w:t>Issues associated with differential treatment of superannuation earnings</w:t>
      </w:r>
      <w:bookmarkEnd w:id="142"/>
    </w:p>
    <w:p w14:paraId="56A09FC4" w14:textId="7471C31F" w:rsidR="001730E1" w:rsidRPr="0016266C" w:rsidRDefault="001730E1" w:rsidP="001730E1">
      <w:r w:rsidRPr="0016266C">
        <w:t>The different rates of tax on earnings in the pre</w:t>
      </w:r>
      <w:r w:rsidR="00292115">
        <w:noBreakHyphen/>
      </w:r>
      <w:r w:rsidRPr="0016266C">
        <w:t xml:space="preserve"> and post</w:t>
      </w:r>
      <w:r w:rsidR="00292115">
        <w:noBreakHyphen/>
      </w:r>
      <w:r w:rsidRPr="0016266C">
        <w:t>retirement phases add costs to the operation of the superannuation system</w:t>
      </w:r>
      <w:r w:rsidR="00E0521E" w:rsidRPr="0016266C">
        <w:t xml:space="preserve">. </w:t>
      </w:r>
      <w:r w:rsidRPr="0016266C">
        <w:t>They also give rise to tax planning opportunities that</w:t>
      </w:r>
      <w:r w:rsidR="006325B2">
        <w:t xml:space="preserve"> </w:t>
      </w:r>
      <w:r w:rsidR="00C75A6B">
        <w:t>are</w:t>
      </w:r>
      <w:r w:rsidR="00C75A6B" w:rsidRPr="0016266C">
        <w:t xml:space="preserve"> usually</w:t>
      </w:r>
      <w:r w:rsidR="00FC63DD" w:rsidRPr="0016266C">
        <w:t xml:space="preserve"> more accessible to</w:t>
      </w:r>
      <w:r w:rsidRPr="0016266C">
        <w:t xml:space="preserve"> high income earners</w:t>
      </w:r>
      <w:r w:rsidR="00E0521E" w:rsidRPr="0016266C">
        <w:t xml:space="preserve">. </w:t>
      </w:r>
      <w:r w:rsidRPr="0016266C">
        <w:t>For example, it may be possible to delay realisation of a capital gain until the post</w:t>
      </w:r>
      <w:r w:rsidR="00292115">
        <w:noBreakHyphen/>
      </w:r>
      <w:r w:rsidRPr="0016266C">
        <w:t xml:space="preserve">retirement phase so that no </w:t>
      </w:r>
      <w:r w:rsidR="007146D2" w:rsidRPr="0016266C">
        <w:t>CGT</w:t>
      </w:r>
      <w:r w:rsidRPr="0016266C">
        <w:t xml:space="preserve"> is payable</w:t>
      </w:r>
      <w:r w:rsidR="00E0521E" w:rsidRPr="0016266C">
        <w:t xml:space="preserve">. </w:t>
      </w:r>
      <w:r w:rsidRPr="0016266C">
        <w:t>Further</w:t>
      </w:r>
      <w:r w:rsidR="006325B2">
        <w:t>more</w:t>
      </w:r>
      <w:r w:rsidRPr="0016266C">
        <w:t>, it may also complicate the development of retirement income products.</w:t>
      </w:r>
    </w:p>
    <w:p w14:paraId="6B1E1631" w14:textId="150E9107" w:rsidR="00291D28" w:rsidRPr="0016266C" w:rsidRDefault="001730E1" w:rsidP="003F60FF">
      <w:r w:rsidRPr="0016266C">
        <w:t>With Australia</w:t>
      </w:r>
      <w:r w:rsidR="00292115">
        <w:t>’</w:t>
      </w:r>
      <w:r w:rsidRPr="0016266C">
        <w:t>s ageing population, more individuals will enter the retirement phase where no tax is paid on earnings in superannuation funds</w:t>
      </w:r>
      <w:r w:rsidR="00E0521E" w:rsidRPr="0016266C">
        <w:t xml:space="preserve">. </w:t>
      </w:r>
      <w:r w:rsidRPr="0016266C">
        <w:t>This will put pressure on the long</w:t>
      </w:r>
      <w:r w:rsidR="00292115">
        <w:noBreakHyphen/>
      </w:r>
      <w:r w:rsidRPr="0016266C">
        <w:t>term sustainability of the superannuation tax arrangements, particularly given other long</w:t>
      </w:r>
      <w:r w:rsidR="00292115">
        <w:noBreakHyphen/>
      </w:r>
      <w:r w:rsidRPr="0016266C">
        <w:t>term budgetary pressures as the population ages, such as calls for higher spending on health and aged care, and relatively lower revenue from personal income taxes.</w:t>
      </w:r>
    </w:p>
    <w:p w14:paraId="7C463688" w14:textId="5B720867" w:rsidR="00D63D8B" w:rsidRPr="0016266C" w:rsidRDefault="00D63D8B" w:rsidP="00E076B9">
      <w:pPr>
        <w:pStyle w:val="Heading4"/>
      </w:pPr>
      <w:bookmarkStart w:id="143" w:name="_Toc404348024"/>
      <w:r w:rsidRPr="0016266C">
        <w:lastRenderedPageBreak/>
        <w:t>Issues with the distributional effects of superannuation</w:t>
      </w:r>
      <w:bookmarkEnd w:id="130"/>
      <w:bookmarkEnd w:id="131"/>
      <w:bookmarkEnd w:id="132"/>
      <w:bookmarkEnd w:id="133"/>
      <w:bookmarkEnd w:id="134"/>
      <w:bookmarkEnd w:id="135"/>
      <w:bookmarkEnd w:id="136"/>
      <w:bookmarkEnd w:id="137"/>
      <w:bookmarkEnd w:id="138"/>
      <w:bookmarkEnd w:id="139"/>
      <w:bookmarkEnd w:id="140"/>
      <w:bookmarkEnd w:id="141"/>
      <w:bookmarkEnd w:id="143"/>
    </w:p>
    <w:p w14:paraId="2CA6EC6E" w14:textId="400005ED" w:rsidR="00291D28" w:rsidRPr="0016266C" w:rsidRDefault="00D63D8B" w:rsidP="00D63D8B">
      <w:pPr>
        <w:rPr>
          <w:rFonts w:cstheme="minorHAnsi"/>
          <w:b/>
          <w:sz w:val="20"/>
        </w:rPr>
      </w:pPr>
      <w:r w:rsidRPr="0016266C">
        <w:t xml:space="preserve">The flat rate of tax on superannuation contributions means that </w:t>
      </w:r>
      <w:r w:rsidR="00AD72AB" w:rsidRPr="0016266C">
        <w:t xml:space="preserve">most </w:t>
      </w:r>
      <w:r w:rsidRPr="0016266C">
        <w:t>high income people receive a larger tax concession</w:t>
      </w:r>
      <w:r w:rsidR="005C7E12" w:rsidRPr="0016266C">
        <w:t>, relative to their marginal tax rate,</w:t>
      </w:r>
      <w:r w:rsidR="002636E7" w:rsidRPr="0016266C">
        <w:t xml:space="preserve"> </w:t>
      </w:r>
      <w:r w:rsidRPr="0016266C">
        <w:t>than low income people</w:t>
      </w:r>
      <w:r w:rsidR="007B0C4E" w:rsidRPr="0016266C">
        <w:t>.</w:t>
      </w:r>
      <w:r w:rsidR="00AA3BEA" w:rsidRPr="0016266C">
        <w:t xml:space="preserve"> </w:t>
      </w:r>
      <w:r w:rsidR="005C7E12" w:rsidRPr="0016266C">
        <w:t>The same is true during the accumulation phase and even more so during the retirement phase when there is no tax on</w:t>
      </w:r>
      <w:r w:rsidR="008D5066" w:rsidRPr="0016266C">
        <w:t xml:space="preserve"> earnings</w:t>
      </w:r>
      <w:r w:rsidR="00AE61CA" w:rsidRPr="0016266C">
        <w:t xml:space="preserve">. </w:t>
      </w:r>
    </w:p>
    <w:p w14:paraId="4CAC4FA1" w14:textId="02BA0895" w:rsidR="001730E1" w:rsidRPr="0016266C" w:rsidRDefault="001730E1" w:rsidP="003F60FF">
      <w:pPr>
        <w:pStyle w:val="Heading4"/>
      </w:pPr>
      <w:bookmarkStart w:id="144" w:name="_Toc404348025"/>
      <w:r w:rsidRPr="0016266C">
        <w:t xml:space="preserve">Overall </w:t>
      </w:r>
      <w:r w:rsidR="00710487" w:rsidRPr="0016266C">
        <w:t>g</w:t>
      </w:r>
      <w:r w:rsidRPr="0016266C">
        <w:t>overnment assistance for retirement</w:t>
      </w:r>
      <w:bookmarkEnd w:id="144"/>
    </w:p>
    <w:p w14:paraId="6AE600B9" w14:textId="73B29758" w:rsidR="00B61561" w:rsidRPr="008C26F6" w:rsidRDefault="00701B26" w:rsidP="008F1905">
      <w:r w:rsidRPr="0016266C">
        <w:t>S</w:t>
      </w:r>
      <w:r w:rsidR="00CB1491" w:rsidRPr="0016266C">
        <w:t>uperannuation is only one pillar of Australia</w:t>
      </w:r>
      <w:r w:rsidR="00292115">
        <w:t>’</w:t>
      </w:r>
      <w:r w:rsidR="00CB1491" w:rsidRPr="0016266C">
        <w:t>s retirement income system</w:t>
      </w:r>
      <w:r w:rsidR="00E0521E" w:rsidRPr="0016266C">
        <w:t xml:space="preserve">. </w:t>
      </w:r>
      <w:r w:rsidR="00B61378" w:rsidRPr="0016266C">
        <w:t>T</w:t>
      </w:r>
      <w:r w:rsidR="00CB1491" w:rsidRPr="0016266C">
        <w:t>he Government also provides assistance for retirement through the</w:t>
      </w:r>
      <w:r w:rsidR="002B2C41" w:rsidRPr="0016266C">
        <w:t xml:space="preserve"> means tested</w:t>
      </w:r>
      <w:r w:rsidR="00CB1491" w:rsidRPr="0016266C">
        <w:t xml:space="preserve"> Age Pension</w:t>
      </w:r>
      <w:r w:rsidR="00951D4A" w:rsidRPr="0016266C">
        <w:t xml:space="preserve"> which ensures that all </w:t>
      </w:r>
      <w:r w:rsidR="00951D4A" w:rsidRPr="008C26F6">
        <w:t>Australians receive a minimum level of income through their retirement</w:t>
      </w:r>
      <w:r w:rsidR="00CB1491" w:rsidRPr="008C26F6">
        <w:t>.</w:t>
      </w:r>
    </w:p>
    <w:p w14:paraId="44C7CC1F" w14:textId="66A5E2FD" w:rsidR="001D21E2" w:rsidRPr="008C26F6" w:rsidRDefault="00FC7702" w:rsidP="00D63D8B">
      <w:r w:rsidRPr="008C26F6">
        <w:t>As at 30 June 2013</w:t>
      </w:r>
      <w:r w:rsidR="00741BC0" w:rsidRPr="008C26F6">
        <w:t>, there</w:t>
      </w:r>
      <w:r w:rsidRPr="008C26F6">
        <w:t xml:space="preserve"> were 1.39</w:t>
      </w:r>
      <w:r w:rsidR="00741BC0" w:rsidRPr="008C26F6">
        <w:t xml:space="preserve"> million people receiving the full</w:t>
      </w:r>
      <w:r w:rsidR="00292115">
        <w:noBreakHyphen/>
      </w:r>
      <w:r w:rsidR="00FC63DD" w:rsidRPr="008C26F6">
        <w:t xml:space="preserve">rate </w:t>
      </w:r>
      <w:r w:rsidR="00741BC0" w:rsidRPr="008C26F6">
        <w:t>Age Pension</w:t>
      </w:r>
      <w:r w:rsidRPr="008C26F6">
        <w:t xml:space="preserve"> 960</w:t>
      </w:r>
      <w:r w:rsidR="00741BC0" w:rsidRPr="008C26F6">
        <w:t>,000 receiving a part</w:t>
      </w:r>
      <w:r w:rsidR="00292115">
        <w:noBreakHyphen/>
      </w:r>
      <w:r w:rsidR="00FC63DD" w:rsidRPr="008C26F6">
        <w:t xml:space="preserve">rate </w:t>
      </w:r>
      <w:r w:rsidR="00741BC0" w:rsidRPr="008C26F6">
        <w:t>Age Pension</w:t>
      </w:r>
      <w:r w:rsidR="0017622A" w:rsidRPr="008C26F6">
        <w:t xml:space="preserve"> (partly self</w:t>
      </w:r>
      <w:r w:rsidR="00292115">
        <w:noBreakHyphen/>
      </w:r>
      <w:r w:rsidR="0017622A" w:rsidRPr="008C26F6">
        <w:t>funded)</w:t>
      </w:r>
      <w:r w:rsidR="00741BC0" w:rsidRPr="008C26F6">
        <w:t>, an</w:t>
      </w:r>
      <w:r w:rsidR="00C7561F" w:rsidRPr="008C26F6">
        <w:t>d almost 250,000</w:t>
      </w:r>
      <w:r w:rsidR="00CE49CA" w:rsidRPr="008C26F6">
        <w:t> </w:t>
      </w:r>
      <w:r w:rsidR="00C7561F" w:rsidRPr="008C26F6">
        <w:t xml:space="preserve">individuals </w:t>
      </w:r>
      <w:r w:rsidR="00066BFE" w:rsidRPr="008C26F6">
        <w:t xml:space="preserve">aged </w:t>
      </w:r>
      <w:r w:rsidR="00C7561F" w:rsidRPr="008C26F6">
        <w:t>65 </w:t>
      </w:r>
      <w:r w:rsidR="00741BC0" w:rsidRPr="008C26F6">
        <w:t xml:space="preserve">years and over on some other </w:t>
      </w:r>
      <w:r w:rsidR="00FE4DD6" w:rsidRPr="008C26F6">
        <w:t xml:space="preserve">pension </w:t>
      </w:r>
      <w:r w:rsidR="00741BC0" w:rsidRPr="008C26F6">
        <w:t>payment</w:t>
      </w:r>
      <w:r w:rsidR="0017622A" w:rsidRPr="008C26F6">
        <w:t>,</w:t>
      </w:r>
      <w:r w:rsidR="00741BC0" w:rsidRPr="008C26F6">
        <w:t xml:space="preserve"> such as the Service Pension, Disability Support Pension or Carer Payment</w:t>
      </w:r>
      <w:r w:rsidR="00E0521E" w:rsidRPr="008C26F6">
        <w:t xml:space="preserve">. </w:t>
      </w:r>
      <w:r w:rsidR="00743E22" w:rsidRPr="008C26F6">
        <w:t>A</w:t>
      </w:r>
      <w:r w:rsidR="00741BC0" w:rsidRPr="008C26F6">
        <w:t>round</w:t>
      </w:r>
      <w:r w:rsidR="00743E22" w:rsidRPr="008C26F6">
        <w:t xml:space="preserve"> another</w:t>
      </w:r>
      <w:r w:rsidRPr="008C26F6">
        <w:t xml:space="preserve"> 76</w:t>
      </w:r>
      <w:r w:rsidR="00741BC0" w:rsidRPr="008C26F6">
        <w:t xml:space="preserve">0,000 individuals </w:t>
      </w:r>
      <w:r w:rsidR="0017622A" w:rsidRPr="008C26F6">
        <w:t xml:space="preserve">aged </w:t>
      </w:r>
      <w:r w:rsidR="00741BC0" w:rsidRPr="008C26F6">
        <w:t>65</w:t>
      </w:r>
      <w:r w:rsidR="00743E22" w:rsidRPr="008C26F6">
        <w:t> </w:t>
      </w:r>
      <w:r w:rsidR="00741BC0" w:rsidRPr="008C26F6">
        <w:t>years and over were self</w:t>
      </w:r>
      <w:r w:rsidR="00292115">
        <w:noBreakHyphen/>
      </w:r>
      <w:r w:rsidR="00741BC0" w:rsidRPr="008C26F6">
        <w:t>funded</w:t>
      </w:r>
      <w:r w:rsidR="0017622A" w:rsidRPr="008C26F6">
        <w:t xml:space="preserve"> and/or still employed</w:t>
      </w:r>
      <w:r w:rsidRPr="008C26F6">
        <w:t>, of which almost 290</w:t>
      </w:r>
      <w:r w:rsidR="00741BC0" w:rsidRPr="008C26F6">
        <w:t>,000 were in receipt of the Commonwealth Seniors Health Card</w:t>
      </w:r>
      <w:r w:rsidR="00AC6116" w:rsidRPr="008C26F6">
        <w:t>.</w:t>
      </w:r>
      <w:r w:rsidR="00D04A55" w:rsidRPr="008C26F6">
        <w:rPr>
          <w:rStyle w:val="FootnoteReference"/>
        </w:rPr>
        <w:footnoteReference w:id="25"/>
      </w:r>
      <w:r w:rsidR="00E0521E" w:rsidRPr="008C26F6">
        <w:t xml:space="preserve"> </w:t>
      </w:r>
    </w:p>
    <w:p w14:paraId="2C0A21C8" w14:textId="121DC72A" w:rsidR="00BA1240" w:rsidRPr="008C26F6" w:rsidRDefault="00BA1240" w:rsidP="00D63D8B">
      <w:r w:rsidRPr="008C26F6">
        <w:t>Age Pensioners receive income support through the base rate of the Age Pension and through supplements and other non</w:t>
      </w:r>
      <w:r w:rsidR="00292115">
        <w:noBreakHyphen/>
      </w:r>
      <w:r w:rsidRPr="008C26F6">
        <w:t>cash concessions</w:t>
      </w:r>
      <w:r w:rsidR="00AE61CA" w:rsidRPr="008C26F6">
        <w:t xml:space="preserve">. </w:t>
      </w:r>
      <w:r w:rsidRPr="008C26F6">
        <w:t xml:space="preserve">For </w:t>
      </w:r>
      <w:r w:rsidR="00292115">
        <w:t>example, a single full rate Age </w:t>
      </w:r>
      <w:r w:rsidRPr="008C26F6">
        <w:t>Pensioner may currently</w:t>
      </w:r>
      <w:r w:rsidR="006C14F0" w:rsidRPr="008C26F6">
        <w:t xml:space="preserve"> receive a total payment of $860.2</w:t>
      </w:r>
      <w:r w:rsidRPr="008C26F6">
        <w:t>0 p</w:t>
      </w:r>
      <w:r w:rsidR="00EC1A7F" w:rsidRPr="008C26F6">
        <w:t>er fortnight, which comprises a </w:t>
      </w:r>
      <w:r w:rsidR="006C14F0" w:rsidRPr="008C26F6">
        <w:t>base rate pension of $782.20</w:t>
      </w:r>
      <w:r w:rsidRPr="008C26F6">
        <w:t xml:space="preserve"> per fortnight, as well </w:t>
      </w:r>
      <w:r w:rsidR="006C14F0" w:rsidRPr="008C26F6">
        <w:t>as a Pension Supplement of</w:t>
      </w:r>
      <w:r w:rsidR="00292115">
        <w:t> </w:t>
      </w:r>
      <w:r w:rsidR="006C14F0" w:rsidRPr="008C26F6">
        <w:t>$63.9</w:t>
      </w:r>
      <w:r w:rsidRPr="008C26F6">
        <w:t>0</w:t>
      </w:r>
      <w:r w:rsidR="00066BFE" w:rsidRPr="008C26F6">
        <w:t> </w:t>
      </w:r>
      <w:r w:rsidRPr="008C26F6">
        <w:t>per</w:t>
      </w:r>
      <w:r w:rsidR="00066BFE" w:rsidRPr="008C26F6">
        <w:t> </w:t>
      </w:r>
      <w:r w:rsidRPr="008C26F6">
        <w:t>fortnight and an Energy Supplement of $14.10 per fortnight</w:t>
      </w:r>
      <w:r w:rsidR="00AE61CA" w:rsidRPr="008C26F6">
        <w:t xml:space="preserve">. </w:t>
      </w:r>
      <w:r w:rsidRPr="008C26F6">
        <w:t>In addition to these cash payments, Age Pensioners may also be eligible for in</w:t>
      </w:r>
      <w:r w:rsidR="00292115">
        <w:noBreakHyphen/>
      </w:r>
      <w:r w:rsidRPr="008C26F6">
        <w:t>kind benefits, including the Pensioner Concession Card which entitles the holder to a range of concessions including cheaper medicines and discounts on utilities, council rates and public transport. The Government also provides generous subsidies for residential aged care, targeted at low</w:t>
      </w:r>
      <w:r w:rsidR="00292115">
        <w:noBreakHyphen/>
      </w:r>
      <w:r w:rsidRPr="008C26F6">
        <w:t xml:space="preserve">income earners. </w:t>
      </w:r>
    </w:p>
    <w:p w14:paraId="3979FA88" w14:textId="50852B16" w:rsidR="008D5066" w:rsidRPr="008C26F6" w:rsidRDefault="008D5066" w:rsidP="008D5066">
      <w:r w:rsidRPr="008C26F6">
        <w:t>Most middle</w:t>
      </w:r>
      <w:r w:rsidR="00292115">
        <w:noBreakHyphen/>
      </w:r>
      <w:r w:rsidRPr="008C26F6">
        <w:t>income individuals will also receive a tax discount relative to their marginal tax rate o</w:t>
      </w:r>
      <w:r w:rsidR="00EC1A7F" w:rsidRPr="008C26F6">
        <w:t xml:space="preserve">n their superannuation savings. </w:t>
      </w:r>
      <w:r w:rsidRPr="008C26F6">
        <w:t>Over time, the proportion of pensioners receiving a full</w:t>
      </w:r>
      <w:r w:rsidR="00292115">
        <w:noBreakHyphen/>
      </w:r>
      <w:r w:rsidRPr="008C26F6">
        <w:t>rate of Age Pension is expected to decline, and superannuation balances for</w:t>
      </w:r>
      <w:r w:rsidR="00E617FB" w:rsidRPr="008C26F6">
        <w:t> </w:t>
      </w:r>
      <w:r w:rsidRPr="008C26F6">
        <w:t>low</w:t>
      </w:r>
      <w:r w:rsidR="00292115">
        <w:noBreakHyphen/>
      </w:r>
      <w:r w:rsidRPr="008C26F6">
        <w:t xml:space="preserve"> and middle</w:t>
      </w:r>
      <w:r w:rsidR="00292115">
        <w:noBreakHyphen/>
      </w:r>
      <w:r w:rsidRPr="008C26F6">
        <w:t>income</w:t>
      </w:r>
      <w:r w:rsidR="00AC6116" w:rsidRPr="008C26F6">
        <w:t xml:space="preserve"> earners will make</w:t>
      </w:r>
      <w:r w:rsidR="00FC63DD" w:rsidRPr="008C26F6">
        <w:t xml:space="preserve"> </w:t>
      </w:r>
      <w:r w:rsidR="00AC6116" w:rsidRPr="008C26F6">
        <w:t>up</w:t>
      </w:r>
      <w:r w:rsidRPr="008C26F6">
        <w:t xml:space="preserve"> a larger part of their retirement income</w:t>
      </w:r>
      <w:r w:rsidR="00AC6116" w:rsidRPr="008C26F6">
        <w:t>s</w:t>
      </w:r>
      <w:r w:rsidRPr="008C26F6">
        <w:t>.</w:t>
      </w:r>
    </w:p>
    <w:p w14:paraId="552688CF" w14:textId="14350070" w:rsidR="008D5066" w:rsidRPr="008C26F6" w:rsidRDefault="008D5066" w:rsidP="00D63D8B">
      <w:r w:rsidRPr="008C26F6">
        <w:t xml:space="preserve">Individuals on high incomes will </w:t>
      </w:r>
      <w:r w:rsidR="00AD3660" w:rsidRPr="008C26F6">
        <w:t xml:space="preserve">generally </w:t>
      </w:r>
      <w:r w:rsidRPr="008C26F6">
        <w:t>receive minimal or no Age Pension</w:t>
      </w:r>
      <w:r w:rsidR="00066BFE" w:rsidRPr="008C26F6">
        <w:t>,</w:t>
      </w:r>
      <w:r w:rsidRPr="008C26F6">
        <w:t xml:space="preserve"> given it is subject to income and asset t</w:t>
      </w:r>
      <w:r w:rsidR="004A7BB0" w:rsidRPr="008C26F6">
        <w:t>ests.</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4A7BB0" w:rsidRPr="0016266C" w14:paraId="530C9BF6" w14:textId="77777777" w:rsidTr="00094A69">
        <w:tc>
          <w:tcPr>
            <w:tcW w:w="9384" w:type="dxa"/>
          </w:tcPr>
          <w:p w14:paraId="2A80422C" w14:textId="25C81C16" w:rsidR="004A7BB0" w:rsidRPr="008C26F6" w:rsidRDefault="004A7BB0" w:rsidP="004A7BB0">
            <w:pPr>
              <w:pStyle w:val="Questionheading"/>
              <w:spacing w:before="40"/>
              <w:ind w:right="113"/>
            </w:pPr>
            <w:r w:rsidRPr="008C26F6">
              <w:t xml:space="preserve">Discussion questions: </w:t>
            </w:r>
          </w:p>
          <w:p w14:paraId="214AF102" w14:textId="52C9DC64" w:rsidR="004A7BB0" w:rsidRPr="008C26F6" w:rsidRDefault="004A7BB0" w:rsidP="00E617FB">
            <w:pPr>
              <w:pStyle w:val="Questiontext"/>
              <w:ind w:left="426" w:right="113" w:hanging="426"/>
            </w:pPr>
            <w:r w:rsidRPr="008C26F6">
              <w:t>How appropriate are the tax arrangements for superannuation in terms of their fairness and complexity? How could they be improved?</w:t>
            </w:r>
          </w:p>
        </w:tc>
      </w:tr>
    </w:tbl>
    <w:p w14:paraId="0FB785DC" w14:textId="6740C8BD" w:rsidR="00E076B9" w:rsidRPr="0016266C" w:rsidRDefault="00C8685E" w:rsidP="00AE61CA">
      <w:pPr>
        <w:pStyle w:val="Heading2"/>
        <w:rPr>
          <w:rFonts w:eastAsiaTheme="minorHAnsi"/>
        </w:rPr>
      </w:pPr>
      <w:bookmarkStart w:id="145" w:name="_Toc402326872"/>
      <w:bookmarkStart w:id="146" w:name="_Toc402333524"/>
      <w:bookmarkStart w:id="147" w:name="_Toc402340300"/>
      <w:bookmarkStart w:id="148" w:name="_Toc402343395"/>
      <w:bookmarkStart w:id="149" w:name="_Toc402346631"/>
      <w:bookmarkStart w:id="150" w:name="_Toc402349088"/>
      <w:bookmarkStart w:id="151" w:name="_Toc402350617"/>
      <w:bookmarkStart w:id="152" w:name="_Toc402353638"/>
      <w:bookmarkStart w:id="153" w:name="_Toc402368756"/>
      <w:bookmarkStart w:id="154" w:name="_Toc402369842"/>
      <w:bookmarkStart w:id="155" w:name="_Toc402370507"/>
      <w:bookmarkStart w:id="156" w:name="_Toc402371454"/>
      <w:bookmarkStart w:id="157" w:name="_Toc404348026"/>
      <w:r w:rsidRPr="0016266C">
        <w:lastRenderedPageBreak/>
        <w:t>Alternative</w:t>
      </w:r>
      <w:r w:rsidR="00311FA9" w:rsidRPr="0016266C">
        <w:t xml:space="preserve"> approaches to taxing </w:t>
      </w:r>
      <w:r w:rsidR="00FC63DD" w:rsidRPr="0016266C">
        <w:t xml:space="preserve">income from </w:t>
      </w:r>
      <w:r w:rsidR="00311FA9" w:rsidRPr="0016266C">
        <w:t>saving</w:t>
      </w:r>
      <w:bookmarkEnd w:id="145"/>
      <w:bookmarkEnd w:id="146"/>
      <w:bookmarkEnd w:id="147"/>
      <w:bookmarkEnd w:id="148"/>
      <w:bookmarkEnd w:id="149"/>
      <w:bookmarkEnd w:id="150"/>
      <w:bookmarkEnd w:id="151"/>
      <w:bookmarkEnd w:id="152"/>
      <w:bookmarkEnd w:id="153"/>
      <w:bookmarkEnd w:id="154"/>
      <w:bookmarkEnd w:id="155"/>
      <w:bookmarkEnd w:id="156"/>
      <w:bookmarkEnd w:id="157"/>
      <w:r w:rsidR="008F1905" w:rsidRPr="0016266C">
        <w:t>s</w:t>
      </w:r>
      <w:r w:rsidR="00D63D8B" w:rsidRPr="0016266C">
        <w:rPr>
          <w:rFonts w:eastAsiaTheme="minorHAnsi"/>
        </w:rPr>
        <w:t xml:space="preserve"> </w:t>
      </w:r>
    </w:p>
    <w:p w14:paraId="0E97125B" w14:textId="473821E6" w:rsidR="00D63D8B" w:rsidRPr="0016266C" w:rsidRDefault="00D63D8B" w:rsidP="00D63D8B">
      <w:r w:rsidRPr="0016266C">
        <w:t>In the past, suggestions have been made for broad</w:t>
      </w:r>
      <w:r w:rsidR="00292115">
        <w:noBreakHyphen/>
      </w:r>
      <w:r w:rsidRPr="0016266C">
        <w:t>based</w:t>
      </w:r>
      <w:r w:rsidR="008C4195" w:rsidRPr="0016266C">
        <w:t>,</w:t>
      </w:r>
      <w:r w:rsidRPr="0016266C">
        <w:t xml:space="preserve"> </w:t>
      </w:r>
      <w:r w:rsidR="008C4195" w:rsidRPr="0016266C">
        <w:t xml:space="preserve">lower rates of tax on </w:t>
      </w:r>
      <w:r w:rsidR="00FC63DD" w:rsidRPr="0016266C">
        <w:t xml:space="preserve">income from </w:t>
      </w:r>
      <w:r w:rsidRPr="0016266C">
        <w:t>savings (with separate arrangements for owner</w:t>
      </w:r>
      <w:r w:rsidR="00292115">
        <w:noBreakHyphen/>
      </w:r>
      <w:r w:rsidRPr="0016266C">
        <w:t>occupied housing and superannuation)</w:t>
      </w:r>
      <w:r w:rsidR="00E0521E" w:rsidRPr="0016266C">
        <w:t xml:space="preserve">. </w:t>
      </w:r>
      <w:r w:rsidRPr="0016266C">
        <w:t xml:space="preserve">The objective of these arrangements </w:t>
      </w:r>
      <w:r w:rsidR="00743E22" w:rsidRPr="0016266C">
        <w:t>is</w:t>
      </w:r>
      <w:r w:rsidRPr="0016266C">
        <w:t xml:space="preserve"> to achieve a more neutral treatment of savings vehicles </w:t>
      </w:r>
      <w:r w:rsidR="00066BFE" w:rsidRPr="0016266C">
        <w:t xml:space="preserve">leading </w:t>
      </w:r>
      <w:r w:rsidRPr="0016266C">
        <w:t>to a better allocation of domestic saving.</w:t>
      </w:r>
    </w:p>
    <w:p w14:paraId="54A7E0D5" w14:textId="30EEA2C9" w:rsidR="00D63D8B" w:rsidRPr="0016266C" w:rsidRDefault="00D63D8B" w:rsidP="00D63D8B">
      <w:r w:rsidRPr="0016266C">
        <w:t xml:space="preserve">As an example, </w:t>
      </w:r>
      <w:r w:rsidR="003369F8" w:rsidRPr="0016266C">
        <w:t>the Australia</w:t>
      </w:r>
      <w:r w:rsidR="00292115">
        <w:t>’</w:t>
      </w:r>
      <w:r w:rsidR="003369F8" w:rsidRPr="0016266C">
        <w:t>s Future Tax System report</w:t>
      </w:r>
      <w:r w:rsidR="00071A5B" w:rsidRPr="0016266C">
        <w:t xml:space="preserve"> </w:t>
      </w:r>
      <w:r w:rsidRPr="0016266C">
        <w:t>recommended providing a 40</w:t>
      </w:r>
      <w:r w:rsidR="00066BFE" w:rsidRPr="0016266C">
        <w:t> </w:t>
      </w:r>
      <w:r w:rsidRPr="0016266C">
        <w:t>per</w:t>
      </w:r>
      <w:r w:rsidR="00066BFE" w:rsidRPr="0016266C">
        <w:t> </w:t>
      </w:r>
      <w:r w:rsidRPr="0016266C">
        <w:t>cent savings income discount to individuals for non</w:t>
      </w:r>
      <w:r w:rsidR="00292115">
        <w:noBreakHyphen/>
      </w:r>
      <w:r w:rsidRPr="0016266C">
        <w:t>business</w:t>
      </w:r>
      <w:r w:rsidR="00066BFE" w:rsidRPr="0016266C">
        <w:t xml:space="preserve"> </w:t>
      </w:r>
      <w:r w:rsidRPr="0016266C">
        <w:t>related interest income; residential rental income (including related interest expenses); capital gains (and losses); and interest expenses related to listed shares.</w:t>
      </w:r>
      <w:r w:rsidR="005B4FC7" w:rsidRPr="0016266C">
        <w:rPr>
          <w:rStyle w:val="FootnoteReference"/>
        </w:rPr>
        <w:footnoteReference w:id="26"/>
      </w:r>
      <w:r w:rsidRPr="0016266C">
        <w:t xml:space="preserve"> </w:t>
      </w:r>
    </w:p>
    <w:p w14:paraId="476938ED" w14:textId="2F53B98F" w:rsidR="00E15BA9" w:rsidRPr="0016266C" w:rsidRDefault="00D63D8B" w:rsidP="00D63D8B">
      <w:r w:rsidRPr="0016266C">
        <w:t>In contrast, some countries adopt a</w:t>
      </w:r>
      <w:r w:rsidR="00E15BA9" w:rsidRPr="0016266C">
        <w:t xml:space="preserve"> </w:t>
      </w:r>
      <w:r w:rsidR="00004F60" w:rsidRPr="0016266C">
        <w:t>schedula</w:t>
      </w:r>
      <w:r w:rsidR="001425C5" w:rsidRPr="0016266C">
        <w:t>r</w:t>
      </w:r>
      <w:r w:rsidR="00E33965" w:rsidRPr="0016266C">
        <w:t xml:space="preserve"> system</w:t>
      </w:r>
      <w:r w:rsidRPr="0016266C">
        <w:t xml:space="preserve"> </w:t>
      </w:r>
      <w:r w:rsidR="00AC3B78" w:rsidRPr="0016266C">
        <w:t>under which</w:t>
      </w:r>
      <w:r w:rsidRPr="0016266C">
        <w:t xml:space="preserve"> various types of income from savings are taxed separately to other income, and are taxed at relatively low</w:t>
      </w:r>
      <w:r w:rsidR="003A24D3" w:rsidRPr="0016266C">
        <w:t>,</w:t>
      </w:r>
      <w:r w:rsidRPr="0016266C">
        <w:t xml:space="preserve"> flat rates</w:t>
      </w:r>
      <w:r w:rsidR="00E0521E" w:rsidRPr="0016266C">
        <w:t xml:space="preserve">. </w:t>
      </w:r>
      <w:r w:rsidR="00E33965" w:rsidRPr="0016266C">
        <w:t xml:space="preserve">One type of </w:t>
      </w:r>
      <w:r w:rsidR="00004F60" w:rsidRPr="0016266C">
        <w:t>schedula</w:t>
      </w:r>
      <w:r w:rsidR="001425C5" w:rsidRPr="0016266C">
        <w:t>r</w:t>
      </w:r>
      <w:r w:rsidR="00E33965" w:rsidRPr="0016266C">
        <w:t xml:space="preserve"> system is the dual income tax </w:t>
      </w:r>
      <w:r w:rsidR="00BD3B88" w:rsidRPr="0016266C">
        <w:t>(DIT) system</w:t>
      </w:r>
      <w:r w:rsidR="003369F8" w:rsidRPr="0016266C">
        <w:t xml:space="preserve"> (Box </w:t>
      </w:r>
      <w:r w:rsidR="002B44CA" w:rsidRPr="0016266C">
        <w:t>4</w:t>
      </w:r>
      <w:r w:rsidR="003A24D3" w:rsidRPr="0016266C">
        <w:t>.</w:t>
      </w:r>
      <w:r w:rsidR="003369F8" w:rsidRPr="0016266C">
        <w:t>4)</w:t>
      </w:r>
      <w:r w:rsidR="00E0521E" w:rsidRPr="0016266C">
        <w:t xml:space="preserve">. </w:t>
      </w:r>
      <w:r w:rsidR="00E15BA9" w:rsidRPr="0016266C">
        <w:t xml:space="preserve">Because a </w:t>
      </w:r>
      <w:r w:rsidR="0074690F" w:rsidRPr="0016266C">
        <w:t>DIT s</w:t>
      </w:r>
      <w:r w:rsidR="00E15BA9" w:rsidRPr="0016266C">
        <w:t>ystem separates the labour and capital income tax bases, allowable deductions relating to capital income can only be deducted against other capital income</w:t>
      </w:r>
      <w:r w:rsidR="00E0521E" w:rsidRPr="0016266C">
        <w:t xml:space="preserve">. </w:t>
      </w:r>
      <w:r w:rsidR="007B0C4E" w:rsidRPr="0016266C">
        <w:t>Variants of the</w:t>
      </w:r>
      <w:r w:rsidR="00E15BA9" w:rsidRPr="0016266C">
        <w:t xml:space="preserve"> DIT system ha</w:t>
      </w:r>
      <w:r w:rsidR="007B0C4E" w:rsidRPr="0016266C">
        <w:t>ve</w:t>
      </w:r>
      <w:r w:rsidR="00E15BA9" w:rsidRPr="0016266C">
        <w:t xml:space="preserve"> been operating in Norway, Finland, Sweden and Denmark </w:t>
      </w:r>
      <w:r w:rsidR="00E81D65" w:rsidRPr="0016266C">
        <w:t>for</w:t>
      </w:r>
      <w:r w:rsidR="00E15BA9" w:rsidRPr="0016266C">
        <w:t xml:space="preserve"> the last </w:t>
      </w:r>
      <w:r w:rsidR="00EC1A7F">
        <w:t>20</w:t>
      </w:r>
      <w:r w:rsidR="00E15BA9" w:rsidRPr="0016266C">
        <w:t xml:space="preserve"> years</w:t>
      </w:r>
      <w:r w:rsidR="00E0521E" w:rsidRPr="0016266C">
        <w:t xml:space="preserv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4A7BB0" w:rsidRPr="0016266C" w14:paraId="4E68044C" w14:textId="77777777" w:rsidTr="00E617FB">
        <w:tc>
          <w:tcPr>
            <w:tcW w:w="9384" w:type="dxa"/>
            <w:tcBorders>
              <w:top w:val="nil"/>
              <w:left w:val="nil"/>
              <w:bottom w:val="nil"/>
              <w:right w:val="nil"/>
            </w:tcBorders>
            <w:shd w:val="clear" w:color="auto" w:fill="EBEAEA" w:themeFill="accent6" w:themeFillTint="33"/>
          </w:tcPr>
          <w:p w14:paraId="362AAC1C" w14:textId="4D21A6AD" w:rsidR="004A7BB0" w:rsidRPr="0016266C" w:rsidRDefault="004A7BB0" w:rsidP="00094A69">
            <w:pPr>
              <w:pStyle w:val="BoxHeading"/>
            </w:pPr>
            <w:r w:rsidRPr="0016266C">
              <w:t xml:space="preserve">Box </w:t>
            </w:r>
            <w:fldSimple w:instr=" STYLEREF 1 \s ">
              <w:r w:rsidR="008A3803">
                <w:rPr>
                  <w:noProof/>
                </w:rPr>
                <w:t>4</w:t>
              </w:r>
            </w:fldSimple>
            <w:r w:rsidRPr="0016266C">
              <w:t>.</w:t>
            </w:r>
            <w:fldSimple w:instr=" SEQ Box \* ARABIC \s 1 ">
              <w:r w:rsidR="008A3803">
                <w:rPr>
                  <w:noProof/>
                </w:rPr>
                <w:t>4</w:t>
              </w:r>
            </w:fldSimple>
            <w:r w:rsidRPr="0016266C">
              <w:t xml:space="preserve">: </w:t>
            </w:r>
            <w:r w:rsidRPr="0016266C">
              <w:rPr>
                <w:rStyle w:val="Heading5Char"/>
                <w:b/>
                <w:bCs w:val="0"/>
                <w:color w:val="31A7D4" w:themeColor="text2"/>
                <w:sz w:val="24"/>
                <w:szCs w:val="20"/>
              </w:rPr>
              <w:t>Norway</w:t>
            </w:r>
            <w:r w:rsidR="00292115">
              <w:rPr>
                <w:rStyle w:val="Heading5Char"/>
                <w:b/>
                <w:color w:val="31A7D4" w:themeColor="text2"/>
                <w:sz w:val="24"/>
                <w:szCs w:val="20"/>
              </w:rPr>
              <w:t>’</w:t>
            </w:r>
            <w:r w:rsidRPr="0016266C">
              <w:rPr>
                <w:rStyle w:val="Heading5Char"/>
                <w:b/>
                <w:bCs w:val="0"/>
                <w:color w:val="31A7D4" w:themeColor="text2"/>
                <w:sz w:val="24"/>
                <w:szCs w:val="20"/>
              </w:rPr>
              <w:t>s Dual Income Tax System</w:t>
            </w:r>
          </w:p>
          <w:p w14:paraId="07E4CF9C" w14:textId="7D0479CD" w:rsidR="004A7BB0" w:rsidRPr="0016266C" w:rsidRDefault="004A7BB0" w:rsidP="004A7BB0">
            <w:pPr>
              <w:pStyle w:val="BoxText"/>
            </w:pPr>
            <w:r w:rsidRPr="0016266C">
              <w:t>In the late 1980s Norway</w:t>
            </w:r>
            <w:r w:rsidR="00292115">
              <w:t>’</w:t>
            </w:r>
            <w:r w:rsidRPr="0016266C">
              <w:t>s savings levels were low, the return to investment was low, and the investment allocation was seriously distorted. There was a strong concern that the tax settings induced excessive borrowing for socially unprofitable investment. The introduction of the dual income reform in 1992 was to achieve a moderate taxation of capital income that is also neutral in a broad sense, while maintaining the distributional role of the progressive tax on labour income.</w:t>
            </w:r>
            <w:r w:rsidRPr="0016266C">
              <w:rPr>
                <w:rStyle w:val="FootnoteReference"/>
              </w:rPr>
              <w:footnoteReference w:id="27"/>
            </w:r>
          </w:p>
          <w:p w14:paraId="21F4FBAE" w14:textId="33927EA2" w:rsidR="004A7BB0" w:rsidRPr="0016266C" w:rsidRDefault="004A7BB0" w:rsidP="00530789">
            <w:pPr>
              <w:pStyle w:val="BoxText"/>
            </w:pPr>
            <w:r w:rsidRPr="0016266C">
              <w:t>These days the two pillars of Norway</w:t>
            </w:r>
            <w:r w:rsidR="00292115">
              <w:t>’</w:t>
            </w:r>
            <w:r w:rsidRPr="0016266C">
              <w:t>s income tax system consist of a progressive labour income tax schedule, with a base rate of 32.1</w:t>
            </w:r>
            <w:r w:rsidR="00530789" w:rsidRPr="0016266C">
              <w:t> </w:t>
            </w:r>
            <w:r w:rsidRPr="0016266C">
              <w:t>per</w:t>
            </w:r>
            <w:r w:rsidR="00530789" w:rsidRPr="0016266C">
              <w:t> </w:t>
            </w:r>
            <w:r w:rsidRPr="0016266C">
              <w:t>cent and top marginal rate of 47.2 per cent, and a 27</w:t>
            </w:r>
            <w:r w:rsidR="00530789" w:rsidRPr="0016266C">
              <w:t> </w:t>
            </w:r>
            <w:r w:rsidRPr="0016266C">
              <w:t>per</w:t>
            </w:r>
            <w:r w:rsidR="00530789" w:rsidRPr="0016266C">
              <w:t> </w:t>
            </w:r>
            <w:r w:rsidRPr="0016266C">
              <w:t>cent</w:t>
            </w:r>
            <w:r w:rsidRPr="0016266C">
              <w:rPr>
                <w:rFonts w:ascii="Calibri" w:hAnsi="Calibri" w:cs="Calibri"/>
              </w:rPr>
              <w:t xml:space="preserve"> </w:t>
            </w:r>
            <w:r w:rsidRPr="0016266C">
              <w:t>flat capital income tax rate for interest</w:t>
            </w:r>
            <w:r w:rsidRPr="0016266C">
              <w:rPr>
                <w:rFonts w:ascii="Calibri" w:hAnsi="Calibri" w:cs="Calibri"/>
              </w:rPr>
              <w:t xml:space="preserve">, </w:t>
            </w:r>
            <w:r w:rsidRPr="0016266C">
              <w:t>rental income,</w:t>
            </w:r>
            <w:r w:rsidRPr="0016266C">
              <w:rPr>
                <w:rFonts w:ascii="Calibri" w:hAnsi="Calibri" w:cs="Calibri"/>
              </w:rPr>
              <w:t xml:space="preserve"> </w:t>
            </w:r>
            <w:r w:rsidRPr="0016266C">
              <w:t>royalties and capital gains</w:t>
            </w:r>
            <w:r w:rsidRPr="0016266C">
              <w:rPr>
                <w:rFonts w:ascii="Calibri" w:hAnsi="Calibri" w:cs="Calibri"/>
              </w:rPr>
              <w:t>.</w:t>
            </w:r>
            <w:r w:rsidRPr="0016266C">
              <w:rPr>
                <w:rStyle w:val="FootnoteReference"/>
                <w:rFonts w:ascii="Calibri" w:hAnsi="Calibri" w:cs="Calibri"/>
              </w:rPr>
              <w:footnoteReference w:id="28"/>
            </w:r>
          </w:p>
        </w:tc>
      </w:tr>
    </w:tbl>
    <w:p w14:paraId="68C84DA0" w14:textId="77777777" w:rsidR="004A7BB0" w:rsidRPr="0016266C" w:rsidRDefault="004A7BB0" w:rsidP="00D63D8B"/>
    <w:p w14:paraId="7BBE9355" w14:textId="77777777" w:rsidR="00D63D8B" w:rsidRPr="0016266C" w:rsidRDefault="00D63D8B" w:rsidP="00D63D8B">
      <w:r w:rsidRPr="0016266C">
        <w:t xml:space="preserve">Australia has </w:t>
      </w:r>
      <w:r w:rsidR="00376324" w:rsidRPr="0016266C">
        <w:t>a similar</w:t>
      </w:r>
      <w:r w:rsidRPr="0016266C">
        <w:t xml:space="preserve"> approach in </w:t>
      </w:r>
      <w:r w:rsidR="00376324" w:rsidRPr="0016266C">
        <w:t>relation to</w:t>
      </w:r>
      <w:r w:rsidRPr="0016266C">
        <w:t xml:space="preserve"> the taxation of superannuation and the treatment of capital gains and losses</w:t>
      </w:r>
      <w:r w:rsidR="00E0521E" w:rsidRPr="0016266C">
        <w:t xml:space="preserve">. </w:t>
      </w:r>
      <w:r w:rsidRPr="0016266C">
        <w:t xml:space="preserve">Generally, however, such an approach </w:t>
      </w:r>
      <w:r w:rsidR="00376324" w:rsidRPr="0016266C">
        <w:t xml:space="preserve">makes </w:t>
      </w:r>
      <w:r w:rsidRPr="0016266C">
        <w:t>the tax system</w:t>
      </w:r>
      <w:r w:rsidR="00376324" w:rsidRPr="0016266C">
        <w:t xml:space="preserve"> more complex</w:t>
      </w:r>
      <w:r w:rsidR="00E0521E" w:rsidRPr="0016266C">
        <w:t xml:space="preserve">. </w:t>
      </w:r>
    </w:p>
    <w:p w14:paraId="75D33624" w14:textId="77777777" w:rsidR="004A7BB0" w:rsidRPr="0016266C" w:rsidRDefault="004A7BB0" w:rsidP="00EC1A7F">
      <w:pPr>
        <w:pStyle w:val="Singleparagraph0"/>
      </w:pPr>
    </w:p>
    <w:p w14:paraId="055A7CB5" w14:textId="1C31C2D7" w:rsidR="00E076B9" w:rsidRPr="0016266C" w:rsidRDefault="00E076B9" w:rsidP="00AE61CA">
      <w:pPr>
        <w:pStyle w:val="Heading2"/>
        <w:rPr>
          <w:rFonts w:eastAsiaTheme="minorHAnsi"/>
        </w:rPr>
      </w:pPr>
      <w:bookmarkStart w:id="158" w:name="_Toc404348028"/>
      <w:bookmarkStart w:id="159" w:name="_Toc402326873"/>
      <w:bookmarkStart w:id="160" w:name="_Toc402333525"/>
      <w:bookmarkStart w:id="161" w:name="_Toc402340301"/>
      <w:bookmarkStart w:id="162" w:name="_Toc402343396"/>
      <w:bookmarkStart w:id="163" w:name="_Toc402346632"/>
      <w:bookmarkStart w:id="164" w:name="_Toc402349089"/>
      <w:bookmarkStart w:id="165" w:name="_Toc402350618"/>
      <w:bookmarkStart w:id="166" w:name="_Toc402353639"/>
      <w:bookmarkStart w:id="167" w:name="_Toc402368757"/>
      <w:bookmarkStart w:id="168" w:name="_Toc402369843"/>
      <w:bookmarkStart w:id="169" w:name="_Toc402370508"/>
      <w:bookmarkStart w:id="170" w:name="_Toc402371455"/>
      <w:r w:rsidRPr="0016266C">
        <w:rPr>
          <w:rFonts w:eastAsiaTheme="minorHAnsi"/>
        </w:rPr>
        <w:lastRenderedPageBreak/>
        <w:t>Estate</w:t>
      </w:r>
      <w:r w:rsidR="004A7BB0" w:rsidRPr="0016266C">
        <w:rPr>
          <w:rFonts w:eastAsiaTheme="minorHAnsi"/>
        </w:rPr>
        <w:t xml:space="preserve"> t</w:t>
      </w:r>
      <w:r w:rsidRPr="0016266C">
        <w:rPr>
          <w:rFonts w:eastAsiaTheme="minorHAnsi"/>
        </w:rPr>
        <w:t>axes</w:t>
      </w:r>
      <w:bookmarkEnd w:id="158"/>
      <w:r w:rsidRPr="0016266C">
        <w:rPr>
          <w:rFonts w:eastAsiaTheme="minorHAnsi"/>
        </w:rPr>
        <w:t xml:space="preserve"> </w:t>
      </w:r>
    </w:p>
    <w:p w14:paraId="25923161" w14:textId="74D4ACA1" w:rsidR="00D14CCE" w:rsidRPr="0016266C" w:rsidRDefault="0014406B" w:rsidP="00D14CCE">
      <w:r w:rsidRPr="0016266C">
        <w:rPr>
          <w:lang w:val="en"/>
        </w:rPr>
        <w:t xml:space="preserve">Estate taxes are not currently levied in </w:t>
      </w:r>
      <w:r w:rsidRPr="008C26F6">
        <w:rPr>
          <w:lang w:val="en"/>
        </w:rPr>
        <w:t>Australia</w:t>
      </w:r>
      <w:r w:rsidR="003C4928" w:rsidRPr="008C26F6">
        <w:rPr>
          <w:lang w:val="en"/>
        </w:rPr>
        <w:t>. They were</w:t>
      </w:r>
      <w:r w:rsidRPr="008C26F6">
        <w:rPr>
          <w:lang w:val="en"/>
        </w:rPr>
        <w:t xml:space="preserve"> levied by both the Commonwealth and States in the past</w:t>
      </w:r>
      <w:r w:rsidR="003C4928" w:rsidRPr="008C26F6">
        <w:rPr>
          <w:lang w:val="en"/>
        </w:rPr>
        <w:t xml:space="preserve"> but were progressively scrapped in all jurisdictions</w:t>
      </w:r>
      <w:r w:rsidR="00AE61CA" w:rsidRPr="008C26F6">
        <w:rPr>
          <w:lang w:val="en"/>
        </w:rPr>
        <w:t xml:space="preserve">. </w:t>
      </w:r>
      <w:r w:rsidRPr="008C26F6">
        <w:t>Internationally, e</w:t>
      </w:r>
      <w:r w:rsidR="00E076B9" w:rsidRPr="008C26F6">
        <w:t>state</w:t>
      </w:r>
      <w:r w:rsidR="003C4928" w:rsidRPr="008C26F6">
        <w:t xml:space="preserve"> taxes </w:t>
      </w:r>
      <w:r w:rsidR="00E076B9" w:rsidRPr="008C26F6">
        <w:t>usually take the form of estate and gift taxes on accumulated gifts and inheritances, although some countries (for example, France and Switzerland) also levy annual wealth taxes</w:t>
      </w:r>
      <w:r w:rsidR="00E0521E" w:rsidRPr="008C26F6">
        <w:t xml:space="preserve">. </w:t>
      </w:r>
      <w:r w:rsidR="00E076B9" w:rsidRPr="008C26F6">
        <w:t>These taxes generate relatively little revenue. For example,</w:t>
      </w:r>
      <w:r w:rsidR="00E076B9" w:rsidRPr="0016266C">
        <w:t xml:space="preserve"> Belgium, with the highest reliance on estate, inheritance and gift taxes in the OECD, raised only 1.</w:t>
      </w:r>
      <w:r w:rsidR="005F186C" w:rsidRPr="0016266C">
        <w:t>4</w:t>
      </w:r>
      <w:r w:rsidR="00530789" w:rsidRPr="0016266C">
        <w:t> </w:t>
      </w:r>
      <w:r w:rsidR="00E076B9" w:rsidRPr="0016266C">
        <w:t>per</w:t>
      </w:r>
      <w:r w:rsidR="00530789" w:rsidRPr="0016266C">
        <w:t> </w:t>
      </w:r>
      <w:r w:rsidR="00E076B9" w:rsidRPr="0016266C">
        <w:t>cent of total tax revenue from these taxes in 201</w:t>
      </w:r>
      <w:r w:rsidR="005F186C" w:rsidRPr="0016266C">
        <w:t>2</w:t>
      </w:r>
      <w:r w:rsidR="00E076B9" w:rsidRPr="0016266C">
        <w:t>.</w:t>
      </w:r>
      <w:r w:rsidR="00D14CCE" w:rsidRPr="0016266C">
        <w:rPr>
          <w:rStyle w:val="FootnoteReference"/>
        </w:rPr>
        <w:footnoteReference w:id="29"/>
      </w:r>
      <w:r w:rsidR="00D14CCE" w:rsidRPr="0016266C">
        <w:t xml:space="preserve"> </w:t>
      </w:r>
      <w:r w:rsidR="00E076B9" w:rsidRPr="0016266C">
        <w:t>Furthermore, such taxes can be difficult to administer effectively.</w:t>
      </w:r>
    </w:p>
    <w:p w14:paraId="4F26D883" w14:textId="5F15CEAC" w:rsidR="00E076B9" w:rsidRPr="0016266C" w:rsidRDefault="0014406B" w:rsidP="00D14CCE">
      <w:r w:rsidRPr="0016266C">
        <w:t xml:space="preserve">Estate taxes may influence the savings decisions </w:t>
      </w:r>
      <w:r w:rsidR="00C82BC9" w:rsidRPr="0016266C">
        <w:t>to</w:t>
      </w:r>
      <w:r w:rsidRPr="0016266C">
        <w:t xml:space="preserve"> leave a</w:t>
      </w:r>
      <w:r w:rsidR="001425C5" w:rsidRPr="0016266C">
        <w:t>n</w:t>
      </w:r>
      <w:r w:rsidRPr="0016266C">
        <w:t xml:space="preserve"> </w:t>
      </w:r>
      <w:r w:rsidR="001425C5" w:rsidRPr="0016266C">
        <w:t>inheritance</w:t>
      </w:r>
      <w:r w:rsidR="00701B26" w:rsidRPr="0016266C">
        <w:t xml:space="preserve">, but </w:t>
      </w:r>
      <w:r w:rsidR="00C82BC9" w:rsidRPr="0016266C">
        <w:t xml:space="preserve">would not </w:t>
      </w:r>
      <w:r w:rsidR="00701B26" w:rsidRPr="0016266C">
        <w:t xml:space="preserve">be expected to </w:t>
      </w:r>
      <w:r w:rsidR="00C82BC9" w:rsidRPr="0016266C">
        <w:t>affect the savings decisions to fund an adequate retireme</w:t>
      </w:r>
      <w:r w:rsidR="00D14CCE" w:rsidRPr="0016266C">
        <w:t>nt.</w:t>
      </w:r>
      <w:r w:rsidR="00D14CCE" w:rsidRPr="0016266C">
        <w:rPr>
          <w:rStyle w:val="FootnoteReference"/>
        </w:rPr>
        <w:footnoteReference w:id="30"/>
      </w:r>
      <w:r w:rsidR="00C82BC9" w:rsidRPr="0016266C">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4A7BB0" w14:paraId="643752B4" w14:textId="77777777" w:rsidTr="00094A69">
        <w:tc>
          <w:tcPr>
            <w:tcW w:w="9384" w:type="dxa"/>
          </w:tcPr>
          <w:p w14:paraId="711DC066" w14:textId="396CB1C3" w:rsidR="004A7BB0" w:rsidRPr="0016266C" w:rsidRDefault="004A7BB0" w:rsidP="00094A69">
            <w:pPr>
              <w:pStyle w:val="Questionheading"/>
              <w:ind w:right="113"/>
            </w:pPr>
            <w:r w:rsidRPr="0016266C">
              <w:t xml:space="preserve">Discussion questions: </w:t>
            </w:r>
          </w:p>
          <w:p w14:paraId="2CF8EA0A" w14:textId="1FC8BAED" w:rsidR="004A7BB0" w:rsidRPr="0016266C" w:rsidRDefault="004A7BB0" w:rsidP="00E617FB">
            <w:pPr>
              <w:pStyle w:val="Questiontext"/>
              <w:ind w:left="426" w:right="113" w:hanging="426"/>
            </w:pPr>
            <w:r w:rsidRPr="0016266C">
              <w:t>What other ways to improve the taxation of domesti</w:t>
            </w:r>
            <w:r w:rsidR="00E617FB" w:rsidRPr="0016266C">
              <w:t>c savings should be considered?</w:t>
            </w:r>
            <w:r w:rsidRPr="0016266C">
              <w:t xml:space="preserve"> How could they be applied in the Australian context?</w:t>
            </w:r>
          </w:p>
        </w:tc>
      </w:tr>
    </w:tbl>
    <w:p w14:paraId="70148A98" w14:textId="77777777" w:rsidR="004A7BB0" w:rsidRPr="0014406B" w:rsidRDefault="004A7BB0" w:rsidP="00D14CCE">
      <w:pPr>
        <w:rPr>
          <w:rFonts w:eastAsiaTheme="minorHAnsi"/>
        </w:rPr>
      </w:pPr>
    </w:p>
    <w:bookmarkEnd w:id="159"/>
    <w:bookmarkEnd w:id="160"/>
    <w:bookmarkEnd w:id="161"/>
    <w:bookmarkEnd w:id="162"/>
    <w:bookmarkEnd w:id="163"/>
    <w:bookmarkEnd w:id="164"/>
    <w:bookmarkEnd w:id="165"/>
    <w:bookmarkEnd w:id="166"/>
    <w:bookmarkEnd w:id="167"/>
    <w:bookmarkEnd w:id="168"/>
    <w:bookmarkEnd w:id="169"/>
    <w:bookmarkEnd w:id="170"/>
    <w:p w14:paraId="553DB382" w14:textId="46E8CC11" w:rsidR="00C622C8" w:rsidRPr="00A61250" w:rsidRDefault="00C622C8" w:rsidP="00223A49">
      <w:pPr>
        <w:spacing w:after="0"/>
      </w:pPr>
    </w:p>
    <w:sectPr w:rsidR="00C622C8" w:rsidRPr="00A61250" w:rsidSect="00215E13">
      <w:headerReference w:type="even" r:id="rId18"/>
      <w:headerReference w:type="default" r:id="rId19"/>
      <w:footerReference w:type="even" r:id="rId20"/>
      <w:footerReference w:type="default" r:id="rId21"/>
      <w:headerReference w:type="first" r:id="rId22"/>
      <w:footerReference w:type="first" r:id="rId23"/>
      <w:footnotePr>
        <w:numStart w:val="50"/>
      </w:footnotePr>
      <w:pgSz w:w="11906" w:h="16838" w:code="9"/>
      <w:pgMar w:top="1418" w:right="1418" w:bottom="1418" w:left="1418" w:header="709" w:footer="709" w:gutter="0"/>
      <w:pgNumType w:start="5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5476E" w14:textId="77777777" w:rsidR="00312422" w:rsidRDefault="00312422">
      <w:r>
        <w:separator/>
      </w:r>
    </w:p>
  </w:endnote>
  <w:endnote w:type="continuationSeparator" w:id="0">
    <w:p w14:paraId="66E553A4" w14:textId="77777777" w:rsidR="00312422" w:rsidRDefault="00312422">
      <w:r>
        <w:continuationSeparator/>
      </w:r>
    </w:p>
  </w:endnote>
  <w:endnote w:type="continuationNotice" w:id="1">
    <w:p w14:paraId="0CED8AE4" w14:textId="77777777" w:rsidR="00312422" w:rsidRDefault="003124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12422" w14:paraId="1204D23D" w14:textId="77777777" w:rsidTr="00A73189">
      <w:tc>
        <w:tcPr>
          <w:tcW w:w="4643" w:type="dxa"/>
          <w:vAlign w:val="bottom"/>
        </w:tcPr>
        <w:p w14:paraId="16438EF3" w14:textId="0D2FB0E7" w:rsidR="00312422" w:rsidRDefault="00312422" w:rsidP="00A73189">
          <w:pPr>
            <w:pStyle w:val="FooterOdd"/>
          </w:pPr>
          <w:r w:rsidRPr="000217EE">
            <w:fldChar w:fldCharType="begin"/>
          </w:r>
          <w:r w:rsidRPr="000217EE">
            <w:instrText xml:space="preserve"> PAGE   \* MERGEFORMAT </w:instrText>
          </w:r>
          <w:r w:rsidRPr="000217EE">
            <w:fldChar w:fldCharType="separate"/>
          </w:r>
          <w:r w:rsidR="00C47D42">
            <w:rPr>
              <w:noProof/>
            </w:rPr>
            <w:t>58</w:t>
          </w:r>
          <w:r w:rsidRPr="000217EE">
            <w:fldChar w:fldCharType="end"/>
          </w:r>
        </w:p>
      </w:tc>
      <w:tc>
        <w:tcPr>
          <w:tcW w:w="4643" w:type="dxa"/>
          <w:vAlign w:val="bottom"/>
        </w:tcPr>
        <w:p w14:paraId="38CFABF6" w14:textId="29618127" w:rsidR="00312422" w:rsidRDefault="0036558F" w:rsidP="00A73189">
          <w:pPr>
            <w:pStyle w:val="FooterOdd"/>
            <w:jc w:val="right"/>
          </w:pPr>
          <w:r>
            <w:rPr>
              <w:noProof/>
            </w:rPr>
            <w:drawing>
              <wp:inline distT="0" distB="0" distL="0" distR="0" wp14:anchorId="1CA488A4" wp14:editId="6F1ABC63">
                <wp:extent cx="1008000" cy="287658"/>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3D3BB851" w14:textId="559AC4CA" w:rsidR="00312422" w:rsidRPr="0008146A" w:rsidRDefault="00312422" w:rsidP="0008146A">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12422" w14:paraId="514360BB" w14:textId="77777777" w:rsidTr="00A73189">
      <w:tc>
        <w:tcPr>
          <w:tcW w:w="4643" w:type="dxa"/>
          <w:vAlign w:val="bottom"/>
        </w:tcPr>
        <w:p w14:paraId="69187826" w14:textId="536CF567" w:rsidR="00312422" w:rsidRDefault="0036558F" w:rsidP="00A73189">
          <w:pPr>
            <w:pStyle w:val="FooterOdd"/>
          </w:pPr>
          <w:r>
            <w:rPr>
              <w:noProof/>
            </w:rPr>
            <w:drawing>
              <wp:inline distT="0" distB="0" distL="0" distR="0" wp14:anchorId="160F5B0B" wp14:editId="66247AAD">
                <wp:extent cx="1008000" cy="287658"/>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6AC63746" w14:textId="77777777" w:rsidR="00312422" w:rsidRDefault="00312422" w:rsidP="00A73189">
          <w:pPr>
            <w:pStyle w:val="FooterOdd"/>
            <w:jc w:val="right"/>
          </w:pPr>
          <w:r w:rsidRPr="000217EE">
            <w:fldChar w:fldCharType="begin"/>
          </w:r>
          <w:r w:rsidRPr="000217EE">
            <w:instrText xml:space="preserve"> PAGE   \* MERGEFORMAT </w:instrText>
          </w:r>
          <w:r w:rsidRPr="000217EE">
            <w:fldChar w:fldCharType="separate"/>
          </w:r>
          <w:r w:rsidR="00C47D42">
            <w:rPr>
              <w:noProof/>
            </w:rPr>
            <w:t>71</w:t>
          </w:r>
          <w:r w:rsidRPr="000217EE">
            <w:fldChar w:fldCharType="end"/>
          </w:r>
        </w:p>
      </w:tc>
    </w:tr>
  </w:tbl>
  <w:p w14:paraId="1AF5E911" w14:textId="6EFFDEEF" w:rsidR="00312422" w:rsidRPr="0008146A" w:rsidRDefault="00312422" w:rsidP="0008146A">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12422" w14:paraId="42A72B08" w14:textId="77777777" w:rsidTr="00A73189">
      <w:tc>
        <w:tcPr>
          <w:tcW w:w="4643" w:type="dxa"/>
          <w:vAlign w:val="bottom"/>
        </w:tcPr>
        <w:p w14:paraId="5A4CFE77" w14:textId="1CA638C2" w:rsidR="00312422" w:rsidRDefault="0036558F" w:rsidP="0008146A">
          <w:pPr>
            <w:pStyle w:val="FooterOdd"/>
          </w:pPr>
          <w:r>
            <w:rPr>
              <w:noProof/>
            </w:rPr>
            <w:drawing>
              <wp:inline distT="0" distB="0" distL="0" distR="0" wp14:anchorId="2FDC3C3A" wp14:editId="0172C44D">
                <wp:extent cx="1008000" cy="287658"/>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56CAF1B2" w14:textId="45DBC3D1" w:rsidR="00312422" w:rsidRDefault="00312422" w:rsidP="0008146A">
          <w:pPr>
            <w:pStyle w:val="FooterOdd"/>
            <w:jc w:val="right"/>
          </w:pPr>
          <w:r w:rsidRPr="000217EE">
            <w:fldChar w:fldCharType="begin"/>
          </w:r>
          <w:r w:rsidRPr="000217EE">
            <w:instrText xml:space="preserve"> PAGE   \* MERGEFORMAT </w:instrText>
          </w:r>
          <w:r w:rsidRPr="000217EE">
            <w:fldChar w:fldCharType="separate"/>
          </w:r>
          <w:r w:rsidR="00C47D42">
            <w:rPr>
              <w:noProof/>
            </w:rPr>
            <w:t>57</w:t>
          </w:r>
          <w:r w:rsidRPr="000217EE">
            <w:fldChar w:fldCharType="end"/>
          </w:r>
        </w:p>
      </w:tc>
    </w:tr>
  </w:tbl>
  <w:p w14:paraId="5C75D513" w14:textId="489B1461" w:rsidR="00312422" w:rsidRPr="0008146A" w:rsidRDefault="00312422" w:rsidP="0008146A">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B6F98" w14:textId="77777777" w:rsidR="00312422" w:rsidRDefault="00312422" w:rsidP="00E0521E">
      <w:pPr>
        <w:spacing w:after="0"/>
      </w:pPr>
      <w:r>
        <w:separator/>
      </w:r>
    </w:p>
  </w:footnote>
  <w:footnote w:type="continuationSeparator" w:id="0">
    <w:p w14:paraId="05699A3A" w14:textId="77777777" w:rsidR="00312422" w:rsidRDefault="00312422">
      <w:r>
        <w:continuationSeparator/>
      </w:r>
    </w:p>
  </w:footnote>
  <w:footnote w:type="continuationNotice" w:id="1">
    <w:p w14:paraId="394FE212" w14:textId="77777777" w:rsidR="00312422" w:rsidRDefault="00312422">
      <w:pPr>
        <w:spacing w:after="0"/>
      </w:pPr>
    </w:p>
  </w:footnote>
  <w:footnote w:id="2">
    <w:p w14:paraId="417906AA" w14:textId="17EDD9B8" w:rsidR="00312422" w:rsidRPr="00A47F2A" w:rsidRDefault="00312422" w:rsidP="006608C0">
      <w:pPr>
        <w:pStyle w:val="FootnoteText"/>
      </w:pPr>
      <w:r w:rsidRPr="00292115">
        <w:rPr>
          <w:rStyle w:val="FootnoteReference"/>
          <w:vertAlign w:val="baseline"/>
        </w:rPr>
        <w:footnoteRef/>
      </w:r>
      <w:r w:rsidRPr="00A47F2A">
        <w:t xml:space="preserve"> </w:t>
      </w:r>
      <w:r w:rsidRPr="00A47F2A">
        <w:tab/>
      </w:r>
      <w:proofErr w:type="gramStart"/>
      <w:r w:rsidRPr="00A47F2A">
        <w:t xml:space="preserve">The term </w:t>
      </w:r>
      <w:r>
        <w:t>‘</w:t>
      </w:r>
      <w:r w:rsidRPr="00A47F2A">
        <w:t>savings</w:t>
      </w:r>
      <w:r>
        <w:t>’</w:t>
      </w:r>
      <w:r w:rsidRPr="00A47F2A">
        <w:t xml:space="preserve"> refers to stock of assets while </w:t>
      </w:r>
      <w:r>
        <w:t>‘</w:t>
      </w:r>
      <w:r w:rsidRPr="00A47F2A">
        <w:t>saving</w:t>
      </w:r>
      <w:r>
        <w:t>’</w:t>
      </w:r>
      <w:r w:rsidRPr="00A47F2A">
        <w:t xml:space="preserve"> refers to an increase in the stock of savings.</w:t>
      </w:r>
      <w:proofErr w:type="gramEnd"/>
    </w:p>
  </w:footnote>
  <w:footnote w:id="3">
    <w:p w14:paraId="1BFDB1F7" w14:textId="18FC8DBC"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Australian Bureau of Statistics (ABS) 2013, </w:t>
      </w:r>
      <w:r w:rsidRPr="008006D5">
        <w:rPr>
          <w:i/>
        </w:rPr>
        <w:t>Household Wealth and Wealth Distribution, Australia, 2011–12</w:t>
      </w:r>
      <w:r w:rsidRPr="00A47F2A">
        <w:t>, cat. </w:t>
      </w:r>
      <w:proofErr w:type="gramStart"/>
      <w:r w:rsidRPr="00A47F2A">
        <w:t>no</w:t>
      </w:r>
      <w:proofErr w:type="gramEnd"/>
      <w:r w:rsidRPr="00A47F2A">
        <w:t>. 6554.0, ABS, Canberra.</w:t>
      </w:r>
    </w:p>
  </w:footnote>
  <w:footnote w:id="4">
    <w:p w14:paraId="6EA10374" w14:textId="417F7885"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0219CE">
        <w:t xml:space="preserve">Australian Government 2014, </w:t>
      </w:r>
      <w:r w:rsidRPr="004249C3">
        <w:rPr>
          <w:i/>
        </w:rPr>
        <w:t>2013</w:t>
      </w:r>
      <w:r>
        <w:rPr>
          <w:i/>
        </w:rPr>
        <w:noBreakHyphen/>
      </w:r>
      <w:r w:rsidRPr="004249C3">
        <w:rPr>
          <w:i/>
        </w:rPr>
        <w:t>14</w:t>
      </w:r>
      <w:r>
        <w:t xml:space="preserve"> </w:t>
      </w:r>
      <w:r w:rsidRPr="000219CE">
        <w:rPr>
          <w:i/>
        </w:rPr>
        <w:t>Final Budget Outcome</w:t>
      </w:r>
      <w:r w:rsidRPr="000219CE">
        <w:t>, Australian Government, Canberra</w:t>
      </w:r>
      <w:r w:rsidRPr="00ED2314">
        <w:t>.</w:t>
      </w:r>
      <w:proofErr w:type="gramEnd"/>
    </w:p>
  </w:footnote>
  <w:footnote w:id="5">
    <w:p w14:paraId="320E7838" w14:textId="68206A1D"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Australian Taxation Office (ATO) 2014, </w:t>
      </w:r>
      <w:r w:rsidRPr="008006D5">
        <w:rPr>
          <w:i/>
        </w:rPr>
        <w:t>Taxation Statistics 2011</w:t>
      </w:r>
      <w:r>
        <w:rPr>
          <w:i/>
        </w:rPr>
        <w:noBreakHyphen/>
      </w:r>
      <w:r w:rsidRPr="008006D5">
        <w:rPr>
          <w:i/>
        </w:rPr>
        <w:t>12</w:t>
      </w:r>
      <w:r w:rsidRPr="00A47F2A">
        <w:t>, ATO, Canberra.</w:t>
      </w:r>
    </w:p>
  </w:footnote>
  <w:footnote w:id="6">
    <w:p w14:paraId="7026D894" w14:textId="19C290E3" w:rsidR="00312422" w:rsidRPr="00A47F2A" w:rsidRDefault="00312422" w:rsidP="00A47F2A">
      <w:pPr>
        <w:pStyle w:val="FootnoteText"/>
      </w:pPr>
      <w:r w:rsidRPr="00292115">
        <w:rPr>
          <w:rStyle w:val="FootnoteReference"/>
          <w:vertAlign w:val="baseline"/>
        </w:rPr>
        <w:footnoteRef/>
      </w:r>
      <w:r w:rsidRPr="00095935">
        <w:t xml:space="preserve"> </w:t>
      </w:r>
      <w:r w:rsidRPr="00095935">
        <w:tab/>
        <w:t xml:space="preserve">See for example: Banks, J, and Diamond, P 2010, </w:t>
      </w:r>
      <w:r>
        <w:t>‘</w:t>
      </w:r>
      <w:r w:rsidRPr="00095935">
        <w:t>The Base for Direct Taxation</w:t>
      </w:r>
      <w:r>
        <w:t>’</w:t>
      </w:r>
      <w:r w:rsidRPr="00095935">
        <w:t>, in Mirrlees J, Adam, S, Besley, T, Blundell</w:t>
      </w:r>
      <w:r w:rsidRPr="00A47F2A">
        <w:t xml:space="preserve">, R, Bond, S, Chote, R, Gammie, M, Johnson, P, Myles, G, and Poterba, J 2010, </w:t>
      </w:r>
      <w:r w:rsidRPr="008006D5">
        <w:rPr>
          <w:i/>
        </w:rPr>
        <w:t>Dimensions of Tax Design: The Mirrlees Review</w:t>
      </w:r>
      <w:r w:rsidRPr="00A47F2A">
        <w:t xml:space="preserve">, Oxford University Press for Institute for Fiscal Studies, Oxford; and Sørensen, P B 1994, </w:t>
      </w:r>
      <w:r>
        <w:t>‘</w:t>
      </w:r>
      <w:r w:rsidRPr="00A47F2A">
        <w:t>From the Global Income Tax to the Dual Income Tax: Recent Reformers in the Nordic Countries</w:t>
      </w:r>
      <w:r>
        <w:t>’</w:t>
      </w:r>
      <w:r w:rsidRPr="00A47F2A">
        <w:t xml:space="preserve">, </w:t>
      </w:r>
      <w:r w:rsidRPr="008006D5">
        <w:rPr>
          <w:i/>
        </w:rPr>
        <w:t>International Tax and Public Finance</w:t>
      </w:r>
      <w:r w:rsidRPr="00A47F2A">
        <w:t>, vol. 1, no. 1, pages 57</w:t>
      </w:r>
      <w:r>
        <w:noBreakHyphen/>
      </w:r>
      <w:r w:rsidRPr="00A47F2A">
        <w:t>79.</w:t>
      </w:r>
    </w:p>
  </w:footnote>
  <w:footnote w:id="7">
    <w:p w14:paraId="47082E12" w14:textId="695EEF6F"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Johansson, A, Heady, C, Arnold, J, Brys, B and Vartia, L 2008, </w:t>
      </w:r>
      <w:r w:rsidRPr="008006D5">
        <w:rPr>
          <w:i/>
        </w:rPr>
        <w:t>Tax and economic growth</w:t>
      </w:r>
      <w:r w:rsidRPr="00A47F2A">
        <w:t>, working paper no. 620, OECD, Paris.</w:t>
      </w:r>
    </w:p>
  </w:footnote>
  <w:footnote w:id="8">
    <w:p w14:paraId="1D4F969C" w14:textId="0278296B"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 xml:space="preserve">New Zealand Treasury Savings Working Group 2010, </w:t>
      </w:r>
      <w:r w:rsidRPr="008006D5">
        <w:rPr>
          <w:i/>
        </w:rPr>
        <w:t>The Effect of Tax Incentives on Retirement Savings</w:t>
      </w:r>
      <w:r w:rsidRPr="00A47F2A">
        <w:t>, working paper, New Zealand Treasury, Wellington.</w:t>
      </w:r>
      <w:proofErr w:type="gramEnd"/>
      <w:r w:rsidRPr="00A47F2A">
        <w:t xml:space="preserve"> </w:t>
      </w:r>
    </w:p>
  </w:footnote>
  <w:footnote w:id="9">
    <w:p w14:paraId="045D3BCA" w14:textId="10166259"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 xml:space="preserve">Poterba J M 2002, </w:t>
      </w:r>
      <w:r>
        <w:t>‘</w:t>
      </w:r>
      <w:r w:rsidRPr="00A47F2A">
        <w:t>Taxation, risk</w:t>
      </w:r>
      <w:r>
        <w:noBreakHyphen/>
      </w:r>
      <w:r w:rsidRPr="00A47F2A">
        <w:t>taking, and household portfolio behaviour</w:t>
      </w:r>
      <w:r>
        <w:t>’</w:t>
      </w:r>
      <w:r w:rsidRPr="00A47F2A">
        <w:t xml:space="preserve">, in Auerbach, A, and Feldstein, M 2002, </w:t>
      </w:r>
      <w:r w:rsidRPr="008006D5">
        <w:rPr>
          <w:i/>
        </w:rPr>
        <w:t>Handbook of Public Economics Volume.</w:t>
      </w:r>
      <w:proofErr w:type="gramEnd"/>
      <w:r w:rsidRPr="008006D5">
        <w:rPr>
          <w:i/>
        </w:rPr>
        <w:t xml:space="preserve"> </w:t>
      </w:r>
      <w:proofErr w:type="gramStart"/>
      <w:r w:rsidRPr="008006D5">
        <w:rPr>
          <w:i/>
        </w:rPr>
        <w:t>3</w:t>
      </w:r>
      <w:r w:rsidRPr="00A47F2A">
        <w:t>, North</w:t>
      </w:r>
      <w:r>
        <w:noBreakHyphen/>
      </w:r>
      <w:r w:rsidRPr="00A47F2A">
        <w:t>Holland, Amsterdam, p</w:t>
      </w:r>
      <w:r>
        <w:t>ages 1109–</w:t>
      </w:r>
      <w:r w:rsidRPr="00A47F2A">
        <w:t>1171.</w:t>
      </w:r>
      <w:proofErr w:type="gramEnd"/>
    </w:p>
  </w:footnote>
  <w:footnote w:id="10">
    <w:p w14:paraId="06D024DD" w14:textId="196AAA15"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OECD 2007, </w:t>
      </w:r>
      <w:r w:rsidRPr="008006D5">
        <w:rPr>
          <w:i/>
        </w:rPr>
        <w:t>Encouraging savings through tax preferred accounts</w:t>
      </w:r>
      <w:r w:rsidRPr="00A47F2A">
        <w:t>, tax policy studies no. 15, OECD, Paris.</w:t>
      </w:r>
    </w:p>
  </w:footnote>
  <w:footnote w:id="11">
    <w:p w14:paraId="478096B6" w14:textId="0185EC38" w:rsidR="00312422" w:rsidRPr="00A47F2A" w:rsidRDefault="00312422" w:rsidP="00A47F2A">
      <w:pPr>
        <w:pStyle w:val="FootnoteText"/>
      </w:pPr>
      <w:r w:rsidRPr="00292115">
        <w:rPr>
          <w:rStyle w:val="FootnoteReference"/>
          <w:vertAlign w:val="baseline"/>
        </w:rPr>
        <w:footnoteRef/>
      </w:r>
      <w:r w:rsidRPr="00A47F2A">
        <w:t xml:space="preserve"> </w:t>
      </w:r>
      <w:r>
        <w:tab/>
      </w:r>
      <w:r w:rsidRPr="00A47F2A">
        <w:t xml:space="preserve">Australian Government 2014, </w:t>
      </w:r>
      <w:r w:rsidRPr="008006D5">
        <w:rPr>
          <w:i/>
        </w:rPr>
        <w:t>Financial System Inquiry: Final Report (Murray Inquiry)</w:t>
      </w:r>
      <w:r w:rsidRPr="00A47F2A">
        <w:t>, Australian Government, Canberra.</w:t>
      </w:r>
    </w:p>
  </w:footnote>
  <w:footnote w:id="12">
    <w:p w14:paraId="033E2C9E" w14:textId="40BC979D" w:rsidR="00312422" w:rsidRPr="00A47F2A" w:rsidRDefault="00312422" w:rsidP="00A47F2A">
      <w:pPr>
        <w:pStyle w:val="FootnoteText"/>
      </w:pPr>
      <w:r w:rsidRPr="00292115">
        <w:rPr>
          <w:rStyle w:val="FootnoteReference"/>
          <w:vertAlign w:val="baseline"/>
        </w:rPr>
        <w:footnoteRef/>
      </w:r>
      <w:r w:rsidRPr="00A47F2A">
        <w:t xml:space="preserve"> </w:t>
      </w:r>
      <w:r w:rsidRPr="00A47F2A">
        <w:tab/>
        <w:t>While the chart looks at nominal effective marginal tax rates the same relativities would apply for real effective marginal tax rates, albeit with higher rates</w:t>
      </w:r>
      <w:r>
        <w:t xml:space="preserve">. </w:t>
      </w:r>
      <w:r w:rsidRPr="00A47F2A">
        <w:t>Real effective tax rates incorporate the effects of inflation.</w:t>
      </w:r>
    </w:p>
  </w:footnote>
  <w:footnote w:id="13">
    <w:p w14:paraId="327A459E" w14:textId="2BA16564" w:rsidR="00312422" w:rsidRPr="00A47F2A" w:rsidRDefault="00312422" w:rsidP="00A47F2A">
      <w:pPr>
        <w:pStyle w:val="FootnoteText"/>
      </w:pPr>
      <w:r w:rsidRPr="00292115">
        <w:rPr>
          <w:rStyle w:val="FootnoteReference"/>
          <w:vertAlign w:val="baseline"/>
        </w:rPr>
        <w:footnoteRef/>
      </w:r>
      <w:r w:rsidRPr="00A47F2A">
        <w:rPr>
          <w:rStyle w:val="FootnoteReference"/>
          <w:vertAlign w:val="baseline"/>
        </w:rPr>
        <w:t xml:space="preserve"> </w:t>
      </w:r>
      <w:r>
        <w:tab/>
      </w:r>
      <w:r w:rsidRPr="00A47F2A">
        <w:rPr>
          <w:rStyle w:val="FootnoteReference"/>
          <w:vertAlign w:val="baseline"/>
        </w:rPr>
        <w:t>W</w:t>
      </w:r>
      <w:r w:rsidRPr="00A47F2A">
        <w:t xml:space="preserve">arburton AO, R E, Hendy, P 2006, </w:t>
      </w:r>
      <w:r w:rsidRPr="008006D5">
        <w:rPr>
          <w:i/>
        </w:rPr>
        <w:t>International Comparison of Australia</w:t>
      </w:r>
      <w:r>
        <w:rPr>
          <w:i/>
        </w:rPr>
        <w:t>’</w:t>
      </w:r>
      <w:r w:rsidRPr="008006D5">
        <w:rPr>
          <w:i/>
        </w:rPr>
        <w:t>s Taxes</w:t>
      </w:r>
      <w:r w:rsidRPr="00A47F2A">
        <w:t>, Australian Government, Canberra</w:t>
      </w:r>
      <w:r>
        <w:t>.</w:t>
      </w:r>
    </w:p>
  </w:footnote>
  <w:footnote w:id="14">
    <w:p w14:paraId="7E92E4D5" w14:textId="6E03893E" w:rsidR="00312422" w:rsidRPr="00A47F2A" w:rsidRDefault="00312422" w:rsidP="00A47F2A">
      <w:pPr>
        <w:pStyle w:val="FootnoteText"/>
      </w:pPr>
      <w:r w:rsidRPr="00292115">
        <w:rPr>
          <w:rStyle w:val="FootnoteReference"/>
          <w:vertAlign w:val="baseline"/>
        </w:rPr>
        <w:footnoteRef/>
      </w:r>
      <w:r w:rsidRPr="00A47F2A">
        <w:t xml:space="preserve"> </w:t>
      </w:r>
      <w:r>
        <w:tab/>
      </w:r>
      <w:r w:rsidRPr="00A47F2A">
        <w:t>Australian Government 2014</w:t>
      </w:r>
      <w:r w:rsidRPr="000C1C42">
        <w:rPr>
          <w:i/>
        </w:rPr>
        <w:t>, Financial System Inquiry: Final Report (Murray Inquiry)</w:t>
      </w:r>
      <w:r w:rsidRPr="00A47F2A">
        <w:t>, Australian Government, Canberra.</w:t>
      </w:r>
    </w:p>
  </w:footnote>
  <w:footnote w:id="15">
    <w:p w14:paraId="0658EDD4" w14:textId="4585AA35" w:rsidR="00312422" w:rsidRPr="00A47F2A" w:rsidRDefault="00312422" w:rsidP="00504058">
      <w:pPr>
        <w:pStyle w:val="FootnoteText"/>
      </w:pPr>
      <w:r w:rsidRPr="00292115">
        <w:rPr>
          <w:rStyle w:val="FootnoteReference"/>
          <w:vertAlign w:val="baseline"/>
        </w:rPr>
        <w:footnoteRef/>
      </w:r>
      <w:r w:rsidRPr="00A47F2A">
        <w:rPr>
          <w:rStyle w:val="FootnoteReference"/>
          <w:vertAlign w:val="baseline"/>
        </w:rPr>
        <w:t xml:space="preserve"> </w:t>
      </w:r>
      <w:r>
        <w:rPr>
          <w:rStyle w:val="FootnoteReference"/>
          <w:vertAlign w:val="baseline"/>
        </w:rPr>
        <w:tab/>
      </w:r>
      <w:r w:rsidRPr="00A47F2A">
        <w:t xml:space="preserve">Australian Government 2014, </w:t>
      </w:r>
      <w:r w:rsidRPr="008006D5">
        <w:rPr>
          <w:i/>
        </w:rPr>
        <w:t>Financial System Inquiry: Final Report (Murray Inquiry)</w:t>
      </w:r>
      <w:r w:rsidRPr="00A47F2A">
        <w:t>, Australian Government, Canberra</w:t>
      </w:r>
      <w:r>
        <w:t>.</w:t>
      </w:r>
    </w:p>
  </w:footnote>
  <w:footnote w:id="16">
    <w:p w14:paraId="12A5F20F" w14:textId="2E8FE183" w:rsidR="00312422" w:rsidRPr="00A47F2A" w:rsidRDefault="00312422" w:rsidP="00AE61CA">
      <w:pPr>
        <w:pStyle w:val="FootnoteText"/>
      </w:pPr>
      <w:r w:rsidRPr="00292115">
        <w:rPr>
          <w:rStyle w:val="FootnoteReference"/>
          <w:vertAlign w:val="baseline"/>
        </w:rPr>
        <w:footnoteRef/>
      </w:r>
      <w:r w:rsidRPr="00A47F2A">
        <w:t xml:space="preserve"> </w:t>
      </w:r>
      <w:r w:rsidRPr="00A47F2A">
        <w:tab/>
      </w:r>
      <w:proofErr w:type="gramStart"/>
      <w:r w:rsidRPr="00A47F2A">
        <w:t xml:space="preserve">ATO 2014, </w:t>
      </w:r>
      <w:r w:rsidRPr="008006D5">
        <w:rPr>
          <w:i/>
        </w:rPr>
        <w:t>Taxation Statistics 2011</w:t>
      </w:r>
      <w:r>
        <w:rPr>
          <w:i/>
        </w:rPr>
        <w:noBreakHyphen/>
      </w:r>
      <w:r w:rsidRPr="008006D5">
        <w:rPr>
          <w:i/>
        </w:rPr>
        <w:t>12</w:t>
      </w:r>
      <w:r w:rsidRPr="00A47F2A">
        <w:t>, ATO, Canberra.</w:t>
      </w:r>
      <w:proofErr w:type="gramEnd"/>
      <w:r w:rsidRPr="00A47F2A">
        <w:t xml:space="preserve"> </w:t>
      </w:r>
    </w:p>
  </w:footnote>
  <w:footnote w:id="17">
    <w:p w14:paraId="7C5232F2" w14:textId="4553A7C2" w:rsidR="00312422" w:rsidRPr="00A47F2A" w:rsidRDefault="00312422" w:rsidP="00094A69">
      <w:pPr>
        <w:pStyle w:val="FootnoteText"/>
      </w:pPr>
      <w:r w:rsidRPr="00292115">
        <w:rPr>
          <w:rStyle w:val="FootnoteReference"/>
          <w:vertAlign w:val="baseline"/>
        </w:rPr>
        <w:footnoteRef/>
      </w:r>
      <w:r w:rsidRPr="00A47F2A">
        <w:t xml:space="preserve"> </w:t>
      </w:r>
      <w:r w:rsidRPr="00A47F2A">
        <w:tab/>
        <w:t xml:space="preserve">It is important to note that taxable income is </w:t>
      </w:r>
      <w:r>
        <w:t xml:space="preserve">total income less </w:t>
      </w:r>
      <w:r w:rsidRPr="00A47F2A">
        <w:t xml:space="preserve">any deductions (for example, interest deductions) and </w:t>
      </w:r>
      <w:r>
        <w:t>any</w:t>
      </w:r>
      <w:r w:rsidRPr="00A47F2A">
        <w:t xml:space="preserve"> exempt income (for ex</w:t>
      </w:r>
      <w:r>
        <w:t xml:space="preserve">ample superannuation benefits). </w:t>
      </w:r>
      <w:r w:rsidRPr="00A47F2A">
        <w:t xml:space="preserve">For </w:t>
      </w:r>
      <w:r>
        <w:t>tax filers</w:t>
      </w:r>
      <w:r w:rsidRPr="00A47F2A">
        <w:t xml:space="preserve"> claiming a rental loss</w:t>
      </w:r>
      <w:r>
        <w:t>,</w:t>
      </w:r>
      <w:r w:rsidRPr="00A47F2A">
        <w:t xml:space="preserve"> the</w:t>
      </w:r>
      <w:r>
        <w:t>ir taxable income would</w:t>
      </w:r>
      <w:r w:rsidRPr="00A47F2A">
        <w:t xml:space="preserve"> be less than their total income.</w:t>
      </w:r>
    </w:p>
  </w:footnote>
  <w:footnote w:id="18">
    <w:p w14:paraId="204F41E2" w14:textId="1ACC24BD" w:rsidR="00312422" w:rsidRPr="00A47F2A" w:rsidRDefault="00312422" w:rsidP="00094A69">
      <w:pPr>
        <w:pStyle w:val="FootnoteText"/>
      </w:pPr>
      <w:r w:rsidRPr="00292115">
        <w:rPr>
          <w:rStyle w:val="FootnoteReference"/>
          <w:vertAlign w:val="baseline"/>
        </w:rPr>
        <w:footnoteRef/>
      </w:r>
      <w:r w:rsidRPr="00A47F2A">
        <w:t xml:space="preserve"> </w:t>
      </w:r>
      <w:r w:rsidRPr="00A47F2A">
        <w:tab/>
        <w:t>This example assumes that the return on equity is the same as the cost o</w:t>
      </w:r>
      <w:r>
        <w:t>f</w:t>
      </w:r>
      <w:r w:rsidRPr="00A47F2A">
        <w:t xml:space="preserve"> debt. The observation that any tax advantage from investing in property or other assets derives from the </w:t>
      </w:r>
      <w:r>
        <w:t>CGT</w:t>
      </w:r>
      <w:r w:rsidRPr="00A47F2A">
        <w:t xml:space="preserve"> treatment</w:t>
      </w:r>
      <w:r>
        <w:t>,</w:t>
      </w:r>
      <w:r w:rsidRPr="00A47F2A">
        <w:t xml:space="preserve"> and not </w:t>
      </w:r>
      <w:r>
        <w:t xml:space="preserve">from </w:t>
      </w:r>
      <w:r w:rsidRPr="00A47F2A">
        <w:t>the deductibility of any interest on borrowings</w:t>
      </w:r>
      <w:r>
        <w:t>,</w:t>
      </w:r>
      <w:r w:rsidRPr="00A47F2A">
        <w:t xml:space="preserve"> is not materially affected if those rates differ. </w:t>
      </w:r>
    </w:p>
  </w:footnote>
  <w:footnote w:id="19">
    <w:p w14:paraId="32C217E7" w14:textId="67471A5B" w:rsidR="00312422" w:rsidRPr="00A47F2A" w:rsidRDefault="00312422" w:rsidP="00A47F2A">
      <w:pPr>
        <w:pStyle w:val="FootnoteText"/>
      </w:pPr>
      <w:r w:rsidRPr="00292115">
        <w:rPr>
          <w:rStyle w:val="FootnoteReference"/>
          <w:vertAlign w:val="baseline"/>
        </w:rPr>
        <w:footnoteRef/>
      </w:r>
      <w:r>
        <w:t xml:space="preserve"> </w:t>
      </w:r>
      <w:r>
        <w:tab/>
      </w:r>
      <w:r w:rsidRPr="00A47F2A">
        <w:rPr>
          <w:rStyle w:val="FootnoteReference"/>
          <w:vertAlign w:val="baseline"/>
        </w:rPr>
        <w:t>A</w:t>
      </w:r>
      <w:r w:rsidRPr="00A47F2A">
        <w:t xml:space="preserve">BS 2013, </w:t>
      </w:r>
      <w:r w:rsidRPr="008006D5">
        <w:rPr>
          <w:i/>
        </w:rPr>
        <w:t>Household Wealth and Wealth Distribution, Australia, 2011</w:t>
      </w:r>
      <w:r>
        <w:rPr>
          <w:i/>
        </w:rPr>
        <w:noBreakHyphen/>
      </w:r>
      <w:r w:rsidRPr="008006D5">
        <w:rPr>
          <w:i/>
        </w:rPr>
        <w:t>12</w:t>
      </w:r>
      <w:r w:rsidRPr="00A47F2A">
        <w:t>, cat. </w:t>
      </w:r>
      <w:proofErr w:type="gramStart"/>
      <w:r w:rsidRPr="00A47F2A">
        <w:t>no</w:t>
      </w:r>
      <w:proofErr w:type="gramEnd"/>
      <w:r w:rsidRPr="00A47F2A">
        <w:t>. 6554.0, ABS, Canberra.</w:t>
      </w:r>
    </w:p>
  </w:footnote>
  <w:footnote w:id="20">
    <w:p w14:paraId="0146F6AA" w14:textId="0D84FEAB"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 xml:space="preserve">Australian Institute of Health and Welfare (AIHW) 2013, </w:t>
      </w:r>
      <w:r w:rsidRPr="008006D5">
        <w:rPr>
          <w:i/>
        </w:rPr>
        <w:t>Australia</w:t>
      </w:r>
      <w:r>
        <w:rPr>
          <w:i/>
        </w:rPr>
        <w:t>’</w:t>
      </w:r>
      <w:r w:rsidRPr="008006D5">
        <w:rPr>
          <w:i/>
        </w:rPr>
        <w:t>s welfare</w:t>
      </w:r>
      <w:r w:rsidRPr="00A47F2A">
        <w:t>, no. 11.</w:t>
      </w:r>
      <w:proofErr w:type="gramEnd"/>
      <w:r w:rsidRPr="00A47F2A">
        <w:t xml:space="preserve"> </w:t>
      </w:r>
      <w:proofErr w:type="gramStart"/>
      <w:r w:rsidRPr="00A47F2A">
        <w:t>cat</w:t>
      </w:r>
      <w:proofErr w:type="gramEnd"/>
      <w:r w:rsidRPr="00A47F2A">
        <w:t>. </w:t>
      </w:r>
      <w:proofErr w:type="gramStart"/>
      <w:r w:rsidRPr="00A47F2A">
        <w:t>no</w:t>
      </w:r>
      <w:proofErr w:type="gramEnd"/>
      <w:r w:rsidRPr="00A47F2A">
        <w:t xml:space="preserve">. AUS 174, AIHW, Canberra. Note: the remaining 3 per cent either had an </w:t>
      </w:r>
      <w:r>
        <w:t>‘</w:t>
      </w:r>
      <w:r w:rsidRPr="00A47F2A">
        <w:t>other</w:t>
      </w:r>
      <w:r>
        <w:t>’</w:t>
      </w:r>
      <w:r w:rsidRPr="00A47F2A">
        <w:t xml:space="preserve"> tenure type or the information was not specified. </w:t>
      </w:r>
    </w:p>
  </w:footnote>
  <w:footnote w:id="21">
    <w:p w14:paraId="48AE7BC8" w14:textId="526435D1" w:rsidR="00312422" w:rsidRPr="00A47F2A" w:rsidRDefault="00312422" w:rsidP="00A47F2A">
      <w:pPr>
        <w:pStyle w:val="FootnoteText"/>
      </w:pPr>
      <w:r w:rsidRPr="00292115">
        <w:rPr>
          <w:rStyle w:val="FootnoteReference"/>
          <w:vertAlign w:val="baseline"/>
        </w:rPr>
        <w:footnoteRef/>
      </w:r>
      <w:r w:rsidRPr="00A47F2A">
        <w:t xml:space="preserve"> </w:t>
      </w:r>
      <w:r w:rsidRPr="00A47F2A">
        <w:tab/>
        <w:t>This assumes an income tax treatment of savings consistent with the current Tax Expenditure</w:t>
      </w:r>
      <w:r>
        <w:t>s</w:t>
      </w:r>
      <w:r w:rsidRPr="00A47F2A">
        <w:t xml:space="preserve"> Statement</w:t>
      </w:r>
      <w:r>
        <w:t>.</w:t>
      </w:r>
      <w:r w:rsidRPr="00A47F2A">
        <w:t xml:space="preserve"> </w:t>
      </w:r>
      <w:r>
        <w:t>T</w:t>
      </w:r>
      <w:r w:rsidRPr="00A47F2A">
        <w:t>hat is, using a comprehensive income tax benchmark for measuring the extent of the tax concessions</w:t>
      </w:r>
      <w:r>
        <w:t xml:space="preserve">. </w:t>
      </w:r>
      <w:r w:rsidRPr="00A47F2A">
        <w:t>Under this benchmark, all income is taxed at marginal rates</w:t>
      </w:r>
      <w:r>
        <w:t xml:space="preserve">. </w:t>
      </w:r>
      <w:r w:rsidRPr="00A47F2A">
        <w:t>The alternative would be an expenditure tax benchmark</w:t>
      </w:r>
      <w:r>
        <w:t>,</w:t>
      </w:r>
      <w:r w:rsidRPr="00A47F2A">
        <w:t xml:space="preserve"> where income from capital is exempt from tax</w:t>
      </w:r>
      <w:r>
        <w:t xml:space="preserve">. </w:t>
      </w:r>
      <w:r w:rsidRPr="00A47F2A">
        <w:t xml:space="preserve">Using either benchmark, superannuation is in aggregate taxed concessionally. For more information see </w:t>
      </w:r>
      <w:r>
        <w:t xml:space="preserve">the </w:t>
      </w:r>
      <w:r w:rsidRPr="00A47F2A">
        <w:t>2013 Tax Expenditure</w:t>
      </w:r>
      <w:r>
        <w:t>s</w:t>
      </w:r>
      <w:r w:rsidRPr="00A47F2A">
        <w:t xml:space="preserve"> Statement</w:t>
      </w:r>
      <w:r>
        <w:t xml:space="preserve">. </w:t>
      </w:r>
      <w:r w:rsidRPr="00A47F2A">
        <w:t>The choice of benchmark should not be interpreted as indicating a view on how an activity or class of taxpayer ought to be taxed.</w:t>
      </w:r>
    </w:p>
  </w:footnote>
  <w:footnote w:id="22">
    <w:p w14:paraId="4AA727C7" w14:textId="74016C1C"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Australian Prudential </w:t>
      </w:r>
      <w:r>
        <w:t>Regulation Authority (APRA) 2015</w:t>
      </w:r>
      <w:r w:rsidRPr="00A47F2A">
        <w:t xml:space="preserve">, </w:t>
      </w:r>
      <w:r w:rsidRPr="008006D5">
        <w:rPr>
          <w:i/>
        </w:rPr>
        <w:t>Quarterly Superannuation Performance (interim edition)</w:t>
      </w:r>
      <w:r w:rsidRPr="00A47F2A">
        <w:t xml:space="preserve">, </w:t>
      </w:r>
      <w:r>
        <w:rPr>
          <w:i/>
        </w:rPr>
        <w:t>December</w:t>
      </w:r>
      <w:r w:rsidRPr="005B1972">
        <w:rPr>
          <w:i/>
        </w:rPr>
        <w:t xml:space="preserve"> 2014</w:t>
      </w:r>
      <w:r w:rsidRPr="00A47F2A">
        <w:t xml:space="preserve">, </w:t>
      </w:r>
      <w:r>
        <w:t>APRA, Sydney; and ABS 2015</w:t>
      </w:r>
      <w:r w:rsidRPr="00A47F2A">
        <w:t xml:space="preserve">, </w:t>
      </w:r>
      <w:r w:rsidRPr="008006D5">
        <w:rPr>
          <w:i/>
        </w:rPr>
        <w:t>Australian National Accounts: National Income, Expenditure and Product</w:t>
      </w:r>
      <w:r w:rsidRPr="00A47F2A">
        <w:t>, cat. </w:t>
      </w:r>
      <w:proofErr w:type="gramStart"/>
      <w:r w:rsidRPr="00A47F2A">
        <w:t>no</w:t>
      </w:r>
      <w:proofErr w:type="gramEnd"/>
      <w:r w:rsidRPr="00A47F2A">
        <w:t>. 5206.0, ABS, Canberra.</w:t>
      </w:r>
    </w:p>
  </w:footnote>
  <w:footnote w:id="23">
    <w:p w14:paraId="09ADDDCE" w14:textId="4F59EFD3" w:rsidR="00312422" w:rsidRPr="00A47F2A" w:rsidRDefault="00312422" w:rsidP="00A47F2A">
      <w:pPr>
        <w:pStyle w:val="FootnoteText"/>
      </w:pPr>
      <w:r w:rsidRPr="00292115">
        <w:rPr>
          <w:rStyle w:val="FootnoteReference"/>
          <w:vertAlign w:val="baseline"/>
        </w:rPr>
        <w:footnoteRef/>
      </w:r>
      <w:r w:rsidRPr="00A47F2A">
        <w:t xml:space="preserve"> </w:t>
      </w:r>
      <w:r w:rsidRPr="00A47F2A">
        <w:tab/>
        <w:t xml:space="preserve">Gruen, D, Soding, L 2011, </w:t>
      </w:r>
      <w:r>
        <w:t>‘</w:t>
      </w:r>
      <w:r w:rsidRPr="00A47F2A">
        <w:t>Compulsory Superannuation and National Saving</w:t>
      </w:r>
      <w:r>
        <w:t>’</w:t>
      </w:r>
      <w:r w:rsidRPr="00A47F2A">
        <w:t xml:space="preserve">, Address by Gruen, D, to the Melbourne Institute/the Australian 2011 Economic and Social Outlook Conference, 1 July 2011. </w:t>
      </w:r>
    </w:p>
  </w:footnote>
  <w:footnote w:id="24">
    <w:p w14:paraId="43C59123" w14:textId="49EC2ECB" w:rsidR="00312422" w:rsidRPr="00A47F2A" w:rsidRDefault="00312422" w:rsidP="00A47F2A">
      <w:pPr>
        <w:pStyle w:val="FootnoteText"/>
      </w:pPr>
      <w:r w:rsidRPr="00292115">
        <w:rPr>
          <w:rStyle w:val="FootnoteReference"/>
          <w:vertAlign w:val="baseline"/>
        </w:rPr>
        <w:footnoteRef/>
      </w:r>
      <w:r w:rsidRPr="00A47F2A">
        <w:t xml:space="preserve"> </w:t>
      </w:r>
      <w:r>
        <w:tab/>
      </w:r>
      <w:r w:rsidRPr="00A47F2A">
        <w:t xml:space="preserve">Australian Government 2014, </w:t>
      </w:r>
      <w:r w:rsidRPr="004F695F">
        <w:rPr>
          <w:i/>
        </w:rPr>
        <w:t>Financial System Inquiry: Final Report (Murray Inquiry)</w:t>
      </w:r>
      <w:r w:rsidRPr="00A47F2A">
        <w:t>, Australian Government, Canberra</w:t>
      </w:r>
      <w:r>
        <w:t>.</w:t>
      </w:r>
    </w:p>
  </w:footnote>
  <w:footnote w:id="25">
    <w:p w14:paraId="6532E14F" w14:textId="2DECAD0D"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r w:rsidRPr="008C26F6">
        <w:t xml:space="preserve">Australian Government 2015, </w:t>
      </w:r>
      <w:r w:rsidRPr="008C26F6">
        <w:rPr>
          <w:i/>
        </w:rPr>
        <w:t>Income support customers, a statistical overview 2013</w:t>
      </w:r>
      <w:r w:rsidRPr="008C26F6">
        <w:t xml:space="preserve">, statistical paper no. 12, Department of Social Services, Canberra; and ABS 2014, </w:t>
      </w:r>
      <w:r w:rsidRPr="008C26F6">
        <w:rPr>
          <w:i/>
        </w:rPr>
        <w:t>Demographic Statistics, June 2014</w:t>
      </w:r>
      <w:r w:rsidRPr="008C26F6">
        <w:t>, cat. </w:t>
      </w:r>
      <w:proofErr w:type="gramStart"/>
      <w:r w:rsidRPr="008C26F6">
        <w:t>no</w:t>
      </w:r>
      <w:proofErr w:type="gramEnd"/>
      <w:r w:rsidRPr="008C26F6">
        <w:t>. 3101.0, ABS, Canberra.</w:t>
      </w:r>
    </w:p>
  </w:footnote>
  <w:footnote w:id="26">
    <w:p w14:paraId="77871311" w14:textId="056975DF"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 xml:space="preserve">Australian Government 2010, </w:t>
      </w:r>
      <w:r w:rsidRPr="006F4F88">
        <w:rPr>
          <w:i/>
        </w:rPr>
        <w:t>Australia</w:t>
      </w:r>
      <w:r>
        <w:rPr>
          <w:i/>
        </w:rPr>
        <w:t>’</w:t>
      </w:r>
      <w:r w:rsidRPr="006F4F88">
        <w:rPr>
          <w:i/>
        </w:rPr>
        <w:t>s Future Tax System Review (Henry Tax Review)</w:t>
      </w:r>
      <w:r w:rsidRPr="00A47F2A">
        <w:t>, Australian Government, Canberra.</w:t>
      </w:r>
      <w:proofErr w:type="gramEnd"/>
    </w:p>
  </w:footnote>
  <w:footnote w:id="27">
    <w:p w14:paraId="61186010" w14:textId="790538E5" w:rsidR="00312422" w:rsidRPr="00A47F2A" w:rsidRDefault="00312422" w:rsidP="004A7BB0">
      <w:pPr>
        <w:pStyle w:val="FootnoteText"/>
      </w:pPr>
      <w:r w:rsidRPr="00292115">
        <w:rPr>
          <w:rStyle w:val="FootnoteReference"/>
          <w:vertAlign w:val="baseline"/>
        </w:rPr>
        <w:footnoteRef/>
      </w:r>
      <w:r w:rsidRPr="00A47F2A">
        <w:t xml:space="preserve"> </w:t>
      </w:r>
      <w:r>
        <w:tab/>
      </w:r>
      <w:r w:rsidRPr="00A47F2A">
        <w:t xml:space="preserve">Christiansen, V 2004, </w:t>
      </w:r>
      <w:r w:rsidRPr="005F186C">
        <w:rPr>
          <w:i/>
        </w:rPr>
        <w:t>Norwegian Income Tax Reforms</w:t>
      </w:r>
      <w:r w:rsidRPr="00A47F2A">
        <w:t>, CESifo DICE Report 3/2004</w:t>
      </w:r>
      <w:r>
        <w:t>.</w:t>
      </w:r>
    </w:p>
  </w:footnote>
  <w:footnote w:id="28">
    <w:p w14:paraId="7F2A3693" w14:textId="475DEACB" w:rsidR="00312422" w:rsidRPr="00A47F2A" w:rsidRDefault="00312422" w:rsidP="004A7BB0">
      <w:pPr>
        <w:pStyle w:val="FootnoteText"/>
      </w:pPr>
      <w:r w:rsidRPr="00292115">
        <w:rPr>
          <w:rStyle w:val="FootnoteReference"/>
          <w:vertAlign w:val="baseline"/>
        </w:rPr>
        <w:footnoteRef/>
      </w:r>
      <w:r w:rsidRPr="00A47F2A">
        <w:t xml:space="preserve"> </w:t>
      </w:r>
      <w:r>
        <w:tab/>
      </w:r>
      <w:r w:rsidRPr="00A47F2A">
        <w:t>Nordisk e</w:t>
      </w:r>
      <w:r>
        <w:noBreakHyphen/>
      </w:r>
      <w:r w:rsidRPr="00A47F2A">
        <w:t xml:space="preserve">tax 2014, </w:t>
      </w:r>
      <w:r w:rsidRPr="005F186C">
        <w:rPr>
          <w:i/>
        </w:rPr>
        <w:t xml:space="preserve">Norway </w:t>
      </w:r>
      <w:r>
        <w:rPr>
          <w:i/>
        </w:rPr>
        <w:t>—</w:t>
      </w:r>
      <w:r w:rsidRPr="005F186C">
        <w:rPr>
          <w:i/>
        </w:rPr>
        <w:t xml:space="preserve"> Tax rates and limits</w:t>
      </w:r>
      <w:r w:rsidRPr="00A47F2A">
        <w:t>, v</w:t>
      </w:r>
      <w:r>
        <w:t xml:space="preserve">iewed 08 December 2014: </w:t>
      </w:r>
      <w:hyperlink r:id="rId1" w:history="1">
        <w:r w:rsidRPr="002F3190">
          <w:rPr>
            <w:rStyle w:val="Hyperlink"/>
          </w:rPr>
          <w:t>www.nordisketax.net/main.asp?url=files/nor/eng/i07.asp</w:t>
        </w:r>
      </w:hyperlink>
      <w:r>
        <w:rPr>
          <w:rStyle w:val="Hyperlink"/>
        </w:rPr>
        <w:t>.</w:t>
      </w:r>
    </w:p>
  </w:footnote>
  <w:footnote w:id="29">
    <w:p w14:paraId="0C2E86E9" w14:textId="56133721"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OECD 201</w:t>
      </w:r>
      <w:r>
        <w:t>4</w:t>
      </w:r>
      <w:r w:rsidRPr="00A47F2A">
        <w:t xml:space="preserve">, </w:t>
      </w:r>
      <w:r>
        <w:rPr>
          <w:i/>
        </w:rPr>
        <w:t>Revenue Statistics 2014</w:t>
      </w:r>
      <w:r w:rsidRPr="00A47F2A">
        <w:t>, OECD, Paris.</w:t>
      </w:r>
      <w:proofErr w:type="gramEnd"/>
    </w:p>
  </w:footnote>
  <w:footnote w:id="30">
    <w:p w14:paraId="14CA4F6F" w14:textId="346B380C" w:rsidR="00312422" w:rsidRPr="00A47F2A" w:rsidRDefault="00312422" w:rsidP="00A47F2A">
      <w:pPr>
        <w:pStyle w:val="FootnoteText"/>
      </w:pPr>
      <w:r w:rsidRPr="00292115">
        <w:rPr>
          <w:rStyle w:val="FootnoteReference"/>
          <w:vertAlign w:val="baseline"/>
        </w:rPr>
        <w:footnoteRef/>
      </w:r>
      <w:r w:rsidRPr="00A47F2A">
        <w:t xml:space="preserve"> </w:t>
      </w:r>
      <w:r w:rsidRPr="00A47F2A">
        <w:tab/>
      </w:r>
      <w:proofErr w:type="gramStart"/>
      <w:r w:rsidRPr="00A47F2A">
        <w:t xml:space="preserve">Australian Government 2010, </w:t>
      </w:r>
      <w:r w:rsidRPr="005F186C">
        <w:rPr>
          <w:rStyle w:val="Emphasis"/>
          <w:iCs w:val="0"/>
        </w:rPr>
        <w:t>Australia</w:t>
      </w:r>
      <w:r>
        <w:rPr>
          <w:rStyle w:val="Emphasis"/>
          <w:iCs w:val="0"/>
        </w:rPr>
        <w:t>’</w:t>
      </w:r>
      <w:r w:rsidRPr="005F186C">
        <w:rPr>
          <w:rStyle w:val="Emphasis"/>
          <w:iCs w:val="0"/>
        </w:rPr>
        <w:t>s Future Tax System Review</w:t>
      </w:r>
      <w:r w:rsidRPr="005F186C">
        <w:t xml:space="preserve"> (Henry Tax Review)</w:t>
      </w:r>
      <w:r w:rsidRPr="00A47F2A">
        <w:t>, Australian Government, Canberra.</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79F19" w14:textId="1E33D37F" w:rsidR="00312422" w:rsidRPr="00100DF1" w:rsidRDefault="00312422" w:rsidP="00100DF1">
    <w:pPr>
      <w:pStyle w:val="HeaderEven"/>
    </w:pPr>
    <w:r>
      <w:t>Tax Discussion Paper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40AAD" w14:textId="182DD15A" w:rsidR="00312422" w:rsidRPr="00A367BD" w:rsidRDefault="000D4DD4" w:rsidP="00A367BD">
    <w:pPr>
      <w:pStyle w:val="HeaderOdd"/>
    </w:pPr>
    <w:fldSimple w:instr=" STYLEREF  &quot;Heading 1&quot;  \* MERGEFORMAT ">
      <w:r w:rsidR="00C47D42">
        <w:rPr>
          <w:noProof/>
        </w:rPr>
        <w:t>Savings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EBD02" w14:textId="0225E101" w:rsidR="00312422" w:rsidRDefault="00312422" w:rsidP="00E15486">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02358589" wp14:editId="0BDFC8D0">
              <wp:simplePos x="0" y="0"/>
              <wp:positionH relativeFrom="column">
                <wp:posOffset>-909955</wp:posOffset>
              </wp:positionH>
              <wp:positionV relativeFrom="paragraph">
                <wp:posOffset>-450215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65pt;margin-top:-35.4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" fillcolor="#31a7d4 [3204]"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090B0DB0"/>
    <w:multiLevelType w:val="multilevel"/>
    <w:tmpl w:val="D9A8A212"/>
    <w:styleLink w:val="RomanNumeralList"/>
    <w:lvl w:ilvl="0">
      <w:start w:val="1"/>
      <w:numFmt w:val="lowerRoma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A7A0916"/>
    <w:multiLevelType w:val="hybridMultilevel"/>
    <w:tmpl w:val="47B410F0"/>
    <w:name w:val="StandardNumberedList22"/>
    <w:lvl w:ilvl="0" w:tplc="290278B0">
      <w:start w:val="1"/>
      <w:numFmt w:val="bullet"/>
      <w:pStyle w:val="Keyfindingtex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D7D2137"/>
    <w:multiLevelType w:val="hybridMultilevel"/>
    <w:tmpl w:val="CFB29438"/>
    <w:name w:val="StandardNumberedList222"/>
    <w:lvl w:ilvl="0" w:tplc="C15ED6BE">
      <w:start w:val="1"/>
      <w:numFmt w:val="bullet"/>
      <w:pStyle w:val="Casestudy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2B26652"/>
    <w:multiLevelType w:val="multilevel"/>
    <w:tmpl w:val="D706AF06"/>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4.%2"/>
      <w:lvlJc w:val="left"/>
      <w:pPr>
        <w:ind w:left="714" w:hanging="357"/>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18313C8F"/>
    <w:multiLevelType w:val="multilevel"/>
    <w:tmpl w:val="C3E8430E"/>
    <w:name w:val="StandardNumberedList23"/>
    <w:lvl w:ilvl="0">
      <w:start w:val="4"/>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0">
    <w:nsid w:val="1DC95BBF"/>
    <w:multiLevelType w:val="multilevel"/>
    <w:tmpl w:val="851052E0"/>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2">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7440C8B"/>
    <w:multiLevelType w:val="multilevel"/>
    <w:tmpl w:val="859E9682"/>
    <w:lvl w:ilvl="0">
      <w:start w:val="1"/>
      <w:numFmt w:val="bullet"/>
      <w:lvlRestart w:val="0"/>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A3C0D35"/>
    <w:multiLevelType w:val="multilevel"/>
    <w:tmpl w:val="C70A4502"/>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B4B0C50"/>
    <w:multiLevelType w:val="hybridMultilevel"/>
    <w:tmpl w:val="C0366C84"/>
    <w:name w:val="StandardNumberedList2222"/>
    <w:lvl w:ilvl="0" w:tplc="9F88A586">
      <w:start w:val="1"/>
      <w:numFmt w:val="bullet"/>
      <w:pStyle w:val="Tablettex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9">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20">
    <w:nsid w:val="308C2710"/>
    <w:multiLevelType w:val="multilevel"/>
    <w:tmpl w:val="3C10AB54"/>
    <w:styleLink w:val="BulletedList"/>
    <w:lvl w:ilvl="0">
      <w:start w:val="1"/>
      <w:numFmt w:val="bullet"/>
      <w:lvlRestart w:val="0"/>
      <w:pStyle w:val="Bullet"/>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1">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5F34343"/>
    <w:multiLevelType w:val="multilevel"/>
    <w:tmpl w:val="EA00A7BE"/>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8D66B1F"/>
    <w:multiLevelType w:val="hybridMultilevel"/>
    <w:tmpl w:val="54DAB62A"/>
    <w:lvl w:ilvl="0" w:tplc="ABC67A6E">
      <w:start w:val="17"/>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7">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8">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9">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33A59A1"/>
    <w:multiLevelType w:val="hybridMultilevel"/>
    <w:tmpl w:val="3752CA02"/>
    <w:lvl w:ilvl="0" w:tplc="DB945EFA">
      <w:start w:val="18"/>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9656B3B"/>
    <w:multiLevelType w:val="multilevel"/>
    <w:tmpl w:val="06DA523E"/>
    <w:lvl w:ilvl="0">
      <w:start w:val="1"/>
      <w:numFmt w:val="bullet"/>
      <w:lvlText w:val=""/>
      <w:lvlJc w:val="left"/>
      <w:pPr>
        <w:tabs>
          <w:tab w:val="num" w:pos="520"/>
        </w:tabs>
        <w:ind w:left="520" w:hanging="520"/>
      </w:pPr>
      <w:rPr>
        <w:rFonts w:ascii="Symbol" w:hAnsi="Symbol" w:hint="default"/>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11"/>
  </w:num>
  <w:num w:numId="3">
    <w:abstractNumId w:val="19"/>
  </w:num>
  <w:num w:numId="4">
    <w:abstractNumId w:val="26"/>
  </w:num>
  <w:num w:numId="5">
    <w:abstractNumId w:val="27"/>
  </w:num>
  <w:num w:numId="6">
    <w:abstractNumId w:val="9"/>
  </w:num>
  <w:num w:numId="7">
    <w:abstractNumId w:val="28"/>
  </w:num>
  <w:num w:numId="8">
    <w:abstractNumId w:val="14"/>
  </w:num>
  <w:num w:numId="9">
    <w:abstractNumId w:val="18"/>
  </w:num>
  <w:num w:numId="10">
    <w:abstractNumId w:val="11"/>
  </w:num>
  <w:num w:numId="11">
    <w:abstractNumId w:val="20"/>
  </w:num>
  <w:num w:numId="12">
    <w:abstractNumId w:val="3"/>
  </w:num>
  <w:num w:numId="13">
    <w:abstractNumId w:val="25"/>
  </w:num>
  <w:num w:numId="14">
    <w:abstractNumId w:val="6"/>
  </w:num>
  <w:num w:numId="15">
    <w:abstractNumId w:val="34"/>
  </w:num>
  <w:num w:numId="16">
    <w:abstractNumId w:val="4"/>
  </w:num>
  <w:num w:numId="17">
    <w:abstractNumId w:val="5"/>
  </w:num>
  <w:num w:numId="18">
    <w:abstractNumId w:val="16"/>
  </w:num>
  <w:num w:numId="19">
    <w:abstractNumId w:val="12"/>
  </w:num>
  <w:num w:numId="20">
    <w:abstractNumId w:val="16"/>
  </w:num>
  <w:num w:numId="21">
    <w:abstractNumId w:val="25"/>
    <w:lvlOverride w:ilvl="0">
      <w:startOverride w:val="17"/>
    </w:lvlOverride>
  </w:num>
  <w:num w:numId="22">
    <w:abstractNumId w:val="25"/>
  </w:num>
  <w:num w:numId="23">
    <w:abstractNumId w:val="4"/>
  </w:num>
  <w:num w:numId="24">
    <w:abstractNumId w:val="10"/>
  </w:num>
  <w:num w:numId="25">
    <w:abstractNumId w:val="33"/>
  </w:num>
  <w:num w:numId="26">
    <w:abstractNumId w:val="2"/>
  </w:num>
  <w:num w:numId="27">
    <w:abstractNumId w:val="24"/>
  </w:num>
  <w:num w:numId="28">
    <w:abstractNumId w:val="29"/>
  </w:num>
  <w:num w:numId="29">
    <w:abstractNumId w:val="30"/>
  </w:num>
  <w:num w:numId="30">
    <w:abstractNumId w:val="0"/>
  </w:num>
  <w:num w:numId="31">
    <w:abstractNumId w:val="17"/>
  </w:num>
  <w:num w:numId="32">
    <w:abstractNumId w:val="23"/>
  </w:num>
  <w:num w:numId="3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239617"/>
  </w:hdrShapeDefaults>
  <w:footnotePr>
    <w:numStart w:val="50"/>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17D2"/>
    <w:rsid w:val="000026F4"/>
    <w:rsid w:val="00004795"/>
    <w:rsid w:val="00004F60"/>
    <w:rsid w:val="00005FE6"/>
    <w:rsid w:val="000063C3"/>
    <w:rsid w:val="00006F7E"/>
    <w:rsid w:val="0000739F"/>
    <w:rsid w:val="00007E4D"/>
    <w:rsid w:val="00012182"/>
    <w:rsid w:val="000126C2"/>
    <w:rsid w:val="00013CCA"/>
    <w:rsid w:val="000143C4"/>
    <w:rsid w:val="000155F0"/>
    <w:rsid w:val="00020CF0"/>
    <w:rsid w:val="00021888"/>
    <w:rsid w:val="00027DFD"/>
    <w:rsid w:val="00030528"/>
    <w:rsid w:val="00032D0F"/>
    <w:rsid w:val="000334D3"/>
    <w:rsid w:val="000353C0"/>
    <w:rsid w:val="0003658E"/>
    <w:rsid w:val="00037D02"/>
    <w:rsid w:val="00041D41"/>
    <w:rsid w:val="0004285F"/>
    <w:rsid w:val="000438A2"/>
    <w:rsid w:val="0004481B"/>
    <w:rsid w:val="00046BF5"/>
    <w:rsid w:val="00047707"/>
    <w:rsid w:val="00047DC7"/>
    <w:rsid w:val="00052B65"/>
    <w:rsid w:val="000537BA"/>
    <w:rsid w:val="000545F3"/>
    <w:rsid w:val="0005532C"/>
    <w:rsid w:val="000571A3"/>
    <w:rsid w:val="00057308"/>
    <w:rsid w:val="000577F5"/>
    <w:rsid w:val="00060214"/>
    <w:rsid w:val="00060B89"/>
    <w:rsid w:val="000617A4"/>
    <w:rsid w:val="000618A0"/>
    <w:rsid w:val="000654D3"/>
    <w:rsid w:val="00065D21"/>
    <w:rsid w:val="00066BC7"/>
    <w:rsid w:val="00066BFE"/>
    <w:rsid w:val="00066CEC"/>
    <w:rsid w:val="00070AC3"/>
    <w:rsid w:val="00071A5B"/>
    <w:rsid w:val="00072186"/>
    <w:rsid w:val="000729AD"/>
    <w:rsid w:val="000755EE"/>
    <w:rsid w:val="000805CB"/>
    <w:rsid w:val="0008146A"/>
    <w:rsid w:val="00081898"/>
    <w:rsid w:val="000822FD"/>
    <w:rsid w:val="00082BA4"/>
    <w:rsid w:val="00084D17"/>
    <w:rsid w:val="00087920"/>
    <w:rsid w:val="000900C3"/>
    <w:rsid w:val="0009067A"/>
    <w:rsid w:val="0009184A"/>
    <w:rsid w:val="0009216A"/>
    <w:rsid w:val="00094A69"/>
    <w:rsid w:val="0009522D"/>
    <w:rsid w:val="00095644"/>
    <w:rsid w:val="00095935"/>
    <w:rsid w:val="00097133"/>
    <w:rsid w:val="000A003D"/>
    <w:rsid w:val="000A0525"/>
    <w:rsid w:val="000A1133"/>
    <w:rsid w:val="000A135A"/>
    <w:rsid w:val="000A7613"/>
    <w:rsid w:val="000B0C1F"/>
    <w:rsid w:val="000B29BC"/>
    <w:rsid w:val="000B5355"/>
    <w:rsid w:val="000B55F3"/>
    <w:rsid w:val="000C1C42"/>
    <w:rsid w:val="000C50CF"/>
    <w:rsid w:val="000C69C3"/>
    <w:rsid w:val="000C7B4D"/>
    <w:rsid w:val="000D02FF"/>
    <w:rsid w:val="000D04A4"/>
    <w:rsid w:val="000D2035"/>
    <w:rsid w:val="000D4DD4"/>
    <w:rsid w:val="000D5262"/>
    <w:rsid w:val="000D5372"/>
    <w:rsid w:val="000D6AFA"/>
    <w:rsid w:val="000D7D1D"/>
    <w:rsid w:val="000E0596"/>
    <w:rsid w:val="000E5409"/>
    <w:rsid w:val="000E7B6B"/>
    <w:rsid w:val="000F2429"/>
    <w:rsid w:val="000F24CB"/>
    <w:rsid w:val="000F4CCD"/>
    <w:rsid w:val="000F5B8B"/>
    <w:rsid w:val="00100DF1"/>
    <w:rsid w:val="00102A23"/>
    <w:rsid w:val="00103EE9"/>
    <w:rsid w:val="001042D5"/>
    <w:rsid w:val="001060CC"/>
    <w:rsid w:val="00106DA2"/>
    <w:rsid w:val="001143B0"/>
    <w:rsid w:val="0011499B"/>
    <w:rsid w:val="001150C2"/>
    <w:rsid w:val="00116863"/>
    <w:rsid w:val="00116CCA"/>
    <w:rsid w:val="0012147E"/>
    <w:rsid w:val="00123C8F"/>
    <w:rsid w:val="0012565D"/>
    <w:rsid w:val="0012637D"/>
    <w:rsid w:val="0012699F"/>
    <w:rsid w:val="00130A29"/>
    <w:rsid w:val="00130D51"/>
    <w:rsid w:val="00131111"/>
    <w:rsid w:val="0013261E"/>
    <w:rsid w:val="00134D02"/>
    <w:rsid w:val="0013643B"/>
    <w:rsid w:val="00137931"/>
    <w:rsid w:val="00137D56"/>
    <w:rsid w:val="00141A3B"/>
    <w:rsid w:val="001425C5"/>
    <w:rsid w:val="0014406B"/>
    <w:rsid w:val="001456F2"/>
    <w:rsid w:val="00145986"/>
    <w:rsid w:val="00146511"/>
    <w:rsid w:val="00146B5C"/>
    <w:rsid w:val="001474B9"/>
    <w:rsid w:val="00147D03"/>
    <w:rsid w:val="001504A3"/>
    <w:rsid w:val="0015081A"/>
    <w:rsid w:val="00154DB0"/>
    <w:rsid w:val="0015655D"/>
    <w:rsid w:val="00156935"/>
    <w:rsid w:val="0016025F"/>
    <w:rsid w:val="0016232F"/>
    <w:rsid w:val="0016266C"/>
    <w:rsid w:val="00163F01"/>
    <w:rsid w:val="00165095"/>
    <w:rsid w:val="00165F9A"/>
    <w:rsid w:val="00166E41"/>
    <w:rsid w:val="00167010"/>
    <w:rsid w:val="00167064"/>
    <w:rsid w:val="00172FB5"/>
    <w:rsid w:val="001730E1"/>
    <w:rsid w:val="00174C52"/>
    <w:rsid w:val="00176170"/>
    <w:rsid w:val="0017622A"/>
    <w:rsid w:val="001764A1"/>
    <w:rsid w:val="00176C70"/>
    <w:rsid w:val="00180BE3"/>
    <w:rsid w:val="00181F80"/>
    <w:rsid w:val="001830F9"/>
    <w:rsid w:val="001865B5"/>
    <w:rsid w:val="00186C3A"/>
    <w:rsid w:val="0018795A"/>
    <w:rsid w:val="00190294"/>
    <w:rsid w:val="00190D81"/>
    <w:rsid w:val="0019464E"/>
    <w:rsid w:val="00194CEA"/>
    <w:rsid w:val="001A0BD0"/>
    <w:rsid w:val="001A5965"/>
    <w:rsid w:val="001A68A4"/>
    <w:rsid w:val="001A6F65"/>
    <w:rsid w:val="001A73F8"/>
    <w:rsid w:val="001B4A97"/>
    <w:rsid w:val="001B5BF6"/>
    <w:rsid w:val="001B7D0A"/>
    <w:rsid w:val="001B7F6B"/>
    <w:rsid w:val="001C09DF"/>
    <w:rsid w:val="001C2E07"/>
    <w:rsid w:val="001C3780"/>
    <w:rsid w:val="001C3B29"/>
    <w:rsid w:val="001C4947"/>
    <w:rsid w:val="001C6447"/>
    <w:rsid w:val="001C7CD5"/>
    <w:rsid w:val="001D0283"/>
    <w:rsid w:val="001D086F"/>
    <w:rsid w:val="001D177A"/>
    <w:rsid w:val="001D21E2"/>
    <w:rsid w:val="001D2A80"/>
    <w:rsid w:val="001D4861"/>
    <w:rsid w:val="001D551E"/>
    <w:rsid w:val="001D6742"/>
    <w:rsid w:val="001D6CB2"/>
    <w:rsid w:val="001D7B53"/>
    <w:rsid w:val="001E2701"/>
    <w:rsid w:val="001E2A2F"/>
    <w:rsid w:val="001E2DFA"/>
    <w:rsid w:val="001E3FEE"/>
    <w:rsid w:val="001E4633"/>
    <w:rsid w:val="001E5F6E"/>
    <w:rsid w:val="001E759A"/>
    <w:rsid w:val="001E78E9"/>
    <w:rsid w:val="001E78FE"/>
    <w:rsid w:val="001E7C22"/>
    <w:rsid w:val="001F15E6"/>
    <w:rsid w:val="001F34ED"/>
    <w:rsid w:val="001F3BD7"/>
    <w:rsid w:val="001F4D93"/>
    <w:rsid w:val="001F5D65"/>
    <w:rsid w:val="00201257"/>
    <w:rsid w:val="00202D3E"/>
    <w:rsid w:val="0020483B"/>
    <w:rsid w:val="00205E01"/>
    <w:rsid w:val="00205F6C"/>
    <w:rsid w:val="00206626"/>
    <w:rsid w:val="00206B94"/>
    <w:rsid w:val="00207A46"/>
    <w:rsid w:val="00207E6E"/>
    <w:rsid w:val="00215E13"/>
    <w:rsid w:val="002161AF"/>
    <w:rsid w:val="00217CAC"/>
    <w:rsid w:val="002202A9"/>
    <w:rsid w:val="002202D0"/>
    <w:rsid w:val="00223A49"/>
    <w:rsid w:val="00223FD8"/>
    <w:rsid w:val="00224A32"/>
    <w:rsid w:val="002255A2"/>
    <w:rsid w:val="00225D7E"/>
    <w:rsid w:val="00227427"/>
    <w:rsid w:val="002274F5"/>
    <w:rsid w:val="0023096D"/>
    <w:rsid w:val="00231813"/>
    <w:rsid w:val="00233782"/>
    <w:rsid w:val="00235A66"/>
    <w:rsid w:val="002371CE"/>
    <w:rsid w:val="0023766C"/>
    <w:rsid w:val="00240AAC"/>
    <w:rsid w:val="00241822"/>
    <w:rsid w:val="0024227C"/>
    <w:rsid w:val="002449FA"/>
    <w:rsid w:val="00245BD3"/>
    <w:rsid w:val="00245CA3"/>
    <w:rsid w:val="002465F2"/>
    <w:rsid w:val="00251A12"/>
    <w:rsid w:val="0025498B"/>
    <w:rsid w:val="002612B8"/>
    <w:rsid w:val="00261F3D"/>
    <w:rsid w:val="002636E7"/>
    <w:rsid w:val="00264091"/>
    <w:rsid w:val="00266858"/>
    <w:rsid w:val="002709E0"/>
    <w:rsid w:val="002730E9"/>
    <w:rsid w:val="00281346"/>
    <w:rsid w:val="00281FA9"/>
    <w:rsid w:val="0028210D"/>
    <w:rsid w:val="0028298D"/>
    <w:rsid w:val="0028318C"/>
    <w:rsid w:val="002838D4"/>
    <w:rsid w:val="0028390B"/>
    <w:rsid w:val="002845BF"/>
    <w:rsid w:val="00285298"/>
    <w:rsid w:val="00285777"/>
    <w:rsid w:val="00287F73"/>
    <w:rsid w:val="002905BE"/>
    <w:rsid w:val="00291D28"/>
    <w:rsid w:val="00292115"/>
    <w:rsid w:val="002926C3"/>
    <w:rsid w:val="002926FE"/>
    <w:rsid w:val="00293662"/>
    <w:rsid w:val="00294BBA"/>
    <w:rsid w:val="002954D8"/>
    <w:rsid w:val="002A0E02"/>
    <w:rsid w:val="002A1733"/>
    <w:rsid w:val="002A1A8B"/>
    <w:rsid w:val="002A1E4D"/>
    <w:rsid w:val="002A2C88"/>
    <w:rsid w:val="002A2FC5"/>
    <w:rsid w:val="002A3967"/>
    <w:rsid w:val="002A432C"/>
    <w:rsid w:val="002B1012"/>
    <w:rsid w:val="002B26AD"/>
    <w:rsid w:val="002B2C41"/>
    <w:rsid w:val="002B44CA"/>
    <w:rsid w:val="002B45B1"/>
    <w:rsid w:val="002B5EE9"/>
    <w:rsid w:val="002C01B8"/>
    <w:rsid w:val="002C1E4E"/>
    <w:rsid w:val="002C6D05"/>
    <w:rsid w:val="002D09A0"/>
    <w:rsid w:val="002D1B19"/>
    <w:rsid w:val="002D2743"/>
    <w:rsid w:val="002D4FA6"/>
    <w:rsid w:val="002E0345"/>
    <w:rsid w:val="002E15C6"/>
    <w:rsid w:val="002E284C"/>
    <w:rsid w:val="002E67BD"/>
    <w:rsid w:val="002E750A"/>
    <w:rsid w:val="002F07CD"/>
    <w:rsid w:val="002F0C6A"/>
    <w:rsid w:val="002F2331"/>
    <w:rsid w:val="002F354C"/>
    <w:rsid w:val="002F377B"/>
    <w:rsid w:val="002F3D8E"/>
    <w:rsid w:val="002F40A0"/>
    <w:rsid w:val="002F4440"/>
    <w:rsid w:val="00300CAF"/>
    <w:rsid w:val="00300E2D"/>
    <w:rsid w:val="00303EF3"/>
    <w:rsid w:val="00304A0F"/>
    <w:rsid w:val="00305311"/>
    <w:rsid w:val="0030699E"/>
    <w:rsid w:val="00311FA9"/>
    <w:rsid w:val="00312095"/>
    <w:rsid w:val="00312422"/>
    <w:rsid w:val="003126B3"/>
    <w:rsid w:val="00313CEE"/>
    <w:rsid w:val="00315F96"/>
    <w:rsid w:val="003178BC"/>
    <w:rsid w:val="00317977"/>
    <w:rsid w:val="00317E5E"/>
    <w:rsid w:val="00317EC0"/>
    <w:rsid w:val="0032087D"/>
    <w:rsid w:val="00321DFA"/>
    <w:rsid w:val="00322248"/>
    <w:rsid w:val="003227E4"/>
    <w:rsid w:val="003244F4"/>
    <w:rsid w:val="00327080"/>
    <w:rsid w:val="0033013B"/>
    <w:rsid w:val="0033053F"/>
    <w:rsid w:val="0033172C"/>
    <w:rsid w:val="00332009"/>
    <w:rsid w:val="00334B49"/>
    <w:rsid w:val="00335EAC"/>
    <w:rsid w:val="00336336"/>
    <w:rsid w:val="0033685C"/>
    <w:rsid w:val="003369F8"/>
    <w:rsid w:val="0034198B"/>
    <w:rsid w:val="00341AAF"/>
    <w:rsid w:val="003421BB"/>
    <w:rsid w:val="003423D3"/>
    <w:rsid w:val="00342BAA"/>
    <w:rsid w:val="00344137"/>
    <w:rsid w:val="003447F0"/>
    <w:rsid w:val="00350EC1"/>
    <w:rsid w:val="003511D0"/>
    <w:rsid w:val="003512EC"/>
    <w:rsid w:val="003519D4"/>
    <w:rsid w:val="00352E81"/>
    <w:rsid w:val="003549F7"/>
    <w:rsid w:val="00357E2F"/>
    <w:rsid w:val="003620D1"/>
    <w:rsid w:val="0036252E"/>
    <w:rsid w:val="00362982"/>
    <w:rsid w:val="00362BD3"/>
    <w:rsid w:val="0036558F"/>
    <w:rsid w:val="0036560B"/>
    <w:rsid w:val="003672DD"/>
    <w:rsid w:val="003707CD"/>
    <w:rsid w:val="00370BE1"/>
    <w:rsid w:val="0037160D"/>
    <w:rsid w:val="00372650"/>
    <w:rsid w:val="00376324"/>
    <w:rsid w:val="003764A6"/>
    <w:rsid w:val="003772DB"/>
    <w:rsid w:val="0038004F"/>
    <w:rsid w:val="00383972"/>
    <w:rsid w:val="00384034"/>
    <w:rsid w:val="00385CD7"/>
    <w:rsid w:val="003908CE"/>
    <w:rsid w:val="00391B7B"/>
    <w:rsid w:val="00391ED4"/>
    <w:rsid w:val="00393789"/>
    <w:rsid w:val="003948F5"/>
    <w:rsid w:val="00394C50"/>
    <w:rsid w:val="003A02F3"/>
    <w:rsid w:val="003A0EB8"/>
    <w:rsid w:val="003A1665"/>
    <w:rsid w:val="003A1E15"/>
    <w:rsid w:val="003A22E6"/>
    <w:rsid w:val="003A24D3"/>
    <w:rsid w:val="003A2645"/>
    <w:rsid w:val="003A27D1"/>
    <w:rsid w:val="003A4586"/>
    <w:rsid w:val="003A52A6"/>
    <w:rsid w:val="003A5EAE"/>
    <w:rsid w:val="003A7E20"/>
    <w:rsid w:val="003B15C6"/>
    <w:rsid w:val="003B299B"/>
    <w:rsid w:val="003B2F26"/>
    <w:rsid w:val="003B3011"/>
    <w:rsid w:val="003B4870"/>
    <w:rsid w:val="003B787B"/>
    <w:rsid w:val="003C1A02"/>
    <w:rsid w:val="003C1D92"/>
    <w:rsid w:val="003C4928"/>
    <w:rsid w:val="003C5BED"/>
    <w:rsid w:val="003C63E3"/>
    <w:rsid w:val="003C6815"/>
    <w:rsid w:val="003C6FEE"/>
    <w:rsid w:val="003D6A89"/>
    <w:rsid w:val="003D783C"/>
    <w:rsid w:val="003D7C4B"/>
    <w:rsid w:val="003E1151"/>
    <w:rsid w:val="003E1CF1"/>
    <w:rsid w:val="003E73C6"/>
    <w:rsid w:val="003F02BA"/>
    <w:rsid w:val="003F02F9"/>
    <w:rsid w:val="003F14FA"/>
    <w:rsid w:val="003F2AA5"/>
    <w:rsid w:val="003F5A8F"/>
    <w:rsid w:val="003F60FF"/>
    <w:rsid w:val="003F73F1"/>
    <w:rsid w:val="003F7C34"/>
    <w:rsid w:val="003F7EB4"/>
    <w:rsid w:val="004018FC"/>
    <w:rsid w:val="004027A6"/>
    <w:rsid w:val="00403E22"/>
    <w:rsid w:val="004064A3"/>
    <w:rsid w:val="00406B0D"/>
    <w:rsid w:val="00407238"/>
    <w:rsid w:val="004077AD"/>
    <w:rsid w:val="00414E88"/>
    <w:rsid w:val="004168E4"/>
    <w:rsid w:val="004201E6"/>
    <w:rsid w:val="00420A7E"/>
    <w:rsid w:val="00421697"/>
    <w:rsid w:val="00423C58"/>
    <w:rsid w:val="00424097"/>
    <w:rsid w:val="00424549"/>
    <w:rsid w:val="00425C0B"/>
    <w:rsid w:val="00426D05"/>
    <w:rsid w:val="00426E12"/>
    <w:rsid w:val="00427008"/>
    <w:rsid w:val="00430C31"/>
    <w:rsid w:val="00430ECD"/>
    <w:rsid w:val="00431290"/>
    <w:rsid w:val="00433A4D"/>
    <w:rsid w:val="00437E9B"/>
    <w:rsid w:val="0044079A"/>
    <w:rsid w:val="00441F5E"/>
    <w:rsid w:val="004433FD"/>
    <w:rsid w:val="004441CB"/>
    <w:rsid w:val="00446751"/>
    <w:rsid w:val="00447CAC"/>
    <w:rsid w:val="00447EF2"/>
    <w:rsid w:val="004514DB"/>
    <w:rsid w:val="00451F58"/>
    <w:rsid w:val="00452E3C"/>
    <w:rsid w:val="0045339B"/>
    <w:rsid w:val="00454836"/>
    <w:rsid w:val="00454CBC"/>
    <w:rsid w:val="00454E8B"/>
    <w:rsid w:val="00455028"/>
    <w:rsid w:val="00456061"/>
    <w:rsid w:val="00462064"/>
    <w:rsid w:val="004645B2"/>
    <w:rsid w:val="00465305"/>
    <w:rsid w:val="00467E7F"/>
    <w:rsid w:val="0047064D"/>
    <w:rsid w:val="0047120F"/>
    <w:rsid w:val="004712C1"/>
    <w:rsid w:val="00472BC1"/>
    <w:rsid w:val="004741FE"/>
    <w:rsid w:val="00475C6A"/>
    <w:rsid w:val="00480661"/>
    <w:rsid w:val="00482849"/>
    <w:rsid w:val="0048328B"/>
    <w:rsid w:val="004848B3"/>
    <w:rsid w:val="0048524E"/>
    <w:rsid w:val="0048777E"/>
    <w:rsid w:val="00491306"/>
    <w:rsid w:val="004929A9"/>
    <w:rsid w:val="00493BDE"/>
    <w:rsid w:val="004950AF"/>
    <w:rsid w:val="004970FA"/>
    <w:rsid w:val="004A0075"/>
    <w:rsid w:val="004A1773"/>
    <w:rsid w:val="004A1E3B"/>
    <w:rsid w:val="004A46FA"/>
    <w:rsid w:val="004A5B99"/>
    <w:rsid w:val="004A5EFD"/>
    <w:rsid w:val="004A6BE1"/>
    <w:rsid w:val="004A7BB0"/>
    <w:rsid w:val="004B0F16"/>
    <w:rsid w:val="004B25E8"/>
    <w:rsid w:val="004B66E2"/>
    <w:rsid w:val="004C1D53"/>
    <w:rsid w:val="004C1D99"/>
    <w:rsid w:val="004C421C"/>
    <w:rsid w:val="004C4DE3"/>
    <w:rsid w:val="004C7CBC"/>
    <w:rsid w:val="004D1FCD"/>
    <w:rsid w:val="004D51CB"/>
    <w:rsid w:val="004D580D"/>
    <w:rsid w:val="004D59BC"/>
    <w:rsid w:val="004D72E1"/>
    <w:rsid w:val="004E7E9F"/>
    <w:rsid w:val="004F475A"/>
    <w:rsid w:val="004F502C"/>
    <w:rsid w:val="004F52D6"/>
    <w:rsid w:val="004F59BF"/>
    <w:rsid w:val="004F5C82"/>
    <w:rsid w:val="004F695F"/>
    <w:rsid w:val="0050060F"/>
    <w:rsid w:val="00502023"/>
    <w:rsid w:val="005037D8"/>
    <w:rsid w:val="00504058"/>
    <w:rsid w:val="00504F21"/>
    <w:rsid w:val="005054CC"/>
    <w:rsid w:val="0050645B"/>
    <w:rsid w:val="005067C8"/>
    <w:rsid w:val="005079CF"/>
    <w:rsid w:val="00513107"/>
    <w:rsid w:val="005131B4"/>
    <w:rsid w:val="00513788"/>
    <w:rsid w:val="0051439B"/>
    <w:rsid w:val="005148DF"/>
    <w:rsid w:val="0052026F"/>
    <w:rsid w:val="00522228"/>
    <w:rsid w:val="005224B7"/>
    <w:rsid w:val="00522D2C"/>
    <w:rsid w:val="005237AB"/>
    <w:rsid w:val="0052543A"/>
    <w:rsid w:val="00526088"/>
    <w:rsid w:val="00526356"/>
    <w:rsid w:val="0052794B"/>
    <w:rsid w:val="00530789"/>
    <w:rsid w:val="00532E77"/>
    <w:rsid w:val="00533A66"/>
    <w:rsid w:val="005346C8"/>
    <w:rsid w:val="00534C46"/>
    <w:rsid w:val="00536168"/>
    <w:rsid w:val="005361B9"/>
    <w:rsid w:val="005372F3"/>
    <w:rsid w:val="005374E0"/>
    <w:rsid w:val="005426AE"/>
    <w:rsid w:val="00543BD2"/>
    <w:rsid w:val="005441CE"/>
    <w:rsid w:val="005470CF"/>
    <w:rsid w:val="005516ED"/>
    <w:rsid w:val="00553AB1"/>
    <w:rsid w:val="005620B0"/>
    <w:rsid w:val="00571619"/>
    <w:rsid w:val="00571A2A"/>
    <w:rsid w:val="00573015"/>
    <w:rsid w:val="005765F1"/>
    <w:rsid w:val="005774C0"/>
    <w:rsid w:val="00577BE2"/>
    <w:rsid w:val="00577D1F"/>
    <w:rsid w:val="0058096D"/>
    <w:rsid w:val="00581E79"/>
    <w:rsid w:val="00582025"/>
    <w:rsid w:val="00583DC5"/>
    <w:rsid w:val="0058402D"/>
    <w:rsid w:val="00584FA7"/>
    <w:rsid w:val="00587972"/>
    <w:rsid w:val="00592097"/>
    <w:rsid w:val="00593E3D"/>
    <w:rsid w:val="00593F58"/>
    <w:rsid w:val="00593FE6"/>
    <w:rsid w:val="005A089C"/>
    <w:rsid w:val="005A0D13"/>
    <w:rsid w:val="005A0DDB"/>
    <w:rsid w:val="005A16FC"/>
    <w:rsid w:val="005A3D75"/>
    <w:rsid w:val="005A5522"/>
    <w:rsid w:val="005B006E"/>
    <w:rsid w:val="005B00BF"/>
    <w:rsid w:val="005B0E8F"/>
    <w:rsid w:val="005B1972"/>
    <w:rsid w:val="005B1DED"/>
    <w:rsid w:val="005B4EA2"/>
    <w:rsid w:val="005B4FC7"/>
    <w:rsid w:val="005B7DA9"/>
    <w:rsid w:val="005C0B0D"/>
    <w:rsid w:val="005C1677"/>
    <w:rsid w:val="005C3AFE"/>
    <w:rsid w:val="005C43DF"/>
    <w:rsid w:val="005C7E12"/>
    <w:rsid w:val="005D235F"/>
    <w:rsid w:val="005D2A66"/>
    <w:rsid w:val="005D33B5"/>
    <w:rsid w:val="005D442D"/>
    <w:rsid w:val="005D5280"/>
    <w:rsid w:val="005D5F8F"/>
    <w:rsid w:val="005D6F59"/>
    <w:rsid w:val="005D7559"/>
    <w:rsid w:val="005E0D36"/>
    <w:rsid w:val="005E17BC"/>
    <w:rsid w:val="005E2910"/>
    <w:rsid w:val="005E2911"/>
    <w:rsid w:val="005E6FBE"/>
    <w:rsid w:val="005E76C1"/>
    <w:rsid w:val="005F0582"/>
    <w:rsid w:val="005F15E6"/>
    <w:rsid w:val="005F186C"/>
    <w:rsid w:val="005F1BEA"/>
    <w:rsid w:val="005F1ECB"/>
    <w:rsid w:val="005F396C"/>
    <w:rsid w:val="005F3BFA"/>
    <w:rsid w:val="005F412F"/>
    <w:rsid w:val="005F447D"/>
    <w:rsid w:val="005F59CA"/>
    <w:rsid w:val="005F78AF"/>
    <w:rsid w:val="006002D8"/>
    <w:rsid w:val="00602066"/>
    <w:rsid w:val="00602A16"/>
    <w:rsid w:val="006046BE"/>
    <w:rsid w:val="00604842"/>
    <w:rsid w:val="00604AEE"/>
    <w:rsid w:val="006054B5"/>
    <w:rsid w:val="00607D5F"/>
    <w:rsid w:val="00607EB2"/>
    <w:rsid w:val="00613160"/>
    <w:rsid w:val="00613AF1"/>
    <w:rsid w:val="00617841"/>
    <w:rsid w:val="006220EC"/>
    <w:rsid w:val="006325B2"/>
    <w:rsid w:val="00632CAA"/>
    <w:rsid w:val="00632E6D"/>
    <w:rsid w:val="00632E6E"/>
    <w:rsid w:val="00632FF1"/>
    <w:rsid w:val="00634574"/>
    <w:rsid w:val="00634909"/>
    <w:rsid w:val="00634D19"/>
    <w:rsid w:val="00634D43"/>
    <w:rsid w:val="006351A1"/>
    <w:rsid w:val="0063737C"/>
    <w:rsid w:val="006402B8"/>
    <w:rsid w:val="006403C6"/>
    <w:rsid w:val="00641142"/>
    <w:rsid w:val="00644678"/>
    <w:rsid w:val="00645281"/>
    <w:rsid w:val="00646442"/>
    <w:rsid w:val="006474A3"/>
    <w:rsid w:val="00650636"/>
    <w:rsid w:val="00655E79"/>
    <w:rsid w:val="00660400"/>
    <w:rsid w:val="0066047A"/>
    <w:rsid w:val="006608C0"/>
    <w:rsid w:val="0066204F"/>
    <w:rsid w:val="006651E6"/>
    <w:rsid w:val="00667F8D"/>
    <w:rsid w:val="006728EC"/>
    <w:rsid w:val="00672F3C"/>
    <w:rsid w:val="00674825"/>
    <w:rsid w:val="00674C2C"/>
    <w:rsid w:val="00682BFE"/>
    <w:rsid w:val="006846FE"/>
    <w:rsid w:val="00686168"/>
    <w:rsid w:val="00690A91"/>
    <w:rsid w:val="00691B54"/>
    <w:rsid w:val="00691CA0"/>
    <w:rsid w:val="00692805"/>
    <w:rsid w:val="00693C0E"/>
    <w:rsid w:val="00694D00"/>
    <w:rsid w:val="0069522F"/>
    <w:rsid w:val="00695C5F"/>
    <w:rsid w:val="00696D2E"/>
    <w:rsid w:val="00697504"/>
    <w:rsid w:val="006A2AF0"/>
    <w:rsid w:val="006A771D"/>
    <w:rsid w:val="006A787E"/>
    <w:rsid w:val="006A7C90"/>
    <w:rsid w:val="006B100B"/>
    <w:rsid w:val="006B16EE"/>
    <w:rsid w:val="006B3764"/>
    <w:rsid w:val="006B4C3E"/>
    <w:rsid w:val="006B52CC"/>
    <w:rsid w:val="006C0C42"/>
    <w:rsid w:val="006C14F0"/>
    <w:rsid w:val="006C2095"/>
    <w:rsid w:val="006C2747"/>
    <w:rsid w:val="006C2C0E"/>
    <w:rsid w:val="006C5F3B"/>
    <w:rsid w:val="006C6F8A"/>
    <w:rsid w:val="006D214B"/>
    <w:rsid w:val="006D2878"/>
    <w:rsid w:val="006D33C6"/>
    <w:rsid w:val="006D3679"/>
    <w:rsid w:val="006D45A0"/>
    <w:rsid w:val="006D5461"/>
    <w:rsid w:val="006D54C6"/>
    <w:rsid w:val="006D57DA"/>
    <w:rsid w:val="006D6228"/>
    <w:rsid w:val="006D6913"/>
    <w:rsid w:val="006E1B84"/>
    <w:rsid w:val="006E1C8C"/>
    <w:rsid w:val="006E3A90"/>
    <w:rsid w:val="006E4C19"/>
    <w:rsid w:val="006E5801"/>
    <w:rsid w:val="006E5ED8"/>
    <w:rsid w:val="006E66F2"/>
    <w:rsid w:val="006E7CDC"/>
    <w:rsid w:val="006F0174"/>
    <w:rsid w:val="006F2515"/>
    <w:rsid w:val="006F2C33"/>
    <w:rsid w:val="006F3307"/>
    <w:rsid w:val="006F348F"/>
    <w:rsid w:val="006F4F88"/>
    <w:rsid w:val="006F7374"/>
    <w:rsid w:val="006F7494"/>
    <w:rsid w:val="00701B26"/>
    <w:rsid w:val="00703046"/>
    <w:rsid w:val="00703128"/>
    <w:rsid w:val="00704BA0"/>
    <w:rsid w:val="00704CDD"/>
    <w:rsid w:val="00707589"/>
    <w:rsid w:val="00710487"/>
    <w:rsid w:val="00710C21"/>
    <w:rsid w:val="007115B4"/>
    <w:rsid w:val="007146D2"/>
    <w:rsid w:val="00714F78"/>
    <w:rsid w:val="0071749A"/>
    <w:rsid w:val="007202D3"/>
    <w:rsid w:val="0072057A"/>
    <w:rsid w:val="00720FCA"/>
    <w:rsid w:val="00724A4C"/>
    <w:rsid w:val="00726B7B"/>
    <w:rsid w:val="00731012"/>
    <w:rsid w:val="007321DB"/>
    <w:rsid w:val="007333B8"/>
    <w:rsid w:val="00733603"/>
    <w:rsid w:val="0073453E"/>
    <w:rsid w:val="00735237"/>
    <w:rsid w:val="007364FB"/>
    <w:rsid w:val="00737153"/>
    <w:rsid w:val="0074025C"/>
    <w:rsid w:val="00740848"/>
    <w:rsid w:val="00741BC0"/>
    <w:rsid w:val="00743E22"/>
    <w:rsid w:val="00743F89"/>
    <w:rsid w:val="007453F3"/>
    <w:rsid w:val="00745689"/>
    <w:rsid w:val="0074690F"/>
    <w:rsid w:val="007506D9"/>
    <w:rsid w:val="007533DE"/>
    <w:rsid w:val="0075448C"/>
    <w:rsid w:val="00756138"/>
    <w:rsid w:val="00756C0E"/>
    <w:rsid w:val="00757F11"/>
    <w:rsid w:val="007611AB"/>
    <w:rsid w:val="007620E2"/>
    <w:rsid w:val="007620E9"/>
    <w:rsid w:val="00763B40"/>
    <w:rsid w:val="007709A7"/>
    <w:rsid w:val="00770C2E"/>
    <w:rsid w:val="007714B4"/>
    <w:rsid w:val="007729A2"/>
    <w:rsid w:val="00772F98"/>
    <w:rsid w:val="00773416"/>
    <w:rsid w:val="0077469D"/>
    <w:rsid w:val="00774A16"/>
    <w:rsid w:val="0077523B"/>
    <w:rsid w:val="007757DD"/>
    <w:rsid w:val="00775FB2"/>
    <w:rsid w:val="00777169"/>
    <w:rsid w:val="00777357"/>
    <w:rsid w:val="00780062"/>
    <w:rsid w:val="00780C9A"/>
    <w:rsid w:val="0078269C"/>
    <w:rsid w:val="007836EF"/>
    <w:rsid w:val="00784D94"/>
    <w:rsid w:val="00784FFC"/>
    <w:rsid w:val="00785212"/>
    <w:rsid w:val="00791CB9"/>
    <w:rsid w:val="00792F6F"/>
    <w:rsid w:val="007935FD"/>
    <w:rsid w:val="00793E6D"/>
    <w:rsid w:val="007948A9"/>
    <w:rsid w:val="00796629"/>
    <w:rsid w:val="00797B5E"/>
    <w:rsid w:val="007A220A"/>
    <w:rsid w:val="007A3FB8"/>
    <w:rsid w:val="007A6107"/>
    <w:rsid w:val="007B0C4E"/>
    <w:rsid w:val="007B1577"/>
    <w:rsid w:val="007B1873"/>
    <w:rsid w:val="007B28A2"/>
    <w:rsid w:val="007B2970"/>
    <w:rsid w:val="007B5010"/>
    <w:rsid w:val="007B6109"/>
    <w:rsid w:val="007C0A8A"/>
    <w:rsid w:val="007C0CE5"/>
    <w:rsid w:val="007C2061"/>
    <w:rsid w:val="007D042B"/>
    <w:rsid w:val="007D2A9B"/>
    <w:rsid w:val="007D5AEC"/>
    <w:rsid w:val="007E30C2"/>
    <w:rsid w:val="007E3BA2"/>
    <w:rsid w:val="007E65C3"/>
    <w:rsid w:val="007F0473"/>
    <w:rsid w:val="007F24A8"/>
    <w:rsid w:val="007F7C8E"/>
    <w:rsid w:val="008006D5"/>
    <w:rsid w:val="00803193"/>
    <w:rsid w:val="00803E92"/>
    <w:rsid w:val="0080477D"/>
    <w:rsid w:val="00804C8C"/>
    <w:rsid w:val="00811315"/>
    <w:rsid w:val="00815210"/>
    <w:rsid w:val="0081631C"/>
    <w:rsid w:val="00817966"/>
    <w:rsid w:val="00821BA2"/>
    <w:rsid w:val="00821E29"/>
    <w:rsid w:val="00822348"/>
    <w:rsid w:val="00822E0C"/>
    <w:rsid w:val="0082697D"/>
    <w:rsid w:val="00826D91"/>
    <w:rsid w:val="00826DB3"/>
    <w:rsid w:val="008330F7"/>
    <w:rsid w:val="0083487A"/>
    <w:rsid w:val="008377C0"/>
    <w:rsid w:val="008404D0"/>
    <w:rsid w:val="00842070"/>
    <w:rsid w:val="00842B5C"/>
    <w:rsid w:val="00845675"/>
    <w:rsid w:val="00850437"/>
    <w:rsid w:val="00851D1F"/>
    <w:rsid w:val="00852C5B"/>
    <w:rsid w:val="00853FFC"/>
    <w:rsid w:val="008545AC"/>
    <w:rsid w:val="0085479D"/>
    <w:rsid w:val="00855AF6"/>
    <w:rsid w:val="008573DC"/>
    <w:rsid w:val="008600FB"/>
    <w:rsid w:val="00860CAD"/>
    <w:rsid w:val="00861116"/>
    <w:rsid w:val="00862BC6"/>
    <w:rsid w:val="00865A0A"/>
    <w:rsid w:val="00865ADF"/>
    <w:rsid w:val="00865B0B"/>
    <w:rsid w:val="00865B4D"/>
    <w:rsid w:val="00873277"/>
    <w:rsid w:val="00874F97"/>
    <w:rsid w:val="00876638"/>
    <w:rsid w:val="00877F64"/>
    <w:rsid w:val="00880A19"/>
    <w:rsid w:val="00882640"/>
    <w:rsid w:val="00882C3E"/>
    <w:rsid w:val="008864F2"/>
    <w:rsid w:val="008923C8"/>
    <w:rsid w:val="00893FBC"/>
    <w:rsid w:val="0089510B"/>
    <w:rsid w:val="0089621C"/>
    <w:rsid w:val="008A3803"/>
    <w:rsid w:val="008A4EB6"/>
    <w:rsid w:val="008A533A"/>
    <w:rsid w:val="008A7729"/>
    <w:rsid w:val="008B0A9C"/>
    <w:rsid w:val="008B2331"/>
    <w:rsid w:val="008B2407"/>
    <w:rsid w:val="008B39A1"/>
    <w:rsid w:val="008B4088"/>
    <w:rsid w:val="008B5519"/>
    <w:rsid w:val="008B69FA"/>
    <w:rsid w:val="008C00F1"/>
    <w:rsid w:val="008C26F6"/>
    <w:rsid w:val="008C27AE"/>
    <w:rsid w:val="008C4195"/>
    <w:rsid w:val="008C44D7"/>
    <w:rsid w:val="008C5429"/>
    <w:rsid w:val="008C5C09"/>
    <w:rsid w:val="008C5FB5"/>
    <w:rsid w:val="008C6081"/>
    <w:rsid w:val="008C7D42"/>
    <w:rsid w:val="008C7DBF"/>
    <w:rsid w:val="008D0141"/>
    <w:rsid w:val="008D2E8B"/>
    <w:rsid w:val="008D3CD7"/>
    <w:rsid w:val="008D5066"/>
    <w:rsid w:val="008D60BF"/>
    <w:rsid w:val="008D647F"/>
    <w:rsid w:val="008D6825"/>
    <w:rsid w:val="008D683E"/>
    <w:rsid w:val="008D7AAC"/>
    <w:rsid w:val="008E0722"/>
    <w:rsid w:val="008E2EC1"/>
    <w:rsid w:val="008E3B84"/>
    <w:rsid w:val="008E48A6"/>
    <w:rsid w:val="008E596C"/>
    <w:rsid w:val="008F1905"/>
    <w:rsid w:val="008F1A98"/>
    <w:rsid w:val="008F43CE"/>
    <w:rsid w:val="008F6331"/>
    <w:rsid w:val="0090057B"/>
    <w:rsid w:val="0090077B"/>
    <w:rsid w:val="00900811"/>
    <w:rsid w:val="00901D85"/>
    <w:rsid w:val="009027B8"/>
    <w:rsid w:val="00903DCB"/>
    <w:rsid w:val="00904D55"/>
    <w:rsid w:val="0090601D"/>
    <w:rsid w:val="009068AB"/>
    <w:rsid w:val="00907259"/>
    <w:rsid w:val="00907A18"/>
    <w:rsid w:val="00907C11"/>
    <w:rsid w:val="00911042"/>
    <w:rsid w:val="00911072"/>
    <w:rsid w:val="00913784"/>
    <w:rsid w:val="0091399A"/>
    <w:rsid w:val="00915F2B"/>
    <w:rsid w:val="00916815"/>
    <w:rsid w:val="0091681A"/>
    <w:rsid w:val="009228C4"/>
    <w:rsid w:val="00924345"/>
    <w:rsid w:val="00924955"/>
    <w:rsid w:val="00926CE1"/>
    <w:rsid w:val="00930691"/>
    <w:rsid w:val="00932717"/>
    <w:rsid w:val="00935E2E"/>
    <w:rsid w:val="009374DC"/>
    <w:rsid w:val="0093790B"/>
    <w:rsid w:val="009421D7"/>
    <w:rsid w:val="00942526"/>
    <w:rsid w:val="00944C23"/>
    <w:rsid w:val="00945F62"/>
    <w:rsid w:val="009474EB"/>
    <w:rsid w:val="00950EB2"/>
    <w:rsid w:val="00951D4A"/>
    <w:rsid w:val="00954B53"/>
    <w:rsid w:val="0095525A"/>
    <w:rsid w:val="0096007E"/>
    <w:rsid w:val="0096117F"/>
    <w:rsid w:val="00962038"/>
    <w:rsid w:val="0096405C"/>
    <w:rsid w:val="00965FC3"/>
    <w:rsid w:val="0097283F"/>
    <w:rsid w:val="00972A99"/>
    <w:rsid w:val="00975748"/>
    <w:rsid w:val="009767C8"/>
    <w:rsid w:val="00980ECC"/>
    <w:rsid w:val="00981231"/>
    <w:rsid w:val="00982B51"/>
    <w:rsid w:val="009839BF"/>
    <w:rsid w:val="00984FD8"/>
    <w:rsid w:val="0098577C"/>
    <w:rsid w:val="009872BD"/>
    <w:rsid w:val="00990728"/>
    <w:rsid w:val="0099221C"/>
    <w:rsid w:val="00994846"/>
    <w:rsid w:val="009975B3"/>
    <w:rsid w:val="009A1E7E"/>
    <w:rsid w:val="009A3F11"/>
    <w:rsid w:val="009A6779"/>
    <w:rsid w:val="009B0BA9"/>
    <w:rsid w:val="009B138C"/>
    <w:rsid w:val="009B17D5"/>
    <w:rsid w:val="009B212F"/>
    <w:rsid w:val="009B3E5D"/>
    <w:rsid w:val="009B4F09"/>
    <w:rsid w:val="009B572E"/>
    <w:rsid w:val="009B6CEB"/>
    <w:rsid w:val="009B7534"/>
    <w:rsid w:val="009C0A56"/>
    <w:rsid w:val="009C120C"/>
    <w:rsid w:val="009C3A41"/>
    <w:rsid w:val="009C3FAD"/>
    <w:rsid w:val="009C4C5A"/>
    <w:rsid w:val="009C540E"/>
    <w:rsid w:val="009D174D"/>
    <w:rsid w:val="009D20B9"/>
    <w:rsid w:val="009D351A"/>
    <w:rsid w:val="009D3B16"/>
    <w:rsid w:val="009E07C6"/>
    <w:rsid w:val="009E10C6"/>
    <w:rsid w:val="009E2963"/>
    <w:rsid w:val="009E5823"/>
    <w:rsid w:val="009F0B5D"/>
    <w:rsid w:val="009F150D"/>
    <w:rsid w:val="009F1DC7"/>
    <w:rsid w:val="009F245E"/>
    <w:rsid w:val="009F2A8B"/>
    <w:rsid w:val="009F528A"/>
    <w:rsid w:val="009F56E8"/>
    <w:rsid w:val="009F60CC"/>
    <w:rsid w:val="009F777E"/>
    <w:rsid w:val="009F77E5"/>
    <w:rsid w:val="00A004A3"/>
    <w:rsid w:val="00A00F15"/>
    <w:rsid w:val="00A03333"/>
    <w:rsid w:val="00A040D0"/>
    <w:rsid w:val="00A0595D"/>
    <w:rsid w:val="00A06A2E"/>
    <w:rsid w:val="00A12959"/>
    <w:rsid w:val="00A1564E"/>
    <w:rsid w:val="00A15E67"/>
    <w:rsid w:val="00A16C23"/>
    <w:rsid w:val="00A175AF"/>
    <w:rsid w:val="00A21F93"/>
    <w:rsid w:val="00A23070"/>
    <w:rsid w:val="00A2585A"/>
    <w:rsid w:val="00A316B2"/>
    <w:rsid w:val="00A34EAD"/>
    <w:rsid w:val="00A35282"/>
    <w:rsid w:val="00A367BD"/>
    <w:rsid w:val="00A36A0B"/>
    <w:rsid w:val="00A37C99"/>
    <w:rsid w:val="00A43D2D"/>
    <w:rsid w:val="00A440F9"/>
    <w:rsid w:val="00A45AD7"/>
    <w:rsid w:val="00A47F2A"/>
    <w:rsid w:val="00A503F1"/>
    <w:rsid w:val="00A5202A"/>
    <w:rsid w:val="00A55A61"/>
    <w:rsid w:val="00A562C9"/>
    <w:rsid w:val="00A56CBE"/>
    <w:rsid w:val="00A6077C"/>
    <w:rsid w:val="00A60826"/>
    <w:rsid w:val="00A61250"/>
    <w:rsid w:val="00A61A42"/>
    <w:rsid w:val="00A623FB"/>
    <w:rsid w:val="00A64773"/>
    <w:rsid w:val="00A64AB2"/>
    <w:rsid w:val="00A65338"/>
    <w:rsid w:val="00A664E9"/>
    <w:rsid w:val="00A672E3"/>
    <w:rsid w:val="00A67DFD"/>
    <w:rsid w:val="00A70597"/>
    <w:rsid w:val="00A70D38"/>
    <w:rsid w:val="00A7210D"/>
    <w:rsid w:val="00A73189"/>
    <w:rsid w:val="00A73852"/>
    <w:rsid w:val="00A739A3"/>
    <w:rsid w:val="00A8041D"/>
    <w:rsid w:val="00A84049"/>
    <w:rsid w:val="00A84B20"/>
    <w:rsid w:val="00A8728B"/>
    <w:rsid w:val="00A907F9"/>
    <w:rsid w:val="00A92E4A"/>
    <w:rsid w:val="00A94DA6"/>
    <w:rsid w:val="00A94F02"/>
    <w:rsid w:val="00A95B05"/>
    <w:rsid w:val="00A95BEE"/>
    <w:rsid w:val="00AA2B45"/>
    <w:rsid w:val="00AA31E9"/>
    <w:rsid w:val="00AA334B"/>
    <w:rsid w:val="00AA3BEA"/>
    <w:rsid w:val="00AA3DE2"/>
    <w:rsid w:val="00AA442F"/>
    <w:rsid w:val="00AB1434"/>
    <w:rsid w:val="00AB3090"/>
    <w:rsid w:val="00AB3EC5"/>
    <w:rsid w:val="00AB4396"/>
    <w:rsid w:val="00AB5A49"/>
    <w:rsid w:val="00AB6023"/>
    <w:rsid w:val="00AC0BCD"/>
    <w:rsid w:val="00AC1862"/>
    <w:rsid w:val="00AC1D5B"/>
    <w:rsid w:val="00AC25D6"/>
    <w:rsid w:val="00AC2F0F"/>
    <w:rsid w:val="00AC35B4"/>
    <w:rsid w:val="00AC3B78"/>
    <w:rsid w:val="00AC4FFA"/>
    <w:rsid w:val="00AC6116"/>
    <w:rsid w:val="00AC65BB"/>
    <w:rsid w:val="00AC6CFD"/>
    <w:rsid w:val="00AD0B96"/>
    <w:rsid w:val="00AD0F20"/>
    <w:rsid w:val="00AD1ACE"/>
    <w:rsid w:val="00AD2274"/>
    <w:rsid w:val="00AD3457"/>
    <w:rsid w:val="00AD3660"/>
    <w:rsid w:val="00AD39A4"/>
    <w:rsid w:val="00AD69A6"/>
    <w:rsid w:val="00AD72AB"/>
    <w:rsid w:val="00AE3727"/>
    <w:rsid w:val="00AE5CDD"/>
    <w:rsid w:val="00AE61CA"/>
    <w:rsid w:val="00AE7549"/>
    <w:rsid w:val="00AF0602"/>
    <w:rsid w:val="00AF40A1"/>
    <w:rsid w:val="00AF56D0"/>
    <w:rsid w:val="00AF6BEE"/>
    <w:rsid w:val="00AF7CB4"/>
    <w:rsid w:val="00B039B4"/>
    <w:rsid w:val="00B058BD"/>
    <w:rsid w:val="00B05FF4"/>
    <w:rsid w:val="00B10097"/>
    <w:rsid w:val="00B10451"/>
    <w:rsid w:val="00B13AED"/>
    <w:rsid w:val="00B145FC"/>
    <w:rsid w:val="00B1488F"/>
    <w:rsid w:val="00B15A86"/>
    <w:rsid w:val="00B174B9"/>
    <w:rsid w:val="00B22832"/>
    <w:rsid w:val="00B23202"/>
    <w:rsid w:val="00B23411"/>
    <w:rsid w:val="00B2418A"/>
    <w:rsid w:val="00B25680"/>
    <w:rsid w:val="00B25A65"/>
    <w:rsid w:val="00B323FD"/>
    <w:rsid w:val="00B33B21"/>
    <w:rsid w:val="00B33E4A"/>
    <w:rsid w:val="00B342BA"/>
    <w:rsid w:val="00B347D9"/>
    <w:rsid w:val="00B37167"/>
    <w:rsid w:val="00B43477"/>
    <w:rsid w:val="00B45939"/>
    <w:rsid w:val="00B46325"/>
    <w:rsid w:val="00B476B8"/>
    <w:rsid w:val="00B51C5F"/>
    <w:rsid w:val="00B573AE"/>
    <w:rsid w:val="00B57C3D"/>
    <w:rsid w:val="00B61378"/>
    <w:rsid w:val="00B61561"/>
    <w:rsid w:val="00B6525F"/>
    <w:rsid w:val="00B72EE0"/>
    <w:rsid w:val="00B75F59"/>
    <w:rsid w:val="00B76F28"/>
    <w:rsid w:val="00B84AD6"/>
    <w:rsid w:val="00B87D6C"/>
    <w:rsid w:val="00B903D4"/>
    <w:rsid w:val="00B91D37"/>
    <w:rsid w:val="00BA0D19"/>
    <w:rsid w:val="00BA0EFC"/>
    <w:rsid w:val="00BA1240"/>
    <w:rsid w:val="00BA202B"/>
    <w:rsid w:val="00BA25FD"/>
    <w:rsid w:val="00BA2B60"/>
    <w:rsid w:val="00BA31DF"/>
    <w:rsid w:val="00BA414D"/>
    <w:rsid w:val="00BA4562"/>
    <w:rsid w:val="00BA7015"/>
    <w:rsid w:val="00BB12F4"/>
    <w:rsid w:val="00BB2270"/>
    <w:rsid w:val="00BB2C98"/>
    <w:rsid w:val="00BB37CC"/>
    <w:rsid w:val="00BB4210"/>
    <w:rsid w:val="00BB5295"/>
    <w:rsid w:val="00BB59C8"/>
    <w:rsid w:val="00BB64B5"/>
    <w:rsid w:val="00BB6829"/>
    <w:rsid w:val="00BC0477"/>
    <w:rsid w:val="00BC09E1"/>
    <w:rsid w:val="00BC57B4"/>
    <w:rsid w:val="00BC6268"/>
    <w:rsid w:val="00BC69A5"/>
    <w:rsid w:val="00BC6AF0"/>
    <w:rsid w:val="00BC71EC"/>
    <w:rsid w:val="00BC72EB"/>
    <w:rsid w:val="00BC79AB"/>
    <w:rsid w:val="00BD1999"/>
    <w:rsid w:val="00BD2961"/>
    <w:rsid w:val="00BD32F3"/>
    <w:rsid w:val="00BD3B88"/>
    <w:rsid w:val="00BD4EFB"/>
    <w:rsid w:val="00BE2F35"/>
    <w:rsid w:val="00BF09B9"/>
    <w:rsid w:val="00BF239E"/>
    <w:rsid w:val="00BF4970"/>
    <w:rsid w:val="00BF7916"/>
    <w:rsid w:val="00C009ED"/>
    <w:rsid w:val="00C031DF"/>
    <w:rsid w:val="00C0327B"/>
    <w:rsid w:val="00C03A0C"/>
    <w:rsid w:val="00C045C9"/>
    <w:rsid w:val="00C04A39"/>
    <w:rsid w:val="00C053CC"/>
    <w:rsid w:val="00C0688F"/>
    <w:rsid w:val="00C10448"/>
    <w:rsid w:val="00C11AE7"/>
    <w:rsid w:val="00C120E4"/>
    <w:rsid w:val="00C14B73"/>
    <w:rsid w:val="00C16EA5"/>
    <w:rsid w:val="00C17174"/>
    <w:rsid w:val="00C237F4"/>
    <w:rsid w:val="00C24987"/>
    <w:rsid w:val="00C268F4"/>
    <w:rsid w:val="00C32564"/>
    <w:rsid w:val="00C32C36"/>
    <w:rsid w:val="00C34C12"/>
    <w:rsid w:val="00C3501C"/>
    <w:rsid w:val="00C35C2D"/>
    <w:rsid w:val="00C3688C"/>
    <w:rsid w:val="00C3734D"/>
    <w:rsid w:val="00C3794E"/>
    <w:rsid w:val="00C41087"/>
    <w:rsid w:val="00C417F6"/>
    <w:rsid w:val="00C41DAB"/>
    <w:rsid w:val="00C43B54"/>
    <w:rsid w:val="00C43BA4"/>
    <w:rsid w:val="00C466C6"/>
    <w:rsid w:val="00C46F51"/>
    <w:rsid w:val="00C47D42"/>
    <w:rsid w:val="00C51926"/>
    <w:rsid w:val="00C52EA4"/>
    <w:rsid w:val="00C558F1"/>
    <w:rsid w:val="00C578E1"/>
    <w:rsid w:val="00C60A5C"/>
    <w:rsid w:val="00C622C8"/>
    <w:rsid w:val="00C6339F"/>
    <w:rsid w:val="00C64E8E"/>
    <w:rsid w:val="00C64F71"/>
    <w:rsid w:val="00C65A56"/>
    <w:rsid w:val="00C7213A"/>
    <w:rsid w:val="00C72C59"/>
    <w:rsid w:val="00C7561F"/>
    <w:rsid w:val="00C75A6B"/>
    <w:rsid w:val="00C75B24"/>
    <w:rsid w:val="00C76301"/>
    <w:rsid w:val="00C80D1B"/>
    <w:rsid w:val="00C81102"/>
    <w:rsid w:val="00C82805"/>
    <w:rsid w:val="00C82BC9"/>
    <w:rsid w:val="00C82D1D"/>
    <w:rsid w:val="00C84D69"/>
    <w:rsid w:val="00C8685E"/>
    <w:rsid w:val="00C869C5"/>
    <w:rsid w:val="00C86A8B"/>
    <w:rsid w:val="00C8771E"/>
    <w:rsid w:val="00C87E1B"/>
    <w:rsid w:val="00C9342A"/>
    <w:rsid w:val="00C934DE"/>
    <w:rsid w:val="00C94003"/>
    <w:rsid w:val="00C95519"/>
    <w:rsid w:val="00C974D8"/>
    <w:rsid w:val="00CA2588"/>
    <w:rsid w:val="00CA3459"/>
    <w:rsid w:val="00CA447F"/>
    <w:rsid w:val="00CA78B1"/>
    <w:rsid w:val="00CA7BD7"/>
    <w:rsid w:val="00CB1491"/>
    <w:rsid w:val="00CB1BF6"/>
    <w:rsid w:val="00CB1D6D"/>
    <w:rsid w:val="00CB3704"/>
    <w:rsid w:val="00CC1566"/>
    <w:rsid w:val="00CC26D8"/>
    <w:rsid w:val="00CC40CD"/>
    <w:rsid w:val="00CC478A"/>
    <w:rsid w:val="00CC4F68"/>
    <w:rsid w:val="00CC56DD"/>
    <w:rsid w:val="00CC7531"/>
    <w:rsid w:val="00CD0AE1"/>
    <w:rsid w:val="00CD7858"/>
    <w:rsid w:val="00CD7FCD"/>
    <w:rsid w:val="00CE030A"/>
    <w:rsid w:val="00CE1292"/>
    <w:rsid w:val="00CE1748"/>
    <w:rsid w:val="00CE2185"/>
    <w:rsid w:val="00CE3A8B"/>
    <w:rsid w:val="00CE40CB"/>
    <w:rsid w:val="00CE43DD"/>
    <w:rsid w:val="00CE49CA"/>
    <w:rsid w:val="00CE71FD"/>
    <w:rsid w:val="00CE73BE"/>
    <w:rsid w:val="00CF1609"/>
    <w:rsid w:val="00CF2175"/>
    <w:rsid w:val="00CF2215"/>
    <w:rsid w:val="00CF72C3"/>
    <w:rsid w:val="00D02A6A"/>
    <w:rsid w:val="00D02EC2"/>
    <w:rsid w:val="00D03180"/>
    <w:rsid w:val="00D04A55"/>
    <w:rsid w:val="00D06F8F"/>
    <w:rsid w:val="00D10481"/>
    <w:rsid w:val="00D11FAF"/>
    <w:rsid w:val="00D14CCE"/>
    <w:rsid w:val="00D20379"/>
    <w:rsid w:val="00D23F22"/>
    <w:rsid w:val="00D2504E"/>
    <w:rsid w:val="00D262E9"/>
    <w:rsid w:val="00D301C1"/>
    <w:rsid w:val="00D320C1"/>
    <w:rsid w:val="00D3235B"/>
    <w:rsid w:val="00D33A91"/>
    <w:rsid w:val="00D35545"/>
    <w:rsid w:val="00D36CA2"/>
    <w:rsid w:val="00D3750D"/>
    <w:rsid w:val="00D40DF7"/>
    <w:rsid w:val="00D4175D"/>
    <w:rsid w:val="00D41FF8"/>
    <w:rsid w:val="00D44BFC"/>
    <w:rsid w:val="00D44C40"/>
    <w:rsid w:val="00D44FC5"/>
    <w:rsid w:val="00D47145"/>
    <w:rsid w:val="00D4721A"/>
    <w:rsid w:val="00D5147E"/>
    <w:rsid w:val="00D520FC"/>
    <w:rsid w:val="00D53518"/>
    <w:rsid w:val="00D54744"/>
    <w:rsid w:val="00D54D5B"/>
    <w:rsid w:val="00D56821"/>
    <w:rsid w:val="00D61BD6"/>
    <w:rsid w:val="00D6281E"/>
    <w:rsid w:val="00D63D8B"/>
    <w:rsid w:val="00D659FF"/>
    <w:rsid w:val="00D66157"/>
    <w:rsid w:val="00D70EA4"/>
    <w:rsid w:val="00D72C6C"/>
    <w:rsid w:val="00D73788"/>
    <w:rsid w:val="00D7532E"/>
    <w:rsid w:val="00D76CF7"/>
    <w:rsid w:val="00D77450"/>
    <w:rsid w:val="00D805A2"/>
    <w:rsid w:val="00D84098"/>
    <w:rsid w:val="00D84250"/>
    <w:rsid w:val="00D8507C"/>
    <w:rsid w:val="00D90D54"/>
    <w:rsid w:val="00D91005"/>
    <w:rsid w:val="00D96216"/>
    <w:rsid w:val="00D96656"/>
    <w:rsid w:val="00D9730D"/>
    <w:rsid w:val="00D977BA"/>
    <w:rsid w:val="00DA0A60"/>
    <w:rsid w:val="00DA1F17"/>
    <w:rsid w:val="00DA28D7"/>
    <w:rsid w:val="00DA3318"/>
    <w:rsid w:val="00DA3324"/>
    <w:rsid w:val="00DA4B4F"/>
    <w:rsid w:val="00DA50EF"/>
    <w:rsid w:val="00DA540D"/>
    <w:rsid w:val="00DB22F1"/>
    <w:rsid w:val="00DB23D2"/>
    <w:rsid w:val="00DB26BD"/>
    <w:rsid w:val="00DB2E0F"/>
    <w:rsid w:val="00DB4271"/>
    <w:rsid w:val="00DB56C2"/>
    <w:rsid w:val="00DB5EA2"/>
    <w:rsid w:val="00DB69BE"/>
    <w:rsid w:val="00DB7357"/>
    <w:rsid w:val="00DB7946"/>
    <w:rsid w:val="00DC226F"/>
    <w:rsid w:val="00DC5472"/>
    <w:rsid w:val="00DC7A8C"/>
    <w:rsid w:val="00DD14A3"/>
    <w:rsid w:val="00DD37DF"/>
    <w:rsid w:val="00DD3E46"/>
    <w:rsid w:val="00DD5778"/>
    <w:rsid w:val="00DE135E"/>
    <w:rsid w:val="00DE1B02"/>
    <w:rsid w:val="00DE2A5E"/>
    <w:rsid w:val="00DE539E"/>
    <w:rsid w:val="00DE6A49"/>
    <w:rsid w:val="00DF71FC"/>
    <w:rsid w:val="00E01B1B"/>
    <w:rsid w:val="00E01DA6"/>
    <w:rsid w:val="00E0331A"/>
    <w:rsid w:val="00E0521E"/>
    <w:rsid w:val="00E05486"/>
    <w:rsid w:val="00E06B92"/>
    <w:rsid w:val="00E076B9"/>
    <w:rsid w:val="00E07793"/>
    <w:rsid w:val="00E07913"/>
    <w:rsid w:val="00E10808"/>
    <w:rsid w:val="00E1362C"/>
    <w:rsid w:val="00E15486"/>
    <w:rsid w:val="00E15BA9"/>
    <w:rsid w:val="00E15D3A"/>
    <w:rsid w:val="00E2099F"/>
    <w:rsid w:val="00E22E94"/>
    <w:rsid w:val="00E24F35"/>
    <w:rsid w:val="00E25E02"/>
    <w:rsid w:val="00E2783A"/>
    <w:rsid w:val="00E278E9"/>
    <w:rsid w:val="00E33965"/>
    <w:rsid w:val="00E345EB"/>
    <w:rsid w:val="00E37088"/>
    <w:rsid w:val="00E370DA"/>
    <w:rsid w:val="00E40000"/>
    <w:rsid w:val="00E4032B"/>
    <w:rsid w:val="00E40EA8"/>
    <w:rsid w:val="00E42284"/>
    <w:rsid w:val="00E42617"/>
    <w:rsid w:val="00E43806"/>
    <w:rsid w:val="00E44E9F"/>
    <w:rsid w:val="00E5085B"/>
    <w:rsid w:val="00E50E89"/>
    <w:rsid w:val="00E51E44"/>
    <w:rsid w:val="00E5572F"/>
    <w:rsid w:val="00E57D03"/>
    <w:rsid w:val="00E6054A"/>
    <w:rsid w:val="00E60AF3"/>
    <w:rsid w:val="00E617FB"/>
    <w:rsid w:val="00E62A15"/>
    <w:rsid w:val="00E63746"/>
    <w:rsid w:val="00E64552"/>
    <w:rsid w:val="00E6501A"/>
    <w:rsid w:val="00E65B12"/>
    <w:rsid w:val="00E70206"/>
    <w:rsid w:val="00E71862"/>
    <w:rsid w:val="00E71F91"/>
    <w:rsid w:val="00E72905"/>
    <w:rsid w:val="00E73797"/>
    <w:rsid w:val="00E73AA0"/>
    <w:rsid w:val="00E74D76"/>
    <w:rsid w:val="00E759C0"/>
    <w:rsid w:val="00E77BB3"/>
    <w:rsid w:val="00E77F72"/>
    <w:rsid w:val="00E81559"/>
    <w:rsid w:val="00E81D65"/>
    <w:rsid w:val="00E84BE2"/>
    <w:rsid w:val="00E84D08"/>
    <w:rsid w:val="00E855CF"/>
    <w:rsid w:val="00E902FC"/>
    <w:rsid w:val="00E90B64"/>
    <w:rsid w:val="00E918E4"/>
    <w:rsid w:val="00E932B5"/>
    <w:rsid w:val="00E94C27"/>
    <w:rsid w:val="00E966F4"/>
    <w:rsid w:val="00EA349C"/>
    <w:rsid w:val="00EA3C7D"/>
    <w:rsid w:val="00EA4794"/>
    <w:rsid w:val="00EA616E"/>
    <w:rsid w:val="00EB19D7"/>
    <w:rsid w:val="00EB2A00"/>
    <w:rsid w:val="00EB363D"/>
    <w:rsid w:val="00EB3940"/>
    <w:rsid w:val="00EB3A83"/>
    <w:rsid w:val="00EB44AC"/>
    <w:rsid w:val="00EB58CF"/>
    <w:rsid w:val="00EC0461"/>
    <w:rsid w:val="00EC0781"/>
    <w:rsid w:val="00EC180B"/>
    <w:rsid w:val="00EC1A7F"/>
    <w:rsid w:val="00EC1EB1"/>
    <w:rsid w:val="00EC2BB6"/>
    <w:rsid w:val="00EC2BC8"/>
    <w:rsid w:val="00EC5722"/>
    <w:rsid w:val="00ED04EF"/>
    <w:rsid w:val="00ED0C89"/>
    <w:rsid w:val="00ED12A2"/>
    <w:rsid w:val="00ED16B0"/>
    <w:rsid w:val="00ED182E"/>
    <w:rsid w:val="00ED2314"/>
    <w:rsid w:val="00ED241C"/>
    <w:rsid w:val="00ED56F2"/>
    <w:rsid w:val="00ED5CB2"/>
    <w:rsid w:val="00ED7F16"/>
    <w:rsid w:val="00EE0FCE"/>
    <w:rsid w:val="00EE2341"/>
    <w:rsid w:val="00EE4CCC"/>
    <w:rsid w:val="00EE5829"/>
    <w:rsid w:val="00EE6242"/>
    <w:rsid w:val="00EE6B37"/>
    <w:rsid w:val="00EE776C"/>
    <w:rsid w:val="00EF0EA8"/>
    <w:rsid w:val="00EF1E14"/>
    <w:rsid w:val="00EF23D5"/>
    <w:rsid w:val="00EF3FA8"/>
    <w:rsid w:val="00EF46E9"/>
    <w:rsid w:val="00EF4DD1"/>
    <w:rsid w:val="00F0051B"/>
    <w:rsid w:val="00F01FF8"/>
    <w:rsid w:val="00F03A9D"/>
    <w:rsid w:val="00F055F0"/>
    <w:rsid w:val="00F113CD"/>
    <w:rsid w:val="00F1565D"/>
    <w:rsid w:val="00F1654F"/>
    <w:rsid w:val="00F23AEE"/>
    <w:rsid w:val="00F2573B"/>
    <w:rsid w:val="00F25F9E"/>
    <w:rsid w:val="00F303B3"/>
    <w:rsid w:val="00F30DA0"/>
    <w:rsid w:val="00F30EED"/>
    <w:rsid w:val="00F36E54"/>
    <w:rsid w:val="00F400F9"/>
    <w:rsid w:val="00F44A42"/>
    <w:rsid w:val="00F44D2F"/>
    <w:rsid w:val="00F451BC"/>
    <w:rsid w:val="00F51D7B"/>
    <w:rsid w:val="00F521CB"/>
    <w:rsid w:val="00F52B84"/>
    <w:rsid w:val="00F534BB"/>
    <w:rsid w:val="00F55B57"/>
    <w:rsid w:val="00F568F2"/>
    <w:rsid w:val="00F60792"/>
    <w:rsid w:val="00F61397"/>
    <w:rsid w:val="00F62150"/>
    <w:rsid w:val="00F62C33"/>
    <w:rsid w:val="00F65A3A"/>
    <w:rsid w:val="00F672F5"/>
    <w:rsid w:val="00F677DE"/>
    <w:rsid w:val="00F70C50"/>
    <w:rsid w:val="00F743C8"/>
    <w:rsid w:val="00F74A1F"/>
    <w:rsid w:val="00F85BC0"/>
    <w:rsid w:val="00F8638A"/>
    <w:rsid w:val="00F874E6"/>
    <w:rsid w:val="00F877FB"/>
    <w:rsid w:val="00F87BAF"/>
    <w:rsid w:val="00F93752"/>
    <w:rsid w:val="00F9404D"/>
    <w:rsid w:val="00F9531C"/>
    <w:rsid w:val="00FA55EB"/>
    <w:rsid w:val="00FA5728"/>
    <w:rsid w:val="00FA72E8"/>
    <w:rsid w:val="00FA7A86"/>
    <w:rsid w:val="00FB1DA0"/>
    <w:rsid w:val="00FB2841"/>
    <w:rsid w:val="00FB2AFF"/>
    <w:rsid w:val="00FB6683"/>
    <w:rsid w:val="00FB795C"/>
    <w:rsid w:val="00FC21C3"/>
    <w:rsid w:val="00FC3B5D"/>
    <w:rsid w:val="00FC63DD"/>
    <w:rsid w:val="00FC7702"/>
    <w:rsid w:val="00FD0036"/>
    <w:rsid w:val="00FD2EB3"/>
    <w:rsid w:val="00FD31B8"/>
    <w:rsid w:val="00FD31CE"/>
    <w:rsid w:val="00FD4AC9"/>
    <w:rsid w:val="00FD6341"/>
    <w:rsid w:val="00FE0282"/>
    <w:rsid w:val="00FE0D0F"/>
    <w:rsid w:val="00FE2120"/>
    <w:rsid w:val="00FE3A2A"/>
    <w:rsid w:val="00FE4DD6"/>
    <w:rsid w:val="00FE5E2F"/>
    <w:rsid w:val="00FE674C"/>
    <w:rsid w:val="00FE72AE"/>
    <w:rsid w:val="00FF2316"/>
    <w:rsid w:val="00FF5535"/>
    <w:rsid w:val="00FF5A03"/>
    <w:rsid w:val="00FF74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o:shapelayout v:ext="edit">
      <o:idmap v:ext="edit" data="1"/>
    </o:shapelayout>
  </w:shapeDefaults>
  <w:decimalSymbol w:val="."/>
  <w:listSeparator w:val=","/>
  <w14:docId w14:val="0148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61CA"/>
    <w:pPr>
      <w:spacing w:after="240" w:line="276" w:lineRule="auto"/>
    </w:pPr>
    <w:rPr>
      <w:rFonts w:ascii="Arial" w:hAnsi="Arial"/>
      <w:sz w:val="22"/>
    </w:rPr>
  </w:style>
  <w:style w:type="paragraph" w:styleId="Heading1">
    <w:name w:val="heading 1"/>
    <w:basedOn w:val="Normal"/>
    <w:next w:val="Normal"/>
    <w:link w:val="Heading1Char"/>
    <w:qFormat/>
    <w:rsid w:val="00AE61CA"/>
    <w:pPr>
      <w:keepNext/>
      <w:numPr>
        <w:numId w:val="33"/>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AE61CA"/>
    <w:pPr>
      <w:numPr>
        <w:ilvl w:val="1"/>
      </w:numPr>
      <w:pBdr>
        <w:top w:val="single" w:sz="12" w:space="3" w:color="31A7D4" w:themeColor="accent1"/>
        <w:bottom w:val="single" w:sz="12" w:space="3" w:color="31A7D4" w:themeColor="accent1"/>
      </w:pBdr>
      <w:spacing w:line="240" w:lineRule="auto"/>
      <w:ind w:left="993" w:hanging="993"/>
      <w:outlineLvl w:val="1"/>
    </w:pPr>
    <w:rPr>
      <w:sz w:val="40"/>
    </w:rPr>
  </w:style>
  <w:style w:type="paragraph" w:styleId="Heading3">
    <w:name w:val="heading 3"/>
    <w:basedOn w:val="Normal"/>
    <w:next w:val="Normal"/>
    <w:link w:val="Heading3Char"/>
    <w:unhideWhenUsed/>
    <w:qFormat/>
    <w:rsid w:val="00AE61CA"/>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AE61CA"/>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AE61CA"/>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E0521E"/>
    <w:pPr>
      <w:numPr>
        <w:ilvl w:val="5"/>
        <w:numId w:val="15"/>
      </w:numPr>
      <w:spacing w:after="120"/>
      <w:outlineLvl w:val="5"/>
    </w:pPr>
    <w:rPr>
      <w:bCs/>
      <w:sz w:val="22"/>
      <w:szCs w:val="22"/>
    </w:rPr>
  </w:style>
  <w:style w:type="paragraph" w:styleId="Heading7">
    <w:name w:val="heading 7"/>
    <w:basedOn w:val="HeadingBase"/>
    <w:next w:val="Normal"/>
    <w:semiHidden/>
    <w:rsid w:val="00E0521E"/>
    <w:pPr>
      <w:numPr>
        <w:ilvl w:val="6"/>
        <w:numId w:val="15"/>
      </w:numPr>
      <w:spacing w:after="120"/>
      <w:outlineLvl w:val="6"/>
    </w:pPr>
    <w:rPr>
      <w:szCs w:val="24"/>
    </w:rPr>
  </w:style>
  <w:style w:type="paragraph" w:styleId="Heading8">
    <w:name w:val="heading 8"/>
    <w:basedOn w:val="HeadingBase"/>
    <w:next w:val="Normal"/>
    <w:semiHidden/>
    <w:rsid w:val="00E0521E"/>
    <w:pPr>
      <w:numPr>
        <w:ilvl w:val="7"/>
        <w:numId w:val="15"/>
      </w:numPr>
      <w:spacing w:before="60" w:after="60"/>
      <w:jc w:val="center"/>
      <w:outlineLvl w:val="7"/>
    </w:pPr>
    <w:rPr>
      <w:iCs/>
      <w:smallCaps/>
      <w:sz w:val="22"/>
      <w:szCs w:val="24"/>
    </w:rPr>
  </w:style>
  <w:style w:type="paragraph" w:styleId="Heading9">
    <w:name w:val="heading 9"/>
    <w:basedOn w:val="HeadingBase"/>
    <w:next w:val="Normal"/>
    <w:link w:val="Heading9Char"/>
    <w:semiHidden/>
    <w:rsid w:val="00E0521E"/>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0521E"/>
    <w:pPr>
      <w:spacing w:after="0"/>
    </w:pPr>
  </w:style>
  <w:style w:type="character" w:styleId="Hyperlink">
    <w:name w:val="Hyperlink"/>
    <w:basedOn w:val="DefaultParagraphFont"/>
    <w:uiPriority w:val="99"/>
    <w:unhideWhenUsed/>
    <w:rsid w:val="00E0521E"/>
    <w:rPr>
      <w:color w:val="31A7D4" w:themeColor="text2"/>
      <w:u w:val="none"/>
    </w:rPr>
  </w:style>
  <w:style w:type="character" w:customStyle="1" w:styleId="BoldandItalic">
    <w:name w:val="Bold and Italic"/>
    <w:basedOn w:val="DefaultParagraphFont"/>
    <w:rsid w:val="00E0521E"/>
    <w:rPr>
      <w:rFonts w:ascii="Calibri" w:hAnsi="Calibri"/>
      <w:b/>
      <w:i/>
    </w:rPr>
  </w:style>
  <w:style w:type="table" w:styleId="TableGrid">
    <w:name w:val="Table Grid"/>
    <w:basedOn w:val="TableNormal"/>
    <w:uiPriority w:val="59"/>
    <w:rsid w:val="00AE61CA"/>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0521E"/>
    <w:pPr>
      <w:spacing w:before="40" w:after="40"/>
    </w:pPr>
    <w:rPr>
      <w:b/>
      <w:color w:val="FFFFFF" w:themeColor="background1"/>
      <w:sz w:val="20"/>
    </w:rPr>
  </w:style>
  <w:style w:type="paragraph" w:styleId="FootnoteText">
    <w:name w:val="footnote text"/>
    <w:basedOn w:val="Normal"/>
    <w:link w:val="FootnoteTextChar"/>
    <w:uiPriority w:val="99"/>
    <w:rsid w:val="00AE61CA"/>
    <w:pPr>
      <w:spacing w:before="40" w:after="0" w:line="240" w:lineRule="auto"/>
      <w:ind w:left="426" w:hanging="426"/>
    </w:pPr>
    <w:rPr>
      <w:sz w:val="18"/>
    </w:rPr>
  </w:style>
  <w:style w:type="paragraph" w:customStyle="1" w:styleId="Bullet">
    <w:name w:val="Bullet"/>
    <w:basedOn w:val="Normal"/>
    <w:link w:val="BulletChar"/>
    <w:rsid w:val="00E05486"/>
    <w:pPr>
      <w:numPr>
        <w:numId w:val="11"/>
      </w:numPr>
      <w:tabs>
        <w:tab w:val="clear" w:pos="283"/>
        <w:tab w:val="num" w:pos="567"/>
      </w:tabs>
      <w:spacing w:after="120"/>
      <w:ind w:left="567" w:hanging="567"/>
    </w:pPr>
  </w:style>
  <w:style w:type="paragraph" w:customStyle="1" w:styleId="Dash">
    <w:name w:val="Dash"/>
    <w:basedOn w:val="Normal"/>
    <w:link w:val="DashChar"/>
    <w:rsid w:val="00AE61CA"/>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AE61CA"/>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E0521E"/>
    <w:pPr>
      <w:numPr>
        <w:numId w:val="2"/>
      </w:numPr>
      <w:spacing w:line="280" w:lineRule="exact"/>
      <w:jc w:val="both"/>
    </w:pPr>
  </w:style>
  <w:style w:type="paragraph" w:customStyle="1" w:styleId="OutlineNumbered2">
    <w:name w:val="Outline Numbered 2"/>
    <w:basedOn w:val="Normal"/>
    <w:uiPriority w:val="2"/>
    <w:rsid w:val="00E0521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E0521E"/>
    <w:pPr>
      <w:numPr>
        <w:numId w:val="3"/>
      </w:numPr>
    </w:pPr>
  </w:style>
  <w:style w:type="paragraph" w:customStyle="1" w:styleId="HeadingBase">
    <w:name w:val="Heading Base"/>
    <w:next w:val="Normal"/>
    <w:rsid w:val="00E0521E"/>
    <w:pPr>
      <w:keepNext/>
    </w:pPr>
    <w:rPr>
      <w:rFonts w:ascii="Calibri" w:hAnsi="Calibri"/>
      <w:color w:val="31A7D4" w:themeColor="accent1"/>
    </w:rPr>
  </w:style>
  <w:style w:type="paragraph" w:customStyle="1" w:styleId="AppendixHeading">
    <w:name w:val="Appendix Heading"/>
    <w:basedOn w:val="HeadingBase"/>
    <w:next w:val="Normal"/>
    <w:rsid w:val="00E0521E"/>
    <w:pPr>
      <w:spacing w:before="720" w:after="360"/>
      <w:outlineLvl w:val="0"/>
    </w:pPr>
    <w:rPr>
      <w:b/>
      <w:smallCaps/>
      <w:sz w:val="36"/>
      <w:szCs w:val="36"/>
    </w:rPr>
  </w:style>
  <w:style w:type="character" w:customStyle="1" w:styleId="Bold">
    <w:name w:val="Bold"/>
    <w:basedOn w:val="DefaultParagraphFont"/>
    <w:rsid w:val="00E0521E"/>
    <w:rPr>
      <w:b/>
    </w:rPr>
  </w:style>
  <w:style w:type="paragraph" w:customStyle="1" w:styleId="BoxHeading">
    <w:name w:val="Box Heading"/>
    <w:basedOn w:val="Caption"/>
    <w:next w:val="BoxText"/>
    <w:unhideWhenUsed/>
    <w:rsid w:val="00AE61CA"/>
    <w:rPr>
      <w:sz w:val="28"/>
      <w:szCs w:val="28"/>
    </w:rPr>
  </w:style>
  <w:style w:type="paragraph" w:customStyle="1" w:styleId="BoxTextBase">
    <w:name w:val="Box Text Base"/>
    <w:basedOn w:val="Normal"/>
    <w:unhideWhenUsed/>
    <w:rsid w:val="00AE61CA"/>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AE61CA"/>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AE61CA"/>
    <w:pPr>
      <w:keepNext/>
      <w:spacing w:after="0" w:line="240" w:lineRule="auto"/>
      <w:jc w:val="center"/>
    </w:pPr>
    <w:rPr>
      <w:color w:val="636363" w:themeColor="accent2"/>
    </w:rPr>
  </w:style>
  <w:style w:type="paragraph" w:customStyle="1" w:styleId="ChartMainHeading">
    <w:name w:val="Chart Main Heading"/>
    <w:basedOn w:val="Caption"/>
    <w:next w:val="ChartGraphic"/>
    <w:rsid w:val="00AE61CA"/>
    <w:pPr>
      <w:keepNext/>
      <w:spacing w:before="120" w:after="60"/>
      <w:jc w:val="center"/>
    </w:pPr>
    <w:rPr>
      <w:sz w:val="20"/>
      <w:szCs w:val="20"/>
    </w:rPr>
  </w:style>
  <w:style w:type="paragraph" w:customStyle="1" w:styleId="ChartorTableNote">
    <w:name w:val="Chart or Table Note"/>
    <w:next w:val="Normal"/>
    <w:rsid w:val="00845675"/>
    <w:pPr>
      <w:spacing w:line="220" w:lineRule="exact"/>
      <w:jc w:val="both"/>
    </w:pPr>
    <w:rPr>
      <w:rFonts w:asciiTheme="minorHAnsi" w:hAnsiTheme="minorHAnsi"/>
      <w:color w:val="000000"/>
    </w:rPr>
  </w:style>
  <w:style w:type="paragraph" w:customStyle="1" w:styleId="ChartSecondHeading">
    <w:name w:val="Chart Second Heading"/>
    <w:basedOn w:val="HeadingBase"/>
    <w:next w:val="ChartGraphic"/>
    <w:rsid w:val="00E0521E"/>
    <w:pPr>
      <w:spacing w:after="20"/>
      <w:jc w:val="center"/>
    </w:pPr>
  </w:style>
  <w:style w:type="paragraph" w:customStyle="1" w:styleId="Classification">
    <w:name w:val="Classification"/>
    <w:basedOn w:val="HeadingBase"/>
    <w:next w:val="Footer"/>
    <w:semiHidden/>
    <w:rsid w:val="00E0521E"/>
    <w:pPr>
      <w:spacing w:after="120"/>
      <w:jc w:val="center"/>
    </w:pPr>
    <w:rPr>
      <w:b/>
      <w:smallCaps/>
    </w:rPr>
  </w:style>
  <w:style w:type="paragraph" w:styleId="Footer">
    <w:name w:val="footer"/>
    <w:basedOn w:val="Normal"/>
    <w:link w:val="FooterChar"/>
    <w:uiPriority w:val="99"/>
    <w:unhideWhenUsed/>
    <w:rsid w:val="0008146A"/>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0521E"/>
    <w:pPr>
      <w:spacing w:after="360"/>
      <w:jc w:val="center"/>
    </w:pPr>
    <w:rPr>
      <w:smallCaps/>
      <w:sz w:val="40"/>
      <w:szCs w:val="36"/>
    </w:rPr>
  </w:style>
  <w:style w:type="paragraph" w:customStyle="1" w:styleId="CoverTitleMain">
    <w:name w:val="Cover Title Main"/>
    <w:basedOn w:val="HeadingBase"/>
    <w:next w:val="Normal"/>
    <w:uiPriority w:val="2"/>
    <w:rsid w:val="00E0521E"/>
    <w:pPr>
      <w:spacing w:before="720" w:after="480"/>
    </w:pPr>
    <w:rPr>
      <w:b/>
      <w:caps/>
      <w:sz w:val="48"/>
    </w:rPr>
  </w:style>
  <w:style w:type="paragraph" w:customStyle="1" w:styleId="CoverTitleSub">
    <w:name w:val="Cover Title Sub"/>
    <w:basedOn w:val="HeadingBase"/>
    <w:uiPriority w:val="2"/>
    <w:rsid w:val="00E0521E"/>
    <w:pPr>
      <w:pBdr>
        <w:top w:val="single" w:sz="4" w:space="1" w:color="009976"/>
      </w:pBdr>
      <w:spacing w:after="360"/>
      <w:jc w:val="right"/>
    </w:pPr>
    <w:rPr>
      <w:sz w:val="36"/>
    </w:rPr>
  </w:style>
  <w:style w:type="paragraph" w:customStyle="1" w:styleId="FooterCentered">
    <w:name w:val="Footer Centered"/>
    <w:basedOn w:val="Footer"/>
    <w:unhideWhenUsed/>
    <w:rsid w:val="00E0521E"/>
    <w:pPr>
      <w:jc w:val="center"/>
    </w:pPr>
  </w:style>
  <w:style w:type="paragraph" w:customStyle="1" w:styleId="FooterEven">
    <w:name w:val="Footer Even"/>
    <w:basedOn w:val="Footer"/>
    <w:unhideWhenUsed/>
    <w:rsid w:val="00100DF1"/>
    <w:pPr>
      <w:pBdr>
        <w:top w:val="single" w:sz="2" w:space="1" w:color="31A7D4" w:themeColor="accent1"/>
      </w:pBdr>
    </w:pPr>
  </w:style>
  <w:style w:type="paragraph" w:customStyle="1" w:styleId="FooterOdd">
    <w:name w:val="Footer Odd"/>
    <w:basedOn w:val="Footer"/>
    <w:unhideWhenUsed/>
    <w:rsid w:val="0008146A"/>
  </w:style>
  <w:style w:type="character" w:customStyle="1" w:styleId="FramedFooter">
    <w:name w:val="Framed Footer"/>
    <w:semiHidden/>
    <w:rsid w:val="00E0521E"/>
    <w:rPr>
      <w:rFonts w:ascii="Arial" w:hAnsi="Arial"/>
      <w:color w:val="31A7D4" w:themeColor="accent1"/>
      <w:sz w:val="18"/>
    </w:rPr>
  </w:style>
  <w:style w:type="character" w:customStyle="1" w:styleId="FramedHeader">
    <w:name w:val="Framed Header"/>
    <w:basedOn w:val="DefaultParagraphFont"/>
    <w:semiHidden/>
    <w:rsid w:val="00E0521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AE61CA"/>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100DF1"/>
    <w:pPr>
      <w:jc w:val="left"/>
    </w:pPr>
  </w:style>
  <w:style w:type="paragraph" w:customStyle="1" w:styleId="HeaderOdd">
    <w:name w:val="Header Odd"/>
    <w:basedOn w:val="Header"/>
    <w:rsid w:val="00E0521E"/>
  </w:style>
  <w:style w:type="paragraph" w:styleId="NormalIndent">
    <w:name w:val="Normal Indent"/>
    <w:basedOn w:val="Normal"/>
    <w:semiHidden/>
    <w:rsid w:val="00E0521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0521E"/>
    <w:pPr>
      <w:spacing w:after="120"/>
    </w:pPr>
  </w:style>
  <w:style w:type="paragraph" w:customStyle="1" w:styleId="RecommendationText">
    <w:name w:val="Recommendation Text"/>
    <w:basedOn w:val="Normal"/>
    <w:qFormat/>
    <w:rsid w:val="00E0521E"/>
    <w:pPr>
      <w:spacing w:after="120"/>
      <w:ind w:left="459" w:hanging="425"/>
    </w:pPr>
    <w:rPr>
      <w:color w:val="000000"/>
    </w:rPr>
  </w:style>
  <w:style w:type="paragraph" w:customStyle="1" w:styleId="TableTextBase">
    <w:name w:val="Table Text Base"/>
    <w:uiPriority w:val="1"/>
    <w:unhideWhenUsed/>
    <w:rsid w:val="004A7BB0"/>
    <w:pPr>
      <w:spacing w:before="40" w:after="40"/>
    </w:pPr>
    <w:rPr>
      <w:rFonts w:ascii="Arial" w:hAnsi="Arial"/>
      <w:color w:val="000000" w:themeColor="text1"/>
    </w:rPr>
  </w:style>
  <w:style w:type="paragraph" w:customStyle="1" w:styleId="TableColumnHeadingCentred">
    <w:name w:val="Table Column Heading Centred"/>
    <w:basedOn w:val="TableColumnHeadingBase"/>
    <w:uiPriority w:val="1"/>
    <w:unhideWhenUsed/>
    <w:rsid w:val="00E0521E"/>
    <w:pPr>
      <w:jc w:val="center"/>
    </w:pPr>
  </w:style>
  <w:style w:type="paragraph" w:customStyle="1" w:styleId="TableColumnHeadingLeft">
    <w:name w:val="Table Column Heading Left"/>
    <w:basedOn w:val="TableColumnHeadingBase"/>
    <w:uiPriority w:val="1"/>
    <w:unhideWhenUsed/>
    <w:rsid w:val="00E0521E"/>
  </w:style>
  <w:style w:type="paragraph" w:customStyle="1" w:styleId="TableColumnHeadingRight">
    <w:name w:val="Table Column Heading Right"/>
    <w:basedOn w:val="TableColumnHeadingBase"/>
    <w:uiPriority w:val="1"/>
    <w:unhideWhenUsed/>
    <w:rsid w:val="00E0521E"/>
    <w:pPr>
      <w:jc w:val="right"/>
    </w:pPr>
  </w:style>
  <w:style w:type="paragraph" w:customStyle="1" w:styleId="TableGraphic">
    <w:name w:val="Table Graphic"/>
    <w:basedOn w:val="Normal"/>
    <w:next w:val="Normal"/>
    <w:rsid w:val="00AE61CA"/>
    <w:pPr>
      <w:keepNext/>
      <w:spacing w:after="0" w:line="240" w:lineRule="auto"/>
    </w:pPr>
    <w:rPr>
      <w:color w:val="636363" w:themeColor="accent2"/>
    </w:rPr>
  </w:style>
  <w:style w:type="paragraph" w:customStyle="1" w:styleId="TableMainHeading">
    <w:name w:val="Table Main Heading"/>
    <w:basedOn w:val="Normal"/>
    <w:next w:val="Normal"/>
    <w:uiPriority w:val="1"/>
    <w:rsid w:val="00AE61CA"/>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0521E"/>
    <w:pPr>
      <w:pageBreakBefore/>
      <w:spacing w:after="20"/>
    </w:pPr>
    <w:rPr>
      <w:b/>
      <w:sz w:val="22"/>
    </w:rPr>
  </w:style>
  <w:style w:type="paragraph" w:customStyle="1" w:styleId="TableSecondHeading">
    <w:name w:val="Table Second Heading"/>
    <w:basedOn w:val="HeadingBase"/>
    <w:next w:val="TableGraphic"/>
    <w:uiPriority w:val="1"/>
    <w:unhideWhenUsed/>
    <w:rsid w:val="00E0521E"/>
    <w:pPr>
      <w:spacing w:after="20"/>
    </w:pPr>
  </w:style>
  <w:style w:type="paragraph" w:customStyle="1" w:styleId="TableTextCentered">
    <w:name w:val="Table Text Centered"/>
    <w:basedOn w:val="TableTextBase"/>
    <w:uiPriority w:val="1"/>
    <w:unhideWhenUsed/>
    <w:rsid w:val="00E0521E"/>
    <w:pPr>
      <w:jc w:val="center"/>
    </w:pPr>
  </w:style>
  <w:style w:type="paragraph" w:customStyle="1" w:styleId="TableTextIndented">
    <w:name w:val="Table Text Indented"/>
    <w:basedOn w:val="TableTextBase"/>
    <w:uiPriority w:val="1"/>
    <w:unhideWhenUsed/>
    <w:rsid w:val="00E0521E"/>
    <w:pPr>
      <w:ind w:left="284"/>
    </w:pPr>
  </w:style>
  <w:style w:type="paragraph" w:customStyle="1" w:styleId="TableTextLeft">
    <w:name w:val="Table Text Left"/>
    <w:basedOn w:val="Normal"/>
    <w:rsid w:val="004A7BB0"/>
    <w:pPr>
      <w:spacing w:before="60" w:after="60"/>
    </w:pPr>
    <w:rPr>
      <w:sz w:val="20"/>
    </w:rPr>
  </w:style>
  <w:style w:type="paragraph" w:customStyle="1" w:styleId="TableTextRight">
    <w:name w:val="Table Text Right"/>
    <w:basedOn w:val="TableTextBase"/>
    <w:uiPriority w:val="1"/>
    <w:unhideWhenUsed/>
    <w:rsid w:val="00E0521E"/>
    <w:pPr>
      <w:jc w:val="right"/>
    </w:pPr>
  </w:style>
  <w:style w:type="paragraph" w:styleId="TOC1">
    <w:name w:val="toc 1"/>
    <w:basedOn w:val="HeadingBase"/>
    <w:next w:val="Normal"/>
    <w:uiPriority w:val="39"/>
    <w:rsid w:val="00E0521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E0521E"/>
    <w:pPr>
      <w:tabs>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0521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0521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0521E"/>
    <w:rPr>
      <w:i/>
    </w:rPr>
  </w:style>
  <w:style w:type="paragraph" w:customStyle="1" w:styleId="OneLevelNumberedParagraph">
    <w:name w:val="One Level Numbered Paragraph"/>
    <w:basedOn w:val="Normal"/>
    <w:semiHidden/>
    <w:rsid w:val="00E0521E"/>
    <w:pPr>
      <w:numPr>
        <w:numId w:val="6"/>
      </w:numPr>
    </w:pPr>
  </w:style>
  <w:style w:type="paragraph" w:customStyle="1" w:styleId="BoxText">
    <w:name w:val="Box Text"/>
    <w:basedOn w:val="BoxTextBase"/>
    <w:unhideWhenUsed/>
    <w:rsid w:val="00AE61CA"/>
    <w:pPr>
      <w:shd w:val="clear" w:color="auto" w:fill="auto"/>
      <w:spacing w:after="120"/>
    </w:pPr>
  </w:style>
  <w:style w:type="paragraph" w:customStyle="1" w:styleId="BoxBullet">
    <w:name w:val="Box Bullet"/>
    <w:basedOn w:val="BoxTextBase"/>
    <w:unhideWhenUsed/>
    <w:rsid w:val="00AE61CA"/>
    <w:pPr>
      <w:numPr>
        <w:numId w:val="5"/>
      </w:numPr>
      <w:shd w:val="clear" w:color="auto" w:fill="auto"/>
    </w:pPr>
  </w:style>
  <w:style w:type="paragraph" w:customStyle="1" w:styleId="BoxDash">
    <w:name w:val="Box Dash"/>
    <w:basedOn w:val="BoxTextBase"/>
    <w:unhideWhenUsed/>
    <w:rsid w:val="00AE61CA"/>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AE61CA"/>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0521E"/>
    <w:pPr>
      <w:numPr>
        <w:numId w:val="7"/>
      </w:numPr>
    </w:pPr>
  </w:style>
  <w:style w:type="paragraph" w:customStyle="1" w:styleId="RecommendationDash">
    <w:name w:val="Recommendation Dash"/>
    <w:basedOn w:val="RecommendationTextBase"/>
    <w:rsid w:val="00E0521E"/>
    <w:pPr>
      <w:numPr>
        <w:ilvl w:val="1"/>
        <w:numId w:val="7"/>
      </w:numPr>
    </w:pPr>
  </w:style>
  <w:style w:type="paragraph" w:customStyle="1" w:styleId="RecommendationDoubleDot">
    <w:name w:val="Recommendation Double Dot"/>
    <w:basedOn w:val="RecommendationTextBase"/>
    <w:rsid w:val="00E0521E"/>
    <w:pPr>
      <w:numPr>
        <w:ilvl w:val="2"/>
        <w:numId w:val="7"/>
      </w:numPr>
    </w:pPr>
  </w:style>
  <w:style w:type="character" w:styleId="FollowedHyperlink">
    <w:name w:val="FollowedHyperlink"/>
    <w:basedOn w:val="DefaultParagraphFont"/>
    <w:unhideWhenUsed/>
    <w:rsid w:val="00E0521E"/>
    <w:rPr>
      <w:color w:val="auto"/>
      <w:u w:val="none"/>
    </w:rPr>
  </w:style>
  <w:style w:type="paragraph" w:customStyle="1" w:styleId="Heading1NotNumbered">
    <w:name w:val="Heading 1 Not Numbered"/>
    <w:basedOn w:val="HeadingBase"/>
    <w:next w:val="Normal"/>
    <w:rsid w:val="00E0521E"/>
    <w:pPr>
      <w:spacing w:before="720" w:after="360"/>
    </w:pPr>
    <w:rPr>
      <w:smallCaps/>
      <w:sz w:val="40"/>
      <w:szCs w:val="36"/>
    </w:rPr>
  </w:style>
  <w:style w:type="paragraph" w:customStyle="1" w:styleId="Heading2NotNumbered">
    <w:name w:val="Heading 2 Not Numbered"/>
    <w:basedOn w:val="HeadingBase"/>
    <w:next w:val="Normal"/>
    <w:rsid w:val="00E0521E"/>
    <w:pPr>
      <w:spacing w:before="360" w:after="180"/>
    </w:pPr>
    <w:rPr>
      <w:smallCaps/>
      <w:sz w:val="32"/>
      <w:szCs w:val="28"/>
    </w:rPr>
  </w:style>
  <w:style w:type="paragraph" w:customStyle="1" w:styleId="Heading3NotNumbered">
    <w:name w:val="Heading 3 Not Numbered"/>
    <w:basedOn w:val="HeadingBase"/>
    <w:next w:val="Normal"/>
    <w:rsid w:val="00E0521E"/>
    <w:pPr>
      <w:spacing w:before="240" w:after="120"/>
    </w:pPr>
    <w:rPr>
      <w:sz w:val="28"/>
      <w:szCs w:val="26"/>
    </w:rPr>
  </w:style>
  <w:style w:type="paragraph" w:customStyle="1" w:styleId="Heading4NotNumbered">
    <w:name w:val="Heading 4 Not Numbered"/>
    <w:basedOn w:val="HeadingBase"/>
    <w:unhideWhenUsed/>
    <w:rsid w:val="00E0521E"/>
    <w:pPr>
      <w:spacing w:before="120" w:after="120"/>
      <w:outlineLvl w:val="3"/>
    </w:pPr>
    <w:rPr>
      <w:i/>
      <w:sz w:val="26"/>
    </w:rPr>
  </w:style>
  <w:style w:type="paragraph" w:styleId="BalloonText">
    <w:name w:val="Balloon Text"/>
    <w:basedOn w:val="Normal"/>
    <w:link w:val="BalloonTextChar"/>
    <w:uiPriority w:val="99"/>
    <w:semiHidden/>
    <w:unhideWhenUsed/>
    <w:rsid w:val="00AE61CA"/>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AE61CA"/>
    <w:pPr>
      <w:spacing w:after="200" w:line="240" w:lineRule="auto"/>
    </w:pPr>
    <w:rPr>
      <w:b/>
      <w:bCs/>
      <w:color w:val="31A7D4" w:themeColor="accent1"/>
      <w:sz w:val="18"/>
      <w:szCs w:val="18"/>
    </w:rPr>
  </w:style>
  <w:style w:type="character" w:styleId="CommentReference">
    <w:name w:val="annotation reference"/>
    <w:basedOn w:val="DefaultParagraphFont"/>
    <w:semiHidden/>
    <w:rsid w:val="00E0521E"/>
    <w:rPr>
      <w:sz w:val="16"/>
      <w:szCs w:val="16"/>
    </w:rPr>
  </w:style>
  <w:style w:type="paragraph" w:styleId="CommentText">
    <w:name w:val="annotation text"/>
    <w:basedOn w:val="Normal"/>
    <w:semiHidden/>
    <w:rsid w:val="00E0521E"/>
  </w:style>
  <w:style w:type="paragraph" w:styleId="CommentSubject">
    <w:name w:val="annotation subject"/>
    <w:basedOn w:val="CommentText"/>
    <w:next w:val="CommentText"/>
    <w:semiHidden/>
    <w:rsid w:val="00E0521E"/>
    <w:rPr>
      <w:b/>
      <w:bCs/>
    </w:rPr>
  </w:style>
  <w:style w:type="paragraph" w:styleId="DocumentMap">
    <w:name w:val="Document Map"/>
    <w:basedOn w:val="Normal"/>
    <w:semiHidden/>
    <w:rsid w:val="00E0521E"/>
    <w:pPr>
      <w:shd w:val="clear" w:color="auto" w:fill="000080"/>
    </w:pPr>
    <w:rPr>
      <w:rFonts w:ascii="Tahoma" w:hAnsi="Tahoma" w:cs="Tahoma"/>
    </w:rPr>
  </w:style>
  <w:style w:type="character" w:styleId="EndnoteReference">
    <w:name w:val="endnote reference"/>
    <w:basedOn w:val="DefaultParagraphFont"/>
    <w:semiHidden/>
    <w:rsid w:val="00E0521E"/>
    <w:rPr>
      <w:vertAlign w:val="superscript"/>
    </w:rPr>
  </w:style>
  <w:style w:type="paragraph" w:styleId="EndnoteText">
    <w:name w:val="endnote text"/>
    <w:basedOn w:val="Normal"/>
    <w:semiHidden/>
    <w:rsid w:val="00E0521E"/>
  </w:style>
  <w:style w:type="character" w:styleId="FootnoteReference">
    <w:name w:val="footnote reference"/>
    <w:basedOn w:val="DefaultParagraphFont"/>
    <w:uiPriority w:val="99"/>
    <w:unhideWhenUsed/>
    <w:rsid w:val="00AE61CA"/>
    <w:rPr>
      <w:vertAlign w:val="superscript"/>
    </w:rPr>
  </w:style>
  <w:style w:type="paragraph" w:styleId="Index1">
    <w:name w:val="index 1"/>
    <w:basedOn w:val="Normal"/>
    <w:next w:val="Normal"/>
    <w:autoRedefine/>
    <w:semiHidden/>
    <w:rsid w:val="00E0521E"/>
    <w:pPr>
      <w:ind w:left="200" w:hanging="200"/>
    </w:pPr>
  </w:style>
  <w:style w:type="paragraph" w:styleId="Index2">
    <w:name w:val="index 2"/>
    <w:basedOn w:val="Normal"/>
    <w:next w:val="Normal"/>
    <w:autoRedefine/>
    <w:semiHidden/>
    <w:rsid w:val="00E0521E"/>
    <w:pPr>
      <w:ind w:left="400" w:hanging="200"/>
    </w:pPr>
  </w:style>
  <w:style w:type="paragraph" w:styleId="Index3">
    <w:name w:val="index 3"/>
    <w:basedOn w:val="Normal"/>
    <w:next w:val="Normal"/>
    <w:autoRedefine/>
    <w:semiHidden/>
    <w:rsid w:val="00E0521E"/>
    <w:pPr>
      <w:ind w:left="600" w:hanging="200"/>
    </w:pPr>
  </w:style>
  <w:style w:type="paragraph" w:styleId="Index4">
    <w:name w:val="index 4"/>
    <w:basedOn w:val="Normal"/>
    <w:next w:val="Normal"/>
    <w:autoRedefine/>
    <w:semiHidden/>
    <w:rsid w:val="00E0521E"/>
    <w:pPr>
      <w:ind w:left="800" w:hanging="200"/>
    </w:pPr>
  </w:style>
  <w:style w:type="paragraph" w:styleId="Index5">
    <w:name w:val="index 5"/>
    <w:basedOn w:val="Normal"/>
    <w:next w:val="Normal"/>
    <w:autoRedefine/>
    <w:semiHidden/>
    <w:rsid w:val="00E0521E"/>
    <w:pPr>
      <w:ind w:left="1000" w:hanging="200"/>
    </w:pPr>
  </w:style>
  <w:style w:type="paragraph" w:styleId="Index6">
    <w:name w:val="index 6"/>
    <w:basedOn w:val="Normal"/>
    <w:next w:val="Normal"/>
    <w:autoRedefine/>
    <w:semiHidden/>
    <w:rsid w:val="00E0521E"/>
    <w:pPr>
      <w:ind w:left="1200" w:hanging="200"/>
    </w:pPr>
  </w:style>
  <w:style w:type="paragraph" w:styleId="Index7">
    <w:name w:val="index 7"/>
    <w:basedOn w:val="Normal"/>
    <w:next w:val="Normal"/>
    <w:autoRedefine/>
    <w:semiHidden/>
    <w:rsid w:val="00E0521E"/>
    <w:pPr>
      <w:ind w:left="1400" w:hanging="200"/>
    </w:pPr>
  </w:style>
  <w:style w:type="paragraph" w:styleId="Index8">
    <w:name w:val="index 8"/>
    <w:basedOn w:val="Normal"/>
    <w:next w:val="Normal"/>
    <w:autoRedefine/>
    <w:semiHidden/>
    <w:rsid w:val="00E0521E"/>
    <w:pPr>
      <w:ind w:left="1600" w:hanging="200"/>
    </w:pPr>
  </w:style>
  <w:style w:type="paragraph" w:styleId="Index9">
    <w:name w:val="index 9"/>
    <w:basedOn w:val="Normal"/>
    <w:next w:val="Normal"/>
    <w:autoRedefine/>
    <w:semiHidden/>
    <w:rsid w:val="00E0521E"/>
    <w:pPr>
      <w:ind w:left="1800" w:hanging="200"/>
    </w:pPr>
  </w:style>
  <w:style w:type="paragraph" w:styleId="IndexHeading">
    <w:name w:val="index heading"/>
    <w:basedOn w:val="Normal"/>
    <w:next w:val="Index1"/>
    <w:semiHidden/>
    <w:rsid w:val="00E0521E"/>
    <w:rPr>
      <w:rFonts w:cs="Arial"/>
      <w:b/>
      <w:bCs/>
    </w:rPr>
  </w:style>
  <w:style w:type="paragraph" w:styleId="MacroText">
    <w:name w:val="macro"/>
    <w:semiHidden/>
    <w:rsid w:val="00E0521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0521E"/>
    <w:pPr>
      <w:ind w:left="200" w:hanging="200"/>
    </w:pPr>
  </w:style>
  <w:style w:type="paragraph" w:styleId="TableofFigures">
    <w:name w:val="table of figures"/>
    <w:basedOn w:val="Normal"/>
    <w:next w:val="Normal"/>
    <w:semiHidden/>
    <w:rsid w:val="00E0521E"/>
  </w:style>
  <w:style w:type="paragraph" w:styleId="TOAHeading">
    <w:name w:val="toa heading"/>
    <w:basedOn w:val="Normal"/>
    <w:next w:val="Normal"/>
    <w:semiHidden/>
    <w:rsid w:val="00E0521E"/>
    <w:rPr>
      <w:rFonts w:cs="Arial"/>
      <w:b/>
      <w:bCs/>
      <w:szCs w:val="24"/>
    </w:rPr>
  </w:style>
  <w:style w:type="paragraph" w:styleId="TOC5">
    <w:name w:val="toc 5"/>
    <w:basedOn w:val="Normal"/>
    <w:next w:val="Normal"/>
    <w:autoRedefine/>
    <w:semiHidden/>
    <w:rsid w:val="00E0521E"/>
    <w:pPr>
      <w:ind w:left="800"/>
    </w:pPr>
  </w:style>
  <w:style w:type="paragraph" w:styleId="TOC6">
    <w:name w:val="toc 6"/>
    <w:basedOn w:val="Normal"/>
    <w:next w:val="Normal"/>
    <w:autoRedefine/>
    <w:semiHidden/>
    <w:rsid w:val="00E0521E"/>
    <w:pPr>
      <w:ind w:left="1000"/>
    </w:pPr>
  </w:style>
  <w:style w:type="paragraph" w:styleId="TOC7">
    <w:name w:val="toc 7"/>
    <w:basedOn w:val="Normal"/>
    <w:next w:val="Normal"/>
    <w:autoRedefine/>
    <w:semiHidden/>
    <w:rsid w:val="00E0521E"/>
    <w:pPr>
      <w:ind w:left="1200"/>
    </w:pPr>
  </w:style>
  <w:style w:type="paragraph" w:styleId="TOC8">
    <w:name w:val="toc 8"/>
    <w:basedOn w:val="Normal"/>
    <w:next w:val="Normal"/>
    <w:autoRedefine/>
    <w:semiHidden/>
    <w:rsid w:val="00E0521E"/>
    <w:pPr>
      <w:ind w:left="1400"/>
    </w:pPr>
  </w:style>
  <w:style w:type="paragraph" w:styleId="TOC9">
    <w:name w:val="toc 9"/>
    <w:basedOn w:val="Normal"/>
    <w:next w:val="Normal"/>
    <w:autoRedefine/>
    <w:semiHidden/>
    <w:rsid w:val="00E0521E"/>
    <w:pPr>
      <w:ind w:left="1600"/>
    </w:pPr>
  </w:style>
  <w:style w:type="paragraph" w:customStyle="1" w:styleId="Heading5NotNumbered">
    <w:name w:val="Heading 5 Not Numbered"/>
    <w:basedOn w:val="HeadingBase"/>
    <w:unhideWhenUsed/>
    <w:rsid w:val="00E0521E"/>
    <w:pPr>
      <w:spacing w:after="120"/>
      <w:outlineLvl w:val="4"/>
    </w:pPr>
    <w:rPr>
      <w:b/>
      <w:i/>
      <w:sz w:val="22"/>
    </w:rPr>
  </w:style>
  <w:style w:type="table" w:customStyle="1" w:styleId="OptionsTable">
    <w:name w:val="Options Table"/>
    <w:basedOn w:val="TableNormal"/>
    <w:rsid w:val="00E0521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0521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E0521E"/>
    <w:pPr>
      <w:numPr>
        <w:ilvl w:val="4"/>
        <w:numId w:val="2"/>
      </w:numPr>
      <w:spacing w:line="280" w:lineRule="exact"/>
      <w:jc w:val="both"/>
    </w:pPr>
  </w:style>
  <w:style w:type="paragraph" w:customStyle="1" w:styleId="Crest">
    <w:name w:val="Crest"/>
    <w:basedOn w:val="Header"/>
    <w:uiPriority w:val="2"/>
    <w:rsid w:val="00E0521E"/>
    <w:pPr>
      <w:spacing w:after="480"/>
    </w:pPr>
  </w:style>
  <w:style w:type="character" w:customStyle="1" w:styleId="SingleParagraphChar">
    <w:name w:val="Single Paragraph Char"/>
    <w:basedOn w:val="DefaultParagraphFont"/>
    <w:link w:val="SingleParagraph"/>
    <w:rsid w:val="00E0521E"/>
    <w:rPr>
      <w:rFonts w:asciiTheme="minorHAnsi" w:hAnsiTheme="minorHAnsi"/>
      <w:color w:val="000000" w:themeColor="text1"/>
      <w:sz w:val="24"/>
    </w:rPr>
  </w:style>
  <w:style w:type="character" w:customStyle="1" w:styleId="Heading5Char">
    <w:name w:val="Heading 5 Char"/>
    <w:basedOn w:val="DefaultParagraphFont"/>
    <w:link w:val="Heading5"/>
    <w:rsid w:val="00AE61CA"/>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AE61CA"/>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08146A"/>
    <w:rPr>
      <w:rFonts w:ascii="Arial" w:hAnsi="Arial"/>
      <w:color w:val="31A7D4" w:themeColor="accent1"/>
      <w:sz w:val="28"/>
    </w:rPr>
  </w:style>
  <w:style w:type="paragraph" w:customStyle="1" w:styleId="SecurityClassificationFooter">
    <w:name w:val="Security Classification Footer"/>
    <w:link w:val="SecurityClassificationFooterChar"/>
    <w:rsid w:val="00E0521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0521E"/>
    <w:rPr>
      <w:b/>
      <w:caps/>
      <w:color w:val="009976"/>
      <w:sz w:val="24"/>
    </w:rPr>
  </w:style>
  <w:style w:type="paragraph" w:customStyle="1" w:styleId="MinuteNumber">
    <w:name w:val="Minute Number"/>
    <w:basedOn w:val="Header"/>
    <w:uiPriority w:val="2"/>
    <w:rsid w:val="00E0521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0521E"/>
    <w:pPr>
      <w:spacing w:before="120"/>
    </w:pPr>
    <w:rPr>
      <w:b w:val="0"/>
      <w:sz w:val="24"/>
    </w:rPr>
  </w:style>
  <w:style w:type="paragraph" w:customStyle="1" w:styleId="QAText">
    <w:name w:val="QA Text"/>
    <w:basedOn w:val="Normal"/>
    <w:unhideWhenUsed/>
    <w:rsid w:val="00E0521E"/>
    <w:pPr>
      <w:spacing w:after="120"/>
    </w:pPr>
  </w:style>
  <w:style w:type="paragraph" w:customStyle="1" w:styleId="Copyrightheadings">
    <w:name w:val="Copyright headings"/>
    <w:basedOn w:val="HeadingBase"/>
    <w:uiPriority w:val="2"/>
    <w:rsid w:val="00E0521E"/>
    <w:pPr>
      <w:spacing w:after="80"/>
    </w:pPr>
    <w:rPr>
      <w:b/>
      <w:color w:val="000000" w:themeColor="text1"/>
      <w:sz w:val="22"/>
    </w:rPr>
  </w:style>
  <w:style w:type="paragraph" w:customStyle="1" w:styleId="Quotes">
    <w:name w:val="Quotes"/>
    <w:basedOn w:val="Normal"/>
    <w:qFormat/>
    <w:rsid w:val="00E0521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0521E"/>
  </w:style>
  <w:style w:type="paragraph" w:customStyle="1" w:styleId="Keyfindingtext">
    <w:name w:val="Key finding text"/>
    <w:basedOn w:val="BoxText"/>
    <w:uiPriority w:val="1"/>
    <w:qFormat/>
    <w:rsid w:val="00E0521E"/>
    <w:pPr>
      <w:numPr>
        <w:numId w:val="16"/>
      </w:numPr>
    </w:pPr>
    <w:rPr>
      <w:rFonts w:eastAsiaTheme="minorHAnsi"/>
    </w:rPr>
  </w:style>
  <w:style w:type="paragraph" w:customStyle="1" w:styleId="Casestudyboxheading">
    <w:name w:val="Case study box heading"/>
    <w:basedOn w:val="Questionheading"/>
    <w:qFormat/>
    <w:rsid w:val="00D7532E"/>
    <w:pPr>
      <w:numPr>
        <w:ilvl w:val="1"/>
        <w:numId w:val="14"/>
      </w:numPr>
    </w:pPr>
    <w:rPr>
      <w:color w:val="31A7D4" w:themeColor="text2"/>
    </w:rPr>
  </w:style>
  <w:style w:type="paragraph" w:customStyle="1" w:styleId="Casestudyboxtext">
    <w:name w:val="Case study box text"/>
    <w:basedOn w:val="BoxText"/>
    <w:qFormat/>
    <w:rsid w:val="00E0521E"/>
  </w:style>
  <w:style w:type="paragraph" w:styleId="ListParagraph">
    <w:name w:val="List Paragraph"/>
    <w:basedOn w:val="Normal"/>
    <w:uiPriority w:val="34"/>
    <w:unhideWhenUsed/>
    <w:qFormat/>
    <w:rsid w:val="00AE61CA"/>
    <w:pPr>
      <w:ind w:left="720"/>
      <w:contextualSpacing/>
    </w:pPr>
  </w:style>
  <w:style w:type="paragraph" w:customStyle="1" w:styleId="Copyrightheading">
    <w:name w:val="Copyright heading"/>
    <w:basedOn w:val="Normal"/>
    <w:rsid w:val="00E0521E"/>
    <w:pPr>
      <w:spacing w:before="200" w:after="120"/>
    </w:pPr>
    <w:rPr>
      <w:rFonts w:eastAsiaTheme="minorHAnsi" w:cstheme="minorBidi"/>
      <w:b/>
      <w:szCs w:val="22"/>
      <w:lang w:eastAsia="en-US"/>
    </w:rPr>
  </w:style>
  <w:style w:type="character" w:styleId="PageNumber">
    <w:name w:val="page number"/>
    <w:basedOn w:val="DefaultParagraphFont"/>
    <w:rsid w:val="00E0521E"/>
  </w:style>
  <w:style w:type="paragraph" w:customStyle="1" w:styleId="PictureCentred">
    <w:name w:val="Picture Centred"/>
    <w:basedOn w:val="Normal"/>
    <w:rsid w:val="0051439B"/>
    <w:pPr>
      <w:keepLines/>
      <w:spacing w:after="200" w:line="240" w:lineRule="atLeast"/>
      <w:jc w:val="center"/>
    </w:pPr>
    <w:rPr>
      <w:rFonts w:eastAsiaTheme="minorEastAsia" w:cstheme="minorBidi"/>
      <w:szCs w:val="22"/>
      <w:lang w:eastAsia="en-US"/>
    </w:rPr>
  </w:style>
  <w:style w:type="numbering" w:customStyle="1" w:styleId="BulletedList">
    <w:name w:val="Bulleted List"/>
    <w:uiPriority w:val="99"/>
    <w:rsid w:val="0051439B"/>
    <w:pPr>
      <w:numPr>
        <w:numId w:val="11"/>
      </w:numPr>
    </w:pPr>
  </w:style>
  <w:style w:type="character" w:customStyle="1" w:styleId="BulletChar">
    <w:name w:val="Bullet Char"/>
    <w:basedOn w:val="DefaultParagraphFont"/>
    <w:link w:val="Bullet"/>
    <w:rsid w:val="00E05486"/>
    <w:rPr>
      <w:rFonts w:asciiTheme="minorHAnsi" w:hAnsiTheme="minorHAnsi"/>
      <w:color w:val="000000" w:themeColor="text1"/>
      <w:sz w:val="24"/>
    </w:rPr>
  </w:style>
  <w:style w:type="paragraph" w:customStyle="1" w:styleId="PictureIndent">
    <w:name w:val="Picture Indent"/>
    <w:basedOn w:val="Normal"/>
    <w:rsid w:val="0051439B"/>
    <w:pPr>
      <w:keepLines/>
      <w:spacing w:after="200" w:line="240" w:lineRule="atLeast"/>
      <w:ind w:left="284"/>
    </w:pPr>
    <w:rPr>
      <w:rFonts w:eastAsiaTheme="minorEastAsia" w:cstheme="minorBidi"/>
      <w:szCs w:val="22"/>
      <w:lang w:eastAsia="en-US"/>
    </w:rPr>
  </w:style>
  <w:style w:type="paragraph" w:customStyle="1" w:styleId="QuestionboxTextBase">
    <w:name w:val="Question box Text Base"/>
    <w:basedOn w:val="Normal"/>
    <w:next w:val="Normal"/>
    <w:rsid w:val="00D63D8B"/>
    <w:pPr>
      <w:keepLines/>
      <w:spacing w:line="260" w:lineRule="exact"/>
      <w:jc w:val="both"/>
    </w:pPr>
    <w:rPr>
      <w:rFonts w:cstheme="minorHAnsi"/>
      <w:szCs w:val="22"/>
    </w:rPr>
  </w:style>
  <w:style w:type="numbering" w:customStyle="1" w:styleId="RomanNumeralList">
    <w:name w:val="RomanNumeralList"/>
    <w:uiPriority w:val="99"/>
    <w:rsid w:val="00D63D8B"/>
    <w:pPr>
      <w:numPr>
        <w:numId w:val="12"/>
      </w:numPr>
    </w:pPr>
  </w:style>
  <w:style w:type="paragraph" w:styleId="Revision">
    <w:name w:val="Revision"/>
    <w:hidden/>
    <w:uiPriority w:val="99"/>
    <w:semiHidden/>
    <w:rsid w:val="002D09A0"/>
    <w:rPr>
      <w:rFonts w:asciiTheme="minorHAnsi" w:hAnsiTheme="minorHAnsi"/>
      <w:color w:val="000000"/>
      <w:sz w:val="22"/>
    </w:rPr>
  </w:style>
  <w:style w:type="character" w:customStyle="1" w:styleId="FootnoteTextChar">
    <w:name w:val="Footnote Text Char"/>
    <w:basedOn w:val="DefaultParagraphFont"/>
    <w:link w:val="FootnoteText"/>
    <w:uiPriority w:val="99"/>
    <w:rsid w:val="00AE61CA"/>
    <w:rPr>
      <w:rFonts w:ascii="Arial" w:hAnsi="Arial"/>
      <w:sz w:val="18"/>
    </w:rPr>
  </w:style>
  <w:style w:type="paragraph" w:styleId="NormalWeb">
    <w:name w:val="Normal (Web)"/>
    <w:basedOn w:val="Normal"/>
    <w:uiPriority w:val="99"/>
    <w:semiHidden/>
    <w:unhideWhenUsed/>
    <w:rsid w:val="005054CC"/>
    <w:pPr>
      <w:spacing w:before="100" w:beforeAutospacing="1" w:after="100" w:afterAutospacing="1"/>
    </w:pPr>
    <w:rPr>
      <w:rFonts w:ascii="Times New Roman" w:hAnsi="Times New Roman"/>
      <w:szCs w:val="24"/>
    </w:rPr>
  </w:style>
  <w:style w:type="character" w:customStyle="1" w:styleId="Heading2Char">
    <w:name w:val="Heading 2 Char"/>
    <w:basedOn w:val="DefaultParagraphFont"/>
    <w:link w:val="Heading2"/>
    <w:rsid w:val="00AE61CA"/>
    <w:rPr>
      <w:rFonts w:ascii="Arial" w:hAnsi="Arial" w:cs="Arial"/>
      <w:b/>
      <w:bCs/>
      <w:color w:val="000000" w:themeColor="text1"/>
      <w:kern w:val="32"/>
      <w:sz w:val="40"/>
      <w:szCs w:val="36"/>
    </w:rPr>
  </w:style>
  <w:style w:type="character" w:customStyle="1" w:styleId="DashChar">
    <w:name w:val="Dash Char"/>
    <w:basedOn w:val="DefaultParagraphFont"/>
    <w:link w:val="Dash"/>
    <w:locked/>
    <w:rsid w:val="00E05486"/>
    <w:rPr>
      <w:rFonts w:ascii="Arial" w:hAnsi="Arial"/>
      <w:color w:val="000000" w:themeColor="text1"/>
      <w:sz w:val="22"/>
    </w:rPr>
  </w:style>
  <w:style w:type="character" w:customStyle="1" w:styleId="Heading9Char">
    <w:name w:val="Heading 9 Char"/>
    <w:basedOn w:val="DefaultParagraphFont"/>
    <w:link w:val="Heading9"/>
    <w:semiHidden/>
    <w:rsid w:val="00E370DA"/>
    <w:rPr>
      <w:rFonts w:ascii="Arial Bold" w:hAnsi="Arial Bold" w:cs="Arial"/>
      <w:b/>
      <w:smallCaps/>
      <w:color w:val="31A7D4" w:themeColor="accent1"/>
      <w:sz w:val="24"/>
      <w:szCs w:val="22"/>
    </w:rPr>
  </w:style>
  <w:style w:type="paragraph" w:customStyle="1" w:styleId="Questionheading">
    <w:name w:val="Question heading"/>
    <w:basedOn w:val="Normal"/>
    <w:qFormat/>
    <w:rsid w:val="00AE61CA"/>
    <w:pPr>
      <w:spacing w:before="80" w:line="240" w:lineRule="auto"/>
    </w:pPr>
    <w:rPr>
      <w:b/>
      <w:color w:val="31A7D4" w:themeColor="accent1"/>
      <w:sz w:val="28"/>
      <w:szCs w:val="28"/>
    </w:rPr>
  </w:style>
  <w:style w:type="paragraph" w:customStyle="1" w:styleId="Questiontext">
    <w:name w:val="Question text"/>
    <w:basedOn w:val="ListParagraph"/>
    <w:qFormat/>
    <w:rsid w:val="00AE61CA"/>
    <w:pPr>
      <w:numPr>
        <w:numId w:val="29"/>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AE61CA"/>
    <w:pPr>
      <w:spacing w:before="20" w:after="0" w:line="240" w:lineRule="auto"/>
    </w:pPr>
    <w:rPr>
      <w:color w:val="000000" w:themeColor="text1"/>
      <w:sz w:val="20"/>
    </w:rPr>
  </w:style>
  <w:style w:type="paragraph" w:customStyle="1" w:styleId="Overviewheading">
    <w:name w:val="Overview heading"/>
    <w:basedOn w:val="Heading2"/>
    <w:qFormat/>
    <w:rsid w:val="00AE61CA"/>
    <w:pPr>
      <w:numPr>
        <w:numId w:val="0"/>
      </w:numPr>
      <w:spacing w:after="240"/>
    </w:pPr>
  </w:style>
  <w:style w:type="paragraph" w:customStyle="1" w:styleId="Casestudybullet">
    <w:name w:val="Case study bullet"/>
    <w:basedOn w:val="Casestudyboxtext"/>
    <w:uiPriority w:val="1"/>
    <w:qFormat/>
    <w:rsid w:val="00D7532E"/>
    <w:pPr>
      <w:numPr>
        <w:numId w:val="17"/>
      </w:numPr>
      <w:ind w:left="399"/>
    </w:pPr>
  </w:style>
  <w:style w:type="paragraph" w:customStyle="1" w:styleId="Tablettextbullet">
    <w:name w:val="Tablet text bullet"/>
    <w:basedOn w:val="TableTextLeft"/>
    <w:uiPriority w:val="1"/>
    <w:qFormat/>
    <w:rsid w:val="00C7561F"/>
    <w:pPr>
      <w:numPr>
        <w:numId w:val="18"/>
      </w:numPr>
    </w:pPr>
  </w:style>
  <w:style w:type="character" w:customStyle="1" w:styleId="OutlineNumbered1Char">
    <w:name w:val="Outline Numbered 1 Char"/>
    <w:basedOn w:val="DefaultParagraphFont"/>
    <w:link w:val="OutlineNumbered1"/>
    <w:uiPriority w:val="2"/>
    <w:rsid w:val="00733603"/>
    <w:rPr>
      <w:rFonts w:asciiTheme="minorHAnsi" w:hAnsiTheme="minorHAnsi"/>
      <w:color w:val="000000" w:themeColor="text1"/>
      <w:sz w:val="24"/>
    </w:rPr>
  </w:style>
  <w:style w:type="character" w:styleId="Emphasis">
    <w:name w:val="Emphasis"/>
    <w:basedOn w:val="DefaultParagraphFont"/>
    <w:uiPriority w:val="20"/>
    <w:qFormat/>
    <w:rsid w:val="00F113CD"/>
    <w:rPr>
      <w:i/>
      <w:iCs/>
    </w:rPr>
  </w:style>
  <w:style w:type="paragraph" w:customStyle="1" w:styleId="Keyfindingbullet">
    <w:name w:val="Key finding bullet"/>
    <w:basedOn w:val="Keyfindingtext"/>
    <w:uiPriority w:val="1"/>
    <w:qFormat/>
    <w:rsid w:val="00DE6A49"/>
    <w:pPr>
      <w:numPr>
        <w:numId w:val="0"/>
      </w:numPr>
    </w:pPr>
  </w:style>
  <w:style w:type="character" w:customStyle="1" w:styleId="Heading1Char">
    <w:name w:val="Heading 1 Char"/>
    <w:basedOn w:val="DefaultParagraphFont"/>
    <w:link w:val="Heading1"/>
    <w:rsid w:val="00AE61CA"/>
    <w:rPr>
      <w:rFonts w:ascii="Arial" w:hAnsi="Arial" w:cs="Arial"/>
      <w:b/>
      <w:bCs/>
      <w:color w:val="000000" w:themeColor="text1"/>
      <w:kern w:val="32"/>
      <w:sz w:val="66"/>
      <w:szCs w:val="36"/>
    </w:rPr>
  </w:style>
  <w:style w:type="paragraph" w:styleId="Title">
    <w:name w:val="Title"/>
    <w:basedOn w:val="Normal"/>
    <w:next w:val="Normal"/>
    <w:link w:val="TitleChar"/>
    <w:uiPriority w:val="10"/>
    <w:rsid w:val="00AE61CA"/>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AE61CA"/>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AE61CA"/>
    <w:pPr>
      <w:numPr>
        <w:numId w:val="28"/>
      </w:numPr>
      <w:spacing w:after="120"/>
      <w:ind w:left="567" w:hanging="567"/>
      <w:contextualSpacing w:val="0"/>
    </w:pPr>
  </w:style>
  <w:style w:type="paragraph" w:styleId="Quote">
    <w:name w:val="Quote"/>
    <w:basedOn w:val="Normal"/>
    <w:next w:val="Normal"/>
    <w:link w:val="QuoteChar"/>
    <w:uiPriority w:val="29"/>
    <w:qFormat/>
    <w:rsid w:val="00AE61CA"/>
    <w:pPr>
      <w:spacing w:before="120"/>
      <w:ind w:left="567"/>
    </w:pPr>
    <w:rPr>
      <w:iCs/>
      <w:color w:val="000000" w:themeColor="text1"/>
    </w:rPr>
  </w:style>
  <w:style w:type="character" w:customStyle="1" w:styleId="QuoteChar">
    <w:name w:val="Quote Char"/>
    <w:basedOn w:val="DefaultParagraphFont"/>
    <w:link w:val="Quote"/>
    <w:uiPriority w:val="29"/>
    <w:rsid w:val="00AE61CA"/>
    <w:rPr>
      <w:rFonts w:ascii="Arial" w:hAnsi="Arial"/>
      <w:iCs/>
      <w:color w:val="000000" w:themeColor="text1"/>
      <w:sz w:val="22"/>
    </w:rPr>
  </w:style>
  <w:style w:type="character" w:customStyle="1" w:styleId="Heading3Char">
    <w:name w:val="Heading 3 Char"/>
    <w:basedOn w:val="DefaultParagraphFont"/>
    <w:link w:val="Heading3"/>
    <w:rsid w:val="00AE61CA"/>
    <w:rPr>
      <w:rFonts w:ascii="Arial" w:eastAsiaTheme="majorEastAsia" w:hAnsi="Arial" w:cstheme="majorBidi"/>
      <w:b/>
      <w:bCs/>
      <w:color w:val="31A7D4" w:themeColor="accent1"/>
      <w:sz w:val="30"/>
    </w:rPr>
  </w:style>
  <w:style w:type="paragraph" w:customStyle="1" w:styleId="Overviewtext">
    <w:name w:val="Overview text"/>
    <w:basedOn w:val="Normal"/>
    <w:qFormat/>
    <w:rsid w:val="00AE61CA"/>
    <w:rPr>
      <w:sz w:val="32"/>
      <w:szCs w:val="32"/>
    </w:rPr>
  </w:style>
  <w:style w:type="paragraph" w:customStyle="1" w:styleId="Singleparagraph0">
    <w:name w:val="Single paragraph"/>
    <w:basedOn w:val="Normal"/>
    <w:qFormat/>
    <w:rsid w:val="00AE61CA"/>
    <w:pPr>
      <w:spacing w:after="0" w:line="240" w:lineRule="auto"/>
    </w:pPr>
  </w:style>
  <w:style w:type="character" w:customStyle="1" w:styleId="HeaderChar">
    <w:name w:val="Header Char"/>
    <w:basedOn w:val="DefaultParagraphFont"/>
    <w:link w:val="Header"/>
    <w:uiPriority w:val="99"/>
    <w:rsid w:val="00AE61CA"/>
    <w:rPr>
      <w:rFonts w:ascii="Arial" w:hAnsi="Arial"/>
      <w:color w:val="636363" w:themeColor="accent2"/>
      <w:sz w:val="22"/>
    </w:rPr>
  </w:style>
  <w:style w:type="paragraph" w:customStyle="1" w:styleId="Overviewheading2">
    <w:name w:val="Overview heading 2"/>
    <w:basedOn w:val="Heading2"/>
    <w:qFormat/>
    <w:rsid w:val="00AE61CA"/>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AE61CA"/>
    <w:rPr>
      <w:rFonts w:ascii="Tahoma" w:hAnsi="Tahoma" w:cs="Tahoma"/>
      <w:sz w:val="16"/>
      <w:szCs w:val="16"/>
    </w:rPr>
  </w:style>
  <w:style w:type="paragraph" w:customStyle="1" w:styleId="ChartandTableNote">
    <w:name w:val="Chart and Table Note"/>
    <w:next w:val="Normal"/>
    <w:rsid w:val="00AE61CA"/>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61CA"/>
    <w:pPr>
      <w:spacing w:after="240" w:line="276" w:lineRule="auto"/>
    </w:pPr>
    <w:rPr>
      <w:rFonts w:ascii="Arial" w:hAnsi="Arial"/>
      <w:sz w:val="22"/>
    </w:rPr>
  </w:style>
  <w:style w:type="paragraph" w:styleId="Heading1">
    <w:name w:val="heading 1"/>
    <w:basedOn w:val="Normal"/>
    <w:next w:val="Normal"/>
    <w:link w:val="Heading1Char"/>
    <w:qFormat/>
    <w:rsid w:val="00AE61CA"/>
    <w:pPr>
      <w:keepNext/>
      <w:numPr>
        <w:numId w:val="33"/>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AE61CA"/>
    <w:pPr>
      <w:numPr>
        <w:ilvl w:val="1"/>
      </w:numPr>
      <w:pBdr>
        <w:top w:val="single" w:sz="12" w:space="3" w:color="31A7D4" w:themeColor="accent1"/>
        <w:bottom w:val="single" w:sz="12" w:space="3" w:color="31A7D4" w:themeColor="accent1"/>
      </w:pBdr>
      <w:spacing w:line="240" w:lineRule="auto"/>
      <w:ind w:left="993" w:hanging="993"/>
      <w:outlineLvl w:val="1"/>
    </w:pPr>
    <w:rPr>
      <w:sz w:val="40"/>
    </w:rPr>
  </w:style>
  <w:style w:type="paragraph" w:styleId="Heading3">
    <w:name w:val="heading 3"/>
    <w:basedOn w:val="Normal"/>
    <w:next w:val="Normal"/>
    <w:link w:val="Heading3Char"/>
    <w:unhideWhenUsed/>
    <w:qFormat/>
    <w:rsid w:val="00AE61CA"/>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AE61CA"/>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AE61CA"/>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E0521E"/>
    <w:pPr>
      <w:numPr>
        <w:ilvl w:val="5"/>
        <w:numId w:val="15"/>
      </w:numPr>
      <w:spacing w:after="120"/>
      <w:outlineLvl w:val="5"/>
    </w:pPr>
    <w:rPr>
      <w:bCs/>
      <w:sz w:val="22"/>
      <w:szCs w:val="22"/>
    </w:rPr>
  </w:style>
  <w:style w:type="paragraph" w:styleId="Heading7">
    <w:name w:val="heading 7"/>
    <w:basedOn w:val="HeadingBase"/>
    <w:next w:val="Normal"/>
    <w:semiHidden/>
    <w:rsid w:val="00E0521E"/>
    <w:pPr>
      <w:numPr>
        <w:ilvl w:val="6"/>
        <w:numId w:val="15"/>
      </w:numPr>
      <w:spacing w:after="120"/>
      <w:outlineLvl w:val="6"/>
    </w:pPr>
    <w:rPr>
      <w:szCs w:val="24"/>
    </w:rPr>
  </w:style>
  <w:style w:type="paragraph" w:styleId="Heading8">
    <w:name w:val="heading 8"/>
    <w:basedOn w:val="HeadingBase"/>
    <w:next w:val="Normal"/>
    <w:semiHidden/>
    <w:rsid w:val="00E0521E"/>
    <w:pPr>
      <w:numPr>
        <w:ilvl w:val="7"/>
        <w:numId w:val="15"/>
      </w:numPr>
      <w:spacing w:before="60" w:after="60"/>
      <w:jc w:val="center"/>
      <w:outlineLvl w:val="7"/>
    </w:pPr>
    <w:rPr>
      <w:iCs/>
      <w:smallCaps/>
      <w:sz w:val="22"/>
      <w:szCs w:val="24"/>
    </w:rPr>
  </w:style>
  <w:style w:type="paragraph" w:styleId="Heading9">
    <w:name w:val="heading 9"/>
    <w:basedOn w:val="HeadingBase"/>
    <w:next w:val="Normal"/>
    <w:link w:val="Heading9Char"/>
    <w:semiHidden/>
    <w:rsid w:val="00E0521E"/>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0521E"/>
    <w:pPr>
      <w:spacing w:after="0"/>
    </w:pPr>
  </w:style>
  <w:style w:type="character" w:styleId="Hyperlink">
    <w:name w:val="Hyperlink"/>
    <w:basedOn w:val="DefaultParagraphFont"/>
    <w:uiPriority w:val="99"/>
    <w:unhideWhenUsed/>
    <w:rsid w:val="00E0521E"/>
    <w:rPr>
      <w:color w:val="31A7D4" w:themeColor="text2"/>
      <w:u w:val="none"/>
    </w:rPr>
  </w:style>
  <w:style w:type="character" w:customStyle="1" w:styleId="BoldandItalic">
    <w:name w:val="Bold and Italic"/>
    <w:basedOn w:val="DefaultParagraphFont"/>
    <w:rsid w:val="00E0521E"/>
    <w:rPr>
      <w:rFonts w:ascii="Calibri" w:hAnsi="Calibri"/>
      <w:b/>
      <w:i/>
    </w:rPr>
  </w:style>
  <w:style w:type="table" w:styleId="TableGrid">
    <w:name w:val="Table Grid"/>
    <w:basedOn w:val="TableNormal"/>
    <w:uiPriority w:val="59"/>
    <w:rsid w:val="00AE61CA"/>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0521E"/>
    <w:pPr>
      <w:spacing w:before="40" w:after="40"/>
    </w:pPr>
    <w:rPr>
      <w:b/>
      <w:color w:val="FFFFFF" w:themeColor="background1"/>
      <w:sz w:val="20"/>
    </w:rPr>
  </w:style>
  <w:style w:type="paragraph" w:styleId="FootnoteText">
    <w:name w:val="footnote text"/>
    <w:basedOn w:val="Normal"/>
    <w:link w:val="FootnoteTextChar"/>
    <w:uiPriority w:val="99"/>
    <w:rsid w:val="00AE61CA"/>
    <w:pPr>
      <w:spacing w:before="40" w:after="0" w:line="240" w:lineRule="auto"/>
      <w:ind w:left="426" w:hanging="426"/>
    </w:pPr>
    <w:rPr>
      <w:sz w:val="18"/>
    </w:rPr>
  </w:style>
  <w:style w:type="paragraph" w:customStyle="1" w:styleId="Bullet">
    <w:name w:val="Bullet"/>
    <w:basedOn w:val="Normal"/>
    <w:link w:val="BulletChar"/>
    <w:rsid w:val="00E05486"/>
    <w:pPr>
      <w:numPr>
        <w:numId w:val="11"/>
      </w:numPr>
      <w:tabs>
        <w:tab w:val="clear" w:pos="283"/>
        <w:tab w:val="num" w:pos="567"/>
      </w:tabs>
      <w:spacing w:after="120"/>
      <w:ind w:left="567" w:hanging="567"/>
    </w:pPr>
  </w:style>
  <w:style w:type="paragraph" w:customStyle="1" w:styleId="Dash">
    <w:name w:val="Dash"/>
    <w:basedOn w:val="Normal"/>
    <w:link w:val="DashChar"/>
    <w:rsid w:val="00AE61CA"/>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AE61CA"/>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E0521E"/>
    <w:pPr>
      <w:numPr>
        <w:numId w:val="2"/>
      </w:numPr>
      <w:spacing w:line="280" w:lineRule="exact"/>
      <w:jc w:val="both"/>
    </w:pPr>
  </w:style>
  <w:style w:type="paragraph" w:customStyle="1" w:styleId="OutlineNumbered2">
    <w:name w:val="Outline Numbered 2"/>
    <w:basedOn w:val="Normal"/>
    <w:uiPriority w:val="2"/>
    <w:rsid w:val="00E0521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E0521E"/>
    <w:pPr>
      <w:numPr>
        <w:numId w:val="3"/>
      </w:numPr>
    </w:pPr>
  </w:style>
  <w:style w:type="paragraph" w:customStyle="1" w:styleId="HeadingBase">
    <w:name w:val="Heading Base"/>
    <w:next w:val="Normal"/>
    <w:rsid w:val="00E0521E"/>
    <w:pPr>
      <w:keepNext/>
    </w:pPr>
    <w:rPr>
      <w:rFonts w:ascii="Calibri" w:hAnsi="Calibri"/>
      <w:color w:val="31A7D4" w:themeColor="accent1"/>
    </w:rPr>
  </w:style>
  <w:style w:type="paragraph" w:customStyle="1" w:styleId="AppendixHeading">
    <w:name w:val="Appendix Heading"/>
    <w:basedOn w:val="HeadingBase"/>
    <w:next w:val="Normal"/>
    <w:rsid w:val="00E0521E"/>
    <w:pPr>
      <w:spacing w:before="720" w:after="360"/>
      <w:outlineLvl w:val="0"/>
    </w:pPr>
    <w:rPr>
      <w:b/>
      <w:smallCaps/>
      <w:sz w:val="36"/>
      <w:szCs w:val="36"/>
    </w:rPr>
  </w:style>
  <w:style w:type="character" w:customStyle="1" w:styleId="Bold">
    <w:name w:val="Bold"/>
    <w:basedOn w:val="DefaultParagraphFont"/>
    <w:rsid w:val="00E0521E"/>
    <w:rPr>
      <w:b/>
    </w:rPr>
  </w:style>
  <w:style w:type="paragraph" w:customStyle="1" w:styleId="BoxHeading">
    <w:name w:val="Box Heading"/>
    <w:basedOn w:val="Caption"/>
    <w:next w:val="BoxText"/>
    <w:unhideWhenUsed/>
    <w:rsid w:val="00AE61CA"/>
    <w:rPr>
      <w:sz w:val="28"/>
      <w:szCs w:val="28"/>
    </w:rPr>
  </w:style>
  <w:style w:type="paragraph" w:customStyle="1" w:styleId="BoxTextBase">
    <w:name w:val="Box Text Base"/>
    <w:basedOn w:val="Normal"/>
    <w:unhideWhenUsed/>
    <w:rsid w:val="00AE61CA"/>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AE61CA"/>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AE61CA"/>
    <w:pPr>
      <w:keepNext/>
      <w:spacing w:after="0" w:line="240" w:lineRule="auto"/>
      <w:jc w:val="center"/>
    </w:pPr>
    <w:rPr>
      <w:color w:val="636363" w:themeColor="accent2"/>
    </w:rPr>
  </w:style>
  <w:style w:type="paragraph" w:customStyle="1" w:styleId="ChartMainHeading">
    <w:name w:val="Chart Main Heading"/>
    <w:basedOn w:val="Caption"/>
    <w:next w:val="ChartGraphic"/>
    <w:rsid w:val="00AE61CA"/>
    <w:pPr>
      <w:keepNext/>
      <w:spacing w:before="120" w:after="60"/>
      <w:jc w:val="center"/>
    </w:pPr>
    <w:rPr>
      <w:sz w:val="20"/>
      <w:szCs w:val="20"/>
    </w:rPr>
  </w:style>
  <w:style w:type="paragraph" w:customStyle="1" w:styleId="ChartorTableNote">
    <w:name w:val="Chart or Table Note"/>
    <w:next w:val="Normal"/>
    <w:rsid w:val="00845675"/>
    <w:pPr>
      <w:spacing w:line="220" w:lineRule="exact"/>
      <w:jc w:val="both"/>
    </w:pPr>
    <w:rPr>
      <w:rFonts w:asciiTheme="minorHAnsi" w:hAnsiTheme="minorHAnsi"/>
      <w:color w:val="000000"/>
    </w:rPr>
  </w:style>
  <w:style w:type="paragraph" w:customStyle="1" w:styleId="ChartSecondHeading">
    <w:name w:val="Chart Second Heading"/>
    <w:basedOn w:val="HeadingBase"/>
    <w:next w:val="ChartGraphic"/>
    <w:rsid w:val="00E0521E"/>
    <w:pPr>
      <w:spacing w:after="20"/>
      <w:jc w:val="center"/>
    </w:pPr>
  </w:style>
  <w:style w:type="paragraph" w:customStyle="1" w:styleId="Classification">
    <w:name w:val="Classification"/>
    <w:basedOn w:val="HeadingBase"/>
    <w:next w:val="Footer"/>
    <w:semiHidden/>
    <w:rsid w:val="00E0521E"/>
    <w:pPr>
      <w:spacing w:after="120"/>
      <w:jc w:val="center"/>
    </w:pPr>
    <w:rPr>
      <w:b/>
      <w:smallCaps/>
    </w:rPr>
  </w:style>
  <w:style w:type="paragraph" w:styleId="Footer">
    <w:name w:val="footer"/>
    <w:basedOn w:val="Normal"/>
    <w:link w:val="FooterChar"/>
    <w:uiPriority w:val="99"/>
    <w:unhideWhenUsed/>
    <w:rsid w:val="0008146A"/>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0521E"/>
    <w:pPr>
      <w:spacing w:after="360"/>
      <w:jc w:val="center"/>
    </w:pPr>
    <w:rPr>
      <w:smallCaps/>
      <w:sz w:val="40"/>
      <w:szCs w:val="36"/>
    </w:rPr>
  </w:style>
  <w:style w:type="paragraph" w:customStyle="1" w:styleId="CoverTitleMain">
    <w:name w:val="Cover Title Main"/>
    <w:basedOn w:val="HeadingBase"/>
    <w:next w:val="Normal"/>
    <w:uiPriority w:val="2"/>
    <w:rsid w:val="00E0521E"/>
    <w:pPr>
      <w:spacing w:before="720" w:after="480"/>
    </w:pPr>
    <w:rPr>
      <w:b/>
      <w:caps/>
      <w:sz w:val="48"/>
    </w:rPr>
  </w:style>
  <w:style w:type="paragraph" w:customStyle="1" w:styleId="CoverTitleSub">
    <w:name w:val="Cover Title Sub"/>
    <w:basedOn w:val="HeadingBase"/>
    <w:uiPriority w:val="2"/>
    <w:rsid w:val="00E0521E"/>
    <w:pPr>
      <w:pBdr>
        <w:top w:val="single" w:sz="4" w:space="1" w:color="009976"/>
      </w:pBdr>
      <w:spacing w:after="360"/>
      <w:jc w:val="right"/>
    </w:pPr>
    <w:rPr>
      <w:sz w:val="36"/>
    </w:rPr>
  </w:style>
  <w:style w:type="paragraph" w:customStyle="1" w:styleId="FooterCentered">
    <w:name w:val="Footer Centered"/>
    <w:basedOn w:val="Footer"/>
    <w:unhideWhenUsed/>
    <w:rsid w:val="00E0521E"/>
    <w:pPr>
      <w:jc w:val="center"/>
    </w:pPr>
  </w:style>
  <w:style w:type="paragraph" w:customStyle="1" w:styleId="FooterEven">
    <w:name w:val="Footer Even"/>
    <w:basedOn w:val="Footer"/>
    <w:unhideWhenUsed/>
    <w:rsid w:val="00100DF1"/>
    <w:pPr>
      <w:pBdr>
        <w:top w:val="single" w:sz="2" w:space="1" w:color="31A7D4" w:themeColor="accent1"/>
      </w:pBdr>
    </w:pPr>
  </w:style>
  <w:style w:type="paragraph" w:customStyle="1" w:styleId="FooterOdd">
    <w:name w:val="Footer Odd"/>
    <w:basedOn w:val="Footer"/>
    <w:unhideWhenUsed/>
    <w:rsid w:val="0008146A"/>
  </w:style>
  <w:style w:type="character" w:customStyle="1" w:styleId="FramedFooter">
    <w:name w:val="Framed Footer"/>
    <w:semiHidden/>
    <w:rsid w:val="00E0521E"/>
    <w:rPr>
      <w:rFonts w:ascii="Arial" w:hAnsi="Arial"/>
      <w:color w:val="31A7D4" w:themeColor="accent1"/>
      <w:sz w:val="18"/>
    </w:rPr>
  </w:style>
  <w:style w:type="character" w:customStyle="1" w:styleId="FramedHeader">
    <w:name w:val="Framed Header"/>
    <w:basedOn w:val="DefaultParagraphFont"/>
    <w:semiHidden/>
    <w:rsid w:val="00E0521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AE61CA"/>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100DF1"/>
    <w:pPr>
      <w:jc w:val="left"/>
    </w:pPr>
  </w:style>
  <w:style w:type="paragraph" w:customStyle="1" w:styleId="HeaderOdd">
    <w:name w:val="Header Odd"/>
    <w:basedOn w:val="Header"/>
    <w:rsid w:val="00E0521E"/>
  </w:style>
  <w:style w:type="paragraph" w:styleId="NormalIndent">
    <w:name w:val="Normal Indent"/>
    <w:basedOn w:val="Normal"/>
    <w:semiHidden/>
    <w:rsid w:val="00E0521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0521E"/>
    <w:pPr>
      <w:spacing w:after="120"/>
    </w:pPr>
  </w:style>
  <w:style w:type="paragraph" w:customStyle="1" w:styleId="RecommendationText">
    <w:name w:val="Recommendation Text"/>
    <w:basedOn w:val="Normal"/>
    <w:qFormat/>
    <w:rsid w:val="00E0521E"/>
    <w:pPr>
      <w:spacing w:after="120"/>
      <w:ind w:left="459" w:hanging="425"/>
    </w:pPr>
    <w:rPr>
      <w:color w:val="000000"/>
    </w:rPr>
  </w:style>
  <w:style w:type="paragraph" w:customStyle="1" w:styleId="TableTextBase">
    <w:name w:val="Table Text Base"/>
    <w:uiPriority w:val="1"/>
    <w:unhideWhenUsed/>
    <w:rsid w:val="004A7BB0"/>
    <w:pPr>
      <w:spacing w:before="40" w:after="40"/>
    </w:pPr>
    <w:rPr>
      <w:rFonts w:ascii="Arial" w:hAnsi="Arial"/>
      <w:color w:val="000000" w:themeColor="text1"/>
    </w:rPr>
  </w:style>
  <w:style w:type="paragraph" w:customStyle="1" w:styleId="TableColumnHeadingCentred">
    <w:name w:val="Table Column Heading Centred"/>
    <w:basedOn w:val="TableColumnHeadingBase"/>
    <w:uiPriority w:val="1"/>
    <w:unhideWhenUsed/>
    <w:rsid w:val="00E0521E"/>
    <w:pPr>
      <w:jc w:val="center"/>
    </w:pPr>
  </w:style>
  <w:style w:type="paragraph" w:customStyle="1" w:styleId="TableColumnHeadingLeft">
    <w:name w:val="Table Column Heading Left"/>
    <w:basedOn w:val="TableColumnHeadingBase"/>
    <w:uiPriority w:val="1"/>
    <w:unhideWhenUsed/>
    <w:rsid w:val="00E0521E"/>
  </w:style>
  <w:style w:type="paragraph" w:customStyle="1" w:styleId="TableColumnHeadingRight">
    <w:name w:val="Table Column Heading Right"/>
    <w:basedOn w:val="TableColumnHeadingBase"/>
    <w:uiPriority w:val="1"/>
    <w:unhideWhenUsed/>
    <w:rsid w:val="00E0521E"/>
    <w:pPr>
      <w:jc w:val="right"/>
    </w:pPr>
  </w:style>
  <w:style w:type="paragraph" w:customStyle="1" w:styleId="TableGraphic">
    <w:name w:val="Table Graphic"/>
    <w:basedOn w:val="Normal"/>
    <w:next w:val="Normal"/>
    <w:rsid w:val="00AE61CA"/>
    <w:pPr>
      <w:keepNext/>
      <w:spacing w:after="0" w:line="240" w:lineRule="auto"/>
    </w:pPr>
    <w:rPr>
      <w:color w:val="636363" w:themeColor="accent2"/>
    </w:rPr>
  </w:style>
  <w:style w:type="paragraph" w:customStyle="1" w:styleId="TableMainHeading">
    <w:name w:val="Table Main Heading"/>
    <w:basedOn w:val="Normal"/>
    <w:next w:val="Normal"/>
    <w:uiPriority w:val="1"/>
    <w:rsid w:val="00AE61CA"/>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0521E"/>
    <w:pPr>
      <w:pageBreakBefore/>
      <w:spacing w:after="20"/>
    </w:pPr>
    <w:rPr>
      <w:b/>
      <w:sz w:val="22"/>
    </w:rPr>
  </w:style>
  <w:style w:type="paragraph" w:customStyle="1" w:styleId="TableSecondHeading">
    <w:name w:val="Table Second Heading"/>
    <w:basedOn w:val="HeadingBase"/>
    <w:next w:val="TableGraphic"/>
    <w:uiPriority w:val="1"/>
    <w:unhideWhenUsed/>
    <w:rsid w:val="00E0521E"/>
    <w:pPr>
      <w:spacing w:after="20"/>
    </w:pPr>
  </w:style>
  <w:style w:type="paragraph" w:customStyle="1" w:styleId="TableTextCentered">
    <w:name w:val="Table Text Centered"/>
    <w:basedOn w:val="TableTextBase"/>
    <w:uiPriority w:val="1"/>
    <w:unhideWhenUsed/>
    <w:rsid w:val="00E0521E"/>
    <w:pPr>
      <w:jc w:val="center"/>
    </w:pPr>
  </w:style>
  <w:style w:type="paragraph" w:customStyle="1" w:styleId="TableTextIndented">
    <w:name w:val="Table Text Indented"/>
    <w:basedOn w:val="TableTextBase"/>
    <w:uiPriority w:val="1"/>
    <w:unhideWhenUsed/>
    <w:rsid w:val="00E0521E"/>
    <w:pPr>
      <w:ind w:left="284"/>
    </w:pPr>
  </w:style>
  <w:style w:type="paragraph" w:customStyle="1" w:styleId="TableTextLeft">
    <w:name w:val="Table Text Left"/>
    <w:basedOn w:val="Normal"/>
    <w:rsid w:val="004A7BB0"/>
    <w:pPr>
      <w:spacing w:before="60" w:after="60"/>
    </w:pPr>
    <w:rPr>
      <w:sz w:val="20"/>
    </w:rPr>
  </w:style>
  <w:style w:type="paragraph" w:customStyle="1" w:styleId="TableTextRight">
    <w:name w:val="Table Text Right"/>
    <w:basedOn w:val="TableTextBase"/>
    <w:uiPriority w:val="1"/>
    <w:unhideWhenUsed/>
    <w:rsid w:val="00E0521E"/>
    <w:pPr>
      <w:jc w:val="right"/>
    </w:pPr>
  </w:style>
  <w:style w:type="paragraph" w:styleId="TOC1">
    <w:name w:val="toc 1"/>
    <w:basedOn w:val="HeadingBase"/>
    <w:next w:val="Normal"/>
    <w:uiPriority w:val="39"/>
    <w:rsid w:val="00E0521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E0521E"/>
    <w:pPr>
      <w:tabs>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0521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0521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0521E"/>
    <w:rPr>
      <w:i/>
    </w:rPr>
  </w:style>
  <w:style w:type="paragraph" w:customStyle="1" w:styleId="OneLevelNumberedParagraph">
    <w:name w:val="One Level Numbered Paragraph"/>
    <w:basedOn w:val="Normal"/>
    <w:semiHidden/>
    <w:rsid w:val="00E0521E"/>
    <w:pPr>
      <w:numPr>
        <w:numId w:val="6"/>
      </w:numPr>
    </w:pPr>
  </w:style>
  <w:style w:type="paragraph" w:customStyle="1" w:styleId="BoxText">
    <w:name w:val="Box Text"/>
    <w:basedOn w:val="BoxTextBase"/>
    <w:unhideWhenUsed/>
    <w:rsid w:val="00AE61CA"/>
    <w:pPr>
      <w:shd w:val="clear" w:color="auto" w:fill="auto"/>
      <w:spacing w:after="120"/>
    </w:pPr>
  </w:style>
  <w:style w:type="paragraph" w:customStyle="1" w:styleId="BoxBullet">
    <w:name w:val="Box Bullet"/>
    <w:basedOn w:val="BoxTextBase"/>
    <w:unhideWhenUsed/>
    <w:rsid w:val="00AE61CA"/>
    <w:pPr>
      <w:numPr>
        <w:numId w:val="5"/>
      </w:numPr>
      <w:shd w:val="clear" w:color="auto" w:fill="auto"/>
    </w:pPr>
  </w:style>
  <w:style w:type="paragraph" w:customStyle="1" w:styleId="BoxDash">
    <w:name w:val="Box Dash"/>
    <w:basedOn w:val="BoxTextBase"/>
    <w:unhideWhenUsed/>
    <w:rsid w:val="00AE61CA"/>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AE61CA"/>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0521E"/>
    <w:pPr>
      <w:numPr>
        <w:numId w:val="7"/>
      </w:numPr>
    </w:pPr>
  </w:style>
  <w:style w:type="paragraph" w:customStyle="1" w:styleId="RecommendationDash">
    <w:name w:val="Recommendation Dash"/>
    <w:basedOn w:val="RecommendationTextBase"/>
    <w:rsid w:val="00E0521E"/>
    <w:pPr>
      <w:numPr>
        <w:ilvl w:val="1"/>
        <w:numId w:val="7"/>
      </w:numPr>
    </w:pPr>
  </w:style>
  <w:style w:type="paragraph" w:customStyle="1" w:styleId="RecommendationDoubleDot">
    <w:name w:val="Recommendation Double Dot"/>
    <w:basedOn w:val="RecommendationTextBase"/>
    <w:rsid w:val="00E0521E"/>
    <w:pPr>
      <w:numPr>
        <w:ilvl w:val="2"/>
        <w:numId w:val="7"/>
      </w:numPr>
    </w:pPr>
  </w:style>
  <w:style w:type="character" w:styleId="FollowedHyperlink">
    <w:name w:val="FollowedHyperlink"/>
    <w:basedOn w:val="DefaultParagraphFont"/>
    <w:unhideWhenUsed/>
    <w:rsid w:val="00E0521E"/>
    <w:rPr>
      <w:color w:val="auto"/>
      <w:u w:val="none"/>
    </w:rPr>
  </w:style>
  <w:style w:type="paragraph" w:customStyle="1" w:styleId="Heading1NotNumbered">
    <w:name w:val="Heading 1 Not Numbered"/>
    <w:basedOn w:val="HeadingBase"/>
    <w:next w:val="Normal"/>
    <w:rsid w:val="00E0521E"/>
    <w:pPr>
      <w:spacing w:before="720" w:after="360"/>
    </w:pPr>
    <w:rPr>
      <w:smallCaps/>
      <w:sz w:val="40"/>
      <w:szCs w:val="36"/>
    </w:rPr>
  </w:style>
  <w:style w:type="paragraph" w:customStyle="1" w:styleId="Heading2NotNumbered">
    <w:name w:val="Heading 2 Not Numbered"/>
    <w:basedOn w:val="HeadingBase"/>
    <w:next w:val="Normal"/>
    <w:rsid w:val="00E0521E"/>
    <w:pPr>
      <w:spacing w:before="360" w:after="180"/>
    </w:pPr>
    <w:rPr>
      <w:smallCaps/>
      <w:sz w:val="32"/>
      <w:szCs w:val="28"/>
    </w:rPr>
  </w:style>
  <w:style w:type="paragraph" w:customStyle="1" w:styleId="Heading3NotNumbered">
    <w:name w:val="Heading 3 Not Numbered"/>
    <w:basedOn w:val="HeadingBase"/>
    <w:next w:val="Normal"/>
    <w:rsid w:val="00E0521E"/>
    <w:pPr>
      <w:spacing w:before="240" w:after="120"/>
    </w:pPr>
    <w:rPr>
      <w:sz w:val="28"/>
      <w:szCs w:val="26"/>
    </w:rPr>
  </w:style>
  <w:style w:type="paragraph" w:customStyle="1" w:styleId="Heading4NotNumbered">
    <w:name w:val="Heading 4 Not Numbered"/>
    <w:basedOn w:val="HeadingBase"/>
    <w:unhideWhenUsed/>
    <w:rsid w:val="00E0521E"/>
    <w:pPr>
      <w:spacing w:before="120" w:after="120"/>
      <w:outlineLvl w:val="3"/>
    </w:pPr>
    <w:rPr>
      <w:i/>
      <w:sz w:val="26"/>
    </w:rPr>
  </w:style>
  <w:style w:type="paragraph" w:styleId="BalloonText">
    <w:name w:val="Balloon Text"/>
    <w:basedOn w:val="Normal"/>
    <w:link w:val="BalloonTextChar"/>
    <w:uiPriority w:val="99"/>
    <w:semiHidden/>
    <w:unhideWhenUsed/>
    <w:rsid w:val="00AE61CA"/>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AE61CA"/>
    <w:pPr>
      <w:spacing w:after="200" w:line="240" w:lineRule="auto"/>
    </w:pPr>
    <w:rPr>
      <w:b/>
      <w:bCs/>
      <w:color w:val="31A7D4" w:themeColor="accent1"/>
      <w:sz w:val="18"/>
      <w:szCs w:val="18"/>
    </w:rPr>
  </w:style>
  <w:style w:type="character" w:styleId="CommentReference">
    <w:name w:val="annotation reference"/>
    <w:basedOn w:val="DefaultParagraphFont"/>
    <w:semiHidden/>
    <w:rsid w:val="00E0521E"/>
    <w:rPr>
      <w:sz w:val="16"/>
      <w:szCs w:val="16"/>
    </w:rPr>
  </w:style>
  <w:style w:type="paragraph" w:styleId="CommentText">
    <w:name w:val="annotation text"/>
    <w:basedOn w:val="Normal"/>
    <w:semiHidden/>
    <w:rsid w:val="00E0521E"/>
  </w:style>
  <w:style w:type="paragraph" w:styleId="CommentSubject">
    <w:name w:val="annotation subject"/>
    <w:basedOn w:val="CommentText"/>
    <w:next w:val="CommentText"/>
    <w:semiHidden/>
    <w:rsid w:val="00E0521E"/>
    <w:rPr>
      <w:b/>
      <w:bCs/>
    </w:rPr>
  </w:style>
  <w:style w:type="paragraph" w:styleId="DocumentMap">
    <w:name w:val="Document Map"/>
    <w:basedOn w:val="Normal"/>
    <w:semiHidden/>
    <w:rsid w:val="00E0521E"/>
    <w:pPr>
      <w:shd w:val="clear" w:color="auto" w:fill="000080"/>
    </w:pPr>
    <w:rPr>
      <w:rFonts w:ascii="Tahoma" w:hAnsi="Tahoma" w:cs="Tahoma"/>
    </w:rPr>
  </w:style>
  <w:style w:type="character" w:styleId="EndnoteReference">
    <w:name w:val="endnote reference"/>
    <w:basedOn w:val="DefaultParagraphFont"/>
    <w:semiHidden/>
    <w:rsid w:val="00E0521E"/>
    <w:rPr>
      <w:vertAlign w:val="superscript"/>
    </w:rPr>
  </w:style>
  <w:style w:type="paragraph" w:styleId="EndnoteText">
    <w:name w:val="endnote text"/>
    <w:basedOn w:val="Normal"/>
    <w:semiHidden/>
    <w:rsid w:val="00E0521E"/>
  </w:style>
  <w:style w:type="character" w:styleId="FootnoteReference">
    <w:name w:val="footnote reference"/>
    <w:basedOn w:val="DefaultParagraphFont"/>
    <w:uiPriority w:val="99"/>
    <w:unhideWhenUsed/>
    <w:rsid w:val="00AE61CA"/>
    <w:rPr>
      <w:vertAlign w:val="superscript"/>
    </w:rPr>
  </w:style>
  <w:style w:type="paragraph" w:styleId="Index1">
    <w:name w:val="index 1"/>
    <w:basedOn w:val="Normal"/>
    <w:next w:val="Normal"/>
    <w:autoRedefine/>
    <w:semiHidden/>
    <w:rsid w:val="00E0521E"/>
    <w:pPr>
      <w:ind w:left="200" w:hanging="200"/>
    </w:pPr>
  </w:style>
  <w:style w:type="paragraph" w:styleId="Index2">
    <w:name w:val="index 2"/>
    <w:basedOn w:val="Normal"/>
    <w:next w:val="Normal"/>
    <w:autoRedefine/>
    <w:semiHidden/>
    <w:rsid w:val="00E0521E"/>
    <w:pPr>
      <w:ind w:left="400" w:hanging="200"/>
    </w:pPr>
  </w:style>
  <w:style w:type="paragraph" w:styleId="Index3">
    <w:name w:val="index 3"/>
    <w:basedOn w:val="Normal"/>
    <w:next w:val="Normal"/>
    <w:autoRedefine/>
    <w:semiHidden/>
    <w:rsid w:val="00E0521E"/>
    <w:pPr>
      <w:ind w:left="600" w:hanging="200"/>
    </w:pPr>
  </w:style>
  <w:style w:type="paragraph" w:styleId="Index4">
    <w:name w:val="index 4"/>
    <w:basedOn w:val="Normal"/>
    <w:next w:val="Normal"/>
    <w:autoRedefine/>
    <w:semiHidden/>
    <w:rsid w:val="00E0521E"/>
    <w:pPr>
      <w:ind w:left="800" w:hanging="200"/>
    </w:pPr>
  </w:style>
  <w:style w:type="paragraph" w:styleId="Index5">
    <w:name w:val="index 5"/>
    <w:basedOn w:val="Normal"/>
    <w:next w:val="Normal"/>
    <w:autoRedefine/>
    <w:semiHidden/>
    <w:rsid w:val="00E0521E"/>
    <w:pPr>
      <w:ind w:left="1000" w:hanging="200"/>
    </w:pPr>
  </w:style>
  <w:style w:type="paragraph" w:styleId="Index6">
    <w:name w:val="index 6"/>
    <w:basedOn w:val="Normal"/>
    <w:next w:val="Normal"/>
    <w:autoRedefine/>
    <w:semiHidden/>
    <w:rsid w:val="00E0521E"/>
    <w:pPr>
      <w:ind w:left="1200" w:hanging="200"/>
    </w:pPr>
  </w:style>
  <w:style w:type="paragraph" w:styleId="Index7">
    <w:name w:val="index 7"/>
    <w:basedOn w:val="Normal"/>
    <w:next w:val="Normal"/>
    <w:autoRedefine/>
    <w:semiHidden/>
    <w:rsid w:val="00E0521E"/>
    <w:pPr>
      <w:ind w:left="1400" w:hanging="200"/>
    </w:pPr>
  </w:style>
  <w:style w:type="paragraph" w:styleId="Index8">
    <w:name w:val="index 8"/>
    <w:basedOn w:val="Normal"/>
    <w:next w:val="Normal"/>
    <w:autoRedefine/>
    <w:semiHidden/>
    <w:rsid w:val="00E0521E"/>
    <w:pPr>
      <w:ind w:left="1600" w:hanging="200"/>
    </w:pPr>
  </w:style>
  <w:style w:type="paragraph" w:styleId="Index9">
    <w:name w:val="index 9"/>
    <w:basedOn w:val="Normal"/>
    <w:next w:val="Normal"/>
    <w:autoRedefine/>
    <w:semiHidden/>
    <w:rsid w:val="00E0521E"/>
    <w:pPr>
      <w:ind w:left="1800" w:hanging="200"/>
    </w:pPr>
  </w:style>
  <w:style w:type="paragraph" w:styleId="IndexHeading">
    <w:name w:val="index heading"/>
    <w:basedOn w:val="Normal"/>
    <w:next w:val="Index1"/>
    <w:semiHidden/>
    <w:rsid w:val="00E0521E"/>
    <w:rPr>
      <w:rFonts w:cs="Arial"/>
      <w:b/>
      <w:bCs/>
    </w:rPr>
  </w:style>
  <w:style w:type="paragraph" w:styleId="MacroText">
    <w:name w:val="macro"/>
    <w:semiHidden/>
    <w:rsid w:val="00E0521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0521E"/>
    <w:pPr>
      <w:ind w:left="200" w:hanging="200"/>
    </w:pPr>
  </w:style>
  <w:style w:type="paragraph" w:styleId="TableofFigures">
    <w:name w:val="table of figures"/>
    <w:basedOn w:val="Normal"/>
    <w:next w:val="Normal"/>
    <w:semiHidden/>
    <w:rsid w:val="00E0521E"/>
  </w:style>
  <w:style w:type="paragraph" w:styleId="TOAHeading">
    <w:name w:val="toa heading"/>
    <w:basedOn w:val="Normal"/>
    <w:next w:val="Normal"/>
    <w:semiHidden/>
    <w:rsid w:val="00E0521E"/>
    <w:rPr>
      <w:rFonts w:cs="Arial"/>
      <w:b/>
      <w:bCs/>
      <w:szCs w:val="24"/>
    </w:rPr>
  </w:style>
  <w:style w:type="paragraph" w:styleId="TOC5">
    <w:name w:val="toc 5"/>
    <w:basedOn w:val="Normal"/>
    <w:next w:val="Normal"/>
    <w:autoRedefine/>
    <w:semiHidden/>
    <w:rsid w:val="00E0521E"/>
    <w:pPr>
      <w:ind w:left="800"/>
    </w:pPr>
  </w:style>
  <w:style w:type="paragraph" w:styleId="TOC6">
    <w:name w:val="toc 6"/>
    <w:basedOn w:val="Normal"/>
    <w:next w:val="Normal"/>
    <w:autoRedefine/>
    <w:semiHidden/>
    <w:rsid w:val="00E0521E"/>
    <w:pPr>
      <w:ind w:left="1000"/>
    </w:pPr>
  </w:style>
  <w:style w:type="paragraph" w:styleId="TOC7">
    <w:name w:val="toc 7"/>
    <w:basedOn w:val="Normal"/>
    <w:next w:val="Normal"/>
    <w:autoRedefine/>
    <w:semiHidden/>
    <w:rsid w:val="00E0521E"/>
    <w:pPr>
      <w:ind w:left="1200"/>
    </w:pPr>
  </w:style>
  <w:style w:type="paragraph" w:styleId="TOC8">
    <w:name w:val="toc 8"/>
    <w:basedOn w:val="Normal"/>
    <w:next w:val="Normal"/>
    <w:autoRedefine/>
    <w:semiHidden/>
    <w:rsid w:val="00E0521E"/>
    <w:pPr>
      <w:ind w:left="1400"/>
    </w:pPr>
  </w:style>
  <w:style w:type="paragraph" w:styleId="TOC9">
    <w:name w:val="toc 9"/>
    <w:basedOn w:val="Normal"/>
    <w:next w:val="Normal"/>
    <w:autoRedefine/>
    <w:semiHidden/>
    <w:rsid w:val="00E0521E"/>
    <w:pPr>
      <w:ind w:left="1600"/>
    </w:pPr>
  </w:style>
  <w:style w:type="paragraph" w:customStyle="1" w:styleId="Heading5NotNumbered">
    <w:name w:val="Heading 5 Not Numbered"/>
    <w:basedOn w:val="HeadingBase"/>
    <w:unhideWhenUsed/>
    <w:rsid w:val="00E0521E"/>
    <w:pPr>
      <w:spacing w:after="120"/>
      <w:outlineLvl w:val="4"/>
    </w:pPr>
    <w:rPr>
      <w:b/>
      <w:i/>
      <w:sz w:val="22"/>
    </w:rPr>
  </w:style>
  <w:style w:type="table" w:customStyle="1" w:styleId="OptionsTable">
    <w:name w:val="Options Table"/>
    <w:basedOn w:val="TableNormal"/>
    <w:rsid w:val="00E0521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0521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E0521E"/>
    <w:pPr>
      <w:numPr>
        <w:ilvl w:val="4"/>
        <w:numId w:val="2"/>
      </w:numPr>
      <w:spacing w:line="280" w:lineRule="exact"/>
      <w:jc w:val="both"/>
    </w:pPr>
  </w:style>
  <w:style w:type="paragraph" w:customStyle="1" w:styleId="Crest">
    <w:name w:val="Crest"/>
    <w:basedOn w:val="Header"/>
    <w:uiPriority w:val="2"/>
    <w:rsid w:val="00E0521E"/>
    <w:pPr>
      <w:spacing w:after="480"/>
    </w:pPr>
  </w:style>
  <w:style w:type="character" w:customStyle="1" w:styleId="SingleParagraphChar">
    <w:name w:val="Single Paragraph Char"/>
    <w:basedOn w:val="DefaultParagraphFont"/>
    <w:link w:val="SingleParagraph"/>
    <w:rsid w:val="00E0521E"/>
    <w:rPr>
      <w:rFonts w:asciiTheme="minorHAnsi" w:hAnsiTheme="minorHAnsi"/>
      <w:color w:val="000000" w:themeColor="text1"/>
      <w:sz w:val="24"/>
    </w:rPr>
  </w:style>
  <w:style w:type="character" w:customStyle="1" w:styleId="Heading5Char">
    <w:name w:val="Heading 5 Char"/>
    <w:basedOn w:val="DefaultParagraphFont"/>
    <w:link w:val="Heading5"/>
    <w:rsid w:val="00AE61CA"/>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AE61CA"/>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08146A"/>
    <w:rPr>
      <w:rFonts w:ascii="Arial" w:hAnsi="Arial"/>
      <w:color w:val="31A7D4" w:themeColor="accent1"/>
      <w:sz w:val="28"/>
    </w:rPr>
  </w:style>
  <w:style w:type="paragraph" w:customStyle="1" w:styleId="SecurityClassificationFooter">
    <w:name w:val="Security Classification Footer"/>
    <w:link w:val="SecurityClassificationFooterChar"/>
    <w:rsid w:val="00E0521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0521E"/>
    <w:rPr>
      <w:b/>
      <w:caps/>
      <w:color w:val="009976"/>
      <w:sz w:val="24"/>
    </w:rPr>
  </w:style>
  <w:style w:type="paragraph" w:customStyle="1" w:styleId="MinuteNumber">
    <w:name w:val="Minute Number"/>
    <w:basedOn w:val="Header"/>
    <w:uiPriority w:val="2"/>
    <w:rsid w:val="00E0521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0521E"/>
    <w:pPr>
      <w:spacing w:before="120"/>
    </w:pPr>
    <w:rPr>
      <w:b w:val="0"/>
      <w:sz w:val="24"/>
    </w:rPr>
  </w:style>
  <w:style w:type="paragraph" w:customStyle="1" w:styleId="QAText">
    <w:name w:val="QA Text"/>
    <w:basedOn w:val="Normal"/>
    <w:unhideWhenUsed/>
    <w:rsid w:val="00E0521E"/>
    <w:pPr>
      <w:spacing w:after="120"/>
    </w:pPr>
  </w:style>
  <w:style w:type="paragraph" w:customStyle="1" w:styleId="Copyrightheadings">
    <w:name w:val="Copyright headings"/>
    <w:basedOn w:val="HeadingBase"/>
    <w:uiPriority w:val="2"/>
    <w:rsid w:val="00E0521E"/>
    <w:pPr>
      <w:spacing w:after="80"/>
    </w:pPr>
    <w:rPr>
      <w:b/>
      <w:color w:val="000000" w:themeColor="text1"/>
      <w:sz w:val="22"/>
    </w:rPr>
  </w:style>
  <w:style w:type="paragraph" w:customStyle="1" w:styleId="Quotes">
    <w:name w:val="Quotes"/>
    <w:basedOn w:val="Normal"/>
    <w:qFormat/>
    <w:rsid w:val="00E0521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0521E"/>
  </w:style>
  <w:style w:type="paragraph" w:customStyle="1" w:styleId="Keyfindingtext">
    <w:name w:val="Key finding text"/>
    <w:basedOn w:val="BoxText"/>
    <w:uiPriority w:val="1"/>
    <w:qFormat/>
    <w:rsid w:val="00E0521E"/>
    <w:pPr>
      <w:numPr>
        <w:numId w:val="16"/>
      </w:numPr>
    </w:pPr>
    <w:rPr>
      <w:rFonts w:eastAsiaTheme="minorHAnsi"/>
    </w:rPr>
  </w:style>
  <w:style w:type="paragraph" w:customStyle="1" w:styleId="Casestudyboxheading">
    <w:name w:val="Case study box heading"/>
    <w:basedOn w:val="Questionheading"/>
    <w:qFormat/>
    <w:rsid w:val="00D7532E"/>
    <w:pPr>
      <w:numPr>
        <w:ilvl w:val="1"/>
        <w:numId w:val="14"/>
      </w:numPr>
    </w:pPr>
    <w:rPr>
      <w:color w:val="31A7D4" w:themeColor="text2"/>
    </w:rPr>
  </w:style>
  <w:style w:type="paragraph" w:customStyle="1" w:styleId="Casestudyboxtext">
    <w:name w:val="Case study box text"/>
    <w:basedOn w:val="BoxText"/>
    <w:qFormat/>
    <w:rsid w:val="00E0521E"/>
  </w:style>
  <w:style w:type="paragraph" w:styleId="ListParagraph">
    <w:name w:val="List Paragraph"/>
    <w:basedOn w:val="Normal"/>
    <w:uiPriority w:val="34"/>
    <w:unhideWhenUsed/>
    <w:qFormat/>
    <w:rsid w:val="00AE61CA"/>
    <w:pPr>
      <w:ind w:left="720"/>
      <w:contextualSpacing/>
    </w:pPr>
  </w:style>
  <w:style w:type="paragraph" w:customStyle="1" w:styleId="Copyrightheading">
    <w:name w:val="Copyright heading"/>
    <w:basedOn w:val="Normal"/>
    <w:rsid w:val="00E0521E"/>
    <w:pPr>
      <w:spacing w:before="200" w:after="120"/>
    </w:pPr>
    <w:rPr>
      <w:rFonts w:eastAsiaTheme="minorHAnsi" w:cstheme="minorBidi"/>
      <w:b/>
      <w:szCs w:val="22"/>
      <w:lang w:eastAsia="en-US"/>
    </w:rPr>
  </w:style>
  <w:style w:type="character" w:styleId="PageNumber">
    <w:name w:val="page number"/>
    <w:basedOn w:val="DefaultParagraphFont"/>
    <w:rsid w:val="00E0521E"/>
  </w:style>
  <w:style w:type="paragraph" w:customStyle="1" w:styleId="PictureCentred">
    <w:name w:val="Picture Centred"/>
    <w:basedOn w:val="Normal"/>
    <w:rsid w:val="0051439B"/>
    <w:pPr>
      <w:keepLines/>
      <w:spacing w:after="200" w:line="240" w:lineRule="atLeast"/>
      <w:jc w:val="center"/>
    </w:pPr>
    <w:rPr>
      <w:rFonts w:eastAsiaTheme="minorEastAsia" w:cstheme="minorBidi"/>
      <w:szCs w:val="22"/>
      <w:lang w:eastAsia="en-US"/>
    </w:rPr>
  </w:style>
  <w:style w:type="numbering" w:customStyle="1" w:styleId="BulletedList">
    <w:name w:val="Bulleted List"/>
    <w:uiPriority w:val="99"/>
    <w:rsid w:val="0051439B"/>
    <w:pPr>
      <w:numPr>
        <w:numId w:val="11"/>
      </w:numPr>
    </w:pPr>
  </w:style>
  <w:style w:type="character" w:customStyle="1" w:styleId="BulletChar">
    <w:name w:val="Bullet Char"/>
    <w:basedOn w:val="DefaultParagraphFont"/>
    <w:link w:val="Bullet"/>
    <w:rsid w:val="00E05486"/>
    <w:rPr>
      <w:rFonts w:asciiTheme="minorHAnsi" w:hAnsiTheme="minorHAnsi"/>
      <w:color w:val="000000" w:themeColor="text1"/>
      <w:sz w:val="24"/>
    </w:rPr>
  </w:style>
  <w:style w:type="paragraph" w:customStyle="1" w:styleId="PictureIndent">
    <w:name w:val="Picture Indent"/>
    <w:basedOn w:val="Normal"/>
    <w:rsid w:val="0051439B"/>
    <w:pPr>
      <w:keepLines/>
      <w:spacing w:after="200" w:line="240" w:lineRule="atLeast"/>
      <w:ind w:left="284"/>
    </w:pPr>
    <w:rPr>
      <w:rFonts w:eastAsiaTheme="minorEastAsia" w:cstheme="minorBidi"/>
      <w:szCs w:val="22"/>
      <w:lang w:eastAsia="en-US"/>
    </w:rPr>
  </w:style>
  <w:style w:type="paragraph" w:customStyle="1" w:styleId="QuestionboxTextBase">
    <w:name w:val="Question box Text Base"/>
    <w:basedOn w:val="Normal"/>
    <w:next w:val="Normal"/>
    <w:rsid w:val="00D63D8B"/>
    <w:pPr>
      <w:keepLines/>
      <w:spacing w:line="260" w:lineRule="exact"/>
      <w:jc w:val="both"/>
    </w:pPr>
    <w:rPr>
      <w:rFonts w:cstheme="minorHAnsi"/>
      <w:szCs w:val="22"/>
    </w:rPr>
  </w:style>
  <w:style w:type="numbering" w:customStyle="1" w:styleId="RomanNumeralList">
    <w:name w:val="RomanNumeralList"/>
    <w:uiPriority w:val="99"/>
    <w:rsid w:val="00D63D8B"/>
    <w:pPr>
      <w:numPr>
        <w:numId w:val="12"/>
      </w:numPr>
    </w:pPr>
  </w:style>
  <w:style w:type="paragraph" w:styleId="Revision">
    <w:name w:val="Revision"/>
    <w:hidden/>
    <w:uiPriority w:val="99"/>
    <w:semiHidden/>
    <w:rsid w:val="002D09A0"/>
    <w:rPr>
      <w:rFonts w:asciiTheme="minorHAnsi" w:hAnsiTheme="minorHAnsi"/>
      <w:color w:val="000000"/>
      <w:sz w:val="22"/>
    </w:rPr>
  </w:style>
  <w:style w:type="character" w:customStyle="1" w:styleId="FootnoteTextChar">
    <w:name w:val="Footnote Text Char"/>
    <w:basedOn w:val="DefaultParagraphFont"/>
    <w:link w:val="FootnoteText"/>
    <w:uiPriority w:val="99"/>
    <w:rsid w:val="00AE61CA"/>
    <w:rPr>
      <w:rFonts w:ascii="Arial" w:hAnsi="Arial"/>
      <w:sz w:val="18"/>
    </w:rPr>
  </w:style>
  <w:style w:type="paragraph" w:styleId="NormalWeb">
    <w:name w:val="Normal (Web)"/>
    <w:basedOn w:val="Normal"/>
    <w:uiPriority w:val="99"/>
    <w:semiHidden/>
    <w:unhideWhenUsed/>
    <w:rsid w:val="005054CC"/>
    <w:pPr>
      <w:spacing w:before="100" w:beforeAutospacing="1" w:after="100" w:afterAutospacing="1"/>
    </w:pPr>
    <w:rPr>
      <w:rFonts w:ascii="Times New Roman" w:hAnsi="Times New Roman"/>
      <w:szCs w:val="24"/>
    </w:rPr>
  </w:style>
  <w:style w:type="character" w:customStyle="1" w:styleId="Heading2Char">
    <w:name w:val="Heading 2 Char"/>
    <w:basedOn w:val="DefaultParagraphFont"/>
    <w:link w:val="Heading2"/>
    <w:rsid w:val="00AE61CA"/>
    <w:rPr>
      <w:rFonts w:ascii="Arial" w:hAnsi="Arial" w:cs="Arial"/>
      <w:b/>
      <w:bCs/>
      <w:color w:val="000000" w:themeColor="text1"/>
      <w:kern w:val="32"/>
      <w:sz w:val="40"/>
      <w:szCs w:val="36"/>
    </w:rPr>
  </w:style>
  <w:style w:type="character" w:customStyle="1" w:styleId="DashChar">
    <w:name w:val="Dash Char"/>
    <w:basedOn w:val="DefaultParagraphFont"/>
    <w:link w:val="Dash"/>
    <w:locked/>
    <w:rsid w:val="00E05486"/>
    <w:rPr>
      <w:rFonts w:ascii="Arial" w:hAnsi="Arial"/>
      <w:color w:val="000000" w:themeColor="text1"/>
      <w:sz w:val="22"/>
    </w:rPr>
  </w:style>
  <w:style w:type="character" w:customStyle="1" w:styleId="Heading9Char">
    <w:name w:val="Heading 9 Char"/>
    <w:basedOn w:val="DefaultParagraphFont"/>
    <w:link w:val="Heading9"/>
    <w:semiHidden/>
    <w:rsid w:val="00E370DA"/>
    <w:rPr>
      <w:rFonts w:ascii="Arial Bold" w:hAnsi="Arial Bold" w:cs="Arial"/>
      <w:b/>
      <w:smallCaps/>
      <w:color w:val="31A7D4" w:themeColor="accent1"/>
      <w:sz w:val="24"/>
      <w:szCs w:val="22"/>
    </w:rPr>
  </w:style>
  <w:style w:type="paragraph" w:customStyle="1" w:styleId="Questionheading">
    <w:name w:val="Question heading"/>
    <w:basedOn w:val="Normal"/>
    <w:qFormat/>
    <w:rsid w:val="00AE61CA"/>
    <w:pPr>
      <w:spacing w:before="80" w:line="240" w:lineRule="auto"/>
    </w:pPr>
    <w:rPr>
      <w:b/>
      <w:color w:val="31A7D4" w:themeColor="accent1"/>
      <w:sz w:val="28"/>
      <w:szCs w:val="28"/>
    </w:rPr>
  </w:style>
  <w:style w:type="paragraph" w:customStyle="1" w:styleId="Questiontext">
    <w:name w:val="Question text"/>
    <w:basedOn w:val="ListParagraph"/>
    <w:qFormat/>
    <w:rsid w:val="00AE61CA"/>
    <w:pPr>
      <w:numPr>
        <w:numId w:val="29"/>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AE61CA"/>
    <w:pPr>
      <w:spacing w:before="20" w:after="0" w:line="240" w:lineRule="auto"/>
    </w:pPr>
    <w:rPr>
      <w:color w:val="000000" w:themeColor="text1"/>
      <w:sz w:val="20"/>
    </w:rPr>
  </w:style>
  <w:style w:type="paragraph" w:customStyle="1" w:styleId="Overviewheading">
    <w:name w:val="Overview heading"/>
    <w:basedOn w:val="Heading2"/>
    <w:qFormat/>
    <w:rsid w:val="00AE61CA"/>
    <w:pPr>
      <w:numPr>
        <w:numId w:val="0"/>
      </w:numPr>
      <w:spacing w:after="240"/>
    </w:pPr>
  </w:style>
  <w:style w:type="paragraph" w:customStyle="1" w:styleId="Casestudybullet">
    <w:name w:val="Case study bullet"/>
    <w:basedOn w:val="Casestudyboxtext"/>
    <w:uiPriority w:val="1"/>
    <w:qFormat/>
    <w:rsid w:val="00D7532E"/>
    <w:pPr>
      <w:numPr>
        <w:numId w:val="17"/>
      </w:numPr>
      <w:ind w:left="399"/>
    </w:pPr>
  </w:style>
  <w:style w:type="paragraph" w:customStyle="1" w:styleId="Tablettextbullet">
    <w:name w:val="Tablet text bullet"/>
    <w:basedOn w:val="TableTextLeft"/>
    <w:uiPriority w:val="1"/>
    <w:qFormat/>
    <w:rsid w:val="00C7561F"/>
    <w:pPr>
      <w:numPr>
        <w:numId w:val="18"/>
      </w:numPr>
    </w:pPr>
  </w:style>
  <w:style w:type="character" w:customStyle="1" w:styleId="OutlineNumbered1Char">
    <w:name w:val="Outline Numbered 1 Char"/>
    <w:basedOn w:val="DefaultParagraphFont"/>
    <w:link w:val="OutlineNumbered1"/>
    <w:uiPriority w:val="2"/>
    <w:rsid w:val="00733603"/>
    <w:rPr>
      <w:rFonts w:asciiTheme="minorHAnsi" w:hAnsiTheme="minorHAnsi"/>
      <w:color w:val="000000" w:themeColor="text1"/>
      <w:sz w:val="24"/>
    </w:rPr>
  </w:style>
  <w:style w:type="character" w:styleId="Emphasis">
    <w:name w:val="Emphasis"/>
    <w:basedOn w:val="DefaultParagraphFont"/>
    <w:uiPriority w:val="20"/>
    <w:qFormat/>
    <w:rsid w:val="00F113CD"/>
    <w:rPr>
      <w:i/>
      <w:iCs/>
    </w:rPr>
  </w:style>
  <w:style w:type="paragraph" w:customStyle="1" w:styleId="Keyfindingbullet">
    <w:name w:val="Key finding bullet"/>
    <w:basedOn w:val="Keyfindingtext"/>
    <w:uiPriority w:val="1"/>
    <w:qFormat/>
    <w:rsid w:val="00DE6A49"/>
    <w:pPr>
      <w:numPr>
        <w:numId w:val="0"/>
      </w:numPr>
    </w:pPr>
  </w:style>
  <w:style w:type="character" w:customStyle="1" w:styleId="Heading1Char">
    <w:name w:val="Heading 1 Char"/>
    <w:basedOn w:val="DefaultParagraphFont"/>
    <w:link w:val="Heading1"/>
    <w:rsid w:val="00AE61CA"/>
    <w:rPr>
      <w:rFonts w:ascii="Arial" w:hAnsi="Arial" w:cs="Arial"/>
      <w:b/>
      <w:bCs/>
      <w:color w:val="000000" w:themeColor="text1"/>
      <w:kern w:val="32"/>
      <w:sz w:val="66"/>
      <w:szCs w:val="36"/>
    </w:rPr>
  </w:style>
  <w:style w:type="paragraph" w:styleId="Title">
    <w:name w:val="Title"/>
    <w:basedOn w:val="Normal"/>
    <w:next w:val="Normal"/>
    <w:link w:val="TitleChar"/>
    <w:uiPriority w:val="10"/>
    <w:rsid w:val="00AE61CA"/>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AE61CA"/>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AE61CA"/>
    <w:pPr>
      <w:numPr>
        <w:numId w:val="28"/>
      </w:numPr>
      <w:spacing w:after="120"/>
      <w:ind w:left="567" w:hanging="567"/>
      <w:contextualSpacing w:val="0"/>
    </w:pPr>
  </w:style>
  <w:style w:type="paragraph" w:styleId="Quote">
    <w:name w:val="Quote"/>
    <w:basedOn w:val="Normal"/>
    <w:next w:val="Normal"/>
    <w:link w:val="QuoteChar"/>
    <w:uiPriority w:val="29"/>
    <w:qFormat/>
    <w:rsid w:val="00AE61CA"/>
    <w:pPr>
      <w:spacing w:before="120"/>
      <w:ind w:left="567"/>
    </w:pPr>
    <w:rPr>
      <w:iCs/>
      <w:color w:val="000000" w:themeColor="text1"/>
    </w:rPr>
  </w:style>
  <w:style w:type="character" w:customStyle="1" w:styleId="QuoteChar">
    <w:name w:val="Quote Char"/>
    <w:basedOn w:val="DefaultParagraphFont"/>
    <w:link w:val="Quote"/>
    <w:uiPriority w:val="29"/>
    <w:rsid w:val="00AE61CA"/>
    <w:rPr>
      <w:rFonts w:ascii="Arial" w:hAnsi="Arial"/>
      <w:iCs/>
      <w:color w:val="000000" w:themeColor="text1"/>
      <w:sz w:val="22"/>
    </w:rPr>
  </w:style>
  <w:style w:type="character" w:customStyle="1" w:styleId="Heading3Char">
    <w:name w:val="Heading 3 Char"/>
    <w:basedOn w:val="DefaultParagraphFont"/>
    <w:link w:val="Heading3"/>
    <w:rsid w:val="00AE61CA"/>
    <w:rPr>
      <w:rFonts w:ascii="Arial" w:eastAsiaTheme="majorEastAsia" w:hAnsi="Arial" w:cstheme="majorBidi"/>
      <w:b/>
      <w:bCs/>
      <w:color w:val="31A7D4" w:themeColor="accent1"/>
      <w:sz w:val="30"/>
    </w:rPr>
  </w:style>
  <w:style w:type="paragraph" w:customStyle="1" w:styleId="Overviewtext">
    <w:name w:val="Overview text"/>
    <w:basedOn w:val="Normal"/>
    <w:qFormat/>
    <w:rsid w:val="00AE61CA"/>
    <w:rPr>
      <w:sz w:val="32"/>
      <w:szCs w:val="32"/>
    </w:rPr>
  </w:style>
  <w:style w:type="paragraph" w:customStyle="1" w:styleId="Singleparagraph0">
    <w:name w:val="Single paragraph"/>
    <w:basedOn w:val="Normal"/>
    <w:qFormat/>
    <w:rsid w:val="00AE61CA"/>
    <w:pPr>
      <w:spacing w:after="0" w:line="240" w:lineRule="auto"/>
    </w:pPr>
  </w:style>
  <w:style w:type="character" w:customStyle="1" w:styleId="HeaderChar">
    <w:name w:val="Header Char"/>
    <w:basedOn w:val="DefaultParagraphFont"/>
    <w:link w:val="Header"/>
    <w:uiPriority w:val="99"/>
    <w:rsid w:val="00AE61CA"/>
    <w:rPr>
      <w:rFonts w:ascii="Arial" w:hAnsi="Arial"/>
      <w:color w:val="636363" w:themeColor="accent2"/>
      <w:sz w:val="22"/>
    </w:rPr>
  </w:style>
  <w:style w:type="paragraph" w:customStyle="1" w:styleId="Overviewheading2">
    <w:name w:val="Overview heading 2"/>
    <w:basedOn w:val="Heading2"/>
    <w:qFormat/>
    <w:rsid w:val="00AE61CA"/>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AE61CA"/>
    <w:rPr>
      <w:rFonts w:ascii="Tahoma" w:hAnsi="Tahoma" w:cs="Tahoma"/>
      <w:sz w:val="16"/>
      <w:szCs w:val="16"/>
    </w:rPr>
  </w:style>
  <w:style w:type="paragraph" w:customStyle="1" w:styleId="ChartandTableNote">
    <w:name w:val="Chart and Table Note"/>
    <w:next w:val="Normal"/>
    <w:rsid w:val="00AE61CA"/>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5441">
      <w:bodyDiv w:val="1"/>
      <w:marLeft w:val="0"/>
      <w:marRight w:val="0"/>
      <w:marTop w:val="0"/>
      <w:marBottom w:val="0"/>
      <w:divBdr>
        <w:top w:val="none" w:sz="0" w:space="0" w:color="auto"/>
        <w:left w:val="none" w:sz="0" w:space="0" w:color="auto"/>
        <w:bottom w:val="none" w:sz="0" w:space="0" w:color="auto"/>
        <w:right w:val="none" w:sz="0" w:space="0" w:color="auto"/>
      </w:divBdr>
    </w:div>
    <w:div w:id="56131222">
      <w:bodyDiv w:val="1"/>
      <w:marLeft w:val="0"/>
      <w:marRight w:val="0"/>
      <w:marTop w:val="0"/>
      <w:marBottom w:val="0"/>
      <w:divBdr>
        <w:top w:val="none" w:sz="0" w:space="0" w:color="auto"/>
        <w:left w:val="none" w:sz="0" w:space="0" w:color="auto"/>
        <w:bottom w:val="none" w:sz="0" w:space="0" w:color="auto"/>
        <w:right w:val="none" w:sz="0" w:space="0" w:color="auto"/>
      </w:divBdr>
    </w:div>
    <w:div w:id="194462646">
      <w:bodyDiv w:val="1"/>
      <w:marLeft w:val="0"/>
      <w:marRight w:val="0"/>
      <w:marTop w:val="0"/>
      <w:marBottom w:val="0"/>
      <w:divBdr>
        <w:top w:val="none" w:sz="0" w:space="0" w:color="auto"/>
        <w:left w:val="none" w:sz="0" w:space="0" w:color="auto"/>
        <w:bottom w:val="none" w:sz="0" w:space="0" w:color="auto"/>
        <w:right w:val="none" w:sz="0" w:space="0" w:color="auto"/>
      </w:divBdr>
    </w:div>
    <w:div w:id="284386069">
      <w:bodyDiv w:val="1"/>
      <w:marLeft w:val="30"/>
      <w:marRight w:val="30"/>
      <w:marTop w:val="0"/>
      <w:marBottom w:val="0"/>
      <w:divBdr>
        <w:top w:val="none" w:sz="0" w:space="0" w:color="auto"/>
        <w:left w:val="none" w:sz="0" w:space="0" w:color="auto"/>
        <w:bottom w:val="none" w:sz="0" w:space="0" w:color="auto"/>
        <w:right w:val="none" w:sz="0" w:space="0" w:color="auto"/>
      </w:divBdr>
      <w:divsChild>
        <w:div w:id="56320074">
          <w:marLeft w:val="0"/>
          <w:marRight w:val="0"/>
          <w:marTop w:val="0"/>
          <w:marBottom w:val="0"/>
          <w:divBdr>
            <w:top w:val="none" w:sz="0" w:space="0" w:color="auto"/>
            <w:left w:val="none" w:sz="0" w:space="0" w:color="auto"/>
            <w:bottom w:val="none" w:sz="0" w:space="0" w:color="auto"/>
            <w:right w:val="none" w:sz="0" w:space="0" w:color="auto"/>
          </w:divBdr>
          <w:divsChild>
            <w:div w:id="1391998656">
              <w:marLeft w:val="0"/>
              <w:marRight w:val="0"/>
              <w:marTop w:val="0"/>
              <w:marBottom w:val="0"/>
              <w:divBdr>
                <w:top w:val="none" w:sz="0" w:space="0" w:color="auto"/>
                <w:left w:val="none" w:sz="0" w:space="0" w:color="auto"/>
                <w:bottom w:val="none" w:sz="0" w:space="0" w:color="auto"/>
                <w:right w:val="none" w:sz="0" w:space="0" w:color="auto"/>
              </w:divBdr>
              <w:divsChild>
                <w:div w:id="347487342">
                  <w:marLeft w:val="180"/>
                  <w:marRight w:val="0"/>
                  <w:marTop w:val="0"/>
                  <w:marBottom w:val="0"/>
                  <w:divBdr>
                    <w:top w:val="none" w:sz="0" w:space="0" w:color="auto"/>
                    <w:left w:val="none" w:sz="0" w:space="0" w:color="auto"/>
                    <w:bottom w:val="none" w:sz="0" w:space="0" w:color="auto"/>
                    <w:right w:val="none" w:sz="0" w:space="0" w:color="auto"/>
                  </w:divBdr>
                  <w:divsChild>
                    <w:div w:id="66644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887759">
      <w:bodyDiv w:val="1"/>
      <w:marLeft w:val="0"/>
      <w:marRight w:val="0"/>
      <w:marTop w:val="0"/>
      <w:marBottom w:val="0"/>
      <w:divBdr>
        <w:top w:val="none" w:sz="0" w:space="0" w:color="auto"/>
        <w:left w:val="none" w:sz="0" w:space="0" w:color="auto"/>
        <w:bottom w:val="none" w:sz="0" w:space="0" w:color="auto"/>
        <w:right w:val="none" w:sz="0" w:space="0" w:color="auto"/>
      </w:divBdr>
    </w:div>
    <w:div w:id="342632566">
      <w:bodyDiv w:val="1"/>
      <w:marLeft w:val="0"/>
      <w:marRight w:val="0"/>
      <w:marTop w:val="0"/>
      <w:marBottom w:val="0"/>
      <w:divBdr>
        <w:top w:val="none" w:sz="0" w:space="0" w:color="auto"/>
        <w:left w:val="none" w:sz="0" w:space="0" w:color="auto"/>
        <w:bottom w:val="none" w:sz="0" w:space="0" w:color="auto"/>
        <w:right w:val="none" w:sz="0" w:space="0" w:color="auto"/>
      </w:divBdr>
    </w:div>
    <w:div w:id="439111496">
      <w:bodyDiv w:val="1"/>
      <w:marLeft w:val="0"/>
      <w:marRight w:val="0"/>
      <w:marTop w:val="0"/>
      <w:marBottom w:val="0"/>
      <w:divBdr>
        <w:top w:val="none" w:sz="0" w:space="0" w:color="auto"/>
        <w:left w:val="none" w:sz="0" w:space="0" w:color="auto"/>
        <w:bottom w:val="none" w:sz="0" w:space="0" w:color="auto"/>
        <w:right w:val="none" w:sz="0" w:space="0" w:color="auto"/>
      </w:divBdr>
    </w:div>
    <w:div w:id="618801503">
      <w:bodyDiv w:val="1"/>
      <w:marLeft w:val="0"/>
      <w:marRight w:val="0"/>
      <w:marTop w:val="0"/>
      <w:marBottom w:val="0"/>
      <w:divBdr>
        <w:top w:val="none" w:sz="0" w:space="0" w:color="auto"/>
        <w:left w:val="none" w:sz="0" w:space="0" w:color="auto"/>
        <w:bottom w:val="none" w:sz="0" w:space="0" w:color="auto"/>
        <w:right w:val="none" w:sz="0" w:space="0" w:color="auto"/>
      </w:divBdr>
    </w:div>
    <w:div w:id="633950352">
      <w:bodyDiv w:val="1"/>
      <w:marLeft w:val="0"/>
      <w:marRight w:val="0"/>
      <w:marTop w:val="0"/>
      <w:marBottom w:val="0"/>
      <w:divBdr>
        <w:top w:val="none" w:sz="0" w:space="0" w:color="auto"/>
        <w:left w:val="none" w:sz="0" w:space="0" w:color="auto"/>
        <w:bottom w:val="none" w:sz="0" w:space="0" w:color="auto"/>
        <w:right w:val="none" w:sz="0" w:space="0" w:color="auto"/>
      </w:divBdr>
    </w:div>
    <w:div w:id="659575774">
      <w:bodyDiv w:val="1"/>
      <w:marLeft w:val="0"/>
      <w:marRight w:val="0"/>
      <w:marTop w:val="0"/>
      <w:marBottom w:val="0"/>
      <w:divBdr>
        <w:top w:val="none" w:sz="0" w:space="0" w:color="auto"/>
        <w:left w:val="none" w:sz="0" w:space="0" w:color="auto"/>
        <w:bottom w:val="none" w:sz="0" w:space="0" w:color="auto"/>
        <w:right w:val="none" w:sz="0" w:space="0" w:color="auto"/>
      </w:divBdr>
    </w:div>
    <w:div w:id="773398402">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840051283">
      <w:bodyDiv w:val="1"/>
      <w:marLeft w:val="30"/>
      <w:marRight w:val="30"/>
      <w:marTop w:val="0"/>
      <w:marBottom w:val="0"/>
      <w:divBdr>
        <w:top w:val="none" w:sz="0" w:space="0" w:color="auto"/>
        <w:left w:val="none" w:sz="0" w:space="0" w:color="auto"/>
        <w:bottom w:val="none" w:sz="0" w:space="0" w:color="auto"/>
        <w:right w:val="none" w:sz="0" w:space="0" w:color="auto"/>
      </w:divBdr>
      <w:divsChild>
        <w:div w:id="719208764">
          <w:marLeft w:val="0"/>
          <w:marRight w:val="0"/>
          <w:marTop w:val="0"/>
          <w:marBottom w:val="0"/>
          <w:divBdr>
            <w:top w:val="none" w:sz="0" w:space="0" w:color="auto"/>
            <w:left w:val="none" w:sz="0" w:space="0" w:color="auto"/>
            <w:bottom w:val="none" w:sz="0" w:space="0" w:color="auto"/>
            <w:right w:val="none" w:sz="0" w:space="0" w:color="auto"/>
          </w:divBdr>
          <w:divsChild>
            <w:div w:id="827525488">
              <w:marLeft w:val="0"/>
              <w:marRight w:val="0"/>
              <w:marTop w:val="0"/>
              <w:marBottom w:val="0"/>
              <w:divBdr>
                <w:top w:val="none" w:sz="0" w:space="0" w:color="auto"/>
                <w:left w:val="none" w:sz="0" w:space="0" w:color="auto"/>
                <w:bottom w:val="none" w:sz="0" w:space="0" w:color="auto"/>
                <w:right w:val="none" w:sz="0" w:space="0" w:color="auto"/>
              </w:divBdr>
              <w:divsChild>
                <w:div w:id="1394546230">
                  <w:marLeft w:val="180"/>
                  <w:marRight w:val="0"/>
                  <w:marTop w:val="0"/>
                  <w:marBottom w:val="0"/>
                  <w:divBdr>
                    <w:top w:val="none" w:sz="0" w:space="0" w:color="auto"/>
                    <w:left w:val="none" w:sz="0" w:space="0" w:color="auto"/>
                    <w:bottom w:val="none" w:sz="0" w:space="0" w:color="auto"/>
                    <w:right w:val="none" w:sz="0" w:space="0" w:color="auto"/>
                  </w:divBdr>
                  <w:divsChild>
                    <w:div w:id="4684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444074">
      <w:bodyDiv w:val="1"/>
      <w:marLeft w:val="0"/>
      <w:marRight w:val="0"/>
      <w:marTop w:val="0"/>
      <w:marBottom w:val="0"/>
      <w:divBdr>
        <w:top w:val="none" w:sz="0" w:space="0" w:color="auto"/>
        <w:left w:val="none" w:sz="0" w:space="0" w:color="auto"/>
        <w:bottom w:val="none" w:sz="0" w:space="0" w:color="auto"/>
        <w:right w:val="none" w:sz="0" w:space="0" w:color="auto"/>
      </w:divBdr>
    </w:div>
    <w:div w:id="925961026">
      <w:bodyDiv w:val="1"/>
      <w:marLeft w:val="0"/>
      <w:marRight w:val="0"/>
      <w:marTop w:val="0"/>
      <w:marBottom w:val="0"/>
      <w:divBdr>
        <w:top w:val="none" w:sz="0" w:space="0" w:color="auto"/>
        <w:left w:val="none" w:sz="0" w:space="0" w:color="auto"/>
        <w:bottom w:val="none" w:sz="0" w:space="0" w:color="auto"/>
        <w:right w:val="none" w:sz="0" w:space="0" w:color="auto"/>
      </w:divBdr>
    </w:div>
    <w:div w:id="982539405">
      <w:bodyDiv w:val="1"/>
      <w:marLeft w:val="0"/>
      <w:marRight w:val="0"/>
      <w:marTop w:val="0"/>
      <w:marBottom w:val="0"/>
      <w:divBdr>
        <w:top w:val="none" w:sz="0" w:space="0" w:color="auto"/>
        <w:left w:val="none" w:sz="0" w:space="0" w:color="auto"/>
        <w:bottom w:val="none" w:sz="0" w:space="0" w:color="auto"/>
        <w:right w:val="none" w:sz="0" w:space="0" w:color="auto"/>
      </w:divBdr>
    </w:div>
    <w:div w:id="1044259525">
      <w:bodyDiv w:val="1"/>
      <w:marLeft w:val="0"/>
      <w:marRight w:val="0"/>
      <w:marTop w:val="0"/>
      <w:marBottom w:val="0"/>
      <w:divBdr>
        <w:top w:val="none" w:sz="0" w:space="0" w:color="auto"/>
        <w:left w:val="none" w:sz="0" w:space="0" w:color="auto"/>
        <w:bottom w:val="none" w:sz="0" w:space="0" w:color="auto"/>
        <w:right w:val="none" w:sz="0" w:space="0" w:color="auto"/>
      </w:divBdr>
    </w:div>
    <w:div w:id="1072583241">
      <w:bodyDiv w:val="1"/>
      <w:marLeft w:val="0"/>
      <w:marRight w:val="0"/>
      <w:marTop w:val="0"/>
      <w:marBottom w:val="0"/>
      <w:divBdr>
        <w:top w:val="none" w:sz="0" w:space="0" w:color="auto"/>
        <w:left w:val="none" w:sz="0" w:space="0" w:color="auto"/>
        <w:bottom w:val="none" w:sz="0" w:space="0" w:color="auto"/>
        <w:right w:val="none" w:sz="0" w:space="0" w:color="auto"/>
      </w:divBdr>
    </w:div>
    <w:div w:id="1192647661">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554996713">
      <w:bodyDiv w:val="1"/>
      <w:marLeft w:val="0"/>
      <w:marRight w:val="0"/>
      <w:marTop w:val="0"/>
      <w:marBottom w:val="0"/>
      <w:divBdr>
        <w:top w:val="none" w:sz="0" w:space="0" w:color="auto"/>
        <w:left w:val="none" w:sz="0" w:space="0" w:color="auto"/>
        <w:bottom w:val="none" w:sz="0" w:space="0" w:color="auto"/>
        <w:right w:val="none" w:sz="0" w:space="0" w:color="auto"/>
      </w:divBdr>
    </w:div>
    <w:div w:id="1570308507">
      <w:bodyDiv w:val="1"/>
      <w:marLeft w:val="0"/>
      <w:marRight w:val="0"/>
      <w:marTop w:val="0"/>
      <w:marBottom w:val="0"/>
      <w:divBdr>
        <w:top w:val="none" w:sz="0" w:space="0" w:color="auto"/>
        <w:left w:val="none" w:sz="0" w:space="0" w:color="auto"/>
        <w:bottom w:val="none" w:sz="0" w:space="0" w:color="auto"/>
        <w:right w:val="none" w:sz="0" w:space="0" w:color="auto"/>
      </w:divBdr>
    </w:div>
    <w:div w:id="1602303363">
      <w:bodyDiv w:val="1"/>
      <w:marLeft w:val="0"/>
      <w:marRight w:val="0"/>
      <w:marTop w:val="0"/>
      <w:marBottom w:val="0"/>
      <w:divBdr>
        <w:top w:val="none" w:sz="0" w:space="0" w:color="auto"/>
        <w:left w:val="none" w:sz="0" w:space="0" w:color="auto"/>
        <w:bottom w:val="none" w:sz="0" w:space="0" w:color="auto"/>
        <w:right w:val="none" w:sz="0" w:space="0" w:color="auto"/>
      </w:divBdr>
    </w:div>
    <w:div w:id="1644700065">
      <w:bodyDiv w:val="1"/>
      <w:marLeft w:val="0"/>
      <w:marRight w:val="0"/>
      <w:marTop w:val="0"/>
      <w:marBottom w:val="0"/>
      <w:divBdr>
        <w:top w:val="none" w:sz="0" w:space="0" w:color="auto"/>
        <w:left w:val="none" w:sz="0" w:space="0" w:color="auto"/>
        <w:bottom w:val="none" w:sz="0" w:space="0" w:color="auto"/>
        <w:right w:val="none" w:sz="0" w:space="0" w:color="auto"/>
      </w:divBdr>
    </w:div>
    <w:div w:id="1730835027">
      <w:bodyDiv w:val="1"/>
      <w:marLeft w:val="0"/>
      <w:marRight w:val="0"/>
      <w:marTop w:val="0"/>
      <w:marBottom w:val="0"/>
      <w:divBdr>
        <w:top w:val="none" w:sz="0" w:space="0" w:color="auto"/>
        <w:left w:val="none" w:sz="0" w:space="0" w:color="auto"/>
        <w:bottom w:val="none" w:sz="0" w:space="0" w:color="auto"/>
        <w:right w:val="none" w:sz="0" w:space="0" w:color="auto"/>
      </w:divBdr>
    </w:div>
    <w:div w:id="1826319534">
      <w:bodyDiv w:val="1"/>
      <w:marLeft w:val="0"/>
      <w:marRight w:val="0"/>
      <w:marTop w:val="0"/>
      <w:marBottom w:val="0"/>
      <w:divBdr>
        <w:top w:val="none" w:sz="0" w:space="0" w:color="auto"/>
        <w:left w:val="none" w:sz="0" w:space="0" w:color="auto"/>
        <w:bottom w:val="none" w:sz="0" w:space="0" w:color="auto"/>
        <w:right w:val="none" w:sz="0" w:space="0" w:color="auto"/>
      </w:divBdr>
    </w:div>
    <w:div w:id="1837063425">
      <w:bodyDiv w:val="1"/>
      <w:marLeft w:val="0"/>
      <w:marRight w:val="0"/>
      <w:marTop w:val="0"/>
      <w:marBottom w:val="0"/>
      <w:divBdr>
        <w:top w:val="none" w:sz="0" w:space="0" w:color="auto"/>
        <w:left w:val="none" w:sz="0" w:space="0" w:color="auto"/>
        <w:bottom w:val="none" w:sz="0" w:space="0" w:color="auto"/>
        <w:right w:val="none" w:sz="0" w:space="0" w:color="auto"/>
      </w:divBdr>
    </w:div>
    <w:div w:id="1861967653">
      <w:bodyDiv w:val="1"/>
      <w:marLeft w:val="0"/>
      <w:marRight w:val="0"/>
      <w:marTop w:val="0"/>
      <w:marBottom w:val="0"/>
      <w:divBdr>
        <w:top w:val="none" w:sz="0" w:space="0" w:color="auto"/>
        <w:left w:val="none" w:sz="0" w:space="0" w:color="auto"/>
        <w:bottom w:val="none" w:sz="0" w:space="0" w:color="auto"/>
        <w:right w:val="none" w:sz="0" w:space="0" w:color="auto"/>
      </w:divBdr>
    </w:div>
    <w:div w:id="1866212563">
      <w:bodyDiv w:val="1"/>
      <w:marLeft w:val="0"/>
      <w:marRight w:val="0"/>
      <w:marTop w:val="0"/>
      <w:marBottom w:val="0"/>
      <w:divBdr>
        <w:top w:val="none" w:sz="0" w:space="0" w:color="auto"/>
        <w:left w:val="none" w:sz="0" w:space="0" w:color="auto"/>
        <w:bottom w:val="none" w:sz="0" w:space="0" w:color="auto"/>
        <w:right w:val="none" w:sz="0" w:space="0" w:color="auto"/>
      </w:divBdr>
    </w:div>
    <w:div w:id="1944147543">
      <w:bodyDiv w:val="1"/>
      <w:marLeft w:val="0"/>
      <w:marRight w:val="0"/>
      <w:marTop w:val="0"/>
      <w:marBottom w:val="0"/>
      <w:divBdr>
        <w:top w:val="none" w:sz="0" w:space="0" w:color="auto"/>
        <w:left w:val="none" w:sz="0" w:space="0" w:color="auto"/>
        <w:bottom w:val="none" w:sz="0" w:space="0" w:color="auto"/>
        <w:right w:val="none" w:sz="0" w:space="0" w:color="auto"/>
      </w:divBdr>
    </w:div>
    <w:div w:id="1985695898">
      <w:bodyDiv w:val="1"/>
      <w:marLeft w:val="0"/>
      <w:marRight w:val="0"/>
      <w:marTop w:val="0"/>
      <w:marBottom w:val="0"/>
      <w:divBdr>
        <w:top w:val="none" w:sz="0" w:space="0" w:color="auto"/>
        <w:left w:val="none" w:sz="0" w:space="0" w:color="auto"/>
        <w:bottom w:val="none" w:sz="0" w:space="0" w:color="auto"/>
        <w:right w:val="none" w:sz="0" w:space="0" w:color="auto"/>
      </w:divBdr>
    </w:div>
    <w:div w:id="199560219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http://tweb/sites/rg/project/twptf/twp/20.%20Issues%20Paper/Issues%20Paper%20soft%20close/Charts/04.%20Savings/4-2%20Expenses%20claimed%20for%20investment%20properties%20over%20time.xlsx!Chart!%5b4-2%20Expenses%20claimed%20for%20investment%20properties%20over%20time.xlsx%5dChart%20Chart%20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http://tweb/sites/rg/project/twptf/twp/20.%20Issues%20Paper/Issues%20Paper%20soft%20close/Charts/04.%20Savings/4-1%20Nominal%20effective%20marginal%20tax%20rates%20by%20savings%20vehicles.xlsx!Chart!%5b4-1%20Nominal%20effective%20marginal%20tax%20rates%20by%20savings%20vehicles.xlsx%5dChart%20Chart%202"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www.nordisketax.net/main.asp?url=files/nor/eng/i07.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2014RG-82-6637</_dlc_DocId>
    <TaxCatchAll xmlns="9f7bc583-7cbe-45b9-a2bd-8bbb6543b37e">
      <Value>20</Value>
    </TaxCatchAll>
    <_dlc_DocIdUrl xmlns="9f7bc583-7cbe-45b9-a2bd-8bbb6543b37e">
      <Url>http://tweb/sites/rg/project/twptf/_layouts/15/DocIdRedir.aspx?ID=2014RG-82-6637</Url>
      <Description>2014RG-82-6637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329C6-6468-4477-B9F2-A3764880B6F0}">
  <ds:schemaRefs>
    <ds:schemaRef ds:uri="http://schemas.microsoft.com/sharepoint/events"/>
  </ds:schemaRefs>
</ds:datastoreItem>
</file>

<file path=customXml/itemProps2.xml><?xml version="1.0" encoding="utf-8"?>
<ds:datastoreItem xmlns:ds="http://schemas.openxmlformats.org/officeDocument/2006/customXml" ds:itemID="{53CC4B8F-2BB1-4F3E-BA43-2128350C62FB}">
  <ds:schemaRefs>
    <ds:schemaRef ds:uri="http://schemas.microsoft.com/sharepoint/v3/contenttype/forms"/>
  </ds:schemaRefs>
</ds:datastoreItem>
</file>

<file path=customXml/itemProps3.xml><?xml version="1.0" encoding="utf-8"?>
<ds:datastoreItem xmlns:ds="http://schemas.openxmlformats.org/officeDocument/2006/customXml" ds:itemID="{34717194-4878-45D1-AB66-97E45EF7713F}">
  <ds:schemaRefs>
    <ds:schemaRef ds:uri="http://purl.org/dc/elements/1.1/"/>
    <ds:schemaRef ds:uri="9f7bc583-7cbe-45b9-a2bd-8bbb6543b37e"/>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70C4778-9ED8-48CC-A590-6B3623D76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D4713F-168C-4435-9A74-8520B4F84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16</Pages>
  <Words>5319</Words>
  <Characters>30323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35571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4: Savings</dc:subject>
  <dc:creator/>
  <cp:lastModifiedBy/>
  <cp:revision>1</cp:revision>
  <dcterms:created xsi:type="dcterms:W3CDTF">2015-03-27T07:56:00Z</dcterms:created>
  <dcterms:modified xsi:type="dcterms:W3CDTF">2015-03-27T08:03:00Z</dcterms:modified>
  <dc:language>English</dc:language>
</cp:coreProperties>
</file>